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206C6" w14:textId="77777777" w:rsidR="0022023F" w:rsidRDefault="0022023F" w:rsidP="0022023F">
      <w:pPr>
        <w:pStyle w:val="NormalWeb"/>
        <w:spacing w:before="0" w:beforeAutospacing="0" w:after="0" w:afterAutospacing="0"/>
        <w:ind w:left="-180" w:right="-334"/>
      </w:pPr>
      <w:r>
        <w:rPr>
          <w:noProof/>
          <w:lang w:eastAsia="en-GB"/>
        </w:rPr>
        <w:drawing>
          <wp:inline distT="0" distB="0" distL="0" distR="0" wp14:anchorId="32E426A7" wp14:editId="687CBCBE">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011AC84E" w14:textId="77777777" w:rsidR="0022023F" w:rsidRDefault="0022023F" w:rsidP="0022023F">
      <w:pPr>
        <w:pStyle w:val="NormalWeb"/>
        <w:spacing w:before="0" w:beforeAutospacing="0" w:after="0" w:afterAutospacing="0"/>
        <w:ind w:left="-180" w:right="-334"/>
      </w:pPr>
    </w:p>
    <w:p w14:paraId="7B82FACD" w14:textId="77777777" w:rsidR="0022023F" w:rsidRDefault="0022023F" w:rsidP="0022023F">
      <w:pPr>
        <w:pStyle w:val="NormalWeb"/>
        <w:spacing w:before="0" w:beforeAutospacing="0" w:after="0" w:afterAutospacing="0"/>
        <w:ind w:left="-180" w:right="-334"/>
      </w:pPr>
    </w:p>
    <w:p w14:paraId="6ADC7997" w14:textId="77777777" w:rsidR="0022023F" w:rsidRDefault="0022023F" w:rsidP="0022023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7318979" w14:textId="77777777" w:rsidR="0022023F" w:rsidRPr="00230F35" w:rsidRDefault="0022023F" w:rsidP="0022023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273A4ED" w14:textId="77777777" w:rsidR="0022023F" w:rsidRPr="00230F35" w:rsidRDefault="0022023F" w:rsidP="0022023F">
      <w:pPr>
        <w:rPr>
          <w:rFonts w:ascii="Arial" w:hAnsi="Arial" w:cs="Arial"/>
          <w:sz w:val="28"/>
          <w:szCs w:val="28"/>
          <w:lang w:val="cy-GB"/>
        </w:rPr>
      </w:pPr>
    </w:p>
    <w:p w14:paraId="198AD3E5" w14:textId="77777777" w:rsidR="0022023F" w:rsidRDefault="0022023F" w:rsidP="0022023F">
      <w:pPr>
        <w:pStyle w:val="Heading3"/>
        <w:jc w:val="center"/>
        <w:rPr>
          <w:lang w:val="cy-GB"/>
        </w:rPr>
      </w:pPr>
      <w:r>
        <w:rPr>
          <w:lang w:val="cy-GB"/>
        </w:rPr>
        <w:t>THIS SHEET MUST BE THE FIRST PAGE OF THE ASSIGNMENT YOU ARE SUBMITTING  (DO NOT SEND AS A SEPARATE FILE)</w:t>
      </w:r>
    </w:p>
    <w:p w14:paraId="7DEFA9B7" w14:textId="77777777" w:rsidR="0022023F" w:rsidRDefault="0022023F" w:rsidP="0022023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2023F" w:rsidRPr="00230F35" w14:paraId="612DD3FA" w14:textId="77777777" w:rsidTr="00890FB5">
        <w:trPr>
          <w:trHeight w:val="614"/>
        </w:trPr>
        <w:tc>
          <w:tcPr>
            <w:tcW w:w="8856" w:type="dxa"/>
            <w:gridSpan w:val="5"/>
          </w:tcPr>
          <w:p w14:paraId="6E4ED427" w14:textId="77777777" w:rsidR="0022023F" w:rsidRPr="00230F35"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2023F" w:rsidRPr="00230F35" w14:paraId="441C4ECD" w14:textId="77777777" w:rsidTr="00890FB5">
        <w:trPr>
          <w:trHeight w:val="718"/>
        </w:trPr>
        <w:tc>
          <w:tcPr>
            <w:tcW w:w="8856" w:type="dxa"/>
            <w:gridSpan w:val="5"/>
          </w:tcPr>
          <w:p w14:paraId="362A08BE" w14:textId="77777777" w:rsidR="0022023F"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Cristina-Felicia Rosca </w:t>
            </w:r>
          </w:p>
          <w:p w14:paraId="059E4295" w14:textId="77777777" w:rsidR="0022023F" w:rsidRDefault="0022023F" w:rsidP="00890FB5">
            <w:pPr>
              <w:pStyle w:val="NormalWeb"/>
              <w:spacing w:before="0" w:beforeAutospacing="0" w:after="0" w:afterAutospacing="0"/>
              <w:ind w:right="34"/>
              <w:rPr>
                <w:rFonts w:ascii="Arial" w:hAnsi="Arial" w:cs="Arial"/>
                <w:sz w:val="22"/>
                <w:szCs w:val="22"/>
              </w:rPr>
            </w:pPr>
          </w:p>
          <w:p w14:paraId="236D14A3" w14:textId="77777777" w:rsidR="0022023F" w:rsidRPr="00230F35" w:rsidRDefault="0022023F" w:rsidP="00890FB5">
            <w:pPr>
              <w:pStyle w:val="NormalWeb"/>
              <w:spacing w:before="0" w:beforeAutospacing="0" w:after="0" w:afterAutospacing="0"/>
              <w:ind w:right="34"/>
              <w:rPr>
                <w:rFonts w:ascii="Arial" w:hAnsi="Arial" w:cs="Arial"/>
                <w:sz w:val="22"/>
                <w:szCs w:val="22"/>
              </w:rPr>
            </w:pPr>
          </w:p>
          <w:p w14:paraId="2ABD8822" w14:textId="77777777" w:rsidR="0022023F" w:rsidRPr="00230F35"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2420397@student.uwtsd.ac.uk</w:t>
            </w:r>
          </w:p>
        </w:tc>
      </w:tr>
      <w:tr w:rsidR="0022023F" w:rsidRPr="00230F35" w14:paraId="4BE235E8" w14:textId="77777777" w:rsidTr="00890FB5">
        <w:trPr>
          <w:trHeight w:val="849"/>
        </w:trPr>
        <w:tc>
          <w:tcPr>
            <w:tcW w:w="4788" w:type="dxa"/>
          </w:tcPr>
          <w:p w14:paraId="0D07EF22" w14:textId="77777777" w:rsidR="0022023F" w:rsidRPr="00230F35"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046DAAF8" w14:textId="77777777" w:rsidR="0022023F" w:rsidRDefault="0022023F" w:rsidP="00890FB5">
            <w:pPr>
              <w:pStyle w:val="NormalWeb"/>
              <w:spacing w:before="0" w:beforeAutospacing="0" w:after="0" w:afterAutospacing="0"/>
              <w:ind w:right="34"/>
              <w:rPr>
                <w:rFonts w:ascii="Arial" w:hAnsi="Arial" w:cs="Arial"/>
                <w:sz w:val="22"/>
                <w:szCs w:val="22"/>
              </w:rPr>
            </w:pPr>
          </w:p>
          <w:p w14:paraId="7E44A7BC" w14:textId="77777777" w:rsidR="0022023F" w:rsidRPr="00FC0F33" w:rsidRDefault="0022023F" w:rsidP="00890FB5">
            <w:pPr>
              <w:pStyle w:val="NormalWeb"/>
              <w:shd w:val="clear" w:color="auto" w:fill="FFFFFF"/>
              <w:rPr>
                <w:sz w:val="24"/>
                <w:szCs w:val="24"/>
                <w:lang w:eastAsia="en-GB"/>
              </w:rPr>
            </w:pPr>
            <w:r w:rsidRPr="00230F35">
              <w:rPr>
                <w:rFonts w:ascii="Arial" w:hAnsi="Arial" w:cs="Arial"/>
                <w:sz w:val="22"/>
                <w:szCs w:val="22"/>
              </w:rPr>
              <w:t>Module title:</w:t>
            </w:r>
            <w:r>
              <w:rPr>
                <w:rFonts w:ascii="Arial" w:hAnsi="Arial" w:cs="Arial"/>
                <w:sz w:val="22"/>
                <w:szCs w:val="22"/>
              </w:rPr>
              <w:t xml:space="preserve"> </w:t>
            </w:r>
            <w:r w:rsidRPr="00FC0F33">
              <w:rPr>
                <w:rFonts w:ascii="Arial" w:hAnsi="Arial" w:cs="Arial"/>
                <w:sz w:val="22"/>
                <w:szCs w:val="22"/>
              </w:rPr>
              <w:t xml:space="preserve">Researching Contemporary Cosmologies </w:t>
            </w:r>
          </w:p>
          <w:p w14:paraId="2AE3C79E" w14:textId="77777777" w:rsidR="0022023F" w:rsidRPr="00230F35" w:rsidRDefault="0022023F" w:rsidP="00890FB5">
            <w:pPr>
              <w:pStyle w:val="NormalWeb"/>
              <w:spacing w:before="0" w:beforeAutospacing="0" w:after="0" w:afterAutospacing="0"/>
              <w:ind w:right="34"/>
              <w:rPr>
                <w:rFonts w:ascii="Arial" w:hAnsi="Arial" w:cs="Arial"/>
                <w:sz w:val="22"/>
                <w:szCs w:val="22"/>
              </w:rPr>
            </w:pPr>
          </w:p>
        </w:tc>
        <w:tc>
          <w:tcPr>
            <w:tcW w:w="2266" w:type="dxa"/>
            <w:gridSpan w:val="3"/>
          </w:tcPr>
          <w:p w14:paraId="7F6DB6A9" w14:textId="77777777" w:rsidR="0022023F"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F056F6D" w14:textId="77777777" w:rsidR="0022023F" w:rsidRDefault="0022023F" w:rsidP="00890FB5">
            <w:pPr>
              <w:pStyle w:val="NormalWeb"/>
              <w:spacing w:before="0" w:beforeAutospacing="0" w:after="0" w:afterAutospacing="0"/>
              <w:ind w:right="34"/>
              <w:rPr>
                <w:rFonts w:ascii="Arial" w:hAnsi="Arial" w:cs="Arial"/>
                <w:sz w:val="22"/>
                <w:szCs w:val="22"/>
              </w:rPr>
            </w:pPr>
          </w:p>
          <w:p w14:paraId="7E907000" w14:textId="77777777" w:rsidR="0022023F" w:rsidRPr="00230F35" w:rsidRDefault="0022023F" w:rsidP="00890FB5">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2420397 </w:t>
            </w:r>
          </w:p>
        </w:tc>
        <w:tc>
          <w:tcPr>
            <w:tcW w:w="1802" w:type="dxa"/>
          </w:tcPr>
          <w:p w14:paraId="0625B42D" w14:textId="77777777" w:rsidR="0022023F" w:rsidRPr="00230F35"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F7DE5B5" w14:textId="77777777" w:rsidR="0022023F" w:rsidRPr="00230F35" w:rsidRDefault="0022023F" w:rsidP="00890FB5">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22023F" w:rsidRPr="00230F35" w14:paraId="74A67A98" w14:textId="77777777" w:rsidTr="00890FB5">
        <w:trPr>
          <w:trHeight w:val="1139"/>
        </w:trPr>
        <w:tc>
          <w:tcPr>
            <w:tcW w:w="8856" w:type="dxa"/>
            <w:gridSpan w:val="5"/>
          </w:tcPr>
          <w:p w14:paraId="403AE75D" w14:textId="77777777" w:rsidR="0022023F" w:rsidRPr="007F4B67" w:rsidRDefault="0022023F" w:rsidP="00890FB5">
            <w:pPr>
              <w:jc w:val="both"/>
              <w:rPr>
                <w:rFonts w:ascii="Arial" w:hAnsi="Arial" w:cs="Arial"/>
              </w:rPr>
            </w:pPr>
            <w:r w:rsidRPr="00230F35">
              <w:rPr>
                <w:rFonts w:ascii="Arial" w:hAnsi="Arial" w:cs="Arial"/>
              </w:rPr>
              <w:t>Assignment title:</w:t>
            </w:r>
            <w:r>
              <w:rPr>
                <w:rFonts w:ascii="Arial" w:hAnsi="Arial" w:cs="Arial"/>
              </w:rPr>
              <w:t xml:space="preserve"> </w:t>
            </w:r>
            <w:r w:rsidRPr="00773841">
              <w:rPr>
                <w:rFonts w:ascii="Arial" w:hAnsi="Arial" w:cs="Arial"/>
              </w:rPr>
              <w:t>Research Project in Contemporary Cosmology</w:t>
            </w:r>
          </w:p>
          <w:p w14:paraId="2ECAABB6" w14:textId="77777777" w:rsidR="0022023F" w:rsidRPr="00230F35" w:rsidRDefault="0022023F" w:rsidP="00890FB5">
            <w:pPr>
              <w:pStyle w:val="NormalWeb"/>
              <w:spacing w:before="0" w:beforeAutospacing="0" w:after="0" w:afterAutospacing="0"/>
              <w:ind w:right="34"/>
              <w:rPr>
                <w:rFonts w:ascii="Arial" w:hAnsi="Arial" w:cs="Arial"/>
                <w:sz w:val="22"/>
                <w:szCs w:val="22"/>
              </w:rPr>
            </w:pPr>
          </w:p>
          <w:p w14:paraId="302A1F30" w14:textId="77777777" w:rsidR="0022023F" w:rsidRDefault="0022023F" w:rsidP="00890FB5">
            <w:pPr>
              <w:pStyle w:val="NormalWeb"/>
              <w:spacing w:before="0" w:beforeAutospacing="0" w:after="0" w:afterAutospacing="0"/>
              <w:ind w:right="34"/>
              <w:rPr>
                <w:rFonts w:ascii="Arial" w:hAnsi="Arial" w:cs="Arial"/>
                <w:sz w:val="22"/>
                <w:szCs w:val="22"/>
              </w:rPr>
            </w:pPr>
          </w:p>
          <w:p w14:paraId="5AFB4582" w14:textId="77777777" w:rsidR="0022023F" w:rsidRPr="00230F35" w:rsidRDefault="0022023F" w:rsidP="00890F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24 July 2025</w:t>
            </w:r>
          </w:p>
        </w:tc>
      </w:tr>
      <w:tr w:rsidR="0022023F" w:rsidRPr="00230F35" w14:paraId="48E19343" w14:textId="77777777" w:rsidTr="00890FB5">
        <w:trPr>
          <w:trHeight w:val="978"/>
        </w:trPr>
        <w:tc>
          <w:tcPr>
            <w:tcW w:w="8856" w:type="dxa"/>
            <w:gridSpan w:val="5"/>
            <w:tcBorders>
              <w:bottom w:val="single" w:sz="4" w:space="0" w:color="000000"/>
            </w:tcBorders>
          </w:tcPr>
          <w:p w14:paraId="31BA086A" w14:textId="77777777" w:rsidR="0022023F" w:rsidRPr="00230F35" w:rsidRDefault="0022023F" w:rsidP="00890FB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Pr>
                <w:rFonts w:ascii="Arial" w:hAnsi="Arial" w:cs="Arial"/>
              </w:rPr>
              <w:t>X</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2023F" w:rsidRPr="00230F35" w14:paraId="4C9F7C8A" w14:textId="77777777" w:rsidTr="00890FB5">
        <w:trPr>
          <w:trHeight w:val="978"/>
        </w:trPr>
        <w:tc>
          <w:tcPr>
            <w:tcW w:w="8856" w:type="dxa"/>
            <w:gridSpan w:val="5"/>
            <w:shd w:val="clear" w:color="auto" w:fill="D9D9D9"/>
          </w:tcPr>
          <w:p w14:paraId="10DB597E" w14:textId="77777777" w:rsidR="0022023F" w:rsidRPr="00B728EA" w:rsidRDefault="0022023F" w:rsidP="00890FB5">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4A04FCAE" w14:textId="77777777" w:rsidR="0022023F" w:rsidRPr="00B728EA" w:rsidRDefault="0022023F" w:rsidP="00890FB5">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3C5E8B1C" w14:textId="77777777" w:rsidR="0022023F" w:rsidRPr="00B728EA" w:rsidRDefault="0022023F" w:rsidP="00890FB5">
            <w:pPr>
              <w:pStyle w:val="NormalWeb"/>
              <w:spacing w:before="0" w:beforeAutospacing="0" w:after="0" w:afterAutospacing="0"/>
              <w:ind w:right="34"/>
              <w:rPr>
                <w:rFonts w:ascii="Arial" w:hAnsi="Arial" w:cs="Arial"/>
                <w:sz w:val="22"/>
                <w:szCs w:val="22"/>
              </w:rPr>
            </w:pPr>
          </w:p>
          <w:p w14:paraId="120B7A3B" w14:textId="77777777" w:rsidR="0022023F" w:rsidRPr="00B728EA" w:rsidRDefault="0022023F" w:rsidP="00890FB5">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5D5CE0BB" w14:textId="77777777" w:rsidR="0022023F" w:rsidRPr="00B728EA" w:rsidRDefault="0022023F" w:rsidP="00890FB5">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4F2641B8" w14:textId="77777777" w:rsidR="0022023F" w:rsidRPr="00B728EA" w:rsidRDefault="0022023F" w:rsidP="00890FB5">
            <w:pPr>
              <w:pStyle w:val="NormalWeb"/>
              <w:spacing w:before="0" w:beforeAutospacing="0" w:after="0" w:afterAutospacing="0"/>
              <w:ind w:right="34"/>
              <w:rPr>
                <w:rFonts w:ascii="Arial" w:hAnsi="Arial" w:cs="Arial"/>
                <w:color w:val="000000" w:themeColor="text1"/>
                <w:sz w:val="22"/>
                <w:szCs w:val="22"/>
              </w:rPr>
            </w:pPr>
          </w:p>
          <w:p w14:paraId="09B41D3E" w14:textId="77777777" w:rsidR="0022023F" w:rsidRPr="00B728EA" w:rsidRDefault="0022023F" w:rsidP="00890FB5">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5DD28E7E" w14:textId="77777777" w:rsidR="0022023F" w:rsidRPr="00B728EA" w:rsidRDefault="0022023F" w:rsidP="00890FB5">
            <w:pPr>
              <w:pStyle w:val="NormalWeb"/>
              <w:spacing w:before="0" w:beforeAutospacing="0" w:after="0" w:afterAutospacing="0"/>
              <w:ind w:right="34"/>
              <w:rPr>
                <w:rFonts w:ascii="Arial" w:hAnsi="Arial" w:cs="Arial"/>
                <w:sz w:val="22"/>
                <w:szCs w:val="22"/>
              </w:rPr>
            </w:pPr>
          </w:p>
          <w:p w14:paraId="71B14FBD" w14:textId="77777777" w:rsidR="0022023F" w:rsidRPr="00B728EA" w:rsidRDefault="0022023F" w:rsidP="00890FB5">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3A4CE8F1" w14:textId="77777777" w:rsidR="0022023F" w:rsidRPr="00B728EA" w:rsidRDefault="0022023F" w:rsidP="00890FB5">
            <w:pPr>
              <w:pStyle w:val="NormalWeb"/>
              <w:spacing w:before="0" w:beforeAutospacing="0" w:after="0" w:afterAutospacing="0"/>
              <w:ind w:right="34"/>
              <w:rPr>
                <w:rFonts w:ascii="Arial" w:hAnsi="Arial" w:cs="Arial"/>
                <w:sz w:val="22"/>
                <w:szCs w:val="22"/>
              </w:rPr>
            </w:pPr>
          </w:p>
          <w:p w14:paraId="339132F4" w14:textId="77777777" w:rsidR="0022023F" w:rsidRDefault="0022023F" w:rsidP="00890FB5">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Cristina-Felicia Rosca</w:t>
            </w:r>
          </w:p>
          <w:p w14:paraId="645C8677" w14:textId="77777777" w:rsidR="0022023F" w:rsidRPr="00230F35" w:rsidRDefault="0022023F" w:rsidP="00890FB5">
            <w:pPr>
              <w:pStyle w:val="NormalWeb"/>
              <w:spacing w:before="0" w:beforeAutospacing="0" w:after="0" w:afterAutospacing="0"/>
              <w:ind w:right="34"/>
              <w:rPr>
                <w:rFonts w:ascii="Arial" w:hAnsi="Arial" w:cs="Arial"/>
                <w:sz w:val="22"/>
                <w:szCs w:val="22"/>
              </w:rPr>
            </w:pPr>
          </w:p>
        </w:tc>
      </w:tr>
      <w:tr w:rsidR="0022023F" w:rsidRPr="00230F35" w14:paraId="2CE72F85" w14:textId="77777777" w:rsidTr="00890FB5">
        <w:trPr>
          <w:trHeight w:val="3972"/>
        </w:trPr>
        <w:tc>
          <w:tcPr>
            <w:tcW w:w="8856" w:type="dxa"/>
            <w:gridSpan w:val="5"/>
          </w:tcPr>
          <w:p w14:paraId="1D7996E5" w14:textId="77777777" w:rsidR="0022023F" w:rsidRDefault="0022023F" w:rsidP="00890FB5">
            <w:pPr>
              <w:rPr>
                <w:rFonts w:ascii="Arial" w:hAnsi="Arial"/>
                <w:b/>
              </w:rPr>
            </w:pPr>
          </w:p>
          <w:p w14:paraId="5C9EA415" w14:textId="77777777" w:rsidR="0022023F" w:rsidRPr="00116CE6" w:rsidRDefault="0022023F" w:rsidP="00890FB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2023F" w:rsidRPr="00116CE6" w14:paraId="4366FFE0" w14:textId="77777777" w:rsidTr="00890FB5">
              <w:tc>
                <w:tcPr>
                  <w:tcW w:w="6970" w:type="dxa"/>
                </w:tcPr>
                <w:p w14:paraId="4D09B21D" w14:textId="77777777" w:rsidR="0022023F" w:rsidRPr="00116CE6" w:rsidRDefault="0022023F" w:rsidP="00890FB5">
                  <w:pPr>
                    <w:rPr>
                      <w:rFonts w:ascii="Arial" w:hAnsi="Arial"/>
                      <w:sz w:val="20"/>
                      <w:szCs w:val="20"/>
                    </w:rPr>
                  </w:pPr>
                </w:p>
                <w:p w14:paraId="0802DF60" w14:textId="77777777" w:rsidR="0022023F" w:rsidRPr="00116CE6" w:rsidRDefault="0022023F" w:rsidP="00890FB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1401B5F" w14:textId="77777777" w:rsidR="0022023F" w:rsidRPr="00116CE6" w:rsidRDefault="0022023F" w:rsidP="00890FB5">
                  <w:pPr>
                    <w:rPr>
                      <w:rFonts w:ascii="Arial" w:hAnsi="Arial"/>
                      <w:sz w:val="20"/>
                      <w:szCs w:val="20"/>
                    </w:rPr>
                  </w:pPr>
                </w:p>
              </w:tc>
            </w:tr>
            <w:tr w:rsidR="0022023F" w:rsidRPr="00116CE6" w14:paraId="0392E401" w14:textId="77777777" w:rsidTr="00890FB5">
              <w:tc>
                <w:tcPr>
                  <w:tcW w:w="6970" w:type="dxa"/>
                </w:tcPr>
                <w:p w14:paraId="617311A9" w14:textId="77777777" w:rsidR="0022023F" w:rsidRPr="00116CE6" w:rsidRDefault="0022023F" w:rsidP="00890FB5">
                  <w:pPr>
                    <w:rPr>
                      <w:rFonts w:ascii="Arial" w:hAnsi="Arial"/>
                      <w:sz w:val="20"/>
                      <w:szCs w:val="20"/>
                    </w:rPr>
                  </w:pPr>
                </w:p>
                <w:p w14:paraId="16795FB5" w14:textId="77777777" w:rsidR="0022023F" w:rsidRPr="00116CE6" w:rsidRDefault="0022023F" w:rsidP="00890FB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9595807" w14:textId="77777777" w:rsidR="0022023F" w:rsidRPr="00116CE6" w:rsidRDefault="0022023F" w:rsidP="00890FB5">
                  <w:pPr>
                    <w:rPr>
                      <w:rFonts w:ascii="Arial" w:hAnsi="Arial"/>
                      <w:sz w:val="20"/>
                      <w:szCs w:val="20"/>
                    </w:rPr>
                  </w:pPr>
                </w:p>
              </w:tc>
            </w:tr>
            <w:tr w:rsidR="0022023F" w:rsidRPr="00116CE6" w14:paraId="41146361" w14:textId="77777777" w:rsidTr="00890FB5">
              <w:tc>
                <w:tcPr>
                  <w:tcW w:w="6970" w:type="dxa"/>
                </w:tcPr>
                <w:p w14:paraId="3541BD93" w14:textId="77777777" w:rsidR="0022023F" w:rsidRPr="00116CE6" w:rsidRDefault="0022023F" w:rsidP="00890FB5">
                  <w:pPr>
                    <w:rPr>
                      <w:rFonts w:ascii="Arial" w:hAnsi="Arial"/>
                      <w:sz w:val="20"/>
                      <w:szCs w:val="20"/>
                    </w:rPr>
                  </w:pPr>
                </w:p>
                <w:p w14:paraId="3612879F" w14:textId="77777777" w:rsidR="0022023F" w:rsidRPr="00116CE6" w:rsidRDefault="0022023F" w:rsidP="00890FB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FE9A2B8" w14:textId="77777777" w:rsidR="0022023F" w:rsidRPr="00116CE6" w:rsidRDefault="0022023F" w:rsidP="00890FB5">
                  <w:pPr>
                    <w:rPr>
                      <w:rFonts w:ascii="Arial" w:hAnsi="Arial"/>
                      <w:sz w:val="20"/>
                      <w:szCs w:val="20"/>
                    </w:rPr>
                  </w:pPr>
                </w:p>
              </w:tc>
            </w:tr>
            <w:tr w:rsidR="0022023F" w:rsidRPr="00116CE6" w14:paraId="6A54A2E4" w14:textId="77777777" w:rsidTr="00890FB5">
              <w:tc>
                <w:tcPr>
                  <w:tcW w:w="6970" w:type="dxa"/>
                </w:tcPr>
                <w:p w14:paraId="463567B7" w14:textId="77777777" w:rsidR="0022023F" w:rsidRDefault="0022023F" w:rsidP="00890FB5">
                  <w:pPr>
                    <w:rPr>
                      <w:rFonts w:ascii="Arial" w:hAnsi="Arial"/>
                      <w:sz w:val="20"/>
                      <w:szCs w:val="20"/>
                    </w:rPr>
                  </w:pPr>
                </w:p>
                <w:p w14:paraId="09D8AB67" w14:textId="77777777" w:rsidR="0022023F" w:rsidRPr="002C1005" w:rsidRDefault="0022023F" w:rsidP="00890FB5">
                  <w:pPr>
                    <w:rPr>
                      <w:rFonts w:ascii="Arial" w:hAnsi="Arial"/>
                      <w:b/>
                      <w:sz w:val="20"/>
                      <w:szCs w:val="20"/>
                    </w:rPr>
                  </w:pPr>
                  <w:r w:rsidRPr="00022345">
                    <w:rPr>
                      <w:rFonts w:ascii="Arial" w:hAnsi="Arial"/>
                      <w:b/>
                      <w:sz w:val="20"/>
                      <w:szCs w:val="20"/>
                    </w:rPr>
                    <w:t>Final Mark</w:t>
                  </w:r>
                </w:p>
              </w:tc>
              <w:tc>
                <w:tcPr>
                  <w:tcW w:w="1660" w:type="dxa"/>
                </w:tcPr>
                <w:p w14:paraId="583452AD" w14:textId="77777777" w:rsidR="0022023F" w:rsidRPr="00116CE6" w:rsidRDefault="0022023F" w:rsidP="00890FB5">
                  <w:pPr>
                    <w:rPr>
                      <w:rFonts w:ascii="Arial" w:hAnsi="Arial"/>
                      <w:sz w:val="20"/>
                      <w:szCs w:val="20"/>
                    </w:rPr>
                  </w:pPr>
                </w:p>
              </w:tc>
            </w:tr>
          </w:tbl>
          <w:p w14:paraId="4BFA022F" w14:textId="77777777" w:rsidR="0022023F" w:rsidRDefault="0022023F" w:rsidP="00890FB5">
            <w:pPr>
              <w:pStyle w:val="NormalWeb"/>
              <w:spacing w:before="0" w:beforeAutospacing="0" w:after="0" w:afterAutospacing="0"/>
              <w:ind w:left="142" w:right="34"/>
              <w:rPr>
                <w:rFonts w:ascii="Arial" w:hAnsi="Arial" w:cs="Arial"/>
                <w:b/>
                <w:sz w:val="22"/>
                <w:szCs w:val="22"/>
              </w:rPr>
            </w:pPr>
          </w:p>
          <w:p w14:paraId="51329A7E" w14:textId="77777777" w:rsidR="0022023F" w:rsidRPr="00230F35" w:rsidRDefault="0022023F" w:rsidP="00890FB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D5DB050" w14:textId="77777777" w:rsidR="0022023F" w:rsidRDefault="0022023F" w:rsidP="00890FB5">
            <w:pPr>
              <w:pStyle w:val="NormalWeb"/>
              <w:spacing w:before="0" w:beforeAutospacing="0" w:after="0" w:afterAutospacing="0"/>
              <w:rPr>
                <w:rFonts w:ascii="Arial" w:hAnsi="Arial" w:cs="Arial"/>
                <w:b/>
                <w:sz w:val="22"/>
                <w:szCs w:val="22"/>
              </w:rPr>
            </w:pPr>
          </w:p>
          <w:p w14:paraId="2E41AD0D" w14:textId="77777777" w:rsidR="0022023F" w:rsidRDefault="0022023F" w:rsidP="00890FB5">
            <w:pPr>
              <w:pStyle w:val="NormalWeb"/>
              <w:spacing w:before="0" w:beforeAutospacing="0" w:after="0" w:afterAutospacing="0"/>
              <w:rPr>
                <w:rFonts w:ascii="Arial" w:hAnsi="Arial" w:cs="Arial"/>
                <w:b/>
                <w:sz w:val="22"/>
                <w:szCs w:val="22"/>
              </w:rPr>
            </w:pPr>
          </w:p>
          <w:p w14:paraId="2898AA36" w14:textId="77777777" w:rsidR="0022023F" w:rsidRDefault="0022023F" w:rsidP="00890FB5">
            <w:pPr>
              <w:pStyle w:val="NormalWeb"/>
              <w:spacing w:before="0" w:beforeAutospacing="0" w:after="0" w:afterAutospacing="0"/>
              <w:rPr>
                <w:rFonts w:ascii="Arial" w:hAnsi="Arial" w:cs="Arial"/>
                <w:b/>
                <w:sz w:val="22"/>
                <w:szCs w:val="22"/>
              </w:rPr>
            </w:pPr>
          </w:p>
          <w:p w14:paraId="03C68EF8" w14:textId="77777777" w:rsidR="0022023F" w:rsidRDefault="0022023F" w:rsidP="00890FB5">
            <w:pPr>
              <w:pStyle w:val="NormalWeb"/>
              <w:spacing w:before="0" w:beforeAutospacing="0" w:after="0" w:afterAutospacing="0"/>
              <w:rPr>
                <w:rFonts w:ascii="Arial" w:hAnsi="Arial" w:cs="Arial"/>
                <w:b/>
                <w:sz w:val="22"/>
                <w:szCs w:val="22"/>
              </w:rPr>
            </w:pPr>
          </w:p>
          <w:p w14:paraId="73678028" w14:textId="77777777" w:rsidR="0022023F" w:rsidRPr="00230F35" w:rsidRDefault="0022023F" w:rsidP="00890FB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4AC63FB" w14:textId="77777777" w:rsidR="0022023F" w:rsidRDefault="0022023F" w:rsidP="00890FB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849223" w14:textId="77777777" w:rsidR="0022023F" w:rsidRPr="00001C3B" w:rsidRDefault="0022023F" w:rsidP="00890FB5">
            <w:pPr>
              <w:pStyle w:val="NormalWeb"/>
              <w:rPr>
                <w:rFonts w:ascii="Arial" w:hAnsi="Arial" w:cs="Arial"/>
                <w:sz w:val="22"/>
                <w:szCs w:val="22"/>
              </w:rPr>
            </w:pPr>
          </w:p>
        </w:tc>
      </w:tr>
      <w:tr w:rsidR="0022023F" w:rsidRPr="00230F35" w14:paraId="274C0B74" w14:textId="77777777" w:rsidTr="00890FB5">
        <w:trPr>
          <w:trHeight w:val="492"/>
        </w:trPr>
        <w:tc>
          <w:tcPr>
            <w:tcW w:w="6768" w:type="dxa"/>
            <w:gridSpan w:val="3"/>
          </w:tcPr>
          <w:p w14:paraId="3C16BCE3" w14:textId="77777777" w:rsidR="0022023F" w:rsidRPr="00230F35" w:rsidRDefault="0022023F" w:rsidP="00890FB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F591373" w14:textId="77777777" w:rsidR="0022023F" w:rsidRPr="00230F35" w:rsidRDefault="0022023F" w:rsidP="00890FB5">
            <w:pPr>
              <w:pStyle w:val="NormalWeb"/>
              <w:spacing w:after="0"/>
              <w:ind w:left="142" w:right="34"/>
              <w:rPr>
                <w:rFonts w:ascii="Arial" w:hAnsi="Arial" w:cs="Arial"/>
                <w:sz w:val="22"/>
                <w:szCs w:val="22"/>
              </w:rPr>
            </w:pPr>
            <w:r w:rsidRPr="00230F35">
              <w:rPr>
                <w:rFonts w:ascii="Arial" w:hAnsi="Arial" w:cs="Arial"/>
                <w:sz w:val="22"/>
                <w:szCs w:val="22"/>
              </w:rPr>
              <w:t>Date:</w:t>
            </w:r>
          </w:p>
        </w:tc>
      </w:tr>
      <w:tr w:rsidR="0022023F" w:rsidRPr="002F467C" w14:paraId="0EC1AFC4" w14:textId="77777777" w:rsidTr="00890FB5">
        <w:tc>
          <w:tcPr>
            <w:tcW w:w="8856" w:type="dxa"/>
            <w:gridSpan w:val="5"/>
          </w:tcPr>
          <w:p w14:paraId="2B603177" w14:textId="77777777" w:rsidR="0022023F" w:rsidRPr="00230F35" w:rsidRDefault="0022023F" w:rsidP="00890FB5">
            <w:pPr>
              <w:pStyle w:val="NormalWeb"/>
              <w:spacing w:before="0" w:beforeAutospacing="0" w:after="0" w:afterAutospacing="0"/>
              <w:ind w:right="-334"/>
              <w:rPr>
                <w:rFonts w:ascii="Arial" w:hAnsi="Arial" w:cs="Arial"/>
                <w:bCs/>
                <w:i/>
                <w:sz w:val="22"/>
                <w:szCs w:val="22"/>
              </w:rPr>
            </w:pPr>
          </w:p>
          <w:p w14:paraId="24567148" w14:textId="77777777" w:rsidR="0022023F" w:rsidRPr="00230F35" w:rsidRDefault="0022023F" w:rsidP="00890FB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344A2D6" w14:textId="77777777" w:rsidR="0022023F" w:rsidRPr="00230F35" w:rsidRDefault="0022023F" w:rsidP="00890FB5">
            <w:pPr>
              <w:pStyle w:val="NormalWeb"/>
              <w:spacing w:before="0" w:beforeAutospacing="0" w:after="0" w:afterAutospacing="0"/>
              <w:ind w:right="-334"/>
              <w:rPr>
                <w:rFonts w:ascii="Arial" w:hAnsi="Arial" w:cs="Arial"/>
                <w:b/>
                <w:bCs/>
                <w:sz w:val="22"/>
                <w:szCs w:val="22"/>
              </w:rPr>
            </w:pPr>
          </w:p>
          <w:p w14:paraId="1B27B0C1"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CB49AC0"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p>
          <w:p w14:paraId="17A1B243"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p>
          <w:p w14:paraId="31406724"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p>
        </w:tc>
      </w:tr>
      <w:tr w:rsidR="0022023F" w:rsidRPr="002F467C" w14:paraId="7EA69501" w14:textId="77777777" w:rsidTr="00890FB5">
        <w:trPr>
          <w:trHeight w:val="720"/>
        </w:trPr>
        <w:tc>
          <w:tcPr>
            <w:tcW w:w="5211" w:type="dxa"/>
            <w:gridSpan w:val="2"/>
          </w:tcPr>
          <w:p w14:paraId="3780A3F5"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D1EB8DB"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2023F" w:rsidRPr="002F467C" w14:paraId="38CFBC94" w14:textId="77777777" w:rsidTr="00890FB5">
        <w:trPr>
          <w:trHeight w:val="720"/>
        </w:trPr>
        <w:tc>
          <w:tcPr>
            <w:tcW w:w="8856" w:type="dxa"/>
            <w:gridSpan w:val="5"/>
          </w:tcPr>
          <w:p w14:paraId="57AF3355" w14:textId="77777777" w:rsidR="0022023F" w:rsidRPr="00B34964" w:rsidRDefault="0022023F" w:rsidP="00890FB5">
            <w:pPr>
              <w:rPr>
                <w:rFonts w:ascii="Arial" w:hAnsi="Arial" w:cs="Arial"/>
                <w:b/>
              </w:rPr>
            </w:pPr>
            <w:r w:rsidRPr="00B34964">
              <w:rPr>
                <w:rFonts w:ascii="Arial" w:hAnsi="Arial" w:cs="Arial"/>
                <w:b/>
              </w:rPr>
              <w:t>External Examiner’s comments (if relevant)</w:t>
            </w:r>
          </w:p>
          <w:p w14:paraId="77513A56"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p>
          <w:p w14:paraId="0237FC1E" w14:textId="77777777" w:rsidR="0022023F" w:rsidRPr="00230F35" w:rsidRDefault="0022023F" w:rsidP="00890FB5">
            <w:pPr>
              <w:pStyle w:val="NormalWeb"/>
              <w:spacing w:before="0" w:beforeAutospacing="0" w:after="0" w:afterAutospacing="0"/>
              <w:ind w:right="-334"/>
              <w:rPr>
                <w:rFonts w:ascii="Arial" w:hAnsi="Arial" w:cs="Arial"/>
                <w:bCs/>
                <w:sz w:val="22"/>
                <w:szCs w:val="22"/>
              </w:rPr>
            </w:pPr>
          </w:p>
        </w:tc>
      </w:tr>
      <w:tr w:rsidR="0022023F" w:rsidRPr="002F467C" w14:paraId="5C61E6E7" w14:textId="77777777" w:rsidTr="00890FB5">
        <w:trPr>
          <w:trHeight w:val="720"/>
        </w:trPr>
        <w:tc>
          <w:tcPr>
            <w:tcW w:w="5211" w:type="dxa"/>
            <w:gridSpan w:val="2"/>
          </w:tcPr>
          <w:p w14:paraId="14823DA8" w14:textId="77777777" w:rsidR="0022023F" w:rsidRPr="00230F35" w:rsidRDefault="0022023F" w:rsidP="00890FB5">
            <w:pPr>
              <w:rPr>
                <w:rFonts w:ascii="Arial" w:hAnsi="Arial" w:cs="Arial"/>
              </w:rPr>
            </w:pPr>
            <w:r w:rsidRPr="00230F35">
              <w:rPr>
                <w:rFonts w:ascii="Arial" w:hAnsi="Arial" w:cs="Arial"/>
              </w:rPr>
              <w:t>External Examiner’s Signature:</w:t>
            </w:r>
          </w:p>
        </w:tc>
        <w:tc>
          <w:tcPr>
            <w:tcW w:w="3645" w:type="dxa"/>
            <w:gridSpan w:val="3"/>
          </w:tcPr>
          <w:p w14:paraId="63840FE0" w14:textId="77777777" w:rsidR="0022023F" w:rsidRPr="00230F35" w:rsidRDefault="0022023F" w:rsidP="00890FB5">
            <w:pPr>
              <w:rPr>
                <w:rFonts w:ascii="Arial" w:hAnsi="Arial" w:cs="Arial"/>
              </w:rPr>
            </w:pPr>
            <w:r w:rsidRPr="00230F35">
              <w:rPr>
                <w:rFonts w:ascii="Arial" w:hAnsi="Arial" w:cs="Arial"/>
              </w:rPr>
              <w:t>Date:</w:t>
            </w:r>
          </w:p>
        </w:tc>
      </w:tr>
    </w:tbl>
    <w:p w14:paraId="7BFD2775" w14:textId="35A83C9E" w:rsidR="00012F44" w:rsidRPr="00012F44" w:rsidRDefault="00012F44" w:rsidP="00012F44">
      <w:pPr>
        <w:jc w:val="both"/>
        <w:rPr>
          <w:rFonts w:cstheme="minorHAnsi"/>
          <w:sz w:val="24"/>
          <w:szCs w:val="24"/>
        </w:rPr>
      </w:pPr>
      <w:r w:rsidRPr="00012F44">
        <w:rPr>
          <w:rFonts w:cstheme="minorHAnsi"/>
          <w:sz w:val="24"/>
          <w:szCs w:val="24"/>
        </w:rPr>
        <w:t xml:space="preserve">                               </w:t>
      </w:r>
      <w:r>
        <w:rPr>
          <w:rFonts w:cstheme="minorHAnsi"/>
          <w:sz w:val="24"/>
          <w:szCs w:val="24"/>
        </w:rPr>
        <w:t xml:space="preserve">      </w:t>
      </w:r>
      <w:r w:rsidRPr="00012F44">
        <w:rPr>
          <w:rFonts w:cstheme="minorHAnsi"/>
          <w:sz w:val="24"/>
          <w:szCs w:val="24"/>
        </w:rPr>
        <w:t>Research Project in Contemporary Cosmology</w:t>
      </w:r>
    </w:p>
    <w:p w14:paraId="22604D00" w14:textId="1307D1EC" w:rsidR="008F3A0C" w:rsidRDefault="00012F44" w:rsidP="008F3A0C">
      <w:pPr>
        <w:rPr>
          <w:rFonts w:cstheme="minorHAnsi"/>
          <w:bCs/>
          <w:sz w:val="24"/>
          <w:szCs w:val="24"/>
        </w:rPr>
      </w:pPr>
      <w:r>
        <w:rPr>
          <w:rFonts w:cstheme="minorHAnsi"/>
          <w:bCs/>
          <w:sz w:val="24"/>
          <w:szCs w:val="24"/>
        </w:rPr>
        <w:lastRenderedPageBreak/>
        <w:t xml:space="preserve">                                         </w:t>
      </w:r>
      <w:r w:rsidR="00FE7EB8" w:rsidRPr="00FE7EB8">
        <w:rPr>
          <w:rFonts w:cstheme="minorHAnsi"/>
          <w:bCs/>
          <w:sz w:val="24"/>
          <w:szCs w:val="24"/>
        </w:rPr>
        <w:t xml:space="preserve">Project 4: What do astrologers believe?  </w:t>
      </w:r>
    </w:p>
    <w:p w14:paraId="78D44A5A" w14:textId="56B18FEE" w:rsidR="00012F44" w:rsidRDefault="001D33DE" w:rsidP="008F3A0C">
      <w:pPr>
        <w:rPr>
          <w:b/>
          <w:bCs/>
        </w:rPr>
      </w:pPr>
      <w:r>
        <w:rPr>
          <w:b/>
          <w:bCs/>
        </w:rPr>
        <w:t>Word count: 5229</w:t>
      </w:r>
    </w:p>
    <w:p w14:paraId="26EF75BA" w14:textId="122A38DE" w:rsidR="008572CC" w:rsidRPr="008F3A0C" w:rsidRDefault="008572CC" w:rsidP="008F3A0C">
      <w:pPr>
        <w:rPr>
          <w:rFonts w:cstheme="minorHAnsi"/>
          <w:bCs/>
          <w:sz w:val="24"/>
          <w:szCs w:val="24"/>
        </w:rPr>
      </w:pPr>
      <w:r w:rsidRPr="00AF34B3">
        <w:rPr>
          <w:b/>
          <w:bCs/>
        </w:rPr>
        <w:t>Introduction</w:t>
      </w:r>
    </w:p>
    <w:p w14:paraId="4B841B17" w14:textId="77777777" w:rsidR="008572CC" w:rsidRDefault="008572CC" w:rsidP="00AF34B3">
      <w:pPr>
        <w:pStyle w:val="NoSpacing"/>
        <w:rPr>
          <w:color w:val="000000"/>
        </w:rPr>
      </w:pPr>
      <w:r w:rsidRPr="00AF34B3">
        <w:rPr>
          <w:color w:val="000000"/>
        </w:rPr>
        <w:t xml:space="preserve">Astrology, according to Curry, may be best understood </w:t>
      </w:r>
      <w:r w:rsidRPr="00AF34B3">
        <w:rPr>
          <w:color w:val="000000"/>
          <w:shd w:val="clear" w:color="auto" w:fill="FFFFFF"/>
        </w:rPr>
        <w:t>as ‘the set of theories and practices interpreting the positions of the heavenly bodies in terms of human and terrestrial implications.’</w:t>
      </w:r>
      <w:r w:rsidRPr="00AF34B3">
        <w:rPr>
          <w:rStyle w:val="FootnoteReference"/>
          <w:rFonts w:cstheme="minorHAnsi"/>
          <w:color w:val="000000"/>
          <w:shd w:val="clear" w:color="auto" w:fill="FFFFFF"/>
        </w:rPr>
        <w:footnoteReference w:id="1"/>
      </w:r>
      <w:r w:rsidRPr="00AF34B3">
        <w:rPr>
          <w:color w:val="000000"/>
          <w:shd w:val="clear" w:color="auto" w:fill="FFFFFF"/>
        </w:rPr>
        <w:t xml:space="preserve"> </w:t>
      </w:r>
      <w:r w:rsidRPr="00AF34B3">
        <w:rPr>
          <w:color w:val="000000"/>
        </w:rPr>
        <w:t xml:space="preserve"> Campion emphasised that astrology is concerned with ‘the effects, consequences or significance of the stars and planets for affairs on earth’, framing it above all as evidence of humanity’s enduring search for meaning.</w:t>
      </w:r>
      <w:r w:rsidRPr="00AF34B3">
        <w:rPr>
          <w:rStyle w:val="FootnoteReference"/>
          <w:rFonts w:cstheme="minorHAnsi"/>
          <w:color w:val="000000"/>
        </w:rPr>
        <w:footnoteReference w:id="2"/>
      </w:r>
      <w:r w:rsidRPr="00AF34B3">
        <w:rPr>
          <w:color w:val="000000"/>
        </w:rPr>
        <w:t xml:space="preserve">  Brady used Costello’s conclusion, affirming that astrology functions as a ‘moral discourse against the hegemony of science,’</w:t>
      </w:r>
      <w:r w:rsidRPr="00AF34B3">
        <w:rPr>
          <w:rStyle w:val="FootnoteReference"/>
          <w:rFonts w:cstheme="minorHAnsi"/>
          <w:color w:val="000000"/>
        </w:rPr>
        <w:footnoteReference w:id="3"/>
      </w:r>
      <w:r w:rsidRPr="00AF34B3">
        <w:rPr>
          <w:color w:val="000000"/>
        </w:rPr>
        <w:t xml:space="preserve"> positioning itself as a parallel system that provides existential orientation rather than offering empirical proof. Drawing on Lilly’s phrase “by you and by the science,”</w:t>
      </w:r>
      <w:r w:rsidRPr="00AF34B3">
        <w:rPr>
          <w:rStyle w:val="FootnoteReference"/>
          <w:rFonts w:cstheme="minorHAnsi"/>
          <w:color w:val="000000"/>
        </w:rPr>
        <w:footnoteReference w:id="4"/>
      </w:r>
      <w:r w:rsidRPr="00AF34B3">
        <w:rPr>
          <w:color w:val="000000"/>
        </w:rPr>
        <w:t xml:space="preserve"> Cornelius suggested a participatory epistemology: astrology is not merely predictive but a hermeneutic art, a co-creation of meaning between practitioner and symbol.</w:t>
      </w:r>
    </w:p>
    <w:p w14:paraId="3A451F6E" w14:textId="77777777" w:rsidR="00AF34B3" w:rsidRPr="00AF34B3" w:rsidRDefault="00AF34B3" w:rsidP="00AF34B3">
      <w:pPr>
        <w:pStyle w:val="NoSpacing"/>
        <w:rPr>
          <w:color w:val="000000"/>
        </w:rPr>
      </w:pPr>
    </w:p>
    <w:p w14:paraId="261015E0" w14:textId="77777777" w:rsidR="008572CC" w:rsidRPr="00AF34B3" w:rsidRDefault="008572CC" w:rsidP="00AF34B3">
      <w:pPr>
        <w:pStyle w:val="NoSpacing"/>
      </w:pPr>
      <w:r w:rsidRPr="00AF34B3">
        <w:t>The purpose of this research project is to engage with Bertrand Russell’s enduring question: Do astrologers believe ‘themselves in the sciences that they profess?’</w:t>
      </w:r>
      <w:r w:rsidRPr="00AF34B3">
        <w:rPr>
          <w:rStyle w:val="FootnoteReference"/>
          <w:rFonts w:cstheme="minorHAnsi"/>
        </w:rPr>
        <w:footnoteReference w:id="5"/>
      </w:r>
      <w:r w:rsidRPr="00AF34B3">
        <w:t xml:space="preserve"> By examining how contemporary astrologers conceptualise and exercise free will, the study explores the alignment between astrological practice and scientific principles, particularly within the broader context of epistemological debate surrounding fate, determinism and choice. Brady illustrated this through Hamlet’s dilemma, describing his decision as a bifurcation point in ‘deterministic chaos.’</w:t>
      </w:r>
      <w:r w:rsidRPr="00AF34B3">
        <w:rPr>
          <w:rStyle w:val="FootnoteReference"/>
          <w:rFonts w:cstheme="minorHAnsi"/>
        </w:rPr>
        <w:footnoteReference w:id="6"/>
      </w:r>
      <w:r w:rsidRPr="00AF34B3">
        <w:t xml:space="preserve"> </w:t>
      </w:r>
    </w:p>
    <w:p w14:paraId="52240804" w14:textId="77777777" w:rsidR="008572CC" w:rsidRPr="00AF34B3" w:rsidRDefault="008572CC" w:rsidP="00AF34B3">
      <w:pPr>
        <w:pStyle w:val="NoSpacing"/>
      </w:pPr>
    </w:p>
    <w:p w14:paraId="4B5472E5" w14:textId="77777777" w:rsidR="008572CC" w:rsidRPr="00AF34B3" w:rsidRDefault="008572CC" w:rsidP="00AF34B3">
      <w:pPr>
        <w:pStyle w:val="NoSpacing"/>
      </w:pPr>
      <w:r w:rsidRPr="00AF34B3">
        <w:t>The concept of free will connects various philosophical and psychological traditions, from Sartre’s notion that ‘existence precedes essence’</w:t>
      </w:r>
      <w:r w:rsidRPr="00AF34B3">
        <w:rPr>
          <w:rStyle w:val="FootnoteReference"/>
          <w:rFonts w:cstheme="minorHAnsi"/>
        </w:rPr>
        <w:footnoteReference w:id="7"/>
      </w:r>
      <w:r w:rsidRPr="00AF34B3">
        <w:t xml:space="preserve"> to Kant’s discussion on moral autonomy</w:t>
      </w:r>
      <w:r w:rsidRPr="00AF34B3">
        <w:rPr>
          <w:rStyle w:val="FootnoteReference"/>
          <w:rFonts w:cstheme="minorHAnsi"/>
        </w:rPr>
        <w:footnoteReference w:id="8"/>
      </w:r>
      <w:r w:rsidRPr="00AF34B3">
        <w:t xml:space="preserve"> and Jung’s ideas about self-discovery.</w:t>
      </w:r>
      <w:r w:rsidRPr="00AF34B3">
        <w:rPr>
          <w:rStyle w:val="FootnoteReference"/>
          <w:rFonts w:cstheme="minorHAnsi"/>
        </w:rPr>
        <w:footnoteReference w:id="9"/>
      </w:r>
      <w:r w:rsidRPr="00AF34B3">
        <w:t xml:space="preserve"> </w:t>
      </w:r>
      <w:r w:rsidRPr="00AF34B3">
        <w:rPr>
          <w:color w:val="000000"/>
        </w:rPr>
        <w:t>This research aims to investigate the impact of astrology on self-empowerment, decision-making, and personal responsibility, as well as its role in enhancing</w:t>
      </w:r>
      <w:r w:rsidRPr="00AF34B3">
        <w:t xml:space="preserve"> self-awareness and consciousness. </w:t>
      </w:r>
      <w:r w:rsidRPr="00AF34B3">
        <w:rPr>
          <w:color w:val="000000"/>
        </w:rPr>
        <w:t>It also examines how astrologers perceive free will in their practice and to what extent they believe in it: is there complete control, limited choice,</w:t>
      </w:r>
      <w:r w:rsidRPr="00AF34B3">
        <w:t xml:space="preserve"> or simply the power to respond to cosmic influences? As Brady stated, </w:t>
      </w:r>
    </w:p>
    <w:p w14:paraId="01C8952F" w14:textId="77777777" w:rsidR="008572CC" w:rsidRPr="00AF34B3" w:rsidRDefault="008572CC" w:rsidP="00AF34B3">
      <w:pPr>
        <w:pStyle w:val="NoSpacing"/>
      </w:pPr>
    </w:p>
    <w:p w14:paraId="070FE553" w14:textId="6D764F2D" w:rsidR="008572CC" w:rsidRPr="00470CE1" w:rsidRDefault="0056337F" w:rsidP="008572CC">
      <w:pPr>
        <w:autoSpaceDE w:val="0"/>
        <w:autoSpaceDN w:val="0"/>
        <w:adjustRightInd w:val="0"/>
        <w:ind w:left="113"/>
        <w:rPr>
          <w:rFonts w:cstheme="minorHAnsi"/>
          <w:color w:val="000000"/>
        </w:rPr>
      </w:pPr>
      <w:r>
        <w:rPr>
          <w:rFonts w:cstheme="minorHAnsi"/>
          <w:color w:val="000000"/>
        </w:rPr>
        <w:t>w</w:t>
      </w:r>
      <w:r w:rsidR="008572CC" w:rsidRPr="00470CE1">
        <w:rPr>
          <w:rFonts w:cstheme="minorHAnsi"/>
          <w:color w:val="000000"/>
        </w:rPr>
        <w:t>hat an astrologer seeks to read from a horoscope will depend on the different attributes they assign to a horoscope. These attributes tend to reflect the astrologer’s thinking on the question of free will and fate and/or determinism.</w:t>
      </w:r>
      <w:r w:rsidR="008572CC" w:rsidRPr="00470CE1">
        <w:rPr>
          <w:rStyle w:val="FootnoteReference"/>
          <w:rFonts w:cstheme="minorHAnsi"/>
          <w:color w:val="000000"/>
        </w:rPr>
        <w:footnoteReference w:id="10"/>
      </w:r>
    </w:p>
    <w:p w14:paraId="07DD4BF1" w14:textId="77777777" w:rsidR="008572CC" w:rsidRDefault="008572CC" w:rsidP="00AF34B3">
      <w:pPr>
        <w:pStyle w:val="NoSpacing"/>
        <w:rPr>
          <w:rFonts w:cstheme="minorHAnsi"/>
        </w:rPr>
      </w:pPr>
      <w:r w:rsidRPr="0012170A">
        <w:t xml:space="preserve">Building on Brady’s exploration of fate and choice, and drawing on Campion’s cultural analysis of astrology as a meaning-making practice, this research examines how astrologers articulate human </w:t>
      </w:r>
      <w:r w:rsidRPr="00AF34B3">
        <w:t xml:space="preserve">agency within a symbolic paradigm. To achieve this, the study integrates a literature review, </w:t>
      </w:r>
      <w:r w:rsidRPr="00AF34B3">
        <w:rPr>
          <w:rFonts w:cstheme="minorHAnsi"/>
        </w:rPr>
        <w:t xml:space="preserve">methodology, findings and discussions. Ultimately, the conclusion synthesises astrology’s connection </w:t>
      </w:r>
      <w:r w:rsidRPr="00AF34B3">
        <w:rPr>
          <w:rFonts w:cstheme="minorHAnsi"/>
        </w:rPr>
        <w:lastRenderedPageBreak/>
        <w:t>to free will, fate and determinism—three interrelated concepts that underpin the intellectual framework of this research.</w:t>
      </w:r>
    </w:p>
    <w:p w14:paraId="6C0FF671" w14:textId="77777777" w:rsidR="00AF34B3" w:rsidRPr="00AF34B3" w:rsidRDefault="00AF34B3" w:rsidP="00AF34B3">
      <w:pPr>
        <w:pStyle w:val="NoSpacing"/>
        <w:rPr>
          <w:rFonts w:cstheme="minorHAnsi"/>
        </w:rPr>
      </w:pPr>
    </w:p>
    <w:p w14:paraId="4FB71C28" w14:textId="77777777" w:rsidR="008572CC" w:rsidRDefault="008572CC" w:rsidP="00AF34B3">
      <w:pPr>
        <w:pStyle w:val="NoSpacing"/>
        <w:rPr>
          <w:rFonts w:cstheme="minorHAnsi"/>
          <w:b/>
          <w:bCs/>
        </w:rPr>
      </w:pPr>
      <w:r w:rsidRPr="00AF34B3">
        <w:rPr>
          <w:rFonts w:cstheme="minorHAnsi"/>
          <w:b/>
          <w:bCs/>
        </w:rPr>
        <w:t>2. Literature review</w:t>
      </w:r>
    </w:p>
    <w:p w14:paraId="122641E6" w14:textId="77777777" w:rsidR="00AF34B3" w:rsidRPr="00AF34B3" w:rsidRDefault="00AF34B3" w:rsidP="00AF34B3">
      <w:pPr>
        <w:pStyle w:val="NoSpacing"/>
        <w:rPr>
          <w:rFonts w:cstheme="minorHAnsi"/>
          <w:b/>
          <w:bCs/>
        </w:rPr>
      </w:pPr>
    </w:p>
    <w:p w14:paraId="3EBFFD48" w14:textId="77777777" w:rsidR="008572CC" w:rsidRDefault="008572CC" w:rsidP="00AF34B3">
      <w:pPr>
        <w:pStyle w:val="NoSpacing"/>
        <w:rPr>
          <w:rFonts w:cstheme="minorHAnsi"/>
          <w:b/>
          <w:bCs/>
        </w:rPr>
      </w:pPr>
      <w:r w:rsidRPr="00AF34B3">
        <w:rPr>
          <w:rFonts w:cstheme="minorHAnsi"/>
          <w:b/>
          <w:bCs/>
        </w:rPr>
        <w:t>2.1 Key concepts</w:t>
      </w:r>
    </w:p>
    <w:p w14:paraId="777099E5" w14:textId="77777777" w:rsidR="00AF34B3" w:rsidRPr="00AF34B3" w:rsidRDefault="00AF34B3" w:rsidP="00AF34B3">
      <w:pPr>
        <w:pStyle w:val="NoSpacing"/>
        <w:rPr>
          <w:rFonts w:cstheme="minorHAnsi"/>
          <w:b/>
          <w:bCs/>
        </w:rPr>
      </w:pPr>
    </w:p>
    <w:p w14:paraId="6664826E" w14:textId="77777777" w:rsidR="008572CC" w:rsidRDefault="008572CC" w:rsidP="00AF34B3">
      <w:pPr>
        <w:pStyle w:val="NoSpacing"/>
        <w:rPr>
          <w:rFonts w:cstheme="minorHAnsi"/>
        </w:rPr>
      </w:pPr>
      <w:r w:rsidRPr="00AF34B3">
        <w:rPr>
          <w:rFonts w:cstheme="minorHAnsi"/>
        </w:rPr>
        <w:t>Fate traditionally refers to a preordained cosmic structure in which individual agency is minimal or absent</w:t>
      </w:r>
      <w:r w:rsidRPr="00AF34B3">
        <w:rPr>
          <w:rStyle w:val="definitionelem"/>
          <w:rFonts w:cstheme="minorHAnsi"/>
        </w:rPr>
        <w:t xml:space="preserve">. The term derives from </w:t>
      </w:r>
      <w:r w:rsidRPr="00AF34B3">
        <w:rPr>
          <w:rFonts w:cstheme="minorHAnsi"/>
          <w:bdr w:val="none" w:sz="0" w:space="0" w:color="auto" w:frame="1"/>
        </w:rPr>
        <w:t>the</w:t>
      </w:r>
      <w:r w:rsidRPr="00AF34B3">
        <w:rPr>
          <w:rStyle w:val="apple-converted-space"/>
          <w:rFonts w:cstheme="minorHAnsi"/>
        </w:rPr>
        <w:t> </w:t>
      </w:r>
      <w:r w:rsidRPr="00AF34B3">
        <w:rPr>
          <w:rFonts w:cstheme="minorHAnsi"/>
        </w:rPr>
        <w:t>Latin</w:t>
      </w:r>
      <w:r w:rsidRPr="00AF34B3">
        <w:rPr>
          <w:rFonts w:cstheme="minorHAnsi"/>
          <w:b/>
          <w:bCs/>
        </w:rPr>
        <w:t xml:space="preserve"> </w:t>
      </w:r>
      <w:proofErr w:type="spellStart"/>
      <w:r w:rsidRPr="00AF34B3">
        <w:rPr>
          <w:rStyle w:val="foreign-form"/>
          <w:rFonts w:cstheme="minorHAnsi"/>
        </w:rPr>
        <w:t>fātum</w:t>
      </w:r>
      <w:proofErr w:type="spellEnd"/>
      <w:r w:rsidRPr="00AF34B3">
        <w:rPr>
          <w:rFonts w:cstheme="minorHAnsi"/>
        </w:rPr>
        <w:t>, meaning ‘the judgment or sentence of the gods’, which has evolved to signify a person’s ‘lot’ in life or what ‘would happen to them.’</w:t>
      </w:r>
      <w:r w:rsidRPr="00AF34B3">
        <w:rPr>
          <w:rStyle w:val="FootnoteReference"/>
          <w:rFonts w:cstheme="minorHAnsi"/>
        </w:rPr>
        <w:footnoteReference w:id="11"/>
      </w:r>
      <w:r w:rsidRPr="00AF34B3">
        <w:rPr>
          <w:rFonts w:cstheme="minorHAnsi"/>
        </w:rPr>
        <w:t xml:space="preserve"> During the Middle English period, it denoted</w:t>
      </w:r>
      <w:r w:rsidRPr="00AF34B3">
        <w:rPr>
          <w:rStyle w:val="definitionelem"/>
          <w:rFonts w:cstheme="minorHAnsi"/>
        </w:rPr>
        <w:t xml:space="preserve"> ‘events outside a person's control, predetermined by a supernatural power.’</w:t>
      </w:r>
      <w:r w:rsidRPr="00AF34B3">
        <w:rPr>
          <w:rStyle w:val="FootnoteReference"/>
          <w:rFonts w:cstheme="minorHAnsi"/>
        </w:rPr>
        <w:footnoteReference w:id="12"/>
      </w:r>
      <w:r w:rsidRPr="00AF34B3">
        <w:rPr>
          <w:rStyle w:val="definitionelem"/>
          <w:rFonts w:cstheme="minorHAnsi"/>
        </w:rPr>
        <w:t xml:space="preserve"> </w:t>
      </w:r>
      <w:r w:rsidRPr="00AF34B3">
        <w:rPr>
          <w:rFonts w:cstheme="minorHAnsi"/>
        </w:rPr>
        <w:t>Across traditions, fate has appeared in theological (God’s will), cosmological (</w:t>
      </w:r>
      <w:r w:rsidRPr="00AF34B3">
        <w:rPr>
          <w:rStyle w:val="Emphasis"/>
          <w:rFonts w:cstheme="minorHAnsi"/>
          <w:color w:val="000000"/>
        </w:rPr>
        <w:t>logos</w:t>
      </w:r>
      <w:r w:rsidRPr="00AF34B3">
        <w:rPr>
          <w:rFonts w:cstheme="minorHAnsi"/>
        </w:rPr>
        <w:t>,</w:t>
      </w:r>
      <w:r w:rsidRPr="00AF34B3">
        <w:rPr>
          <w:rStyle w:val="apple-converted-space"/>
          <w:rFonts w:cstheme="minorHAnsi"/>
          <w:color w:val="000000"/>
        </w:rPr>
        <w:t> </w:t>
      </w:r>
      <w:proofErr w:type="spellStart"/>
      <w:r w:rsidRPr="00AF34B3">
        <w:rPr>
          <w:rStyle w:val="Emphasis"/>
          <w:rFonts w:cstheme="minorHAnsi"/>
          <w:color w:val="000000"/>
        </w:rPr>
        <w:t>heimarmene</w:t>
      </w:r>
      <w:proofErr w:type="spellEnd"/>
      <w:r w:rsidRPr="00AF34B3">
        <w:rPr>
          <w:rFonts w:cstheme="minorHAnsi"/>
        </w:rPr>
        <w:t xml:space="preserve">), mythological (the Moirai), and karmic forms. It was the dominant explanatory framework in Antiquity, especially in Stoicism and Neoplatonism, with Heraclitus, </w:t>
      </w:r>
      <w:proofErr w:type="spellStart"/>
      <w:r w:rsidRPr="00AF34B3">
        <w:rPr>
          <w:rFonts w:cstheme="minorHAnsi"/>
        </w:rPr>
        <w:t>Chrysippus</w:t>
      </w:r>
      <w:proofErr w:type="spellEnd"/>
      <w:r w:rsidRPr="00AF34B3">
        <w:rPr>
          <w:rFonts w:cstheme="minorHAnsi"/>
        </w:rPr>
        <w:t>, and Plotinus offering key formulations.</w:t>
      </w:r>
    </w:p>
    <w:p w14:paraId="10FD1EE0" w14:textId="77777777" w:rsidR="00AF34B3" w:rsidRPr="00AF34B3" w:rsidRDefault="00AF34B3" w:rsidP="00AF34B3">
      <w:pPr>
        <w:pStyle w:val="NoSpacing"/>
        <w:rPr>
          <w:rStyle w:val="definitionelem"/>
          <w:rFonts w:cstheme="minorHAnsi"/>
          <w:color w:val="000000"/>
        </w:rPr>
      </w:pPr>
    </w:p>
    <w:p w14:paraId="38EC968B" w14:textId="77777777" w:rsidR="008572CC" w:rsidRDefault="008572CC" w:rsidP="00AF34B3">
      <w:pPr>
        <w:pStyle w:val="NoSpacing"/>
        <w:rPr>
          <w:rFonts w:cstheme="minorHAnsi"/>
        </w:rPr>
      </w:pPr>
      <w:r w:rsidRPr="00AF34B3">
        <w:rPr>
          <w:rFonts w:cstheme="minorHAnsi"/>
        </w:rPr>
        <w:t>Free will refers to the capacity of individuals to make autonomous choices for which they can be held morally accountable.</w:t>
      </w:r>
      <w:r w:rsidRPr="00AF34B3">
        <w:rPr>
          <w:rFonts w:cstheme="minorHAnsi"/>
          <w:color w:val="1A1A1A"/>
        </w:rPr>
        <w:t xml:space="preserve"> The term has become the ‘canonical designator for a significant form of </w:t>
      </w:r>
      <w:r w:rsidRPr="00AF34B3">
        <w:rPr>
          <w:rFonts w:cstheme="minorHAnsi"/>
          <w:i/>
          <w:iCs/>
          <w:color w:val="1A1A1A"/>
        </w:rPr>
        <w:t>control</w:t>
      </w:r>
      <w:r w:rsidRPr="00AF34B3">
        <w:rPr>
          <w:rFonts w:cstheme="minorHAnsi"/>
          <w:color w:val="1A1A1A"/>
        </w:rPr>
        <w:t> over one’s actions.’</w:t>
      </w:r>
      <w:r w:rsidRPr="00AF34B3">
        <w:rPr>
          <w:rStyle w:val="FootnoteReference"/>
          <w:rFonts w:cstheme="minorHAnsi"/>
          <w:color w:val="1A1A1A"/>
        </w:rPr>
        <w:footnoteReference w:id="13"/>
      </w:r>
      <w:r w:rsidRPr="00AF34B3">
        <w:rPr>
          <w:rFonts w:cstheme="minorHAnsi"/>
          <w:color w:val="1A1A1A"/>
        </w:rPr>
        <w:t xml:space="preserve"> Philosophical debates have examined whether this control requires the ability to choose otherwise or the power of self-determination, and whether is necessary for moral responsibility, ethical judgment or human dignity. The concept is central to Western thought, with contributions from Plato, Aristotle, Augustine, Aquinas, Descartes, and Kant.</w:t>
      </w:r>
      <w:r w:rsidRPr="00AF34B3">
        <w:rPr>
          <w:rStyle w:val="FootnoteReference"/>
          <w:rFonts w:cstheme="minorHAnsi"/>
          <w:color w:val="1A1A1A"/>
        </w:rPr>
        <w:footnoteReference w:id="14"/>
      </w:r>
      <w:r w:rsidRPr="00AF34B3">
        <w:rPr>
          <w:rFonts w:cstheme="minorHAnsi"/>
          <w:color w:val="1A1A1A"/>
        </w:rPr>
        <w:t xml:space="preserve">  It became particularly prominent in the medieval period’s theological dispute over divine omniscience </w:t>
      </w:r>
      <w:r w:rsidRPr="00AF34B3">
        <w:rPr>
          <w:rFonts w:cstheme="minorHAnsi"/>
        </w:rPr>
        <w:t>and human agency, and later in Enlightenment ethics and modern moral philosophy.</w:t>
      </w:r>
    </w:p>
    <w:p w14:paraId="7178190B" w14:textId="77777777" w:rsidR="00AF34B3" w:rsidRPr="00AF34B3" w:rsidRDefault="00AF34B3" w:rsidP="00AF34B3">
      <w:pPr>
        <w:pStyle w:val="NoSpacing"/>
        <w:rPr>
          <w:rFonts w:cstheme="minorHAnsi"/>
        </w:rPr>
      </w:pPr>
    </w:p>
    <w:p w14:paraId="67583181" w14:textId="635A033D" w:rsidR="008572CC" w:rsidRDefault="008572CC" w:rsidP="00AF34B3">
      <w:pPr>
        <w:pStyle w:val="NoSpacing"/>
        <w:rPr>
          <w:rFonts w:cstheme="minorHAnsi"/>
        </w:rPr>
      </w:pPr>
      <w:r w:rsidRPr="00AF34B3">
        <w:rPr>
          <w:rStyle w:val="definitionelem"/>
          <w:rFonts w:cstheme="minorHAnsi"/>
        </w:rPr>
        <w:t xml:space="preserve">Determinism </w:t>
      </w:r>
      <w:r w:rsidRPr="00AF34B3">
        <w:rPr>
          <w:rStyle w:val="apple-converted-space"/>
          <w:rFonts w:cstheme="minorHAnsi"/>
          <w:color w:val="000000"/>
        </w:rPr>
        <w:t xml:space="preserve">is </w:t>
      </w:r>
      <w:r w:rsidRPr="00AF34B3">
        <w:rPr>
          <w:rStyle w:val="definitionelem"/>
          <w:rFonts w:cstheme="minorHAnsi"/>
          <w:color w:val="000000"/>
        </w:rPr>
        <w:t>the doctrine that ‘all events, including human action, are ultimately determined by causes regarded as external to the will.’</w:t>
      </w:r>
      <w:r w:rsidRPr="00AF34B3">
        <w:rPr>
          <w:rStyle w:val="FootnoteReference"/>
          <w:rFonts w:cstheme="minorHAnsi"/>
          <w:color w:val="000000"/>
        </w:rPr>
        <w:footnoteReference w:id="15"/>
      </w:r>
      <w:r w:rsidRPr="00AF34B3">
        <w:rPr>
          <w:rStyle w:val="definitionelem"/>
          <w:rFonts w:cstheme="minorHAnsi"/>
          <w:color w:val="000000"/>
        </w:rPr>
        <w:t xml:space="preserve">  Introduced in </w:t>
      </w:r>
      <w:r w:rsidRPr="00AF34B3">
        <w:rPr>
          <w:rFonts w:cstheme="minorHAnsi"/>
          <w:color w:val="374151"/>
        </w:rPr>
        <w:t>1846 by William Hamilton as the ‘doctrine of the necessitarian philosophers,’</w:t>
      </w:r>
      <w:r w:rsidRPr="00AF34B3">
        <w:rPr>
          <w:rStyle w:val="FootnoteReference"/>
          <w:rFonts w:cstheme="minorHAnsi"/>
          <w:color w:val="374151"/>
        </w:rPr>
        <w:footnoteReference w:id="16"/>
      </w:r>
      <w:r w:rsidRPr="00AF34B3">
        <w:rPr>
          <w:rFonts w:cstheme="minorHAnsi"/>
          <w:color w:val="374151"/>
        </w:rPr>
        <w:t xml:space="preserve"> by 1876, the term had evolved to signify that a necessary chain of causation governs everything.</w:t>
      </w:r>
      <w:r w:rsidRPr="00AF34B3">
        <w:rPr>
          <w:rStyle w:val="FootnoteReference"/>
          <w:rFonts w:cstheme="minorHAnsi"/>
          <w:color w:val="374151"/>
        </w:rPr>
        <w:footnoteReference w:id="17"/>
      </w:r>
      <w:r w:rsidRPr="00AF34B3">
        <w:rPr>
          <w:rStyle w:val="definitionelem"/>
          <w:rFonts w:cstheme="minorHAnsi"/>
          <w:color w:val="000000"/>
        </w:rPr>
        <w:t xml:space="preserve"> </w:t>
      </w:r>
      <w:r w:rsidRPr="00AF34B3">
        <w:rPr>
          <w:rFonts w:cstheme="minorHAnsi"/>
        </w:rPr>
        <w:t xml:space="preserve">Both theological and scientific determinism posit that events are causally conditioned by prior states, leaving limited room for genuine autonomy. The idea has roots in the thought of Democritus and the Stoics and was later developed by Spinoza and Laplace. In the twentieth century, Bertrand Russell questioned whether such views could fully account for human consciousness, agency, and moral responsibility. </w:t>
      </w:r>
    </w:p>
    <w:p w14:paraId="05AE7AFC" w14:textId="77777777" w:rsidR="00AF34B3" w:rsidRPr="00AF34B3" w:rsidRDefault="00AF34B3" w:rsidP="00AF34B3">
      <w:pPr>
        <w:pStyle w:val="NoSpacing"/>
        <w:rPr>
          <w:rFonts w:cstheme="minorHAnsi"/>
        </w:rPr>
      </w:pPr>
    </w:p>
    <w:p w14:paraId="3D7007FE" w14:textId="77777777" w:rsidR="008572CC" w:rsidRPr="0012170A" w:rsidRDefault="008572CC" w:rsidP="000F5F0D">
      <w:pPr>
        <w:pStyle w:val="NoSpacing"/>
      </w:pPr>
      <w:r w:rsidRPr="00AF34B3">
        <w:rPr>
          <w:rStyle w:val="Strong"/>
          <w:rFonts w:cstheme="minorHAnsi"/>
          <w:b w:val="0"/>
          <w:bCs w:val="0"/>
          <w:color w:val="000000"/>
        </w:rPr>
        <w:t>Incompatibilism</w:t>
      </w:r>
      <w:r w:rsidRPr="00AF34B3">
        <w:rPr>
          <w:rStyle w:val="apple-converted-space"/>
          <w:rFonts w:cstheme="minorHAnsi"/>
          <w:b/>
          <w:bCs/>
          <w:color w:val="000000"/>
        </w:rPr>
        <w:t> </w:t>
      </w:r>
      <w:r w:rsidRPr="00AF34B3">
        <w:t>holds that if determinism is true, free will cannot exist. This principle has led to two opposing views</w:t>
      </w:r>
      <w:r w:rsidRPr="00AF34B3">
        <w:rPr>
          <w:b/>
          <w:bCs/>
        </w:rPr>
        <w:t>:</w:t>
      </w:r>
      <w:r w:rsidRPr="00AF34B3">
        <w:rPr>
          <w:rStyle w:val="apple-converted-space"/>
          <w:rFonts w:cstheme="minorHAnsi"/>
          <w:b/>
          <w:bCs/>
          <w:color w:val="000000"/>
        </w:rPr>
        <w:t> </w:t>
      </w:r>
      <w:r w:rsidRPr="00AF34B3">
        <w:rPr>
          <w:rStyle w:val="Strong"/>
          <w:rFonts w:cstheme="minorHAnsi"/>
          <w:b w:val="0"/>
          <w:bCs w:val="0"/>
          <w:color w:val="000000"/>
        </w:rPr>
        <w:t>libertarianism</w:t>
      </w:r>
      <w:r w:rsidRPr="00AF34B3">
        <w:rPr>
          <w:b/>
          <w:bCs/>
        </w:rPr>
        <w:t>,</w:t>
      </w:r>
      <w:r w:rsidRPr="00AF34B3">
        <w:t xml:space="preserve"> which affirms free will and rejects determinism, and hard determinism, which denies free agency. Sartre’s existentialist claim that “existence precedes</w:t>
      </w:r>
      <w:r w:rsidRPr="0012170A">
        <w:t xml:space="preserve"> essence”</w:t>
      </w:r>
      <w:r w:rsidRPr="0012170A">
        <w:rPr>
          <w:rStyle w:val="FootnoteReference"/>
          <w:rFonts w:cstheme="minorHAnsi"/>
          <w:color w:val="000000"/>
        </w:rPr>
        <w:footnoteReference w:id="18"/>
      </w:r>
      <w:r w:rsidRPr="0012170A">
        <w:t xml:space="preserve"> underpins a radical view of freedom, where individuals are entirely responsible for shaping their essence through conscious, unconstrained choice. In contrast, </w:t>
      </w:r>
      <w:r w:rsidRPr="00AF34B3">
        <w:rPr>
          <w:rStyle w:val="Strong"/>
          <w:rFonts w:cstheme="minorHAnsi"/>
          <w:b w:val="0"/>
          <w:bCs w:val="0"/>
          <w:color w:val="000000"/>
        </w:rPr>
        <w:t>Harris</w:t>
      </w:r>
      <w:r w:rsidRPr="0012170A">
        <w:rPr>
          <w:rStyle w:val="apple-converted-space"/>
          <w:rFonts w:cstheme="minorHAnsi"/>
          <w:b/>
          <w:bCs/>
          <w:color w:val="000000"/>
        </w:rPr>
        <w:t> </w:t>
      </w:r>
      <w:r w:rsidRPr="0012170A">
        <w:t xml:space="preserve">describes hard determinism as psychologically freeing: ‘Losing a belief in free will has not made me fatalistic—in </w:t>
      </w:r>
      <w:r w:rsidRPr="0012170A">
        <w:lastRenderedPageBreak/>
        <w:t>fact, it has increased my feelings of freedom.’</w:t>
      </w:r>
      <w:r w:rsidRPr="0012170A">
        <w:rPr>
          <w:rStyle w:val="FootnoteReference"/>
          <w:rFonts w:cstheme="minorHAnsi"/>
          <w:color w:val="000000"/>
        </w:rPr>
        <w:footnoteReference w:id="19"/>
      </w:r>
      <w:r w:rsidRPr="0012170A">
        <w:t xml:space="preserve"> </w:t>
      </w:r>
      <w:r w:rsidRPr="009D601F">
        <w:rPr>
          <w:rStyle w:val="Strong"/>
          <w:rFonts w:cstheme="minorHAnsi"/>
          <w:b w:val="0"/>
          <w:bCs w:val="0"/>
          <w:color w:val="000000"/>
        </w:rPr>
        <w:t>Kane</w:t>
      </w:r>
      <w:r w:rsidRPr="009D601F">
        <w:rPr>
          <w:rStyle w:val="apple-converted-space"/>
          <w:rFonts w:cstheme="minorHAnsi"/>
          <w:b/>
          <w:bCs/>
          <w:color w:val="000000"/>
        </w:rPr>
        <w:t> </w:t>
      </w:r>
      <w:r w:rsidRPr="0012170A">
        <w:rPr>
          <w:rStyle w:val="apple-converted-space"/>
          <w:rFonts w:cstheme="minorHAnsi"/>
          <w:color w:val="000000"/>
        </w:rPr>
        <w:t>offers a third path,</w:t>
      </w:r>
      <w:r w:rsidRPr="0012170A">
        <w:rPr>
          <w:rStyle w:val="apple-converted-space"/>
          <w:rFonts w:cstheme="minorHAnsi"/>
          <w:b/>
          <w:bCs/>
          <w:color w:val="000000"/>
        </w:rPr>
        <w:t xml:space="preserve"> </w:t>
      </w:r>
      <w:r w:rsidRPr="0012170A">
        <w:t>defending free will by invoking</w:t>
      </w:r>
      <w:r w:rsidRPr="0012170A">
        <w:rPr>
          <w:rStyle w:val="apple-converted-space"/>
          <w:rFonts w:cstheme="minorHAnsi"/>
          <w:color w:val="000000"/>
        </w:rPr>
        <w:t> ‘</w:t>
      </w:r>
      <w:r w:rsidRPr="00EC6ECD">
        <w:rPr>
          <w:rStyle w:val="Emphasis"/>
          <w:rFonts w:cstheme="minorHAnsi"/>
          <w:i w:val="0"/>
          <w:iCs w:val="0"/>
          <w:color w:val="000000"/>
        </w:rPr>
        <w:t>ultimate responsibility’</w:t>
      </w:r>
      <w:r w:rsidRPr="0012170A">
        <w:rPr>
          <w:rStyle w:val="Emphasis"/>
          <w:rFonts w:cstheme="minorHAnsi"/>
          <w:color w:val="000000"/>
        </w:rPr>
        <w:t xml:space="preserve"> </w:t>
      </w:r>
      <w:r w:rsidRPr="0012170A">
        <w:t>and</w:t>
      </w:r>
      <w:r w:rsidRPr="0012170A">
        <w:rPr>
          <w:rStyle w:val="apple-converted-space"/>
          <w:rFonts w:cstheme="minorHAnsi"/>
          <w:color w:val="000000"/>
        </w:rPr>
        <w:t> ‘</w:t>
      </w:r>
      <w:r w:rsidRPr="00EC6ECD">
        <w:rPr>
          <w:rStyle w:val="Emphasis"/>
          <w:rFonts w:cstheme="minorHAnsi"/>
          <w:i w:val="0"/>
          <w:iCs w:val="0"/>
          <w:color w:val="000000"/>
        </w:rPr>
        <w:t>self-forming actions</w:t>
      </w:r>
      <w:r w:rsidRPr="0012170A">
        <w:t>.’</w:t>
      </w:r>
      <w:r w:rsidRPr="0012170A">
        <w:rPr>
          <w:rStyle w:val="FootnoteReference"/>
          <w:rFonts w:cstheme="minorHAnsi"/>
          <w:color w:val="000000"/>
        </w:rPr>
        <w:footnoteReference w:id="20"/>
      </w:r>
      <w:r w:rsidRPr="0012170A">
        <w:t xml:space="preserve"> </w:t>
      </w:r>
    </w:p>
    <w:p w14:paraId="7BAB8A37" w14:textId="77777777" w:rsidR="000F5F0D" w:rsidRDefault="000F5F0D" w:rsidP="000F5F0D">
      <w:pPr>
        <w:pStyle w:val="NoSpacing"/>
        <w:rPr>
          <w:rFonts w:cstheme="minorHAnsi"/>
          <w:color w:val="1A1A1A"/>
        </w:rPr>
      </w:pPr>
    </w:p>
    <w:p w14:paraId="0DEF64DB" w14:textId="5D936C38" w:rsidR="008572CC" w:rsidRDefault="008572CC" w:rsidP="000F5F0D">
      <w:pPr>
        <w:pStyle w:val="NoSpacing"/>
        <w:rPr>
          <w:color w:val="000000"/>
        </w:rPr>
      </w:pPr>
      <w:r w:rsidRPr="0012170A">
        <w:t xml:space="preserve">Compatibilism derives from </w:t>
      </w:r>
      <w:r w:rsidRPr="0012170A">
        <w:rPr>
          <w:i/>
          <w:iCs/>
        </w:rPr>
        <w:t>compatibility</w:t>
      </w:r>
      <w:r w:rsidRPr="0012170A">
        <w:t>, defined as ‘mutually tolerant, congruous, beneficent, tenable with others.’</w:t>
      </w:r>
      <w:r w:rsidRPr="0012170A">
        <w:rPr>
          <w:rStyle w:val="FootnoteReference"/>
          <w:rFonts w:cstheme="minorHAnsi"/>
          <w:color w:val="1A1A1A"/>
        </w:rPr>
        <w:footnoteReference w:id="21"/>
      </w:r>
      <w:r w:rsidRPr="0012170A">
        <w:t xml:space="preserve"> The meaning reflects its philosophical aim to reconcile free will and determinism.</w:t>
      </w:r>
      <w:r w:rsidRPr="0012170A">
        <w:rPr>
          <w:rStyle w:val="Strong"/>
          <w:rFonts w:cstheme="minorHAnsi"/>
          <w:color w:val="000000"/>
        </w:rPr>
        <w:t xml:space="preserve"> </w:t>
      </w:r>
      <w:r w:rsidRPr="009D601F">
        <w:rPr>
          <w:rStyle w:val="Strong"/>
          <w:rFonts w:cstheme="minorHAnsi"/>
          <w:b w:val="0"/>
          <w:bCs w:val="0"/>
          <w:color w:val="000000"/>
        </w:rPr>
        <w:t>Locke</w:t>
      </w:r>
      <w:r w:rsidRPr="009D601F">
        <w:rPr>
          <w:rStyle w:val="apple-converted-space"/>
          <w:rFonts w:cstheme="minorHAnsi"/>
          <w:b/>
          <w:bCs/>
          <w:color w:val="000000"/>
        </w:rPr>
        <w:t> </w:t>
      </w:r>
      <w:r w:rsidRPr="0012170A">
        <w:rPr>
          <w:color w:val="000000"/>
        </w:rPr>
        <w:t>and</w:t>
      </w:r>
      <w:r w:rsidRPr="0012170A">
        <w:rPr>
          <w:rStyle w:val="apple-converted-space"/>
          <w:rFonts w:cstheme="minorHAnsi"/>
          <w:color w:val="000000"/>
        </w:rPr>
        <w:t> </w:t>
      </w:r>
      <w:r w:rsidRPr="009D601F">
        <w:rPr>
          <w:rStyle w:val="Strong"/>
          <w:rFonts w:cstheme="minorHAnsi"/>
          <w:b w:val="0"/>
          <w:bCs w:val="0"/>
          <w:color w:val="000000"/>
        </w:rPr>
        <w:t>Hume</w:t>
      </w:r>
      <w:r w:rsidRPr="0012170A">
        <w:rPr>
          <w:b/>
          <w:bCs/>
          <w:color w:val="000000"/>
        </w:rPr>
        <w:t xml:space="preserve"> </w:t>
      </w:r>
      <w:r w:rsidRPr="0012170A">
        <w:rPr>
          <w:color w:val="000000"/>
        </w:rPr>
        <w:t>reframed liberty as internal consistency between will and action, while</w:t>
      </w:r>
      <w:r w:rsidRPr="0012170A">
        <w:rPr>
          <w:rStyle w:val="Strong"/>
          <w:rFonts w:cstheme="minorHAnsi"/>
          <w:color w:val="000000"/>
        </w:rPr>
        <w:t xml:space="preserve"> </w:t>
      </w:r>
      <w:r w:rsidRPr="009D601F">
        <w:rPr>
          <w:rStyle w:val="Strong"/>
          <w:rFonts w:cstheme="minorHAnsi"/>
          <w:b w:val="0"/>
          <w:bCs w:val="0"/>
          <w:color w:val="000000"/>
        </w:rPr>
        <w:t>Smith</w:t>
      </w:r>
      <w:r w:rsidRPr="0012170A">
        <w:rPr>
          <w:rStyle w:val="apple-converted-space"/>
          <w:rFonts w:cstheme="minorHAnsi"/>
          <w:b/>
          <w:bCs/>
          <w:color w:val="000000"/>
        </w:rPr>
        <w:t> </w:t>
      </w:r>
      <w:r w:rsidRPr="0012170A">
        <w:rPr>
          <w:color w:val="000000"/>
        </w:rPr>
        <w:t>extended it to the moral domain</w:t>
      </w:r>
      <w:r w:rsidR="00724632">
        <w:rPr>
          <w:color w:val="000000"/>
        </w:rPr>
        <w:t>,</w:t>
      </w:r>
      <w:r w:rsidRPr="0012170A">
        <w:rPr>
          <w:color w:val="000000"/>
        </w:rPr>
        <w:t xml:space="preserve"> and</w:t>
      </w:r>
      <w:r w:rsidRPr="0012170A">
        <w:rPr>
          <w:rStyle w:val="apple-converted-space"/>
          <w:rFonts w:cstheme="minorHAnsi"/>
          <w:color w:val="000000"/>
        </w:rPr>
        <w:t xml:space="preserve"> </w:t>
      </w:r>
      <w:r w:rsidRPr="009D601F">
        <w:rPr>
          <w:rStyle w:val="Strong"/>
          <w:rFonts w:cstheme="minorHAnsi"/>
          <w:b w:val="0"/>
          <w:bCs w:val="0"/>
          <w:color w:val="000000"/>
        </w:rPr>
        <w:t>Kant</w:t>
      </w:r>
      <w:r w:rsidRPr="009D601F">
        <w:rPr>
          <w:rStyle w:val="apple-converted-space"/>
          <w:rFonts w:cstheme="minorHAnsi"/>
          <w:b/>
          <w:bCs/>
          <w:color w:val="000000"/>
        </w:rPr>
        <w:t> </w:t>
      </w:r>
      <w:r w:rsidRPr="0012170A">
        <w:rPr>
          <w:color w:val="000000"/>
        </w:rPr>
        <w:t>redefined freedom as</w:t>
      </w:r>
      <w:r w:rsidRPr="0012170A">
        <w:rPr>
          <w:rStyle w:val="apple-converted-space"/>
          <w:rFonts w:cstheme="minorHAnsi"/>
          <w:color w:val="000000"/>
        </w:rPr>
        <w:t> ‘</w:t>
      </w:r>
      <w:r w:rsidRPr="009D601F">
        <w:rPr>
          <w:rStyle w:val="Strong"/>
          <w:rFonts w:cstheme="minorHAnsi"/>
          <w:b w:val="0"/>
          <w:bCs w:val="0"/>
          <w:color w:val="000000"/>
        </w:rPr>
        <w:t>moral autonomy.’</w:t>
      </w:r>
      <w:r w:rsidRPr="0012170A">
        <w:rPr>
          <w:rStyle w:val="FootnoteReference"/>
          <w:rFonts w:cstheme="minorHAnsi"/>
          <w:color w:val="000000"/>
        </w:rPr>
        <w:footnoteReference w:id="22"/>
      </w:r>
      <w:r w:rsidRPr="0012170A">
        <w:rPr>
          <w:rStyle w:val="Heading1Char"/>
          <w:rFonts w:asciiTheme="minorHAnsi" w:eastAsiaTheme="minorHAnsi" w:hAnsiTheme="minorHAnsi" w:cstheme="minorHAnsi"/>
          <w:color w:val="000000"/>
          <w:sz w:val="22"/>
          <w:szCs w:val="22"/>
        </w:rPr>
        <w:t xml:space="preserve"> </w:t>
      </w:r>
      <w:r w:rsidRPr="0012170A">
        <w:rPr>
          <w:color w:val="000000"/>
        </w:rPr>
        <w:t xml:space="preserve">Neuroscientific studies, such as </w:t>
      </w:r>
      <w:proofErr w:type="spellStart"/>
      <w:r w:rsidRPr="0012170A">
        <w:rPr>
          <w:color w:val="000000"/>
        </w:rPr>
        <w:t>Libet’s</w:t>
      </w:r>
      <w:proofErr w:type="spellEnd"/>
      <w:r w:rsidRPr="0012170A">
        <w:rPr>
          <w:color w:val="000000"/>
        </w:rPr>
        <w:t xml:space="preserve"> experiments, suggest that unconscious processes may precede conscious decisions, without eliminating the possibility of reflective agency.</w:t>
      </w:r>
      <w:r w:rsidRPr="0012170A">
        <w:rPr>
          <w:rStyle w:val="FootnoteReference"/>
          <w:rFonts w:cstheme="minorHAnsi"/>
          <w:color w:val="000000"/>
        </w:rPr>
        <w:footnoteReference w:id="23"/>
      </w:r>
      <w:r w:rsidRPr="0012170A">
        <w:rPr>
          <w:color w:val="000000"/>
        </w:rPr>
        <w:t xml:space="preserve"> Dennett asserts that free will, understood as the ability to reflect and respond within constraints, remains indispensable for moral responsibility.</w:t>
      </w:r>
      <w:r w:rsidRPr="0012170A">
        <w:rPr>
          <w:rStyle w:val="FootnoteReference"/>
          <w:rFonts w:cstheme="minorHAnsi"/>
          <w:color w:val="000000"/>
        </w:rPr>
        <w:t xml:space="preserve"> </w:t>
      </w:r>
      <w:r w:rsidRPr="0012170A">
        <w:rPr>
          <w:rStyle w:val="FootnoteReference"/>
          <w:rFonts w:cstheme="minorHAnsi"/>
          <w:color w:val="000000"/>
        </w:rPr>
        <w:footnoteReference w:id="24"/>
      </w:r>
      <w:r w:rsidRPr="0012170A">
        <w:rPr>
          <w:color w:val="000000"/>
        </w:rPr>
        <w:t xml:space="preserve">  </w:t>
      </w:r>
    </w:p>
    <w:p w14:paraId="5850A74C" w14:textId="77777777" w:rsidR="000F5F0D" w:rsidRPr="0012170A" w:rsidRDefault="000F5F0D" w:rsidP="000F5F0D">
      <w:pPr>
        <w:pStyle w:val="NoSpacing"/>
        <w:rPr>
          <w:color w:val="000000"/>
        </w:rPr>
      </w:pPr>
    </w:p>
    <w:p w14:paraId="08412760" w14:textId="77777777" w:rsidR="008572CC" w:rsidRPr="0012170A" w:rsidRDefault="008572CC" w:rsidP="008572CC">
      <w:pPr>
        <w:rPr>
          <w:rFonts w:cstheme="minorHAnsi"/>
          <w:color w:val="000000"/>
        </w:rPr>
      </w:pPr>
      <w:r w:rsidRPr="0012170A">
        <w:rPr>
          <w:rFonts w:cstheme="minorHAnsi"/>
          <w:b/>
          <w:bCs/>
          <w:color w:val="000000"/>
        </w:rPr>
        <w:t>2.2 Contemporary astrology and the challenge of the key concepts</w:t>
      </w:r>
      <w:r w:rsidRPr="0012170A">
        <w:rPr>
          <w:rFonts w:cstheme="minorHAnsi"/>
          <w:color w:val="000000"/>
        </w:rPr>
        <w:t xml:space="preserve"> </w:t>
      </w:r>
    </w:p>
    <w:p w14:paraId="4690312B" w14:textId="77777777" w:rsidR="008572CC" w:rsidRPr="0012170A" w:rsidRDefault="008572CC" w:rsidP="008572CC">
      <w:pPr>
        <w:rPr>
          <w:rFonts w:cstheme="minorHAnsi"/>
          <w:color w:val="000000"/>
        </w:rPr>
      </w:pPr>
      <w:r w:rsidRPr="0012170A">
        <w:rPr>
          <w:rFonts w:cstheme="minorHAnsi"/>
          <w:color w:val="000000"/>
        </w:rPr>
        <w:t xml:space="preserve">The above philosophical discourse finds a distinct echo within astrological thought, where the tension between fate, determinism, and free will continues to shape theoretical models and practical approaches. Historically regarded as deterministic, astrology has undergone significant evolution into a symbolic framework that emphasises potential and individual agency. </w:t>
      </w:r>
    </w:p>
    <w:p w14:paraId="77C1E526" w14:textId="1B8FEE14" w:rsidR="001871C2" w:rsidRPr="001871C2" w:rsidRDefault="008572CC" w:rsidP="001871C2">
      <w:pPr>
        <w:pStyle w:val="NoSpacing"/>
        <w:rPr>
          <w:b/>
          <w:bCs/>
        </w:rPr>
      </w:pPr>
      <w:r w:rsidRPr="001871C2">
        <w:rPr>
          <w:b/>
          <w:bCs/>
        </w:rPr>
        <w:t>From prediction to participation</w:t>
      </w:r>
    </w:p>
    <w:p w14:paraId="76EF2778" w14:textId="4BD9A5FE" w:rsidR="008572CC" w:rsidRPr="001871C2" w:rsidRDefault="008572CC" w:rsidP="001871C2">
      <w:pPr>
        <w:pStyle w:val="NoSpacing"/>
      </w:pPr>
      <w:r w:rsidRPr="0012170A">
        <w:t>In his PhD research, Campion engaged with Popper’s ‘activism’, the argument that the stronger the belief in a predetermined future, the more important it was to actively engage in creating the future.’</w:t>
      </w:r>
      <w:r w:rsidRPr="0012170A">
        <w:rPr>
          <w:rStyle w:val="FootnoteReference"/>
          <w:rFonts w:cstheme="minorHAnsi"/>
        </w:rPr>
        <w:footnoteReference w:id="25"/>
      </w:r>
      <w:r w:rsidRPr="0012170A">
        <w:t xml:space="preserve"> According to Campion, modern astrology often navigates a path between scientific rationality and spiritual symbolism, creating a distinctive epistemology that values structure and personal meaning.</w:t>
      </w:r>
      <w:r w:rsidRPr="0012170A">
        <w:rPr>
          <w:rStyle w:val="FootnoteReference"/>
          <w:rFonts w:cstheme="minorHAnsi"/>
          <w:color w:val="000000"/>
        </w:rPr>
        <w:footnoteReference w:id="26"/>
      </w:r>
      <w:r w:rsidRPr="0012170A">
        <w:t xml:space="preserve"> The move toward a more participatory model can be traced back to Leo’s dualist argument about material fate being held by horoscope, whilst the soul had the will and reason. A ‘believer in free will,’ Leo emphasised ‘spiritual awareness.’</w:t>
      </w:r>
      <w:r w:rsidRPr="0012170A">
        <w:rPr>
          <w:rStyle w:val="FootnoteReference"/>
          <w:rFonts w:cstheme="minorHAnsi"/>
          <w:color w:val="000000"/>
        </w:rPr>
        <w:footnoteReference w:id="27"/>
      </w:r>
      <w:r w:rsidRPr="0012170A">
        <w:t xml:space="preserve"> His legacy persists in shaping contemporary perspectives on astrology, promoting its understanding as a symbolic and developmental tool rather than a deterministic system. In her PhD thesis, Brady applied the concept of deterministic chaos to respond to the structure-freedom dilemma, describing moments of decision as bifurcation points within a patterned, but open-ended, cosmos.</w:t>
      </w:r>
      <w:r w:rsidRPr="0012170A">
        <w:rPr>
          <w:rStyle w:val="FootnoteReference"/>
          <w:rFonts w:cstheme="minorHAnsi"/>
          <w:color w:val="000000"/>
        </w:rPr>
        <w:footnoteReference w:id="28"/>
      </w:r>
      <w:r w:rsidRPr="0012170A">
        <w:t xml:space="preserve"> She distinguished this from entropic chaos, where new and unforeseen configurations emerge.</w:t>
      </w:r>
      <w:r w:rsidRPr="0012170A">
        <w:rPr>
          <w:rStyle w:val="FootnoteReference"/>
          <w:rFonts w:cstheme="minorHAnsi"/>
          <w:color w:val="000000"/>
        </w:rPr>
        <w:footnoteReference w:id="29"/>
      </w:r>
      <w:r w:rsidRPr="0012170A">
        <w:t xml:space="preserve"> Therefore, astrology’s dual role is revealing structure while fostering creativity.</w:t>
      </w:r>
      <w:r w:rsidRPr="0012170A">
        <w:rPr>
          <w:rStyle w:val="FootnoteReference"/>
          <w:rFonts w:cstheme="minorHAnsi"/>
          <w:color w:val="000000"/>
        </w:rPr>
        <w:footnoteReference w:id="30"/>
      </w:r>
      <w:r w:rsidRPr="0012170A">
        <w:t xml:space="preserve"> Citing Dobyns’s assertion that “character is destiny,” Hand associated this idea with a ’creative core’ reflected in the horoscope— ‘a symbol of </w:t>
      </w:r>
      <w:r w:rsidRPr="007B404C">
        <w:t>intentions.’</w:t>
      </w:r>
      <w:r w:rsidRPr="007B404C">
        <w:rPr>
          <w:rStyle w:val="FootnoteReference"/>
          <w:rFonts w:cstheme="minorHAnsi"/>
          <w:color w:val="000000"/>
        </w:rPr>
        <w:footnoteReference w:id="31"/>
      </w:r>
      <w:r w:rsidRPr="007B404C">
        <w:t xml:space="preserve"> This shift toward ‘personal participation’</w:t>
      </w:r>
      <w:r w:rsidRPr="007B404C">
        <w:rPr>
          <w:rStyle w:val="FootnoteReference"/>
          <w:rFonts w:cstheme="minorHAnsi"/>
          <w:color w:val="000000"/>
        </w:rPr>
        <w:footnoteReference w:id="32"/>
      </w:r>
      <w:r w:rsidRPr="007B404C">
        <w:t xml:space="preserve"> finds one of its most clear formulations in </w:t>
      </w:r>
      <w:r w:rsidRPr="007B404C">
        <w:lastRenderedPageBreak/>
        <w:t>Cornelius, who frames astrological judgment as divinatory, a moment of insight shaped by context, symbol, and timing.</w:t>
      </w:r>
      <w:r w:rsidRPr="007B404C">
        <w:rPr>
          <w:rStyle w:val="FootnoteReference"/>
          <w:rFonts w:cstheme="minorHAnsi"/>
          <w:color w:val="000000"/>
        </w:rPr>
        <w:footnoteReference w:id="33"/>
      </w:r>
      <w:r w:rsidRPr="007B404C">
        <w:t xml:space="preserve"> </w:t>
      </w:r>
    </w:p>
    <w:p w14:paraId="5CF21570" w14:textId="77777777" w:rsidR="007B404C" w:rsidRDefault="007B404C" w:rsidP="007B404C">
      <w:pPr>
        <w:pStyle w:val="NoSpacing"/>
        <w:rPr>
          <w:rStyle w:val="Strong"/>
          <w:rFonts w:cstheme="minorHAnsi"/>
          <w:color w:val="000000"/>
        </w:rPr>
      </w:pPr>
    </w:p>
    <w:p w14:paraId="174268AD" w14:textId="7BAD2FDB" w:rsidR="008572CC" w:rsidRPr="001871C2" w:rsidRDefault="008572CC" w:rsidP="007B404C">
      <w:pPr>
        <w:pStyle w:val="NoSpacing"/>
        <w:rPr>
          <w:rStyle w:val="Strong"/>
          <w:rFonts w:cstheme="minorHAnsi"/>
          <w:color w:val="000000"/>
        </w:rPr>
      </w:pPr>
      <w:r w:rsidRPr="001871C2">
        <w:rPr>
          <w:rStyle w:val="Strong"/>
          <w:rFonts w:cstheme="minorHAnsi"/>
          <w:color w:val="000000"/>
        </w:rPr>
        <w:t>Time and Possibility</w:t>
      </w:r>
    </w:p>
    <w:p w14:paraId="69B66865" w14:textId="00D24594" w:rsidR="008572CC" w:rsidRPr="007B404C" w:rsidRDefault="008572CC" w:rsidP="007B404C">
      <w:pPr>
        <w:pStyle w:val="NoSpacing"/>
      </w:pPr>
      <w:r w:rsidRPr="007B404C">
        <w:t xml:space="preserve">Contemporary astrologers conceptualise time not as a neutral continuum, but as charged with qualitative significance. According to </w:t>
      </w:r>
      <w:proofErr w:type="spellStart"/>
      <w:r w:rsidRPr="007B404C">
        <w:t>Rudhyar</w:t>
      </w:r>
      <w:proofErr w:type="spellEnd"/>
      <w:r w:rsidRPr="007B404C">
        <w:t>, the chart embodies ‘seed potential</w:t>
      </w:r>
      <w:r w:rsidR="007B404C">
        <w:t>,</w:t>
      </w:r>
      <w:r w:rsidRPr="007B404C">
        <w:t>’</w:t>
      </w:r>
      <w:r w:rsidRPr="007B404C">
        <w:rPr>
          <w:rStyle w:val="FootnoteReference"/>
          <w:rFonts w:cstheme="minorHAnsi"/>
          <w:color w:val="000000"/>
        </w:rPr>
        <w:footnoteReference w:id="34"/>
      </w:r>
      <w:r w:rsidRPr="007B404C">
        <w:t xml:space="preserve"> and the human’s ‘essential function’ is to ‘extract consciousness from the ocean of possibilities.’</w:t>
      </w:r>
      <w:r w:rsidRPr="007B404C">
        <w:rPr>
          <w:rStyle w:val="FootnoteReference"/>
          <w:rFonts w:cstheme="minorHAnsi"/>
          <w:color w:val="000000"/>
        </w:rPr>
        <w:footnoteReference w:id="35"/>
      </w:r>
      <w:r w:rsidRPr="007B404C">
        <w:t xml:space="preserve"> This compatibilist perspective—wherein fate marks the foundational premise— is complementary to Mann’s interpretation, which regards astrology as ‘the knowledge of time,’ expressed through </w:t>
      </w:r>
      <w:r w:rsidRPr="007B404C">
        <w:rPr>
          <w:i/>
          <w:iCs/>
        </w:rPr>
        <w:t>morphic resonance</w:t>
      </w:r>
      <w:r w:rsidRPr="007B404C">
        <w:t>.</w:t>
      </w:r>
      <w:r w:rsidRPr="007B404C">
        <w:rPr>
          <w:rStyle w:val="FootnoteReference"/>
          <w:rFonts w:cstheme="minorHAnsi"/>
          <w:color w:val="000000"/>
        </w:rPr>
        <w:t xml:space="preserve"> </w:t>
      </w:r>
      <w:r w:rsidRPr="007B404C">
        <w:rPr>
          <w:rStyle w:val="FootnoteReference"/>
          <w:rFonts w:cstheme="minorHAnsi"/>
          <w:color w:val="000000"/>
        </w:rPr>
        <w:footnoteReference w:id="36"/>
      </w:r>
      <w:r w:rsidRPr="007B404C">
        <w:t xml:space="preserve"> In this context, he explained how symbolic patterns echo across psyche and cosmos, indicating that ‘the eternal recurrence of the world can be applied to individual life.’</w:t>
      </w:r>
      <w:r w:rsidRPr="007B404C">
        <w:rPr>
          <w:rStyle w:val="FootnoteReference"/>
          <w:rFonts w:cstheme="minorHAnsi"/>
          <w:color w:val="000000"/>
        </w:rPr>
        <w:footnoteReference w:id="37"/>
      </w:r>
      <w:r w:rsidRPr="007B404C">
        <w:t xml:space="preserve">  Consequently, Mann understood the horoscope as a ‘spiral,’</w:t>
      </w:r>
      <w:r w:rsidRPr="007B404C">
        <w:rPr>
          <w:rStyle w:val="FootnoteReference"/>
          <w:rFonts w:cstheme="minorHAnsi"/>
          <w:color w:val="000000"/>
        </w:rPr>
        <w:footnoteReference w:id="38"/>
      </w:r>
      <w:r w:rsidRPr="007B404C">
        <w:t xml:space="preserve"> or, as  Clark posits, a timeless construct. The chart’s symbols remain constant as they cycle through time, and awareness of the archetypes invites to ‘collaborative participation’ with the future and ‘reflective engagement’ with the past.</w:t>
      </w:r>
      <w:r w:rsidRPr="007B404C">
        <w:rPr>
          <w:rStyle w:val="FootnoteReference"/>
          <w:rFonts w:cstheme="minorHAnsi"/>
          <w:color w:val="000000"/>
        </w:rPr>
        <w:footnoteReference w:id="39"/>
      </w:r>
      <w:r w:rsidRPr="007B404C">
        <w:t xml:space="preserve"> For Arroyo, cultivating awareness of these archetypal patterns can catalyse ‘true transformation,’</w:t>
      </w:r>
      <w:r w:rsidRPr="007B404C">
        <w:rPr>
          <w:rStyle w:val="FootnoteReference"/>
          <w:rFonts w:cstheme="minorHAnsi"/>
          <w:color w:val="000000"/>
        </w:rPr>
        <w:footnoteReference w:id="40"/>
      </w:r>
      <w:r w:rsidRPr="007B404C">
        <w:t xml:space="preserve"> a shift of expression from unconscious repetition to conscious choice.</w:t>
      </w:r>
    </w:p>
    <w:p w14:paraId="15CFE9B3" w14:textId="77777777" w:rsidR="008572CC" w:rsidRPr="007B404C" w:rsidRDefault="008572CC" w:rsidP="007B404C">
      <w:pPr>
        <w:pStyle w:val="NoSpacing"/>
      </w:pPr>
      <w:r w:rsidRPr="007B404C">
        <w:t>Martin reconceptualises time as</w:t>
      </w:r>
      <w:r w:rsidRPr="007B404C">
        <w:rPr>
          <w:rStyle w:val="apple-converted-space"/>
          <w:rFonts w:cstheme="minorHAnsi"/>
          <w:color w:val="000000"/>
        </w:rPr>
        <w:t> </w:t>
      </w:r>
      <w:r w:rsidRPr="007B404C">
        <w:rPr>
          <w:rStyle w:val="Emphasis"/>
          <w:rFonts w:cstheme="minorHAnsi"/>
          <w:color w:val="000000"/>
        </w:rPr>
        <w:t xml:space="preserve">Kairos— </w:t>
      </w:r>
      <w:r w:rsidRPr="007B404C">
        <w:t>a moment of ‘opportunity to oppose the natural order of things’</w:t>
      </w:r>
      <w:r w:rsidRPr="007B404C">
        <w:rPr>
          <w:rStyle w:val="FootnoteReference"/>
          <w:rFonts w:cstheme="minorHAnsi"/>
          <w:color w:val="000000"/>
        </w:rPr>
        <w:footnoteReference w:id="41"/>
      </w:r>
      <w:r w:rsidRPr="007B404C">
        <w:t xml:space="preserve"> —and describes fate as ‘raw material’</w:t>
      </w:r>
      <w:r w:rsidRPr="007B404C">
        <w:rPr>
          <w:rStyle w:val="FootnoteReference"/>
          <w:rFonts w:cstheme="minorHAnsi"/>
          <w:color w:val="000000"/>
        </w:rPr>
        <w:footnoteReference w:id="42"/>
      </w:r>
      <w:r w:rsidRPr="007B404C">
        <w:t xml:space="preserve"> awaiting intentional engagement. This stance is reflected in </w:t>
      </w:r>
      <w:proofErr w:type="spellStart"/>
      <w:r w:rsidRPr="007B404C">
        <w:t>Sasportas</w:t>
      </w:r>
      <w:proofErr w:type="spellEnd"/>
      <w:r w:rsidRPr="007B404C">
        <w:t>’ view of fate as ‘the unfolding of the core self.’</w:t>
      </w:r>
      <w:r w:rsidRPr="007B404C">
        <w:rPr>
          <w:rStyle w:val="FootnoteReference"/>
          <w:rFonts w:cstheme="minorHAnsi"/>
          <w:color w:val="000000"/>
        </w:rPr>
        <w:footnoteReference w:id="43"/>
      </w:r>
      <w:r w:rsidRPr="007B404C">
        <w:t xml:space="preserve">  </w:t>
      </w:r>
    </w:p>
    <w:p w14:paraId="644526EE" w14:textId="77777777" w:rsidR="008572CC" w:rsidRPr="007B404C" w:rsidRDefault="008572CC" w:rsidP="007B404C">
      <w:pPr>
        <w:pStyle w:val="NoSpacing"/>
      </w:pPr>
      <w:r w:rsidRPr="007B404C">
        <w:t xml:space="preserve">These interpretations articulate a compatibilist understanding of human agency: constrained, yet meaningful. In moments of </w:t>
      </w:r>
      <w:r w:rsidRPr="007B404C">
        <w:rPr>
          <w:rStyle w:val="Emphasis"/>
          <w:rFonts w:cstheme="minorHAnsi"/>
          <w:color w:val="000000"/>
        </w:rPr>
        <w:t>Kairos</w:t>
      </w:r>
      <w:r w:rsidRPr="007B404C">
        <w:t>, they approach a libertarian ideal—freedom does not stem from detachment, but from conscious collaboration with the conditions of one’s life.</w:t>
      </w:r>
    </w:p>
    <w:p w14:paraId="4BF36D6C" w14:textId="77777777" w:rsidR="008572CC" w:rsidRPr="007B404C" w:rsidRDefault="008572CC" w:rsidP="007B404C">
      <w:pPr>
        <w:pStyle w:val="NoSpacing"/>
        <w:rPr>
          <w:rStyle w:val="Strong"/>
          <w:rFonts w:cstheme="minorHAnsi"/>
          <w:color w:val="000000"/>
        </w:rPr>
      </w:pPr>
    </w:p>
    <w:p w14:paraId="54B9B6D4" w14:textId="77777777" w:rsidR="008572CC" w:rsidRPr="007B404C" w:rsidRDefault="008572CC" w:rsidP="007B404C">
      <w:pPr>
        <w:pStyle w:val="NoSpacing"/>
        <w:rPr>
          <w:rStyle w:val="Strong"/>
          <w:rFonts w:cstheme="minorHAnsi"/>
          <w:color w:val="000000"/>
        </w:rPr>
      </w:pPr>
      <w:r w:rsidRPr="007B404C">
        <w:rPr>
          <w:rStyle w:val="Strong"/>
          <w:rFonts w:cstheme="minorHAnsi"/>
          <w:color w:val="000000"/>
        </w:rPr>
        <w:t>Freedom through Awareness</w:t>
      </w:r>
    </w:p>
    <w:p w14:paraId="059A6882" w14:textId="77777777" w:rsidR="008572CC" w:rsidRPr="0012170A" w:rsidRDefault="008572CC" w:rsidP="007B404C">
      <w:pPr>
        <w:pStyle w:val="NoSpacing"/>
      </w:pPr>
      <w:r w:rsidRPr="007B404C">
        <w:t>This notion of</w:t>
      </w:r>
      <w:r w:rsidRPr="007B404C">
        <w:rPr>
          <w:rStyle w:val="apple-converted-space"/>
          <w:rFonts w:cstheme="minorHAnsi"/>
          <w:color w:val="000000"/>
        </w:rPr>
        <w:t> </w:t>
      </w:r>
      <w:r w:rsidRPr="00BF1AB1">
        <w:rPr>
          <w:rStyle w:val="Emphasis"/>
          <w:rFonts w:cstheme="minorHAnsi"/>
          <w:i w:val="0"/>
          <w:iCs w:val="0"/>
          <w:color w:val="000000"/>
        </w:rPr>
        <w:t>conscious collaboration</w:t>
      </w:r>
      <w:r w:rsidRPr="007B404C">
        <w:rPr>
          <w:rStyle w:val="apple-converted-space"/>
          <w:rFonts w:cstheme="minorHAnsi"/>
          <w:color w:val="000000"/>
        </w:rPr>
        <w:t> </w:t>
      </w:r>
      <w:r w:rsidRPr="007B404C">
        <w:t>is taken further by key contemporary astrologers who foreground</w:t>
      </w:r>
      <w:r w:rsidRPr="007B404C">
        <w:rPr>
          <w:rStyle w:val="apple-converted-space"/>
          <w:rFonts w:cstheme="minorHAnsi"/>
          <w:color w:val="000000"/>
        </w:rPr>
        <w:t> </w:t>
      </w:r>
      <w:r w:rsidRPr="00BF1AB1">
        <w:rPr>
          <w:rStyle w:val="Strong"/>
          <w:rFonts w:cstheme="minorHAnsi"/>
          <w:b w:val="0"/>
          <w:bCs w:val="0"/>
          <w:color w:val="000000"/>
        </w:rPr>
        <w:t>awareness</w:t>
      </w:r>
      <w:r w:rsidRPr="007B404C">
        <w:rPr>
          <w:rStyle w:val="apple-converted-space"/>
          <w:rFonts w:cstheme="minorHAnsi"/>
          <w:color w:val="000000"/>
        </w:rPr>
        <w:t> </w:t>
      </w:r>
      <w:r w:rsidRPr="007B404C">
        <w:t xml:space="preserve">as the essential catalyst for meaningful freedom. </w:t>
      </w:r>
      <w:proofErr w:type="spellStart"/>
      <w:r w:rsidRPr="007B404C">
        <w:t>Tarnas</w:t>
      </w:r>
      <w:proofErr w:type="spellEnd"/>
      <w:r w:rsidRPr="007B404C">
        <w:t xml:space="preserve"> argues that astrology greatly increases personal freedom by making one conscious of the archetypal forces at work, thereby transforming passive experience into reflective agency.</w:t>
      </w:r>
      <w:r w:rsidRPr="007B404C">
        <w:rPr>
          <w:rStyle w:val="FootnoteReference"/>
          <w:rFonts w:cstheme="minorHAnsi"/>
        </w:rPr>
        <w:footnoteReference w:id="44"/>
      </w:r>
      <w:r w:rsidRPr="007B404C">
        <w:t xml:space="preserve"> Liz Greene adds psychological</w:t>
      </w:r>
      <w:r w:rsidRPr="0012170A">
        <w:t xml:space="preserve"> nuance, portraying fate as a narrative pattern in the psyche rather than external coercion. Her remark— </w:t>
      </w:r>
      <w:r w:rsidRPr="0012170A">
        <w:rPr>
          <w:rStyle w:val="Emphasis"/>
          <w:rFonts w:cstheme="minorHAnsi"/>
          <w:color w:val="000000"/>
        </w:rPr>
        <w:t>‘</w:t>
      </w:r>
      <w:r w:rsidRPr="00FF2CBC">
        <w:rPr>
          <w:rStyle w:val="Emphasis"/>
          <w:rFonts w:cstheme="minorHAnsi"/>
          <w:i w:val="0"/>
          <w:iCs w:val="0"/>
          <w:color w:val="000000"/>
        </w:rPr>
        <w:t>So much for free will’</w:t>
      </w:r>
      <w:r w:rsidRPr="0012170A">
        <w:rPr>
          <w:rStyle w:val="FootnoteReference"/>
          <w:rFonts w:cstheme="minorHAnsi"/>
          <w:i/>
          <w:iCs/>
          <w:color w:val="000000"/>
        </w:rPr>
        <w:footnoteReference w:id="45"/>
      </w:r>
      <w:r w:rsidRPr="0012170A">
        <w:rPr>
          <w:i/>
          <w:iCs/>
        </w:rPr>
        <w:t>—</w:t>
      </w:r>
      <w:r w:rsidRPr="0012170A">
        <w:t>underscores the illusion of choice when unconscious dynamics prevail. Yet through symbolic interpretation, the chart becomes a vessel of insight rather than prediction. In Reinhart’s view, fate and free will are two complementary facets of a ‘polarised concept.’</w:t>
      </w:r>
      <w:r w:rsidRPr="0012170A">
        <w:rPr>
          <w:rStyle w:val="FootnoteReference"/>
          <w:rFonts w:cstheme="minorHAnsi"/>
          <w:color w:val="000000"/>
        </w:rPr>
        <w:footnoteReference w:id="46"/>
      </w:r>
      <w:r w:rsidRPr="0012170A">
        <w:t xml:space="preserve"> While fate exists as form, freedom lies in how it is engaged.</w:t>
      </w:r>
      <w:r w:rsidRPr="0012170A">
        <w:rPr>
          <w:rStyle w:val="FootnoteReference"/>
          <w:rFonts w:cstheme="minorHAnsi"/>
          <w:color w:val="000000"/>
        </w:rPr>
        <w:footnoteReference w:id="47"/>
      </w:r>
      <w:r w:rsidRPr="0012170A">
        <w:t xml:space="preserve"> The movement toward wholeness underlies both healing and the experiences whose urgency prompts ‘spiritual awakening’, equivalent to the bridge between limitation and transcendence.</w:t>
      </w:r>
      <w:r w:rsidRPr="0012170A">
        <w:rPr>
          <w:rStyle w:val="FootnoteReference"/>
          <w:rFonts w:cstheme="minorHAnsi"/>
          <w:color w:val="000000"/>
        </w:rPr>
        <w:footnoteReference w:id="48"/>
      </w:r>
      <w:r w:rsidRPr="0012170A">
        <w:t xml:space="preserve">  According to her, transcultural and transpersonal consciousness is grounded in individual perception of the resonances of cosmic reality.</w:t>
      </w:r>
      <w:r w:rsidRPr="0012170A">
        <w:rPr>
          <w:rStyle w:val="FootnoteReference"/>
          <w:rFonts w:cstheme="minorHAnsi"/>
          <w:color w:val="000000"/>
        </w:rPr>
        <w:footnoteReference w:id="49"/>
      </w:r>
      <w:r w:rsidRPr="0012170A">
        <w:t xml:space="preserve"> Building on this progression, a final perspective emerges, one that places awareness at the </w:t>
      </w:r>
      <w:r w:rsidRPr="0012170A">
        <w:lastRenderedPageBreak/>
        <w:t>very centre of astrological freedom. This recalls Jung’s notion of free will as “to do gladly that which one must do”</w:t>
      </w:r>
      <w:r w:rsidRPr="0012170A">
        <w:rPr>
          <w:rStyle w:val="FootnoteReference"/>
          <w:rFonts w:cstheme="minorHAnsi"/>
        </w:rPr>
        <w:footnoteReference w:id="50"/>
      </w:r>
      <w:r w:rsidRPr="0012170A">
        <w:t xml:space="preserve">: not to escape destiny, but to transform necessity into meaning consciously. </w:t>
      </w:r>
    </w:p>
    <w:p w14:paraId="0FA80624" w14:textId="77777777" w:rsidR="008572CC" w:rsidRPr="0012170A" w:rsidRDefault="008572CC" w:rsidP="008572CC">
      <w:pPr>
        <w:rPr>
          <w:rFonts w:cstheme="minorHAnsi"/>
        </w:rPr>
      </w:pPr>
      <w:r w:rsidRPr="0012170A">
        <w:rPr>
          <w:rFonts w:cstheme="minorHAnsi"/>
        </w:rPr>
        <w:t xml:space="preserve">To examine how astrologers position their perspective and practice within this wider discourse of personal empowerment, decision-making and responsibility, this research applied a tailored methodology, outlined below.  </w:t>
      </w:r>
    </w:p>
    <w:p w14:paraId="72CD59AD" w14:textId="77777777" w:rsidR="008572CC" w:rsidRDefault="008572CC" w:rsidP="008572CC">
      <w:pPr>
        <w:rPr>
          <w:rFonts w:cstheme="minorHAnsi"/>
          <w:b/>
          <w:bCs/>
        </w:rPr>
      </w:pPr>
      <w:r w:rsidRPr="0012170A">
        <w:rPr>
          <w:rFonts w:cstheme="minorHAnsi"/>
          <w:b/>
          <w:bCs/>
        </w:rPr>
        <w:t>3. Research methodology</w:t>
      </w:r>
    </w:p>
    <w:p w14:paraId="62A471AA" w14:textId="77777777" w:rsidR="008572CC" w:rsidRPr="0012170A" w:rsidRDefault="008572CC" w:rsidP="008572CC">
      <w:pPr>
        <w:rPr>
          <w:rFonts w:cstheme="minorHAnsi"/>
          <w:color w:val="000000"/>
        </w:rPr>
      </w:pPr>
      <w:bookmarkStart w:id="4" w:name="OLE_LINK3"/>
      <w:bookmarkStart w:id="5" w:name="OLE_LINK4"/>
      <w:r w:rsidRPr="0012170A">
        <w:rPr>
          <w:rFonts w:cstheme="minorHAnsi"/>
          <w:color w:val="000000"/>
        </w:rPr>
        <w:t>This study employed a phenomenological,</w:t>
      </w:r>
      <w:r w:rsidRPr="0012170A">
        <w:rPr>
          <w:rStyle w:val="FootnoteReference"/>
          <w:rFonts w:cstheme="minorHAnsi"/>
          <w:color w:val="000000"/>
        </w:rPr>
        <w:footnoteReference w:id="51"/>
      </w:r>
      <w:r w:rsidRPr="0012170A">
        <w:rPr>
          <w:rFonts w:cstheme="minorHAnsi"/>
          <w:color w:val="000000"/>
        </w:rPr>
        <w:t xml:space="preserve"> qualitative-dominant mixed methods approach</w:t>
      </w:r>
      <w:r w:rsidRPr="0012170A">
        <w:rPr>
          <w:rFonts w:cstheme="minorHAnsi"/>
        </w:rPr>
        <w:t xml:space="preserve">, described by </w:t>
      </w:r>
      <w:proofErr w:type="spellStart"/>
      <w:r w:rsidRPr="0012170A">
        <w:rPr>
          <w:rFonts w:cstheme="minorHAnsi"/>
        </w:rPr>
        <w:t>Hennink</w:t>
      </w:r>
      <w:proofErr w:type="spellEnd"/>
      <w:r w:rsidRPr="0012170A">
        <w:rPr>
          <w:rFonts w:cstheme="minorHAnsi"/>
        </w:rPr>
        <w:t xml:space="preserve">, </w:t>
      </w:r>
      <w:proofErr w:type="spellStart"/>
      <w:r w:rsidRPr="0012170A">
        <w:rPr>
          <w:rFonts w:cstheme="minorHAnsi"/>
        </w:rPr>
        <w:t>Hutter</w:t>
      </w:r>
      <w:proofErr w:type="spellEnd"/>
      <w:r w:rsidRPr="0012170A">
        <w:rPr>
          <w:rFonts w:cstheme="minorHAnsi"/>
        </w:rPr>
        <w:t xml:space="preserve"> and </w:t>
      </w:r>
      <w:proofErr w:type="spellStart"/>
      <w:r w:rsidRPr="0012170A">
        <w:rPr>
          <w:rFonts w:cstheme="minorHAnsi"/>
        </w:rPr>
        <w:t>Biley</w:t>
      </w:r>
      <w:proofErr w:type="spellEnd"/>
      <w:r w:rsidRPr="0012170A">
        <w:rPr>
          <w:rFonts w:cstheme="minorHAnsi"/>
        </w:rPr>
        <w:t xml:space="preserve"> as ‘across paradigms.’</w:t>
      </w:r>
      <w:r w:rsidRPr="0012170A">
        <w:rPr>
          <w:rStyle w:val="FootnoteReference"/>
          <w:rFonts w:cstheme="minorHAnsi"/>
        </w:rPr>
        <w:footnoteReference w:id="52"/>
      </w:r>
      <w:r w:rsidRPr="0012170A">
        <w:rPr>
          <w:rFonts w:cstheme="minorHAnsi"/>
        </w:rPr>
        <w:t xml:space="preserve"> In this complementary design, an initial questionnaire gathered structured data and follow-up interviews provided in-depth explanation</w:t>
      </w:r>
      <w:bookmarkEnd w:id="4"/>
      <w:bookmarkEnd w:id="5"/>
      <w:r w:rsidRPr="0012170A">
        <w:rPr>
          <w:rFonts w:cstheme="minorHAnsi"/>
        </w:rPr>
        <w:t>. In line with Bryman's emphasis on ‘triangulation of measurement,’</w:t>
      </w:r>
      <w:r w:rsidRPr="0012170A">
        <w:rPr>
          <w:rStyle w:val="FootnoteReference"/>
          <w:rFonts w:cstheme="minorHAnsi"/>
        </w:rPr>
        <w:footnoteReference w:id="53"/>
      </w:r>
      <w:r w:rsidRPr="0012170A">
        <w:rPr>
          <w:rFonts w:cstheme="minorHAnsi"/>
        </w:rPr>
        <w:t xml:space="preserve"> the interpretive approach</w:t>
      </w:r>
      <w:r w:rsidRPr="0012170A">
        <w:rPr>
          <w:rFonts w:cstheme="minorHAnsi"/>
          <w:color w:val="000000"/>
        </w:rPr>
        <w:t xml:space="preserve"> </w:t>
      </w:r>
      <w:r w:rsidRPr="0012170A">
        <w:rPr>
          <w:rFonts w:cstheme="minorHAnsi"/>
        </w:rPr>
        <w:t>aimed to understand astrologers’ experiences and views on free will through their ‘meanings’ as participants—a core element of the emic perspective.</w:t>
      </w:r>
      <w:r w:rsidRPr="0012170A">
        <w:rPr>
          <w:rStyle w:val="FootnoteReference"/>
          <w:rFonts w:cstheme="minorHAnsi"/>
        </w:rPr>
        <w:footnoteReference w:id="54"/>
      </w:r>
      <w:r w:rsidRPr="0012170A">
        <w:rPr>
          <w:rFonts w:cstheme="minorHAnsi"/>
        </w:rPr>
        <w:t xml:space="preserve"> </w:t>
      </w:r>
    </w:p>
    <w:p w14:paraId="7F0552BB" w14:textId="77777777" w:rsidR="00640314" w:rsidRDefault="008572CC" w:rsidP="002838D3">
      <w:pPr>
        <w:pStyle w:val="NoSpacing"/>
      </w:pPr>
      <w:r w:rsidRPr="0012170A">
        <w:t xml:space="preserve">As suggested by </w:t>
      </w:r>
      <w:proofErr w:type="spellStart"/>
      <w:r w:rsidRPr="0012170A">
        <w:t>Hennink</w:t>
      </w:r>
      <w:proofErr w:type="spellEnd"/>
      <w:r w:rsidRPr="0012170A">
        <w:t>, the questionnaire, attached in the appendix, utilised a ‘deductive reasoning’</w:t>
      </w:r>
      <w:r w:rsidRPr="0012170A">
        <w:rPr>
          <w:rStyle w:val="FootnoteReference"/>
          <w:rFonts w:cstheme="minorHAnsi"/>
        </w:rPr>
        <w:footnoteReference w:id="55"/>
      </w:r>
      <w:r w:rsidRPr="0012170A">
        <w:t xml:space="preserve"> framework, based on the literature review and research objectives. It was piloted with three individuals before being distributed online via the Faculty of Astrological Studies (FAS) Community Group, with appropriate administrative approval. It was also shared with personal contacts affiliated with FAS, ensuring a coherent focus group. Ethical considerations, such as ensuring informed consent, confidentiality, and secure data storage on encrypted devices, were observed to maintain the integrity of the research.</w:t>
      </w:r>
      <w:r w:rsidRPr="0012170A">
        <w:rPr>
          <w:rStyle w:val="FootnoteReference"/>
          <w:rFonts w:cstheme="minorHAnsi"/>
        </w:rPr>
        <w:footnoteReference w:id="56"/>
      </w:r>
      <w:r w:rsidRPr="0012170A">
        <w:t xml:space="preserve"> Twenty-two astrologers- coded P1 to P22 for anonymity- provided a rich data set for analysis. The survey enabled the researcher to establish ‘associations among variables’</w:t>
      </w:r>
      <w:r w:rsidRPr="0012170A">
        <w:rPr>
          <w:rStyle w:val="FootnoteReference"/>
          <w:rFonts w:cstheme="minorHAnsi"/>
          <w:color w:val="000000"/>
        </w:rPr>
        <w:footnoteReference w:id="57"/>
      </w:r>
      <w:r w:rsidRPr="0012170A">
        <w:t xml:space="preserve"> and facilitated the selection of participants for the interview phase. Following </w:t>
      </w:r>
      <w:proofErr w:type="spellStart"/>
      <w:r w:rsidRPr="0012170A">
        <w:t>Braud</w:t>
      </w:r>
      <w:proofErr w:type="spellEnd"/>
      <w:r w:rsidRPr="0012170A">
        <w:t xml:space="preserve"> and Anderson’s suggestion that smaller purposive samples allow a focus on the ‘whole picture,’ five interviewees were selected based on the diversity of their experience and conceptual depth.</w:t>
      </w:r>
      <w:r w:rsidRPr="0012170A">
        <w:rPr>
          <w:rStyle w:val="FootnoteReference"/>
          <w:rFonts w:cstheme="minorHAnsi"/>
          <w:color w:val="000000"/>
        </w:rPr>
        <w:footnoteReference w:id="58"/>
      </w:r>
      <w:r w:rsidRPr="0012170A">
        <w:t xml:space="preserve"> A sixth interviewee</w:t>
      </w:r>
      <w:r w:rsidR="00F3040A">
        <w:t>, who expressed interest but responded later in the process,</w:t>
      </w:r>
      <w:r w:rsidRPr="0012170A">
        <w:t xml:space="preserve"> was added to address an underrepresented segment. Interviews were conducted via Zoom, recorded with consent, and</w:t>
      </w:r>
      <w:r w:rsidR="00F3040A">
        <w:t>—</w:t>
      </w:r>
      <w:r w:rsidRPr="0012170A">
        <w:t>as recommended by Patton</w:t>
      </w:r>
      <w:r w:rsidR="00F3040A">
        <w:t>—</w:t>
      </w:r>
      <w:r w:rsidRPr="0012170A">
        <w:t>guided by themes emerging from the questionnaire.</w:t>
      </w:r>
      <w:r w:rsidRPr="0012170A">
        <w:rPr>
          <w:rStyle w:val="FootnoteReference"/>
          <w:rFonts w:cstheme="minorHAnsi"/>
          <w:color w:val="000000"/>
        </w:rPr>
        <w:footnoteReference w:id="59"/>
      </w:r>
      <w:r w:rsidRPr="0012170A">
        <w:t xml:space="preserve"> </w:t>
      </w:r>
    </w:p>
    <w:p w14:paraId="65FC473D" w14:textId="77777777" w:rsidR="00640314" w:rsidRDefault="00640314" w:rsidP="002838D3">
      <w:pPr>
        <w:pStyle w:val="NoSpacing"/>
      </w:pPr>
    </w:p>
    <w:p w14:paraId="59A9605F" w14:textId="0A43CC2B" w:rsidR="008572CC" w:rsidRPr="0012170A" w:rsidRDefault="008572CC" w:rsidP="002838D3">
      <w:pPr>
        <w:pStyle w:val="NoSpacing"/>
      </w:pPr>
      <w:r w:rsidRPr="0012170A">
        <w:t xml:space="preserve">As </w:t>
      </w:r>
      <w:proofErr w:type="spellStart"/>
      <w:r w:rsidRPr="0012170A">
        <w:t>Madondo</w:t>
      </w:r>
      <w:proofErr w:type="spellEnd"/>
      <w:r w:rsidRPr="0012170A">
        <w:t xml:space="preserve"> noted, qualitative interviews are ‘unique’ in enabling detailed exploration of complex belief systems.</w:t>
      </w:r>
      <w:r w:rsidRPr="0012170A">
        <w:rPr>
          <w:rStyle w:val="FootnoteReference"/>
          <w:rFonts w:cstheme="minorHAnsi"/>
        </w:rPr>
        <w:footnoteReference w:id="60"/>
      </w:r>
      <w:r w:rsidRPr="0012170A">
        <w:t xml:space="preserve"> Based on Bell’s model, this perspective supports the study’s focus on how astrologers perceive and express agency through symbolic systems,</w:t>
      </w:r>
      <w:r w:rsidRPr="0012170A">
        <w:rPr>
          <w:rStyle w:val="FootnoteReference"/>
          <w:rFonts w:cstheme="minorHAnsi"/>
          <w:color w:val="000000"/>
        </w:rPr>
        <w:footnoteReference w:id="61"/>
      </w:r>
      <w:r w:rsidRPr="0012170A">
        <w:t xml:space="preserve"> as in-depth interviews enabled a nuanced examination of key themes, such as personal responsibility, morals and decision-making. The principle of</w:t>
      </w:r>
      <w:r w:rsidRPr="0012170A">
        <w:rPr>
          <w:rStyle w:val="apple-converted-space"/>
          <w:rFonts w:cstheme="minorHAnsi"/>
          <w:color w:val="000000"/>
        </w:rPr>
        <w:t> </w:t>
      </w:r>
      <w:r w:rsidRPr="0012170A">
        <w:rPr>
          <w:rStyle w:val="Emphasis"/>
          <w:rFonts w:cstheme="minorHAnsi"/>
          <w:color w:val="000000"/>
        </w:rPr>
        <w:t>do no harm</w:t>
      </w:r>
      <w:r w:rsidRPr="0012170A">
        <w:rPr>
          <w:rStyle w:val="apple-converted-space"/>
          <w:rFonts w:cstheme="minorHAnsi"/>
          <w:color w:val="000000"/>
        </w:rPr>
        <w:t> </w:t>
      </w:r>
      <w:r w:rsidRPr="0012170A">
        <w:t>was prioritised, recognising the introspective and existential nature of the material discussed.</w:t>
      </w:r>
    </w:p>
    <w:p w14:paraId="51E2FFA4" w14:textId="77777777" w:rsidR="008572CC" w:rsidRPr="0012170A" w:rsidRDefault="008572CC" w:rsidP="002838D3">
      <w:pPr>
        <w:pStyle w:val="NoSpacing"/>
      </w:pPr>
      <w:r w:rsidRPr="0012170A">
        <w:lastRenderedPageBreak/>
        <w:t>Data analysis followed an inductive thematic coding strategy, guided by Braun and Clarke’s six-phase model.</w:t>
      </w:r>
      <w:r w:rsidRPr="0012170A">
        <w:rPr>
          <w:rStyle w:val="FootnoteReference"/>
          <w:rFonts w:cstheme="minorHAnsi"/>
          <w:color w:val="000000"/>
        </w:rPr>
        <w:footnoteReference w:id="62"/>
      </w:r>
      <w:r w:rsidRPr="0012170A">
        <w:t xml:space="preserve"> Codes, defined by Bell as ‘tags or labels for assigning units of meaning,’</w:t>
      </w:r>
      <w:r w:rsidRPr="0012170A">
        <w:rPr>
          <w:rStyle w:val="FootnoteReference"/>
          <w:rFonts w:cstheme="minorHAnsi"/>
          <w:color w:val="000000"/>
        </w:rPr>
        <w:footnoteReference w:id="63"/>
      </w:r>
      <w:r w:rsidRPr="0012170A">
        <w:t xml:space="preserve"> were generated through immersion in qualitative data and constant comparison, enabling the researcher to cluster core issues.</w:t>
      </w:r>
      <w:r w:rsidRPr="0012170A">
        <w:rPr>
          <w:rStyle w:val="FootnoteReference"/>
          <w:rFonts w:cstheme="minorHAnsi"/>
          <w:color w:val="000000"/>
        </w:rPr>
        <w:footnoteReference w:id="64"/>
      </w:r>
      <w:r w:rsidRPr="0012170A">
        <w:t xml:space="preserve">  The analysis was informed by constructivist grounded theory principles, particularly Charmaz’s emphasis that the researcher’s role is central in meaning-making.</w:t>
      </w:r>
      <w:r w:rsidRPr="0012170A">
        <w:rPr>
          <w:rStyle w:val="FootnoteReference"/>
          <w:rFonts w:cstheme="minorHAnsi"/>
          <w:color w:val="000000"/>
        </w:rPr>
        <w:footnoteReference w:id="65"/>
      </w:r>
      <w:r w:rsidRPr="0012170A">
        <w:t xml:space="preserve">  Clarke’s ‘situational analysis’</w:t>
      </w:r>
      <w:r w:rsidRPr="0012170A">
        <w:rPr>
          <w:rStyle w:val="FootnoteReference"/>
          <w:rFonts w:cstheme="minorHAnsi"/>
          <w:color w:val="000000"/>
        </w:rPr>
        <w:footnoteReference w:id="66"/>
      </w:r>
      <w:r w:rsidRPr="0012170A">
        <w:t xml:space="preserve"> enriched the interpretation by connecting individual narratives with wider discursive fields. As suggested by Bryman, analytic induction</w:t>
      </w:r>
      <w:r w:rsidRPr="0012170A">
        <w:rPr>
          <w:rStyle w:val="FootnoteReference"/>
          <w:rFonts w:cstheme="minorHAnsi"/>
          <w:color w:val="000000"/>
        </w:rPr>
        <w:footnoteReference w:id="67"/>
      </w:r>
      <w:r w:rsidRPr="0012170A">
        <w:t xml:space="preserve"> was used to explore whether patterns, such as years of practice, correlated with specific beliefs, including views on free will.</w:t>
      </w:r>
    </w:p>
    <w:p w14:paraId="07745298" w14:textId="77777777" w:rsidR="002838D3" w:rsidRDefault="002838D3" w:rsidP="002838D3">
      <w:pPr>
        <w:pStyle w:val="NoSpacing"/>
        <w:rPr>
          <w:b/>
          <w:bCs/>
        </w:rPr>
      </w:pPr>
    </w:p>
    <w:p w14:paraId="0C761C56" w14:textId="3C6236C8" w:rsidR="008572CC" w:rsidRDefault="00E674BB" w:rsidP="002838D3">
      <w:pPr>
        <w:pStyle w:val="NoSpacing"/>
        <w:rPr>
          <w:b/>
          <w:bCs/>
        </w:rPr>
      </w:pPr>
      <w:r>
        <w:rPr>
          <w:b/>
          <w:bCs/>
        </w:rPr>
        <w:t xml:space="preserve">3.1 </w:t>
      </w:r>
      <w:r w:rsidR="008572CC" w:rsidRPr="0012170A">
        <w:rPr>
          <w:b/>
          <w:bCs/>
        </w:rPr>
        <w:t>Researcher Position and Reflexivity</w:t>
      </w:r>
    </w:p>
    <w:p w14:paraId="25278547" w14:textId="77777777" w:rsidR="002838D3" w:rsidRPr="0012170A" w:rsidRDefault="002838D3" w:rsidP="002838D3">
      <w:pPr>
        <w:pStyle w:val="NoSpacing"/>
      </w:pPr>
    </w:p>
    <w:p w14:paraId="2A29B5FB" w14:textId="0CCBADA1" w:rsidR="008572CC" w:rsidRDefault="008572CC" w:rsidP="002838D3">
      <w:pPr>
        <w:pStyle w:val="NoSpacing"/>
      </w:pPr>
      <w:r w:rsidRPr="0012170A">
        <w:t xml:space="preserve">As a </w:t>
      </w:r>
      <w:r w:rsidR="00C67CA7">
        <w:t>student at the Faculty of Astrological Studies</w:t>
      </w:r>
      <w:r w:rsidRPr="0012170A">
        <w:t>, I occupied an insider position, sharing symbolic language and training with participants. However, I was also an outsider, not practising astrology professionally, which provided analytical distance. According to professional researchers, this dual position allowed for both</w:t>
      </w:r>
      <w:r w:rsidRPr="0012170A">
        <w:rPr>
          <w:rStyle w:val="apple-converted-space"/>
          <w:rFonts w:cstheme="minorHAnsi"/>
        </w:rPr>
        <w:t> </w:t>
      </w:r>
      <w:r w:rsidRPr="0012170A">
        <w:rPr>
          <w:rStyle w:val="Emphasis"/>
          <w:rFonts w:cstheme="minorHAnsi"/>
        </w:rPr>
        <w:t>verstehen</w:t>
      </w:r>
      <w:r w:rsidRPr="0012170A">
        <w:rPr>
          <w:rStyle w:val="apple-converted-space"/>
          <w:rFonts w:cstheme="minorHAnsi"/>
        </w:rPr>
        <w:t>—</w:t>
      </w:r>
      <w:r w:rsidRPr="0012170A">
        <w:t>emic understanding—and critical reflection.</w:t>
      </w:r>
      <w:r w:rsidRPr="0012170A">
        <w:rPr>
          <w:rStyle w:val="FootnoteReference"/>
          <w:rFonts w:cstheme="minorHAnsi"/>
        </w:rPr>
        <w:footnoteReference w:id="68"/>
      </w:r>
      <w:r w:rsidRPr="0012170A">
        <w:t xml:space="preserve"> My interest in free will has guided my approach, and I continually questioned assumptions during all phases of research.</w:t>
      </w:r>
      <w:r w:rsidRPr="0012170A">
        <w:rPr>
          <w:rStyle w:val="FootnoteReference"/>
          <w:rFonts w:cstheme="minorHAnsi"/>
          <w:color w:val="000000"/>
        </w:rPr>
        <w:footnoteReference w:id="69"/>
      </w:r>
      <w:r w:rsidRPr="0012170A">
        <w:t xml:space="preserve">  </w:t>
      </w:r>
    </w:p>
    <w:p w14:paraId="7E80478D" w14:textId="77777777" w:rsidR="002838D3" w:rsidRPr="0012170A" w:rsidRDefault="002838D3" w:rsidP="002838D3">
      <w:pPr>
        <w:pStyle w:val="NoSpacing"/>
      </w:pPr>
    </w:p>
    <w:p w14:paraId="1D373481" w14:textId="77777777" w:rsidR="008572CC" w:rsidRDefault="008572CC" w:rsidP="002838D3">
      <w:pPr>
        <w:pStyle w:val="NoSpacing"/>
      </w:pPr>
      <w:r w:rsidRPr="0012170A">
        <w:t>Following Finlay, I examined how my position shaped the production of ‘partial and situated’ knowledge.</w:t>
      </w:r>
      <w:r w:rsidRPr="0012170A">
        <w:rPr>
          <w:rStyle w:val="FootnoteReference"/>
          <w:rFonts w:cstheme="minorHAnsi"/>
        </w:rPr>
        <w:footnoteReference w:id="70"/>
      </w:r>
      <w:r w:rsidRPr="0012170A">
        <w:t xml:space="preserve"> Smith noted that ’the critical issue’ with insider research is the constant need for reflexivity.</w:t>
      </w:r>
      <w:r w:rsidRPr="0012170A">
        <w:rPr>
          <w:rStyle w:val="FootnoteReference"/>
          <w:rFonts w:cstheme="minorHAnsi"/>
        </w:rPr>
        <w:footnoteReference w:id="71"/>
      </w:r>
      <w:r w:rsidRPr="0012170A">
        <w:t xml:space="preserve"> Following the pedagogical model of Patton, the focus was on remaining self-analytical and reflexive in consciousness.</w:t>
      </w:r>
      <w:r w:rsidRPr="0012170A">
        <w:rPr>
          <w:rStyle w:val="FootnoteReference"/>
          <w:rFonts w:cstheme="minorHAnsi"/>
        </w:rPr>
        <w:footnoteReference w:id="72"/>
      </w:r>
      <w:r w:rsidRPr="0012170A">
        <w:t xml:space="preserve"> As Moustakas describe, ‘indwelling’ —a process that guided my interpretive stance—involves turning inward for deeper comprehension.</w:t>
      </w:r>
      <w:r w:rsidRPr="0012170A">
        <w:rPr>
          <w:rStyle w:val="FootnoteReference"/>
          <w:rFonts w:cstheme="minorHAnsi"/>
          <w:color w:val="000000"/>
        </w:rPr>
        <w:footnoteReference w:id="73"/>
      </w:r>
      <w:r w:rsidRPr="0012170A">
        <w:t xml:space="preserve"> </w:t>
      </w:r>
      <w:proofErr w:type="spellStart"/>
      <w:r w:rsidRPr="0012170A">
        <w:t>Braud</w:t>
      </w:r>
      <w:proofErr w:type="spellEnd"/>
      <w:r w:rsidRPr="0012170A">
        <w:t xml:space="preserve"> and Anderson further proposed that in integral inquiry, researchers and participants are ‘co-researchers’, united by shared investment in the question.</w:t>
      </w:r>
      <w:r w:rsidRPr="0012170A">
        <w:rPr>
          <w:rStyle w:val="FootnoteReference"/>
          <w:rFonts w:cstheme="minorHAnsi"/>
          <w:color w:val="000000"/>
        </w:rPr>
        <w:footnoteReference w:id="74"/>
      </w:r>
      <w:r w:rsidRPr="0012170A">
        <w:t xml:space="preserve"> Interpersonal reflexivity also played a role: participants were enthusiastic, willing, and eager to share. </w:t>
      </w:r>
    </w:p>
    <w:p w14:paraId="6D62C792" w14:textId="77777777" w:rsidR="00C67CA7" w:rsidRPr="0012170A" w:rsidRDefault="00C67CA7" w:rsidP="002838D3">
      <w:pPr>
        <w:pStyle w:val="NoSpacing"/>
      </w:pPr>
    </w:p>
    <w:p w14:paraId="69E5F5ED" w14:textId="77777777" w:rsidR="008572CC" w:rsidRPr="0012170A" w:rsidRDefault="008572CC" w:rsidP="002838D3">
      <w:pPr>
        <w:pStyle w:val="NoSpacing"/>
      </w:pPr>
      <w:r w:rsidRPr="0012170A">
        <w:t>In conclusion, this methodology integrated qualitative depth with quantitative overview, reflexive awareness with ethical rigour, and thematic inductiveness with conceptual sensitivity. The goal was not to produce definitive causal claims but to illuminate the complex and evolving ways contemporary astrologers conceptualise free will within a symbolic cosmos. The following section presents the findings from this exploration, highlighting key themes and variations across levels of experience.</w:t>
      </w:r>
    </w:p>
    <w:p w14:paraId="6B9E63E8" w14:textId="77777777" w:rsidR="00C67CA7" w:rsidRDefault="00C67CA7" w:rsidP="008572CC">
      <w:pPr>
        <w:rPr>
          <w:rFonts w:cstheme="minorHAnsi"/>
          <w:b/>
          <w:bCs/>
          <w:color w:val="000000"/>
        </w:rPr>
      </w:pPr>
    </w:p>
    <w:p w14:paraId="5D15CBFE" w14:textId="77777777" w:rsidR="00C67CA7" w:rsidRDefault="00C67CA7" w:rsidP="008572CC">
      <w:pPr>
        <w:rPr>
          <w:rFonts w:cstheme="minorHAnsi"/>
          <w:b/>
          <w:bCs/>
          <w:color w:val="000000"/>
        </w:rPr>
      </w:pPr>
    </w:p>
    <w:p w14:paraId="361886B9" w14:textId="366BB544" w:rsidR="008572CC" w:rsidRDefault="008572CC" w:rsidP="008572CC">
      <w:pPr>
        <w:rPr>
          <w:rFonts w:cstheme="minorHAnsi"/>
          <w:b/>
          <w:bCs/>
          <w:color w:val="000000"/>
        </w:rPr>
      </w:pPr>
      <w:r w:rsidRPr="0012170A">
        <w:rPr>
          <w:rFonts w:cstheme="minorHAnsi"/>
          <w:b/>
          <w:bCs/>
          <w:color w:val="000000"/>
        </w:rPr>
        <w:lastRenderedPageBreak/>
        <w:t>4. Findings</w:t>
      </w:r>
    </w:p>
    <w:p w14:paraId="0E2BEB42" w14:textId="3FD1E20E" w:rsidR="008572CC" w:rsidRPr="0012170A" w:rsidRDefault="008572CC" w:rsidP="008572CC">
      <w:pPr>
        <w:rPr>
          <w:rFonts w:cstheme="minorHAnsi"/>
          <w:b/>
          <w:bCs/>
          <w:color w:val="000000"/>
        </w:rPr>
      </w:pPr>
      <w:r w:rsidRPr="0012170A">
        <w:rPr>
          <w:rFonts w:cstheme="minorHAnsi"/>
          <w:b/>
          <w:bCs/>
          <w:color w:val="000000"/>
        </w:rPr>
        <w:t xml:space="preserve">4.1 Demographic </w:t>
      </w:r>
      <w:r w:rsidR="003249D2">
        <w:rPr>
          <w:rFonts w:cstheme="minorHAnsi"/>
          <w:b/>
          <w:bCs/>
          <w:color w:val="000000"/>
        </w:rPr>
        <w:t>O</w:t>
      </w:r>
      <w:r w:rsidRPr="0012170A">
        <w:rPr>
          <w:rFonts w:cstheme="minorHAnsi"/>
          <w:b/>
          <w:bCs/>
          <w:color w:val="000000"/>
        </w:rPr>
        <w:t>verview and Astrological Orientation</w:t>
      </w:r>
    </w:p>
    <w:p w14:paraId="45ECF1F5" w14:textId="68CB8FCD" w:rsidR="008572CC" w:rsidRPr="0012170A" w:rsidRDefault="008E65C9" w:rsidP="008572CC">
      <w:pPr>
        <w:rPr>
          <w:rFonts w:cstheme="minorHAnsi"/>
        </w:rPr>
      </w:pPr>
      <w:r w:rsidRPr="0012170A">
        <w:rPr>
          <w:rFonts w:cstheme="minorHAnsi"/>
        </w:rPr>
        <w:t>The study comprised 22 participants</w:t>
      </w:r>
      <w:r w:rsidR="008572CC" w:rsidRPr="0012170A">
        <w:rPr>
          <w:rFonts w:cstheme="minorHAnsi"/>
        </w:rPr>
        <w:t>, students and practi</w:t>
      </w:r>
      <w:r>
        <w:rPr>
          <w:rFonts w:cstheme="minorHAnsi"/>
        </w:rPr>
        <w:t>s</w:t>
      </w:r>
      <w:r w:rsidR="008572CC" w:rsidRPr="0012170A">
        <w:rPr>
          <w:rFonts w:cstheme="minorHAnsi"/>
        </w:rPr>
        <w:t xml:space="preserve">ing astrologers, aged between 34 and 77. Demographic data in Figure 1 indicate that most are in midlife, a stage often associated with increased interest in personal meaning and symbolic frameworks such as astrology. </w:t>
      </w:r>
    </w:p>
    <w:p w14:paraId="5D456C51" w14:textId="77777777" w:rsidR="00012F44" w:rsidRDefault="008572CC" w:rsidP="00012F44">
      <w:pPr>
        <w:pStyle w:val="Caption"/>
        <w:rPr>
          <w:rFonts w:cstheme="minorHAnsi"/>
          <w:sz w:val="22"/>
          <w:szCs w:val="22"/>
        </w:rPr>
      </w:pPr>
      <w:r w:rsidRPr="0012170A">
        <w:rPr>
          <w:rFonts w:cstheme="minorHAnsi"/>
          <w:noProof/>
        </w:rPr>
        <w:drawing>
          <wp:inline distT="0" distB="0" distL="0" distR="0" wp14:anchorId="23E5ED4C" wp14:editId="4FC46CB8">
            <wp:extent cx="3786257" cy="2334860"/>
            <wp:effectExtent l="0" t="0" r="0" b="2540"/>
            <wp:docPr id="1987716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1474" name=""/>
                    <pic:cNvPicPr/>
                  </pic:nvPicPr>
                  <pic:blipFill>
                    <a:blip r:embed="rId9"/>
                    <a:stretch>
                      <a:fillRect/>
                    </a:stretch>
                  </pic:blipFill>
                  <pic:spPr>
                    <a:xfrm>
                      <a:off x="0" y="0"/>
                      <a:ext cx="3867539" cy="2384984"/>
                    </a:xfrm>
                    <a:prstGeom prst="rect">
                      <a:avLst/>
                    </a:prstGeom>
                  </pic:spPr>
                </pic:pic>
              </a:graphicData>
            </a:graphic>
          </wp:inline>
        </w:drawing>
      </w:r>
    </w:p>
    <w:p w14:paraId="6EEB7FE3" w14:textId="356E231A" w:rsidR="00012F44" w:rsidRPr="0012170A" w:rsidRDefault="00012F44" w:rsidP="00012F44">
      <w:pPr>
        <w:pStyle w:val="Caption"/>
        <w:rPr>
          <w:rFonts w:cstheme="minorHAnsi"/>
          <w:sz w:val="22"/>
          <w:szCs w:val="22"/>
        </w:rPr>
      </w:pPr>
      <w:r w:rsidRPr="0012170A">
        <w:rPr>
          <w:rFonts w:cstheme="minorHAnsi"/>
          <w:sz w:val="22"/>
          <w:szCs w:val="22"/>
        </w:rPr>
        <w:t xml:space="preserve">Figure </w:t>
      </w:r>
      <w:r w:rsidRPr="0012170A">
        <w:rPr>
          <w:rFonts w:cstheme="minorHAnsi"/>
          <w:sz w:val="22"/>
          <w:szCs w:val="22"/>
        </w:rPr>
        <w:fldChar w:fldCharType="begin"/>
      </w:r>
      <w:r w:rsidRPr="0012170A">
        <w:rPr>
          <w:rFonts w:cstheme="minorHAnsi"/>
          <w:sz w:val="22"/>
          <w:szCs w:val="22"/>
        </w:rPr>
        <w:instrText xml:space="preserve"> SEQ Figure \* ARABIC </w:instrText>
      </w:r>
      <w:r w:rsidRPr="0012170A">
        <w:rPr>
          <w:rFonts w:cstheme="minorHAnsi"/>
          <w:sz w:val="22"/>
          <w:szCs w:val="22"/>
        </w:rPr>
        <w:fldChar w:fldCharType="separate"/>
      </w:r>
      <w:r w:rsidRPr="0012170A">
        <w:rPr>
          <w:rFonts w:cstheme="minorHAnsi"/>
          <w:noProof/>
          <w:sz w:val="22"/>
          <w:szCs w:val="22"/>
        </w:rPr>
        <w:t>1</w:t>
      </w:r>
      <w:r w:rsidRPr="0012170A">
        <w:rPr>
          <w:rFonts w:cstheme="minorHAnsi"/>
          <w:noProof/>
          <w:sz w:val="22"/>
          <w:szCs w:val="22"/>
        </w:rPr>
        <w:fldChar w:fldCharType="end"/>
      </w:r>
      <w:r>
        <w:rPr>
          <w:rFonts w:cstheme="minorHAnsi"/>
          <w:sz w:val="22"/>
          <w:szCs w:val="22"/>
        </w:rPr>
        <w:t>.</w:t>
      </w:r>
      <w:r w:rsidRPr="0012170A">
        <w:rPr>
          <w:rFonts w:cstheme="minorHAnsi"/>
          <w:sz w:val="22"/>
          <w:szCs w:val="22"/>
        </w:rPr>
        <w:t xml:space="preserve"> </w:t>
      </w:r>
    </w:p>
    <w:p w14:paraId="2011DFB4" w14:textId="5B9617C8" w:rsidR="008572CC" w:rsidRPr="0012170A" w:rsidRDefault="008572CC" w:rsidP="008572CC">
      <w:pPr>
        <w:rPr>
          <w:rFonts w:cstheme="minorHAnsi"/>
        </w:rPr>
      </w:pPr>
    </w:p>
    <w:p w14:paraId="68BFB542" w14:textId="77777777" w:rsidR="008572CC" w:rsidRDefault="008572CC" w:rsidP="008572CC">
      <w:pPr>
        <w:rPr>
          <w:rFonts w:cstheme="minorHAnsi"/>
        </w:rPr>
      </w:pPr>
      <w:r w:rsidRPr="0012170A">
        <w:rPr>
          <w:rFonts w:cstheme="minorHAnsi"/>
        </w:rPr>
        <w:t>The gender distribution, as in Figure 2, was predominantly female (77%), aligning with broader demographic trends in contemporary astrological communities observed by Brady</w:t>
      </w:r>
      <w:r w:rsidRPr="0012170A">
        <w:rPr>
          <w:rStyle w:val="FootnoteReference"/>
          <w:rFonts w:cstheme="minorHAnsi"/>
          <w:color w:val="000000"/>
        </w:rPr>
        <w:footnoteReference w:id="75"/>
      </w:r>
      <w:r w:rsidRPr="0012170A">
        <w:rPr>
          <w:rFonts w:cstheme="minorHAnsi"/>
        </w:rPr>
        <w:t xml:space="preserve"> and Campion,</w:t>
      </w:r>
      <w:r w:rsidRPr="0012170A">
        <w:rPr>
          <w:rStyle w:val="FootnoteReference"/>
          <w:rFonts w:cstheme="minorHAnsi"/>
          <w:color w:val="000000"/>
        </w:rPr>
        <w:footnoteReference w:id="76"/>
      </w:r>
      <w:r w:rsidRPr="0012170A">
        <w:rPr>
          <w:rFonts w:cstheme="minorHAnsi"/>
        </w:rPr>
        <w:t xml:space="preserve"> </w:t>
      </w:r>
      <w:r w:rsidRPr="0012170A">
        <w:rPr>
          <w:rFonts w:cstheme="minorHAnsi"/>
          <w:color w:val="000000"/>
        </w:rPr>
        <w:t xml:space="preserve">who also reference earlier observations </w:t>
      </w:r>
      <w:r w:rsidRPr="0012170A">
        <w:rPr>
          <w:rFonts w:cstheme="minorHAnsi"/>
        </w:rPr>
        <w:t xml:space="preserve">by Feher (1992) and Costello (2006). </w:t>
      </w:r>
    </w:p>
    <w:p w14:paraId="0C4E5DB8" w14:textId="77777777" w:rsidR="00012F44" w:rsidRDefault="00012F44" w:rsidP="00012F44">
      <w:pPr>
        <w:pStyle w:val="Caption"/>
        <w:rPr>
          <w:rFonts w:cstheme="minorHAnsi"/>
          <w:sz w:val="22"/>
          <w:szCs w:val="22"/>
        </w:rPr>
      </w:pPr>
      <w:r w:rsidRPr="0012170A">
        <w:rPr>
          <w:rFonts w:cstheme="minorHAnsi"/>
          <w:noProof/>
        </w:rPr>
        <w:drawing>
          <wp:inline distT="0" distB="0" distL="0" distR="0" wp14:anchorId="18820B41" wp14:editId="3BF482FF">
            <wp:extent cx="3609109" cy="2225616"/>
            <wp:effectExtent l="0" t="0" r="0" b="3810"/>
            <wp:docPr id="485612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12915" name=""/>
                    <pic:cNvPicPr/>
                  </pic:nvPicPr>
                  <pic:blipFill>
                    <a:blip r:embed="rId10"/>
                    <a:stretch>
                      <a:fillRect/>
                    </a:stretch>
                  </pic:blipFill>
                  <pic:spPr>
                    <a:xfrm>
                      <a:off x="0" y="0"/>
                      <a:ext cx="3609109" cy="2225616"/>
                    </a:xfrm>
                    <a:prstGeom prst="rect">
                      <a:avLst/>
                    </a:prstGeom>
                  </pic:spPr>
                </pic:pic>
              </a:graphicData>
            </a:graphic>
          </wp:inline>
        </w:drawing>
      </w:r>
      <w:r w:rsidRPr="00012F44">
        <w:rPr>
          <w:rFonts w:cstheme="minorHAnsi"/>
          <w:sz w:val="22"/>
          <w:szCs w:val="22"/>
        </w:rPr>
        <w:t xml:space="preserve"> </w:t>
      </w:r>
      <w:r>
        <w:rPr>
          <w:rFonts w:cstheme="minorHAnsi"/>
          <w:sz w:val="22"/>
          <w:szCs w:val="22"/>
        </w:rPr>
        <w:t xml:space="preserve">      </w:t>
      </w:r>
    </w:p>
    <w:p w14:paraId="061F9AA3" w14:textId="3687A193" w:rsidR="00012F44" w:rsidRPr="0012170A" w:rsidRDefault="00012F44" w:rsidP="00012F44">
      <w:pPr>
        <w:pStyle w:val="Caption"/>
        <w:rPr>
          <w:rFonts w:cstheme="minorHAnsi"/>
          <w:sz w:val="22"/>
          <w:szCs w:val="22"/>
        </w:rPr>
      </w:pPr>
      <w:r>
        <w:rPr>
          <w:rFonts w:cstheme="minorHAnsi"/>
          <w:sz w:val="22"/>
          <w:szCs w:val="22"/>
        </w:rPr>
        <w:t xml:space="preserve"> </w:t>
      </w:r>
      <w:r w:rsidRPr="0012170A">
        <w:rPr>
          <w:rFonts w:cstheme="minorHAnsi"/>
          <w:sz w:val="22"/>
          <w:szCs w:val="22"/>
        </w:rPr>
        <w:t xml:space="preserve">Figure </w:t>
      </w:r>
      <w:r w:rsidRPr="0012170A">
        <w:rPr>
          <w:rFonts w:cstheme="minorHAnsi"/>
          <w:sz w:val="22"/>
          <w:szCs w:val="22"/>
        </w:rPr>
        <w:fldChar w:fldCharType="begin"/>
      </w:r>
      <w:r w:rsidRPr="0012170A">
        <w:rPr>
          <w:rFonts w:cstheme="minorHAnsi"/>
          <w:sz w:val="22"/>
          <w:szCs w:val="22"/>
        </w:rPr>
        <w:instrText xml:space="preserve"> SEQ Figure \* ARABIC </w:instrText>
      </w:r>
      <w:r w:rsidRPr="0012170A">
        <w:rPr>
          <w:rFonts w:cstheme="minorHAnsi"/>
          <w:sz w:val="22"/>
          <w:szCs w:val="22"/>
        </w:rPr>
        <w:fldChar w:fldCharType="separate"/>
      </w:r>
      <w:r w:rsidRPr="0012170A">
        <w:rPr>
          <w:rFonts w:cstheme="minorHAnsi"/>
          <w:noProof/>
          <w:sz w:val="22"/>
          <w:szCs w:val="22"/>
        </w:rPr>
        <w:t>2</w:t>
      </w:r>
      <w:r w:rsidRPr="0012170A">
        <w:rPr>
          <w:rFonts w:cstheme="minorHAnsi"/>
          <w:noProof/>
          <w:sz w:val="22"/>
          <w:szCs w:val="22"/>
        </w:rPr>
        <w:fldChar w:fldCharType="end"/>
      </w:r>
      <w:r w:rsidRPr="0012170A">
        <w:rPr>
          <w:rFonts w:cstheme="minorHAnsi"/>
          <w:sz w:val="22"/>
          <w:szCs w:val="22"/>
        </w:rPr>
        <w:t>.</w:t>
      </w:r>
      <w:r>
        <w:rPr>
          <w:rFonts w:cstheme="minorHAnsi"/>
          <w:sz w:val="22"/>
          <w:szCs w:val="22"/>
        </w:rPr>
        <w:t xml:space="preserve"> </w:t>
      </w:r>
    </w:p>
    <w:p w14:paraId="10CF7899" w14:textId="057C0C40" w:rsidR="00C31F63" w:rsidRPr="0012170A" w:rsidRDefault="00C31F63" w:rsidP="008572CC">
      <w:pPr>
        <w:rPr>
          <w:rFonts w:cstheme="minorHAnsi"/>
        </w:rPr>
      </w:pPr>
    </w:p>
    <w:p w14:paraId="1D99A003" w14:textId="5D4B6676" w:rsidR="008572CC" w:rsidRPr="0012170A" w:rsidRDefault="008572CC" w:rsidP="008572CC">
      <w:pPr>
        <w:rPr>
          <w:rFonts w:cstheme="minorHAnsi"/>
        </w:rPr>
      </w:pPr>
    </w:p>
    <w:p w14:paraId="6CC1A988" w14:textId="0E46154A" w:rsidR="008572CC" w:rsidRPr="0012170A" w:rsidRDefault="008572CC" w:rsidP="008572CC">
      <w:pPr>
        <w:rPr>
          <w:rFonts w:cstheme="minorHAnsi"/>
          <w:color w:val="000000"/>
        </w:rPr>
      </w:pPr>
      <w:r w:rsidRPr="0012170A">
        <w:rPr>
          <w:rFonts w:cstheme="minorHAnsi"/>
        </w:rPr>
        <w:t xml:space="preserve">The participants’ astrological experience—Figure 3— ranged from 1 to 66 years, with the 0–5 years group forming the most significant cluster. The 11–20 years category was notably underrepresented and remains a gap in the dataset. </w:t>
      </w:r>
      <w:r w:rsidRPr="0012170A">
        <w:rPr>
          <w:rFonts w:cstheme="minorHAnsi"/>
          <w:color w:val="000000"/>
        </w:rPr>
        <w:t>While levels of formal practice varied, all respondents demonstrated a</w:t>
      </w:r>
      <w:r w:rsidR="00D25196">
        <w:rPr>
          <w:rFonts w:cstheme="minorHAnsi"/>
          <w:color w:val="000000"/>
        </w:rPr>
        <w:t>ctive engagement with astrological symbolism, which enriched their discussions on concepts such as free will, fate, determinism,</w:t>
      </w:r>
      <w:r w:rsidRPr="0012170A">
        <w:rPr>
          <w:rFonts w:cstheme="minorHAnsi"/>
          <w:color w:val="000000"/>
        </w:rPr>
        <w:t xml:space="preserve"> and their astrological interpretation.</w:t>
      </w:r>
    </w:p>
    <w:p w14:paraId="5C91C782" w14:textId="77777777" w:rsidR="008572CC" w:rsidRPr="0012170A" w:rsidRDefault="008572CC" w:rsidP="008572CC">
      <w:pPr>
        <w:rPr>
          <w:rFonts w:cstheme="minorHAnsi"/>
          <w:color w:val="000000"/>
        </w:rPr>
      </w:pPr>
    </w:p>
    <w:p w14:paraId="4DE07224" w14:textId="77777777" w:rsidR="00012F44" w:rsidRDefault="008572CC" w:rsidP="00012F44">
      <w:pPr>
        <w:pStyle w:val="Caption"/>
        <w:rPr>
          <w:rFonts w:cstheme="minorHAnsi"/>
          <w:sz w:val="22"/>
          <w:szCs w:val="22"/>
        </w:rPr>
      </w:pPr>
      <w:r w:rsidRPr="0012170A">
        <w:rPr>
          <w:rFonts w:cstheme="minorHAnsi"/>
          <w:noProof/>
          <w:sz w:val="22"/>
          <w:szCs w:val="22"/>
        </w:rPr>
        <w:drawing>
          <wp:inline distT="0" distB="0" distL="0" distR="0" wp14:anchorId="157FDA69" wp14:editId="64EAAFB4">
            <wp:extent cx="3628393" cy="2237509"/>
            <wp:effectExtent l="0" t="0" r="0" b="0"/>
            <wp:docPr id="753007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007990" name=""/>
                    <pic:cNvPicPr/>
                  </pic:nvPicPr>
                  <pic:blipFill>
                    <a:blip r:embed="rId11"/>
                    <a:stretch>
                      <a:fillRect/>
                    </a:stretch>
                  </pic:blipFill>
                  <pic:spPr>
                    <a:xfrm>
                      <a:off x="0" y="0"/>
                      <a:ext cx="3719230" cy="2293525"/>
                    </a:xfrm>
                    <a:prstGeom prst="rect">
                      <a:avLst/>
                    </a:prstGeom>
                  </pic:spPr>
                </pic:pic>
              </a:graphicData>
            </a:graphic>
          </wp:inline>
        </w:drawing>
      </w:r>
      <w:r w:rsidR="00012F44" w:rsidRPr="00012F44">
        <w:rPr>
          <w:rFonts w:cstheme="minorHAnsi"/>
          <w:sz w:val="22"/>
          <w:szCs w:val="22"/>
        </w:rPr>
        <w:t xml:space="preserve"> </w:t>
      </w:r>
    </w:p>
    <w:p w14:paraId="4A0899ED" w14:textId="247594F6" w:rsidR="00012F44" w:rsidRPr="0012170A" w:rsidRDefault="00012F44" w:rsidP="00012F44">
      <w:pPr>
        <w:pStyle w:val="Caption"/>
        <w:rPr>
          <w:rFonts w:cstheme="minorHAnsi"/>
          <w:sz w:val="22"/>
          <w:szCs w:val="22"/>
        </w:rPr>
      </w:pPr>
      <w:r w:rsidRPr="0012170A">
        <w:rPr>
          <w:rFonts w:cstheme="minorHAnsi"/>
          <w:sz w:val="22"/>
          <w:szCs w:val="22"/>
        </w:rPr>
        <w:t xml:space="preserve">Figure </w:t>
      </w:r>
      <w:r w:rsidRPr="0012170A">
        <w:rPr>
          <w:rFonts w:cstheme="minorHAnsi"/>
          <w:sz w:val="22"/>
          <w:szCs w:val="22"/>
        </w:rPr>
        <w:fldChar w:fldCharType="begin"/>
      </w:r>
      <w:r w:rsidRPr="0012170A">
        <w:rPr>
          <w:rFonts w:cstheme="minorHAnsi"/>
          <w:sz w:val="22"/>
          <w:szCs w:val="22"/>
        </w:rPr>
        <w:instrText xml:space="preserve"> SEQ Figure \* ARABIC </w:instrText>
      </w:r>
      <w:r w:rsidRPr="0012170A">
        <w:rPr>
          <w:rFonts w:cstheme="minorHAnsi"/>
          <w:sz w:val="22"/>
          <w:szCs w:val="22"/>
        </w:rPr>
        <w:fldChar w:fldCharType="separate"/>
      </w:r>
      <w:r w:rsidRPr="0012170A">
        <w:rPr>
          <w:rFonts w:cstheme="minorHAnsi"/>
          <w:noProof/>
          <w:sz w:val="22"/>
          <w:szCs w:val="22"/>
        </w:rPr>
        <w:t>3</w:t>
      </w:r>
      <w:r w:rsidRPr="0012170A">
        <w:rPr>
          <w:rFonts w:cstheme="minorHAnsi"/>
          <w:noProof/>
          <w:sz w:val="22"/>
          <w:szCs w:val="22"/>
        </w:rPr>
        <w:fldChar w:fldCharType="end"/>
      </w:r>
      <w:r w:rsidRPr="0012170A">
        <w:rPr>
          <w:rFonts w:cstheme="minorHAnsi"/>
          <w:sz w:val="22"/>
          <w:szCs w:val="22"/>
        </w:rPr>
        <w:t>. Intervals reflect stages of engagement</w:t>
      </w:r>
      <w:r>
        <w:rPr>
          <w:rFonts w:cstheme="minorHAnsi"/>
          <w:sz w:val="22"/>
          <w:szCs w:val="22"/>
        </w:rPr>
        <w:t>.</w:t>
      </w:r>
    </w:p>
    <w:p w14:paraId="209E28F9" w14:textId="77777777" w:rsidR="008572CC" w:rsidRPr="0012170A" w:rsidRDefault="008572CC" w:rsidP="008572CC">
      <w:pPr>
        <w:spacing w:before="100" w:beforeAutospacing="1" w:after="100" w:afterAutospacing="1"/>
        <w:outlineLvl w:val="1"/>
        <w:rPr>
          <w:rFonts w:cstheme="minorHAnsi"/>
          <w:color w:val="000000"/>
        </w:rPr>
      </w:pPr>
      <w:r w:rsidRPr="0012170A">
        <w:rPr>
          <w:rFonts w:cstheme="minorHAnsi"/>
          <w:color w:val="000000"/>
        </w:rPr>
        <w:t xml:space="preserve">In terms of orientation, 72.7% of participants identified psychological astrology as their primary approach. This preference is reflected in the authors they cited—Table 1— as most influential, with psychological and archetypal figures prevailing. This suggests a shared emphasis on symbolism, meaning-making, and inner process over deterministic or mechanistic models. </w:t>
      </w:r>
    </w:p>
    <w:p w14:paraId="6E96A0AF" w14:textId="77777777" w:rsidR="008572CC" w:rsidRPr="0012170A" w:rsidRDefault="008572CC" w:rsidP="008572CC">
      <w:pPr>
        <w:pStyle w:val="Caption"/>
        <w:rPr>
          <w:rFonts w:cstheme="minorHAnsi"/>
          <w:color w:val="000000"/>
          <w:sz w:val="22"/>
          <w:szCs w:val="22"/>
        </w:rPr>
      </w:pPr>
      <w:r w:rsidRPr="0012170A">
        <w:rPr>
          <w:rFonts w:cstheme="minorHAnsi"/>
          <w:sz w:val="22"/>
          <w:szCs w:val="22"/>
        </w:rPr>
        <w:t xml:space="preserve">Table </w:t>
      </w:r>
      <w:r w:rsidRPr="0012170A">
        <w:rPr>
          <w:rFonts w:cstheme="minorHAnsi"/>
          <w:sz w:val="22"/>
          <w:szCs w:val="22"/>
        </w:rPr>
        <w:fldChar w:fldCharType="begin"/>
      </w:r>
      <w:r w:rsidRPr="0012170A">
        <w:rPr>
          <w:rFonts w:cstheme="minorHAnsi"/>
          <w:sz w:val="22"/>
          <w:szCs w:val="22"/>
        </w:rPr>
        <w:instrText xml:space="preserve"> SEQ Table \* ARABIC </w:instrText>
      </w:r>
      <w:r w:rsidRPr="0012170A">
        <w:rPr>
          <w:rFonts w:cstheme="minorHAnsi"/>
          <w:sz w:val="22"/>
          <w:szCs w:val="22"/>
        </w:rPr>
        <w:fldChar w:fldCharType="separate"/>
      </w:r>
      <w:r w:rsidRPr="0012170A">
        <w:rPr>
          <w:rFonts w:cstheme="minorHAnsi"/>
          <w:noProof/>
          <w:sz w:val="22"/>
          <w:szCs w:val="22"/>
        </w:rPr>
        <w:t>1</w:t>
      </w:r>
      <w:r w:rsidRPr="0012170A">
        <w:rPr>
          <w:rFonts w:cstheme="minorHAnsi"/>
          <w:noProof/>
          <w:sz w:val="22"/>
          <w:szCs w:val="22"/>
        </w:rPr>
        <w:fldChar w:fldCharType="end"/>
      </w:r>
      <w:r w:rsidRPr="0012170A">
        <w:rPr>
          <w:rFonts w:cstheme="minorHAnsi"/>
          <w:sz w:val="22"/>
          <w:szCs w:val="22"/>
        </w:rPr>
        <w:t>. Most frequently cited astrological influences.</w:t>
      </w:r>
    </w:p>
    <w:tbl>
      <w:tblPr>
        <w:tblStyle w:val="TableGrid"/>
        <w:tblW w:w="0" w:type="auto"/>
        <w:tblLook w:val="04A0" w:firstRow="1" w:lastRow="0" w:firstColumn="1" w:lastColumn="0" w:noHBand="0" w:noVBand="1"/>
      </w:tblPr>
      <w:tblGrid>
        <w:gridCol w:w="1432"/>
        <w:gridCol w:w="969"/>
        <w:gridCol w:w="1136"/>
        <w:gridCol w:w="1066"/>
        <w:gridCol w:w="941"/>
        <w:gridCol w:w="1066"/>
        <w:gridCol w:w="1256"/>
        <w:gridCol w:w="1150"/>
      </w:tblGrid>
      <w:tr w:rsidR="008572CC" w:rsidRPr="0012170A" w14:paraId="4465E6E1" w14:textId="77777777" w:rsidTr="00157850">
        <w:tc>
          <w:tcPr>
            <w:tcW w:w="1432" w:type="dxa"/>
          </w:tcPr>
          <w:p w14:paraId="239F5DAD"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Key influence</w:t>
            </w:r>
          </w:p>
        </w:tc>
        <w:tc>
          <w:tcPr>
            <w:tcW w:w="969" w:type="dxa"/>
          </w:tcPr>
          <w:p w14:paraId="33D97251"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Liz Greene</w:t>
            </w:r>
          </w:p>
        </w:tc>
        <w:tc>
          <w:tcPr>
            <w:tcW w:w="1136" w:type="dxa"/>
          </w:tcPr>
          <w:p w14:paraId="3803574E"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 xml:space="preserve">Howard </w:t>
            </w:r>
            <w:proofErr w:type="spellStart"/>
            <w:r w:rsidRPr="0012170A">
              <w:rPr>
                <w:rFonts w:cstheme="minorHAnsi"/>
                <w:sz w:val="22"/>
                <w:szCs w:val="22"/>
              </w:rPr>
              <w:t>Sasportas</w:t>
            </w:r>
            <w:proofErr w:type="spellEnd"/>
          </w:p>
        </w:tc>
        <w:tc>
          <w:tcPr>
            <w:tcW w:w="1066" w:type="dxa"/>
          </w:tcPr>
          <w:p w14:paraId="733928EB"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 xml:space="preserve">Dane </w:t>
            </w:r>
            <w:proofErr w:type="spellStart"/>
            <w:r w:rsidRPr="0012170A">
              <w:rPr>
                <w:rFonts w:cstheme="minorHAnsi"/>
                <w:sz w:val="22"/>
                <w:szCs w:val="22"/>
              </w:rPr>
              <w:t>Rudhyar</w:t>
            </w:r>
            <w:proofErr w:type="spellEnd"/>
          </w:p>
        </w:tc>
        <w:tc>
          <w:tcPr>
            <w:tcW w:w="941" w:type="dxa"/>
          </w:tcPr>
          <w:p w14:paraId="72E3BA8D"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Robert Hand</w:t>
            </w:r>
          </w:p>
        </w:tc>
        <w:tc>
          <w:tcPr>
            <w:tcW w:w="1066" w:type="dxa"/>
          </w:tcPr>
          <w:p w14:paraId="2578A4BE"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Melanie Reinhart</w:t>
            </w:r>
          </w:p>
        </w:tc>
        <w:tc>
          <w:tcPr>
            <w:tcW w:w="1256" w:type="dxa"/>
            <w:vAlign w:val="center"/>
          </w:tcPr>
          <w:p w14:paraId="2054C7B2" w14:textId="77777777" w:rsidR="008572CC" w:rsidRPr="0012170A" w:rsidRDefault="008572CC" w:rsidP="00157850">
            <w:pPr>
              <w:rPr>
                <w:rFonts w:cstheme="minorHAnsi"/>
                <w:sz w:val="22"/>
                <w:szCs w:val="22"/>
              </w:rPr>
            </w:pPr>
            <w:r w:rsidRPr="0012170A">
              <w:rPr>
                <w:rFonts w:cstheme="minorHAnsi"/>
                <w:sz w:val="22"/>
                <w:szCs w:val="22"/>
              </w:rPr>
              <w:t>Bernadette Brady</w:t>
            </w:r>
          </w:p>
        </w:tc>
        <w:tc>
          <w:tcPr>
            <w:tcW w:w="1150" w:type="dxa"/>
          </w:tcPr>
          <w:p w14:paraId="6F7DB3C1" w14:textId="77777777" w:rsidR="008572CC" w:rsidRPr="0012170A" w:rsidRDefault="008572CC" w:rsidP="00157850">
            <w:pPr>
              <w:spacing w:before="100" w:beforeAutospacing="1" w:after="100" w:afterAutospacing="1"/>
              <w:outlineLvl w:val="2"/>
              <w:rPr>
                <w:rFonts w:cstheme="minorHAnsi"/>
                <w:b/>
                <w:bCs/>
                <w:color w:val="000000"/>
                <w:sz w:val="22"/>
                <w:szCs w:val="22"/>
              </w:rPr>
            </w:pPr>
            <w:r w:rsidRPr="0012170A">
              <w:rPr>
                <w:rFonts w:cstheme="minorHAnsi"/>
                <w:sz w:val="22"/>
                <w:szCs w:val="22"/>
              </w:rPr>
              <w:t>Geoffrey Cornelius</w:t>
            </w:r>
          </w:p>
        </w:tc>
      </w:tr>
      <w:tr w:rsidR="008572CC" w:rsidRPr="0012170A" w14:paraId="3D76A462" w14:textId="77777777" w:rsidTr="00157850">
        <w:tc>
          <w:tcPr>
            <w:tcW w:w="1432" w:type="dxa"/>
          </w:tcPr>
          <w:p w14:paraId="145711A5"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 xml:space="preserve">Times </w:t>
            </w:r>
            <w:r w:rsidRPr="0012170A">
              <w:rPr>
                <w:rFonts w:cstheme="minorHAnsi"/>
                <w:b/>
                <w:bCs/>
                <w:color w:val="000000"/>
                <w:sz w:val="22"/>
                <w:szCs w:val="22"/>
              </w:rPr>
              <w:t xml:space="preserve">x </w:t>
            </w:r>
            <w:r w:rsidRPr="0012170A">
              <w:rPr>
                <w:rFonts w:cstheme="minorHAnsi"/>
                <w:color w:val="000000"/>
                <w:sz w:val="22"/>
                <w:szCs w:val="22"/>
              </w:rPr>
              <w:t>mentioned</w:t>
            </w:r>
          </w:p>
        </w:tc>
        <w:tc>
          <w:tcPr>
            <w:tcW w:w="969" w:type="dxa"/>
          </w:tcPr>
          <w:p w14:paraId="6B4C9A7D"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12</w:t>
            </w:r>
          </w:p>
        </w:tc>
        <w:tc>
          <w:tcPr>
            <w:tcW w:w="1136" w:type="dxa"/>
          </w:tcPr>
          <w:p w14:paraId="74CFAC69"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6</w:t>
            </w:r>
          </w:p>
        </w:tc>
        <w:tc>
          <w:tcPr>
            <w:tcW w:w="1066" w:type="dxa"/>
          </w:tcPr>
          <w:p w14:paraId="5E1633DA"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5</w:t>
            </w:r>
          </w:p>
        </w:tc>
        <w:tc>
          <w:tcPr>
            <w:tcW w:w="941" w:type="dxa"/>
          </w:tcPr>
          <w:p w14:paraId="14D007D7"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3</w:t>
            </w:r>
          </w:p>
        </w:tc>
        <w:tc>
          <w:tcPr>
            <w:tcW w:w="1066" w:type="dxa"/>
          </w:tcPr>
          <w:p w14:paraId="0BC98E30"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3</w:t>
            </w:r>
          </w:p>
        </w:tc>
        <w:tc>
          <w:tcPr>
            <w:tcW w:w="1256" w:type="dxa"/>
          </w:tcPr>
          <w:p w14:paraId="4E607B10"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3</w:t>
            </w:r>
          </w:p>
        </w:tc>
        <w:tc>
          <w:tcPr>
            <w:tcW w:w="1150" w:type="dxa"/>
          </w:tcPr>
          <w:p w14:paraId="665DF46B" w14:textId="77777777" w:rsidR="008572CC" w:rsidRPr="0012170A" w:rsidRDefault="008572CC" w:rsidP="00157850">
            <w:pPr>
              <w:spacing w:before="100" w:beforeAutospacing="1" w:after="100" w:afterAutospacing="1"/>
              <w:outlineLvl w:val="2"/>
              <w:rPr>
                <w:rFonts w:cstheme="minorHAnsi"/>
                <w:color w:val="000000"/>
                <w:sz w:val="22"/>
                <w:szCs w:val="22"/>
              </w:rPr>
            </w:pPr>
            <w:r w:rsidRPr="0012170A">
              <w:rPr>
                <w:rFonts w:cstheme="minorHAnsi"/>
                <w:color w:val="000000"/>
                <w:sz w:val="22"/>
                <w:szCs w:val="22"/>
              </w:rPr>
              <w:t>3</w:t>
            </w:r>
          </w:p>
        </w:tc>
      </w:tr>
    </w:tbl>
    <w:p w14:paraId="0B8D1294" w14:textId="77777777" w:rsidR="008572CC" w:rsidRPr="0012170A" w:rsidRDefault="008572CC" w:rsidP="008572CC">
      <w:pPr>
        <w:spacing w:before="100" w:beforeAutospacing="1" w:after="100" w:afterAutospacing="1"/>
        <w:rPr>
          <w:rFonts w:cstheme="minorHAnsi"/>
          <w:color w:val="000000"/>
        </w:rPr>
      </w:pPr>
      <w:r w:rsidRPr="0012170A">
        <w:rPr>
          <w:rFonts w:cstheme="minorHAnsi"/>
          <w:color w:val="000000"/>
        </w:rPr>
        <w:t xml:space="preserve">This philosophical profile coincides with Campion’s description of a pivotal transformation in contemporary astrological practice, concentrated on </w:t>
      </w:r>
      <w:r w:rsidRPr="0012170A">
        <w:rPr>
          <w:rFonts w:cstheme="minorHAnsi"/>
          <w:i/>
          <w:iCs/>
          <w:color w:val="000000"/>
        </w:rPr>
        <w:t>‘</w:t>
      </w:r>
      <w:r w:rsidRPr="0020318F">
        <w:rPr>
          <w:rStyle w:val="Emphasis"/>
          <w:rFonts w:cstheme="minorHAnsi"/>
          <w:i w:val="0"/>
          <w:iCs w:val="0"/>
          <w:color w:val="000000"/>
        </w:rPr>
        <w:t>psychological and spiritual analysis</w:t>
      </w:r>
      <w:r w:rsidRPr="0012170A">
        <w:rPr>
          <w:rStyle w:val="Emphasis"/>
          <w:rFonts w:cstheme="minorHAnsi"/>
          <w:color w:val="000000"/>
        </w:rPr>
        <w:t>.’</w:t>
      </w:r>
      <w:r w:rsidRPr="0012170A">
        <w:rPr>
          <w:rStyle w:val="FootnoteReference"/>
          <w:rFonts w:cstheme="minorHAnsi"/>
          <w:i/>
          <w:iCs/>
          <w:color w:val="000000"/>
        </w:rPr>
        <w:footnoteReference w:id="77"/>
      </w:r>
      <w:r w:rsidRPr="0012170A">
        <w:rPr>
          <w:rFonts w:cstheme="minorHAnsi"/>
          <w:color w:val="000000"/>
        </w:rPr>
        <w:t xml:space="preserve"> Together with the above demographic overview, this forms the backdrop for interpreting the themes that follow.</w:t>
      </w:r>
    </w:p>
    <w:p w14:paraId="3E0E7C7A" w14:textId="77777777" w:rsidR="008572CC" w:rsidRPr="0012170A" w:rsidRDefault="008572CC" w:rsidP="008572CC">
      <w:pPr>
        <w:pStyle w:val="Heading3"/>
        <w:rPr>
          <w:rStyle w:val="Emphasis"/>
          <w:rFonts w:cstheme="minorHAnsi"/>
          <w:b/>
          <w:bCs/>
          <w:color w:val="000000"/>
          <w:sz w:val="22"/>
          <w:szCs w:val="22"/>
        </w:rPr>
      </w:pPr>
      <w:r w:rsidRPr="0012170A">
        <w:rPr>
          <w:rFonts w:cstheme="minorHAnsi"/>
          <w:b/>
          <w:bCs/>
          <w:color w:val="000000"/>
          <w:sz w:val="22"/>
          <w:szCs w:val="22"/>
        </w:rPr>
        <w:t>4.2 Compatibilist tendencies and spiritual interpretation of free will</w:t>
      </w:r>
    </w:p>
    <w:p w14:paraId="4CCA1D73" w14:textId="77777777" w:rsidR="008572CC" w:rsidRPr="0012170A" w:rsidRDefault="008572CC" w:rsidP="008572CC">
      <w:pPr>
        <w:rPr>
          <w:rFonts w:cstheme="minorHAnsi"/>
        </w:rPr>
      </w:pPr>
      <w:r w:rsidRPr="0012170A">
        <w:rPr>
          <w:rFonts w:cstheme="minorHAnsi"/>
          <w:color w:val="000000"/>
        </w:rPr>
        <w:t xml:space="preserve">This section presents key quantitative findings on how astrologers conceptualise agency within symbolic and spiritual frameworks. Participants were asked to select the statement that best reflects their understanding of free will. A majority (63.6%) preferred a compatibilist option: ‘a combination </w:t>
      </w:r>
      <w:r w:rsidRPr="0012170A">
        <w:rPr>
          <w:rFonts w:cstheme="minorHAnsi"/>
          <w:color w:val="000000"/>
        </w:rPr>
        <w:lastRenderedPageBreak/>
        <w:t>of belief in fate and personal power to make decisions.’</w:t>
      </w:r>
      <w:r w:rsidRPr="0012170A">
        <w:rPr>
          <w:rStyle w:val="FootnoteReference"/>
          <w:rFonts w:cstheme="minorHAnsi"/>
          <w:color w:val="000000"/>
        </w:rPr>
        <w:footnoteReference w:id="78"/>
      </w:r>
      <w:r w:rsidRPr="0012170A">
        <w:rPr>
          <w:rFonts w:cstheme="minorHAnsi"/>
          <w:color w:val="000000"/>
        </w:rPr>
        <w:t xml:space="preserve"> A further 22.7% chose a contextual view of agency, and 13.6% selected a libertarian perspective. None selected the deterministic option that free will is an illusion. These results suggest a widespread rejection of binary or absolutist models of agency, consistent with Brady’s claim that</w:t>
      </w:r>
      <w:r w:rsidRPr="0012170A">
        <w:rPr>
          <w:rFonts w:cstheme="minorHAnsi"/>
        </w:rPr>
        <w:t xml:space="preserve"> ‘Astrology displaces fatalism and imposes natural compatibilism on its practitioners,’</w:t>
      </w:r>
      <w:r w:rsidRPr="0012170A">
        <w:rPr>
          <w:rStyle w:val="FootnoteReference"/>
          <w:rFonts w:cstheme="minorHAnsi"/>
        </w:rPr>
        <w:footnoteReference w:id="79"/>
      </w:r>
      <w:r w:rsidRPr="0012170A">
        <w:rPr>
          <w:rFonts w:cstheme="minorHAnsi"/>
        </w:rPr>
        <w:t xml:space="preserve"> and with Campion’s findings on symbolic practice.</w:t>
      </w:r>
      <w:r w:rsidRPr="0012170A">
        <w:rPr>
          <w:rStyle w:val="FootnoteReference"/>
          <w:rFonts w:cstheme="minorHAnsi"/>
        </w:rPr>
        <w:footnoteReference w:id="80"/>
      </w:r>
    </w:p>
    <w:p w14:paraId="00D8A969" w14:textId="2342941F" w:rsidR="008572CC" w:rsidRPr="0012170A" w:rsidRDefault="008572CC" w:rsidP="008572CC">
      <w:pPr>
        <w:spacing w:before="100" w:beforeAutospacing="1" w:after="100" w:afterAutospacing="1"/>
        <w:rPr>
          <w:rFonts w:cstheme="minorHAnsi"/>
          <w:color w:val="000000"/>
        </w:rPr>
      </w:pPr>
      <w:r w:rsidRPr="0012170A">
        <w:rPr>
          <w:rFonts w:cstheme="minorHAnsi"/>
          <w:color w:val="000000"/>
        </w:rPr>
        <w:t>Responses to the statement ‘Personal choice can be seen as a divine gift’</w:t>
      </w:r>
      <w:r w:rsidRPr="0012170A">
        <w:rPr>
          <w:rStyle w:val="FootnoteReference"/>
          <w:rFonts w:cstheme="minorHAnsi"/>
          <w:color w:val="000000"/>
        </w:rPr>
        <w:footnoteReference w:id="81"/>
      </w:r>
      <w:r w:rsidRPr="0012170A">
        <w:rPr>
          <w:rFonts w:cstheme="minorHAnsi"/>
          <w:color w:val="000000"/>
        </w:rPr>
        <w:t xml:space="preserve"> further supported this tendency. A total of 59.1% agreed or strongly agreed, 31.8% were neutral, and two respondents (9.1%) strongly disagreed. This sacred framing was especially prominent among participants with over 20 years of experience (</w:t>
      </w:r>
      <w:proofErr w:type="gramStart"/>
      <w:r w:rsidRPr="0012170A">
        <w:rPr>
          <w:rFonts w:cstheme="minorHAnsi"/>
          <w:color w:val="000000"/>
        </w:rPr>
        <w:t>e</w:t>
      </w:r>
      <w:r w:rsidR="00161819">
        <w:rPr>
          <w:rFonts w:cstheme="minorHAnsi"/>
          <w:color w:val="000000"/>
        </w:rPr>
        <w:t>.</w:t>
      </w:r>
      <w:r w:rsidRPr="0012170A">
        <w:rPr>
          <w:rFonts w:cstheme="minorHAnsi"/>
          <w:color w:val="000000"/>
        </w:rPr>
        <w:t>g.</w:t>
      </w:r>
      <w:proofErr w:type="gramEnd"/>
      <w:r w:rsidR="00B5659C">
        <w:rPr>
          <w:rFonts w:cstheme="minorHAnsi"/>
          <w:color w:val="000000"/>
        </w:rPr>
        <w:t xml:space="preserve"> </w:t>
      </w:r>
      <w:r w:rsidRPr="0012170A">
        <w:rPr>
          <w:rFonts w:cstheme="minorHAnsi"/>
          <w:color w:val="000000"/>
        </w:rPr>
        <w:t xml:space="preserve">P2, P14, P16), indicating a possible link between long-term symbolic engagement and transpersonal interpretations of choice. This trend aligns with </w:t>
      </w:r>
      <w:proofErr w:type="spellStart"/>
      <w:r w:rsidRPr="0012170A">
        <w:rPr>
          <w:rFonts w:cstheme="minorHAnsi"/>
          <w:color w:val="000000"/>
        </w:rPr>
        <w:t>Rudhyar’s</w:t>
      </w:r>
      <w:proofErr w:type="spellEnd"/>
      <w:r w:rsidRPr="0012170A">
        <w:rPr>
          <w:rFonts w:cstheme="minorHAnsi"/>
          <w:color w:val="000000"/>
        </w:rPr>
        <w:t xml:space="preserve"> perspective, which holds that astrological awareness deepens individual responsibility through inner alignment rather than control. In his view, the meaning of ‘freedom’ changes at ‘every basic step in the evolution of human consciousness’</w:t>
      </w:r>
      <w:r w:rsidRPr="0012170A">
        <w:rPr>
          <w:rStyle w:val="FootnoteReference"/>
          <w:rFonts w:cstheme="minorHAnsi"/>
          <w:color w:val="000000"/>
        </w:rPr>
        <w:footnoteReference w:id="82"/>
      </w:r>
      <w:r w:rsidRPr="0012170A">
        <w:rPr>
          <w:rFonts w:cstheme="minorHAnsi"/>
          <w:color w:val="000000"/>
        </w:rPr>
        <w:t>, and this can be achieved through a ‘</w:t>
      </w:r>
      <w:proofErr w:type="spellStart"/>
      <w:r w:rsidRPr="0012170A">
        <w:rPr>
          <w:rFonts w:cstheme="minorHAnsi"/>
          <w:color w:val="000000"/>
        </w:rPr>
        <w:t>cyclocosmic</w:t>
      </w:r>
      <w:proofErr w:type="spellEnd"/>
      <w:r w:rsidRPr="0012170A">
        <w:rPr>
          <w:rFonts w:cstheme="minorHAnsi"/>
          <w:color w:val="000000"/>
        </w:rPr>
        <w:t xml:space="preserve"> type of approach to existence.’</w:t>
      </w:r>
      <w:r w:rsidRPr="0012170A">
        <w:rPr>
          <w:rStyle w:val="FootnoteReference"/>
          <w:rFonts w:cstheme="minorHAnsi"/>
          <w:color w:val="000000"/>
        </w:rPr>
        <w:footnoteReference w:id="83"/>
      </w:r>
      <w:r w:rsidRPr="0012170A">
        <w:rPr>
          <w:rFonts w:cstheme="minorHAnsi"/>
          <w:color w:val="000000"/>
        </w:rPr>
        <w:t xml:space="preserve"> </w:t>
      </w:r>
    </w:p>
    <w:p w14:paraId="12E7D273" w14:textId="77777777" w:rsidR="008572CC" w:rsidRPr="0012170A" w:rsidRDefault="008572CC" w:rsidP="008572CC">
      <w:pPr>
        <w:rPr>
          <w:rFonts w:cstheme="minorHAnsi"/>
        </w:rPr>
      </w:pPr>
      <w:r w:rsidRPr="0012170A">
        <w:rPr>
          <w:rFonts w:cstheme="minorHAnsi"/>
          <w:color w:val="000000"/>
        </w:rPr>
        <w:t>In contrast, choices to the statement ‘Free will can be trained or developed over time’</w:t>
      </w:r>
      <w:r w:rsidRPr="0012170A">
        <w:rPr>
          <w:rStyle w:val="FootnoteReference"/>
          <w:rFonts w:cstheme="minorHAnsi"/>
          <w:color w:val="000000"/>
        </w:rPr>
        <w:footnoteReference w:id="84"/>
      </w:r>
      <w:r w:rsidRPr="0012170A">
        <w:rPr>
          <w:rFonts w:cstheme="minorHAnsi"/>
          <w:color w:val="000000"/>
        </w:rPr>
        <w:t xml:space="preserve"> were more varied: 45.5% agreed or strongly agreed, 18.1% disagreed or strongly disagreed (all under five years of experience), and 36.4% were neutral. The prevalence of neutral responses, particularly among experienced practitioners, suggests epistemological caution around the concept of agency as a skill, echoing Reinhart’s work about limitation and transcendence. </w:t>
      </w:r>
      <w:r w:rsidRPr="0012170A">
        <w:rPr>
          <w:rFonts w:cstheme="minorHAnsi"/>
        </w:rPr>
        <w:t>For example, P16 strongly agreed that free will is a divine gift, yet remained neutral on whether it can be trained. During the interview, she remarked:</w:t>
      </w:r>
      <w:r w:rsidRPr="0012170A">
        <w:rPr>
          <w:rFonts w:cstheme="minorHAnsi"/>
          <w:color w:val="000000"/>
        </w:rPr>
        <w:t xml:space="preserve"> ‘I used to think free will was a burden, but now I see it as sacred—not unlimited, but sacred.’</w:t>
      </w:r>
      <w:r w:rsidRPr="0012170A">
        <w:rPr>
          <w:rStyle w:val="FootnoteReference"/>
          <w:rFonts w:cstheme="minorHAnsi"/>
          <w:color w:val="000000"/>
        </w:rPr>
        <w:footnoteReference w:id="85"/>
      </w:r>
    </w:p>
    <w:p w14:paraId="62814D2F" w14:textId="77777777" w:rsidR="008572CC" w:rsidRPr="0012170A" w:rsidRDefault="008572CC" w:rsidP="008572CC">
      <w:pPr>
        <w:pStyle w:val="NormalWeb"/>
        <w:rPr>
          <w:rFonts w:asciiTheme="minorHAnsi" w:hAnsiTheme="minorHAnsi" w:cstheme="minorHAnsi"/>
          <w:i/>
          <w:iCs/>
          <w:sz w:val="22"/>
          <w:szCs w:val="22"/>
        </w:rPr>
      </w:pPr>
      <w:r w:rsidRPr="0012170A">
        <w:rPr>
          <w:rFonts w:asciiTheme="minorHAnsi" w:hAnsiTheme="minorHAnsi" w:cstheme="minorHAnsi"/>
          <w:sz w:val="22"/>
          <w:szCs w:val="22"/>
        </w:rPr>
        <w:t>These findings, taken together, indicate that astrologers in this sample tend to integrate fate and agency through a symbolic lens, favouring compatibilist and often spiritual understandings of free will, while remaining more divided on questions of cultivation or development over time.</w:t>
      </w:r>
    </w:p>
    <w:p w14:paraId="157AED64" w14:textId="77777777" w:rsidR="008572CC" w:rsidRPr="0012170A" w:rsidRDefault="008572CC" w:rsidP="008572CC">
      <w:pPr>
        <w:spacing w:before="100" w:beforeAutospacing="1" w:after="100" w:afterAutospacing="1"/>
        <w:outlineLvl w:val="2"/>
        <w:rPr>
          <w:rFonts w:cstheme="minorHAnsi"/>
          <w:b/>
          <w:bCs/>
          <w:color w:val="000000"/>
        </w:rPr>
      </w:pPr>
      <w:r w:rsidRPr="0012170A">
        <w:rPr>
          <w:rFonts w:cstheme="minorHAnsi"/>
          <w:b/>
          <w:bCs/>
          <w:color w:val="000000"/>
        </w:rPr>
        <w:t>4.3 Free Will and the Rhythms of Astrological Engagement</w:t>
      </w:r>
    </w:p>
    <w:p w14:paraId="27F1C103" w14:textId="77777777" w:rsidR="008572CC" w:rsidRPr="0012170A" w:rsidRDefault="008572CC" w:rsidP="008572CC">
      <w:pPr>
        <w:rPr>
          <w:rFonts w:cstheme="minorHAnsi"/>
        </w:rPr>
      </w:pPr>
      <w:r w:rsidRPr="0012170A">
        <w:rPr>
          <w:rFonts w:cstheme="minorHAnsi"/>
        </w:rPr>
        <w:t xml:space="preserve">The astrologers in this study not only theorised free will, but also actively engaged with it </w:t>
      </w:r>
      <w:r w:rsidRPr="0012170A">
        <w:rPr>
          <w:rFonts w:cstheme="minorHAnsi"/>
          <w:color w:val="000000"/>
        </w:rPr>
        <w:t>as a responsiveness to meaningful timing.</w:t>
      </w:r>
      <w:r w:rsidRPr="0012170A">
        <w:rPr>
          <w:rFonts w:cstheme="minorHAnsi"/>
        </w:rPr>
        <w:t xml:space="preserve"> 63.7% reported consulting astrology ‘often’ or ‘always’ when making significant life choices, and 54.5% agreed it plays a meaningful role in decision-making.</w:t>
      </w:r>
      <w:r w:rsidRPr="0012170A">
        <w:rPr>
          <w:rStyle w:val="FootnoteReference"/>
          <w:rFonts w:cstheme="minorHAnsi"/>
        </w:rPr>
        <w:footnoteReference w:id="86"/>
      </w:r>
      <w:r w:rsidRPr="0012170A">
        <w:rPr>
          <w:rFonts w:cstheme="minorHAnsi"/>
        </w:rPr>
        <w:t xml:space="preserve"> This engagement deepens with experience: beginners expressed more hesitation, while seasoned astrologers used astrology as a reflective tool for discernment and timing. For example, P16 (50+ years of experience) advised a client during Venus retrograde to ‘go into meditation… wait it out,’</w:t>
      </w:r>
      <w:r w:rsidRPr="0012170A">
        <w:rPr>
          <w:rStyle w:val="FootnoteReference"/>
          <w:rFonts w:cstheme="minorHAnsi"/>
          <w:color w:val="000000"/>
        </w:rPr>
        <w:footnoteReference w:id="87"/>
      </w:r>
      <w:r w:rsidRPr="0012170A">
        <w:rPr>
          <w:rFonts w:cstheme="minorHAnsi"/>
        </w:rPr>
        <w:t xml:space="preserve"> drawing on decades of reflective journaling. P2 stated: ‘We integrate our unconsciousness with our </w:t>
      </w:r>
      <w:r w:rsidRPr="0012170A">
        <w:rPr>
          <w:rFonts w:cstheme="minorHAnsi"/>
        </w:rPr>
        <w:lastRenderedPageBreak/>
        <w:t>consciousness… free will arises through symbolic dialogue.’</w:t>
      </w:r>
      <w:r w:rsidRPr="0012170A">
        <w:rPr>
          <w:rStyle w:val="FootnoteReference"/>
          <w:rFonts w:cstheme="minorHAnsi"/>
        </w:rPr>
        <w:footnoteReference w:id="88"/>
      </w:r>
      <w:r w:rsidRPr="0012170A">
        <w:rPr>
          <w:rFonts w:cstheme="minorHAnsi"/>
        </w:rPr>
        <w:t xml:space="preserve"> Similarly, P5 declared: ‘Fate is to have that massive Pluto energy come at you, and your free will is what you do with it.’</w:t>
      </w:r>
      <w:r w:rsidRPr="0012170A">
        <w:rPr>
          <w:rStyle w:val="FootnoteReference"/>
          <w:rFonts w:cstheme="minorHAnsi"/>
        </w:rPr>
        <w:footnoteReference w:id="89"/>
      </w:r>
      <w:r w:rsidRPr="0012170A">
        <w:rPr>
          <w:rFonts w:cstheme="minorHAnsi"/>
        </w:rPr>
        <w:t xml:space="preserve"> These align with </w:t>
      </w:r>
      <w:r w:rsidRPr="0012170A">
        <w:rPr>
          <w:rFonts w:cstheme="minorHAnsi"/>
          <w:color w:val="000000"/>
        </w:rPr>
        <w:t xml:space="preserve">Greene’s natural compatibilist idea that consciousness could be used to shape the events of the forthcoming </w:t>
      </w:r>
      <w:r w:rsidRPr="00A602E0">
        <w:rPr>
          <w:rFonts w:cstheme="minorHAnsi"/>
          <w:color w:val="000000"/>
        </w:rPr>
        <w:t xml:space="preserve">fated </w:t>
      </w:r>
      <w:r w:rsidRPr="0012170A">
        <w:rPr>
          <w:rFonts w:cstheme="minorHAnsi"/>
          <w:color w:val="000000"/>
        </w:rPr>
        <w:t>time.</w:t>
      </w:r>
      <w:r w:rsidRPr="0012170A">
        <w:rPr>
          <w:rStyle w:val="FootnoteReference"/>
          <w:rFonts w:cstheme="minorHAnsi"/>
          <w:color w:val="000000"/>
        </w:rPr>
        <w:footnoteReference w:id="90"/>
      </w:r>
    </w:p>
    <w:p w14:paraId="008665F6" w14:textId="4CC244F0" w:rsidR="008572CC" w:rsidRPr="0012170A" w:rsidRDefault="008572CC" w:rsidP="008572CC">
      <w:pPr>
        <w:rPr>
          <w:rFonts w:cstheme="minorHAnsi"/>
          <w:color w:val="000000"/>
        </w:rPr>
      </w:pPr>
      <w:r w:rsidRPr="0012170A">
        <w:rPr>
          <w:rFonts w:cstheme="minorHAnsi"/>
          <w:color w:val="000000"/>
        </w:rPr>
        <w:t>Perception of symbolic timing also increases with experience</w:t>
      </w:r>
      <w:r w:rsidRPr="0012170A">
        <w:rPr>
          <w:rFonts w:cstheme="minorHAnsi"/>
        </w:rPr>
        <w:t>. When asked whether small events signal larger developments</w:t>
      </w:r>
      <w:r w:rsidRPr="00315645">
        <w:rPr>
          <w:rFonts w:cstheme="minorHAnsi"/>
        </w:rPr>
        <w:t>,</w:t>
      </w:r>
      <w:r w:rsidRPr="00315645">
        <w:rPr>
          <w:rStyle w:val="FootnoteReference"/>
          <w:rFonts w:cstheme="minorHAnsi"/>
          <w:b/>
          <w:bCs/>
        </w:rPr>
        <w:footnoteReference w:id="91"/>
      </w:r>
      <w:r w:rsidRPr="00315645">
        <w:rPr>
          <w:rStyle w:val="apple-converted-space"/>
          <w:rFonts w:cstheme="minorHAnsi"/>
          <w:b/>
          <w:bCs/>
          <w:color w:val="000000"/>
        </w:rPr>
        <w:t> </w:t>
      </w:r>
      <w:r w:rsidRPr="00315645">
        <w:rPr>
          <w:rStyle w:val="Strong"/>
          <w:rFonts w:cstheme="minorHAnsi"/>
          <w:b w:val="0"/>
          <w:bCs w:val="0"/>
          <w:color w:val="000000"/>
        </w:rPr>
        <w:t>68.2%</w:t>
      </w:r>
      <w:r w:rsidRPr="0012170A">
        <w:rPr>
          <w:rStyle w:val="apple-converted-space"/>
          <w:rFonts w:cstheme="minorHAnsi"/>
          <w:color w:val="000000"/>
        </w:rPr>
        <w:t> </w:t>
      </w:r>
      <w:r w:rsidRPr="0012170A">
        <w:rPr>
          <w:rFonts w:cstheme="minorHAnsi"/>
        </w:rPr>
        <w:t>agreed or strongly agreed</w:t>
      </w:r>
      <w:r w:rsidRPr="00315645">
        <w:rPr>
          <w:rFonts w:cstheme="minorHAnsi"/>
        </w:rPr>
        <w:t>,</w:t>
      </w:r>
      <w:r w:rsidRPr="00315645">
        <w:rPr>
          <w:rStyle w:val="apple-converted-space"/>
          <w:rFonts w:cstheme="minorHAnsi"/>
          <w:color w:val="000000"/>
        </w:rPr>
        <w:t> </w:t>
      </w:r>
      <w:r w:rsidRPr="00315645">
        <w:rPr>
          <w:rStyle w:val="Strong"/>
          <w:rFonts w:cstheme="minorHAnsi"/>
          <w:b w:val="0"/>
          <w:bCs w:val="0"/>
          <w:color w:val="000000"/>
        </w:rPr>
        <w:t>22.7%</w:t>
      </w:r>
      <w:r w:rsidRPr="0012170A">
        <w:rPr>
          <w:rStyle w:val="apple-converted-space"/>
          <w:rFonts w:cstheme="minorHAnsi"/>
          <w:color w:val="000000"/>
        </w:rPr>
        <w:t> </w:t>
      </w:r>
      <w:r w:rsidRPr="0012170A">
        <w:rPr>
          <w:rFonts w:cstheme="minorHAnsi"/>
        </w:rPr>
        <w:t>were neutral, and</w:t>
      </w:r>
      <w:r w:rsidRPr="0012170A">
        <w:rPr>
          <w:rStyle w:val="apple-converted-space"/>
          <w:rFonts w:cstheme="minorHAnsi"/>
          <w:b/>
          <w:bCs/>
          <w:color w:val="000000"/>
        </w:rPr>
        <w:t> </w:t>
      </w:r>
      <w:r w:rsidRPr="00315645">
        <w:rPr>
          <w:rStyle w:val="Strong"/>
          <w:rFonts w:cstheme="minorHAnsi"/>
          <w:b w:val="0"/>
          <w:bCs w:val="0"/>
          <w:color w:val="000000"/>
        </w:rPr>
        <w:t>9.1%</w:t>
      </w:r>
      <w:r w:rsidRPr="0012170A">
        <w:rPr>
          <w:rStyle w:val="apple-converted-space"/>
          <w:rFonts w:cstheme="minorHAnsi"/>
          <w:color w:val="000000"/>
        </w:rPr>
        <w:t> </w:t>
      </w:r>
      <w:r w:rsidRPr="0012170A">
        <w:rPr>
          <w:rFonts w:cstheme="minorHAnsi"/>
        </w:rPr>
        <w:t xml:space="preserve">(two beginners) disagreed. </w:t>
      </w:r>
      <w:r w:rsidRPr="00315645">
        <w:rPr>
          <w:rStyle w:val="Strong"/>
          <w:rFonts w:cstheme="minorHAnsi"/>
          <w:b w:val="0"/>
          <w:bCs w:val="0"/>
          <w:color w:val="000000"/>
        </w:rPr>
        <w:t xml:space="preserve">P2 </w:t>
      </w:r>
      <w:r w:rsidRPr="0012170A">
        <w:rPr>
          <w:rFonts w:cstheme="minorHAnsi"/>
        </w:rPr>
        <w:t>described such moments as</w:t>
      </w:r>
      <w:r w:rsidRPr="0012170A">
        <w:rPr>
          <w:rStyle w:val="apple-converted-space"/>
          <w:rFonts w:cstheme="minorHAnsi"/>
          <w:color w:val="000000"/>
        </w:rPr>
        <w:t> </w:t>
      </w:r>
      <w:r w:rsidRPr="00315645">
        <w:rPr>
          <w:rStyle w:val="Emphasis"/>
          <w:rFonts w:cstheme="minorHAnsi"/>
          <w:i w:val="0"/>
          <w:iCs w:val="0"/>
          <w:color w:val="000000"/>
        </w:rPr>
        <w:t>‘miracles,’ comparing them with ‘falling in love—</w:t>
      </w:r>
      <w:r w:rsidRPr="00315645">
        <w:rPr>
          <w:rFonts w:cstheme="minorHAnsi"/>
          <w:i/>
          <w:iCs/>
        </w:rPr>
        <w:t xml:space="preserve"> </w:t>
      </w:r>
      <w:r w:rsidRPr="00315645">
        <w:rPr>
          <w:rStyle w:val="Emphasis"/>
          <w:rFonts w:cstheme="minorHAnsi"/>
          <w:i w:val="0"/>
          <w:iCs w:val="0"/>
          <w:color w:val="000000"/>
        </w:rPr>
        <w:t>It’s not rational. It’s a feeling, a convergence.’</w:t>
      </w:r>
      <w:r w:rsidRPr="0012170A">
        <w:rPr>
          <w:rStyle w:val="Emphasis"/>
          <w:rFonts w:cstheme="minorHAnsi"/>
          <w:color w:val="000000"/>
        </w:rPr>
        <w:t xml:space="preserve"> </w:t>
      </w:r>
      <w:r w:rsidRPr="0012170A">
        <w:rPr>
          <w:rStyle w:val="apple-converted-space"/>
          <w:rFonts w:cstheme="minorHAnsi"/>
          <w:color w:val="000000"/>
        </w:rPr>
        <w:t> </w:t>
      </w:r>
      <w:r w:rsidRPr="0012170A">
        <w:rPr>
          <w:rFonts w:cstheme="minorHAnsi"/>
        </w:rPr>
        <w:t>She added:</w:t>
      </w:r>
      <w:r w:rsidRPr="0012170A">
        <w:rPr>
          <w:rStyle w:val="apple-converted-space"/>
          <w:rFonts w:cstheme="minorHAnsi"/>
          <w:color w:val="000000"/>
        </w:rPr>
        <w:t> </w:t>
      </w:r>
      <w:r w:rsidRPr="00315645">
        <w:rPr>
          <w:rStyle w:val="Emphasis"/>
          <w:rFonts w:cstheme="minorHAnsi"/>
          <w:i w:val="0"/>
          <w:iCs w:val="0"/>
          <w:color w:val="000000"/>
        </w:rPr>
        <w:t>‘Your will is good for holding you on your way, but not for creating everything.’</w:t>
      </w:r>
      <w:r w:rsidRPr="00315645">
        <w:rPr>
          <w:rStyle w:val="FootnoteReference"/>
          <w:rFonts w:cstheme="minorHAnsi"/>
          <w:i/>
          <w:iCs/>
          <w:color w:val="000000"/>
        </w:rPr>
        <w:footnoteReference w:id="92"/>
      </w:r>
      <w:r w:rsidRPr="0012170A">
        <w:rPr>
          <w:rStyle w:val="apple-converted-space"/>
          <w:rFonts w:cstheme="minorHAnsi"/>
          <w:i/>
          <w:iCs/>
          <w:color w:val="000000"/>
        </w:rPr>
        <w:t> </w:t>
      </w:r>
      <w:r w:rsidRPr="0012170A">
        <w:rPr>
          <w:rFonts w:cstheme="minorHAnsi"/>
        </w:rPr>
        <w:t xml:space="preserve">This reflects a relational model of free will: less about control, and more about participation </w:t>
      </w:r>
      <w:r w:rsidRPr="0012170A">
        <w:rPr>
          <w:rFonts w:cstheme="minorHAnsi"/>
          <w:color w:val="000000"/>
        </w:rPr>
        <w:t xml:space="preserve">combined with the idea of </w:t>
      </w:r>
      <w:r w:rsidRPr="0012170A">
        <w:rPr>
          <w:rFonts w:cstheme="minorHAnsi"/>
          <w:i/>
          <w:iCs/>
          <w:color w:val="000000"/>
        </w:rPr>
        <w:t>Kairos</w:t>
      </w:r>
      <w:r w:rsidRPr="0012170A">
        <w:rPr>
          <w:rFonts w:cstheme="minorHAnsi"/>
          <w:color w:val="000000"/>
        </w:rPr>
        <w:t xml:space="preserve"> time. </w:t>
      </w:r>
      <w:r w:rsidRPr="0012170A">
        <w:rPr>
          <w:rFonts w:cstheme="minorHAnsi"/>
        </w:rPr>
        <w:t>These findings reflect</w:t>
      </w:r>
      <w:r w:rsidRPr="0012170A">
        <w:rPr>
          <w:rStyle w:val="apple-converted-space"/>
          <w:rFonts w:cstheme="minorHAnsi"/>
          <w:color w:val="000000"/>
        </w:rPr>
        <w:t> </w:t>
      </w:r>
      <w:r w:rsidRPr="00315645">
        <w:rPr>
          <w:rStyle w:val="Strong"/>
          <w:rFonts w:cstheme="minorHAnsi"/>
          <w:b w:val="0"/>
          <w:bCs w:val="0"/>
          <w:color w:val="000000"/>
        </w:rPr>
        <w:t>Jung’s</w:t>
      </w:r>
      <w:r w:rsidRPr="0012170A">
        <w:rPr>
          <w:rStyle w:val="apple-converted-space"/>
          <w:rFonts w:cstheme="minorHAnsi"/>
          <w:b/>
          <w:bCs/>
          <w:color w:val="000000"/>
        </w:rPr>
        <w:t> </w:t>
      </w:r>
      <w:r w:rsidRPr="0012170A">
        <w:rPr>
          <w:rFonts w:cstheme="minorHAnsi"/>
        </w:rPr>
        <w:t>concept of synchronicity</w:t>
      </w:r>
      <w:r w:rsidRPr="0012170A">
        <w:rPr>
          <w:rStyle w:val="FootnoteReference"/>
          <w:rFonts w:cstheme="minorHAnsi"/>
        </w:rPr>
        <w:footnoteReference w:id="93"/>
      </w:r>
      <w:r w:rsidRPr="0012170A">
        <w:rPr>
          <w:rFonts w:cstheme="minorHAnsi"/>
        </w:rPr>
        <w:t xml:space="preserve"> </w:t>
      </w:r>
      <w:r w:rsidRPr="0012170A">
        <w:rPr>
          <w:rStyle w:val="apple-converted-space"/>
          <w:rFonts w:cstheme="minorHAnsi"/>
          <w:color w:val="000000"/>
        </w:rPr>
        <w:t xml:space="preserve">and </w:t>
      </w:r>
      <w:r w:rsidRPr="00315645">
        <w:rPr>
          <w:rStyle w:val="Strong"/>
          <w:rFonts w:cstheme="minorHAnsi"/>
          <w:b w:val="0"/>
          <w:bCs w:val="0"/>
          <w:color w:val="000000"/>
        </w:rPr>
        <w:t>Campion’s</w:t>
      </w:r>
      <w:r w:rsidRPr="0012170A">
        <w:rPr>
          <w:rStyle w:val="apple-converted-space"/>
          <w:rFonts w:cstheme="minorHAnsi"/>
          <w:color w:val="000000"/>
        </w:rPr>
        <w:t> </w:t>
      </w:r>
      <w:r w:rsidRPr="0012170A">
        <w:rPr>
          <w:rFonts w:cstheme="minorHAnsi"/>
        </w:rPr>
        <w:t>notion of symbolic participation.</w:t>
      </w:r>
      <w:r w:rsidRPr="0012170A">
        <w:rPr>
          <w:rStyle w:val="FootnoteReference"/>
          <w:rFonts w:cstheme="minorHAnsi"/>
        </w:rPr>
        <w:footnoteReference w:id="94"/>
      </w:r>
      <w:r w:rsidRPr="0012170A">
        <w:rPr>
          <w:rFonts w:cstheme="minorHAnsi"/>
        </w:rPr>
        <w:t xml:space="preserve">  </w:t>
      </w:r>
      <w:r w:rsidRPr="0012170A">
        <w:rPr>
          <w:rFonts w:cstheme="minorHAnsi"/>
          <w:color w:val="000000"/>
        </w:rPr>
        <w:t>A majority of 63.7% would take early action in response to predicted transits, further supporting the view of astrology as a tool for</w:t>
      </w:r>
      <w:r w:rsidRPr="0012170A">
        <w:rPr>
          <w:rStyle w:val="apple-converted-space"/>
          <w:rFonts w:cstheme="minorHAnsi"/>
          <w:color w:val="000000"/>
        </w:rPr>
        <w:t> </w:t>
      </w:r>
      <w:r w:rsidRPr="00315645">
        <w:rPr>
          <w:rStyle w:val="Strong"/>
          <w:rFonts w:cstheme="minorHAnsi"/>
          <w:b w:val="0"/>
          <w:bCs w:val="0"/>
          <w:color w:val="000000"/>
        </w:rPr>
        <w:t>anticipatory agency</w:t>
      </w:r>
      <w:r w:rsidRPr="00315645">
        <w:rPr>
          <w:rFonts w:cstheme="minorHAnsi"/>
          <w:b/>
          <w:bCs/>
          <w:color w:val="000000"/>
        </w:rPr>
        <w:t>.</w:t>
      </w:r>
      <w:r w:rsidRPr="0012170A">
        <w:rPr>
          <w:rFonts w:cstheme="minorHAnsi"/>
          <w:color w:val="000000"/>
        </w:rPr>
        <w:t xml:space="preserve"> A smaller group expressed uncertainty </w:t>
      </w:r>
      <w:r w:rsidR="00315645" w:rsidRPr="00315645">
        <w:rPr>
          <w:rFonts w:cstheme="minorHAnsi"/>
          <w:color w:val="000000"/>
        </w:rPr>
        <w:t>(</w:t>
      </w:r>
      <w:r w:rsidRPr="00315645">
        <w:rPr>
          <w:rStyle w:val="Strong"/>
          <w:rFonts w:cstheme="minorHAnsi"/>
          <w:b w:val="0"/>
          <w:bCs w:val="0"/>
          <w:color w:val="000000"/>
        </w:rPr>
        <w:t>13.6%</w:t>
      </w:r>
      <w:r w:rsidRPr="00315645">
        <w:rPr>
          <w:rFonts w:cstheme="minorHAnsi"/>
          <w:color w:val="000000"/>
        </w:rPr>
        <w:t xml:space="preserve">) </w:t>
      </w:r>
      <w:r w:rsidRPr="0012170A">
        <w:rPr>
          <w:rFonts w:cstheme="minorHAnsi"/>
          <w:color w:val="000000"/>
        </w:rPr>
        <w:t>or a contemplative approach (</w:t>
      </w:r>
      <w:r w:rsidRPr="00315645">
        <w:rPr>
          <w:rStyle w:val="Strong"/>
          <w:rFonts w:cstheme="minorHAnsi"/>
          <w:b w:val="0"/>
          <w:bCs w:val="0"/>
          <w:color w:val="000000"/>
        </w:rPr>
        <w:t>18.2%</w:t>
      </w:r>
      <w:r w:rsidRPr="0012170A">
        <w:rPr>
          <w:rFonts w:cstheme="minorHAnsi"/>
          <w:color w:val="000000"/>
        </w:rPr>
        <w:t>), while one (</w:t>
      </w:r>
      <w:r w:rsidRPr="00315645">
        <w:rPr>
          <w:rStyle w:val="Strong"/>
          <w:rFonts w:cstheme="minorHAnsi"/>
          <w:b w:val="0"/>
          <w:bCs w:val="0"/>
          <w:color w:val="000000"/>
        </w:rPr>
        <w:t>4.5%</w:t>
      </w:r>
      <w:r w:rsidRPr="0012170A">
        <w:rPr>
          <w:rFonts w:cstheme="minorHAnsi"/>
          <w:color w:val="000000"/>
        </w:rPr>
        <w:t>) rejected the premise.</w:t>
      </w:r>
      <w:r w:rsidRPr="0012170A">
        <w:rPr>
          <w:rStyle w:val="FootnoteReference"/>
          <w:rFonts w:cstheme="minorHAnsi"/>
          <w:color w:val="000000"/>
        </w:rPr>
        <w:footnoteReference w:id="95"/>
      </w:r>
      <w:r w:rsidRPr="0012170A">
        <w:rPr>
          <w:rFonts w:cstheme="minorHAnsi"/>
          <w:color w:val="000000"/>
        </w:rPr>
        <w:t xml:space="preserve"> Overall, astrology appears to function for many as a lived interface between symbolism and action, where free will emerges not in isolation, but within rhythm and meaning. </w:t>
      </w:r>
    </w:p>
    <w:p w14:paraId="3F0247FD" w14:textId="77777777" w:rsidR="008572CC" w:rsidRPr="0012170A" w:rsidRDefault="008572CC" w:rsidP="008572CC">
      <w:pPr>
        <w:spacing w:before="100" w:beforeAutospacing="1" w:after="100" w:afterAutospacing="1"/>
        <w:outlineLvl w:val="2"/>
        <w:rPr>
          <w:rFonts w:cstheme="minorHAnsi"/>
          <w:b/>
          <w:bCs/>
          <w:color w:val="000000"/>
        </w:rPr>
      </w:pPr>
      <w:r w:rsidRPr="0012170A">
        <w:rPr>
          <w:rFonts w:cstheme="minorHAnsi"/>
          <w:b/>
          <w:bCs/>
          <w:color w:val="000000"/>
        </w:rPr>
        <w:t>4.4 Symbolic Determinism versus Interpretive Freedom</w:t>
      </w:r>
    </w:p>
    <w:p w14:paraId="55908289" w14:textId="77777777" w:rsidR="008572CC" w:rsidRPr="0012170A" w:rsidRDefault="008572CC" w:rsidP="008572CC">
      <w:pPr>
        <w:spacing w:before="100" w:beforeAutospacing="1" w:after="100" w:afterAutospacing="1"/>
        <w:outlineLvl w:val="2"/>
        <w:rPr>
          <w:rFonts w:cstheme="minorHAnsi"/>
          <w:b/>
          <w:bCs/>
          <w:color w:val="000000"/>
        </w:rPr>
      </w:pPr>
      <w:r w:rsidRPr="0012170A">
        <w:rPr>
          <w:rFonts w:cstheme="minorHAnsi"/>
        </w:rPr>
        <w:t>A central tension in the data concerns how astrologers position themselves between symbolic determinism and interpretive freedom. Responses to multiple items revealed that participants do not treat astrology as a predictive science, but neither do they entirely reject its structural implications. 50% selected ‘The chart reflects potential, but choices shape the path.’</w:t>
      </w:r>
      <w:r w:rsidRPr="0012170A">
        <w:rPr>
          <w:rFonts w:cstheme="minorHAnsi"/>
          <w:i/>
          <w:iCs/>
        </w:rPr>
        <w:t xml:space="preserve"> </w:t>
      </w:r>
      <w:r w:rsidRPr="0012170A">
        <w:rPr>
          <w:rFonts w:cstheme="minorHAnsi"/>
        </w:rPr>
        <w:t>Another 25% affirmed that ‘The chart strongly influences a person’s life direction.’</w:t>
      </w:r>
      <w:r w:rsidRPr="0012170A">
        <w:rPr>
          <w:rStyle w:val="FootnoteReference"/>
          <w:rFonts w:cstheme="minorHAnsi"/>
        </w:rPr>
        <w:t xml:space="preserve"> </w:t>
      </w:r>
      <w:r w:rsidRPr="0012170A">
        <w:rPr>
          <w:rStyle w:val="FootnoteReference"/>
          <w:rFonts w:cstheme="minorHAnsi"/>
        </w:rPr>
        <w:footnoteReference w:id="96"/>
      </w:r>
      <w:r w:rsidRPr="0012170A">
        <w:rPr>
          <w:rFonts w:cstheme="minorHAnsi"/>
        </w:rPr>
        <w:t xml:space="preserve"> At the same time, the remainder</w:t>
      </w:r>
      <w:r w:rsidRPr="0012170A">
        <w:rPr>
          <w:rFonts w:cstheme="minorHAnsi"/>
          <w:i/>
          <w:iCs/>
        </w:rPr>
        <w:t xml:space="preserve"> </w:t>
      </w:r>
      <w:r w:rsidRPr="0012170A">
        <w:rPr>
          <w:rFonts w:cstheme="minorHAnsi"/>
        </w:rPr>
        <w:t>were divided between blueprint models and contextual framings. No respondent selected the purely libertarian option. These findings mirror</w:t>
      </w:r>
      <w:r w:rsidRPr="0012170A">
        <w:rPr>
          <w:rFonts w:cstheme="minorHAnsi"/>
          <w:b/>
          <w:bCs/>
        </w:rPr>
        <w:t xml:space="preserve"> </w:t>
      </w:r>
      <w:r w:rsidRPr="0012170A">
        <w:rPr>
          <w:rFonts w:cstheme="minorHAnsi"/>
        </w:rPr>
        <w:t>Campion’s survey, in which 87% of astrologers agreed that the birth chart shows potential, not fixed destiny. He described this shift as part of the New Age transformation of astrology into a practice focused on psychological meaning, spiritual development, and self-awareness.</w:t>
      </w:r>
      <w:r w:rsidRPr="0012170A">
        <w:rPr>
          <w:rStyle w:val="FootnoteReference"/>
          <w:rFonts w:cstheme="minorHAnsi"/>
        </w:rPr>
        <w:footnoteReference w:id="97"/>
      </w:r>
    </w:p>
    <w:p w14:paraId="23ECADF8" w14:textId="77777777" w:rsidR="008572CC" w:rsidRPr="0012170A" w:rsidRDefault="008572CC" w:rsidP="008572CC">
      <w:pPr>
        <w:spacing w:before="100" w:beforeAutospacing="1" w:after="100" w:afterAutospacing="1"/>
        <w:rPr>
          <w:rFonts w:cstheme="minorHAnsi"/>
        </w:rPr>
      </w:pPr>
      <w:r w:rsidRPr="0012170A">
        <w:rPr>
          <w:rFonts w:cstheme="minorHAnsi"/>
        </w:rPr>
        <w:t>The rejection of prediction is also evident in responses to the statement ‘The future is fully formed, and astrology helps read it,</w:t>
      </w:r>
      <w:r w:rsidRPr="0012170A">
        <w:rPr>
          <w:rFonts w:cstheme="minorHAnsi"/>
          <w:i/>
          <w:iCs/>
        </w:rPr>
        <w:t>’</w:t>
      </w:r>
      <w:r w:rsidRPr="0012170A">
        <w:rPr>
          <w:rStyle w:val="FootnoteReference"/>
          <w:rFonts w:cstheme="minorHAnsi"/>
          <w:i/>
          <w:iCs/>
        </w:rPr>
        <w:footnoteReference w:id="98"/>
      </w:r>
      <w:r w:rsidRPr="0012170A">
        <w:rPr>
          <w:rFonts w:cstheme="minorHAnsi"/>
          <w:i/>
          <w:iCs/>
        </w:rPr>
        <w:t xml:space="preserve"> </w:t>
      </w:r>
      <w:r w:rsidRPr="0012170A">
        <w:rPr>
          <w:rFonts w:cstheme="minorHAnsi"/>
        </w:rPr>
        <w:t>where 54.6% disagreed and 31.8% remained neutral. The strongest agreement came from a participant with 5 years of experience, suggesting that certainty appeals early, but ambiguity matures over time.</w:t>
      </w:r>
      <w:r w:rsidRPr="0012170A">
        <w:rPr>
          <w:rFonts w:cstheme="minorHAnsi"/>
          <w:color w:val="000000"/>
        </w:rPr>
        <w:t xml:space="preserve"> Another early practitioner embraced compatibilism but did so with a more self-reflective tone of ambivalence. He drew upon Viktor Frankl’s philosophy to assert </w:t>
      </w:r>
      <w:r w:rsidRPr="0012170A">
        <w:rPr>
          <w:rFonts w:cstheme="minorHAnsi"/>
          <w:color w:val="000000"/>
        </w:rPr>
        <w:lastRenderedPageBreak/>
        <w:t>a residual form of freedom: ‘the last of the human freedoms—to choose one’s attitude.’</w:t>
      </w:r>
      <w:r w:rsidRPr="0012170A">
        <w:rPr>
          <w:rStyle w:val="FootnoteReference"/>
          <w:rFonts w:cstheme="minorHAnsi"/>
          <w:color w:val="000000"/>
        </w:rPr>
        <w:footnoteReference w:id="99"/>
      </w:r>
      <w:r w:rsidRPr="0012170A">
        <w:rPr>
          <w:rFonts w:cstheme="minorHAnsi"/>
          <w:color w:val="000000"/>
        </w:rPr>
        <w:t xml:space="preserve">  </w:t>
      </w:r>
      <w:r w:rsidRPr="0012170A">
        <w:rPr>
          <w:rFonts w:cstheme="minorHAnsi"/>
        </w:rPr>
        <w:t>A mid-level participant provided an essential</w:t>
      </w:r>
      <w:r w:rsidRPr="0012170A">
        <w:rPr>
          <w:rStyle w:val="apple-converted-space"/>
          <w:rFonts w:cstheme="minorHAnsi"/>
        </w:rPr>
        <w:t> </w:t>
      </w:r>
      <w:r w:rsidRPr="00085237">
        <w:rPr>
          <w:rStyle w:val="Strong"/>
          <w:rFonts w:cstheme="minorHAnsi"/>
          <w:b w:val="0"/>
          <w:bCs w:val="0"/>
        </w:rPr>
        <w:t>counterpoint</w:t>
      </w:r>
      <w:r w:rsidRPr="0012170A">
        <w:rPr>
          <w:rStyle w:val="apple-converted-space"/>
          <w:rFonts w:cstheme="minorHAnsi"/>
        </w:rPr>
        <w:t> </w:t>
      </w:r>
      <w:r w:rsidRPr="0012170A">
        <w:rPr>
          <w:rFonts w:cstheme="minorHAnsi"/>
        </w:rPr>
        <w:t>to both beginners and experienced practitioners: ‘I leave it flowing and flaky. I can’t pin it down,’</w:t>
      </w:r>
      <w:r w:rsidRPr="0012170A">
        <w:rPr>
          <w:rStyle w:val="FootnoteReference"/>
          <w:rFonts w:cstheme="minorHAnsi"/>
        </w:rPr>
        <w:footnoteReference w:id="100"/>
      </w:r>
      <w:r w:rsidRPr="0012170A">
        <w:rPr>
          <w:rFonts w:cstheme="minorHAnsi"/>
        </w:rPr>
        <w:t> citing both</w:t>
      </w:r>
      <w:r w:rsidRPr="0012170A">
        <w:rPr>
          <w:rFonts w:cstheme="minorHAnsi"/>
          <w:b/>
          <w:bCs/>
        </w:rPr>
        <w:t xml:space="preserve"> </w:t>
      </w:r>
      <w:r w:rsidRPr="0012170A">
        <w:rPr>
          <w:rFonts w:cstheme="minorHAnsi"/>
        </w:rPr>
        <w:t xml:space="preserve">Harris and Jung, indicating epistemological ambivalence. </w:t>
      </w:r>
    </w:p>
    <w:p w14:paraId="49DAC1A9" w14:textId="77777777" w:rsidR="008572CC" w:rsidRPr="0012170A" w:rsidRDefault="008572CC" w:rsidP="008572CC">
      <w:pPr>
        <w:spacing w:before="100" w:beforeAutospacing="1" w:after="100" w:afterAutospacing="1"/>
        <w:rPr>
          <w:rFonts w:cstheme="minorHAnsi"/>
          <w:color w:val="000000"/>
        </w:rPr>
      </w:pPr>
      <w:r w:rsidRPr="0012170A">
        <w:rPr>
          <w:rFonts w:cstheme="minorHAnsi"/>
        </w:rPr>
        <w:t>Such contradictions are not isolated</w:t>
      </w:r>
      <w:r w:rsidRPr="00073963">
        <w:rPr>
          <w:rFonts w:cstheme="minorHAnsi"/>
        </w:rPr>
        <w:t>.</w:t>
      </w:r>
      <w:r w:rsidRPr="00073963">
        <w:rPr>
          <w:rStyle w:val="apple-converted-space"/>
          <w:rFonts w:cstheme="minorHAnsi"/>
        </w:rPr>
        <w:t> </w:t>
      </w:r>
      <w:r w:rsidRPr="00073963">
        <w:rPr>
          <w:rStyle w:val="Strong"/>
          <w:rFonts w:cstheme="minorHAnsi"/>
          <w:b w:val="0"/>
          <w:bCs w:val="0"/>
        </w:rPr>
        <w:t>40.9%</w:t>
      </w:r>
      <w:r w:rsidRPr="0012170A">
        <w:rPr>
          <w:rStyle w:val="Strong"/>
          <w:rFonts w:cstheme="minorHAnsi"/>
        </w:rPr>
        <w:t xml:space="preserve"> </w:t>
      </w:r>
      <w:r w:rsidRPr="0012170A">
        <w:rPr>
          <w:rFonts w:cstheme="minorHAnsi"/>
        </w:rPr>
        <w:t>believed in a predestined contract before birth, whilst</w:t>
      </w:r>
      <w:r w:rsidRPr="0012170A">
        <w:rPr>
          <w:rStyle w:val="apple-converted-space"/>
          <w:rFonts w:cstheme="minorHAnsi"/>
        </w:rPr>
        <w:t> </w:t>
      </w:r>
      <w:r w:rsidRPr="00073963">
        <w:rPr>
          <w:rStyle w:val="Strong"/>
          <w:rFonts w:cstheme="minorHAnsi"/>
          <w:b w:val="0"/>
          <w:bCs w:val="0"/>
        </w:rPr>
        <w:t>31.8%</w:t>
      </w:r>
      <w:r w:rsidRPr="0012170A">
        <w:rPr>
          <w:rStyle w:val="apple-converted-space"/>
          <w:rFonts w:cstheme="minorHAnsi"/>
        </w:rPr>
        <w:t> </w:t>
      </w:r>
      <w:r w:rsidRPr="0012170A">
        <w:rPr>
          <w:rFonts w:cstheme="minorHAnsi"/>
        </w:rPr>
        <w:t>remained neutral and</w:t>
      </w:r>
      <w:r w:rsidRPr="0012170A">
        <w:rPr>
          <w:rStyle w:val="apple-converted-space"/>
          <w:rFonts w:cstheme="minorHAnsi"/>
        </w:rPr>
        <w:t> </w:t>
      </w:r>
      <w:r w:rsidRPr="00073963">
        <w:rPr>
          <w:rStyle w:val="Strong"/>
          <w:rFonts w:cstheme="minorHAnsi"/>
          <w:b w:val="0"/>
          <w:bCs w:val="0"/>
        </w:rPr>
        <w:t>27.3%</w:t>
      </w:r>
      <w:r w:rsidRPr="0012170A">
        <w:rPr>
          <w:rStyle w:val="apple-converted-space"/>
          <w:rFonts w:cstheme="minorHAnsi"/>
        </w:rPr>
        <w:t> </w:t>
      </w:r>
      <w:r w:rsidRPr="0012170A">
        <w:rPr>
          <w:rFonts w:cstheme="minorHAnsi"/>
        </w:rPr>
        <w:t>disagreed.</w:t>
      </w:r>
      <w:r w:rsidRPr="0012170A">
        <w:rPr>
          <w:rStyle w:val="FootnoteReference"/>
          <w:rFonts w:cstheme="minorHAnsi"/>
        </w:rPr>
        <w:footnoteReference w:id="101"/>
      </w:r>
      <w:r w:rsidRPr="0012170A">
        <w:rPr>
          <w:rFonts w:cstheme="minorHAnsi"/>
        </w:rPr>
        <w:t xml:space="preserve"> Interestingly,</w:t>
      </w:r>
      <w:r w:rsidRPr="0012170A">
        <w:rPr>
          <w:rStyle w:val="apple-converted-space"/>
          <w:rFonts w:cstheme="minorHAnsi"/>
        </w:rPr>
        <w:t> </w:t>
      </w:r>
      <w:r w:rsidRPr="00073963">
        <w:rPr>
          <w:rStyle w:val="Strong"/>
          <w:rFonts w:cstheme="minorHAnsi"/>
          <w:b w:val="0"/>
          <w:bCs w:val="0"/>
        </w:rPr>
        <w:t>91%</w:t>
      </w:r>
      <w:r w:rsidRPr="0012170A">
        <w:rPr>
          <w:rStyle w:val="apple-converted-space"/>
          <w:rFonts w:cstheme="minorHAnsi"/>
        </w:rPr>
        <w:t> </w:t>
      </w:r>
      <w:r w:rsidRPr="0012170A">
        <w:rPr>
          <w:rFonts w:cstheme="minorHAnsi"/>
        </w:rPr>
        <w:t>said astrology had made them more open to the interplay of fate and free will, including those with otherwise deterministic beliefs.</w:t>
      </w:r>
      <w:r w:rsidRPr="0012170A">
        <w:rPr>
          <w:rStyle w:val="FootnoteReference"/>
          <w:rFonts w:cstheme="minorHAnsi"/>
        </w:rPr>
        <w:footnoteReference w:id="102"/>
      </w:r>
      <w:r w:rsidRPr="0012170A">
        <w:rPr>
          <w:rFonts w:cstheme="minorHAnsi"/>
        </w:rPr>
        <w:t xml:space="preserve"> This suggests a profound paradox at the heart of the astrological worldview. Only two early practitioners took polarised stances—one claiming that astrology had reinforced a belief in fate, and another asserting it had strengthened a belief in free will. Overall, findings suggest that engagement with astrology fosters a more integrative view of human agency rather than reinforcing rigid fatalism or absolute freedom.</w:t>
      </w:r>
      <w:r w:rsidRPr="0012170A">
        <w:rPr>
          <w:rStyle w:val="Emphasis"/>
          <w:rFonts w:cstheme="minorHAnsi"/>
        </w:rPr>
        <w:t xml:space="preserve"> </w:t>
      </w:r>
    </w:p>
    <w:p w14:paraId="68443D92" w14:textId="46CE9944" w:rsidR="008572CC" w:rsidRPr="0012170A" w:rsidRDefault="008572CC" w:rsidP="008572CC">
      <w:pPr>
        <w:spacing w:before="100" w:beforeAutospacing="1" w:after="100" w:afterAutospacing="1"/>
        <w:outlineLvl w:val="1"/>
        <w:rPr>
          <w:rFonts w:cstheme="minorHAnsi"/>
          <w:b/>
          <w:bCs/>
        </w:rPr>
      </w:pPr>
      <w:r w:rsidRPr="0012170A">
        <w:rPr>
          <w:rFonts w:cstheme="minorHAnsi"/>
        </w:rPr>
        <w:t>In this study, 31.8% described astrology as a scientific discipline,</w:t>
      </w:r>
      <w:r w:rsidRPr="0012170A">
        <w:rPr>
          <w:rStyle w:val="FootnoteReference"/>
          <w:rFonts w:cstheme="minorHAnsi"/>
        </w:rPr>
        <w:footnoteReference w:id="103"/>
      </w:r>
      <w:r w:rsidRPr="0012170A">
        <w:rPr>
          <w:rFonts w:cstheme="minorHAnsi"/>
        </w:rPr>
        <w:t xml:space="preserve"> yet often qualified this by referencing </w:t>
      </w:r>
      <w:r w:rsidRPr="0012170A">
        <w:rPr>
          <w:rFonts w:cstheme="minorHAnsi"/>
          <w:i/>
          <w:iCs/>
        </w:rPr>
        <w:t>patterns</w:t>
      </w:r>
      <w:r w:rsidRPr="0012170A">
        <w:rPr>
          <w:rFonts w:cstheme="minorHAnsi"/>
        </w:rPr>
        <w:t>, </w:t>
      </w:r>
      <w:r w:rsidRPr="0012170A">
        <w:rPr>
          <w:rFonts w:cstheme="minorHAnsi"/>
          <w:i/>
          <w:iCs/>
        </w:rPr>
        <w:t>resonance</w:t>
      </w:r>
      <w:r w:rsidRPr="0012170A">
        <w:rPr>
          <w:rFonts w:cstheme="minorHAnsi"/>
        </w:rPr>
        <w:t>, or </w:t>
      </w:r>
      <w:r w:rsidRPr="0012170A">
        <w:rPr>
          <w:rFonts w:cstheme="minorHAnsi"/>
          <w:i/>
          <w:iCs/>
        </w:rPr>
        <w:t>correlation</w:t>
      </w:r>
      <w:r w:rsidRPr="0012170A">
        <w:rPr>
          <w:rFonts w:cstheme="minorHAnsi"/>
        </w:rPr>
        <w:t>, not empirical prediction. An early-stage astrologer called it a ‘pseudo-science, but not in a bad way</w:t>
      </w:r>
      <w:r w:rsidRPr="0012170A">
        <w:rPr>
          <w:rFonts w:cstheme="minorHAnsi"/>
          <w:i/>
          <w:iCs/>
        </w:rPr>
        <w:t xml:space="preserve">,’ </w:t>
      </w:r>
      <w:r w:rsidRPr="0012170A">
        <w:rPr>
          <w:rFonts w:cstheme="minorHAnsi"/>
        </w:rPr>
        <w:t>highlighting the symbolic ambiguity.</w:t>
      </w:r>
      <w:r w:rsidRPr="0012170A">
        <w:rPr>
          <w:rStyle w:val="FootnoteReference"/>
          <w:rFonts w:cstheme="minorHAnsi"/>
        </w:rPr>
        <w:footnoteReference w:id="104"/>
      </w:r>
      <w:r w:rsidRPr="0012170A">
        <w:rPr>
          <w:rFonts w:cstheme="minorHAnsi"/>
        </w:rPr>
        <w:t xml:space="preserve"> P16, a veteran, offered a mature reframing: ’the contextualisation of the notion </w:t>
      </w:r>
      <w:r w:rsidRPr="0012170A">
        <w:rPr>
          <w:rFonts w:cstheme="minorHAnsi"/>
          <w:i/>
          <w:iCs/>
        </w:rPr>
        <w:t>place in the world</w:t>
      </w:r>
      <w:r w:rsidRPr="0012170A">
        <w:rPr>
          <w:rFonts w:cstheme="minorHAnsi"/>
        </w:rPr>
        <w:t>,</w:t>
      </w:r>
      <w:r w:rsidRPr="0012170A">
        <w:rPr>
          <w:rFonts w:cstheme="minorHAnsi"/>
          <w:i/>
          <w:iCs/>
        </w:rPr>
        <w:t>’</w:t>
      </w:r>
      <w:r w:rsidRPr="0012170A">
        <w:rPr>
          <w:rStyle w:val="FootnoteReference"/>
          <w:rFonts w:cstheme="minorHAnsi"/>
        </w:rPr>
        <w:footnoteReference w:id="105"/>
      </w:r>
      <w:r w:rsidRPr="0012170A">
        <w:rPr>
          <w:rFonts w:cstheme="minorHAnsi"/>
          <w:i/>
          <w:iCs/>
        </w:rPr>
        <w:t xml:space="preserve"> </w:t>
      </w:r>
      <w:r w:rsidRPr="0012170A">
        <w:rPr>
          <w:rFonts w:cstheme="minorHAnsi"/>
        </w:rPr>
        <w:t>and a space for discernment. This echoes Cornelius’ argument that astrology is ‘a hermeneutic art’, not a system of guarantees,</w:t>
      </w:r>
      <w:r w:rsidRPr="0012170A">
        <w:rPr>
          <w:rStyle w:val="FootnoteReference"/>
          <w:rFonts w:cstheme="minorHAnsi"/>
        </w:rPr>
        <w:footnoteReference w:id="106"/>
      </w:r>
      <w:r w:rsidRPr="0012170A">
        <w:rPr>
          <w:rFonts w:cstheme="minorHAnsi"/>
        </w:rPr>
        <w:t xml:space="preserve"> </w:t>
      </w:r>
      <w:r w:rsidR="00AA5F2A">
        <w:rPr>
          <w:rFonts w:cstheme="minorHAnsi"/>
        </w:rPr>
        <w:t xml:space="preserve">and </w:t>
      </w:r>
      <w:r w:rsidRPr="0012170A">
        <w:rPr>
          <w:rFonts w:cstheme="minorHAnsi"/>
        </w:rPr>
        <w:t>it also recalls Russell’s question: ‘Do astrologers believe in the sciences they profess?’</w:t>
      </w:r>
      <w:r w:rsidRPr="0012170A">
        <w:rPr>
          <w:rStyle w:val="FootnoteReference"/>
          <w:rFonts w:cstheme="minorHAnsi"/>
        </w:rPr>
        <w:footnoteReference w:id="107"/>
      </w:r>
      <w:r w:rsidRPr="0012170A">
        <w:rPr>
          <w:rFonts w:cstheme="minorHAnsi"/>
        </w:rPr>
        <w:t>.  The study offers a complex answer, comprised in P5’s statement: ‘astrology is a coherent cosmology that is not always compatible with empirical methods of enquiry.’</w:t>
      </w:r>
      <w:r w:rsidRPr="0012170A">
        <w:rPr>
          <w:rStyle w:val="FootnoteReference"/>
          <w:rFonts w:cstheme="minorHAnsi"/>
        </w:rPr>
        <w:footnoteReference w:id="108"/>
      </w:r>
      <w:r w:rsidRPr="0012170A">
        <w:rPr>
          <w:rFonts w:cstheme="minorHAnsi"/>
        </w:rPr>
        <w:t xml:space="preserve"> Thus, astrologers believe in the power of the symbol, not its empirical proof. This aligns with </w:t>
      </w:r>
      <w:proofErr w:type="spellStart"/>
      <w:r w:rsidRPr="0012170A">
        <w:rPr>
          <w:rFonts w:cstheme="minorHAnsi"/>
        </w:rPr>
        <w:t>Tarnas</w:t>
      </w:r>
      <w:proofErr w:type="spellEnd"/>
      <w:r w:rsidRPr="0012170A">
        <w:rPr>
          <w:rFonts w:cstheme="minorHAnsi"/>
        </w:rPr>
        <w:t>’ vision of astrology as a dialogical process between psyche and cosmos, in which meaning emerges through symbolic resonance.</w:t>
      </w:r>
      <w:r w:rsidRPr="0012170A">
        <w:rPr>
          <w:rStyle w:val="FootnoteReference"/>
          <w:rFonts w:cstheme="minorHAnsi"/>
        </w:rPr>
        <w:footnoteReference w:id="109"/>
      </w:r>
    </w:p>
    <w:p w14:paraId="1CFAE754" w14:textId="77777777" w:rsidR="008572CC" w:rsidRPr="0012170A" w:rsidRDefault="008572CC" w:rsidP="008572CC">
      <w:pPr>
        <w:spacing w:before="100" w:beforeAutospacing="1" w:after="100" w:afterAutospacing="1"/>
        <w:rPr>
          <w:rFonts w:cstheme="minorHAnsi"/>
        </w:rPr>
      </w:pPr>
      <w:r w:rsidRPr="0012170A">
        <w:rPr>
          <w:rFonts w:cstheme="minorHAnsi"/>
        </w:rPr>
        <w:t>Still, determinism has not vanished. An early practitioner selected deterministic responses across the questionnaire, yet during the interview said:</w:t>
      </w:r>
      <w:r w:rsidRPr="0012170A">
        <w:rPr>
          <w:rStyle w:val="apple-converted-space"/>
          <w:rFonts w:cstheme="minorHAnsi"/>
        </w:rPr>
        <w:t> </w:t>
      </w:r>
      <w:r w:rsidRPr="00AA5F2A">
        <w:rPr>
          <w:rStyle w:val="Emphasis"/>
          <w:rFonts w:cstheme="minorHAnsi"/>
          <w:i w:val="0"/>
          <w:iCs w:val="0"/>
        </w:rPr>
        <w:t>‘We do have free will, but we can’t remember it. I don’t have free will in this life.</w:t>
      </w:r>
      <w:r w:rsidRPr="0012170A">
        <w:rPr>
          <w:rStyle w:val="Emphasis"/>
          <w:rFonts w:cstheme="minorHAnsi"/>
        </w:rPr>
        <w:t>’</w:t>
      </w:r>
      <w:r w:rsidRPr="0012170A">
        <w:rPr>
          <w:rStyle w:val="FootnoteReference"/>
          <w:rFonts w:cstheme="minorHAnsi"/>
        </w:rPr>
        <w:footnoteReference w:id="110"/>
      </w:r>
      <w:r w:rsidRPr="0012170A">
        <w:rPr>
          <w:rFonts w:cstheme="minorHAnsi"/>
        </w:rPr>
        <w:t> For her, fate is freely chosen before birth and forgotten at incarnation — a paradox that echoes Plato’s</w:t>
      </w:r>
      <w:r w:rsidRPr="0012170A">
        <w:rPr>
          <w:rStyle w:val="apple-converted-space"/>
          <w:rFonts w:cstheme="minorHAnsi"/>
        </w:rPr>
        <w:t> </w:t>
      </w:r>
      <w:r w:rsidRPr="0012170A">
        <w:rPr>
          <w:rStyle w:val="Emphasis"/>
          <w:rFonts w:cstheme="minorHAnsi"/>
        </w:rPr>
        <w:t>Myth of Er,</w:t>
      </w:r>
      <w:r w:rsidRPr="0012170A">
        <w:rPr>
          <w:rStyle w:val="FootnoteReference"/>
          <w:rFonts w:cstheme="minorHAnsi"/>
        </w:rPr>
        <w:footnoteReference w:id="111"/>
      </w:r>
      <w:r w:rsidRPr="0012170A">
        <w:rPr>
          <w:rStyle w:val="apple-converted-space"/>
          <w:rFonts w:cstheme="minorHAnsi"/>
        </w:rPr>
        <w:t xml:space="preserve"> </w:t>
      </w:r>
      <w:r w:rsidRPr="0012170A">
        <w:rPr>
          <w:rFonts w:cstheme="minorHAnsi"/>
        </w:rPr>
        <w:t>and aligns with Brady’s idea of astrologers operating with dual logics: one symbolic, one metaphysical.</w:t>
      </w:r>
      <w:r w:rsidRPr="0012170A">
        <w:rPr>
          <w:rStyle w:val="FootnoteReference"/>
          <w:rFonts w:cstheme="minorHAnsi"/>
        </w:rPr>
        <w:footnoteReference w:id="112"/>
      </w:r>
      <w:r w:rsidRPr="0012170A">
        <w:rPr>
          <w:rFonts w:cstheme="minorHAnsi"/>
        </w:rPr>
        <w:t xml:space="preserve"> In this reframing, fatalism becomes a vertical form of agency: chosen outside time, but lived within it. Rather than viewing astrology as deterministic or </w:t>
      </w:r>
      <w:r w:rsidRPr="0012170A">
        <w:rPr>
          <w:rFonts w:cstheme="minorHAnsi"/>
        </w:rPr>
        <w:lastRenderedPageBreak/>
        <w:t xml:space="preserve">liberating in itself, participants treated it as a symbolic practice where freedom is not absolute, but rhythmically available. </w:t>
      </w:r>
    </w:p>
    <w:p w14:paraId="60893A76" w14:textId="77777777" w:rsidR="008572CC" w:rsidRPr="0012170A" w:rsidRDefault="008572CC" w:rsidP="008572CC">
      <w:pPr>
        <w:spacing w:before="100" w:beforeAutospacing="1" w:after="100" w:afterAutospacing="1"/>
        <w:rPr>
          <w:rFonts w:cstheme="minorHAnsi"/>
          <w:b/>
          <w:bCs/>
        </w:rPr>
      </w:pPr>
      <w:r w:rsidRPr="0012170A">
        <w:rPr>
          <w:rFonts w:cstheme="minorHAnsi"/>
          <w:b/>
          <w:bCs/>
        </w:rPr>
        <w:t>5. Discussions</w:t>
      </w:r>
    </w:p>
    <w:p w14:paraId="0B949C82" w14:textId="2B412B2D" w:rsidR="008572CC" w:rsidRPr="0051726F" w:rsidRDefault="0051726F" w:rsidP="0051726F">
      <w:pPr>
        <w:pStyle w:val="NoSpacing"/>
        <w:rPr>
          <w:b/>
          <w:bCs/>
        </w:rPr>
      </w:pPr>
      <w:r w:rsidRPr="0051726F">
        <w:rPr>
          <w:b/>
          <w:bCs/>
        </w:rPr>
        <w:t xml:space="preserve">5.1 </w:t>
      </w:r>
      <w:r w:rsidR="008572CC" w:rsidRPr="0051726F">
        <w:rPr>
          <w:b/>
          <w:bCs/>
        </w:rPr>
        <w:t>Time, Anamnesis, and the Spiral of Freedom</w:t>
      </w:r>
    </w:p>
    <w:p w14:paraId="078028E6" w14:textId="77777777" w:rsidR="0051726F" w:rsidRPr="0012170A" w:rsidRDefault="0051726F" w:rsidP="0051726F">
      <w:pPr>
        <w:pStyle w:val="NoSpacing"/>
      </w:pPr>
    </w:p>
    <w:p w14:paraId="5F44E052" w14:textId="2C5F3FB2" w:rsidR="008572CC" w:rsidRPr="0012170A" w:rsidRDefault="008572CC" w:rsidP="0051726F">
      <w:pPr>
        <w:pStyle w:val="NoSpacing"/>
      </w:pPr>
      <w:r w:rsidRPr="0012170A">
        <w:t>Throughout the data, one theme remained implicit but pervasive: time is not linear for astrologers — it is symbolic, cyclic, and initiatory, as a dance between recurrence and transformation. Participants spoke not of mastering the future, but of entering a relationship with it. The spiral — unlike the circle — suggests that while patterns repeat, the level of awareness changes. The chart becomes a mirror of this process: not a deterministic map, but a ritualised structure through which the individual encounters their becoming. As symbolic literacy deepens, astrologers move from projection to participation, from fatalism to discernment. What began as fate becomes, through memory, insight, and symbolic re-engagement, an act of sacred re-alignment. This is Plato</w:t>
      </w:r>
      <w:r w:rsidR="00AA5F2A">
        <w:t>’s</w:t>
      </w:r>
      <w:r w:rsidRPr="0012170A">
        <w:t> </w:t>
      </w:r>
      <w:r w:rsidRPr="0012170A">
        <w:rPr>
          <w:i/>
          <w:iCs/>
        </w:rPr>
        <w:t>anamnesis</w:t>
      </w:r>
      <w:r w:rsidRPr="0012170A">
        <w:t>: the re-collection of an inner truth.</w:t>
      </w:r>
      <w:r w:rsidRPr="0012170A">
        <w:rPr>
          <w:rStyle w:val="FootnoteReference"/>
          <w:rFonts w:cstheme="minorHAnsi"/>
          <w:color w:val="000000"/>
        </w:rPr>
        <w:footnoteReference w:id="113"/>
      </w:r>
      <w:r w:rsidRPr="0012170A">
        <w:t xml:space="preserve"> In the hands of the astrologer, fate is not erased — but remembered differently. And in that remembering, freedom is born. As one participant put it: ‘Fate is a choice. And free will is another choice.’</w:t>
      </w:r>
      <w:r w:rsidRPr="0012170A">
        <w:rPr>
          <w:rStyle w:val="FootnoteReference"/>
          <w:rFonts w:cstheme="minorHAnsi"/>
          <w:color w:val="000000"/>
        </w:rPr>
        <w:footnoteReference w:id="114"/>
      </w:r>
    </w:p>
    <w:p w14:paraId="3DEC6811" w14:textId="77777777" w:rsidR="00AA5F2A" w:rsidRDefault="00AA5F2A" w:rsidP="00AA5F2A">
      <w:pPr>
        <w:pStyle w:val="NoSpacing"/>
      </w:pPr>
    </w:p>
    <w:p w14:paraId="705E935C" w14:textId="65BDC532" w:rsidR="008572CC" w:rsidRPr="0012170A" w:rsidRDefault="008572CC" w:rsidP="00AA5F2A">
      <w:pPr>
        <w:pStyle w:val="NoSpacing"/>
      </w:pPr>
      <w:r w:rsidRPr="0012170A">
        <w:t>Notably, participants’ views often resisted doctrinal consistency, particularly students, who displayed either unresolved dualism or metaphysical displacement. One case underscored the importance of qualitative inquiry in uncovering the layered logic beneath fixed-response data. The case of P12 is a hidden paradox: the questionnaire responses indicated a deterministic worldview, yet the interview disclosed a resolution in which fate itself may be chosen before birth. In this case, compatibilism is not resolved within the same timeline. This metaphysical reframing relocates agency to a higher dimension, which is deeply relevant to symbolic hermeneutics, Jungian theory, and moral phenomenology. The beginner’s perspective reframes fate not as limitation, but as chosen context</w:t>
      </w:r>
      <w:r w:rsidR="00D25196">
        <w:t xml:space="preserve">: </w:t>
      </w:r>
      <w:r w:rsidRPr="0012170A">
        <w:t>a sacred self</w:t>
      </w:r>
      <w:r w:rsidR="00935B28">
        <w:t>-</w:t>
      </w:r>
      <w:r w:rsidRPr="0012170A">
        <w:t>contract, wher</w:t>
      </w:r>
      <w:r w:rsidR="00D25196">
        <w:t>e</w:t>
      </w:r>
      <w:r w:rsidRPr="0012170A">
        <w:t xml:space="preserve"> fate and free will are not oppositional but may coexist across dimensions of time and consciousness. </w:t>
      </w:r>
    </w:p>
    <w:p w14:paraId="753E0301" w14:textId="77777777" w:rsidR="00AA5F2A" w:rsidRDefault="00AA5F2A" w:rsidP="00AA5F2A">
      <w:pPr>
        <w:pStyle w:val="NoSpacing"/>
      </w:pPr>
    </w:p>
    <w:p w14:paraId="77482E00" w14:textId="16DE2FD5" w:rsidR="008572CC" w:rsidRPr="0012170A" w:rsidRDefault="008572CC" w:rsidP="00AA5F2A">
      <w:pPr>
        <w:pStyle w:val="NoSpacing"/>
      </w:pPr>
      <w:r w:rsidRPr="0012170A">
        <w:t>Experienced participants tended to reject deterministic or libertarian extremes, instead gravitating towards compatibilist or sacred framings, an attitude reflected by Brady’s conclusion:</w:t>
      </w:r>
      <w:r w:rsidR="005F3768">
        <w:t xml:space="preserve"> </w:t>
      </w:r>
      <w:r w:rsidRPr="0012170A">
        <w:t>’The longer they practi</w:t>
      </w:r>
      <w:r w:rsidR="00722D63">
        <w:t>s</w:t>
      </w:r>
      <w:r w:rsidRPr="0012170A">
        <w:t>ed astrology, the greater was their acceptance of natural compatibilism.’</w:t>
      </w:r>
      <w:r w:rsidRPr="0012170A">
        <w:rPr>
          <w:rStyle w:val="FootnoteReference"/>
          <w:rFonts w:cstheme="minorHAnsi"/>
          <w:color w:val="000000"/>
        </w:rPr>
        <w:footnoteReference w:id="115"/>
      </w:r>
      <w:r w:rsidRPr="0012170A">
        <w:t xml:space="preserve">  For them, free will is not a static concept, but a gradually unfolding relationship with meaning and responsibility. Rather than being trained like a skill, it was described as something recognised, honoured, and matured over time—a perspective echoed in the literature review</w:t>
      </w:r>
      <w:r w:rsidR="00C91A35">
        <w:t xml:space="preserve">, </w:t>
      </w:r>
      <w:r w:rsidRPr="0012170A">
        <w:t xml:space="preserve">aligned with </w:t>
      </w:r>
      <w:proofErr w:type="spellStart"/>
      <w:r w:rsidRPr="0012170A">
        <w:t>Rudhyar</w:t>
      </w:r>
      <w:proofErr w:type="spellEnd"/>
      <w:r w:rsidRPr="0012170A">
        <w:t xml:space="preserve">, Green and Reinhart’s allusions to conscious responsiveness. </w:t>
      </w:r>
    </w:p>
    <w:p w14:paraId="76382CA0" w14:textId="77777777" w:rsidR="00AA5F2A" w:rsidRDefault="00AA5F2A" w:rsidP="00AA5F2A">
      <w:pPr>
        <w:pStyle w:val="NoSpacing"/>
      </w:pPr>
    </w:p>
    <w:p w14:paraId="2719A053" w14:textId="670642A9" w:rsidR="008572CC" w:rsidRPr="0012170A" w:rsidRDefault="008572CC" w:rsidP="00AA5F2A">
      <w:pPr>
        <w:pStyle w:val="NoSpacing"/>
      </w:pPr>
      <w:r w:rsidRPr="0012170A">
        <w:t>A recurring motif, voiced by multiple participants, was the idea that true freedom lies not in resisting one's path, but in embracing it consciously. Neither absolute nor illusory, free will is ‘an inner imperative,’</w:t>
      </w:r>
      <w:r w:rsidRPr="0012170A">
        <w:rPr>
          <w:rStyle w:val="FootnoteReference"/>
          <w:rFonts w:cstheme="minorHAnsi"/>
        </w:rPr>
        <w:footnoteReference w:id="116"/>
      </w:r>
      <w:r w:rsidRPr="0012170A">
        <w:t xml:space="preserve"> shaped through symbolic awareness and deepened by astrological practice. Several quoted or paraphrased Jung: ‘Free will is the ability to do gladly that which I must</w:t>
      </w:r>
      <w:r w:rsidRPr="0012170A">
        <w:rPr>
          <w:i/>
          <w:iCs/>
        </w:rPr>
        <w:t>.’</w:t>
      </w:r>
      <w:r w:rsidRPr="0012170A">
        <w:rPr>
          <w:rStyle w:val="FootnoteReference"/>
          <w:rFonts w:cstheme="minorHAnsi"/>
        </w:rPr>
        <w:footnoteReference w:id="117"/>
      </w:r>
      <w:r w:rsidRPr="0012170A">
        <w:t> This view reframes freedom as ethical participation in one’s destiny, not mere independence from it. According to participants,</w:t>
      </w:r>
      <w:r w:rsidRPr="0012170A">
        <w:rPr>
          <w:rStyle w:val="apple-converted-space"/>
          <w:rFonts w:cstheme="minorHAnsi"/>
        </w:rPr>
        <w:t> </w:t>
      </w:r>
      <w:r w:rsidRPr="00AA5F2A">
        <w:rPr>
          <w:rStyle w:val="Strong"/>
          <w:rFonts w:cstheme="minorHAnsi"/>
          <w:b w:val="0"/>
          <w:bCs w:val="0"/>
        </w:rPr>
        <w:t>astrology is perceived not as predictive</w:t>
      </w:r>
      <w:r w:rsidRPr="0012170A">
        <w:rPr>
          <w:rStyle w:val="apple-converted-space"/>
          <w:rFonts w:cstheme="minorHAnsi"/>
          <w:b/>
          <w:bCs/>
        </w:rPr>
        <w:t> </w:t>
      </w:r>
      <w:r w:rsidRPr="0012170A">
        <w:t>in a deterministic sense, but as a</w:t>
      </w:r>
      <w:r w:rsidRPr="0012170A">
        <w:rPr>
          <w:rStyle w:val="apple-converted-space"/>
          <w:rFonts w:cstheme="minorHAnsi"/>
          <w:b/>
          <w:bCs/>
        </w:rPr>
        <w:t> </w:t>
      </w:r>
      <w:r w:rsidRPr="00AA5F2A">
        <w:rPr>
          <w:rStyle w:val="Strong"/>
          <w:rFonts w:cstheme="minorHAnsi"/>
          <w:b w:val="0"/>
          <w:bCs w:val="0"/>
        </w:rPr>
        <w:t>reflective and ethical tool</w:t>
      </w:r>
      <w:r w:rsidRPr="0012170A">
        <w:rPr>
          <w:rStyle w:val="apple-converted-space"/>
          <w:rFonts w:cstheme="minorHAnsi"/>
        </w:rPr>
        <w:t> </w:t>
      </w:r>
      <w:r w:rsidRPr="0012170A">
        <w:t>for self-understanding, timing, and moral orientation:</w:t>
      </w:r>
      <w:r w:rsidRPr="0012170A">
        <w:rPr>
          <w:b/>
          <w:bCs/>
        </w:rPr>
        <w:t xml:space="preserve"> </w:t>
      </w:r>
      <w:r w:rsidRPr="0012170A">
        <w:t xml:space="preserve">free will emerges not despite </w:t>
      </w:r>
      <w:r w:rsidRPr="0012170A">
        <w:lastRenderedPageBreak/>
        <w:t xml:space="preserve">astrology, but through it. </w:t>
      </w:r>
      <w:r w:rsidRPr="00AA5F2A">
        <w:rPr>
          <w:rStyle w:val="Emphasis"/>
          <w:rFonts w:cstheme="minorHAnsi"/>
          <w:i w:val="0"/>
          <w:iCs w:val="0"/>
        </w:rPr>
        <w:t>This resonates with Martin, who views transformation not as escape from fate, but as its alchemical refinement</w:t>
      </w:r>
      <w:r w:rsidRPr="0012170A">
        <w:rPr>
          <w:rStyle w:val="Emphasis"/>
          <w:rFonts w:cstheme="minorHAnsi"/>
        </w:rPr>
        <w:t>.</w:t>
      </w:r>
      <w:r w:rsidRPr="0012170A">
        <w:rPr>
          <w:rStyle w:val="FootnoteReference"/>
          <w:rFonts w:cstheme="minorHAnsi"/>
          <w:i/>
          <w:iCs/>
        </w:rPr>
        <w:footnoteReference w:id="118"/>
      </w:r>
      <w:r w:rsidRPr="0012170A">
        <w:rPr>
          <w:rStyle w:val="Emphasis"/>
          <w:rFonts w:cstheme="minorHAnsi"/>
        </w:rPr>
        <w:t xml:space="preserve"> </w:t>
      </w:r>
    </w:p>
    <w:p w14:paraId="1D286067" w14:textId="7C717ECA" w:rsidR="008572CC" w:rsidRPr="0012170A" w:rsidRDefault="0051726F" w:rsidP="008572CC">
      <w:pPr>
        <w:spacing w:before="100" w:beforeAutospacing="1" w:after="100" w:afterAutospacing="1"/>
        <w:outlineLvl w:val="2"/>
        <w:rPr>
          <w:rFonts w:cstheme="minorHAnsi"/>
          <w:b/>
          <w:bCs/>
          <w:color w:val="000000"/>
        </w:rPr>
      </w:pPr>
      <w:r>
        <w:rPr>
          <w:rFonts w:cstheme="minorHAnsi"/>
          <w:b/>
          <w:bCs/>
          <w:color w:val="000000"/>
        </w:rPr>
        <w:t xml:space="preserve">5.2 </w:t>
      </w:r>
      <w:r w:rsidR="008572CC" w:rsidRPr="0012170A">
        <w:rPr>
          <w:rFonts w:cstheme="minorHAnsi"/>
          <w:b/>
          <w:bCs/>
          <w:color w:val="000000"/>
        </w:rPr>
        <w:t>Methodological Reflections and Limitations </w:t>
      </w:r>
    </w:p>
    <w:p w14:paraId="31071780" w14:textId="0C3844D2" w:rsidR="008572CC" w:rsidRPr="0002795F" w:rsidRDefault="008572CC" w:rsidP="008572CC">
      <w:pPr>
        <w:spacing w:before="100" w:beforeAutospacing="1" w:after="100" w:afterAutospacing="1"/>
        <w:rPr>
          <w:rStyle w:val="Emphasis"/>
          <w:rFonts w:cstheme="minorHAnsi"/>
          <w:i w:val="0"/>
          <w:iCs w:val="0"/>
          <w:color w:val="000000"/>
        </w:rPr>
      </w:pPr>
      <w:r w:rsidRPr="0012170A">
        <w:rPr>
          <w:rFonts w:cstheme="minorHAnsi"/>
          <w:color w:val="000000"/>
        </w:rPr>
        <w:t>The above expressions, while not philosophically integrated, nonetheless highlight the developmental arc of symbolic engagement. Although the approach generated rich data, several limitations must be acknowledged. First, the 11–20 years of experience range was underrepresented, creating a gap in capturing mid-stage symbolic integration. Second, the sample leaned heavily toward psychological and spiritually oriented astrologers, primarily connected with the Faculty of Astrological Studies.</w:t>
      </w:r>
      <w:r w:rsidRPr="0012170A">
        <w:rPr>
          <w:rFonts w:cstheme="minorHAnsi"/>
          <w:b/>
          <w:bCs/>
          <w:color w:val="000000"/>
        </w:rPr>
        <w:t xml:space="preserve"> </w:t>
      </w:r>
      <w:r w:rsidRPr="0012170A">
        <w:rPr>
          <w:rFonts w:cstheme="minorHAnsi"/>
          <w:color w:val="000000"/>
        </w:rPr>
        <w:t>As such, the perspectives of traditionalist practitioners, who may hold different views on agency, were less prominent. A third limitation concerns the thematic depth of planetary symbolism. While transpersonal planets emerged organically in interviews mainly as symbols of suffering, integration, and liberation, the study focused on how astrologers define and manifest free will. One experienced participant described how a client’s fabricated birth chart triggered a profound psychological rupture, which she associated with Chiron’s symbolism of inner wounding and ethical reintegration:</w:t>
      </w:r>
      <w:r w:rsidRPr="0012170A">
        <w:rPr>
          <w:rStyle w:val="Emphasis"/>
          <w:rFonts w:cstheme="minorHAnsi"/>
          <w:color w:val="000000"/>
        </w:rPr>
        <w:t xml:space="preserve"> </w:t>
      </w:r>
      <w:r w:rsidRPr="0002795F">
        <w:rPr>
          <w:rStyle w:val="Emphasis"/>
          <w:rFonts w:cstheme="minorHAnsi"/>
          <w:i w:val="0"/>
          <w:iCs w:val="0"/>
          <w:color w:val="000000"/>
        </w:rPr>
        <w:t>‘but like Chiron, he worked inwardly to recover</w:t>
      </w:r>
      <w:r w:rsidRPr="0012170A">
        <w:rPr>
          <w:rFonts w:cstheme="minorHAnsi"/>
          <w:i/>
          <w:iCs/>
          <w:color w:val="000000"/>
        </w:rPr>
        <w:t>.’</w:t>
      </w:r>
      <w:r w:rsidRPr="0012170A">
        <w:rPr>
          <w:rStyle w:val="FootnoteReference"/>
          <w:rFonts w:cstheme="minorHAnsi"/>
          <w:color w:val="000000"/>
        </w:rPr>
        <w:footnoteReference w:id="119"/>
      </w:r>
      <w:r w:rsidRPr="0012170A">
        <w:rPr>
          <w:rFonts w:cstheme="minorHAnsi"/>
          <w:color w:val="000000"/>
        </w:rPr>
        <w:t xml:space="preserve"> This suggests a potential line of inquiry: how moments of symbolic crisis may serve as catalysts for the deepening of conscious will.</w:t>
      </w:r>
      <w:r w:rsidRPr="0012170A">
        <w:rPr>
          <w:rStyle w:val="Emphasis"/>
          <w:rFonts w:cstheme="minorHAnsi"/>
          <w:color w:val="000000"/>
        </w:rPr>
        <w:t xml:space="preserve"> </w:t>
      </w:r>
      <w:r w:rsidRPr="0002795F">
        <w:rPr>
          <w:rStyle w:val="Emphasis"/>
          <w:rFonts w:cstheme="minorHAnsi"/>
          <w:i w:val="0"/>
          <w:iCs w:val="0"/>
          <w:color w:val="000000"/>
        </w:rPr>
        <w:t>Perhaps the deeper resolution of fate and free will lies not in choice versus destiny, but in accessing a sacred truth carried from beyond the sky?</w:t>
      </w:r>
    </w:p>
    <w:p w14:paraId="781D594C" w14:textId="77777777" w:rsidR="008572CC" w:rsidRPr="0012170A" w:rsidRDefault="008572CC" w:rsidP="008572CC">
      <w:pPr>
        <w:spacing w:before="100" w:beforeAutospacing="1" w:after="100" w:afterAutospacing="1"/>
        <w:rPr>
          <w:rFonts w:cstheme="minorHAnsi"/>
          <w:color w:val="000000"/>
        </w:rPr>
      </w:pPr>
      <w:r w:rsidRPr="0012170A">
        <w:rPr>
          <w:rFonts w:cstheme="minorHAnsi"/>
          <w:color w:val="000000"/>
        </w:rPr>
        <w:t>With constant reflexivity, the analysis of data sought to avoid simplistic readings and instead illuminate the complexity of practitioners’ worldviews. This project does not claim generalisability; rather, it originally contributes to the broader cultural field of astrology by offering an interpretive understanding of how free will is lived, not only theorised. In doing so, it affirms what Campion calls the interiority of meaning</w:t>
      </w:r>
      <w:r w:rsidRPr="0012170A">
        <w:rPr>
          <w:rFonts w:cstheme="minorHAnsi"/>
          <w:b/>
          <w:bCs/>
          <w:color w:val="000000"/>
        </w:rPr>
        <w:t xml:space="preserve"> </w:t>
      </w:r>
      <w:r w:rsidRPr="0012170A">
        <w:rPr>
          <w:rFonts w:cstheme="minorHAnsi"/>
          <w:color w:val="000000"/>
        </w:rPr>
        <w:t>within contemporary spiritualities.</w:t>
      </w:r>
      <w:r w:rsidRPr="0012170A">
        <w:rPr>
          <w:rStyle w:val="FootnoteReference"/>
          <w:rFonts w:cstheme="minorHAnsi"/>
          <w:color w:val="000000"/>
        </w:rPr>
        <w:footnoteReference w:id="120"/>
      </w:r>
      <w:r w:rsidRPr="0012170A">
        <w:rPr>
          <w:rFonts w:cstheme="minorHAnsi"/>
          <w:color w:val="000000"/>
        </w:rPr>
        <w:t xml:space="preserve"> </w:t>
      </w:r>
    </w:p>
    <w:p w14:paraId="18F7A39C" w14:textId="77777777" w:rsidR="008572CC" w:rsidRPr="0012170A" w:rsidRDefault="008572CC" w:rsidP="008572CC">
      <w:pPr>
        <w:spacing w:before="100" w:beforeAutospacing="1" w:after="100" w:afterAutospacing="1"/>
        <w:rPr>
          <w:rFonts w:cstheme="minorHAnsi"/>
          <w:color w:val="000000"/>
        </w:rPr>
      </w:pPr>
      <w:r w:rsidRPr="0012170A">
        <w:rPr>
          <w:rFonts w:cstheme="minorHAnsi"/>
          <w:b/>
          <w:bCs/>
        </w:rPr>
        <w:t>Conclusion</w:t>
      </w:r>
    </w:p>
    <w:p w14:paraId="6F4C59D5" w14:textId="6EB7F41C" w:rsidR="008572CC" w:rsidRPr="0012170A" w:rsidRDefault="008572CC" w:rsidP="008572CC">
      <w:pPr>
        <w:rPr>
          <w:rFonts w:cstheme="minorHAnsi"/>
        </w:rPr>
      </w:pPr>
      <w:r w:rsidRPr="0012170A">
        <w:rPr>
          <w:rFonts w:cstheme="minorHAnsi"/>
        </w:rPr>
        <w:t xml:space="preserve">This research investigated how astrologers conceptualise and exercise free will within the context of contemporary practice. Grounded in a complementary mixed-methods framework, it </w:t>
      </w:r>
      <w:r w:rsidR="00D25196">
        <w:rPr>
          <w:rFonts w:cstheme="minorHAnsi"/>
        </w:rPr>
        <w:t>explor</w:t>
      </w:r>
      <w:r w:rsidRPr="0012170A">
        <w:rPr>
          <w:rFonts w:cstheme="minorHAnsi"/>
        </w:rPr>
        <w:t>ed the lived beliefs, contradictions, and symbolic approaches of astrologers as they navigate the dynamic interplay between fate and agency. Rather than seeking to impose theory, the study employed an interpretive and phenomenological lens to allow insights to emerge from lived practice.</w:t>
      </w:r>
    </w:p>
    <w:p w14:paraId="5F1F2921" w14:textId="424233C8" w:rsidR="008572CC" w:rsidRPr="0012170A" w:rsidRDefault="008572CC" w:rsidP="008572CC">
      <w:pPr>
        <w:rPr>
          <w:rFonts w:cstheme="minorHAnsi"/>
        </w:rPr>
      </w:pPr>
      <w:r w:rsidRPr="0012170A">
        <w:rPr>
          <w:rFonts w:cstheme="minorHAnsi"/>
        </w:rPr>
        <w:t>The literature review established the philosophical foundations of the study, engaging with prominent positions on determinism, compatibilism, and libertarianism, and examined how contemporary astrological thought has addressed the question of human agency. While this study did not directly</w:t>
      </w:r>
      <w:r w:rsidR="00D25196">
        <w:rPr>
          <w:rFonts w:cstheme="minorHAnsi"/>
        </w:rPr>
        <w:t xml:space="preserve"> engage with </w:t>
      </w:r>
      <w:r w:rsidRPr="0012170A">
        <w:rPr>
          <w:rFonts w:cstheme="minorHAnsi"/>
        </w:rPr>
        <w:t xml:space="preserve">neuroscientific or psychological experiments, such as those of </w:t>
      </w:r>
      <w:proofErr w:type="spellStart"/>
      <w:r w:rsidRPr="0012170A">
        <w:rPr>
          <w:rFonts w:cstheme="minorHAnsi"/>
        </w:rPr>
        <w:t>Libet</w:t>
      </w:r>
      <w:proofErr w:type="spellEnd"/>
      <w:r w:rsidRPr="0012170A">
        <w:rPr>
          <w:rFonts w:cstheme="minorHAnsi"/>
        </w:rPr>
        <w:t xml:space="preserve"> or Dennett, it explored to what extent astrologers believe in free will: is there </w:t>
      </w:r>
      <w:r w:rsidR="00D25196">
        <w:rPr>
          <w:rFonts w:cstheme="minorHAnsi"/>
        </w:rPr>
        <w:t>complete</w:t>
      </w:r>
      <w:r w:rsidRPr="0012170A">
        <w:rPr>
          <w:rFonts w:cstheme="minorHAnsi"/>
        </w:rPr>
        <w:t xml:space="preserve"> control, limited choice or simply the power to respond to cosmic influences? </w:t>
      </w:r>
    </w:p>
    <w:p w14:paraId="4979AE48" w14:textId="77777777" w:rsidR="008572CC" w:rsidRPr="0012170A" w:rsidRDefault="008572CC" w:rsidP="008572CC">
      <w:pPr>
        <w:rPr>
          <w:rFonts w:cstheme="minorHAnsi"/>
        </w:rPr>
      </w:pPr>
      <w:r w:rsidRPr="0012170A">
        <w:rPr>
          <w:rFonts w:cstheme="minorHAnsi"/>
        </w:rPr>
        <w:lastRenderedPageBreak/>
        <w:t xml:space="preserve">Findings revealed that astrologers rarely view the birth chart as a deterministic script. Instead, they understand it as a symbolic map that reflects predispositions, timings, and existential potentials. </w:t>
      </w:r>
      <w:r w:rsidRPr="0012170A">
        <w:rPr>
          <w:rFonts w:cstheme="minorHAnsi"/>
          <w:color w:val="000000"/>
        </w:rPr>
        <w:t>Also, the findings challenged Russell’s reductionist framing of astrology as a pseudo-scientific claim system. Rather than professing belief in prediction, participants expressed epistemic humility: the birth chart is not a verdict, but ‘a mirror’</w:t>
      </w:r>
      <w:r w:rsidRPr="0012170A">
        <w:rPr>
          <w:rStyle w:val="FootnoteReference"/>
          <w:rFonts w:cstheme="minorHAnsi"/>
          <w:color w:val="000000"/>
        </w:rPr>
        <w:footnoteReference w:id="121"/>
      </w:r>
      <w:r w:rsidRPr="0012170A">
        <w:rPr>
          <w:rFonts w:cstheme="minorHAnsi"/>
          <w:color w:val="000000"/>
        </w:rPr>
        <w:t>; transits are not dictates, but metaphoric ‘weather.’</w:t>
      </w:r>
      <w:r w:rsidRPr="0012170A">
        <w:rPr>
          <w:rStyle w:val="FootnoteReference"/>
          <w:rFonts w:cstheme="minorHAnsi"/>
          <w:color w:val="000000"/>
        </w:rPr>
        <w:footnoteReference w:id="122"/>
      </w:r>
      <w:r w:rsidRPr="0012170A">
        <w:rPr>
          <w:rFonts w:cstheme="minorHAnsi"/>
          <w:color w:val="000000"/>
        </w:rPr>
        <w:t xml:space="preserve"> The claim astrologers make is not to knowledge-as-control, but to wisdom-as-awareness.</w:t>
      </w:r>
    </w:p>
    <w:p w14:paraId="5C1FCB15" w14:textId="77777777" w:rsidR="008572CC" w:rsidRPr="0012170A" w:rsidRDefault="008572CC" w:rsidP="008572CC">
      <w:pPr>
        <w:spacing w:before="100" w:beforeAutospacing="1" w:after="100" w:afterAutospacing="1"/>
        <w:rPr>
          <w:rFonts w:cstheme="minorHAnsi"/>
          <w:color w:val="000000"/>
        </w:rPr>
      </w:pPr>
      <w:r w:rsidRPr="0012170A">
        <w:rPr>
          <w:rFonts w:cstheme="minorHAnsi"/>
        </w:rPr>
        <w:t>One of the most significant conceptual insights to emerge is that agency is not understood as a trainable skill, but as a symbolic capacity that becomes accessible through clarity, maturity, and reflection. Several experienced practitioners emphasised that not all individuals encounter fate in the same way, and freedom arises not from resistance but from the deepening of participation. This interpretive maturity resembles the alchemical principle of </w:t>
      </w:r>
      <w:r w:rsidRPr="0012170A">
        <w:rPr>
          <w:rFonts w:cstheme="minorHAnsi"/>
          <w:i/>
          <w:iCs/>
        </w:rPr>
        <w:t>solve et coagula</w:t>
      </w:r>
      <w:r w:rsidRPr="0012170A">
        <w:rPr>
          <w:rFonts w:cstheme="minorHAnsi"/>
        </w:rPr>
        <w:t>—to dissolve and reconstitute—a process by which rigid, fatalistic readings are broken down and reintegrated through symbolic insight, preserving the loyalty to the authentic self. In this view, free will, as proposed by experienced astrologers, can be framed as a ‘huge noble work,’</w:t>
      </w:r>
      <w:r w:rsidRPr="0012170A">
        <w:rPr>
          <w:rStyle w:val="FootnoteReference"/>
          <w:rFonts w:cstheme="minorHAnsi"/>
        </w:rPr>
        <w:footnoteReference w:id="123"/>
      </w:r>
      <w:r w:rsidRPr="0012170A">
        <w:rPr>
          <w:rFonts w:cstheme="minorHAnsi"/>
        </w:rPr>
        <w:t xml:space="preserve"> the capacity to recognise an inevitable direction, and to follow it with responsibility. Maturity in astrological practice was often marked not by certainty, but by epistemological humility and ethical discernment. The astrologer does not dictate meaning but helps reveal it</w:t>
      </w:r>
      <w:r w:rsidRPr="0012170A">
        <w:rPr>
          <w:rFonts w:cstheme="minorHAnsi"/>
          <w:color w:val="000000"/>
        </w:rPr>
        <w:t>— knowing arises not from proof but from pattern, resonance, and mythopoetic reflection.</w:t>
      </w:r>
    </w:p>
    <w:p w14:paraId="4ABED70B" w14:textId="274EB32F" w:rsidR="008572CC" w:rsidRDefault="008572CC" w:rsidP="008572CC">
      <w:pPr>
        <w:rPr>
          <w:rFonts w:cstheme="minorHAnsi"/>
        </w:rPr>
      </w:pPr>
      <w:r w:rsidRPr="0012170A">
        <w:rPr>
          <w:rFonts w:cstheme="minorHAnsi"/>
        </w:rPr>
        <w:t xml:space="preserve">To conclude, this research suggests that astrology, which enhances self-awareness and consciousness, offers a framework in which both fate and free will coexist, not as opposites, but as co-creators of destiny. In this view, fate provides the </w:t>
      </w:r>
      <w:r w:rsidR="002173B7">
        <w:rPr>
          <w:rFonts w:cstheme="minorHAnsi"/>
        </w:rPr>
        <w:t xml:space="preserve">curve—the structure of recurrence or </w:t>
      </w:r>
      <w:r w:rsidRPr="0012170A">
        <w:rPr>
          <w:rFonts w:cstheme="minorHAnsi"/>
        </w:rPr>
        <w:t xml:space="preserve">form; free will offers the </w:t>
      </w:r>
      <w:r w:rsidR="002173B7">
        <w:rPr>
          <w:rFonts w:cstheme="minorHAnsi"/>
        </w:rPr>
        <w:t xml:space="preserve">ascent—the conscious </w:t>
      </w:r>
      <w:r w:rsidRPr="0012170A">
        <w:rPr>
          <w:rFonts w:cstheme="minorHAnsi"/>
        </w:rPr>
        <w:t>movement. Together, they trace not a circle, but a spiral. The path that unfolds is perhaps evolution</w:t>
      </w:r>
      <w:r w:rsidR="0076534E">
        <w:rPr>
          <w:rFonts w:cstheme="minorHAnsi"/>
        </w:rPr>
        <w:t xml:space="preserve">, </w:t>
      </w:r>
      <w:r w:rsidRPr="0012170A">
        <w:rPr>
          <w:rFonts w:cstheme="minorHAnsi"/>
        </w:rPr>
        <w:t>an invitation to rise through repetition with insight, courage, and ethical presence.</w:t>
      </w:r>
    </w:p>
    <w:p w14:paraId="35A8AD9A" w14:textId="77777777" w:rsidR="00CB3799" w:rsidRDefault="00CB3799" w:rsidP="008572CC">
      <w:pPr>
        <w:pStyle w:val="NoSpacing"/>
        <w:rPr>
          <w:rFonts w:cstheme="minorHAnsi"/>
          <w:b/>
          <w:bCs/>
        </w:rPr>
      </w:pPr>
    </w:p>
    <w:p w14:paraId="27637674" w14:textId="370AD561" w:rsidR="008572CC" w:rsidRPr="0062151B" w:rsidRDefault="008572CC" w:rsidP="008572CC">
      <w:pPr>
        <w:pStyle w:val="NoSpacing"/>
        <w:rPr>
          <w:rFonts w:cstheme="minorHAnsi"/>
          <w:b/>
          <w:bCs/>
        </w:rPr>
      </w:pPr>
      <w:r w:rsidRPr="0062151B">
        <w:rPr>
          <w:rFonts w:cstheme="minorHAnsi"/>
          <w:b/>
          <w:bCs/>
        </w:rPr>
        <w:t>Bibliography</w:t>
      </w:r>
    </w:p>
    <w:p w14:paraId="22371AC6" w14:textId="77777777" w:rsidR="00CB3799" w:rsidRPr="0012170A" w:rsidRDefault="00CB3799" w:rsidP="008572CC">
      <w:pPr>
        <w:pStyle w:val="NoSpacing"/>
        <w:rPr>
          <w:rFonts w:cstheme="minorHAnsi"/>
        </w:rPr>
      </w:pPr>
    </w:p>
    <w:p w14:paraId="54682369" w14:textId="77777777" w:rsidR="008572CC" w:rsidRPr="0012170A" w:rsidRDefault="008572CC" w:rsidP="008572CC">
      <w:pPr>
        <w:pStyle w:val="NoSpacing"/>
        <w:rPr>
          <w:rFonts w:cstheme="minorHAnsi"/>
        </w:rPr>
      </w:pPr>
      <w:r w:rsidRPr="0012170A">
        <w:rPr>
          <w:rFonts w:cstheme="minorHAnsi"/>
        </w:rPr>
        <w:t>Arroyo Stephen, Astrology Karma &amp; Transformation, The Inner Dimensions of the Birth Chart, SE, CRCS Publications, 1992.</w:t>
      </w:r>
    </w:p>
    <w:p w14:paraId="3A2354A0" w14:textId="77777777" w:rsidR="008572CC" w:rsidRPr="0012170A" w:rsidRDefault="008572CC" w:rsidP="008572CC">
      <w:pPr>
        <w:pStyle w:val="NoSpacing"/>
        <w:rPr>
          <w:rFonts w:cstheme="minorHAnsi"/>
          <w:color w:val="000000"/>
        </w:rPr>
      </w:pPr>
      <w:r w:rsidRPr="0012170A">
        <w:rPr>
          <w:rFonts w:cstheme="minorHAnsi"/>
          <w:color w:val="000000"/>
        </w:rPr>
        <w:t>Bell Judith, Doing Your Research Project, A guide for first-time researchers in education, health and social science, fifth edition, Open University Press, 2010.</w:t>
      </w:r>
    </w:p>
    <w:p w14:paraId="78726406" w14:textId="77777777" w:rsidR="008572CC" w:rsidRPr="0012170A" w:rsidRDefault="008572CC" w:rsidP="008572CC">
      <w:pPr>
        <w:pStyle w:val="NoSpacing"/>
        <w:rPr>
          <w:rFonts w:cstheme="minorHAnsi"/>
        </w:rPr>
      </w:pPr>
      <w:r w:rsidRPr="0012170A">
        <w:rPr>
          <w:rFonts w:cstheme="minorHAnsi"/>
        </w:rPr>
        <w:t>Brady Bernadette, Astrology, a place in chaos, The Wessex Astrologer Ltd, 2006.</w:t>
      </w:r>
    </w:p>
    <w:p w14:paraId="57743B94" w14:textId="77777777" w:rsidR="008572CC" w:rsidRPr="0012170A" w:rsidRDefault="008572CC" w:rsidP="008572CC">
      <w:pPr>
        <w:pStyle w:val="NoSpacing"/>
        <w:rPr>
          <w:rFonts w:cstheme="minorHAnsi"/>
          <w:color w:val="000000"/>
        </w:rPr>
      </w:pPr>
      <w:r w:rsidRPr="0012170A">
        <w:rPr>
          <w:rFonts w:cstheme="minorHAnsi"/>
        </w:rPr>
        <w:t>Brady Bernadette</w:t>
      </w:r>
      <w:r w:rsidRPr="0012170A">
        <w:rPr>
          <w:rFonts w:cstheme="minorHAnsi"/>
          <w:color w:val="000000"/>
        </w:rPr>
        <w:t>, Theories of Fate Among Present Day Astrologers, Trinity Saint David University of Wales, 2012.</w:t>
      </w:r>
    </w:p>
    <w:p w14:paraId="211E9148" w14:textId="77777777" w:rsidR="008572CC" w:rsidRPr="0012170A" w:rsidRDefault="008572CC" w:rsidP="008572CC">
      <w:pPr>
        <w:pStyle w:val="NoSpacing"/>
        <w:rPr>
          <w:rFonts w:cstheme="minorHAnsi"/>
          <w:color w:val="000000"/>
        </w:rPr>
      </w:pPr>
      <w:proofErr w:type="spellStart"/>
      <w:r w:rsidRPr="0012170A">
        <w:rPr>
          <w:rFonts w:cstheme="minorHAnsi"/>
          <w:color w:val="000000"/>
        </w:rPr>
        <w:t>Braud</w:t>
      </w:r>
      <w:proofErr w:type="spellEnd"/>
      <w:r w:rsidRPr="0012170A">
        <w:rPr>
          <w:rFonts w:cstheme="minorHAnsi"/>
          <w:color w:val="000000"/>
        </w:rPr>
        <w:t xml:space="preserve"> William and Anderson Rosemarie, Transpersonal Research Methods for the Social Sciences, </w:t>
      </w:r>
      <w:proofErr w:type="spellStart"/>
      <w:r w:rsidRPr="0012170A">
        <w:rPr>
          <w:rFonts w:cstheme="minorHAnsi"/>
          <w:color w:val="000000"/>
        </w:rPr>
        <w:t>Honoring</w:t>
      </w:r>
      <w:proofErr w:type="spellEnd"/>
      <w:r w:rsidRPr="0012170A">
        <w:rPr>
          <w:rFonts w:cstheme="minorHAnsi"/>
          <w:color w:val="000000"/>
        </w:rPr>
        <w:t xml:space="preserve"> Human Experience, SAGE Publications, 1998.</w:t>
      </w:r>
    </w:p>
    <w:p w14:paraId="2CB83BF1" w14:textId="77777777" w:rsidR="008572CC" w:rsidRPr="0012170A" w:rsidRDefault="008572CC" w:rsidP="008572CC">
      <w:pPr>
        <w:pStyle w:val="NoSpacing"/>
        <w:rPr>
          <w:rFonts w:cstheme="minorHAnsi"/>
          <w:color w:val="000000"/>
        </w:rPr>
      </w:pPr>
      <w:r w:rsidRPr="0012170A">
        <w:rPr>
          <w:rFonts w:cstheme="minorHAnsi"/>
          <w:shd w:val="clear" w:color="auto" w:fill="FFFFFF"/>
        </w:rPr>
        <w:t xml:space="preserve">Braun V. and Clarke V., Using thematic analysis in psychology, </w:t>
      </w:r>
      <w:r w:rsidRPr="0012170A">
        <w:rPr>
          <w:rFonts w:cstheme="minorHAnsi"/>
        </w:rPr>
        <w:t>Qualitative Research in Psychology,</w:t>
      </w:r>
      <w:r w:rsidRPr="0012170A">
        <w:rPr>
          <w:rStyle w:val="apple-converted-space"/>
          <w:rFonts w:cstheme="minorHAnsi"/>
          <w:color w:val="555555"/>
        </w:rPr>
        <w:t> 2006.</w:t>
      </w:r>
    </w:p>
    <w:p w14:paraId="32E05CA6" w14:textId="47D16AEE" w:rsidR="008572CC" w:rsidRPr="0012170A" w:rsidRDefault="008572CC" w:rsidP="008572CC">
      <w:pPr>
        <w:pStyle w:val="NoSpacing"/>
        <w:rPr>
          <w:rFonts w:cstheme="minorHAnsi"/>
          <w:color w:val="000000"/>
        </w:rPr>
      </w:pPr>
      <w:r w:rsidRPr="0012170A">
        <w:rPr>
          <w:rFonts w:cstheme="minorHAnsi"/>
          <w:color w:val="000000"/>
        </w:rPr>
        <w:t xml:space="preserve">Bryman Alan, Quantity </w:t>
      </w:r>
      <w:proofErr w:type="gramStart"/>
      <w:r w:rsidRPr="0012170A">
        <w:rPr>
          <w:rFonts w:cstheme="minorHAnsi"/>
          <w:color w:val="000000"/>
        </w:rPr>
        <w:t>And</w:t>
      </w:r>
      <w:proofErr w:type="gramEnd"/>
      <w:r w:rsidRPr="0012170A">
        <w:rPr>
          <w:rFonts w:cstheme="minorHAnsi"/>
          <w:color w:val="000000"/>
        </w:rPr>
        <w:t xml:space="preserve"> Quality </w:t>
      </w:r>
      <w:r w:rsidR="00D25196">
        <w:rPr>
          <w:rFonts w:cstheme="minorHAnsi"/>
          <w:color w:val="000000"/>
        </w:rPr>
        <w:t>i</w:t>
      </w:r>
      <w:r w:rsidRPr="0012170A">
        <w:rPr>
          <w:rFonts w:cstheme="minorHAnsi"/>
          <w:color w:val="000000"/>
        </w:rPr>
        <w:t>n Social Research, Taylor &amp; Francis e-Library, 2004.</w:t>
      </w:r>
    </w:p>
    <w:p w14:paraId="644F2CCF" w14:textId="77777777" w:rsidR="008572CC" w:rsidRPr="0012170A" w:rsidRDefault="008572CC" w:rsidP="008572CC">
      <w:pPr>
        <w:pStyle w:val="NoSpacing"/>
        <w:rPr>
          <w:rFonts w:cstheme="minorHAnsi"/>
        </w:rPr>
      </w:pPr>
      <w:proofErr w:type="spellStart"/>
      <w:r w:rsidRPr="0012170A">
        <w:rPr>
          <w:rFonts w:cstheme="minorHAnsi"/>
        </w:rPr>
        <w:t>Cambray</w:t>
      </w:r>
      <w:proofErr w:type="spellEnd"/>
      <w:r w:rsidRPr="0012170A">
        <w:rPr>
          <w:rFonts w:cstheme="minorHAnsi"/>
        </w:rPr>
        <w:t xml:space="preserve"> Joe, International Association for Analytical Psychology, </w:t>
      </w:r>
      <w:hyperlink r:id="rId12" w:history="1">
        <w:r w:rsidRPr="0012170A">
          <w:rPr>
            <w:rStyle w:val="Hyperlink"/>
            <w:rFonts w:cstheme="minorHAnsi"/>
          </w:rPr>
          <w:t>https://iaap.org/jung-analytical-psychology/short-articles-on-analytical-psychology/synchronicity-an-acausal-connecting-principle/</w:t>
        </w:r>
      </w:hyperlink>
      <w:r w:rsidRPr="0012170A">
        <w:rPr>
          <w:rFonts w:cstheme="minorHAnsi"/>
        </w:rPr>
        <w:t xml:space="preserve"> [Accessed on April 2025].</w:t>
      </w:r>
    </w:p>
    <w:p w14:paraId="4C76FF9A" w14:textId="77777777" w:rsidR="008572CC" w:rsidRPr="0012170A" w:rsidRDefault="008572CC" w:rsidP="008572CC">
      <w:pPr>
        <w:pStyle w:val="NoSpacing"/>
        <w:rPr>
          <w:rFonts w:cstheme="minorHAnsi"/>
          <w:color w:val="000000"/>
        </w:rPr>
      </w:pPr>
      <w:r w:rsidRPr="0012170A">
        <w:rPr>
          <w:rFonts w:cstheme="minorHAnsi"/>
          <w:color w:val="000000"/>
        </w:rPr>
        <w:lastRenderedPageBreak/>
        <w:t>Campion, Nicholas,</w:t>
      </w:r>
      <w:r w:rsidRPr="0012170A">
        <w:rPr>
          <w:rStyle w:val="apple-converted-space"/>
          <w:rFonts w:cstheme="minorHAnsi"/>
          <w:color w:val="000000"/>
        </w:rPr>
        <w:t> </w:t>
      </w:r>
      <w:r w:rsidRPr="0012170A">
        <w:rPr>
          <w:rFonts w:cstheme="minorHAnsi"/>
          <w:color w:val="000000"/>
        </w:rPr>
        <w:t xml:space="preserve">Astrology and Cosmology in the </w:t>
      </w:r>
      <w:proofErr w:type="spellStart"/>
      <w:r w:rsidRPr="0012170A">
        <w:rPr>
          <w:rFonts w:cstheme="minorHAnsi"/>
          <w:color w:val="000000"/>
        </w:rPr>
        <w:t>Worlds</w:t>
      </w:r>
      <w:proofErr w:type="spellEnd"/>
      <w:r w:rsidRPr="0012170A">
        <w:rPr>
          <w:rFonts w:cstheme="minorHAnsi"/>
          <w:color w:val="000000"/>
        </w:rPr>
        <w:t xml:space="preserve"> Religions. NYU Press, 2012, </w:t>
      </w:r>
      <w:hyperlink r:id="rId13" w:history="1">
        <w:r w:rsidRPr="0012170A">
          <w:rPr>
            <w:rStyle w:val="Hyperlink"/>
            <w:rFonts w:cstheme="minorHAnsi"/>
          </w:rPr>
          <w:t>http://www.jstor.org/stable/j.ctt9qg5q5</w:t>
        </w:r>
      </w:hyperlink>
      <w:r w:rsidRPr="0012170A">
        <w:rPr>
          <w:rFonts w:cstheme="minorHAnsi"/>
          <w:color w:val="000000"/>
        </w:rPr>
        <w:t>.</w:t>
      </w:r>
    </w:p>
    <w:p w14:paraId="0C38A132" w14:textId="77777777" w:rsidR="008572CC" w:rsidRPr="0012170A" w:rsidRDefault="008572CC" w:rsidP="008572CC">
      <w:pPr>
        <w:pStyle w:val="NoSpacing"/>
        <w:rPr>
          <w:rFonts w:cstheme="minorHAnsi"/>
        </w:rPr>
      </w:pPr>
      <w:r w:rsidRPr="0012170A">
        <w:rPr>
          <w:rFonts w:cstheme="minorHAnsi"/>
        </w:rPr>
        <w:t>Campion Nicholas, Astrology and Popular Religion in The Modern West, Routledge, 2016.</w:t>
      </w:r>
    </w:p>
    <w:p w14:paraId="738CC45E" w14:textId="77777777" w:rsidR="008572CC" w:rsidRPr="0012170A" w:rsidRDefault="008572CC" w:rsidP="008572CC">
      <w:pPr>
        <w:pStyle w:val="NoSpacing"/>
        <w:rPr>
          <w:rFonts w:cstheme="minorHAnsi"/>
        </w:rPr>
      </w:pPr>
      <w:r w:rsidRPr="0012170A">
        <w:rPr>
          <w:rFonts w:cstheme="minorHAnsi"/>
        </w:rPr>
        <w:t xml:space="preserve">Campion Nicholas, What Do Astrologers Believe? </w:t>
      </w:r>
      <w:proofErr w:type="spellStart"/>
      <w:r w:rsidRPr="0012170A">
        <w:rPr>
          <w:rFonts w:cstheme="minorHAnsi"/>
        </w:rPr>
        <w:t>Granta</w:t>
      </w:r>
      <w:proofErr w:type="spellEnd"/>
      <w:r w:rsidRPr="0012170A">
        <w:rPr>
          <w:rFonts w:cstheme="minorHAnsi"/>
        </w:rPr>
        <w:t xml:space="preserve"> Books, 2014.</w:t>
      </w:r>
    </w:p>
    <w:p w14:paraId="7A5635BE" w14:textId="1A963852" w:rsidR="008572CC" w:rsidRPr="0012170A" w:rsidRDefault="008572CC" w:rsidP="008572CC">
      <w:pPr>
        <w:pStyle w:val="NoSpacing"/>
        <w:rPr>
          <w:rFonts w:cstheme="minorHAnsi"/>
        </w:rPr>
      </w:pPr>
      <w:r w:rsidRPr="0012170A">
        <w:rPr>
          <w:rFonts w:cstheme="minorHAnsi"/>
        </w:rPr>
        <w:t>Charmaz Kathy, Constructing Grounded Theory: A Practical Guide Through Qualitative Analysis, Sage Publications, 2006.</w:t>
      </w:r>
    </w:p>
    <w:p w14:paraId="5858B3EE" w14:textId="77777777" w:rsidR="008572CC" w:rsidRPr="0012170A" w:rsidRDefault="008572CC" w:rsidP="008572CC">
      <w:pPr>
        <w:pStyle w:val="NoSpacing"/>
        <w:rPr>
          <w:rFonts w:cstheme="minorHAnsi"/>
        </w:rPr>
      </w:pPr>
      <w:r w:rsidRPr="0012170A">
        <w:rPr>
          <w:rFonts w:cstheme="minorHAnsi"/>
        </w:rPr>
        <w:t>Clark Brian, Astrological Time, Cycles of the soul: Transits, Progressions and Returns, Astro*Synthesis, 2021.</w:t>
      </w:r>
    </w:p>
    <w:p w14:paraId="5DFB9FAE" w14:textId="77777777" w:rsidR="008572CC" w:rsidRPr="0012170A" w:rsidRDefault="008572CC" w:rsidP="008572CC">
      <w:pPr>
        <w:pStyle w:val="NoSpacing"/>
        <w:rPr>
          <w:rFonts w:cstheme="minorHAnsi"/>
        </w:rPr>
      </w:pPr>
      <w:r w:rsidRPr="0012170A">
        <w:rPr>
          <w:rFonts w:cstheme="minorHAnsi"/>
        </w:rPr>
        <w:t>Clarke A.</w:t>
      </w:r>
      <w:r w:rsidRPr="0012170A">
        <w:rPr>
          <w:rFonts w:cstheme="minorHAnsi"/>
          <w:i/>
          <w:iCs/>
        </w:rPr>
        <w:t xml:space="preserve">, </w:t>
      </w:r>
      <w:r w:rsidRPr="00453EA4">
        <w:rPr>
          <w:rStyle w:val="Emphasis"/>
          <w:rFonts w:cstheme="minorHAnsi"/>
          <w:i w:val="0"/>
          <w:iCs w:val="0"/>
          <w:color w:val="333333"/>
        </w:rPr>
        <w:t>Situational analysis: Grounded theory after the postmodern turn</w:t>
      </w:r>
      <w:r w:rsidRPr="0012170A">
        <w:rPr>
          <w:rStyle w:val="Emphasis"/>
          <w:rFonts w:cstheme="minorHAnsi"/>
          <w:color w:val="333333"/>
        </w:rPr>
        <w:t xml:space="preserve">, </w:t>
      </w:r>
      <w:r w:rsidRPr="0012170A">
        <w:rPr>
          <w:rFonts w:cstheme="minorHAnsi"/>
          <w:i/>
          <w:iCs/>
        </w:rPr>
        <w:t>Sa</w:t>
      </w:r>
      <w:r w:rsidRPr="0012170A">
        <w:rPr>
          <w:rFonts w:cstheme="minorHAnsi"/>
        </w:rPr>
        <w:t>ge Publications, 2005, Inc.</w:t>
      </w:r>
      <w:r w:rsidRPr="0012170A">
        <w:rPr>
          <w:rStyle w:val="apple-converted-space"/>
          <w:rFonts w:cstheme="minorHAnsi"/>
          <w:color w:val="333333"/>
        </w:rPr>
        <w:t> </w:t>
      </w:r>
      <w:hyperlink r:id="rId14" w:tgtFrame="_blank" w:history="1">
        <w:r w:rsidRPr="0012170A">
          <w:rPr>
            <w:rStyle w:val="Hyperlink"/>
            <w:rFonts w:cstheme="minorHAnsi"/>
            <w:color w:val="2C72B7"/>
          </w:rPr>
          <w:t>https://doi.org/10.4135/9781412985833</w:t>
        </w:r>
      </w:hyperlink>
      <w:r w:rsidRPr="0012170A">
        <w:rPr>
          <w:rStyle w:val="Hyperlink"/>
          <w:rFonts w:cstheme="minorHAnsi"/>
          <w:color w:val="2C72B7"/>
        </w:rPr>
        <w:t>.</w:t>
      </w:r>
    </w:p>
    <w:p w14:paraId="1929B778" w14:textId="77777777" w:rsidR="008572CC" w:rsidRPr="0012170A" w:rsidRDefault="008572CC" w:rsidP="008572CC">
      <w:pPr>
        <w:pStyle w:val="NoSpacing"/>
        <w:rPr>
          <w:rFonts w:cstheme="minorHAnsi"/>
          <w:color w:val="000000"/>
        </w:rPr>
      </w:pPr>
      <w:r w:rsidRPr="0012170A">
        <w:rPr>
          <w:rFonts w:cstheme="minorHAnsi"/>
          <w:color w:val="000000"/>
        </w:rPr>
        <w:t>Copleston F. C., Existentialism. Philosophy, 1948, </w:t>
      </w:r>
      <w:r w:rsidRPr="0012170A">
        <w:rPr>
          <w:rFonts w:cstheme="minorHAnsi"/>
          <w:i/>
          <w:iCs/>
          <w:color w:val="000000"/>
        </w:rPr>
        <w:t>23</w:t>
      </w:r>
      <w:r w:rsidRPr="0012170A">
        <w:rPr>
          <w:rFonts w:cstheme="minorHAnsi"/>
          <w:color w:val="000000"/>
        </w:rPr>
        <w:t xml:space="preserve">(84), 19–37. </w:t>
      </w:r>
      <w:hyperlink r:id="rId15" w:history="1">
        <w:r w:rsidRPr="0012170A">
          <w:rPr>
            <w:rStyle w:val="Hyperlink"/>
            <w:rFonts w:cstheme="minorHAnsi"/>
            <w:lang w:eastAsia="en-GB"/>
          </w:rPr>
          <w:t>http://www.jstor.org/stable/3747384</w:t>
        </w:r>
      </w:hyperlink>
      <w:r w:rsidRPr="0012170A">
        <w:rPr>
          <w:rFonts w:cstheme="minorHAnsi"/>
        </w:rPr>
        <w:t>.</w:t>
      </w:r>
    </w:p>
    <w:p w14:paraId="70704797" w14:textId="77777777" w:rsidR="008572CC" w:rsidRPr="0012170A" w:rsidRDefault="008572CC" w:rsidP="008572CC">
      <w:pPr>
        <w:pStyle w:val="NoSpacing"/>
        <w:rPr>
          <w:rFonts w:cstheme="minorHAnsi"/>
        </w:rPr>
      </w:pPr>
      <w:r w:rsidRPr="0012170A">
        <w:rPr>
          <w:rFonts w:cstheme="minorHAnsi"/>
        </w:rPr>
        <w:t>Cornelius Geoffrey, The Moment of Astrology, Origins in Divination, The Wessex Astrologer, 2003.</w:t>
      </w:r>
    </w:p>
    <w:p w14:paraId="1E775342" w14:textId="77777777" w:rsidR="008572CC" w:rsidRPr="0012170A" w:rsidRDefault="008572CC" w:rsidP="008572CC">
      <w:pPr>
        <w:pStyle w:val="NoSpacing"/>
        <w:rPr>
          <w:rFonts w:cstheme="minorHAnsi"/>
        </w:rPr>
      </w:pPr>
      <w:proofErr w:type="spellStart"/>
      <w:r w:rsidRPr="0012170A">
        <w:rPr>
          <w:rFonts w:cstheme="minorHAnsi"/>
        </w:rPr>
        <w:t>Cresswell</w:t>
      </w:r>
      <w:proofErr w:type="spellEnd"/>
      <w:r w:rsidRPr="0012170A">
        <w:rPr>
          <w:rFonts w:cstheme="minorHAnsi"/>
        </w:rPr>
        <w:t xml:space="preserve">, J. (2021). Oxford Dictionary of Word Origins, Oxford University Press. [Accessed on 30 Apr. 2025] </w:t>
      </w:r>
      <w:hyperlink r:id="rId16" w:history="1">
        <w:r w:rsidRPr="0012170A">
          <w:rPr>
            <w:rStyle w:val="Hyperlink"/>
            <w:rFonts w:cstheme="minorHAnsi"/>
          </w:rPr>
          <w:t>https://www-oxfordreference-com.ezproxy.uwtsd.ac.uk/view/10.1093/acref/9780198868750.001.0001/acref-9780198868750</w:t>
        </w:r>
      </w:hyperlink>
      <w:r w:rsidRPr="0012170A">
        <w:rPr>
          <w:rFonts w:cstheme="minorHAnsi"/>
        </w:rPr>
        <w:t>.</w:t>
      </w:r>
    </w:p>
    <w:p w14:paraId="62C1D7ED" w14:textId="77777777" w:rsidR="008572CC" w:rsidRPr="0012170A" w:rsidRDefault="008572CC" w:rsidP="008572CC">
      <w:pPr>
        <w:pStyle w:val="NoSpacing"/>
        <w:rPr>
          <w:rFonts w:cstheme="minorHAnsi"/>
        </w:rPr>
      </w:pPr>
      <w:r w:rsidRPr="0012170A">
        <w:rPr>
          <w:rFonts w:cstheme="minorHAnsi"/>
        </w:rPr>
        <w:t xml:space="preserve">Curry P. In The Oxford Companion to the History of Modern Science, Oxford University Press, 2003, [Accessed on 29 April 2025] </w:t>
      </w:r>
      <w:hyperlink r:id="rId17" w:history="1">
        <w:r w:rsidRPr="0012170A">
          <w:rPr>
            <w:rStyle w:val="Hyperlink"/>
            <w:rFonts w:cstheme="minorHAnsi"/>
          </w:rPr>
          <w:t>https://www-oxfordreference-com.ezproxy.uwtsd.ac.uk/view/10.1093/acref/9780195112290.001.0001/acref-9780195112290-e-0046</w:t>
        </w:r>
      </w:hyperlink>
      <w:r w:rsidRPr="0012170A">
        <w:rPr>
          <w:rFonts w:cstheme="minorHAnsi"/>
        </w:rPr>
        <w:t>.</w:t>
      </w:r>
    </w:p>
    <w:p w14:paraId="41858DD8" w14:textId="0FFB5831" w:rsidR="008572CC" w:rsidRPr="0012170A" w:rsidRDefault="008572CC" w:rsidP="008572CC">
      <w:pPr>
        <w:pStyle w:val="NoSpacing"/>
        <w:rPr>
          <w:rFonts w:cstheme="minorHAnsi"/>
        </w:rPr>
      </w:pPr>
      <w:r w:rsidRPr="00886ACB">
        <w:rPr>
          <w:rStyle w:val="Strong"/>
          <w:rFonts w:cstheme="minorHAnsi"/>
          <w:b w:val="0"/>
          <w:bCs w:val="0"/>
          <w:color w:val="000000"/>
        </w:rPr>
        <w:t>Dennett</w:t>
      </w:r>
      <w:r w:rsidR="00C91A35">
        <w:rPr>
          <w:rStyle w:val="Strong"/>
          <w:rFonts w:cstheme="minorHAnsi"/>
          <w:b w:val="0"/>
          <w:bCs w:val="0"/>
          <w:color w:val="000000"/>
        </w:rPr>
        <w:t>,</w:t>
      </w:r>
      <w:r w:rsidRPr="00886ACB">
        <w:rPr>
          <w:rStyle w:val="Strong"/>
          <w:rFonts w:cstheme="minorHAnsi"/>
          <w:b w:val="0"/>
          <w:bCs w:val="0"/>
          <w:color w:val="000000"/>
        </w:rPr>
        <w:t xml:space="preserve"> Daniel C.,</w:t>
      </w:r>
      <w:r w:rsidRPr="0012170A">
        <w:rPr>
          <w:rStyle w:val="apple-converted-space"/>
          <w:rFonts w:cstheme="minorHAnsi"/>
          <w:color w:val="000000"/>
        </w:rPr>
        <w:t> </w:t>
      </w:r>
      <w:r w:rsidRPr="00886ACB">
        <w:rPr>
          <w:rStyle w:val="Emphasis"/>
          <w:rFonts w:cstheme="minorHAnsi"/>
          <w:i w:val="0"/>
          <w:iCs w:val="0"/>
          <w:color w:val="000000"/>
        </w:rPr>
        <w:t>Freedom Evolves</w:t>
      </w:r>
      <w:r w:rsidRPr="0012170A">
        <w:rPr>
          <w:rFonts w:cstheme="minorHAnsi"/>
        </w:rPr>
        <w:t>, Viking Penguin, 2003.</w:t>
      </w:r>
    </w:p>
    <w:p w14:paraId="3B9F5CC7" w14:textId="77777777" w:rsidR="008572CC" w:rsidRPr="0012170A" w:rsidRDefault="008572CC" w:rsidP="008572CC">
      <w:pPr>
        <w:pStyle w:val="NoSpacing"/>
        <w:rPr>
          <w:rFonts w:cstheme="minorHAnsi"/>
          <w:color w:val="000000"/>
        </w:rPr>
      </w:pPr>
      <w:r w:rsidRPr="00886ACB">
        <w:rPr>
          <w:rStyle w:val="Strong"/>
          <w:rFonts w:cstheme="minorHAnsi"/>
          <w:b w:val="0"/>
          <w:bCs w:val="0"/>
          <w:color w:val="000000"/>
        </w:rPr>
        <w:t>Etymology Dictionary,</w:t>
      </w:r>
      <w:r w:rsidRPr="0012170A">
        <w:rPr>
          <w:rStyle w:val="apple-converted-space"/>
          <w:rFonts w:cstheme="minorHAnsi"/>
          <w:color w:val="000000"/>
        </w:rPr>
        <w:t> </w:t>
      </w:r>
      <w:r w:rsidRPr="0012170A">
        <w:rPr>
          <w:rFonts w:cstheme="minorHAnsi"/>
          <w:color w:val="000000"/>
        </w:rPr>
        <w:t>“Determinism,”</w:t>
      </w:r>
    </w:p>
    <w:p w14:paraId="6BB718CE" w14:textId="77777777" w:rsidR="008572CC" w:rsidRPr="0012170A" w:rsidRDefault="008572CC" w:rsidP="008572CC">
      <w:pPr>
        <w:pStyle w:val="NoSpacing"/>
        <w:rPr>
          <w:rFonts w:cstheme="minorHAnsi"/>
          <w:color w:val="000000"/>
        </w:rPr>
      </w:pPr>
      <w:r w:rsidRPr="0012170A">
        <w:rPr>
          <w:rFonts w:cstheme="minorHAnsi"/>
          <w:color w:val="000000"/>
        </w:rPr>
        <w:t>n.d.</w:t>
      </w:r>
      <w:r w:rsidRPr="0012170A">
        <w:rPr>
          <w:rStyle w:val="apple-converted-space"/>
          <w:rFonts w:cstheme="minorHAnsi"/>
          <w:color w:val="000000"/>
        </w:rPr>
        <w:t> </w:t>
      </w:r>
      <w:hyperlink r:id="rId18" w:tgtFrame="_new" w:history="1">
        <w:r w:rsidRPr="0012170A">
          <w:rPr>
            <w:rStyle w:val="Hyperlink"/>
            <w:rFonts w:cstheme="minorHAnsi"/>
          </w:rPr>
          <w:t>https://www.etymonline.com/word/determinism</w:t>
        </w:r>
      </w:hyperlink>
      <w:r w:rsidRPr="0012170A">
        <w:rPr>
          <w:rStyle w:val="apple-converted-space"/>
          <w:rFonts w:cstheme="minorHAnsi"/>
          <w:color w:val="000000"/>
        </w:rPr>
        <w:t> </w:t>
      </w:r>
      <w:r w:rsidRPr="0012170A">
        <w:rPr>
          <w:rFonts w:cstheme="minorHAnsi"/>
          <w:color w:val="000000"/>
        </w:rPr>
        <w:t>[Accessed on 30th April 2025].</w:t>
      </w:r>
    </w:p>
    <w:p w14:paraId="6A3F80DB" w14:textId="77777777" w:rsidR="008572CC" w:rsidRPr="0012170A" w:rsidRDefault="008572CC" w:rsidP="008572CC">
      <w:pPr>
        <w:pStyle w:val="NoSpacing"/>
        <w:rPr>
          <w:rFonts w:cstheme="minorHAnsi"/>
          <w:color w:val="000000"/>
        </w:rPr>
      </w:pPr>
      <w:r w:rsidRPr="0012170A">
        <w:rPr>
          <w:rFonts w:cstheme="minorHAnsi"/>
          <w:color w:val="000000"/>
        </w:rPr>
        <w:t xml:space="preserve">Finlay </w:t>
      </w:r>
      <w:r w:rsidRPr="0012170A">
        <w:rPr>
          <w:rFonts w:cstheme="minorHAnsi"/>
        </w:rPr>
        <w:t>Linda</w:t>
      </w:r>
      <w:r w:rsidRPr="0012170A">
        <w:rPr>
          <w:rFonts w:cstheme="minorHAnsi"/>
          <w:color w:val="000000"/>
        </w:rPr>
        <w:t xml:space="preserve">, Negotiating the swamp: the opportunity and challenge of reflexivity in research practice, Qualitative Research, 2002, 2(2), 209-230, </w:t>
      </w:r>
      <w:hyperlink r:id="rId19" w:history="1">
        <w:r w:rsidRPr="0012170A">
          <w:rPr>
            <w:rStyle w:val="Hyperlink"/>
            <w:rFonts w:cstheme="minorHAnsi"/>
          </w:rPr>
          <w:t>https://doi.org/10.1177/146879410200200205</w:t>
        </w:r>
      </w:hyperlink>
      <w:r w:rsidRPr="0012170A">
        <w:rPr>
          <w:rStyle w:val="Hyperlink"/>
          <w:rFonts w:cstheme="minorHAnsi"/>
        </w:rPr>
        <w:t>.</w:t>
      </w:r>
    </w:p>
    <w:p w14:paraId="213F52AA" w14:textId="3872FE55" w:rsidR="008572CC" w:rsidRPr="0012170A" w:rsidRDefault="008572CC" w:rsidP="008572CC">
      <w:pPr>
        <w:pStyle w:val="NoSpacing"/>
        <w:rPr>
          <w:rFonts w:cstheme="minorHAnsi"/>
        </w:rPr>
      </w:pPr>
      <w:r w:rsidRPr="0012170A">
        <w:rPr>
          <w:rFonts w:cstheme="minorHAnsi"/>
        </w:rPr>
        <w:t>Greene</w:t>
      </w:r>
      <w:r w:rsidR="00C91A35">
        <w:rPr>
          <w:rFonts w:cstheme="minorHAnsi"/>
        </w:rPr>
        <w:t>,</w:t>
      </w:r>
      <w:r w:rsidRPr="0012170A">
        <w:rPr>
          <w:rFonts w:cstheme="minorHAnsi"/>
        </w:rPr>
        <w:t xml:space="preserve"> Liz, The Astrology of Fate, Mandala, 1985.</w:t>
      </w:r>
    </w:p>
    <w:p w14:paraId="1552F5F6" w14:textId="785F3DD5" w:rsidR="008572CC" w:rsidRPr="0012170A" w:rsidRDefault="008572CC" w:rsidP="008572CC">
      <w:pPr>
        <w:pStyle w:val="NoSpacing"/>
        <w:rPr>
          <w:rFonts w:cstheme="minorHAnsi"/>
        </w:rPr>
      </w:pPr>
      <w:r w:rsidRPr="0012170A">
        <w:rPr>
          <w:rFonts w:cstheme="minorHAnsi"/>
        </w:rPr>
        <w:t>Hand</w:t>
      </w:r>
      <w:r w:rsidR="00C91A35">
        <w:rPr>
          <w:rFonts w:cstheme="minorHAnsi"/>
        </w:rPr>
        <w:t>, Robert.</w:t>
      </w:r>
      <w:r w:rsidRPr="0012170A">
        <w:rPr>
          <w:rFonts w:cstheme="minorHAnsi"/>
        </w:rPr>
        <w:t xml:space="preserve"> Planets IN Transit, Life Cycles for Living, Expanded 2</w:t>
      </w:r>
      <w:r w:rsidRPr="0012170A">
        <w:rPr>
          <w:rFonts w:cstheme="minorHAnsi"/>
          <w:vertAlign w:val="superscript"/>
        </w:rPr>
        <w:t>nd</w:t>
      </w:r>
      <w:r w:rsidRPr="0012170A">
        <w:rPr>
          <w:rFonts w:cstheme="minorHAnsi"/>
        </w:rPr>
        <w:t xml:space="preserve"> Edition, Schiffer Publishing, 2002.</w:t>
      </w:r>
    </w:p>
    <w:p w14:paraId="2AB2ACAB" w14:textId="77777777" w:rsidR="008572CC" w:rsidRPr="0012170A" w:rsidRDefault="008572CC" w:rsidP="008572CC">
      <w:pPr>
        <w:pStyle w:val="NoSpacing"/>
        <w:rPr>
          <w:rFonts w:cstheme="minorHAnsi"/>
        </w:rPr>
      </w:pPr>
      <w:r w:rsidRPr="0012170A">
        <w:rPr>
          <w:rFonts w:cstheme="minorHAnsi"/>
        </w:rPr>
        <w:t>Harris Sam, Free Will, Free Press, 2012, p.46.</w:t>
      </w:r>
    </w:p>
    <w:p w14:paraId="2396EED8" w14:textId="77777777" w:rsidR="008572CC" w:rsidRPr="0012170A" w:rsidRDefault="008572CC" w:rsidP="008572CC">
      <w:pPr>
        <w:pStyle w:val="NoSpacing"/>
        <w:rPr>
          <w:rFonts w:cstheme="minorHAnsi"/>
        </w:rPr>
      </w:pPr>
      <w:proofErr w:type="spellStart"/>
      <w:r w:rsidRPr="0012170A">
        <w:rPr>
          <w:rFonts w:cstheme="minorHAnsi"/>
        </w:rPr>
        <w:t>Hennink</w:t>
      </w:r>
      <w:proofErr w:type="spellEnd"/>
      <w:r w:rsidRPr="0012170A">
        <w:rPr>
          <w:rFonts w:cstheme="minorHAnsi"/>
        </w:rPr>
        <w:t xml:space="preserve">, </w:t>
      </w:r>
      <w:proofErr w:type="spellStart"/>
      <w:r w:rsidRPr="0012170A">
        <w:rPr>
          <w:rFonts w:cstheme="minorHAnsi"/>
        </w:rPr>
        <w:t>Hutter</w:t>
      </w:r>
      <w:proofErr w:type="spellEnd"/>
      <w:r w:rsidRPr="0012170A">
        <w:rPr>
          <w:rFonts w:cstheme="minorHAnsi"/>
        </w:rPr>
        <w:t xml:space="preserve"> and Bailey, Qualitative Research Methods, Sage Publications Ltd, SE, 2020.</w:t>
      </w:r>
    </w:p>
    <w:p w14:paraId="70559C53" w14:textId="77777777" w:rsidR="008572CC" w:rsidRPr="0012170A" w:rsidRDefault="008572CC" w:rsidP="008572CC">
      <w:pPr>
        <w:pStyle w:val="NoSpacing"/>
        <w:rPr>
          <w:rFonts w:cstheme="minorHAnsi"/>
        </w:rPr>
      </w:pPr>
      <w:proofErr w:type="spellStart"/>
      <w:r w:rsidRPr="00E96BCE">
        <w:rPr>
          <w:rStyle w:val="Strong"/>
          <w:rFonts w:cstheme="minorHAnsi"/>
          <w:b w:val="0"/>
          <w:bCs w:val="0"/>
          <w:color w:val="000000"/>
        </w:rPr>
        <w:t>Hoad</w:t>
      </w:r>
      <w:proofErr w:type="spellEnd"/>
      <w:r w:rsidRPr="00E96BCE">
        <w:rPr>
          <w:rStyle w:val="Strong"/>
          <w:rFonts w:cstheme="minorHAnsi"/>
          <w:b w:val="0"/>
          <w:bCs w:val="0"/>
          <w:color w:val="000000"/>
        </w:rPr>
        <w:t xml:space="preserve"> T. F. (ed.),</w:t>
      </w:r>
      <w:r w:rsidRPr="0012170A">
        <w:rPr>
          <w:rStyle w:val="apple-converted-space"/>
          <w:rFonts w:cstheme="minorHAnsi"/>
          <w:color w:val="000000"/>
        </w:rPr>
        <w:t xml:space="preserve"> </w:t>
      </w:r>
      <w:r w:rsidRPr="00E96BCE">
        <w:rPr>
          <w:rStyle w:val="Emphasis"/>
          <w:rFonts w:cstheme="minorHAnsi"/>
          <w:i w:val="0"/>
          <w:iCs w:val="0"/>
          <w:color w:val="000000"/>
        </w:rPr>
        <w:t>The Concise Oxford Dictionary of English Etymology</w:t>
      </w:r>
      <w:r w:rsidRPr="0012170A">
        <w:rPr>
          <w:rFonts w:cstheme="minorHAnsi"/>
          <w:i/>
          <w:iCs/>
        </w:rPr>
        <w:t>,</w:t>
      </w:r>
      <w:r w:rsidRPr="0012170A">
        <w:rPr>
          <w:rFonts w:cstheme="minorHAnsi"/>
        </w:rPr>
        <w:t xml:space="preserve"> Oxford University Press, 1996. Retrieved on 30th April 2025, from</w:t>
      </w:r>
      <w:r w:rsidRPr="0012170A">
        <w:rPr>
          <w:rStyle w:val="apple-converted-space"/>
          <w:rFonts w:cstheme="minorHAnsi"/>
          <w:color w:val="000000"/>
        </w:rPr>
        <w:t> </w:t>
      </w:r>
      <w:hyperlink r:id="rId20" w:tgtFrame="_new" w:history="1">
        <w:r w:rsidRPr="0012170A">
          <w:rPr>
            <w:rStyle w:val="Hyperlink"/>
            <w:rFonts w:cstheme="minorHAnsi"/>
          </w:rPr>
          <w:t>https://www-oxfordreference-com.ezproxy.uwtsd.ac.uk/view/10.1093/acref/9780192830982.001.0001/acref-9780192830982-e-3126</w:t>
        </w:r>
      </w:hyperlink>
      <w:r w:rsidRPr="0012170A">
        <w:rPr>
          <w:rFonts w:cstheme="minorHAnsi"/>
        </w:rPr>
        <w:t>.</w:t>
      </w:r>
    </w:p>
    <w:p w14:paraId="1F5AFD69" w14:textId="77777777" w:rsidR="008572CC" w:rsidRPr="0012170A" w:rsidRDefault="008572CC" w:rsidP="008572CC">
      <w:pPr>
        <w:pStyle w:val="NoSpacing"/>
        <w:rPr>
          <w:rFonts w:cstheme="minorHAnsi"/>
        </w:rPr>
      </w:pPr>
      <w:r w:rsidRPr="00E96BCE">
        <w:rPr>
          <w:rStyle w:val="Strong"/>
          <w:rFonts w:cstheme="minorHAnsi"/>
          <w:b w:val="0"/>
          <w:bCs w:val="0"/>
          <w:color w:val="000000"/>
        </w:rPr>
        <w:t>Kant Immanuel,</w:t>
      </w:r>
      <w:r w:rsidRPr="0012170A">
        <w:rPr>
          <w:rStyle w:val="apple-converted-space"/>
          <w:rFonts w:cstheme="minorHAnsi"/>
          <w:color w:val="000000"/>
        </w:rPr>
        <w:t> </w:t>
      </w:r>
      <w:r w:rsidRPr="00E96BCE">
        <w:rPr>
          <w:rStyle w:val="Emphasis"/>
          <w:rFonts w:cstheme="minorHAnsi"/>
          <w:i w:val="0"/>
          <w:iCs w:val="0"/>
          <w:color w:val="000000"/>
        </w:rPr>
        <w:t>Groundwork of the Metaphysics of Morals</w:t>
      </w:r>
      <w:r w:rsidRPr="00E96BCE">
        <w:rPr>
          <w:rFonts w:cstheme="minorHAnsi"/>
          <w:i/>
          <w:iCs/>
        </w:rPr>
        <w:t>,</w:t>
      </w:r>
      <w:r w:rsidRPr="0012170A">
        <w:rPr>
          <w:rFonts w:cstheme="minorHAnsi"/>
        </w:rPr>
        <w:t xml:space="preserve"> translated and edited by Mary J. Gregor, Cambridge University Press, 1996 (original work published 1785).</w:t>
      </w:r>
    </w:p>
    <w:p w14:paraId="00B87625" w14:textId="77777777" w:rsidR="008572CC" w:rsidRPr="0012170A" w:rsidRDefault="008572CC" w:rsidP="008572CC">
      <w:pPr>
        <w:pStyle w:val="NoSpacing"/>
        <w:rPr>
          <w:rFonts w:cstheme="minorHAnsi"/>
        </w:rPr>
      </w:pPr>
      <w:proofErr w:type="spellStart"/>
      <w:r w:rsidRPr="00E96BCE">
        <w:rPr>
          <w:rStyle w:val="Strong"/>
          <w:rFonts w:cstheme="minorHAnsi"/>
          <w:b w:val="0"/>
          <w:bCs w:val="0"/>
          <w:color w:val="000000"/>
        </w:rPr>
        <w:t>Libet</w:t>
      </w:r>
      <w:proofErr w:type="spellEnd"/>
      <w:r w:rsidRPr="00E96BCE">
        <w:rPr>
          <w:rStyle w:val="Strong"/>
          <w:rFonts w:cstheme="minorHAnsi"/>
          <w:b w:val="0"/>
          <w:bCs w:val="0"/>
          <w:color w:val="000000"/>
        </w:rPr>
        <w:t xml:space="preserve"> Barry,</w:t>
      </w:r>
      <w:r w:rsidRPr="00E96BCE">
        <w:rPr>
          <w:rStyle w:val="apple-converted-space"/>
          <w:rFonts w:cstheme="minorHAnsi"/>
          <w:b/>
          <w:bCs/>
          <w:color w:val="000000"/>
        </w:rPr>
        <w:t> </w:t>
      </w:r>
      <w:r w:rsidRPr="0012170A">
        <w:rPr>
          <w:rFonts w:cstheme="minorHAnsi"/>
        </w:rPr>
        <w:t>Unconscious cerebral initiative and the role of conscious will in voluntary action,</w:t>
      </w:r>
      <w:r w:rsidRPr="0012170A">
        <w:rPr>
          <w:rStyle w:val="apple-converted-space"/>
          <w:rFonts w:cstheme="minorHAnsi"/>
          <w:color w:val="000000"/>
        </w:rPr>
        <w:t> </w:t>
      </w:r>
      <w:proofErr w:type="spellStart"/>
      <w:r w:rsidRPr="00E96BCE">
        <w:rPr>
          <w:rStyle w:val="Emphasis"/>
          <w:rFonts w:cstheme="minorHAnsi"/>
          <w:i w:val="0"/>
          <w:iCs w:val="0"/>
          <w:color w:val="000000"/>
        </w:rPr>
        <w:t>Behavioral</w:t>
      </w:r>
      <w:proofErr w:type="spellEnd"/>
      <w:r w:rsidRPr="00E96BCE">
        <w:rPr>
          <w:rStyle w:val="Emphasis"/>
          <w:rFonts w:cstheme="minorHAnsi"/>
          <w:i w:val="0"/>
          <w:iCs w:val="0"/>
          <w:color w:val="000000"/>
        </w:rPr>
        <w:t xml:space="preserve"> and Brain Sciences</w:t>
      </w:r>
      <w:r w:rsidRPr="0012170A">
        <w:rPr>
          <w:rFonts w:cstheme="minorHAnsi"/>
        </w:rPr>
        <w:t>, 8(4), 1985, pp. 529–566.</w:t>
      </w:r>
      <w:r w:rsidRPr="0012170A">
        <w:rPr>
          <w:rStyle w:val="apple-converted-space"/>
          <w:rFonts w:cstheme="minorHAnsi"/>
          <w:color w:val="000000"/>
        </w:rPr>
        <w:t> </w:t>
      </w:r>
      <w:hyperlink r:id="rId21" w:tgtFrame="_new" w:history="1">
        <w:r w:rsidRPr="0012170A">
          <w:rPr>
            <w:rStyle w:val="Hyperlink"/>
            <w:rFonts w:cstheme="minorHAnsi"/>
          </w:rPr>
          <w:t>https://doi.org/10.1017/S0140525X00044903</w:t>
        </w:r>
      </w:hyperlink>
      <w:r w:rsidRPr="0012170A">
        <w:rPr>
          <w:rFonts w:cstheme="minorHAnsi"/>
        </w:rPr>
        <w:t xml:space="preserve">. </w:t>
      </w:r>
    </w:p>
    <w:p w14:paraId="3F992A7B" w14:textId="77777777" w:rsidR="008572CC" w:rsidRPr="0012170A" w:rsidRDefault="008572CC" w:rsidP="008572CC">
      <w:pPr>
        <w:pStyle w:val="NoSpacing"/>
        <w:rPr>
          <w:rFonts w:cstheme="minorHAnsi"/>
          <w:color w:val="333333"/>
        </w:rPr>
      </w:pPr>
      <w:proofErr w:type="spellStart"/>
      <w:r w:rsidRPr="0012170A">
        <w:rPr>
          <w:rFonts w:cstheme="minorHAnsi"/>
          <w:color w:val="333333"/>
        </w:rPr>
        <w:t>Madondo</w:t>
      </w:r>
      <w:proofErr w:type="spellEnd"/>
      <w:r w:rsidRPr="0012170A">
        <w:rPr>
          <w:rFonts w:cstheme="minorHAnsi"/>
          <w:color w:val="333333"/>
        </w:rPr>
        <w:t xml:space="preserve"> Silas Memory, Qualitative Data Gathering Instruments and Methods, Data Analysis and Methods of Qualitative Research: Emerging Research and Opportunities</w:t>
      </w:r>
      <w:r w:rsidRPr="0012170A">
        <w:rPr>
          <w:rFonts w:cstheme="minorHAnsi"/>
          <w:i/>
          <w:iCs/>
          <w:color w:val="333333"/>
        </w:rPr>
        <w:t>,</w:t>
      </w:r>
      <w:r w:rsidRPr="0012170A">
        <w:rPr>
          <w:rStyle w:val="apple-converted-space"/>
          <w:rFonts w:cstheme="minorHAnsi"/>
          <w:color w:val="333333"/>
        </w:rPr>
        <w:t> </w:t>
      </w:r>
      <w:r w:rsidRPr="0012170A">
        <w:rPr>
          <w:rFonts w:cstheme="minorHAnsi"/>
          <w:color w:val="333333"/>
        </w:rPr>
        <w:t xml:space="preserve">IGI Global, 2021, pp.77-98, p.79. </w:t>
      </w:r>
      <w:hyperlink r:id="rId22" w:history="1">
        <w:r w:rsidRPr="0012170A">
          <w:rPr>
            <w:rStyle w:val="Hyperlink"/>
            <w:rFonts w:cstheme="minorHAnsi"/>
          </w:rPr>
          <w:t>https://doi-org.ezproxy.uwtsd.ac.uk/10.4018/978-1-7998-8549-8.ch004</w:t>
        </w:r>
      </w:hyperlink>
    </w:p>
    <w:p w14:paraId="71FF7DA2" w14:textId="77777777" w:rsidR="008572CC" w:rsidRPr="0012170A" w:rsidRDefault="008572CC" w:rsidP="008572CC">
      <w:pPr>
        <w:pStyle w:val="NoSpacing"/>
        <w:rPr>
          <w:rFonts w:cstheme="minorHAnsi"/>
        </w:rPr>
      </w:pPr>
      <w:r w:rsidRPr="0012170A">
        <w:rPr>
          <w:rFonts w:cstheme="minorHAnsi"/>
        </w:rPr>
        <w:t>Mann A. T., The Divine Plot, Astrology, Reincarnation, Cosmology and History, Allen &amp;Unwin, 1986.</w:t>
      </w:r>
    </w:p>
    <w:p w14:paraId="7183AA0F" w14:textId="77777777" w:rsidR="008572CC" w:rsidRPr="0012170A" w:rsidRDefault="008572CC" w:rsidP="008572CC">
      <w:pPr>
        <w:pStyle w:val="NoSpacing"/>
        <w:rPr>
          <w:rFonts w:cstheme="minorHAnsi"/>
        </w:rPr>
      </w:pPr>
      <w:r w:rsidRPr="0012170A">
        <w:rPr>
          <w:rFonts w:cstheme="minorHAnsi"/>
        </w:rPr>
        <w:t>Martin Clare</w:t>
      </w:r>
      <w:r w:rsidRPr="00E96BCE">
        <w:rPr>
          <w:rFonts w:cstheme="minorHAnsi"/>
          <w:i/>
          <w:iCs/>
        </w:rPr>
        <w:t>,</w:t>
      </w:r>
      <w:r w:rsidRPr="00E96BCE">
        <w:rPr>
          <w:rStyle w:val="apple-converted-space"/>
          <w:rFonts w:cstheme="minorHAnsi"/>
          <w:i/>
          <w:iCs/>
          <w:color w:val="000000"/>
        </w:rPr>
        <w:t> </w:t>
      </w:r>
      <w:r w:rsidRPr="00E96BCE">
        <w:rPr>
          <w:rStyle w:val="Emphasis"/>
          <w:rFonts w:cstheme="minorHAnsi"/>
          <w:i w:val="0"/>
          <w:iCs w:val="0"/>
          <w:color w:val="000000"/>
        </w:rPr>
        <w:t>Alchemy: The Soul of Astrology</w:t>
      </w:r>
      <w:r w:rsidRPr="00E96BCE">
        <w:rPr>
          <w:rFonts w:cstheme="minorHAnsi"/>
          <w:i/>
          <w:iCs/>
        </w:rPr>
        <w:t>,</w:t>
      </w:r>
      <w:r w:rsidRPr="0012170A">
        <w:rPr>
          <w:rFonts w:cstheme="minorHAnsi"/>
        </w:rPr>
        <w:t xml:space="preserve"> The Wessex Astrologer, 2020.</w:t>
      </w:r>
    </w:p>
    <w:p w14:paraId="631FE52D" w14:textId="77777777" w:rsidR="008572CC" w:rsidRPr="0012170A" w:rsidRDefault="008572CC" w:rsidP="008572CC">
      <w:pPr>
        <w:pStyle w:val="NoSpacing"/>
        <w:rPr>
          <w:rFonts w:cstheme="minorHAnsi"/>
        </w:rPr>
      </w:pPr>
      <w:r w:rsidRPr="0012170A">
        <w:rPr>
          <w:rFonts w:cstheme="minorHAnsi"/>
        </w:rPr>
        <w:t xml:space="preserve">Martin Clare, Mapping the Psyche, An Introduction to Psychological Astrology, Volume 3: Kairos </w:t>
      </w:r>
      <w:proofErr w:type="gramStart"/>
      <w:r w:rsidRPr="0012170A">
        <w:rPr>
          <w:rFonts w:cstheme="minorHAnsi"/>
        </w:rPr>
        <w:t>The</w:t>
      </w:r>
      <w:proofErr w:type="gramEnd"/>
      <w:r w:rsidRPr="0012170A">
        <w:rPr>
          <w:rFonts w:cstheme="minorHAnsi"/>
        </w:rPr>
        <w:t xml:space="preserve"> Astrology of Time, The Wessex Astrologer, 2015.</w:t>
      </w:r>
    </w:p>
    <w:p w14:paraId="59A7E68F" w14:textId="77777777" w:rsidR="008572CC" w:rsidRPr="0012170A" w:rsidRDefault="008572CC" w:rsidP="008572CC">
      <w:pPr>
        <w:pStyle w:val="NoSpacing"/>
        <w:rPr>
          <w:rFonts w:cstheme="minorHAnsi"/>
        </w:rPr>
      </w:pPr>
      <w:r w:rsidRPr="00E96BCE">
        <w:rPr>
          <w:rStyle w:val="Strong"/>
          <w:rFonts w:cstheme="minorHAnsi"/>
          <w:b w:val="0"/>
          <w:bCs w:val="0"/>
          <w:color w:val="000000"/>
        </w:rPr>
        <w:t>Nathan M. L.,</w:t>
      </w:r>
      <w:r w:rsidRPr="0012170A">
        <w:rPr>
          <w:rStyle w:val="apple-converted-space"/>
          <w:rFonts w:cstheme="minorHAnsi"/>
          <w:color w:val="000000"/>
        </w:rPr>
        <w:t> </w:t>
      </w:r>
      <w:r w:rsidRPr="0012170A">
        <w:rPr>
          <w:rFonts w:cstheme="minorHAnsi"/>
        </w:rPr>
        <w:t>Review of</w:t>
      </w:r>
      <w:r w:rsidRPr="0012170A">
        <w:rPr>
          <w:rStyle w:val="apple-converted-space"/>
          <w:rFonts w:cstheme="minorHAnsi"/>
          <w:color w:val="000000"/>
        </w:rPr>
        <w:t> </w:t>
      </w:r>
      <w:r w:rsidRPr="00E96BCE">
        <w:rPr>
          <w:rStyle w:val="Emphasis"/>
          <w:rFonts w:cstheme="minorHAnsi"/>
          <w:i w:val="0"/>
          <w:iCs w:val="0"/>
          <w:color w:val="000000"/>
        </w:rPr>
        <w:t>The Significance of Free Will</w:t>
      </w:r>
      <w:r w:rsidRPr="0012170A">
        <w:rPr>
          <w:rFonts w:cstheme="minorHAnsi"/>
          <w:i/>
          <w:iCs/>
        </w:rPr>
        <w:t>,</w:t>
      </w:r>
      <w:r w:rsidRPr="0012170A">
        <w:rPr>
          <w:rFonts w:cstheme="minorHAnsi"/>
        </w:rPr>
        <w:t xml:space="preserve"> by Robert Kane,</w:t>
      </w:r>
      <w:r w:rsidRPr="0012170A">
        <w:rPr>
          <w:rStyle w:val="apple-converted-space"/>
          <w:rFonts w:cstheme="minorHAnsi"/>
          <w:color w:val="000000"/>
        </w:rPr>
        <w:t> </w:t>
      </w:r>
      <w:r w:rsidRPr="00E96BCE">
        <w:rPr>
          <w:rStyle w:val="Emphasis"/>
          <w:rFonts w:cstheme="minorHAnsi"/>
          <w:i w:val="0"/>
          <w:iCs w:val="0"/>
          <w:color w:val="000000"/>
        </w:rPr>
        <w:t>Mind</w:t>
      </w:r>
      <w:r w:rsidRPr="0012170A">
        <w:rPr>
          <w:rFonts w:cstheme="minorHAnsi"/>
          <w:i/>
          <w:iCs/>
        </w:rPr>
        <w:t>,</w:t>
      </w:r>
      <w:r w:rsidRPr="0012170A">
        <w:rPr>
          <w:rFonts w:cstheme="minorHAnsi"/>
        </w:rPr>
        <w:t xml:space="preserve"> 108(429), 1999, pp. 181-182.</w:t>
      </w:r>
      <w:r w:rsidRPr="0012170A">
        <w:rPr>
          <w:rStyle w:val="apple-converted-space"/>
          <w:rFonts w:cstheme="minorHAnsi"/>
          <w:color w:val="000000"/>
        </w:rPr>
        <w:t> </w:t>
      </w:r>
      <w:hyperlink r:id="rId23" w:tgtFrame="_new" w:history="1">
        <w:r w:rsidRPr="0012170A">
          <w:rPr>
            <w:rStyle w:val="Hyperlink"/>
            <w:rFonts w:cstheme="minorHAnsi"/>
          </w:rPr>
          <w:t>http://www.jstor.org/stable/2659913</w:t>
        </w:r>
      </w:hyperlink>
      <w:r w:rsidRPr="0012170A">
        <w:rPr>
          <w:rFonts w:cstheme="minorHAnsi"/>
        </w:rPr>
        <w:t>.</w:t>
      </w:r>
    </w:p>
    <w:p w14:paraId="1944D56B" w14:textId="77777777" w:rsidR="008572CC" w:rsidRPr="0012170A" w:rsidRDefault="008572CC" w:rsidP="008572CC">
      <w:pPr>
        <w:pStyle w:val="NoSpacing"/>
        <w:rPr>
          <w:rFonts w:cstheme="minorHAnsi"/>
          <w:color w:val="1A1A1A"/>
        </w:rPr>
      </w:pPr>
      <w:r w:rsidRPr="0012170A">
        <w:rPr>
          <w:rFonts w:cstheme="minorHAnsi"/>
          <w:color w:val="1A1A1A"/>
        </w:rPr>
        <w:t>O’Connor, Timothy and Christopher Franklin, "Free Will",</w:t>
      </w:r>
      <w:r w:rsidRPr="0012170A">
        <w:rPr>
          <w:rStyle w:val="apple-converted-space"/>
          <w:rFonts w:cstheme="minorHAnsi"/>
          <w:color w:val="1A1A1A"/>
        </w:rPr>
        <w:t> </w:t>
      </w:r>
      <w:r w:rsidRPr="00E96BCE">
        <w:rPr>
          <w:rStyle w:val="Emphasis"/>
          <w:rFonts w:cstheme="minorHAnsi"/>
          <w:i w:val="0"/>
          <w:iCs w:val="0"/>
          <w:color w:val="1A1A1A"/>
        </w:rPr>
        <w:t xml:space="preserve">The Stanford </w:t>
      </w:r>
      <w:proofErr w:type="spellStart"/>
      <w:r w:rsidRPr="00E96BCE">
        <w:rPr>
          <w:rStyle w:val="Emphasis"/>
          <w:rFonts w:cstheme="minorHAnsi"/>
          <w:i w:val="0"/>
          <w:iCs w:val="0"/>
          <w:color w:val="1A1A1A"/>
        </w:rPr>
        <w:t>Encyclopedia</w:t>
      </w:r>
      <w:proofErr w:type="spellEnd"/>
      <w:r w:rsidRPr="00E96BCE">
        <w:rPr>
          <w:rStyle w:val="Emphasis"/>
          <w:rFonts w:cstheme="minorHAnsi"/>
          <w:i w:val="0"/>
          <w:iCs w:val="0"/>
          <w:color w:val="1A1A1A"/>
        </w:rPr>
        <w:t xml:space="preserve"> of Philosophy</w:t>
      </w:r>
      <w:r w:rsidRPr="0012170A">
        <w:rPr>
          <w:rStyle w:val="apple-converted-space"/>
          <w:rFonts w:cstheme="minorHAnsi"/>
          <w:color w:val="1A1A1A"/>
        </w:rPr>
        <w:t> </w:t>
      </w:r>
      <w:r w:rsidRPr="0012170A">
        <w:rPr>
          <w:rFonts w:cstheme="minorHAnsi"/>
          <w:color w:val="1A1A1A"/>
        </w:rPr>
        <w:t xml:space="preserve">(Winter 2022 Edition), Edward N. </w:t>
      </w:r>
      <w:proofErr w:type="spellStart"/>
      <w:r w:rsidRPr="0012170A">
        <w:rPr>
          <w:rFonts w:cstheme="minorHAnsi"/>
          <w:color w:val="1A1A1A"/>
        </w:rPr>
        <w:t>Zalta</w:t>
      </w:r>
      <w:proofErr w:type="spellEnd"/>
      <w:r w:rsidRPr="0012170A">
        <w:rPr>
          <w:rFonts w:cstheme="minorHAnsi"/>
          <w:color w:val="1A1A1A"/>
        </w:rPr>
        <w:t xml:space="preserve"> &amp; Uri </w:t>
      </w:r>
      <w:proofErr w:type="spellStart"/>
      <w:r w:rsidRPr="0012170A">
        <w:rPr>
          <w:rFonts w:cstheme="minorHAnsi"/>
          <w:color w:val="1A1A1A"/>
        </w:rPr>
        <w:t>Nodelman</w:t>
      </w:r>
      <w:proofErr w:type="spellEnd"/>
      <w:r w:rsidRPr="0012170A">
        <w:rPr>
          <w:rFonts w:cstheme="minorHAnsi"/>
          <w:color w:val="1A1A1A"/>
        </w:rPr>
        <w:t xml:space="preserve"> (eds.), URL = </w:t>
      </w:r>
      <w:hyperlink r:id="rId24" w:history="1">
        <w:r w:rsidRPr="0012170A">
          <w:rPr>
            <w:rStyle w:val="Hyperlink"/>
            <w:rFonts w:cstheme="minorHAnsi"/>
          </w:rPr>
          <w:t>https://plato.stanford.edu/archives/win2022/entries/freewill</w:t>
        </w:r>
      </w:hyperlink>
      <w:r w:rsidRPr="0012170A">
        <w:rPr>
          <w:rFonts w:cstheme="minorHAnsi"/>
        </w:rPr>
        <w:t>.</w:t>
      </w:r>
    </w:p>
    <w:p w14:paraId="00BC18B5" w14:textId="77777777" w:rsidR="008572CC" w:rsidRPr="0012170A" w:rsidRDefault="008572CC" w:rsidP="008572CC">
      <w:pPr>
        <w:pStyle w:val="NoSpacing"/>
        <w:rPr>
          <w:rFonts w:cstheme="minorHAnsi"/>
          <w:color w:val="000000"/>
        </w:rPr>
      </w:pPr>
      <w:r w:rsidRPr="0012170A">
        <w:rPr>
          <w:rFonts w:cstheme="minorHAnsi"/>
          <w:color w:val="000000"/>
        </w:rPr>
        <w:lastRenderedPageBreak/>
        <w:t xml:space="preserve">Patton </w:t>
      </w:r>
      <w:r w:rsidRPr="0012170A">
        <w:rPr>
          <w:rFonts w:cstheme="minorHAnsi"/>
        </w:rPr>
        <w:t>M.</w:t>
      </w:r>
      <w:r w:rsidRPr="0012170A">
        <w:rPr>
          <w:rFonts w:cstheme="minorHAnsi"/>
          <w:color w:val="000000"/>
        </w:rPr>
        <w:t>, Qualitative Research and Evaluation Methods, 3rd ed., Sage, 2002.</w:t>
      </w:r>
    </w:p>
    <w:p w14:paraId="4B0C7906" w14:textId="77777777" w:rsidR="008572CC" w:rsidRPr="0012170A" w:rsidRDefault="008572CC" w:rsidP="008572CC">
      <w:pPr>
        <w:pStyle w:val="NoSpacing"/>
        <w:rPr>
          <w:rFonts w:cstheme="minorHAnsi"/>
        </w:rPr>
      </w:pPr>
      <w:r w:rsidRPr="0012170A">
        <w:rPr>
          <w:rFonts w:cstheme="minorHAnsi"/>
        </w:rPr>
        <w:t xml:space="preserve">Perseus Digital Library, Plato, Book 10, Section 617e, </w:t>
      </w:r>
      <w:hyperlink r:id="rId25" w:history="1">
        <w:r w:rsidRPr="0012170A">
          <w:rPr>
            <w:rStyle w:val="Hyperlink"/>
            <w:rFonts w:cstheme="minorHAnsi"/>
          </w:rPr>
          <w:t>https://www.perseus.tufts.edu/hopper/text?doc=Perseus%3Atext%3A1999.01.0168%3Abook%3D10%3Asection%3D617e</w:t>
        </w:r>
      </w:hyperlink>
      <w:r w:rsidRPr="0012170A">
        <w:rPr>
          <w:rStyle w:val="Hyperlink"/>
          <w:rFonts w:cstheme="minorHAnsi"/>
        </w:rPr>
        <w:t>.</w:t>
      </w:r>
    </w:p>
    <w:p w14:paraId="388BA789" w14:textId="77777777" w:rsidR="008572CC" w:rsidRPr="0012170A" w:rsidRDefault="008572CC" w:rsidP="008572CC">
      <w:pPr>
        <w:pStyle w:val="NoSpacing"/>
        <w:rPr>
          <w:rFonts w:cstheme="minorHAnsi"/>
          <w:color w:val="000000"/>
        </w:rPr>
      </w:pPr>
      <w:r w:rsidRPr="0012170A">
        <w:rPr>
          <w:rFonts w:cstheme="minorHAnsi"/>
        </w:rPr>
        <w:t>Reinhart Melanie, Chiron and The Healing Journey</w:t>
      </w:r>
      <w:r w:rsidRPr="0012170A">
        <w:rPr>
          <w:rFonts w:cstheme="minorHAnsi"/>
          <w:color w:val="000000"/>
        </w:rPr>
        <w:t xml:space="preserve">, An Astrological and Psychological Perspective, </w:t>
      </w:r>
      <w:proofErr w:type="spellStart"/>
      <w:r w:rsidRPr="0012170A">
        <w:rPr>
          <w:rFonts w:cstheme="minorHAnsi"/>
          <w:color w:val="000000"/>
        </w:rPr>
        <w:t>Starwalker</w:t>
      </w:r>
      <w:proofErr w:type="spellEnd"/>
      <w:r w:rsidRPr="0012170A">
        <w:rPr>
          <w:rFonts w:cstheme="minorHAnsi"/>
          <w:color w:val="000000"/>
        </w:rPr>
        <w:t xml:space="preserve"> Press, 2009.</w:t>
      </w:r>
    </w:p>
    <w:p w14:paraId="60A6F53B" w14:textId="77777777" w:rsidR="008572CC" w:rsidRPr="0012170A" w:rsidRDefault="008572CC" w:rsidP="008572CC">
      <w:pPr>
        <w:pStyle w:val="NoSpacing"/>
        <w:rPr>
          <w:rFonts w:cstheme="minorHAnsi"/>
        </w:rPr>
      </w:pPr>
      <w:r w:rsidRPr="0012170A">
        <w:rPr>
          <w:rFonts w:cstheme="minorHAnsi"/>
        </w:rPr>
        <w:t xml:space="preserve">Reinhart Melanie, Incarnation: The Four Angles and the Moon’s Nodes, </w:t>
      </w:r>
      <w:proofErr w:type="spellStart"/>
      <w:r w:rsidRPr="0012170A">
        <w:rPr>
          <w:rFonts w:cstheme="minorHAnsi"/>
        </w:rPr>
        <w:t>Starwalker</w:t>
      </w:r>
      <w:proofErr w:type="spellEnd"/>
      <w:r w:rsidRPr="0012170A">
        <w:rPr>
          <w:rFonts w:cstheme="minorHAnsi"/>
        </w:rPr>
        <w:t xml:space="preserve"> Press, 2014.</w:t>
      </w:r>
    </w:p>
    <w:p w14:paraId="001AB6B3" w14:textId="78D4169A" w:rsidR="008572CC" w:rsidRPr="0012170A" w:rsidRDefault="008572CC" w:rsidP="008572CC">
      <w:pPr>
        <w:pStyle w:val="NoSpacing"/>
        <w:rPr>
          <w:rFonts w:cstheme="minorHAnsi"/>
        </w:rPr>
      </w:pPr>
      <w:r w:rsidRPr="0012170A">
        <w:rPr>
          <w:rFonts w:cstheme="minorHAnsi"/>
        </w:rPr>
        <w:t>Roberts</w:t>
      </w:r>
      <w:r w:rsidR="00C91A35">
        <w:rPr>
          <w:rFonts w:cstheme="minorHAnsi"/>
        </w:rPr>
        <w:t>,</w:t>
      </w:r>
      <w:r w:rsidRPr="0012170A">
        <w:rPr>
          <w:rFonts w:cstheme="minorHAnsi"/>
        </w:rPr>
        <w:t xml:space="preserve"> Maureen B., PhD, Re-Connection vs Re-Collection: Individuation &amp; Soul Retrieval as Remembered Wholeness, </w:t>
      </w:r>
      <w:hyperlink r:id="rId26" w:history="1">
        <w:r w:rsidRPr="0012170A">
          <w:rPr>
            <w:rStyle w:val="Hyperlink"/>
            <w:rFonts w:cstheme="minorHAnsi"/>
          </w:rPr>
          <w:t>https://www.jungcircle.com/ind.html</w:t>
        </w:r>
      </w:hyperlink>
      <w:r w:rsidRPr="0012170A">
        <w:rPr>
          <w:rFonts w:cstheme="minorHAnsi"/>
        </w:rPr>
        <w:t xml:space="preserve"> [Accessed May 2025].</w:t>
      </w:r>
    </w:p>
    <w:p w14:paraId="1BDF9179" w14:textId="77777777" w:rsidR="008572CC" w:rsidRPr="0012170A" w:rsidRDefault="008572CC" w:rsidP="008572CC">
      <w:pPr>
        <w:pStyle w:val="NoSpacing"/>
        <w:rPr>
          <w:rFonts w:cstheme="minorHAnsi"/>
        </w:rPr>
      </w:pPr>
      <w:proofErr w:type="spellStart"/>
      <w:r w:rsidRPr="0012170A">
        <w:rPr>
          <w:rFonts w:cstheme="minorHAnsi"/>
        </w:rPr>
        <w:t>Rudhyar</w:t>
      </w:r>
      <w:proofErr w:type="spellEnd"/>
      <w:r w:rsidRPr="0012170A">
        <w:rPr>
          <w:rFonts w:cstheme="minorHAnsi"/>
        </w:rPr>
        <w:t xml:space="preserve"> Dane, The </w:t>
      </w:r>
      <w:proofErr w:type="spellStart"/>
      <w:r w:rsidRPr="0012170A">
        <w:rPr>
          <w:rFonts w:cstheme="minorHAnsi"/>
        </w:rPr>
        <w:t>Planetarization</w:t>
      </w:r>
      <w:proofErr w:type="spellEnd"/>
      <w:r w:rsidRPr="0012170A">
        <w:rPr>
          <w:rFonts w:cstheme="minorHAnsi"/>
        </w:rPr>
        <w:t xml:space="preserve"> </w:t>
      </w:r>
      <w:proofErr w:type="gramStart"/>
      <w:r w:rsidRPr="0012170A">
        <w:rPr>
          <w:rFonts w:cstheme="minorHAnsi"/>
        </w:rPr>
        <w:t>Of</w:t>
      </w:r>
      <w:proofErr w:type="gramEnd"/>
      <w:r w:rsidRPr="0012170A">
        <w:rPr>
          <w:rFonts w:cstheme="minorHAnsi"/>
        </w:rPr>
        <w:t xml:space="preserve"> Consciousness, Aurora Press, SE, 1977.</w:t>
      </w:r>
    </w:p>
    <w:p w14:paraId="6ADC9B62" w14:textId="77777777" w:rsidR="008572CC" w:rsidRPr="0012170A" w:rsidRDefault="008572CC" w:rsidP="008572CC">
      <w:pPr>
        <w:pStyle w:val="NoSpacing"/>
        <w:rPr>
          <w:rFonts w:cstheme="minorHAnsi"/>
        </w:rPr>
      </w:pPr>
      <w:r w:rsidRPr="0012170A">
        <w:rPr>
          <w:rFonts w:cstheme="minorHAnsi"/>
        </w:rPr>
        <w:t xml:space="preserve">Russell Bertrand, On Astrologers,[Accessed on March 2025] </w:t>
      </w:r>
      <w:hyperlink r:id="rId27" w:anchor=":~:text=Astrologers%20still%20exist%3B%20it%20has,an%20invalid%20husband%20to%20support" w:history="1">
        <w:r w:rsidRPr="0012170A">
          <w:rPr>
            <w:rStyle w:val="Hyperlink"/>
            <w:rFonts w:cstheme="minorHAnsi"/>
          </w:rPr>
          <w:t>http://thecampvs.com/2011/03/10/bertrand-russell-on-astrologers/#:~:text=Astrologers%20still%20exist%3B%20it%20has,an%20invalid%20husband%20to%20support</w:t>
        </w:r>
      </w:hyperlink>
      <w:r w:rsidRPr="0012170A">
        <w:rPr>
          <w:rFonts w:cstheme="minorHAnsi"/>
        </w:rPr>
        <w:t xml:space="preserve">. </w:t>
      </w:r>
    </w:p>
    <w:p w14:paraId="2C41F151" w14:textId="77777777" w:rsidR="008572CC" w:rsidRPr="0012170A" w:rsidRDefault="008572CC" w:rsidP="008572CC">
      <w:pPr>
        <w:pStyle w:val="NoSpacing"/>
        <w:rPr>
          <w:rFonts w:cstheme="minorHAnsi"/>
        </w:rPr>
      </w:pPr>
      <w:proofErr w:type="spellStart"/>
      <w:r w:rsidRPr="0012170A">
        <w:rPr>
          <w:rFonts w:cstheme="minorHAnsi"/>
          <w:color w:val="000000"/>
        </w:rPr>
        <w:t>Sasportas</w:t>
      </w:r>
      <w:proofErr w:type="spellEnd"/>
      <w:r w:rsidRPr="0012170A">
        <w:rPr>
          <w:rFonts w:cstheme="minorHAnsi"/>
          <w:color w:val="000000"/>
        </w:rPr>
        <w:t xml:space="preserve"> Howard, The Gods of Change, Pain, Crisis and the Transits of Uranus, Neptune and Pluto, The Wessex Astrologer, 2007.</w:t>
      </w:r>
    </w:p>
    <w:p w14:paraId="78D38DDC" w14:textId="77777777" w:rsidR="008572CC" w:rsidRPr="0012170A" w:rsidRDefault="008572CC" w:rsidP="008572CC">
      <w:pPr>
        <w:pStyle w:val="NoSpacing"/>
        <w:rPr>
          <w:rFonts w:cstheme="minorHAnsi"/>
          <w:color w:val="000000"/>
        </w:rPr>
      </w:pPr>
      <w:r w:rsidRPr="0012170A">
        <w:rPr>
          <w:rFonts w:cstheme="minorHAnsi"/>
          <w:color w:val="000000"/>
        </w:rPr>
        <w:t xml:space="preserve">Shelburne W. A., Existential Perspective in the Thought of Carl Jung. Journal of Religion and Health, 1983, </w:t>
      </w:r>
      <w:r w:rsidRPr="0012170A">
        <w:rPr>
          <w:rFonts w:cstheme="minorHAnsi"/>
          <w:i/>
          <w:iCs/>
          <w:color w:val="000000"/>
        </w:rPr>
        <w:t>22</w:t>
      </w:r>
      <w:r w:rsidRPr="0012170A">
        <w:rPr>
          <w:rFonts w:cstheme="minorHAnsi"/>
          <w:color w:val="000000"/>
        </w:rPr>
        <w:t xml:space="preserve">(1), 58–73. </w:t>
      </w:r>
      <w:hyperlink r:id="rId28" w:history="1">
        <w:r w:rsidRPr="0012170A">
          <w:rPr>
            <w:rStyle w:val="Hyperlink"/>
            <w:rFonts w:cstheme="minorHAnsi"/>
            <w:lang w:eastAsia="en-GB"/>
          </w:rPr>
          <w:t>http://www.jstor.org/stable/27505718</w:t>
        </w:r>
      </w:hyperlink>
      <w:r w:rsidRPr="0012170A">
        <w:rPr>
          <w:rFonts w:cstheme="minorHAnsi"/>
          <w:color w:val="000000"/>
        </w:rPr>
        <w:t>.</w:t>
      </w:r>
    </w:p>
    <w:p w14:paraId="66F61E2A" w14:textId="77777777" w:rsidR="008572CC" w:rsidRPr="0012170A" w:rsidRDefault="008572CC" w:rsidP="008572CC">
      <w:pPr>
        <w:pStyle w:val="NoSpacing"/>
        <w:rPr>
          <w:rFonts w:cstheme="minorHAnsi"/>
          <w:color w:val="000000"/>
        </w:rPr>
      </w:pPr>
      <w:r w:rsidRPr="0012170A">
        <w:rPr>
          <w:rFonts w:cstheme="minorHAnsi"/>
          <w:color w:val="000000"/>
        </w:rPr>
        <w:t xml:space="preserve">Smith Linda Tuhiwai, Decolonizing Methodologies, Research </w:t>
      </w:r>
      <w:proofErr w:type="gramStart"/>
      <w:r w:rsidRPr="0012170A">
        <w:rPr>
          <w:rFonts w:cstheme="minorHAnsi"/>
          <w:color w:val="000000"/>
        </w:rPr>
        <w:t>And</w:t>
      </w:r>
      <w:proofErr w:type="gramEnd"/>
      <w:r w:rsidRPr="0012170A">
        <w:rPr>
          <w:rFonts w:cstheme="minorHAnsi"/>
          <w:color w:val="000000"/>
        </w:rPr>
        <w:t xml:space="preserve"> Indigenous Peoples, Zed </w:t>
      </w:r>
      <w:proofErr w:type="spellStart"/>
      <w:r w:rsidRPr="0012170A">
        <w:rPr>
          <w:rFonts w:cstheme="minorHAnsi"/>
          <w:color w:val="000000"/>
        </w:rPr>
        <w:t>Biiks</w:t>
      </w:r>
      <w:proofErr w:type="spellEnd"/>
      <w:r w:rsidRPr="0012170A">
        <w:rPr>
          <w:rFonts w:cstheme="minorHAnsi"/>
          <w:color w:val="000000"/>
        </w:rPr>
        <w:t xml:space="preserve"> Ltd, 1999.</w:t>
      </w:r>
    </w:p>
    <w:p w14:paraId="0AF02B05" w14:textId="77777777" w:rsidR="008572CC" w:rsidRPr="0012170A" w:rsidRDefault="008572CC" w:rsidP="008572CC">
      <w:pPr>
        <w:pStyle w:val="NoSpacing"/>
        <w:rPr>
          <w:rFonts w:cstheme="minorHAnsi"/>
        </w:rPr>
      </w:pPr>
      <w:r w:rsidRPr="0012170A">
        <w:rPr>
          <w:rFonts w:cstheme="minorHAnsi"/>
        </w:rPr>
        <w:t xml:space="preserve">Stevenson, A. (Ed.), Oxford Dictionary of English, Oxford University Press,2010, Retrieved 30 Apr. 2025, from </w:t>
      </w:r>
      <w:hyperlink r:id="rId29" w:history="1">
        <w:r w:rsidRPr="0012170A">
          <w:rPr>
            <w:rStyle w:val="Hyperlink"/>
            <w:rFonts w:cstheme="minorHAnsi"/>
          </w:rPr>
          <w:t>https://www-oxfordreference-com.ezproxy.uwtsd.ac.uk/view/10.1093/acref/9780199571123.001.0001/m_en_gb0288820</w:t>
        </w:r>
      </w:hyperlink>
      <w:r w:rsidRPr="0012170A">
        <w:rPr>
          <w:rFonts w:cstheme="minorHAnsi"/>
        </w:rPr>
        <w:t>.</w:t>
      </w:r>
    </w:p>
    <w:p w14:paraId="3AAF18A9" w14:textId="77777777" w:rsidR="008572CC" w:rsidRPr="0012170A" w:rsidRDefault="008572CC" w:rsidP="008572CC">
      <w:pPr>
        <w:pStyle w:val="NoSpacing"/>
        <w:rPr>
          <w:rFonts w:cstheme="minorHAnsi"/>
        </w:rPr>
      </w:pPr>
      <w:proofErr w:type="spellStart"/>
      <w:r w:rsidRPr="0012170A">
        <w:rPr>
          <w:rFonts w:cstheme="minorHAnsi"/>
        </w:rPr>
        <w:t>Tarnas</w:t>
      </w:r>
      <w:proofErr w:type="spellEnd"/>
      <w:r w:rsidRPr="0012170A">
        <w:rPr>
          <w:rFonts w:cstheme="minorHAnsi"/>
        </w:rPr>
        <w:t xml:space="preserve"> Richard, Cosmos and Psyche, Intimations of a New World View, Plume, 2007.</w:t>
      </w:r>
    </w:p>
    <w:p w14:paraId="6A51EDEC" w14:textId="77777777" w:rsidR="008572CC" w:rsidRPr="0012170A" w:rsidRDefault="008572CC" w:rsidP="008572CC">
      <w:pPr>
        <w:pStyle w:val="NoSpacing"/>
        <w:rPr>
          <w:rFonts w:cstheme="minorHAnsi"/>
          <w:color w:val="000000"/>
        </w:rPr>
      </w:pPr>
      <w:proofErr w:type="spellStart"/>
      <w:r w:rsidRPr="0012170A">
        <w:rPr>
          <w:rFonts w:cstheme="minorHAnsi"/>
          <w:color w:val="000000"/>
        </w:rPr>
        <w:t>Vatansever</w:t>
      </w:r>
      <w:proofErr w:type="spellEnd"/>
      <w:r w:rsidRPr="0012170A">
        <w:rPr>
          <w:rFonts w:cstheme="minorHAnsi"/>
          <w:color w:val="000000"/>
        </w:rPr>
        <w:t xml:space="preserve"> S., Kant’s coherent theory of the highest good. International Journal for Philosophy of Religion, 2021, </w:t>
      </w:r>
      <w:r w:rsidRPr="0012170A">
        <w:rPr>
          <w:rFonts w:cstheme="minorHAnsi"/>
          <w:i/>
          <w:iCs/>
          <w:color w:val="000000"/>
        </w:rPr>
        <w:t>89</w:t>
      </w:r>
      <w:r w:rsidRPr="0012170A">
        <w:rPr>
          <w:rFonts w:cstheme="minorHAnsi"/>
          <w:color w:val="000000"/>
        </w:rPr>
        <w:t xml:space="preserve">(3), 263–283. </w:t>
      </w:r>
      <w:hyperlink r:id="rId30" w:history="1">
        <w:r w:rsidRPr="0012170A">
          <w:rPr>
            <w:rStyle w:val="Hyperlink"/>
            <w:rFonts w:cstheme="minorHAnsi"/>
            <w:lang w:eastAsia="en-GB"/>
          </w:rPr>
          <w:t>https://www.jstor.org/stable/48766266</w:t>
        </w:r>
      </w:hyperlink>
      <w:r w:rsidRPr="0012170A">
        <w:rPr>
          <w:rFonts w:cstheme="minorHAnsi"/>
        </w:rPr>
        <w:t>.</w:t>
      </w:r>
    </w:p>
    <w:p w14:paraId="64217177" w14:textId="77777777" w:rsidR="008572CC" w:rsidRPr="0012170A" w:rsidRDefault="008572CC" w:rsidP="008572CC">
      <w:pPr>
        <w:pStyle w:val="NoSpacing"/>
        <w:rPr>
          <w:rFonts w:cstheme="minorHAnsi"/>
        </w:rPr>
      </w:pPr>
    </w:p>
    <w:p w14:paraId="720AD04C" w14:textId="77777777" w:rsidR="008572CC" w:rsidRPr="0012170A" w:rsidRDefault="008572CC" w:rsidP="008572CC">
      <w:pPr>
        <w:pStyle w:val="NoSpacing"/>
        <w:rPr>
          <w:rFonts w:cstheme="minorHAnsi"/>
        </w:rPr>
      </w:pPr>
    </w:p>
    <w:p w14:paraId="3A8B160A" w14:textId="50A01F3D" w:rsidR="000554ED" w:rsidRDefault="00BD737F" w:rsidP="00D65DCE">
      <w:pPr>
        <w:pStyle w:val="NoSpacing"/>
        <w:rPr>
          <w:b/>
          <w:bCs/>
        </w:rPr>
      </w:pPr>
      <w:r w:rsidRPr="00D65DCE">
        <w:rPr>
          <w:b/>
          <w:bCs/>
        </w:rPr>
        <w:t>Ap</w:t>
      </w:r>
      <w:r w:rsidR="006B153F">
        <w:rPr>
          <w:b/>
          <w:bCs/>
        </w:rPr>
        <w:t>p</w:t>
      </w:r>
      <w:r w:rsidRPr="00D65DCE">
        <w:rPr>
          <w:b/>
          <w:bCs/>
        </w:rPr>
        <w:t>endix</w:t>
      </w:r>
      <w:r w:rsidR="000554ED" w:rsidRPr="00D65DCE">
        <w:rPr>
          <w:b/>
          <w:bCs/>
        </w:rPr>
        <w:t xml:space="preserve"> </w:t>
      </w:r>
    </w:p>
    <w:p w14:paraId="426EB7DB" w14:textId="77777777" w:rsidR="00D65DCE" w:rsidRPr="00D65DCE" w:rsidRDefault="00D65DCE" w:rsidP="00D65DCE">
      <w:pPr>
        <w:pStyle w:val="NoSpacing"/>
        <w:rPr>
          <w:b/>
          <w:bCs/>
        </w:rPr>
      </w:pPr>
    </w:p>
    <w:p w14:paraId="5B6C04AD" w14:textId="77777777" w:rsidR="00630AC7" w:rsidRDefault="000554ED" w:rsidP="00D65DCE">
      <w:pPr>
        <w:pStyle w:val="NoSpacing"/>
      </w:pPr>
      <w:r>
        <w:rPr>
          <w:rStyle w:val="Emphasis"/>
          <w:color w:val="000000"/>
        </w:rPr>
        <w:t>Questionnaire designed via the Google Forms platform, March 2025.</w:t>
      </w:r>
    </w:p>
    <w:p w14:paraId="3303B2DF" w14:textId="77777777" w:rsidR="00D65DCE" w:rsidRDefault="00D65DCE" w:rsidP="00D65DCE">
      <w:pPr>
        <w:pStyle w:val="NoSpacing"/>
      </w:pPr>
    </w:p>
    <w:p w14:paraId="58A687F8" w14:textId="2C903310" w:rsidR="00630AC7" w:rsidRDefault="00630AC7" w:rsidP="00D65DCE">
      <w:pPr>
        <w:pStyle w:val="NoSpacing"/>
        <w:rPr>
          <w:b/>
          <w:bCs/>
        </w:rPr>
      </w:pPr>
      <w:r w:rsidRPr="00D65DCE">
        <w:rPr>
          <w:b/>
          <w:bCs/>
        </w:rPr>
        <w:t>Free will in astrology</w:t>
      </w:r>
    </w:p>
    <w:p w14:paraId="6E709DDB" w14:textId="77777777" w:rsidR="00D65DCE" w:rsidRPr="00D65DCE" w:rsidRDefault="00D65DCE" w:rsidP="00D65DCE">
      <w:pPr>
        <w:pStyle w:val="NoSpacing"/>
        <w:rPr>
          <w:b/>
          <w:bCs/>
        </w:rPr>
      </w:pPr>
    </w:p>
    <w:p w14:paraId="2E7DB565" w14:textId="77777777" w:rsidR="00630AC7" w:rsidRPr="00691EED" w:rsidRDefault="00630AC7" w:rsidP="00D65DCE">
      <w:pPr>
        <w:pStyle w:val="NoSpacing"/>
      </w:pPr>
      <w:r w:rsidRPr="00691EED">
        <w:t>This document requests your insights on the concept of free will and the extent to which it influences personal agency. It is an academic survey conducted by Cristina Rosca as part of her MA studies in Cultural Astronomy and Astrology. Your participation is invaluable in contributing to a deeper understanding of this philosophical topic.</w:t>
      </w:r>
    </w:p>
    <w:p w14:paraId="19E06A4E" w14:textId="77777777" w:rsidR="009D5C2F" w:rsidRDefault="009D5C2F" w:rsidP="00D65DCE">
      <w:pPr>
        <w:pStyle w:val="NoSpacing"/>
      </w:pPr>
    </w:p>
    <w:p w14:paraId="72A3C322" w14:textId="3BFDFD05" w:rsidR="00630AC7" w:rsidRPr="00691EED" w:rsidRDefault="00630AC7" w:rsidP="00D65DCE">
      <w:pPr>
        <w:pStyle w:val="NoSpacing"/>
      </w:pPr>
      <w:r w:rsidRPr="00691EED">
        <w:t>You are kindly asked to take approximately 10 minutes to complete this questionnaire. Please be assured that your responses will be kept strictly confidential and will only be utilised for research purposes. Participation in this survey is entirely voluntary, and you may withdraw at any time without consequence.</w:t>
      </w:r>
    </w:p>
    <w:p w14:paraId="2B84BC51" w14:textId="77777777" w:rsidR="009D5C2F" w:rsidRDefault="009D5C2F" w:rsidP="00D65DCE">
      <w:pPr>
        <w:pStyle w:val="NoSpacing"/>
      </w:pPr>
    </w:p>
    <w:p w14:paraId="0388921A" w14:textId="515B02BC" w:rsidR="00630AC7" w:rsidRDefault="00630AC7" w:rsidP="00D65DCE">
      <w:pPr>
        <w:pStyle w:val="NoSpacing"/>
      </w:pPr>
      <w:r w:rsidRPr="00691EED">
        <w:t>By submitting this form, you consent to the use of the provided information for study purposes. Your anonymity is of utmost importance, and rest assured that all data will be handled with care and used exclusively for this academic research.</w:t>
      </w:r>
    </w:p>
    <w:p w14:paraId="08E84FFD" w14:textId="77777777" w:rsidR="003D35A8" w:rsidRPr="00691EED" w:rsidRDefault="003D35A8" w:rsidP="00D65DCE">
      <w:pPr>
        <w:pStyle w:val="NoSpacing"/>
      </w:pPr>
    </w:p>
    <w:p w14:paraId="6C22C80E" w14:textId="77777777" w:rsidR="00630AC7" w:rsidRPr="00691EED" w:rsidRDefault="00630AC7" w:rsidP="00630AC7">
      <w:pPr>
        <w:rPr>
          <w:rFonts w:cstheme="minorHAnsi"/>
        </w:rPr>
      </w:pPr>
      <w:r w:rsidRPr="00691EED">
        <w:rPr>
          <w:rFonts w:cstheme="minorHAnsi"/>
        </w:rPr>
        <w:t xml:space="preserve">Thank you for your time and contribution.            </w:t>
      </w:r>
    </w:p>
    <w:p w14:paraId="77138A27" w14:textId="3BD769F2" w:rsidR="00630AC7" w:rsidRPr="00691EED" w:rsidRDefault="00630AC7" w:rsidP="00630AC7">
      <w:pPr>
        <w:pStyle w:val="NoSpacing"/>
        <w:spacing w:line="360" w:lineRule="auto"/>
        <w:rPr>
          <w:rFonts w:cstheme="minorHAnsi"/>
        </w:rPr>
      </w:pPr>
      <w:r w:rsidRPr="00691EED">
        <w:rPr>
          <w:rFonts w:cstheme="minorHAnsi"/>
        </w:rPr>
        <w:t xml:space="preserve">Please provide your email address </w:t>
      </w:r>
      <w:proofErr w:type="spellStart"/>
      <w:r w:rsidRPr="00691EED">
        <w:rPr>
          <w:rFonts w:cstheme="minorHAnsi"/>
        </w:rPr>
        <w:t>if</w:t>
      </w:r>
      <w:proofErr w:type="spellEnd"/>
      <w:r w:rsidRPr="00691EED">
        <w:rPr>
          <w:rFonts w:cstheme="minorHAnsi"/>
        </w:rPr>
        <w:t xml:space="preserve">: </w:t>
      </w:r>
    </w:p>
    <w:p w14:paraId="1AB928AA" w14:textId="725FFE70" w:rsidR="00630AC7" w:rsidRPr="00691EED" w:rsidRDefault="00630AC7" w:rsidP="00691EED">
      <w:pPr>
        <w:pStyle w:val="NoSpacing"/>
        <w:numPr>
          <w:ilvl w:val="0"/>
          <w:numId w:val="44"/>
        </w:numPr>
        <w:spacing w:line="360" w:lineRule="auto"/>
        <w:rPr>
          <w:rFonts w:cstheme="minorHAnsi"/>
        </w:rPr>
      </w:pPr>
      <w:r w:rsidRPr="00691EED">
        <w:rPr>
          <w:rFonts w:cstheme="minorHAnsi"/>
        </w:rPr>
        <w:lastRenderedPageBreak/>
        <w:t>You would like to receive a personalised report based on your responses</w:t>
      </w:r>
    </w:p>
    <w:p w14:paraId="4C59CCB0" w14:textId="0F4FEA19" w:rsidR="00630AC7" w:rsidRPr="00691EED" w:rsidRDefault="00630AC7" w:rsidP="00691EED">
      <w:pPr>
        <w:pStyle w:val="NoSpacing"/>
        <w:numPr>
          <w:ilvl w:val="0"/>
          <w:numId w:val="44"/>
        </w:numPr>
        <w:spacing w:line="360" w:lineRule="auto"/>
        <w:rPr>
          <w:rFonts w:cstheme="minorHAnsi"/>
        </w:rPr>
      </w:pPr>
      <w:r w:rsidRPr="00691EED">
        <w:rPr>
          <w:rFonts w:cstheme="minorHAnsi"/>
        </w:rPr>
        <w:t>You would like to participate in a follow-up interview</w:t>
      </w:r>
    </w:p>
    <w:p w14:paraId="2C0E47FE" w14:textId="7C91033B" w:rsidR="00630AC7" w:rsidRPr="00691EED" w:rsidRDefault="00630AC7" w:rsidP="00691EED">
      <w:pPr>
        <w:pStyle w:val="NoSpacing"/>
        <w:numPr>
          <w:ilvl w:val="0"/>
          <w:numId w:val="44"/>
        </w:numPr>
        <w:spacing w:line="360" w:lineRule="auto"/>
        <w:rPr>
          <w:rFonts w:cstheme="minorHAnsi"/>
        </w:rPr>
      </w:pPr>
      <w:r w:rsidRPr="00691EED">
        <w:rPr>
          <w:rFonts w:cstheme="minorHAnsi"/>
        </w:rPr>
        <w:t>Both</w:t>
      </w:r>
    </w:p>
    <w:p w14:paraId="6CB7ABED" w14:textId="77777777" w:rsidR="00253A3B" w:rsidRPr="00691EED" w:rsidRDefault="00630AC7" w:rsidP="00630AC7">
      <w:pPr>
        <w:pStyle w:val="NoSpacing"/>
        <w:spacing w:line="360" w:lineRule="auto"/>
        <w:rPr>
          <w:rFonts w:cstheme="minorHAnsi"/>
        </w:rPr>
      </w:pPr>
      <w:r w:rsidRPr="00691EED">
        <w:rPr>
          <w:rFonts w:cstheme="minorHAnsi"/>
        </w:rPr>
        <w:t>Email Address:</w:t>
      </w:r>
    </w:p>
    <w:p w14:paraId="366079C7" w14:textId="2E2C9239" w:rsidR="00253A3B" w:rsidRPr="00691EED" w:rsidRDefault="00463BE4" w:rsidP="00630AC7">
      <w:pPr>
        <w:pStyle w:val="NoSpacing"/>
        <w:spacing w:line="360" w:lineRule="auto"/>
        <w:rPr>
          <w:rFonts w:cstheme="minorHAnsi"/>
        </w:rPr>
      </w:pPr>
      <w:r>
        <w:rPr>
          <w:rFonts w:cstheme="minorHAnsi"/>
          <w:noProof/>
        </w:rPr>
        <w:pict w14:anchorId="334DDE35">
          <v:rect id="_x0000_i1031" alt="" style="width:451.3pt;height:.05pt;mso-width-percent:0;mso-height-percent:0;mso-width-percent:0;mso-height-percent:0" o:hralign="center" o:hrstd="t" o:hr="t" fillcolor="#a0a0a0" stroked="f"/>
        </w:pict>
      </w:r>
    </w:p>
    <w:p w14:paraId="3AEC9CC3" w14:textId="5D4B8CAC" w:rsidR="00630AC7" w:rsidRPr="00691EED" w:rsidRDefault="00630AC7" w:rsidP="00630AC7">
      <w:pPr>
        <w:pStyle w:val="NoSpacing"/>
        <w:spacing w:line="360" w:lineRule="auto"/>
        <w:rPr>
          <w:rFonts w:cstheme="minorHAnsi"/>
        </w:rPr>
      </w:pPr>
      <w:r w:rsidRPr="00691EED">
        <w:rPr>
          <w:rFonts w:cstheme="minorHAnsi"/>
        </w:rPr>
        <w:t xml:space="preserve"> </w:t>
      </w:r>
    </w:p>
    <w:p w14:paraId="0DA3BB2E" w14:textId="42A0171A" w:rsidR="00630AC7" w:rsidRDefault="00630AC7" w:rsidP="00630AC7">
      <w:pPr>
        <w:pStyle w:val="NoSpacing"/>
        <w:spacing w:line="360" w:lineRule="auto"/>
        <w:rPr>
          <w:rFonts w:cstheme="minorHAnsi"/>
          <w:b/>
          <w:bCs/>
        </w:rPr>
      </w:pPr>
      <w:r w:rsidRPr="00691EED">
        <w:rPr>
          <w:rFonts w:cstheme="minorHAnsi"/>
        </w:rPr>
        <w:t xml:space="preserve"> </w:t>
      </w:r>
      <w:r w:rsidRPr="00691EED">
        <w:rPr>
          <w:rFonts w:cstheme="minorHAnsi"/>
          <w:b/>
          <w:bCs/>
        </w:rPr>
        <w:t>Section 1 — About you</w:t>
      </w:r>
    </w:p>
    <w:p w14:paraId="73816C2E" w14:textId="77777777" w:rsidR="000B2A29" w:rsidRPr="00691EED" w:rsidRDefault="000B2A29" w:rsidP="00630AC7">
      <w:pPr>
        <w:pStyle w:val="NoSpacing"/>
        <w:spacing w:line="360" w:lineRule="auto"/>
        <w:rPr>
          <w:rFonts w:cstheme="minorHAnsi"/>
        </w:rPr>
      </w:pPr>
    </w:p>
    <w:p w14:paraId="78616B72" w14:textId="77777777" w:rsidR="00630AC7" w:rsidRPr="00691EED" w:rsidRDefault="00630AC7" w:rsidP="00630AC7">
      <w:pPr>
        <w:pStyle w:val="NoSpacing"/>
        <w:spacing w:line="360" w:lineRule="auto"/>
        <w:rPr>
          <w:rFonts w:cstheme="minorHAnsi"/>
        </w:rPr>
      </w:pPr>
      <w:r w:rsidRPr="00691EED">
        <w:rPr>
          <w:rFonts w:cstheme="minorHAnsi"/>
        </w:rPr>
        <w:t>a)</w:t>
      </w:r>
      <w:r w:rsidRPr="00691EED">
        <w:rPr>
          <w:rFonts w:cstheme="minorHAnsi"/>
        </w:rPr>
        <w:tab/>
        <w:t>What year were you born?</w:t>
      </w:r>
    </w:p>
    <w:p w14:paraId="4C63FC42" w14:textId="77777777" w:rsidR="00630AC7" w:rsidRPr="00691EED" w:rsidRDefault="00630AC7" w:rsidP="00630AC7">
      <w:pPr>
        <w:pStyle w:val="NoSpacing"/>
        <w:spacing w:line="360" w:lineRule="auto"/>
        <w:rPr>
          <w:rFonts w:cstheme="minorHAnsi"/>
        </w:rPr>
      </w:pPr>
      <w:r w:rsidRPr="00691EED">
        <w:rPr>
          <w:rFonts w:cstheme="minorHAnsi"/>
        </w:rPr>
        <w:t>b)</w:t>
      </w:r>
      <w:r w:rsidRPr="00691EED">
        <w:rPr>
          <w:rFonts w:cstheme="minorHAnsi"/>
        </w:rPr>
        <w:tab/>
        <w:t>What is your gender?</w:t>
      </w:r>
    </w:p>
    <w:p w14:paraId="32D155F5" w14:textId="77777777" w:rsidR="00630AC7" w:rsidRPr="00691EED" w:rsidRDefault="00630AC7" w:rsidP="00630AC7">
      <w:pPr>
        <w:pStyle w:val="NoSpacing"/>
        <w:spacing w:line="360" w:lineRule="auto"/>
        <w:rPr>
          <w:rFonts w:cstheme="minorHAnsi"/>
        </w:rPr>
      </w:pPr>
      <w:r w:rsidRPr="00691EED">
        <w:rPr>
          <w:rFonts w:cstheme="minorHAnsi"/>
        </w:rPr>
        <w:t>c)</w:t>
      </w:r>
      <w:r w:rsidRPr="00691EED">
        <w:rPr>
          <w:rFonts w:cstheme="minorHAnsi"/>
        </w:rPr>
        <w:tab/>
        <w:t>How long, in years, have you been studying astrology?</w:t>
      </w:r>
    </w:p>
    <w:p w14:paraId="23DB53A6" w14:textId="77777777" w:rsidR="00630AC7" w:rsidRPr="00691EED" w:rsidRDefault="00630AC7" w:rsidP="00630AC7">
      <w:pPr>
        <w:pStyle w:val="NoSpacing"/>
        <w:spacing w:line="360" w:lineRule="auto"/>
        <w:rPr>
          <w:rFonts w:cstheme="minorHAnsi"/>
        </w:rPr>
      </w:pPr>
      <w:r w:rsidRPr="00691EED">
        <w:rPr>
          <w:rFonts w:cstheme="minorHAnsi"/>
        </w:rPr>
        <w:t>d)</w:t>
      </w:r>
      <w:r w:rsidRPr="00691EED">
        <w:rPr>
          <w:rFonts w:cstheme="minorHAnsi"/>
        </w:rPr>
        <w:tab/>
        <w:t xml:space="preserve">Which type of astrology do you currently practice? </w:t>
      </w:r>
    </w:p>
    <w:p w14:paraId="3024D143" w14:textId="167DA82F" w:rsidR="00630AC7" w:rsidRPr="00691EED" w:rsidRDefault="00630AC7" w:rsidP="00630AC7">
      <w:pPr>
        <w:pStyle w:val="NoSpacing"/>
        <w:spacing w:line="360" w:lineRule="auto"/>
        <w:rPr>
          <w:rFonts w:cstheme="minorHAnsi"/>
        </w:rPr>
      </w:pPr>
      <w:r w:rsidRPr="00691EED">
        <w:rPr>
          <w:rFonts w:cstheme="minorHAnsi"/>
        </w:rPr>
        <w:t xml:space="preserve">         </w:t>
      </w:r>
      <w:r w:rsidR="00691EED">
        <w:rPr>
          <w:rFonts w:cstheme="minorHAnsi"/>
        </w:rPr>
        <w:t xml:space="preserve">     </w:t>
      </w:r>
      <w:r w:rsidRPr="00691EED">
        <w:rPr>
          <w:rFonts w:cstheme="minorHAnsi"/>
        </w:rPr>
        <w:t xml:space="preserve"> If you select 'Other', please specify.</w:t>
      </w:r>
    </w:p>
    <w:p w14:paraId="272FAA01" w14:textId="77777777" w:rsidR="00691EED" w:rsidRDefault="00630AC7" w:rsidP="00630AC7">
      <w:pPr>
        <w:pStyle w:val="NoSpacing"/>
        <w:spacing w:line="360" w:lineRule="auto"/>
        <w:rPr>
          <w:rFonts w:cstheme="minorHAnsi"/>
        </w:rPr>
      </w:pPr>
      <w:r w:rsidRPr="00691EED">
        <w:rPr>
          <w:rFonts w:cstheme="minorHAnsi"/>
        </w:rPr>
        <w:t>Psychological     Evolutionary      Humanistic          Medieval       Horary       Other</w:t>
      </w:r>
    </w:p>
    <w:p w14:paraId="0F7CB589" w14:textId="6A99C14D" w:rsidR="00630AC7" w:rsidRPr="00691EED" w:rsidRDefault="00463BE4" w:rsidP="00630AC7">
      <w:pPr>
        <w:pStyle w:val="NoSpacing"/>
        <w:spacing w:line="360" w:lineRule="auto"/>
        <w:rPr>
          <w:rFonts w:cstheme="minorHAnsi"/>
        </w:rPr>
      </w:pPr>
      <w:r>
        <w:rPr>
          <w:rFonts w:cstheme="minorHAnsi"/>
          <w:noProof/>
        </w:rPr>
        <w:pict w14:anchorId="7CBE1EFD">
          <v:rect id="_x0000_i1030" alt="" style="width:451.3pt;height:.05pt;mso-width-percent:0;mso-height-percent:0;mso-width-percent:0;mso-height-percent:0" o:hralign="center" o:hrstd="t" o:hr="t" fillcolor="#a0a0a0" stroked="f"/>
        </w:pict>
      </w:r>
    </w:p>
    <w:p w14:paraId="74BF0C97" w14:textId="77777777" w:rsidR="00691EED" w:rsidRDefault="00630AC7" w:rsidP="00630AC7">
      <w:pPr>
        <w:pStyle w:val="NoSpacing"/>
        <w:spacing w:line="360" w:lineRule="auto"/>
        <w:rPr>
          <w:rFonts w:cstheme="minorHAnsi"/>
        </w:rPr>
      </w:pPr>
      <w:r w:rsidRPr="00691EED">
        <w:rPr>
          <w:rFonts w:cstheme="minorHAnsi"/>
        </w:rPr>
        <w:t xml:space="preserve"> e)</w:t>
      </w:r>
      <w:r w:rsidRPr="00691EED">
        <w:rPr>
          <w:rFonts w:cstheme="minorHAnsi"/>
        </w:rPr>
        <w:tab/>
        <w:t>Which authors or thinkers have most influenced your study of astrology?</w:t>
      </w:r>
    </w:p>
    <w:p w14:paraId="29171E57" w14:textId="6053018D" w:rsidR="00630AC7" w:rsidRPr="00691EED" w:rsidRDefault="00463BE4" w:rsidP="00630AC7">
      <w:pPr>
        <w:pStyle w:val="NoSpacing"/>
        <w:spacing w:line="360" w:lineRule="auto"/>
        <w:rPr>
          <w:rFonts w:cstheme="minorHAnsi"/>
        </w:rPr>
      </w:pPr>
      <w:r>
        <w:rPr>
          <w:rFonts w:cstheme="minorHAnsi"/>
          <w:noProof/>
        </w:rPr>
        <w:pict w14:anchorId="27D940D0">
          <v:rect id="_x0000_i1029" alt="" style="width:451.3pt;height:.05pt;mso-width-percent:0;mso-height-percent:0;mso-width-percent:0;mso-height-percent:0" o:hralign="center" o:hrstd="t" o:hr="t" fillcolor="#a0a0a0" stroked="f"/>
        </w:pict>
      </w:r>
    </w:p>
    <w:p w14:paraId="76F3A6AD" w14:textId="77777777" w:rsidR="00630AC7" w:rsidRPr="00691EED" w:rsidRDefault="00630AC7" w:rsidP="00630AC7">
      <w:pPr>
        <w:pStyle w:val="NoSpacing"/>
        <w:spacing w:line="360" w:lineRule="auto"/>
        <w:rPr>
          <w:rFonts w:cstheme="minorHAnsi"/>
        </w:rPr>
      </w:pPr>
      <w:r w:rsidRPr="00691EED">
        <w:rPr>
          <w:rFonts w:cstheme="minorHAnsi"/>
        </w:rPr>
        <w:t xml:space="preserve"> </w:t>
      </w:r>
    </w:p>
    <w:p w14:paraId="7C4E2817" w14:textId="77777777" w:rsidR="00630AC7" w:rsidRPr="00691EED" w:rsidRDefault="00630AC7" w:rsidP="00630AC7">
      <w:pPr>
        <w:pStyle w:val="NoSpacing"/>
        <w:spacing w:line="360" w:lineRule="auto"/>
        <w:rPr>
          <w:rFonts w:cstheme="minorHAnsi"/>
          <w:b/>
          <w:bCs/>
        </w:rPr>
      </w:pPr>
      <w:r w:rsidRPr="00691EED">
        <w:rPr>
          <w:rFonts w:cstheme="minorHAnsi"/>
          <w:b/>
          <w:bCs/>
        </w:rPr>
        <w:t>Section 2—The Concept of Free Will</w:t>
      </w:r>
    </w:p>
    <w:p w14:paraId="2B029430" w14:textId="77777777" w:rsidR="00253A3B" w:rsidRPr="00691EED" w:rsidRDefault="00253A3B" w:rsidP="00253A3B">
      <w:pPr>
        <w:pStyle w:val="NoSpacing"/>
        <w:spacing w:line="360" w:lineRule="auto"/>
        <w:ind w:left="360"/>
        <w:rPr>
          <w:rFonts w:cstheme="minorHAnsi"/>
        </w:rPr>
      </w:pPr>
    </w:p>
    <w:p w14:paraId="787BA3CC" w14:textId="53CD1BA6" w:rsidR="00691EED" w:rsidRPr="00691EED" w:rsidRDefault="00630AC7" w:rsidP="00691EED">
      <w:pPr>
        <w:pStyle w:val="NoSpacing"/>
        <w:numPr>
          <w:ilvl w:val="0"/>
          <w:numId w:val="45"/>
        </w:numPr>
        <w:spacing w:line="360" w:lineRule="auto"/>
        <w:rPr>
          <w:rFonts w:cstheme="minorHAnsi"/>
        </w:rPr>
      </w:pPr>
      <w:r w:rsidRPr="00691EED">
        <w:rPr>
          <w:rFonts w:cstheme="minorHAnsi"/>
        </w:rPr>
        <w:t xml:space="preserve">Which of the following statements best reflects your understanding of free will? </w:t>
      </w:r>
      <w:r w:rsidR="00691EED" w:rsidRPr="00691EED">
        <w:rPr>
          <w:rFonts w:cstheme="minorHAnsi"/>
        </w:rPr>
        <w:t>[</w:t>
      </w:r>
      <w:r w:rsidRPr="00691EED">
        <w:rPr>
          <w:rFonts w:cstheme="minorHAnsi"/>
        </w:rPr>
        <w:t>multiple choice</w:t>
      </w:r>
      <w:r w:rsidR="00691EED" w:rsidRPr="00691EED">
        <w:rPr>
          <w:rFonts w:cstheme="minorHAnsi"/>
        </w:rPr>
        <w:t>]</w:t>
      </w:r>
    </w:p>
    <w:p w14:paraId="176650D9" w14:textId="7086E246" w:rsidR="00630AC7" w:rsidRPr="00691EED" w:rsidRDefault="00630AC7" w:rsidP="00691EED">
      <w:pPr>
        <w:pStyle w:val="NoSpacing"/>
        <w:numPr>
          <w:ilvl w:val="0"/>
          <w:numId w:val="41"/>
        </w:numPr>
        <w:spacing w:line="360" w:lineRule="auto"/>
        <w:rPr>
          <w:rFonts w:cstheme="minorHAnsi"/>
        </w:rPr>
      </w:pPr>
      <w:r w:rsidRPr="00691EED">
        <w:rPr>
          <w:rFonts w:cstheme="minorHAnsi"/>
        </w:rPr>
        <w:t>The a</w:t>
      </w:r>
      <w:r w:rsidR="00691EED" w:rsidRPr="00691EED">
        <w:rPr>
          <w:rFonts w:cstheme="minorHAnsi"/>
        </w:rPr>
        <w:t>b</w:t>
      </w:r>
      <w:r w:rsidRPr="00691EED">
        <w:rPr>
          <w:rFonts w:cstheme="minorHAnsi"/>
        </w:rPr>
        <w:t>ility to make choices unconstrained by external factors</w:t>
      </w:r>
    </w:p>
    <w:p w14:paraId="4B385CEA" w14:textId="68DEAF02" w:rsidR="00630AC7" w:rsidRPr="00691EED" w:rsidRDefault="00630AC7" w:rsidP="00691EED">
      <w:pPr>
        <w:pStyle w:val="NoSpacing"/>
        <w:numPr>
          <w:ilvl w:val="0"/>
          <w:numId w:val="41"/>
        </w:numPr>
        <w:spacing w:line="360" w:lineRule="auto"/>
        <w:rPr>
          <w:rFonts w:cstheme="minorHAnsi"/>
        </w:rPr>
      </w:pPr>
      <w:r w:rsidRPr="00691EED">
        <w:rPr>
          <w:rFonts w:cstheme="minorHAnsi"/>
        </w:rPr>
        <w:t>The capacity of self-determination influenced by personal experiences and context</w:t>
      </w:r>
    </w:p>
    <w:p w14:paraId="4C514CCE" w14:textId="601CE838" w:rsidR="00630AC7" w:rsidRPr="00691EED" w:rsidRDefault="00630AC7" w:rsidP="00691EED">
      <w:pPr>
        <w:pStyle w:val="NoSpacing"/>
        <w:numPr>
          <w:ilvl w:val="0"/>
          <w:numId w:val="41"/>
        </w:numPr>
        <w:spacing w:line="360" w:lineRule="auto"/>
        <w:rPr>
          <w:rFonts w:cstheme="minorHAnsi"/>
        </w:rPr>
      </w:pPr>
      <w:r w:rsidRPr="00691EED">
        <w:rPr>
          <w:rFonts w:cstheme="minorHAnsi"/>
        </w:rPr>
        <w:t>The belief that free will is an illusion and a predetermined path overrides self-determination</w:t>
      </w:r>
    </w:p>
    <w:p w14:paraId="65FC65D5" w14:textId="00BFB651" w:rsidR="00630AC7" w:rsidRPr="00691EED" w:rsidRDefault="00630AC7" w:rsidP="00691EED">
      <w:pPr>
        <w:pStyle w:val="NoSpacing"/>
        <w:numPr>
          <w:ilvl w:val="0"/>
          <w:numId w:val="41"/>
        </w:numPr>
        <w:spacing w:line="360" w:lineRule="auto"/>
        <w:rPr>
          <w:rFonts w:cstheme="minorHAnsi"/>
        </w:rPr>
      </w:pPr>
      <w:r w:rsidRPr="00691EED">
        <w:rPr>
          <w:rFonts w:cstheme="minorHAnsi"/>
        </w:rPr>
        <w:t>A combination of belief in fate and personal power to make decisions</w:t>
      </w:r>
    </w:p>
    <w:p w14:paraId="1EDB84E8" w14:textId="77777777" w:rsidR="00630AC7" w:rsidRPr="00691EED" w:rsidRDefault="00630AC7" w:rsidP="00630AC7">
      <w:pPr>
        <w:pStyle w:val="NoSpacing"/>
        <w:spacing w:line="360" w:lineRule="auto"/>
        <w:rPr>
          <w:rFonts w:cstheme="minorHAnsi"/>
        </w:rPr>
      </w:pPr>
    </w:p>
    <w:p w14:paraId="66867AAA" w14:textId="14A6EF44" w:rsidR="00630AC7" w:rsidRPr="00691EED" w:rsidRDefault="00630AC7" w:rsidP="00E264F4">
      <w:pPr>
        <w:pStyle w:val="NoSpacing"/>
        <w:numPr>
          <w:ilvl w:val="0"/>
          <w:numId w:val="45"/>
        </w:numPr>
        <w:spacing w:line="360" w:lineRule="auto"/>
        <w:rPr>
          <w:rFonts w:cstheme="minorHAnsi"/>
        </w:rPr>
      </w:pPr>
      <w:r w:rsidRPr="00691EED">
        <w:rPr>
          <w:rFonts w:cstheme="minorHAnsi"/>
        </w:rPr>
        <w:t>In your view, how does astrology relate to free will? [multiple choice]</w:t>
      </w:r>
    </w:p>
    <w:p w14:paraId="501CC969" w14:textId="77777777" w:rsidR="00630AC7" w:rsidRPr="00691EED" w:rsidRDefault="00630AC7" w:rsidP="00630AC7">
      <w:pPr>
        <w:pStyle w:val="NoSpacing"/>
        <w:spacing w:line="360" w:lineRule="auto"/>
        <w:rPr>
          <w:rFonts w:cstheme="minorHAnsi"/>
        </w:rPr>
      </w:pPr>
    </w:p>
    <w:p w14:paraId="7B67B26F" w14:textId="2714456B" w:rsidR="00630AC7" w:rsidRPr="00691EED" w:rsidRDefault="00630AC7" w:rsidP="00691EED">
      <w:pPr>
        <w:pStyle w:val="NoSpacing"/>
        <w:numPr>
          <w:ilvl w:val="0"/>
          <w:numId w:val="43"/>
        </w:numPr>
        <w:spacing w:line="360" w:lineRule="auto"/>
        <w:rPr>
          <w:rFonts w:cstheme="minorHAnsi"/>
        </w:rPr>
      </w:pPr>
      <w:r w:rsidRPr="00691EED">
        <w:rPr>
          <w:rFonts w:cstheme="minorHAnsi"/>
        </w:rPr>
        <w:t>Astrology reveals a predetermined path—this could be controlled by God (s</w:t>
      </w:r>
      <w:proofErr w:type="gramStart"/>
      <w:r w:rsidRPr="00691EED">
        <w:rPr>
          <w:rFonts w:cstheme="minorHAnsi"/>
        </w:rPr>
        <w:t xml:space="preserve">),   </w:t>
      </w:r>
      <w:proofErr w:type="gramEnd"/>
      <w:r w:rsidRPr="00691EED">
        <w:rPr>
          <w:rFonts w:cstheme="minorHAnsi"/>
        </w:rPr>
        <w:t xml:space="preserve">                something divine or forces we do not yet know</w:t>
      </w:r>
    </w:p>
    <w:p w14:paraId="54353EBD" w14:textId="5ED3E160" w:rsidR="00630AC7" w:rsidRPr="00691EED" w:rsidRDefault="00630AC7" w:rsidP="00691EED">
      <w:pPr>
        <w:pStyle w:val="NoSpacing"/>
        <w:numPr>
          <w:ilvl w:val="0"/>
          <w:numId w:val="43"/>
        </w:numPr>
        <w:spacing w:line="360" w:lineRule="auto"/>
        <w:rPr>
          <w:rFonts w:cstheme="minorHAnsi"/>
        </w:rPr>
      </w:pPr>
      <w:r w:rsidRPr="00691EED">
        <w:rPr>
          <w:rFonts w:cstheme="minorHAnsi"/>
        </w:rPr>
        <w:t>Astrology serves as a map to navigate a fixed destiny</w:t>
      </w:r>
      <w:r w:rsidR="00E264F4">
        <w:rPr>
          <w:rFonts w:cstheme="minorHAnsi"/>
        </w:rPr>
        <w:t>,</w:t>
      </w:r>
      <w:r w:rsidRPr="00691EED">
        <w:rPr>
          <w:rFonts w:cstheme="minorHAnsi"/>
        </w:rPr>
        <w:t xml:space="preserve"> but does not allow decisions at key milestones</w:t>
      </w:r>
    </w:p>
    <w:p w14:paraId="19B4C097" w14:textId="16E35220" w:rsidR="00630AC7" w:rsidRPr="00691EED" w:rsidRDefault="00630AC7" w:rsidP="00691EED">
      <w:pPr>
        <w:pStyle w:val="NoSpacing"/>
        <w:numPr>
          <w:ilvl w:val="0"/>
          <w:numId w:val="43"/>
        </w:numPr>
        <w:spacing w:line="360" w:lineRule="auto"/>
        <w:rPr>
          <w:rFonts w:cstheme="minorHAnsi"/>
        </w:rPr>
      </w:pPr>
      <w:r w:rsidRPr="00691EED">
        <w:rPr>
          <w:rFonts w:cstheme="minorHAnsi"/>
        </w:rPr>
        <w:lastRenderedPageBreak/>
        <w:t>Astrology provides insight based on past, present, and potential events while allowing personal choice</w:t>
      </w:r>
    </w:p>
    <w:p w14:paraId="464D11DC" w14:textId="033FBCA3" w:rsidR="00630AC7" w:rsidRPr="00691EED" w:rsidRDefault="00630AC7" w:rsidP="00691EED">
      <w:pPr>
        <w:pStyle w:val="NoSpacing"/>
        <w:numPr>
          <w:ilvl w:val="0"/>
          <w:numId w:val="43"/>
        </w:numPr>
        <w:spacing w:line="360" w:lineRule="auto"/>
        <w:rPr>
          <w:rFonts w:cstheme="minorHAnsi"/>
        </w:rPr>
      </w:pPr>
      <w:r w:rsidRPr="00691EED">
        <w:rPr>
          <w:rFonts w:cstheme="minorHAnsi"/>
        </w:rPr>
        <w:t>Astrology informs free will, guiding individuals to shape their lives through personal decisions</w:t>
      </w:r>
    </w:p>
    <w:p w14:paraId="15B2F6D2" w14:textId="77777777" w:rsidR="00630AC7" w:rsidRPr="00691EED" w:rsidRDefault="00630AC7" w:rsidP="00630AC7">
      <w:pPr>
        <w:pStyle w:val="NoSpacing"/>
        <w:spacing w:line="360" w:lineRule="auto"/>
        <w:rPr>
          <w:rFonts w:cstheme="minorHAnsi"/>
        </w:rPr>
      </w:pPr>
    </w:p>
    <w:p w14:paraId="0DB39E39" w14:textId="74747E24" w:rsidR="00630AC7" w:rsidRPr="00691EED" w:rsidRDefault="00630AC7" w:rsidP="00E264F4">
      <w:pPr>
        <w:pStyle w:val="NoSpacing"/>
        <w:numPr>
          <w:ilvl w:val="0"/>
          <w:numId w:val="45"/>
        </w:numPr>
        <w:spacing w:line="360" w:lineRule="auto"/>
        <w:rPr>
          <w:rFonts w:cstheme="minorHAnsi"/>
        </w:rPr>
      </w:pPr>
      <w:r w:rsidRPr="00691EED">
        <w:rPr>
          <w:rFonts w:cstheme="minorHAnsi"/>
        </w:rPr>
        <w:t>Personal choice can be seen as a divine gift:</w:t>
      </w:r>
    </w:p>
    <w:p w14:paraId="3EC9B292"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 neutral   4agree    5strongly agree</w:t>
      </w:r>
    </w:p>
    <w:p w14:paraId="5AD457EA" w14:textId="77777777" w:rsidR="00630AC7" w:rsidRPr="00691EED" w:rsidRDefault="00630AC7" w:rsidP="00630AC7">
      <w:pPr>
        <w:pStyle w:val="NoSpacing"/>
        <w:spacing w:line="360" w:lineRule="auto"/>
        <w:rPr>
          <w:rFonts w:cstheme="minorHAnsi"/>
        </w:rPr>
      </w:pPr>
    </w:p>
    <w:p w14:paraId="1F3D93C9" w14:textId="180B77D2" w:rsidR="00630AC7" w:rsidRPr="00691EED" w:rsidRDefault="00F966D5" w:rsidP="00630AC7">
      <w:pPr>
        <w:pStyle w:val="NoSpacing"/>
        <w:spacing w:line="360" w:lineRule="auto"/>
        <w:rPr>
          <w:rFonts w:cstheme="minorHAnsi"/>
        </w:rPr>
      </w:pPr>
      <w:r>
        <w:rPr>
          <w:rFonts w:cstheme="minorHAnsi"/>
        </w:rPr>
        <w:t xml:space="preserve">       </w:t>
      </w:r>
      <w:r w:rsidR="00630AC7" w:rsidRPr="00691EED">
        <w:rPr>
          <w:rFonts w:cstheme="minorHAnsi"/>
        </w:rPr>
        <w:t>4.</w:t>
      </w:r>
      <w:r w:rsidR="00630AC7" w:rsidRPr="00691EED">
        <w:rPr>
          <w:rFonts w:cstheme="minorHAnsi"/>
        </w:rPr>
        <w:tab/>
        <w:t>Free will can be developed or trained through practice.</w:t>
      </w:r>
    </w:p>
    <w:p w14:paraId="185B4F74"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3neutral   4agree    5strongly agree</w:t>
      </w:r>
    </w:p>
    <w:p w14:paraId="0203C8EC" w14:textId="77777777" w:rsidR="00630AC7" w:rsidRPr="00691EED" w:rsidRDefault="00630AC7" w:rsidP="00630AC7">
      <w:pPr>
        <w:pStyle w:val="NoSpacing"/>
        <w:spacing w:line="360" w:lineRule="auto"/>
        <w:rPr>
          <w:rFonts w:cstheme="minorHAnsi"/>
        </w:rPr>
      </w:pPr>
    </w:p>
    <w:p w14:paraId="663FA68D" w14:textId="73608467" w:rsidR="00630AC7" w:rsidRPr="00691EED" w:rsidRDefault="00F966D5" w:rsidP="00630AC7">
      <w:pPr>
        <w:pStyle w:val="NoSpacing"/>
        <w:spacing w:line="360" w:lineRule="auto"/>
        <w:rPr>
          <w:rFonts w:cstheme="minorHAnsi"/>
        </w:rPr>
      </w:pPr>
      <w:r>
        <w:rPr>
          <w:rFonts w:cstheme="minorHAnsi"/>
        </w:rPr>
        <w:t xml:space="preserve">        </w:t>
      </w:r>
      <w:r w:rsidR="00630AC7" w:rsidRPr="00691EED">
        <w:rPr>
          <w:rFonts w:cstheme="minorHAnsi"/>
        </w:rPr>
        <w:t>5.</w:t>
      </w:r>
      <w:r w:rsidR="00630AC7" w:rsidRPr="00691EED">
        <w:rPr>
          <w:rFonts w:cstheme="minorHAnsi"/>
        </w:rPr>
        <w:tab/>
        <w:t>From an astrological perspective, what is a key factor in understanding individual agency in decision-making? Please select all that apply. [checkboxes]</w:t>
      </w:r>
    </w:p>
    <w:p w14:paraId="32E55E7F"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Awareness of cosmic influences</w:t>
      </w:r>
    </w:p>
    <w:p w14:paraId="2466EE81"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Balancing fate and choice</w:t>
      </w:r>
    </w:p>
    <w:p w14:paraId="1BD87F77"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Empowerment through knowledge</w:t>
      </w:r>
    </w:p>
    <w:p w14:paraId="5B9EBF56"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Astrological insight with personal autonomy</w:t>
      </w:r>
    </w:p>
    <w:p w14:paraId="741F2E8A"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Understanding the natal chart</w:t>
      </w:r>
    </w:p>
    <w:p w14:paraId="6B495E57"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All of the above</w:t>
      </w:r>
    </w:p>
    <w:p w14:paraId="78B51355" w14:textId="77777777" w:rsidR="00630AC7" w:rsidRPr="00691EED" w:rsidRDefault="00630AC7" w:rsidP="00630AC7">
      <w:pPr>
        <w:pStyle w:val="NoSpacing"/>
        <w:spacing w:line="360" w:lineRule="auto"/>
        <w:rPr>
          <w:rFonts w:cstheme="minorHAnsi"/>
        </w:rPr>
      </w:pPr>
    </w:p>
    <w:p w14:paraId="55B39B17" w14:textId="77777777" w:rsidR="00630AC7" w:rsidRPr="00691EED" w:rsidRDefault="00630AC7" w:rsidP="00630AC7">
      <w:pPr>
        <w:pStyle w:val="NoSpacing"/>
        <w:spacing w:line="360" w:lineRule="auto"/>
        <w:rPr>
          <w:rFonts w:cstheme="minorHAnsi"/>
          <w:b/>
          <w:bCs/>
        </w:rPr>
      </w:pPr>
      <w:r w:rsidRPr="00691EED">
        <w:rPr>
          <w:rFonts w:cstheme="minorHAnsi"/>
          <w:b/>
          <w:bCs/>
        </w:rPr>
        <w:t>Section 3—Astrology in Practice</w:t>
      </w:r>
    </w:p>
    <w:p w14:paraId="66519AE5" w14:textId="77777777" w:rsidR="00630AC7" w:rsidRPr="00691EED" w:rsidRDefault="00630AC7" w:rsidP="00630AC7">
      <w:pPr>
        <w:pStyle w:val="NoSpacing"/>
        <w:spacing w:line="360" w:lineRule="auto"/>
        <w:rPr>
          <w:rFonts w:cstheme="minorHAnsi"/>
          <w:b/>
          <w:bCs/>
        </w:rPr>
      </w:pPr>
    </w:p>
    <w:p w14:paraId="63B01F5A" w14:textId="77777777" w:rsidR="00630AC7" w:rsidRPr="00691EED" w:rsidRDefault="00630AC7" w:rsidP="00630AC7">
      <w:pPr>
        <w:pStyle w:val="NoSpacing"/>
        <w:spacing w:line="360" w:lineRule="auto"/>
        <w:rPr>
          <w:rFonts w:cstheme="minorHAnsi"/>
        </w:rPr>
      </w:pPr>
      <w:r w:rsidRPr="00691EED">
        <w:rPr>
          <w:rFonts w:cstheme="minorHAnsi"/>
        </w:rPr>
        <w:t xml:space="preserve">1. Which of the following best describes how you view astrology? Please select all that apply. If you select 'Other', please specify. [checkboxes]  </w:t>
      </w:r>
    </w:p>
    <w:p w14:paraId="76AFA991"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 scientific discipline based on observable patterns</w:t>
      </w:r>
    </w:p>
    <w:p w14:paraId="4C0912C4"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 pseudoscience that still offers meaningful insights</w:t>
      </w:r>
    </w:p>
    <w:p w14:paraId="1321C30C"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r>
      <w:proofErr w:type="gramStart"/>
      <w:r w:rsidRPr="00691EED">
        <w:rPr>
          <w:rFonts w:cstheme="minorHAnsi"/>
        </w:rPr>
        <w:t>An</w:t>
      </w:r>
      <w:proofErr w:type="gramEnd"/>
      <w:r w:rsidRPr="00691EED">
        <w:rPr>
          <w:rFonts w:cstheme="minorHAnsi"/>
        </w:rPr>
        <w:t xml:space="preserve"> esoteric or a spiritual practice</w:t>
      </w:r>
    </w:p>
    <w:p w14:paraId="11444EAC" w14:textId="77777777" w:rsidR="00630AC7" w:rsidRPr="00691EED" w:rsidRDefault="00630AC7" w:rsidP="00630AC7">
      <w:pPr>
        <w:pStyle w:val="NoSpacing"/>
        <w:spacing w:line="360" w:lineRule="auto"/>
        <w:rPr>
          <w:rFonts w:cstheme="minorHAnsi"/>
        </w:rPr>
      </w:pPr>
      <w:r w:rsidRPr="00691EED">
        <w:rPr>
          <w:rFonts w:cstheme="minorHAnsi"/>
        </w:rPr>
        <w:t>o</w:t>
      </w:r>
      <w:r w:rsidRPr="00691EED">
        <w:rPr>
          <w:rFonts w:cstheme="minorHAnsi"/>
        </w:rPr>
        <w:tab/>
        <w:t>A tool for self-reflection rather than prediction</w:t>
      </w:r>
    </w:p>
    <w:p w14:paraId="1BFC9508" w14:textId="77777777" w:rsidR="00E264F4" w:rsidRDefault="00630AC7" w:rsidP="00630AC7">
      <w:pPr>
        <w:pStyle w:val="NoSpacing"/>
        <w:spacing w:line="360" w:lineRule="auto"/>
        <w:rPr>
          <w:rFonts w:cstheme="minorHAnsi"/>
        </w:rPr>
      </w:pPr>
      <w:r w:rsidRPr="00691EED">
        <w:rPr>
          <w:rFonts w:cstheme="minorHAnsi"/>
        </w:rPr>
        <w:t xml:space="preserve">Other: </w:t>
      </w:r>
    </w:p>
    <w:p w14:paraId="048ACF84" w14:textId="43EE025D" w:rsidR="00630AC7" w:rsidRPr="00691EED" w:rsidRDefault="00463BE4" w:rsidP="00630AC7">
      <w:pPr>
        <w:pStyle w:val="NoSpacing"/>
        <w:spacing w:line="360" w:lineRule="auto"/>
        <w:rPr>
          <w:rFonts w:cstheme="minorHAnsi"/>
        </w:rPr>
      </w:pPr>
      <w:r>
        <w:rPr>
          <w:rFonts w:cstheme="minorHAnsi"/>
          <w:noProof/>
        </w:rPr>
        <w:pict w14:anchorId="58D5BCC1">
          <v:rect id="_x0000_i1028" alt="" style="width:451.3pt;height:.05pt;mso-width-percent:0;mso-height-percent:0;mso-width-percent:0;mso-height-percent:0" o:hralign="center" o:hrstd="t" o:hr="t" fillcolor="#a0a0a0" stroked="f"/>
        </w:pict>
      </w:r>
    </w:p>
    <w:p w14:paraId="5C47A2D0" w14:textId="77777777" w:rsidR="00630AC7" w:rsidRPr="00691EED" w:rsidRDefault="00630AC7" w:rsidP="00630AC7">
      <w:pPr>
        <w:pStyle w:val="NoSpacing"/>
        <w:spacing w:line="360" w:lineRule="auto"/>
        <w:rPr>
          <w:rFonts w:cstheme="minorHAnsi"/>
        </w:rPr>
      </w:pPr>
    </w:p>
    <w:p w14:paraId="433DF7AE" w14:textId="59D6604D" w:rsidR="00630AC7" w:rsidRPr="00691EED" w:rsidRDefault="00630AC7" w:rsidP="00630AC7">
      <w:pPr>
        <w:pStyle w:val="NoSpacing"/>
        <w:spacing w:line="360" w:lineRule="auto"/>
        <w:rPr>
          <w:rFonts w:cstheme="minorHAnsi"/>
        </w:rPr>
      </w:pPr>
      <w:r w:rsidRPr="00691EED">
        <w:rPr>
          <w:rFonts w:cstheme="minorHAnsi"/>
        </w:rPr>
        <w:t xml:space="preserve">2. In your opinion, what is the relationship between a natal chart and a person's life path? </w:t>
      </w:r>
      <w:r w:rsidR="00E264F4">
        <w:rPr>
          <w:rFonts w:cstheme="minorHAnsi"/>
        </w:rPr>
        <w:t>[</w:t>
      </w:r>
      <w:r w:rsidRPr="00691EED">
        <w:rPr>
          <w:rFonts w:cstheme="minorHAnsi"/>
        </w:rPr>
        <w:t>multiple choice</w:t>
      </w:r>
      <w:r w:rsidR="00E264F4">
        <w:rPr>
          <w:rFonts w:cstheme="minorHAnsi"/>
        </w:rPr>
        <w:t>]</w:t>
      </w:r>
    </w:p>
    <w:p w14:paraId="3B539A30" w14:textId="77777777" w:rsidR="00630AC7" w:rsidRPr="00691EED" w:rsidRDefault="00630AC7" w:rsidP="00E264F4">
      <w:pPr>
        <w:pStyle w:val="NoSpacing"/>
        <w:numPr>
          <w:ilvl w:val="0"/>
          <w:numId w:val="46"/>
        </w:numPr>
        <w:spacing w:line="360" w:lineRule="auto"/>
        <w:rPr>
          <w:rFonts w:cstheme="minorHAnsi"/>
        </w:rPr>
      </w:pPr>
      <w:r w:rsidRPr="00691EED">
        <w:rPr>
          <w:rFonts w:cstheme="minorHAnsi"/>
        </w:rPr>
        <w:t>The natal chart reflects a person's potential, but the choices they make shape their life path</w:t>
      </w:r>
    </w:p>
    <w:p w14:paraId="114F0453" w14:textId="77777777" w:rsidR="00630AC7" w:rsidRPr="00691EED" w:rsidRDefault="00630AC7" w:rsidP="00E264F4">
      <w:pPr>
        <w:pStyle w:val="NoSpacing"/>
        <w:numPr>
          <w:ilvl w:val="0"/>
          <w:numId w:val="46"/>
        </w:numPr>
        <w:spacing w:line="360" w:lineRule="auto"/>
        <w:rPr>
          <w:rFonts w:cstheme="minorHAnsi"/>
        </w:rPr>
      </w:pPr>
      <w:r w:rsidRPr="00691EED">
        <w:rPr>
          <w:rFonts w:cstheme="minorHAnsi"/>
        </w:rPr>
        <w:t>It provides a blueprint for a person's life, and events will unfold accordingly</w:t>
      </w:r>
    </w:p>
    <w:p w14:paraId="1F65924F" w14:textId="77777777" w:rsidR="00630AC7" w:rsidRPr="00691EED" w:rsidRDefault="00630AC7" w:rsidP="00E264F4">
      <w:pPr>
        <w:pStyle w:val="NoSpacing"/>
        <w:numPr>
          <w:ilvl w:val="0"/>
          <w:numId w:val="46"/>
        </w:numPr>
        <w:spacing w:line="360" w:lineRule="auto"/>
        <w:rPr>
          <w:rFonts w:cstheme="minorHAnsi"/>
        </w:rPr>
      </w:pPr>
      <w:r w:rsidRPr="00691EED">
        <w:rPr>
          <w:rFonts w:cstheme="minorHAnsi"/>
        </w:rPr>
        <w:lastRenderedPageBreak/>
        <w:t>The natal chart offers guidance, but external factors play a larger role in life choices</w:t>
      </w:r>
    </w:p>
    <w:p w14:paraId="16AAB658" w14:textId="77777777" w:rsidR="00630AC7" w:rsidRPr="00691EED" w:rsidRDefault="00630AC7" w:rsidP="00E264F4">
      <w:pPr>
        <w:pStyle w:val="NoSpacing"/>
        <w:numPr>
          <w:ilvl w:val="0"/>
          <w:numId w:val="46"/>
        </w:numPr>
        <w:spacing w:line="360" w:lineRule="auto"/>
        <w:rPr>
          <w:rFonts w:cstheme="minorHAnsi"/>
        </w:rPr>
      </w:pPr>
      <w:r w:rsidRPr="00691EED">
        <w:rPr>
          <w:rFonts w:cstheme="minorHAnsi"/>
        </w:rPr>
        <w:t>There is no significant relationship; life path is determined by personal experiences and choices</w:t>
      </w:r>
    </w:p>
    <w:p w14:paraId="2E22190C" w14:textId="77777777" w:rsidR="00630AC7" w:rsidRPr="00691EED" w:rsidRDefault="00630AC7" w:rsidP="00E264F4">
      <w:pPr>
        <w:pStyle w:val="NoSpacing"/>
        <w:numPr>
          <w:ilvl w:val="0"/>
          <w:numId w:val="46"/>
        </w:numPr>
        <w:spacing w:line="360" w:lineRule="auto"/>
        <w:rPr>
          <w:rFonts w:cstheme="minorHAnsi"/>
        </w:rPr>
      </w:pPr>
      <w:r w:rsidRPr="00691EED">
        <w:rPr>
          <w:rFonts w:cstheme="minorHAnsi"/>
        </w:rPr>
        <w:t>The natal chart strongly influences a person’s life path and decisions.</w:t>
      </w:r>
    </w:p>
    <w:p w14:paraId="6D27BB59" w14:textId="77777777" w:rsidR="00630AC7" w:rsidRPr="00691EED" w:rsidRDefault="00630AC7" w:rsidP="00630AC7">
      <w:pPr>
        <w:pStyle w:val="NoSpacing"/>
        <w:spacing w:line="360" w:lineRule="auto"/>
        <w:rPr>
          <w:rFonts w:cstheme="minorHAnsi"/>
        </w:rPr>
      </w:pPr>
    </w:p>
    <w:p w14:paraId="284B24F1" w14:textId="60A03CF1" w:rsidR="00630AC7" w:rsidRPr="00691EED" w:rsidRDefault="00E52B26" w:rsidP="00630AC7">
      <w:pPr>
        <w:pStyle w:val="NoSpacing"/>
        <w:spacing w:line="360" w:lineRule="auto"/>
        <w:rPr>
          <w:rFonts w:cstheme="minorHAnsi"/>
        </w:rPr>
      </w:pPr>
      <w:r>
        <w:rPr>
          <w:rFonts w:cstheme="minorHAnsi"/>
        </w:rPr>
        <w:t>3.</w:t>
      </w:r>
      <w:r w:rsidR="00630AC7" w:rsidRPr="00691EED">
        <w:rPr>
          <w:rFonts w:cstheme="minorHAnsi"/>
        </w:rPr>
        <w:t xml:space="preserve"> I believe in a predestined contract or plan before birth. </w:t>
      </w:r>
    </w:p>
    <w:p w14:paraId="65D502B2"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3neutral   4agree    5strongly agree</w:t>
      </w:r>
    </w:p>
    <w:p w14:paraId="37D55C01" w14:textId="77777777" w:rsidR="00630AC7" w:rsidRPr="00691EED" w:rsidRDefault="00630AC7" w:rsidP="00630AC7">
      <w:pPr>
        <w:pStyle w:val="NoSpacing"/>
        <w:spacing w:line="360" w:lineRule="auto"/>
        <w:rPr>
          <w:rFonts w:cstheme="minorHAnsi"/>
        </w:rPr>
      </w:pPr>
    </w:p>
    <w:p w14:paraId="0F375713" w14:textId="77777777" w:rsidR="00630AC7" w:rsidRPr="00691EED" w:rsidRDefault="00630AC7" w:rsidP="00630AC7">
      <w:pPr>
        <w:pStyle w:val="NoSpacing"/>
        <w:spacing w:line="360" w:lineRule="auto"/>
        <w:rPr>
          <w:rFonts w:cstheme="minorHAnsi"/>
        </w:rPr>
      </w:pPr>
      <w:r w:rsidRPr="00691EED">
        <w:rPr>
          <w:rFonts w:cstheme="minorHAnsi"/>
        </w:rPr>
        <w:t>4.  Astrology plays a significant role in influencing my personal decision-making.</w:t>
      </w:r>
    </w:p>
    <w:p w14:paraId="59143D08"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3neutral   4agree    5strongly agree</w:t>
      </w:r>
    </w:p>
    <w:p w14:paraId="78764088" w14:textId="77777777" w:rsidR="00630AC7" w:rsidRPr="00691EED" w:rsidRDefault="00630AC7" w:rsidP="00630AC7">
      <w:pPr>
        <w:pStyle w:val="NoSpacing"/>
        <w:spacing w:line="360" w:lineRule="auto"/>
        <w:rPr>
          <w:rFonts w:cstheme="minorHAnsi"/>
        </w:rPr>
      </w:pPr>
    </w:p>
    <w:p w14:paraId="6B969F6F" w14:textId="77777777" w:rsidR="00630AC7" w:rsidRPr="00691EED" w:rsidRDefault="00630AC7" w:rsidP="00630AC7">
      <w:pPr>
        <w:pStyle w:val="NoSpacing"/>
        <w:spacing w:line="360" w:lineRule="auto"/>
        <w:rPr>
          <w:rFonts w:cstheme="minorHAnsi"/>
        </w:rPr>
      </w:pPr>
      <w:r w:rsidRPr="00691EED">
        <w:rPr>
          <w:rFonts w:cstheme="minorHAnsi"/>
        </w:rPr>
        <w:t>5.</w:t>
      </w:r>
      <w:r w:rsidRPr="00691EED">
        <w:rPr>
          <w:rFonts w:cstheme="minorHAnsi"/>
        </w:rPr>
        <w:tab/>
        <w:t xml:space="preserve">How often do you consult astrological insights when making significant life choices?                             </w:t>
      </w:r>
    </w:p>
    <w:p w14:paraId="0C6F5319" w14:textId="77777777" w:rsidR="00630AC7" w:rsidRPr="00691EED" w:rsidRDefault="00630AC7" w:rsidP="00630AC7">
      <w:pPr>
        <w:pStyle w:val="NoSpacing"/>
        <w:spacing w:line="360" w:lineRule="auto"/>
        <w:rPr>
          <w:rFonts w:cstheme="minorHAnsi"/>
        </w:rPr>
      </w:pPr>
      <w:r w:rsidRPr="00691EED">
        <w:rPr>
          <w:rFonts w:cstheme="minorHAnsi"/>
        </w:rPr>
        <w:t xml:space="preserve">                  Always             Often                 Sometimes                 Rarely                       Never</w:t>
      </w:r>
    </w:p>
    <w:p w14:paraId="25D39D9B" w14:textId="77777777" w:rsidR="00630AC7" w:rsidRPr="00691EED" w:rsidRDefault="00630AC7" w:rsidP="00630AC7">
      <w:pPr>
        <w:pStyle w:val="NoSpacing"/>
        <w:spacing w:line="360" w:lineRule="auto"/>
        <w:rPr>
          <w:rFonts w:cstheme="minorHAnsi"/>
        </w:rPr>
      </w:pPr>
    </w:p>
    <w:p w14:paraId="42520DA3" w14:textId="250062BC" w:rsidR="00630AC7" w:rsidRPr="00691EED" w:rsidRDefault="00630AC7" w:rsidP="00630AC7">
      <w:pPr>
        <w:pStyle w:val="NoSpacing"/>
        <w:spacing w:line="360" w:lineRule="auto"/>
        <w:rPr>
          <w:rFonts w:cstheme="minorHAnsi"/>
        </w:rPr>
      </w:pPr>
      <w:r w:rsidRPr="00691EED">
        <w:rPr>
          <w:rFonts w:cstheme="minorHAnsi"/>
        </w:rPr>
        <w:t>6.</w:t>
      </w:r>
      <w:r w:rsidRPr="00691EED">
        <w:rPr>
          <w:rFonts w:cstheme="minorHAnsi"/>
        </w:rPr>
        <w:tab/>
        <w:t xml:space="preserve">If, according to your natal chart, a series of significant challenging transits are predicted to occur in two years' time, how would you approach the situation? </w:t>
      </w:r>
      <w:r w:rsidR="00E52B26">
        <w:rPr>
          <w:rFonts w:cstheme="minorHAnsi"/>
        </w:rPr>
        <w:t>[</w:t>
      </w:r>
      <w:r w:rsidRPr="00691EED">
        <w:rPr>
          <w:rFonts w:cstheme="minorHAnsi"/>
        </w:rPr>
        <w:t>multiple choice</w:t>
      </w:r>
      <w:r w:rsidR="00E52B26">
        <w:rPr>
          <w:rFonts w:cstheme="minorHAnsi"/>
        </w:rPr>
        <w:t>]</w:t>
      </w:r>
    </w:p>
    <w:p w14:paraId="60E2073F" w14:textId="77777777" w:rsidR="00630AC7" w:rsidRPr="00691EED" w:rsidRDefault="00630AC7" w:rsidP="00630AC7">
      <w:pPr>
        <w:pStyle w:val="NoSpacing"/>
        <w:spacing w:line="360" w:lineRule="auto"/>
        <w:rPr>
          <w:rFonts w:cstheme="minorHAnsi"/>
        </w:rPr>
      </w:pPr>
      <w:r w:rsidRPr="00691EED">
        <w:rPr>
          <w:rFonts w:cstheme="minorHAnsi"/>
        </w:rPr>
        <w:t xml:space="preserve"> If you select 'Other', please specify. </w:t>
      </w:r>
    </w:p>
    <w:p w14:paraId="5A3CDE57" w14:textId="007C134F" w:rsidR="00630AC7" w:rsidRPr="00691EED" w:rsidRDefault="00630AC7" w:rsidP="00E52B26">
      <w:pPr>
        <w:pStyle w:val="NoSpacing"/>
        <w:numPr>
          <w:ilvl w:val="0"/>
          <w:numId w:val="47"/>
        </w:numPr>
        <w:spacing w:line="360" w:lineRule="auto"/>
        <w:rPr>
          <w:rFonts w:cstheme="minorHAnsi"/>
        </w:rPr>
      </w:pPr>
      <w:r w:rsidRPr="00691EED">
        <w:rPr>
          <w:rFonts w:cstheme="minorHAnsi"/>
        </w:rPr>
        <w:t>Be concerned about those future events but feel powerless to influence them</w:t>
      </w:r>
    </w:p>
    <w:p w14:paraId="6C2AA35E" w14:textId="3FE01D8A" w:rsidR="00630AC7" w:rsidRPr="00691EED" w:rsidRDefault="00630AC7" w:rsidP="00E52B26">
      <w:pPr>
        <w:pStyle w:val="NoSpacing"/>
        <w:numPr>
          <w:ilvl w:val="0"/>
          <w:numId w:val="47"/>
        </w:numPr>
        <w:spacing w:line="360" w:lineRule="auto"/>
        <w:rPr>
          <w:rFonts w:cstheme="minorHAnsi"/>
        </w:rPr>
      </w:pPr>
      <w:r w:rsidRPr="00691EED">
        <w:rPr>
          <w:rFonts w:cstheme="minorHAnsi"/>
        </w:rPr>
        <w:t>Start to take action now to optimise a positive outcome</w:t>
      </w:r>
    </w:p>
    <w:p w14:paraId="3ACA3F57" w14:textId="2E2A94DB" w:rsidR="00630AC7" w:rsidRPr="00691EED" w:rsidRDefault="00630AC7" w:rsidP="00E52B26">
      <w:pPr>
        <w:pStyle w:val="NoSpacing"/>
        <w:numPr>
          <w:ilvl w:val="0"/>
          <w:numId w:val="47"/>
        </w:numPr>
        <w:spacing w:line="360" w:lineRule="auto"/>
        <w:rPr>
          <w:rFonts w:cstheme="minorHAnsi"/>
        </w:rPr>
      </w:pPr>
      <w:r w:rsidRPr="00691EED">
        <w:rPr>
          <w:rFonts w:cstheme="minorHAnsi"/>
        </w:rPr>
        <w:t>Consider the events but take no action as unsure about the timing or reliability of the predictions</w:t>
      </w:r>
    </w:p>
    <w:p w14:paraId="7BECBF8C" w14:textId="5A7D081C" w:rsidR="00630AC7" w:rsidRPr="00691EED" w:rsidRDefault="00630AC7" w:rsidP="00E52B26">
      <w:pPr>
        <w:pStyle w:val="NoSpacing"/>
        <w:numPr>
          <w:ilvl w:val="0"/>
          <w:numId w:val="47"/>
        </w:numPr>
        <w:spacing w:line="360" w:lineRule="auto"/>
        <w:rPr>
          <w:rFonts w:cstheme="minorHAnsi"/>
        </w:rPr>
      </w:pPr>
      <w:r w:rsidRPr="00691EED">
        <w:rPr>
          <w:rFonts w:cstheme="minorHAnsi"/>
        </w:rPr>
        <w:t>Not think about it as it is too far away to reliably predict either events or timing</w:t>
      </w:r>
    </w:p>
    <w:p w14:paraId="33425B92" w14:textId="77777777" w:rsidR="00E52B26" w:rsidRDefault="00630AC7" w:rsidP="00630AC7">
      <w:pPr>
        <w:pStyle w:val="NoSpacing"/>
        <w:spacing w:line="360" w:lineRule="auto"/>
        <w:rPr>
          <w:rFonts w:cstheme="minorHAnsi"/>
        </w:rPr>
      </w:pPr>
      <w:r w:rsidRPr="00691EED">
        <w:rPr>
          <w:rFonts w:cstheme="minorHAnsi"/>
        </w:rPr>
        <w:t>Other:</w:t>
      </w:r>
    </w:p>
    <w:p w14:paraId="447D60FC" w14:textId="13BFC3E3" w:rsidR="00630AC7" w:rsidRPr="00691EED" w:rsidRDefault="00463BE4" w:rsidP="00630AC7">
      <w:pPr>
        <w:pStyle w:val="NoSpacing"/>
        <w:spacing w:line="360" w:lineRule="auto"/>
        <w:rPr>
          <w:rFonts w:cstheme="minorHAnsi"/>
        </w:rPr>
      </w:pPr>
      <w:r>
        <w:rPr>
          <w:rFonts w:cstheme="minorHAnsi"/>
          <w:noProof/>
        </w:rPr>
        <w:pict w14:anchorId="26D534D5">
          <v:rect id="_x0000_i1027" alt="" style="width:451.3pt;height:.05pt;mso-width-percent:0;mso-height-percent:0;mso-width-percent:0;mso-height-percent:0" o:hralign="center" o:hrstd="t" o:hr="t" fillcolor="#a0a0a0" stroked="f"/>
        </w:pict>
      </w:r>
    </w:p>
    <w:p w14:paraId="557B74BF" w14:textId="77777777" w:rsidR="00E52B26" w:rsidRDefault="00630AC7" w:rsidP="00630AC7">
      <w:pPr>
        <w:pStyle w:val="NoSpacing"/>
        <w:spacing w:line="360" w:lineRule="auto"/>
        <w:rPr>
          <w:rFonts w:cstheme="minorHAnsi"/>
        </w:rPr>
      </w:pPr>
      <w:r w:rsidRPr="00691EED">
        <w:rPr>
          <w:rFonts w:cstheme="minorHAnsi"/>
        </w:rPr>
        <w:t xml:space="preserve"> </w:t>
      </w:r>
    </w:p>
    <w:p w14:paraId="755F592B" w14:textId="7223763A" w:rsidR="00630AC7" w:rsidRDefault="00630AC7" w:rsidP="00630AC7">
      <w:pPr>
        <w:pStyle w:val="NoSpacing"/>
        <w:spacing w:line="360" w:lineRule="auto"/>
        <w:rPr>
          <w:rFonts w:cstheme="minorHAnsi"/>
          <w:b/>
          <w:bCs/>
        </w:rPr>
      </w:pPr>
      <w:r w:rsidRPr="00E52B26">
        <w:rPr>
          <w:rFonts w:cstheme="minorHAnsi"/>
          <w:b/>
          <w:bCs/>
        </w:rPr>
        <w:t>Section 4—You and Astrology</w:t>
      </w:r>
    </w:p>
    <w:p w14:paraId="727D2B68" w14:textId="77777777" w:rsidR="00E52B26" w:rsidRPr="00E52B26" w:rsidRDefault="00E52B26" w:rsidP="00630AC7">
      <w:pPr>
        <w:pStyle w:val="NoSpacing"/>
        <w:spacing w:line="360" w:lineRule="auto"/>
        <w:rPr>
          <w:rFonts w:cstheme="minorHAnsi"/>
        </w:rPr>
      </w:pPr>
    </w:p>
    <w:p w14:paraId="65ECC9D2" w14:textId="77777777" w:rsidR="00630AC7" w:rsidRPr="00691EED" w:rsidRDefault="00630AC7" w:rsidP="00630AC7">
      <w:pPr>
        <w:pStyle w:val="NoSpacing"/>
        <w:spacing w:line="360" w:lineRule="auto"/>
        <w:rPr>
          <w:rFonts w:cstheme="minorHAnsi"/>
        </w:rPr>
      </w:pPr>
      <w:r w:rsidRPr="00691EED">
        <w:rPr>
          <w:rFonts w:cstheme="minorHAnsi"/>
        </w:rPr>
        <w:t>1.</w:t>
      </w:r>
      <w:r w:rsidRPr="00691EED">
        <w:rPr>
          <w:rFonts w:cstheme="minorHAnsi"/>
        </w:rPr>
        <w:tab/>
        <w:t>The future is fully formed, and astrology provides a tool to help read that future.</w:t>
      </w:r>
    </w:p>
    <w:p w14:paraId="4807593A"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3neutral   4agree    5strongly agree</w:t>
      </w:r>
    </w:p>
    <w:p w14:paraId="5CF6DB0A" w14:textId="77777777" w:rsidR="00630AC7" w:rsidRPr="00691EED" w:rsidRDefault="00630AC7" w:rsidP="00630AC7">
      <w:pPr>
        <w:pStyle w:val="NoSpacing"/>
        <w:spacing w:line="360" w:lineRule="auto"/>
        <w:rPr>
          <w:rFonts w:cstheme="minorHAnsi"/>
        </w:rPr>
      </w:pPr>
    </w:p>
    <w:p w14:paraId="053DE7BA" w14:textId="77777777" w:rsidR="00630AC7" w:rsidRPr="00691EED" w:rsidRDefault="00630AC7" w:rsidP="00630AC7">
      <w:pPr>
        <w:pStyle w:val="NoSpacing"/>
        <w:spacing w:line="360" w:lineRule="auto"/>
        <w:rPr>
          <w:rFonts w:cstheme="minorHAnsi"/>
        </w:rPr>
      </w:pPr>
      <w:r w:rsidRPr="00691EED">
        <w:rPr>
          <w:rFonts w:cstheme="minorHAnsi"/>
        </w:rPr>
        <w:t>2.</w:t>
      </w:r>
      <w:r w:rsidRPr="00691EED">
        <w:rPr>
          <w:rFonts w:cstheme="minorHAnsi"/>
        </w:rPr>
        <w:tab/>
        <w:t>Small events in your life can act as indicators of upcoming, apparently non-related, more significant events.</w:t>
      </w:r>
    </w:p>
    <w:p w14:paraId="32EF7CEC" w14:textId="77777777" w:rsidR="00630AC7" w:rsidRPr="00691EED" w:rsidRDefault="00630AC7" w:rsidP="00630AC7">
      <w:pPr>
        <w:pStyle w:val="NoSpacing"/>
        <w:spacing w:line="360" w:lineRule="auto"/>
        <w:rPr>
          <w:rFonts w:cstheme="minorHAnsi"/>
        </w:rPr>
      </w:pPr>
      <w:r w:rsidRPr="00691EED">
        <w:rPr>
          <w:rFonts w:cstheme="minorHAnsi"/>
        </w:rPr>
        <w:t xml:space="preserve">                           1strongly disagree   2disagree   3neutral   4agree    5strongly agree</w:t>
      </w:r>
    </w:p>
    <w:p w14:paraId="289845F9" w14:textId="77777777" w:rsidR="00630AC7" w:rsidRPr="00691EED" w:rsidRDefault="00630AC7" w:rsidP="00630AC7">
      <w:pPr>
        <w:pStyle w:val="NoSpacing"/>
        <w:spacing w:line="360" w:lineRule="auto"/>
        <w:rPr>
          <w:rFonts w:cstheme="minorHAnsi"/>
        </w:rPr>
      </w:pPr>
    </w:p>
    <w:p w14:paraId="74C12BEF" w14:textId="157BF081" w:rsidR="00630AC7" w:rsidRPr="00691EED" w:rsidRDefault="00630AC7" w:rsidP="00630AC7">
      <w:pPr>
        <w:pStyle w:val="NoSpacing"/>
        <w:spacing w:line="360" w:lineRule="auto"/>
        <w:rPr>
          <w:rFonts w:cstheme="minorHAnsi"/>
        </w:rPr>
      </w:pPr>
      <w:r w:rsidRPr="00691EED">
        <w:rPr>
          <w:rFonts w:cstheme="minorHAnsi"/>
        </w:rPr>
        <w:lastRenderedPageBreak/>
        <w:t>3.</w:t>
      </w:r>
      <w:r w:rsidRPr="00691EED">
        <w:rPr>
          <w:rFonts w:cstheme="minorHAnsi"/>
        </w:rPr>
        <w:tab/>
        <w:t xml:space="preserve">In what ways has astrology influenced your personal beliefs about fate and personal agency in your own life? </w:t>
      </w:r>
      <w:r w:rsidR="00E52B26">
        <w:rPr>
          <w:rFonts w:cstheme="minorHAnsi"/>
        </w:rPr>
        <w:t>[</w:t>
      </w:r>
      <w:r w:rsidRPr="00691EED">
        <w:rPr>
          <w:rFonts w:cstheme="minorHAnsi"/>
        </w:rPr>
        <w:t>multiple choice</w:t>
      </w:r>
      <w:r w:rsidR="00E52B26">
        <w:rPr>
          <w:rFonts w:cstheme="minorHAnsi"/>
        </w:rPr>
        <w:t>]</w:t>
      </w:r>
    </w:p>
    <w:p w14:paraId="31BF5ECB" w14:textId="24A5DC34" w:rsidR="00630AC7" w:rsidRPr="00691EED" w:rsidRDefault="00630AC7" w:rsidP="00E52B26">
      <w:pPr>
        <w:pStyle w:val="NoSpacing"/>
        <w:numPr>
          <w:ilvl w:val="0"/>
          <w:numId w:val="48"/>
        </w:numPr>
        <w:spacing w:line="360" w:lineRule="auto"/>
        <w:rPr>
          <w:rFonts w:cstheme="minorHAnsi"/>
        </w:rPr>
      </w:pPr>
      <w:r w:rsidRPr="00691EED">
        <w:rPr>
          <w:rFonts w:cstheme="minorHAnsi"/>
        </w:rPr>
        <w:t>It has reinforced my belief in fate</w:t>
      </w:r>
    </w:p>
    <w:p w14:paraId="15A46C0A" w14:textId="5C33AF4F" w:rsidR="00630AC7" w:rsidRPr="00691EED" w:rsidRDefault="00630AC7" w:rsidP="00E52B26">
      <w:pPr>
        <w:pStyle w:val="NoSpacing"/>
        <w:numPr>
          <w:ilvl w:val="0"/>
          <w:numId w:val="48"/>
        </w:numPr>
        <w:spacing w:line="360" w:lineRule="auto"/>
        <w:rPr>
          <w:rFonts w:cstheme="minorHAnsi"/>
        </w:rPr>
      </w:pPr>
      <w:r w:rsidRPr="00691EED">
        <w:rPr>
          <w:rFonts w:cstheme="minorHAnsi"/>
        </w:rPr>
        <w:t>It has strengthened my belief in free will</w:t>
      </w:r>
    </w:p>
    <w:p w14:paraId="5FD16A63" w14:textId="3ACFF901" w:rsidR="00630AC7" w:rsidRPr="00691EED" w:rsidRDefault="00630AC7" w:rsidP="00E52B26">
      <w:pPr>
        <w:pStyle w:val="NoSpacing"/>
        <w:numPr>
          <w:ilvl w:val="0"/>
          <w:numId w:val="48"/>
        </w:numPr>
        <w:spacing w:line="360" w:lineRule="auto"/>
        <w:rPr>
          <w:rFonts w:cstheme="minorHAnsi"/>
        </w:rPr>
      </w:pPr>
      <w:r w:rsidRPr="00691EED">
        <w:rPr>
          <w:rFonts w:cstheme="minorHAnsi"/>
        </w:rPr>
        <w:t>It has made me more open to the interplay of both fate and free will</w:t>
      </w:r>
    </w:p>
    <w:p w14:paraId="7FEB3EFD" w14:textId="5ADC09D9" w:rsidR="00630AC7" w:rsidRPr="00691EED" w:rsidRDefault="00630AC7" w:rsidP="00E52B26">
      <w:pPr>
        <w:pStyle w:val="NoSpacing"/>
        <w:numPr>
          <w:ilvl w:val="0"/>
          <w:numId w:val="48"/>
        </w:numPr>
        <w:spacing w:line="360" w:lineRule="auto"/>
        <w:rPr>
          <w:rFonts w:cstheme="minorHAnsi"/>
        </w:rPr>
      </w:pPr>
      <w:r w:rsidRPr="00691EED">
        <w:rPr>
          <w:rFonts w:cstheme="minorHAnsi"/>
        </w:rPr>
        <w:t>It has had little to no impact on my beliefs</w:t>
      </w:r>
    </w:p>
    <w:p w14:paraId="3023AAFA" w14:textId="77777777" w:rsidR="00E52B26" w:rsidRDefault="00630AC7" w:rsidP="00E52B26">
      <w:pPr>
        <w:pStyle w:val="NoSpacing"/>
        <w:numPr>
          <w:ilvl w:val="0"/>
          <w:numId w:val="48"/>
        </w:numPr>
        <w:spacing w:line="360" w:lineRule="auto"/>
        <w:rPr>
          <w:rFonts w:cstheme="minorHAnsi"/>
        </w:rPr>
      </w:pPr>
      <w:r w:rsidRPr="00691EED">
        <w:rPr>
          <w:rFonts w:cstheme="minorHAnsi"/>
        </w:rPr>
        <w:t>It has changed my views on fate</w:t>
      </w:r>
    </w:p>
    <w:p w14:paraId="02C85913" w14:textId="77777777" w:rsidR="00E52B26" w:rsidRDefault="00E52B26" w:rsidP="00630AC7">
      <w:pPr>
        <w:pStyle w:val="NoSpacing"/>
        <w:spacing w:line="360" w:lineRule="auto"/>
        <w:rPr>
          <w:rFonts w:cstheme="minorHAnsi"/>
        </w:rPr>
      </w:pPr>
    </w:p>
    <w:p w14:paraId="682C556E" w14:textId="56BDDC3C" w:rsidR="00E52B26" w:rsidRDefault="00630AC7" w:rsidP="00630AC7">
      <w:pPr>
        <w:pStyle w:val="NoSpacing"/>
        <w:spacing w:line="360" w:lineRule="auto"/>
        <w:rPr>
          <w:rFonts w:cstheme="minorHAnsi"/>
        </w:rPr>
      </w:pPr>
      <w:r w:rsidRPr="00691EED">
        <w:rPr>
          <w:rFonts w:cstheme="minorHAnsi"/>
        </w:rPr>
        <w:t>Please elaborate on how astrology has changed your views on fate</w:t>
      </w:r>
      <w:r w:rsidR="00E52B26">
        <w:rPr>
          <w:rFonts w:cstheme="minorHAnsi"/>
        </w:rPr>
        <w:t>.</w:t>
      </w:r>
    </w:p>
    <w:p w14:paraId="7EDC66BE" w14:textId="07D64677" w:rsidR="00630AC7" w:rsidRPr="00691EED" w:rsidRDefault="00463BE4" w:rsidP="00630AC7">
      <w:pPr>
        <w:pStyle w:val="NoSpacing"/>
        <w:spacing w:line="360" w:lineRule="auto"/>
        <w:rPr>
          <w:rFonts w:cstheme="minorHAnsi"/>
        </w:rPr>
      </w:pPr>
      <w:r>
        <w:rPr>
          <w:rFonts w:cstheme="minorHAnsi"/>
          <w:noProof/>
        </w:rPr>
        <w:pict w14:anchorId="07FFFF08">
          <v:rect id="_x0000_i1026" alt="" style="width:451.3pt;height:.05pt;mso-width-percent:0;mso-height-percent:0;mso-width-percent:0;mso-height-percent:0" o:hralign="center" o:hrstd="t" o:hr="t" fillcolor="#a0a0a0" stroked="f"/>
        </w:pict>
      </w:r>
    </w:p>
    <w:p w14:paraId="5E1CCF18" w14:textId="77777777" w:rsidR="00E52B26" w:rsidRDefault="00630AC7" w:rsidP="00630AC7">
      <w:pPr>
        <w:pStyle w:val="NoSpacing"/>
        <w:spacing w:line="360" w:lineRule="auto"/>
        <w:rPr>
          <w:rFonts w:cstheme="minorHAnsi"/>
        </w:rPr>
      </w:pPr>
      <w:r w:rsidRPr="00691EED">
        <w:rPr>
          <w:rFonts w:cstheme="minorHAnsi"/>
        </w:rPr>
        <w:t xml:space="preserve"> </w:t>
      </w:r>
    </w:p>
    <w:p w14:paraId="37509A88" w14:textId="2A4535B7" w:rsidR="000B2A29" w:rsidRDefault="00630AC7" w:rsidP="00630AC7">
      <w:pPr>
        <w:pStyle w:val="NoSpacing"/>
        <w:spacing w:line="360" w:lineRule="auto"/>
        <w:rPr>
          <w:rFonts w:cstheme="minorHAnsi"/>
          <w:b/>
          <w:bCs/>
        </w:rPr>
      </w:pPr>
      <w:r w:rsidRPr="00E52B26">
        <w:rPr>
          <w:rFonts w:cstheme="minorHAnsi"/>
          <w:b/>
          <w:bCs/>
        </w:rPr>
        <w:t xml:space="preserve">Final question </w:t>
      </w:r>
    </w:p>
    <w:p w14:paraId="42A253FC" w14:textId="77777777" w:rsidR="000B2A29" w:rsidRPr="00E52B26" w:rsidRDefault="000B2A29" w:rsidP="00630AC7">
      <w:pPr>
        <w:pStyle w:val="NoSpacing"/>
        <w:spacing w:line="360" w:lineRule="auto"/>
        <w:rPr>
          <w:rFonts w:cstheme="minorHAnsi"/>
          <w:b/>
          <w:bCs/>
        </w:rPr>
      </w:pPr>
    </w:p>
    <w:p w14:paraId="2FB8CAB1" w14:textId="77777777" w:rsidR="00630AC7" w:rsidRPr="00691EED" w:rsidRDefault="00630AC7" w:rsidP="00630AC7">
      <w:pPr>
        <w:pStyle w:val="NoSpacing"/>
        <w:spacing w:line="360" w:lineRule="auto"/>
        <w:rPr>
          <w:rFonts w:cstheme="minorHAnsi"/>
        </w:rPr>
      </w:pPr>
      <w:r w:rsidRPr="00691EED">
        <w:rPr>
          <w:rFonts w:cstheme="minorHAnsi"/>
        </w:rPr>
        <w:t>The last question is optional.</w:t>
      </w:r>
    </w:p>
    <w:p w14:paraId="7F280633" w14:textId="77777777" w:rsidR="00E52B26" w:rsidRDefault="00630AC7" w:rsidP="00630AC7">
      <w:pPr>
        <w:pStyle w:val="NoSpacing"/>
        <w:spacing w:line="360" w:lineRule="auto"/>
        <w:rPr>
          <w:rFonts w:cstheme="minorHAnsi"/>
        </w:rPr>
      </w:pPr>
      <w:r w:rsidRPr="00691EED">
        <w:rPr>
          <w:rFonts w:cstheme="minorHAnsi"/>
        </w:rPr>
        <w:t xml:space="preserve"> If you have time, please share additional thoughts on how you see the interaction between free will and astrology based on your experience.</w:t>
      </w:r>
    </w:p>
    <w:p w14:paraId="5F44C223" w14:textId="3D82C94A" w:rsidR="00630AC7" w:rsidRPr="00691EED" w:rsidRDefault="00463BE4" w:rsidP="00630AC7">
      <w:pPr>
        <w:pStyle w:val="NoSpacing"/>
        <w:spacing w:line="360" w:lineRule="auto"/>
        <w:rPr>
          <w:rFonts w:cstheme="minorHAnsi"/>
        </w:rPr>
      </w:pPr>
      <w:r>
        <w:rPr>
          <w:rFonts w:cstheme="minorHAnsi"/>
          <w:noProof/>
        </w:rPr>
        <w:pict w14:anchorId="41DF34E6">
          <v:rect id="_x0000_i1025" alt="" style="width:451.3pt;height:.05pt;mso-width-percent:0;mso-height-percent:0;mso-width-percent:0;mso-height-percent:0" o:hralign="center" o:hrstd="t" o:hr="t" fillcolor="#a0a0a0" stroked="f"/>
        </w:pict>
      </w:r>
    </w:p>
    <w:p w14:paraId="350F414A" w14:textId="753EDD8D" w:rsidR="0082277C" w:rsidRPr="00D73B4C" w:rsidRDefault="0082277C" w:rsidP="00D73B4C">
      <w:pPr>
        <w:pStyle w:val="NoSpacing"/>
        <w:spacing w:line="360" w:lineRule="auto"/>
        <w:rPr>
          <w:rFonts w:cstheme="minorHAnsi"/>
        </w:rPr>
      </w:pPr>
    </w:p>
    <w:sectPr w:rsidR="0082277C" w:rsidRPr="00D73B4C">
      <w:headerReference w:type="even" r:id="rId31"/>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4DF32" w14:textId="77777777" w:rsidR="00463BE4" w:rsidRDefault="00463BE4" w:rsidP="006A7160">
      <w:pPr>
        <w:spacing w:after="0" w:line="240" w:lineRule="auto"/>
      </w:pPr>
      <w:r>
        <w:separator/>
      </w:r>
    </w:p>
  </w:endnote>
  <w:endnote w:type="continuationSeparator" w:id="0">
    <w:p w14:paraId="3F6F2A45" w14:textId="77777777" w:rsidR="00463BE4" w:rsidRDefault="00463BE4" w:rsidP="006A7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1E0AE" w14:textId="77777777" w:rsidR="00463BE4" w:rsidRDefault="00463BE4" w:rsidP="006A7160">
      <w:pPr>
        <w:spacing w:after="0" w:line="240" w:lineRule="auto"/>
      </w:pPr>
      <w:r>
        <w:separator/>
      </w:r>
    </w:p>
  </w:footnote>
  <w:footnote w:type="continuationSeparator" w:id="0">
    <w:p w14:paraId="395C56CD" w14:textId="77777777" w:rsidR="00463BE4" w:rsidRDefault="00463BE4" w:rsidP="006A7160">
      <w:pPr>
        <w:spacing w:after="0" w:line="240" w:lineRule="auto"/>
      </w:pPr>
      <w:r>
        <w:continuationSeparator/>
      </w:r>
    </w:p>
  </w:footnote>
  <w:footnote w:id="1">
    <w:p w14:paraId="1A638A1F"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P. Curry, In The Oxford Companion to the History of Modern Science, Oxford University Press, 2003, [Accessed 29 April 2025] </w:t>
      </w:r>
      <w:hyperlink r:id="rId1" w:history="1">
        <w:r w:rsidRPr="00260B05">
          <w:rPr>
            <w:rStyle w:val="Hyperlink"/>
            <w:rFonts w:cstheme="minorHAnsi"/>
            <w:sz w:val="16"/>
            <w:szCs w:val="16"/>
          </w:rPr>
          <w:t>https://www-oxfordreference-com.ezproxy.uwtsd.ac.uk/view/10.1093/acref/9780195112290.001.0001/acref-9780195112290-e-0046</w:t>
        </w:r>
      </w:hyperlink>
      <w:r w:rsidRPr="00260B05">
        <w:rPr>
          <w:rFonts w:cstheme="minorHAnsi"/>
          <w:sz w:val="16"/>
          <w:szCs w:val="16"/>
        </w:rPr>
        <w:t>.</w:t>
      </w:r>
    </w:p>
  </w:footnote>
  <w:footnote w:id="2">
    <w:p w14:paraId="77B69928"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Nicholas Campion, What Do Astrologers </w:t>
      </w:r>
      <w:proofErr w:type="gramStart"/>
      <w:r w:rsidRPr="00260B05">
        <w:rPr>
          <w:rFonts w:cstheme="minorHAnsi"/>
          <w:sz w:val="16"/>
          <w:szCs w:val="16"/>
        </w:rPr>
        <w:t>Believe?,</w:t>
      </w:r>
      <w:proofErr w:type="gramEnd"/>
      <w:r w:rsidRPr="00260B05">
        <w:rPr>
          <w:rFonts w:cstheme="minorHAnsi"/>
          <w:sz w:val="16"/>
          <w:szCs w:val="16"/>
        </w:rPr>
        <w:t xml:space="preserve"> </w:t>
      </w:r>
      <w:proofErr w:type="spellStart"/>
      <w:r w:rsidRPr="00260B05">
        <w:rPr>
          <w:rFonts w:cstheme="minorHAnsi"/>
          <w:sz w:val="16"/>
          <w:szCs w:val="16"/>
        </w:rPr>
        <w:t>Granta</w:t>
      </w:r>
      <w:proofErr w:type="spellEnd"/>
      <w:r w:rsidRPr="00260B05">
        <w:rPr>
          <w:rFonts w:cstheme="minorHAnsi"/>
          <w:sz w:val="16"/>
          <w:szCs w:val="16"/>
        </w:rPr>
        <w:t xml:space="preserve"> Books, 2014, p. 6.</w:t>
      </w:r>
    </w:p>
  </w:footnote>
  <w:footnote w:id="3">
    <w:p w14:paraId="331E81D4" w14:textId="77777777" w:rsidR="008572CC" w:rsidRPr="00260B05" w:rsidRDefault="008572CC" w:rsidP="008572CC">
      <w:pPr>
        <w:pStyle w:val="NoSpacing"/>
        <w:rPr>
          <w:rFonts w:cstheme="minorHAnsi"/>
          <w:color w:val="000000"/>
          <w:sz w:val="16"/>
          <w:szCs w:val="16"/>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color w:val="000000"/>
          <w:sz w:val="16"/>
          <w:szCs w:val="16"/>
        </w:rPr>
        <w:t>Bernadette Brady, Theories of fate among present day astrologers, Trinity Saint David University of Wales, 2012, chapter 1, p.34.</w:t>
      </w:r>
    </w:p>
  </w:footnote>
  <w:footnote w:id="4">
    <w:p w14:paraId="346763E1" w14:textId="77777777" w:rsidR="008572CC" w:rsidRPr="00260B05" w:rsidRDefault="008572CC" w:rsidP="008572CC">
      <w:pPr>
        <w:pStyle w:val="FootnoteText"/>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Geoffrey Cornelius, The Moment of Astrology, Origins </w:t>
      </w:r>
      <w:proofErr w:type="gramStart"/>
      <w:r w:rsidRPr="00260B05">
        <w:rPr>
          <w:rFonts w:cstheme="minorHAnsi"/>
          <w:sz w:val="16"/>
          <w:szCs w:val="16"/>
        </w:rPr>
        <w:t>In</w:t>
      </w:r>
      <w:proofErr w:type="gramEnd"/>
      <w:r w:rsidRPr="00260B05">
        <w:rPr>
          <w:rFonts w:cstheme="minorHAnsi"/>
          <w:sz w:val="16"/>
          <w:szCs w:val="16"/>
        </w:rPr>
        <w:t xml:space="preserve"> Divination, The Wessex Astrologer, 2003, p.303.</w:t>
      </w:r>
    </w:p>
  </w:footnote>
  <w:footnote w:id="5">
    <w:p w14:paraId="7D6F7B9C"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w:t>
      </w:r>
      <w:r w:rsidRPr="00260B05">
        <w:rPr>
          <w:rFonts w:eastAsia="Times New Roman" w:cstheme="minorHAnsi"/>
          <w:sz w:val="16"/>
          <w:szCs w:val="16"/>
          <w:lang w:eastAsia="en-GB"/>
        </w:rPr>
        <w:t xml:space="preserve">Bertrand Russell, On Astrologers,[Accessed on March 2025] </w:t>
      </w:r>
      <w:hyperlink r:id="rId2" w:anchor=":~:text=Astrologers%20still%20exist%3B%20it%20has,an%20invalid%20husband%20to%20support" w:history="1">
        <w:r w:rsidRPr="00260B05">
          <w:rPr>
            <w:rStyle w:val="Hyperlink"/>
            <w:rFonts w:cstheme="minorHAnsi"/>
            <w:sz w:val="16"/>
            <w:szCs w:val="16"/>
          </w:rPr>
          <w:t>http://thecampvs.com/2011/03/10/bertrand-russell-on-astrologers/#:~:text=Astrologers%20still%20exist%3B%20it%20has,an%20invalid%20husband%20to%20support</w:t>
        </w:r>
      </w:hyperlink>
      <w:r w:rsidRPr="00260B05">
        <w:rPr>
          <w:rFonts w:cstheme="minorHAnsi"/>
          <w:sz w:val="16"/>
          <w:szCs w:val="16"/>
        </w:rPr>
        <w:t>.</w:t>
      </w:r>
      <w:r w:rsidRPr="00260B05">
        <w:rPr>
          <w:rFonts w:eastAsia="Times New Roman" w:cstheme="minorHAnsi"/>
          <w:sz w:val="16"/>
          <w:szCs w:val="16"/>
          <w:lang w:eastAsia="en-GB"/>
        </w:rPr>
        <w:t xml:space="preserve"> </w:t>
      </w:r>
    </w:p>
  </w:footnote>
  <w:footnote w:id="6">
    <w:p w14:paraId="38E61DD0" w14:textId="21D8BD63"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Bernadette Brady, Astrology</w:t>
      </w:r>
      <w:r w:rsidR="00A538F4">
        <w:rPr>
          <w:rFonts w:cstheme="minorHAnsi"/>
          <w:sz w:val="16"/>
          <w:szCs w:val="16"/>
        </w:rPr>
        <w:t>,</w:t>
      </w:r>
      <w:r w:rsidRPr="00260B05">
        <w:rPr>
          <w:rFonts w:cstheme="minorHAnsi"/>
          <w:sz w:val="16"/>
          <w:szCs w:val="16"/>
        </w:rPr>
        <w:t xml:space="preserve"> a place in chaos, Th Wessex Astrologer Ltd, 2006, p.73.</w:t>
      </w:r>
    </w:p>
  </w:footnote>
  <w:footnote w:id="7">
    <w:p w14:paraId="6F127E11" w14:textId="77777777" w:rsidR="008572CC" w:rsidRPr="00260B05" w:rsidRDefault="008572CC" w:rsidP="008572CC">
      <w:pPr>
        <w:pStyle w:val="NoSpacing"/>
        <w:rPr>
          <w:rFonts w:cstheme="minorHAnsi"/>
          <w:color w:val="000000"/>
          <w:sz w:val="16"/>
          <w:szCs w:val="16"/>
          <w:lang w:eastAsia="en-GB"/>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color w:val="000000"/>
          <w:sz w:val="16"/>
          <w:szCs w:val="16"/>
          <w:lang w:eastAsia="en-GB"/>
        </w:rPr>
        <w:t>F. C. Copleston, Existentialism. Philosophy, 1948, </w:t>
      </w:r>
      <w:r w:rsidRPr="00260B05">
        <w:rPr>
          <w:rFonts w:cstheme="minorHAnsi"/>
          <w:i/>
          <w:iCs/>
          <w:color w:val="000000"/>
          <w:sz w:val="16"/>
          <w:szCs w:val="16"/>
          <w:lang w:eastAsia="en-GB"/>
        </w:rPr>
        <w:t>23</w:t>
      </w:r>
      <w:r w:rsidRPr="00260B05">
        <w:rPr>
          <w:rFonts w:cstheme="minorHAnsi"/>
          <w:color w:val="000000"/>
          <w:sz w:val="16"/>
          <w:szCs w:val="16"/>
          <w:lang w:eastAsia="en-GB"/>
        </w:rPr>
        <w:t xml:space="preserve">(84), 19–37. </w:t>
      </w:r>
      <w:hyperlink r:id="rId3" w:history="1">
        <w:r w:rsidRPr="00260B05">
          <w:rPr>
            <w:rStyle w:val="Hyperlink"/>
            <w:rFonts w:cstheme="minorHAnsi"/>
            <w:sz w:val="16"/>
            <w:szCs w:val="16"/>
            <w:lang w:eastAsia="en-GB"/>
          </w:rPr>
          <w:t>http://www.jstor.org/stable/3747384</w:t>
        </w:r>
      </w:hyperlink>
      <w:r w:rsidRPr="00260B05">
        <w:rPr>
          <w:rFonts w:cstheme="minorHAnsi"/>
          <w:sz w:val="16"/>
          <w:szCs w:val="16"/>
        </w:rPr>
        <w:t>.</w:t>
      </w:r>
    </w:p>
  </w:footnote>
  <w:footnote w:id="8">
    <w:p w14:paraId="337B3349" w14:textId="77777777" w:rsidR="008572CC" w:rsidRPr="00260B05" w:rsidRDefault="008572CC" w:rsidP="008572CC">
      <w:pPr>
        <w:pStyle w:val="NoSpacing"/>
        <w:rPr>
          <w:rFonts w:cstheme="minorHAnsi"/>
          <w:color w:val="000000"/>
          <w:sz w:val="16"/>
          <w:szCs w:val="16"/>
          <w:lang w:eastAsia="en-GB"/>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color w:val="000000"/>
          <w:sz w:val="16"/>
          <w:szCs w:val="16"/>
          <w:lang w:eastAsia="en-GB"/>
        </w:rPr>
        <w:t xml:space="preserve">S. </w:t>
      </w:r>
      <w:proofErr w:type="spellStart"/>
      <w:r w:rsidRPr="00260B05">
        <w:rPr>
          <w:rFonts w:cstheme="minorHAnsi"/>
          <w:color w:val="000000"/>
          <w:sz w:val="16"/>
          <w:szCs w:val="16"/>
          <w:lang w:eastAsia="en-GB"/>
        </w:rPr>
        <w:t>Vatansever</w:t>
      </w:r>
      <w:proofErr w:type="spellEnd"/>
      <w:r w:rsidRPr="00260B05">
        <w:rPr>
          <w:rFonts w:cstheme="minorHAnsi"/>
          <w:color w:val="000000"/>
          <w:sz w:val="16"/>
          <w:szCs w:val="16"/>
          <w:lang w:eastAsia="en-GB"/>
        </w:rPr>
        <w:t xml:space="preserve">, Kant’s coherent theory of the highest good. International Journal for Philosophy of Religion, 2021, </w:t>
      </w:r>
      <w:r w:rsidRPr="00260B05">
        <w:rPr>
          <w:rFonts w:cstheme="minorHAnsi"/>
          <w:i/>
          <w:iCs/>
          <w:color w:val="000000"/>
          <w:sz w:val="16"/>
          <w:szCs w:val="16"/>
          <w:lang w:eastAsia="en-GB"/>
        </w:rPr>
        <w:t>89</w:t>
      </w:r>
      <w:r w:rsidRPr="00260B05">
        <w:rPr>
          <w:rFonts w:cstheme="minorHAnsi"/>
          <w:color w:val="000000"/>
          <w:sz w:val="16"/>
          <w:szCs w:val="16"/>
          <w:lang w:eastAsia="en-GB"/>
        </w:rPr>
        <w:t xml:space="preserve">(3), 263–283. </w:t>
      </w:r>
      <w:hyperlink r:id="rId4" w:history="1">
        <w:r w:rsidRPr="00260B05">
          <w:rPr>
            <w:rStyle w:val="Hyperlink"/>
            <w:rFonts w:cstheme="minorHAnsi"/>
            <w:sz w:val="16"/>
            <w:szCs w:val="16"/>
            <w:lang w:eastAsia="en-GB"/>
          </w:rPr>
          <w:t>https://www.jstor.org/stable/48766266</w:t>
        </w:r>
      </w:hyperlink>
      <w:r w:rsidRPr="00260B05">
        <w:rPr>
          <w:rFonts w:cstheme="minorHAnsi"/>
          <w:sz w:val="16"/>
          <w:szCs w:val="16"/>
        </w:rPr>
        <w:t>.</w:t>
      </w:r>
    </w:p>
  </w:footnote>
  <w:footnote w:id="9">
    <w:p w14:paraId="186B3A95" w14:textId="77777777" w:rsidR="008572CC" w:rsidRPr="00260B05" w:rsidRDefault="008572CC" w:rsidP="008572CC">
      <w:pPr>
        <w:pStyle w:val="NoSpacing"/>
        <w:rPr>
          <w:rFonts w:cstheme="minorHAnsi"/>
          <w:color w:val="000000"/>
          <w:sz w:val="16"/>
          <w:szCs w:val="16"/>
          <w:lang w:eastAsia="en-GB"/>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color w:val="000000"/>
          <w:sz w:val="16"/>
          <w:szCs w:val="16"/>
          <w:lang w:eastAsia="en-GB"/>
        </w:rPr>
        <w:t xml:space="preserve">W. A. Shelburne, Existential Perspective in the Thought of Carl Jung. Journal of Religion and Health, 1983, </w:t>
      </w:r>
      <w:r w:rsidRPr="00260B05">
        <w:rPr>
          <w:rFonts w:cstheme="minorHAnsi"/>
          <w:i/>
          <w:iCs/>
          <w:color w:val="000000"/>
          <w:sz w:val="16"/>
          <w:szCs w:val="16"/>
          <w:lang w:eastAsia="en-GB"/>
        </w:rPr>
        <w:t>22</w:t>
      </w:r>
      <w:r w:rsidRPr="00260B05">
        <w:rPr>
          <w:rFonts w:cstheme="minorHAnsi"/>
          <w:color w:val="000000"/>
          <w:sz w:val="16"/>
          <w:szCs w:val="16"/>
          <w:lang w:eastAsia="en-GB"/>
        </w:rPr>
        <w:t xml:space="preserve">(1), 58–73. </w:t>
      </w:r>
      <w:hyperlink r:id="rId5" w:history="1">
        <w:r w:rsidRPr="00260B05">
          <w:rPr>
            <w:rStyle w:val="Hyperlink"/>
            <w:rFonts w:cstheme="minorHAnsi"/>
            <w:sz w:val="16"/>
            <w:szCs w:val="16"/>
            <w:lang w:eastAsia="en-GB"/>
          </w:rPr>
          <w:t>http://www.jstor.org/stable/27505718</w:t>
        </w:r>
      </w:hyperlink>
      <w:r w:rsidRPr="00260B05">
        <w:rPr>
          <w:rFonts w:cstheme="minorHAnsi"/>
          <w:color w:val="000000"/>
          <w:sz w:val="16"/>
          <w:szCs w:val="16"/>
          <w:lang w:eastAsia="en-GB"/>
        </w:rPr>
        <w:t>.</w:t>
      </w:r>
    </w:p>
  </w:footnote>
  <w:footnote w:id="10">
    <w:p w14:paraId="64B32F68"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sz w:val="16"/>
          <w:szCs w:val="16"/>
          <w:lang w:eastAsia="en-GB"/>
        </w:rPr>
        <w:t>Bernadette Brady, Theories of Fate Among Present Day Astrologers, Trinity Saint David University of Wales, 2012, p.21.</w:t>
      </w:r>
    </w:p>
  </w:footnote>
  <w:footnote w:id="11">
    <w:p w14:paraId="492E9B59"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w:t>
      </w:r>
      <w:proofErr w:type="spellStart"/>
      <w:r w:rsidRPr="00260B05">
        <w:rPr>
          <w:rFonts w:cstheme="minorHAnsi"/>
          <w:sz w:val="16"/>
          <w:szCs w:val="16"/>
        </w:rPr>
        <w:t>Cresswell</w:t>
      </w:r>
      <w:proofErr w:type="spellEnd"/>
      <w:r w:rsidRPr="00260B05">
        <w:rPr>
          <w:rFonts w:cstheme="minorHAnsi"/>
          <w:sz w:val="16"/>
          <w:szCs w:val="16"/>
        </w:rPr>
        <w:t xml:space="preserve">, J. (2021). Oxford Dictionary of Word Origins, Oxford University Press. Retrieved 30 Apr. 2025, from </w:t>
      </w:r>
      <w:hyperlink r:id="rId6" w:history="1">
        <w:r w:rsidRPr="00260B05">
          <w:rPr>
            <w:rStyle w:val="Hyperlink"/>
            <w:rFonts w:cstheme="minorHAnsi"/>
            <w:sz w:val="16"/>
            <w:szCs w:val="16"/>
          </w:rPr>
          <w:t>https://www-oxfordreference-com.ezproxy.uwtsd.ac.uk/view/10.1093/acref/9780198868750.001.0001/acref-9780198868750</w:t>
        </w:r>
      </w:hyperlink>
      <w:r w:rsidRPr="00260B05">
        <w:rPr>
          <w:rFonts w:cstheme="minorHAnsi"/>
          <w:sz w:val="16"/>
          <w:szCs w:val="16"/>
        </w:rPr>
        <w:t>.</w:t>
      </w:r>
    </w:p>
  </w:footnote>
  <w:footnote w:id="12">
    <w:p w14:paraId="1C0A74C2"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Stevenson, A. (Ed.), Oxford Dictionary of English, Oxford University Press,2010, Retrieved 30 Apr. 2025, from </w:t>
      </w:r>
      <w:hyperlink r:id="rId7" w:history="1">
        <w:r w:rsidRPr="00260B05">
          <w:rPr>
            <w:rStyle w:val="Hyperlink"/>
            <w:rFonts w:cstheme="minorHAnsi"/>
            <w:sz w:val="16"/>
            <w:szCs w:val="16"/>
          </w:rPr>
          <w:t>https://www-oxfordreference-com.ezproxy.uwtsd.ac.uk/view/10.1093/acref/9780199571123.001.0001/m_en_gb0288820</w:t>
        </w:r>
      </w:hyperlink>
      <w:r w:rsidRPr="00260B05">
        <w:rPr>
          <w:rFonts w:cstheme="minorHAnsi"/>
          <w:sz w:val="16"/>
          <w:szCs w:val="16"/>
        </w:rPr>
        <w:t>.</w:t>
      </w:r>
    </w:p>
  </w:footnote>
  <w:footnote w:id="13">
    <w:p w14:paraId="582DFEA2" w14:textId="77777777" w:rsidR="008572CC" w:rsidRPr="00260B05" w:rsidRDefault="008572CC" w:rsidP="008572CC">
      <w:pPr>
        <w:pStyle w:val="NoSpacing"/>
        <w:rPr>
          <w:rFonts w:cstheme="minorHAnsi"/>
          <w:color w:val="1A1A1A"/>
          <w:sz w:val="16"/>
          <w:szCs w:val="16"/>
        </w:rPr>
      </w:pPr>
      <w:r w:rsidRPr="00260B05">
        <w:rPr>
          <w:rStyle w:val="FootnoteReference"/>
          <w:rFonts w:cstheme="minorHAnsi"/>
          <w:sz w:val="16"/>
          <w:szCs w:val="16"/>
        </w:rPr>
        <w:footnoteRef/>
      </w:r>
      <w:r w:rsidRPr="00260B05">
        <w:rPr>
          <w:rFonts w:cstheme="minorHAnsi"/>
          <w:sz w:val="16"/>
          <w:szCs w:val="16"/>
        </w:rPr>
        <w:t xml:space="preserve"> </w:t>
      </w:r>
      <w:r w:rsidRPr="00260B05">
        <w:rPr>
          <w:rFonts w:cstheme="minorHAnsi"/>
          <w:color w:val="1A1A1A"/>
          <w:sz w:val="16"/>
          <w:szCs w:val="16"/>
        </w:rPr>
        <w:t>O’Connor, Timothy and Christopher Franklin, "Free Will</w:t>
      </w:r>
      <w:r w:rsidRPr="00260B05">
        <w:rPr>
          <w:rFonts w:cstheme="minorHAnsi"/>
          <w:i/>
          <w:iCs/>
          <w:color w:val="1A1A1A"/>
          <w:sz w:val="16"/>
          <w:szCs w:val="16"/>
        </w:rPr>
        <w:t>",</w:t>
      </w:r>
      <w:r w:rsidRPr="00260B05">
        <w:rPr>
          <w:rStyle w:val="apple-converted-space"/>
          <w:rFonts w:cstheme="minorHAnsi"/>
          <w:i/>
          <w:iCs/>
          <w:color w:val="1A1A1A"/>
          <w:sz w:val="16"/>
          <w:szCs w:val="16"/>
        </w:rPr>
        <w:t> </w:t>
      </w:r>
      <w:r w:rsidRPr="00260B05">
        <w:rPr>
          <w:rStyle w:val="Emphasis"/>
          <w:rFonts w:cstheme="minorHAnsi"/>
          <w:i w:val="0"/>
          <w:iCs w:val="0"/>
          <w:color w:val="1A1A1A"/>
          <w:sz w:val="16"/>
          <w:szCs w:val="16"/>
        </w:rPr>
        <w:t xml:space="preserve">The Stanford </w:t>
      </w:r>
      <w:proofErr w:type="spellStart"/>
      <w:r w:rsidRPr="00260B05">
        <w:rPr>
          <w:rStyle w:val="Emphasis"/>
          <w:rFonts w:cstheme="minorHAnsi"/>
          <w:i w:val="0"/>
          <w:iCs w:val="0"/>
          <w:color w:val="1A1A1A"/>
          <w:sz w:val="16"/>
          <w:szCs w:val="16"/>
        </w:rPr>
        <w:t>Encyclopedia</w:t>
      </w:r>
      <w:proofErr w:type="spellEnd"/>
      <w:r w:rsidRPr="00260B05">
        <w:rPr>
          <w:rStyle w:val="Emphasis"/>
          <w:rFonts w:cstheme="minorHAnsi"/>
          <w:i w:val="0"/>
          <w:iCs w:val="0"/>
          <w:color w:val="1A1A1A"/>
          <w:sz w:val="16"/>
          <w:szCs w:val="16"/>
        </w:rPr>
        <w:t xml:space="preserve"> of Philosophy</w:t>
      </w:r>
      <w:r w:rsidRPr="00260B05">
        <w:rPr>
          <w:rStyle w:val="apple-converted-space"/>
          <w:rFonts w:cstheme="minorHAnsi"/>
          <w:i/>
          <w:iCs/>
          <w:color w:val="1A1A1A"/>
          <w:sz w:val="16"/>
          <w:szCs w:val="16"/>
        </w:rPr>
        <w:t> </w:t>
      </w:r>
      <w:r w:rsidRPr="00260B05">
        <w:rPr>
          <w:rFonts w:cstheme="minorHAnsi"/>
          <w:color w:val="1A1A1A"/>
          <w:sz w:val="16"/>
          <w:szCs w:val="16"/>
        </w:rPr>
        <w:t xml:space="preserve">(Winter 2022 Edition), Edward N. </w:t>
      </w:r>
      <w:proofErr w:type="spellStart"/>
      <w:r w:rsidRPr="00260B05">
        <w:rPr>
          <w:rFonts w:cstheme="minorHAnsi"/>
          <w:color w:val="1A1A1A"/>
          <w:sz w:val="16"/>
          <w:szCs w:val="16"/>
        </w:rPr>
        <w:t>Zalta</w:t>
      </w:r>
      <w:proofErr w:type="spellEnd"/>
      <w:r w:rsidRPr="00260B05">
        <w:rPr>
          <w:rFonts w:cstheme="minorHAnsi"/>
          <w:color w:val="1A1A1A"/>
          <w:sz w:val="16"/>
          <w:szCs w:val="16"/>
        </w:rPr>
        <w:t xml:space="preserve"> &amp; Uri </w:t>
      </w:r>
      <w:proofErr w:type="spellStart"/>
      <w:r w:rsidRPr="00260B05">
        <w:rPr>
          <w:rFonts w:cstheme="minorHAnsi"/>
          <w:color w:val="1A1A1A"/>
          <w:sz w:val="16"/>
          <w:szCs w:val="16"/>
        </w:rPr>
        <w:t>Nodelman</w:t>
      </w:r>
      <w:proofErr w:type="spellEnd"/>
      <w:r w:rsidRPr="00260B05">
        <w:rPr>
          <w:rFonts w:cstheme="minorHAnsi"/>
          <w:color w:val="1A1A1A"/>
          <w:sz w:val="16"/>
          <w:szCs w:val="16"/>
        </w:rPr>
        <w:t xml:space="preserve"> (eds.), URL = </w:t>
      </w:r>
      <w:hyperlink r:id="rId8" w:history="1">
        <w:r w:rsidRPr="00260B05">
          <w:rPr>
            <w:rStyle w:val="Hyperlink"/>
            <w:rFonts w:cstheme="minorHAnsi"/>
            <w:sz w:val="16"/>
            <w:szCs w:val="16"/>
          </w:rPr>
          <w:t>https://plato.stanford.edu/archives/win2022/entries/freewill</w:t>
        </w:r>
      </w:hyperlink>
      <w:r w:rsidRPr="00260B05">
        <w:rPr>
          <w:rFonts w:cstheme="minorHAnsi"/>
          <w:sz w:val="16"/>
          <w:szCs w:val="16"/>
        </w:rPr>
        <w:t>.</w:t>
      </w:r>
    </w:p>
  </w:footnote>
  <w:footnote w:id="14">
    <w:p w14:paraId="778E639E" w14:textId="77777777" w:rsidR="008572CC" w:rsidRPr="00260B05" w:rsidRDefault="008572CC" w:rsidP="008572CC">
      <w:pPr>
        <w:pStyle w:val="NoSpacing"/>
        <w:rPr>
          <w:rFonts w:cstheme="minorHAnsi"/>
          <w:sz w:val="16"/>
          <w:szCs w:val="16"/>
        </w:rPr>
      </w:pPr>
      <w:r w:rsidRPr="00260B05">
        <w:rPr>
          <w:rStyle w:val="FootnoteReference"/>
          <w:rFonts w:cstheme="minorHAnsi"/>
          <w:sz w:val="16"/>
          <w:szCs w:val="16"/>
        </w:rPr>
        <w:footnoteRef/>
      </w:r>
      <w:r w:rsidRPr="00260B05">
        <w:rPr>
          <w:rFonts w:cstheme="minorHAnsi"/>
          <w:sz w:val="16"/>
          <w:szCs w:val="16"/>
        </w:rPr>
        <w:t xml:space="preserve"> O’Connor, Timothy and Christopher Franklin, "Free Will",</w:t>
      </w:r>
      <w:r w:rsidRPr="00260B05">
        <w:rPr>
          <w:rStyle w:val="apple-converted-space"/>
          <w:rFonts w:cstheme="minorHAnsi"/>
          <w:color w:val="1A1A1A"/>
          <w:sz w:val="16"/>
          <w:szCs w:val="16"/>
        </w:rPr>
        <w:t> </w:t>
      </w:r>
      <w:r w:rsidRPr="00260B05">
        <w:rPr>
          <w:rStyle w:val="Emphasis"/>
          <w:rFonts w:cstheme="minorHAnsi"/>
          <w:i w:val="0"/>
          <w:iCs w:val="0"/>
          <w:color w:val="1A1A1A"/>
          <w:sz w:val="16"/>
          <w:szCs w:val="16"/>
        </w:rPr>
        <w:t xml:space="preserve">The Stanford </w:t>
      </w:r>
      <w:proofErr w:type="spellStart"/>
      <w:r w:rsidRPr="00260B05">
        <w:rPr>
          <w:rStyle w:val="Emphasis"/>
          <w:rFonts w:cstheme="minorHAnsi"/>
          <w:i w:val="0"/>
          <w:iCs w:val="0"/>
          <w:color w:val="1A1A1A"/>
          <w:sz w:val="16"/>
          <w:szCs w:val="16"/>
        </w:rPr>
        <w:t>Encyclopedia</w:t>
      </w:r>
      <w:proofErr w:type="spellEnd"/>
      <w:r w:rsidRPr="00260B05">
        <w:rPr>
          <w:rStyle w:val="Emphasis"/>
          <w:rFonts w:cstheme="minorHAnsi"/>
          <w:i w:val="0"/>
          <w:iCs w:val="0"/>
          <w:color w:val="1A1A1A"/>
          <w:sz w:val="16"/>
          <w:szCs w:val="16"/>
        </w:rPr>
        <w:t xml:space="preserve"> of Philosophy</w:t>
      </w:r>
      <w:r w:rsidRPr="00260B05">
        <w:rPr>
          <w:rStyle w:val="apple-converted-space"/>
          <w:rFonts w:cstheme="minorHAnsi"/>
          <w:color w:val="1A1A1A"/>
          <w:sz w:val="16"/>
          <w:szCs w:val="16"/>
        </w:rPr>
        <w:t> </w:t>
      </w:r>
      <w:r w:rsidRPr="00260B05">
        <w:rPr>
          <w:rFonts w:cstheme="minorHAnsi"/>
          <w:sz w:val="16"/>
          <w:szCs w:val="16"/>
        </w:rPr>
        <w:t xml:space="preserve">(Winter 2022 Edition), Edward N. </w:t>
      </w:r>
      <w:proofErr w:type="spellStart"/>
      <w:r w:rsidRPr="00260B05">
        <w:rPr>
          <w:rFonts w:cstheme="minorHAnsi"/>
          <w:sz w:val="16"/>
          <w:szCs w:val="16"/>
        </w:rPr>
        <w:t>Zalta</w:t>
      </w:r>
      <w:proofErr w:type="spellEnd"/>
      <w:r w:rsidRPr="00260B05">
        <w:rPr>
          <w:rFonts w:cstheme="minorHAnsi"/>
          <w:sz w:val="16"/>
          <w:szCs w:val="16"/>
        </w:rPr>
        <w:t xml:space="preserve"> &amp; Uri </w:t>
      </w:r>
      <w:proofErr w:type="spellStart"/>
      <w:r w:rsidRPr="00260B05">
        <w:rPr>
          <w:rFonts w:cstheme="minorHAnsi"/>
          <w:sz w:val="16"/>
          <w:szCs w:val="16"/>
        </w:rPr>
        <w:t>Nodelman</w:t>
      </w:r>
      <w:proofErr w:type="spellEnd"/>
      <w:r w:rsidRPr="00260B05">
        <w:rPr>
          <w:rFonts w:cstheme="minorHAnsi"/>
          <w:sz w:val="16"/>
          <w:szCs w:val="16"/>
        </w:rPr>
        <w:t xml:space="preserve"> (eds.), URL = </w:t>
      </w:r>
      <w:hyperlink r:id="rId9" w:history="1">
        <w:r w:rsidRPr="00260B05">
          <w:rPr>
            <w:rStyle w:val="Hyperlink"/>
            <w:rFonts w:cstheme="minorHAnsi"/>
            <w:sz w:val="16"/>
            <w:szCs w:val="16"/>
          </w:rPr>
          <w:t>https://plato.stanford.edu/archives/win2022/entries/freewill/</w:t>
        </w:r>
      </w:hyperlink>
      <w:r w:rsidRPr="00260B05">
        <w:rPr>
          <w:rFonts w:cstheme="minorHAnsi"/>
          <w:sz w:val="16"/>
          <w:szCs w:val="16"/>
        </w:rPr>
        <w:t>.</w:t>
      </w:r>
    </w:p>
  </w:footnote>
  <w:footnote w:id="15">
    <w:p w14:paraId="2C908B47" w14:textId="77777777" w:rsidR="008572CC" w:rsidRPr="00260B05" w:rsidRDefault="008572CC" w:rsidP="008572CC">
      <w:pPr>
        <w:pStyle w:val="NoSpacing"/>
        <w:rPr>
          <w:sz w:val="16"/>
          <w:szCs w:val="16"/>
        </w:rPr>
      </w:pPr>
      <w:r w:rsidRPr="00260B05">
        <w:rPr>
          <w:rStyle w:val="FootnoteReference"/>
          <w:rFonts w:cstheme="minorHAnsi"/>
          <w:b/>
          <w:bCs/>
          <w:sz w:val="16"/>
          <w:szCs w:val="16"/>
        </w:rPr>
        <w:footnoteRef/>
      </w:r>
      <w:r w:rsidRPr="00260B05">
        <w:rPr>
          <w:b/>
          <w:bCs/>
          <w:sz w:val="16"/>
          <w:szCs w:val="16"/>
        </w:rPr>
        <w:t xml:space="preserve"> </w:t>
      </w:r>
      <w:r w:rsidRPr="00260B05">
        <w:rPr>
          <w:rStyle w:val="Strong"/>
          <w:rFonts w:cstheme="minorHAnsi"/>
          <w:b w:val="0"/>
          <w:bCs w:val="0"/>
          <w:color w:val="000000"/>
          <w:sz w:val="16"/>
          <w:szCs w:val="16"/>
        </w:rPr>
        <w:t>A. Stevenson (ed.),</w:t>
      </w:r>
      <w:r w:rsidRPr="00260B05">
        <w:rPr>
          <w:rStyle w:val="apple-converted-space"/>
          <w:rFonts w:cstheme="minorHAnsi"/>
          <w:color w:val="000000"/>
          <w:sz w:val="16"/>
          <w:szCs w:val="16"/>
        </w:rPr>
        <w:t> </w:t>
      </w:r>
      <w:r w:rsidRPr="00260B05">
        <w:rPr>
          <w:rStyle w:val="Emphasis"/>
          <w:rFonts w:cstheme="minorHAnsi"/>
          <w:i w:val="0"/>
          <w:iCs w:val="0"/>
          <w:color w:val="000000"/>
          <w:sz w:val="16"/>
          <w:szCs w:val="16"/>
        </w:rPr>
        <w:t>Oxford Dictionary of English</w:t>
      </w:r>
      <w:r w:rsidRPr="00260B05">
        <w:rPr>
          <w:color w:val="000000"/>
          <w:sz w:val="16"/>
          <w:szCs w:val="16"/>
        </w:rPr>
        <w:t>, Oxford University Press</w:t>
      </w:r>
      <w:r w:rsidRPr="00260B05">
        <w:rPr>
          <w:i/>
          <w:iCs/>
          <w:color w:val="000000"/>
          <w:sz w:val="16"/>
          <w:szCs w:val="16"/>
        </w:rPr>
        <w:t>,</w:t>
      </w:r>
      <w:r w:rsidRPr="00260B05">
        <w:rPr>
          <w:color w:val="000000"/>
          <w:sz w:val="16"/>
          <w:szCs w:val="16"/>
        </w:rPr>
        <w:t xml:space="preserve"> 2010. Retrieved on 30th April 2025, from</w:t>
      </w:r>
      <w:r w:rsidRPr="00260B05">
        <w:rPr>
          <w:rStyle w:val="apple-converted-space"/>
          <w:rFonts w:cstheme="minorHAnsi"/>
          <w:color w:val="000000"/>
          <w:sz w:val="16"/>
          <w:szCs w:val="16"/>
        </w:rPr>
        <w:t> </w:t>
      </w:r>
      <w:hyperlink r:id="rId10" w:tgtFrame="_new" w:history="1">
        <w:r w:rsidRPr="00260B05">
          <w:rPr>
            <w:rStyle w:val="Hyperlink"/>
            <w:rFonts w:cstheme="minorHAnsi"/>
            <w:sz w:val="16"/>
            <w:szCs w:val="16"/>
          </w:rPr>
          <w:t>https://www-oxfordreference-com.ezproxy.uwtsd.ac.uk/view/10.1093/acref/9780199571123.001.0001/m_en_gb0220550</w:t>
        </w:r>
      </w:hyperlink>
    </w:p>
  </w:footnote>
  <w:footnote w:id="16">
    <w:p w14:paraId="403BE568" w14:textId="77777777" w:rsidR="008572CC" w:rsidRPr="00260B05" w:rsidRDefault="008572CC" w:rsidP="008572CC">
      <w:pPr>
        <w:pStyle w:val="NoSpacing"/>
        <w:rPr>
          <w:sz w:val="16"/>
          <w:szCs w:val="16"/>
        </w:rPr>
      </w:pPr>
      <w:r w:rsidRPr="00260B05">
        <w:rPr>
          <w:rStyle w:val="FootnoteReference"/>
          <w:rFonts w:cstheme="minorHAnsi"/>
          <w:sz w:val="16"/>
          <w:szCs w:val="16"/>
        </w:rPr>
        <w:footnoteRef/>
      </w:r>
      <w:r w:rsidRPr="00260B05">
        <w:rPr>
          <w:sz w:val="16"/>
          <w:szCs w:val="16"/>
        </w:rPr>
        <w:t xml:space="preserve"> </w:t>
      </w:r>
      <w:hyperlink r:id="rId11" w:history="1">
        <w:r w:rsidRPr="00260B05">
          <w:rPr>
            <w:rStyle w:val="Hyperlink"/>
            <w:rFonts w:cstheme="minorHAnsi"/>
            <w:sz w:val="16"/>
            <w:szCs w:val="16"/>
          </w:rPr>
          <w:t>https://www.etymonline.com/word/determinism</w:t>
        </w:r>
      </w:hyperlink>
    </w:p>
  </w:footnote>
  <w:footnote w:id="17">
    <w:p w14:paraId="54DC8C9D" w14:textId="77777777" w:rsidR="008572CC" w:rsidRPr="00260B05" w:rsidRDefault="008572CC" w:rsidP="008572CC">
      <w:pPr>
        <w:pStyle w:val="NoSpacing"/>
        <w:rPr>
          <w:rFonts w:eastAsia="Times New Roman"/>
          <w:color w:val="000000"/>
          <w:kern w:val="0"/>
          <w:sz w:val="16"/>
          <w:szCs w:val="16"/>
          <w:lang w:eastAsia="en-GB"/>
          <w14:ligatures w14:val="none"/>
        </w:rPr>
      </w:pPr>
      <w:r w:rsidRPr="00260B05">
        <w:rPr>
          <w:rStyle w:val="FootnoteReference"/>
          <w:rFonts w:cstheme="minorHAnsi"/>
          <w:b/>
          <w:bCs/>
          <w:sz w:val="16"/>
          <w:szCs w:val="16"/>
        </w:rPr>
        <w:footnoteRef/>
      </w:r>
      <w:r w:rsidRPr="00260B05">
        <w:rPr>
          <w:b/>
          <w:bCs/>
          <w:sz w:val="16"/>
          <w:szCs w:val="16"/>
        </w:rPr>
        <w:t xml:space="preserve"> </w:t>
      </w:r>
      <w:r w:rsidRPr="00260B05">
        <w:rPr>
          <w:rStyle w:val="Strong"/>
          <w:rFonts w:cstheme="minorHAnsi"/>
          <w:b w:val="0"/>
          <w:bCs w:val="0"/>
          <w:color w:val="000000"/>
          <w:sz w:val="16"/>
          <w:szCs w:val="16"/>
        </w:rPr>
        <w:t>Etymology Dictionary,</w:t>
      </w:r>
      <w:r w:rsidRPr="00260B05">
        <w:rPr>
          <w:rStyle w:val="apple-converted-space"/>
          <w:rFonts w:cstheme="minorHAnsi"/>
          <w:color w:val="000000"/>
          <w:sz w:val="16"/>
          <w:szCs w:val="16"/>
        </w:rPr>
        <w:t> </w:t>
      </w:r>
      <w:r w:rsidRPr="00260B05">
        <w:rPr>
          <w:color w:val="000000"/>
          <w:sz w:val="16"/>
          <w:szCs w:val="16"/>
        </w:rPr>
        <w:t>“Determinism,” n.d.</w:t>
      </w:r>
      <w:r w:rsidRPr="00260B05">
        <w:rPr>
          <w:rStyle w:val="apple-converted-space"/>
          <w:rFonts w:cstheme="minorHAnsi"/>
          <w:color w:val="000000"/>
          <w:sz w:val="16"/>
          <w:szCs w:val="16"/>
        </w:rPr>
        <w:t> </w:t>
      </w:r>
      <w:hyperlink r:id="rId12" w:tgtFrame="_new" w:history="1">
        <w:r w:rsidRPr="00260B05">
          <w:rPr>
            <w:rStyle w:val="Hyperlink"/>
            <w:rFonts w:cstheme="minorHAnsi"/>
            <w:sz w:val="16"/>
            <w:szCs w:val="16"/>
          </w:rPr>
          <w:t>https://www.etymonline.com/word/determinism</w:t>
        </w:r>
      </w:hyperlink>
      <w:r w:rsidRPr="00260B05">
        <w:rPr>
          <w:rStyle w:val="apple-converted-space"/>
          <w:rFonts w:cstheme="minorHAnsi"/>
          <w:color w:val="000000"/>
          <w:sz w:val="16"/>
          <w:szCs w:val="16"/>
        </w:rPr>
        <w:t> </w:t>
      </w:r>
      <w:r w:rsidRPr="00260B05">
        <w:rPr>
          <w:color w:val="000000"/>
          <w:sz w:val="16"/>
          <w:szCs w:val="16"/>
        </w:rPr>
        <w:t>[Accessed on 30th April 2025].</w:t>
      </w:r>
    </w:p>
  </w:footnote>
  <w:footnote w:id="18">
    <w:p w14:paraId="2C0B47F7" w14:textId="77777777" w:rsidR="008572CC" w:rsidRPr="00260B05" w:rsidRDefault="008572CC" w:rsidP="008572CC">
      <w:pPr>
        <w:pStyle w:val="NoSpacing"/>
        <w:rPr>
          <w:sz w:val="16"/>
          <w:szCs w:val="16"/>
          <w:lang w:eastAsia="en-GB"/>
        </w:rPr>
      </w:pPr>
      <w:r w:rsidRPr="00260B05">
        <w:rPr>
          <w:rStyle w:val="FootnoteReference"/>
          <w:sz w:val="16"/>
          <w:szCs w:val="16"/>
        </w:rPr>
        <w:footnoteRef/>
      </w:r>
      <w:r w:rsidRPr="00260B05">
        <w:rPr>
          <w:sz w:val="16"/>
          <w:szCs w:val="16"/>
        </w:rPr>
        <w:t xml:space="preserve"> </w:t>
      </w:r>
      <w:r w:rsidRPr="00260B05">
        <w:rPr>
          <w:sz w:val="16"/>
          <w:szCs w:val="16"/>
          <w:lang w:eastAsia="en-GB"/>
        </w:rPr>
        <w:t>F. C. Copleston, Existentialism. Philosophy, 1948, </w:t>
      </w:r>
      <w:r w:rsidRPr="00260B05">
        <w:rPr>
          <w:i/>
          <w:iCs/>
          <w:sz w:val="16"/>
          <w:szCs w:val="16"/>
          <w:lang w:eastAsia="en-GB"/>
        </w:rPr>
        <w:t>23</w:t>
      </w:r>
      <w:r w:rsidRPr="00260B05">
        <w:rPr>
          <w:sz w:val="16"/>
          <w:szCs w:val="16"/>
          <w:lang w:eastAsia="en-GB"/>
        </w:rPr>
        <w:t xml:space="preserve">(84), 19–37. </w:t>
      </w:r>
      <w:hyperlink r:id="rId13" w:history="1">
        <w:r w:rsidRPr="00260B05">
          <w:rPr>
            <w:rStyle w:val="Hyperlink"/>
            <w:rFonts w:cstheme="minorHAnsi"/>
            <w:sz w:val="16"/>
            <w:szCs w:val="16"/>
            <w:lang w:eastAsia="en-GB"/>
          </w:rPr>
          <w:t>http://www.jstor.org/stable/3747384</w:t>
        </w:r>
      </w:hyperlink>
      <w:r w:rsidRPr="00260B05">
        <w:rPr>
          <w:sz w:val="16"/>
          <w:szCs w:val="16"/>
        </w:rPr>
        <w:t>.</w:t>
      </w:r>
    </w:p>
  </w:footnote>
  <w:footnote w:id="19">
    <w:p w14:paraId="47D49BE8"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Sam Harris, Free Will, Free Press, 2012, p.46.</w:t>
      </w:r>
    </w:p>
  </w:footnote>
  <w:footnote w:id="20">
    <w:p w14:paraId="426DF091" w14:textId="77777777" w:rsidR="008572CC" w:rsidRPr="00AF5B35" w:rsidRDefault="008572CC" w:rsidP="008572CC">
      <w:pPr>
        <w:pStyle w:val="NoSpacing"/>
        <w:rPr>
          <w:rFonts w:eastAsia="Times New Roman"/>
          <w:kern w:val="0"/>
          <w:sz w:val="16"/>
          <w:szCs w:val="16"/>
          <w:lang w:eastAsia="en-GB"/>
          <w14:ligatures w14:val="none"/>
        </w:rPr>
      </w:pPr>
      <w:r w:rsidRPr="00174DAB">
        <w:rPr>
          <w:rStyle w:val="FootnoteReference"/>
          <w:rFonts w:cstheme="minorHAnsi"/>
          <w:sz w:val="16"/>
          <w:szCs w:val="16"/>
        </w:rPr>
        <w:footnoteRef/>
      </w:r>
      <w:r w:rsidRPr="00174DAB">
        <w:rPr>
          <w:sz w:val="16"/>
          <w:szCs w:val="16"/>
        </w:rPr>
        <w:t xml:space="preserve"> </w:t>
      </w:r>
      <w:r w:rsidRPr="00174DAB">
        <w:rPr>
          <w:rStyle w:val="Strong"/>
          <w:rFonts w:cstheme="minorHAnsi"/>
          <w:b w:val="0"/>
          <w:bCs w:val="0"/>
          <w:color w:val="000000"/>
          <w:sz w:val="16"/>
          <w:szCs w:val="16"/>
        </w:rPr>
        <w:t>M. L. Nathan,</w:t>
      </w:r>
      <w:r w:rsidRPr="00AF5B35">
        <w:rPr>
          <w:rStyle w:val="apple-converted-space"/>
          <w:rFonts w:cstheme="minorHAnsi"/>
          <w:color w:val="000000"/>
          <w:sz w:val="16"/>
          <w:szCs w:val="16"/>
        </w:rPr>
        <w:t> </w:t>
      </w:r>
      <w:r w:rsidRPr="00AF5B35">
        <w:rPr>
          <w:sz w:val="16"/>
          <w:szCs w:val="16"/>
        </w:rPr>
        <w:t xml:space="preserve">Review </w:t>
      </w:r>
      <w:r w:rsidRPr="00174DAB">
        <w:rPr>
          <w:i/>
          <w:iCs/>
          <w:sz w:val="16"/>
          <w:szCs w:val="16"/>
        </w:rPr>
        <w:t>of</w:t>
      </w:r>
      <w:r w:rsidRPr="00174DAB">
        <w:rPr>
          <w:rStyle w:val="apple-converted-space"/>
          <w:rFonts w:cstheme="minorHAnsi"/>
          <w:i/>
          <w:iCs/>
          <w:color w:val="000000"/>
          <w:sz w:val="16"/>
          <w:szCs w:val="16"/>
        </w:rPr>
        <w:t> </w:t>
      </w:r>
      <w:r w:rsidRPr="00174DAB">
        <w:rPr>
          <w:rStyle w:val="Emphasis"/>
          <w:rFonts w:cstheme="minorHAnsi"/>
          <w:i w:val="0"/>
          <w:iCs w:val="0"/>
          <w:color w:val="000000"/>
          <w:sz w:val="16"/>
          <w:szCs w:val="16"/>
        </w:rPr>
        <w:t>The Significance of Free Will</w:t>
      </w:r>
      <w:r w:rsidRPr="00AF5B35">
        <w:rPr>
          <w:i/>
          <w:iCs/>
          <w:sz w:val="16"/>
          <w:szCs w:val="16"/>
        </w:rPr>
        <w:t>,</w:t>
      </w:r>
      <w:r w:rsidRPr="00AF5B35">
        <w:rPr>
          <w:sz w:val="16"/>
          <w:szCs w:val="16"/>
        </w:rPr>
        <w:t xml:space="preserve"> by Robert Kane</w:t>
      </w:r>
      <w:r w:rsidRPr="00174DAB">
        <w:rPr>
          <w:i/>
          <w:iCs/>
          <w:sz w:val="16"/>
          <w:szCs w:val="16"/>
        </w:rPr>
        <w:t>,</w:t>
      </w:r>
      <w:r w:rsidRPr="00174DAB">
        <w:rPr>
          <w:rStyle w:val="apple-converted-space"/>
          <w:rFonts w:cstheme="minorHAnsi"/>
          <w:i/>
          <w:iCs/>
          <w:color w:val="000000"/>
          <w:sz w:val="16"/>
          <w:szCs w:val="16"/>
        </w:rPr>
        <w:t> </w:t>
      </w:r>
      <w:r w:rsidRPr="00174DAB">
        <w:rPr>
          <w:rStyle w:val="Emphasis"/>
          <w:rFonts w:cstheme="minorHAnsi"/>
          <w:i w:val="0"/>
          <w:iCs w:val="0"/>
          <w:color w:val="000000"/>
          <w:sz w:val="16"/>
          <w:szCs w:val="16"/>
        </w:rPr>
        <w:t>Mind</w:t>
      </w:r>
      <w:r w:rsidRPr="00174DAB">
        <w:rPr>
          <w:i/>
          <w:iCs/>
          <w:sz w:val="16"/>
          <w:szCs w:val="16"/>
        </w:rPr>
        <w:t>,</w:t>
      </w:r>
      <w:r w:rsidRPr="00AF5B35">
        <w:rPr>
          <w:sz w:val="16"/>
          <w:szCs w:val="16"/>
        </w:rPr>
        <w:t xml:space="preserve"> 108(429), 1999, pp. 181-182.</w:t>
      </w:r>
      <w:r w:rsidRPr="00AF5B35">
        <w:rPr>
          <w:rStyle w:val="apple-converted-space"/>
          <w:rFonts w:cstheme="minorHAnsi"/>
          <w:color w:val="000000"/>
          <w:sz w:val="16"/>
          <w:szCs w:val="16"/>
        </w:rPr>
        <w:t> </w:t>
      </w:r>
      <w:hyperlink r:id="rId14" w:tgtFrame="_new" w:history="1">
        <w:r w:rsidRPr="00AF5B35">
          <w:rPr>
            <w:rStyle w:val="Hyperlink"/>
            <w:rFonts w:cstheme="minorHAnsi"/>
            <w:sz w:val="16"/>
            <w:szCs w:val="16"/>
          </w:rPr>
          <w:t>http://www.jstor.org/stable/2659913</w:t>
        </w:r>
      </w:hyperlink>
      <w:r>
        <w:rPr>
          <w:sz w:val="16"/>
          <w:szCs w:val="16"/>
        </w:rPr>
        <w:t>.</w:t>
      </w:r>
    </w:p>
  </w:footnote>
  <w:footnote w:id="21">
    <w:p w14:paraId="0EB2C9FD"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w:t>
      </w:r>
      <w:r w:rsidRPr="00174DAB">
        <w:rPr>
          <w:rStyle w:val="Strong"/>
          <w:rFonts w:cstheme="minorHAnsi"/>
          <w:b w:val="0"/>
          <w:bCs w:val="0"/>
          <w:color w:val="000000"/>
          <w:sz w:val="16"/>
          <w:szCs w:val="16"/>
        </w:rPr>
        <w:t xml:space="preserve">T. F. </w:t>
      </w:r>
      <w:proofErr w:type="spellStart"/>
      <w:r w:rsidRPr="00174DAB">
        <w:rPr>
          <w:rStyle w:val="Strong"/>
          <w:rFonts w:cstheme="minorHAnsi"/>
          <w:b w:val="0"/>
          <w:bCs w:val="0"/>
          <w:color w:val="000000"/>
          <w:sz w:val="16"/>
          <w:szCs w:val="16"/>
        </w:rPr>
        <w:t>Hoad</w:t>
      </w:r>
      <w:proofErr w:type="spellEnd"/>
      <w:r w:rsidRPr="00174DAB">
        <w:rPr>
          <w:rStyle w:val="Strong"/>
          <w:rFonts w:cstheme="minorHAnsi"/>
          <w:b w:val="0"/>
          <w:bCs w:val="0"/>
          <w:color w:val="000000"/>
          <w:sz w:val="16"/>
          <w:szCs w:val="16"/>
        </w:rPr>
        <w:t xml:space="preserve"> (ed.),</w:t>
      </w:r>
      <w:r w:rsidRPr="00AF5B35">
        <w:rPr>
          <w:rStyle w:val="apple-converted-space"/>
          <w:rFonts w:cstheme="minorHAnsi"/>
          <w:color w:val="000000"/>
          <w:sz w:val="16"/>
          <w:szCs w:val="16"/>
        </w:rPr>
        <w:t xml:space="preserve"> </w:t>
      </w:r>
      <w:r w:rsidRPr="00174DAB">
        <w:rPr>
          <w:rStyle w:val="Emphasis"/>
          <w:rFonts w:cstheme="minorHAnsi"/>
          <w:i w:val="0"/>
          <w:iCs w:val="0"/>
          <w:color w:val="000000"/>
          <w:sz w:val="16"/>
          <w:szCs w:val="16"/>
        </w:rPr>
        <w:t>The Concise Oxford Dictionary of English Etymology</w:t>
      </w:r>
      <w:r w:rsidRPr="00AF5B35">
        <w:rPr>
          <w:i/>
          <w:iCs/>
          <w:sz w:val="16"/>
          <w:szCs w:val="16"/>
        </w:rPr>
        <w:t>,</w:t>
      </w:r>
      <w:r w:rsidRPr="00AF5B35">
        <w:rPr>
          <w:sz w:val="16"/>
          <w:szCs w:val="16"/>
        </w:rPr>
        <w:t xml:space="preserve"> Oxford University Press, 1996. Retrieved on 30th April 2025, from</w:t>
      </w:r>
      <w:r w:rsidRPr="00AF5B35">
        <w:rPr>
          <w:rStyle w:val="apple-converted-space"/>
          <w:rFonts w:cstheme="minorHAnsi"/>
          <w:color w:val="000000"/>
          <w:sz w:val="16"/>
          <w:szCs w:val="16"/>
        </w:rPr>
        <w:t> </w:t>
      </w:r>
      <w:hyperlink r:id="rId15" w:tgtFrame="_new" w:history="1">
        <w:r w:rsidRPr="00AF5B35">
          <w:rPr>
            <w:rStyle w:val="Hyperlink"/>
            <w:rFonts w:cstheme="minorHAnsi"/>
            <w:sz w:val="16"/>
            <w:szCs w:val="16"/>
          </w:rPr>
          <w:t>https://www-oxfordreference-com.ezproxy.uwtsd.ac.uk/view/10.1093/acref/9780192830982.001.0001/acref-9780192830982-e-3126</w:t>
        </w:r>
      </w:hyperlink>
      <w:r>
        <w:rPr>
          <w:sz w:val="16"/>
          <w:szCs w:val="16"/>
        </w:rPr>
        <w:t>.</w:t>
      </w:r>
    </w:p>
  </w:footnote>
  <w:footnote w:id="22">
    <w:p w14:paraId="7BFBA42E"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w:t>
      </w:r>
      <w:r w:rsidRPr="00174DAB">
        <w:rPr>
          <w:rStyle w:val="Strong"/>
          <w:rFonts w:cstheme="minorHAnsi"/>
          <w:b w:val="0"/>
          <w:bCs w:val="0"/>
          <w:color w:val="000000"/>
          <w:sz w:val="16"/>
          <w:szCs w:val="16"/>
        </w:rPr>
        <w:t>Immanuel Kant,</w:t>
      </w:r>
      <w:r w:rsidRPr="00AF5B35">
        <w:rPr>
          <w:rStyle w:val="apple-converted-space"/>
          <w:rFonts w:cstheme="minorHAnsi"/>
          <w:color w:val="000000"/>
          <w:sz w:val="16"/>
          <w:szCs w:val="16"/>
        </w:rPr>
        <w:t> </w:t>
      </w:r>
      <w:r w:rsidRPr="00174DAB">
        <w:rPr>
          <w:rStyle w:val="Emphasis"/>
          <w:rFonts w:cstheme="minorHAnsi"/>
          <w:i w:val="0"/>
          <w:iCs w:val="0"/>
          <w:color w:val="000000"/>
          <w:sz w:val="16"/>
          <w:szCs w:val="16"/>
        </w:rPr>
        <w:t>Groundwork of the Metaphysics of Morals</w:t>
      </w:r>
      <w:r w:rsidRPr="00AF5B35">
        <w:rPr>
          <w:sz w:val="16"/>
          <w:szCs w:val="16"/>
        </w:rPr>
        <w:t>, translated and edited by Mary J. Gregor, Cambridge University Press, 1996 (original work published 1785)</w:t>
      </w:r>
      <w:r>
        <w:rPr>
          <w:sz w:val="16"/>
          <w:szCs w:val="16"/>
        </w:rPr>
        <w:t>.</w:t>
      </w:r>
    </w:p>
  </w:footnote>
  <w:footnote w:id="23">
    <w:p w14:paraId="7FD67E87"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w:t>
      </w:r>
      <w:r w:rsidRPr="00174DAB">
        <w:rPr>
          <w:rStyle w:val="Strong"/>
          <w:rFonts w:cstheme="minorHAnsi"/>
          <w:b w:val="0"/>
          <w:bCs w:val="0"/>
          <w:color w:val="000000"/>
          <w:sz w:val="16"/>
          <w:szCs w:val="16"/>
        </w:rPr>
        <w:t xml:space="preserve">Barry </w:t>
      </w:r>
      <w:proofErr w:type="spellStart"/>
      <w:r w:rsidRPr="00174DAB">
        <w:rPr>
          <w:rStyle w:val="Strong"/>
          <w:rFonts w:cstheme="minorHAnsi"/>
          <w:b w:val="0"/>
          <w:bCs w:val="0"/>
          <w:color w:val="000000"/>
          <w:sz w:val="16"/>
          <w:szCs w:val="16"/>
        </w:rPr>
        <w:t>Libet</w:t>
      </w:r>
      <w:proofErr w:type="spellEnd"/>
      <w:r w:rsidRPr="00174DAB">
        <w:rPr>
          <w:rStyle w:val="Strong"/>
          <w:rFonts w:cstheme="minorHAnsi"/>
          <w:b w:val="0"/>
          <w:bCs w:val="0"/>
          <w:color w:val="000000"/>
          <w:sz w:val="16"/>
          <w:szCs w:val="16"/>
        </w:rPr>
        <w:t>,</w:t>
      </w:r>
      <w:r w:rsidRPr="00AF5B35">
        <w:rPr>
          <w:rStyle w:val="apple-converted-space"/>
          <w:rFonts w:cstheme="minorHAnsi"/>
          <w:color w:val="000000"/>
          <w:sz w:val="16"/>
          <w:szCs w:val="16"/>
        </w:rPr>
        <w:t> </w:t>
      </w:r>
      <w:r w:rsidRPr="00AF5B35">
        <w:rPr>
          <w:sz w:val="16"/>
          <w:szCs w:val="16"/>
        </w:rPr>
        <w:t>Unconscious cerebral initiative and the role of conscious will in voluntary action</w:t>
      </w:r>
      <w:r w:rsidRPr="00174DAB">
        <w:rPr>
          <w:i/>
          <w:iCs/>
          <w:sz w:val="16"/>
          <w:szCs w:val="16"/>
        </w:rPr>
        <w:t>,</w:t>
      </w:r>
      <w:r w:rsidRPr="00174DAB">
        <w:rPr>
          <w:rStyle w:val="apple-converted-space"/>
          <w:rFonts w:cstheme="minorHAnsi"/>
          <w:i/>
          <w:iCs/>
          <w:color w:val="000000"/>
          <w:sz w:val="16"/>
          <w:szCs w:val="16"/>
        </w:rPr>
        <w:t> </w:t>
      </w:r>
      <w:proofErr w:type="spellStart"/>
      <w:r w:rsidRPr="00174DAB">
        <w:rPr>
          <w:rStyle w:val="Emphasis"/>
          <w:rFonts w:cstheme="minorHAnsi"/>
          <w:i w:val="0"/>
          <w:iCs w:val="0"/>
          <w:color w:val="000000"/>
          <w:sz w:val="16"/>
          <w:szCs w:val="16"/>
        </w:rPr>
        <w:t>Behavioral</w:t>
      </w:r>
      <w:proofErr w:type="spellEnd"/>
      <w:r w:rsidRPr="00174DAB">
        <w:rPr>
          <w:rStyle w:val="Emphasis"/>
          <w:rFonts w:cstheme="minorHAnsi"/>
          <w:i w:val="0"/>
          <w:iCs w:val="0"/>
          <w:color w:val="000000"/>
          <w:sz w:val="16"/>
          <w:szCs w:val="16"/>
        </w:rPr>
        <w:t xml:space="preserve"> and Brain Sciences</w:t>
      </w:r>
      <w:r w:rsidRPr="00AF5B35">
        <w:rPr>
          <w:sz w:val="16"/>
          <w:szCs w:val="16"/>
        </w:rPr>
        <w:t>, 8(4), 1985, pp. 529–566.</w:t>
      </w:r>
      <w:r w:rsidRPr="00AF5B35">
        <w:rPr>
          <w:rStyle w:val="apple-converted-space"/>
          <w:rFonts w:cstheme="minorHAnsi"/>
          <w:color w:val="000000"/>
          <w:sz w:val="16"/>
          <w:szCs w:val="16"/>
        </w:rPr>
        <w:t> </w:t>
      </w:r>
      <w:hyperlink r:id="rId16" w:tgtFrame="_new" w:history="1">
        <w:r w:rsidRPr="00AF5B35">
          <w:rPr>
            <w:rStyle w:val="Hyperlink"/>
            <w:rFonts w:cstheme="minorHAnsi"/>
            <w:sz w:val="16"/>
            <w:szCs w:val="16"/>
          </w:rPr>
          <w:t>https://doi.org/10.1017/S0140525X00044903</w:t>
        </w:r>
      </w:hyperlink>
      <w:r>
        <w:rPr>
          <w:sz w:val="16"/>
          <w:szCs w:val="16"/>
        </w:rPr>
        <w:t>.</w:t>
      </w:r>
      <w:r w:rsidRPr="00AF5B35">
        <w:rPr>
          <w:sz w:val="16"/>
          <w:szCs w:val="16"/>
        </w:rPr>
        <w:t xml:space="preserve"> </w:t>
      </w:r>
    </w:p>
  </w:footnote>
  <w:footnote w:id="24">
    <w:p w14:paraId="62C110FA"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w:t>
      </w:r>
      <w:r w:rsidRPr="00174DAB">
        <w:rPr>
          <w:rStyle w:val="Strong"/>
          <w:rFonts w:cstheme="minorHAnsi"/>
          <w:b w:val="0"/>
          <w:bCs w:val="0"/>
          <w:color w:val="000000"/>
          <w:sz w:val="16"/>
          <w:szCs w:val="16"/>
        </w:rPr>
        <w:t>Daniel C. Dennett,</w:t>
      </w:r>
      <w:r w:rsidRPr="00AF5B35">
        <w:rPr>
          <w:rStyle w:val="apple-converted-space"/>
          <w:rFonts w:cstheme="minorHAnsi"/>
          <w:color w:val="000000"/>
          <w:sz w:val="16"/>
          <w:szCs w:val="16"/>
        </w:rPr>
        <w:t> </w:t>
      </w:r>
      <w:r w:rsidRPr="00174DAB">
        <w:rPr>
          <w:rStyle w:val="Emphasis"/>
          <w:rFonts w:cstheme="minorHAnsi"/>
          <w:i w:val="0"/>
          <w:iCs w:val="0"/>
          <w:color w:val="000000"/>
          <w:sz w:val="16"/>
          <w:szCs w:val="16"/>
        </w:rPr>
        <w:t>Freedom Evolves</w:t>
      </w:r>
      <w:r w:rsidRPr="00AF5B35">
        <w:rPr>
          <w:sz w:val="16"/>
          <w:szCs w:val="16"/>
        </w:rPr>
        <w:t>, Viking Penguin, 2003.</w:t>
      </w:r>
    </w:p>
  </w:footnote>
  <w:footnote w:id="25">
    <w:p w14:paraId="23B5447A" w14:textId="77777777" w:rsidR="008572CC" w:rsidRPr="00AF5B35" w:rsidRDefault="008572CC" w:rsidP="008572CC">
      <w:pPr>
        <w:pStyle w:val="NoSpacing"/>
        <w:rPr>
          <w:sz w:val="16"/>
          <w:szCs w:val="16"/>
        </w:rPr>
      </w:pPr>
      <w:r w:rsidRPr="00AF5B35">
        <w:rPr>
          <w:rStyle w:val="FootnoteReference"/>
          <w:rFonts w:cstheme="minorHAnsi"/>
          <w:sz w:val="16"/>
          <w:szCs w:val="16"/>
        </w:rPr>
        <w:footnoteRef/>
      </w:r>
      <w:r w:rsidRPr="00AF5B35">
        <w:rPr>
          <w:sz w:val="16"/>
          <w:szCs w:val="16"/>
        </w:rPr>
        <w:t xml:space="preserve"> Nicholas Campion, Astrology and Popular Religion</w:t>
      </w:r>
      <w:r>
        <w:rPr>
          <w:sz w:val="16"/>
          <w:szCs w:val="16"/>
        </w:rPr>
        <w:t xml:space="preserve"> in The Modern West, Routledge, 2016,</w:t>
      </w:r>
      <w:r w:rsidRPr="00AF5B35">
        <w:rPr>
          <w:sz w:val="16"/>
          <w:szCs w:val="16"/>
        </w:rPr>
        <w:t xml:space="preserve"> p.20.</w:t>
      </w:r>
    </w:p>
  </w:footnote>
  <w:footnote w:id="26">
    <w:p w14:paraId="7C10C73F"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Nicholas Campion, </w:t>
      </w:r>
      <w:r>
        <w:rPr>
          <w:sz w:val="16"/>
          <w:szCs w:val="16"/>
        </w:rPr>
        <w:t>Astrology and Popular Religion</w:t>
      </w:r>
      <w:r w:rsidRPr="00194F51">
        <w:rPr>
          <w:sz w:val="16"/>
          <w:szCs w:val="16"/>
        </w:rPr>
        <w:t xml:space="preserve">, </w:t>
      </w:r>
      <w:r>
        <w:rPr>
          <w:sz w:val="16"/>
          <w:szCs w:val="16"/>
        </w:rPr>
        <w:t>p.93.</w:t>
      </w:r>
      <w:r w:rsidRPr="00194F51">
        <w:rPr>
          <w:sz w:val="16"/>
          <w:szCs w:val="16"/>
        </w:rPr>
        <w:t xml:space="preserve"> </w:t>
      </w:r>
    </w:p>
  </w:footnote>
  <w:footnote w:id="27">
    <w:p w14:paraId="2AB8AE4E"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Geoffrey Cornelius, The Moment of Astrology, Origins </w:t>
      </w:r>
      <w:proofErr w:type="gramStart"/>
      <w:r w:rsidRPr="00194F51">
        <w:rPr>
          <w:sz w:val="16"/>
          <w:szCs w:val="16"/>
        </w:rPr>
        <w:t>In</w:t>
      </w:r>
      <w:proofErr w:type="gramEnd"/>
      <w:r w:rsidRPr="00194F51">
        <w:rPr>
          <w:sz w:val="16"/>
          <w:szCs w:val="16"/>
        </w:rPr>
        <w:t xml:space="preserve"> Divination, The Wessex Astrologer, 2003, pp.167-168.</w:t>
      </w:r>
    </w:p>
  </w:footnote>
  <w:footnote w:id="28">
    <w:p w14:paraId="0A03A7E7"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w:t>
      </w:r>
      <w:r w:rsidRPr="00194F51">
        <w:rPr>
          <w:color w:val="000000"/>
          <w:sz w:val="16"/>
          <w:szCs w:val="16"/>
        </w:rPr>
        <w:t>Bernadette Brady</w:t>
      </w:r>
      <w:r w:rsidRPr="00194F51">
        <w:rPr>
          <w:sz w:val="16"/>
          <w:szCs w:val="16"/>
        </w:rPr>
        <w:t>, Astrology A Place in Chaos, The Wessex Astrologer, 2006, p.69.</w:t>
      </w:r>
    </w:p>
  </w:footnote>
  <w:footnote w:id="29">
    <w:p w14:paraId="494CF9EC" w14:textId="77777777" w:rsidR="008572CC" w:rsidRPr="00194F51" w:rsidRDefault="008572CC" w:rsidP="008572CC">
      <w:pPr>
        <w:pStyle w:val="NoSpacing"/>
        <w:rPr>
          <w:color w:val="000000"/>
          <w:sz w:val="16"/>
          <w:szCs w:val="16"/>
        </w:rPr>
      </w:pPr>
      <w:r w:rsidRPr="00194F51">
        <w:rPr>
          <w:rStyle w:val="FootnoteReference"/>
          <w:rFonts w:cstheme="minorHAnsi"/>
          <w:sz w:val="16"/>
          <w:szCs w:val="16"/>
        </w:rPr>
        <w:footnoteRef/>
      </w:r>
      <w:r w:rsidRPr="00194F51">
        <w:rPr>
          <w:sz w:val="16"/>
          <w:szCs w:val="16"/>
        </w:rPr>
        <w:t xml:space="preserve"> </w:t>
      </w:r>
      <w:r w:rsidRPr="00194F51">
        <w:rPr>
          <w:color w:val="000000"/>
          <w:sz w:val="16"/>
          <w:szCs w:val="16"/>
        </w:rPr>
        <w:t>Bernadette Brady, Theories of Fate among Present-day Astrologers, Conducted under the auspices of the University of Wales Trinity Saint David, 2011</w:t>
      </w:r>
      <w:r w:rsidRPr="00194F51">
        <w:rPr>
          <w:sz w:val="16"/>
          <w:szCs w:val="16"/>
        </w:rPr>
        <w:t xml:space="preserve">. </w:t>
      </w:r>
    </w:p>
  </w:footnote>
  <w:footnote w:id="30">
    <w:p w14:paraId="291CA4A2"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Bernadette Brady, Astrology: A Place in Chaos, The Wessex Astrologer, 2006, p. 69.</w:t>
      </w:r>
    </w:p>
  </w:footnote>
  <w:footnote w:id="31">
    <w:p w14:paraId="4AE4A2C8"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Robert Hand, Planets IN Transit, Life Cycles for Living, Expanded 2</w:t>
      </w:r>
      <w:r w:rsidRPr="00194F51">
        <w:rPr>
          <w:sz w:val="16"/>
          <w:szCs w:val="16"/>
          <w:vertAlign w:val="superscript"/>
        </w:rPr>
        <w:t>nd</w:t>
      </w:r>
      <w:r w:rsidRPr="00194F51">
        <w:rPr>
          <w:sz w:val="16"/>
          <w:szCs w:val="16"/>
        </w:rPr>
        <w:t xml:space="preserve"> Edition, Schiffer Publishing, 2002, p.5.</w:t>
      </w:r>
    </w:p>
  </w:footnote>
  <w:footnote w:id="32">
    <w:p w14:paraId="4045BAE2"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Geoffrey Cornelius, The Moment of Astrology, Origins </w:t>
      </w:r>
      <w:proofErr w:type="gramStart"/>
      <w:r w:rsidRPr="00194F51">
        <w:rPr>
          <w:sz w:val="16"/>
          <w:szCs w:val="16"/>
        </w:rPr>
        <w:t>In</w:t>
      </w:r>
      <w:proofErr w:type="gramEnd"/>
      <w:r w:rsidRPr="00194F51">
        <w:rPr>
          <w:sz w:val="16"/>
          <w:szCs w:val="16"/>
        </w:rPr>
        <w:t xml:space="preserve"> Divination, The Wessex Astrologer, 2003, Foreword, p. xvii.</w:t>
      </w:r>
    </w:p>
  </w:footnote>
  <w:footnote w:id="33">
    <w:p w14:paraId="4E1F3CFA"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Geoffrey Cornelius, The Moment of Astrology, Introduction, p. xxiii.</w:t>
      </w:r>
    </w:p>
  </w:footnote>
  <w:footnote w:id="34">
    <w:p w14:paraId="1F732A99" w14:textId="77777777" w:rsidR="008572CC" w:rsidRPr="00194F51" w:rsidRDefault="008572CC" w:rsidP="008572CC">
      <w:pPr>
        <w:pStyle w:val="NoSpacing"/>
        <w:rPr>
          <w:sz w:val="16"/>
          <w:szCs w:val="16"/>
        </w:rPr>
      </w:pPr>
      <w:r w:rsidRPr="00194F51">
        <w:rPr>
          <w:rStyle w:val="FootnoteReference"/>
          <w:rFonts w:cstheme="minorHAnsi"/>
          <w:sz w:val="16"/>
          <w:szCs w:val="16"/>
        </w:rPr>
        <w:footnoteRef/>
      </w:r>
      <w:r w:rsidRPr="00194F51">
        <w:rPr>
          <w:sz w:val="16"/>
          <w:szCs w:val="16"/>
        </w:rPr>
        <w:t xml:space="preserve"> Dane </w:t>
      </w:r>
      <w:proofErr w:type="spellStart"/>
      <w:r w:rsidRPr="00194F51">
        <w:rPr>
          <w:sz w:val="16"/>
          <w:szCs w:val="16"/>
        </w:rPr>
        <w:t>Rudhyar</w:t>
      </w:r>
      <w:proofErr w:type="spellEnd"/>
      <w:r w:rsidRPr="00194F51">
        <w:rPr>
          <w:sz w:val="16"/>
          <w:szCs w:val="16"/>
        </w:rPr>
        <w:t xml:space="preserve">, The </w:t>
      </w:r>
      <w:proofErr w:type="spellStart"/>
      <w:r w:rsidRPr="00194F51">
        <w:rPr>
          <w:sz w:val="16"/>
          <w:szCs w:val="16"/>
        </w:rPr>
        <w:t>Planetarization</w:t>
      </w:r>
      <w:proofErr w:type="spellEnd"/>
      <w:r w:rsidRPr="00194F51">
        <w:rPr>
          <w:sz w:val="16"/>
          <w:szCs w:val="16"/>
        </w:rPr>
        <w:t xml:space="preserve"> </w:t>
      </w:r>
      <w:proofErr w:type="gramStart"/>
      <w:r w:rsidRPr="00194F51">
        <w:rPr>
          <w:sz w:val="16"/>
          <w:szCs w:val="16"/>
        </w:rPr>
        <w:t>Of</w:t>
      </w:r>
      <w:proofErr w:type="gramEnd"/>
      <w:r w:rsidRPr="00194F51">
        <w:rPr>
          <w:sz w:val="16"/>
          <w:szCs w:val="16"/>
        </w:rPr>
        <w:t xml:space="preserve"> Consciousness, Aurora Press, SE, 1977, p.15.</w:t>
      </w:r>
    </w:p>
  </w:footnote>
  <w:footnote w:id="35">
    <w:p w14:paraId="2035F904"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w:t>
      </w:r>
      <w:r>
        <w:rPr>
          <w:sz w:val="16"/>
          <w:szCs w:val="16"/>
        </w:rPr>
        <w:t xml:space="preserve">Dane </w:t>
      </w:r>
      <w:proofErr w:type="spellStart"/>
      <w:r w:rsidRPr="00194F51">
        <w:rPr>
          <w:sz w:val="16"/>
          <w:szCs w:val="16"/>
        </w:rPr>
        <w:t>Rudhyar</w:t>
      </w:r>
      <w:proofErr w:type="spellEnd"/>
      <w:r w:rsidRPr="00194F51">
        <w:rPr>
          <w:sz w:val="16"/>
          <w:szCs w:val="16"/>
        </w:rPr>
        <w:t xml:space="preserve">, </w:t>
      </w:r>
      <w:r>
        <w:rPr>
          <w:sz w:val="16"/>
          <w:szCs w:val="16"/>
        </w:rPr>
        <w:t xml:space="preserve">The </w:t>
      </w:r>
      <w:proofErr w:type="spellStart"/>
      <w:r>
        <w:rPr>
          <w:sz w:val="16"/>
          <w:szCs w:val="16"/>
        </w:rPr>
        <w:t>P</w:t>
      </w:r>
      <w:r w:rsidRPr="00194F51">
        <w:rPr>
          <w:sz w:val="16"/>
          <w:szCs w:val="16"/>
        </w:rPr>
        <w:t>lanetarization</w:t>
      </w:r>
      <w:proofErr w:type="spellEnd"/>
      <w:r w:rsidRPr="00194F51">
        <w:rPr>
          <w:sz w:val="16"/>
          <w:szCs w:val="16"/>
        </w:rPr>
        <w:t>, p.252.</w:t>
      </w:r>
    </w:p>
  </w:footnote>
  <w:footnote w:id="36">
    <w:p w14:paraId="519EC23A"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A. T. Mann, The Divine Plot, Astrology, Reincarnation, Cosmology and History, Allen &amp;Unwin, 1986, p.72.</w:t>
      </w:r>
    </w:p>
  </w:footnote>
  <w:footnote w:id="37">
    <w:p w14:paraId="528E189D"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A. T. Mann, The Divine Plot, 1986, pp72-82.</w:t>
      </w:r>
    </w:p>
  </w:footnote>
  <w:footnote w:id="38">
    <w:p w14:paraId="30532E4E"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w:t>
      </w:r>
      <w:r>
        <w:rPr>
          <w:sz w:val="16"/>
          <w:szCs w:val="16"/>
        </w:rPr>
        <w:t>Ibid</w:t>
      </w:r>
      <w:r w:rsidRPr="00194F51">
        <w:rPr>
          <w:sz w:val="16"/>
          <w:szCs w:val="16"/>
        </w:rPr>
        <w:t>, p.87.</w:t>
      </w:r>
    </w:p>
  </w:footnote>
  <w:footnote w:id="39">
    <w:p w14:paraId="02243610"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Brian Clark, Astrological Time, Cycles of the soul: Transits, Progressions and Returns, Astro*Synthesis, 2021, p.23.</w:t>
      </w:r>
    </w:p>
  </w:footnote>
  <w:footnote w:id="40">
    <w:p w14:paraId="423AC17B" w14:textId="77777777" w:rsidR="008572CC" w:rsidRPr="00194F51" w:rsidRDefault="008572CC" w:rsidP="008572CC">
      <w:pPr>
        <w:pStyle w:val="NoSpacing"/>
        <w:rPr>
          <w:sz w:val="16"/>
          <w:szCs w:val="16"/>
        </w:rPr>
      </w:pPr>
      <w:r w:rsidRPr="00194F51">
        <w:rPr>
          <w:rStyle w:val="FootnoteReference"/>
          <w:sz w:val="16"/>
          <w:szCs w:val="16"/>
        </w:rPr>
        <w:footnoteRef/>
      </w:r>
      <w:r w:rsidRPr="00194F51">
        <w:rPr>
          <w:sz w:val="16"/>
          <w:szCs w:val="16"/>
        </w:rPr>
        <w:t xml:space="preserve"> Stephen Arroyo, Astrology Karma &amp; Transformation, The Inner Dimensions of the Birth Chart, SE, CRCS Publications, 1992, p.33.</w:t>
      </w:r>
    </w:p>
  </w:footnote>
  <w:footnote w:id="41">
    <w:p w14:paraId="631D51F8" w14:textId="77777777" w:rsidR="008572CC" w:rsidRPr="003F0601" w:rsidRDefault="008572CC" w:rsidP="008572CC">
      <w:pPr>
        <w:pStyle w:val="NoSpacing"/>
        <w:rPr>
          <w:rFonts w:cstheme="minorHAnsi"/>
          <w:iCs/>
          <w:sz w:val="16"/>
          <w:szCs w:val="16"/>
        </w:rPr>
      </w:pPr>
      <w:r w:rsidRPr="003F0601">
        <w:rPr>
          <w:rStyle w:val="FootnoteReference"/>
          <w:rFonts w:cstheme="minorHAnsi"/>
          <w:sz w:val="16"/>
          <w:szCs w:val="16"/>
        </w:rPr>
        <w:footnoteRef/>
      </w:r>
      <w:r w:rsidRPr="003F0601">
        <w:rPr>
          <w:rFonts w:cstheme="minorHAnsi"/>
          <w:sz w:val="16"/>
          <w:szCs w:val="16"/>
        </w:rPr>
        <w:t xml:space="preserve"> Clare Martin, Mapping the Psyche, An Introduction to Psychological Astrology, Volume 3: Kairos </w:t>
      </w:r>
      <w:proofErr w:type="gramStart"/>
      <w:r w:rsidRPr="003F0601">
        <w:rPr>
          <w:rFonts w:cstheme="minorHAnsi"/>
          <w:sz w:val="16"/>
          <w:szCs w:val="16"/>
        </w:rPr>
        <w:t>The</w:t>
      </w:r>
      <w:proofErr w:type="gramEnd"/>
      <w:r w:rsidRPr="003F0601">
        <w:rPr>
          <w:rFonts w:cstheme="minorHAnsi"/>
          <w:sz w:val="16"/>
          <w:szCs w:val="16"/>
        </w:rPr>
        <w:t xml:space="preserve"> Astrology of Time, The Wessex Astrologer, 2015, p.16.</w:t>
      </w:r>
    </w:p>
  </w:footnote>
  <w:footnote w:id="42">
    <w:p w14:paraId="76DE701B" w14:textId="77777777" w:rsidR="008572CC" w:rsidRPr="003F0601" w:rsidRDefault="008572CC" w:rsidP="008572CC">
      <w:pPr>
        <w:pStyle w:val="NoSpacing"/>
        <w:rPr>
          <w:rFonts w:cstheme="minorHAnsi"/>
          <w:sz w:val="16"/>
          <w:szCs w:val="16"/>
        </w:rPr>
      </w:pPr>
      <w:r w:rsidRPr="003F0601">
        <w:rPr>
          <w:rStyle w:val="FootnoteReference"/>
          <w:rFonts w:cstheme="minorHAnsi"/>
          <w:iCs/>
          <w:sz w:val="16"/>
          <w:szCs w:val="16"/>
        </w:rPr>
        <w:footnoteRef/>
      </w:r>
      <w:r w:rsidRPr="003F0601">
        <w:rPr>
          <w:rFonts w:cstheme="minorHAnsi"/>
          <w:iCs/>
          <w:sz w:val="16"/>
          <w:szCs w:val="16"/>
        </w:rPr>
        <w:t xml:space="preserve"> </w:t>
      </w:r>
      <w:r w:rsidRPr="003F0601">
        <w:rPr>
          <w:rFonts w:cstheme="minorHAnsi"/>
          <w:sz w:val="16"/>
          <w:szCs w:val="16"/>
        </w:rPr>
        <w:t>Clare Martin, Mapping the Psyche, Ann Introduction to Psychological Astrology p.10</w:t>
      </w:r>
      <w:r>
        <w:rPr>
          <w:rFonts w:cstheme="minorHAnsi"/>
          <w:sz w:val="16"/>
          <w:szCs w:val="16"/>
        </w:rPr>
        <w:t xml:space="preserve">, and </w:t>
      </w:r>
      <w:r>
        <w:rPr>
          <w:rFonts w:cstheme="minorHAnsi"/>
          <w:iCs/>
          <w:sz w:val="16"/>
          <w:szCs w:val="16"/>
        </w:rPr>
        <w:t>Brady</w:t>
      </w:r>
      <w:r w:rsidRPr="003F0601">
        <w:rPr>
          <w:rFonts w:cstheme="minorHAnsi"/>
          <w:iCs/>
          <w:sz w:val="16"/>
          <w:szCs w:val="16"/>
        </w:rPr>
        <w:t>,</w:t>
      </w:r>
      <w:r>
        <w:rPr>
          <w:rFonts w:cstheme="minorHAnsi"/>
          <w:iCs/>
          <w:sz w:val="16"/>
          <w:szCs w:val="16"/>
        </w:rPr>
        <w:t xml:space="preserve"> </w:t>
      </w:r>
      <w:r w:rsidRPr="003F0601">
        <w:rPr>
          <w:rFonts w:cstheme="minorHAnsi"/>
          <w:iCs/>
          <w:sz w:val="16"/>
          <w:szCs w:val="16"/>
        </w:rPr>
        <w:t>Predictive</w:t>
      </w:r>
      <w:r>
        <w:rPr>
          <w:rFonts w:cstheme="minorHAnsi"/>
          <w:iCs/>
          <w:sz w:val="16"/>
          <w:szCs w:val="16"/>
        </w:rPr>
        <w:t xml:space="preserve"> </w:t>
      </w:r>
      <w:r w:rsidRPr="003F0601">
        <w:rPr>
          <w:rFonts w:cstheme="minorHAnsi"/>
          <w:iCs/>
          <w:sz w:val="16"/>
          <w:szCs w:val="16"/>
        </w:rPr>
        <w:t>Astrology,</w:t>
      </w:r>
      <w:r>
        <w:rPr>
          <w:rFonts w:cstheme="minorHAnsi"/>
          <w:iCs/>
          <w:sz w:val="16"/>
          <w:szCs w:val="16"/>
        </w:rPr>
        <w:t xml:space="preserve"> p.</w:t>
      </w:r>
      <w:r w:rsidRPr="003F0601">
        <w:rPr>
          <w:rFonts w:cstheme="minorHAnsi"/>
          <w:iCs/>
          <w:sz w:val="16"/>
          <w:szCs w:val="16"/>
        </w:rPr>
        <w:t xml:space="preserve"> XXIII</w:t>
      </w:r>
      <w:r>
        <w:rPr>
          <w:rFonts w:cstheme="minorHAnsi"/>
          <w:iCs/>
          <w:sz w:val="16"/>
          <w:szCs w:val="16"/>
        </w:rPr>
        <w:t>.</w:t>
      </w:r>
    </w:p>
  </w:footnote>
  <w:footnote w:id="43">
    <w:p w14:paraId="4E7FB3EB" w14:textId="77777777" w:rsidR="008572CC" w:rsidRPr="003F0601" w:rsidRDefault="008572CC" w:rsidP="008572CC">
      <w:pPr>
        <w:pStyle w:val="NoSpacing"/>
        <w:rPr>
          <w:rFonts w:cstheme="minorHAnsi"/>
          <w:sz w:val="16"/>
          <w:szCs w:val="16"/>
        </w:rPr>
      </w:pPr>
      <w:r w:rsidRPr="003F0601">
        <w:rPr>
          <w:rStyle w:val="FootnoteReference"/>
          <w:rFonts w:cstheme="minorHAnsi"/>
          <w:sz w:val="16"/>
          <w:szCs w:val="16"/>
        </w:rPr>
        <w:footnoteRef/>
      </w:r>
      <w:r w:rsidRPr="003F0601">
        <w:rPr>
          <w:rFonts w:cstheme="minorHAnsi"/>
          <w:sz w:val="16"/>
          <w:szCs w:val="16"/>
        </w:rPr>
        <w:t xml:space="preserve"> </w:t>
      </w:r>
      <w:r w:rsidRPr="003F0601">
        <w:rPr>
          <w:rFonts w:cstheme="minorHAnsi"/>
          <w:color w:val="000000"/>
          <w:sz w:val="16"/>
          <w:szCs w:val="16"/>
        </w:rPr>
        <w:t xml:space="preserve">Howard </w:t>
      </w:r>
      <w:proofErr w:type="spellStart"/>
      <w:r w:rsidRPr="003F0601">
        <w:rPr>
          <w:rFonts w:cstheme="minorHAnsi"/>
          <w:color w:val="000000"/>
          <w:sz w:val="16"/>
          <w:szCs w:val="16"/>
        </w:rPr>
        <w:t>Sasportas</w:t>
      </w:r>
      <w:proofErr w:type="spellEnd"/>
      <w:r w:rsidRPr="003F0601">
        <w:rPr>
          <w:rFonts w:cstheme="minorHAnsi"/>
          <w:color w:val="000000"/>
          <w:sz w:val="16"/>
          <w:szCs w:val="16"/>
        </w:rPr>
        <w:t>, The Gods of Change, Pain, Crisis and the Transits of Uranus, Neptune and Pluto, The Wessex Astrologer, 2007, pp.6-7.</w:t>
      </w:r>
    </w:p>
  </w:footnote>
  <w:footnote w:id="44">
    <w:p w14:paraId="14261ECF" w14:textId="77777777" w:rsidR="008572CC" w:rsidRPr="00361C7E" w:rsidRDefault="008572CC" w:rsidP="008572CC">
      <w:pPr>
        <w:pStyle w:val="FootnoteText"/>
        <w:rPr>
          <w:sz w:val="16"/>
          <w:szCs w:val="16"/>
        </w:rPr>
      </w:pPr>
      <w:r w:rsidRPr="00361C7E">
        <w:rPr>
          <w:rStyle w:val="FootnoteReference"/>
          <w:sz w:val="16"/>
          <w:szCs w:val="16"/>
        </w:rPr>
        <w:footnoteRef/>
      </w:r>
      <w:r w:rsidRPr="00361C7E">
        <w:rPr>
          <w:sz w:val="16"/>
          <w:szCs w:val="16"/>
        </w:rPr>
        <w:t xml:space="preserve"> Richard </w:t>
      </w:r>
      <w:proofErr w:type="spellStart"/>
      <w:r w:rsidRPr="00361C7E">
        <w:rPr>
          <w:sz w:val="16"/>
          <w:szCs w:val="16"/>
        </w:rPr>
        <w:t>Tarnas</w:t>
      </w:r>
      <w:proofErr w:type="spellEnd"/>
      <w:r w:rsidRPr="00361C7E">
        <w:rPr>
          <w:sz w:val="16"/>
          <w:szCs w:val="16"/>
        </w:rPr>
        <w:t>, Cosmos and Psyche, Intimations of a New World View, Plume, 2007, p.68.</w:t>
      </w:r>
    </w:p>
  </w:footnote>
  <w:footnote w:id="45">
    <w:p w14:paraId="157895E9"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Liz Greene, The Astrology of Fate, Mandala, 1985, p.123.</w:t>
      </w:r>
    </w:p>
  </w:footnote>
  <w:footnote w:id="46">
    <w:p w14:paraId="4E1BD3A6"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Melanie Reinhart, Incarnation: The Four Angles and the Moon’s Nodes, </w:t>
      </w:r>
      <w:proofErr w:type="spellStart"/>
      <w:r w:rsidRPr="00361C7E">
        <w:rPr>
          <w:sz w:val="16"/>
          <w:szCs w:val="16"/>
        </w:rPr>
        <w:t>Starwalker</w:t>
      </w:r>
      <w:proofErr w:type="spellEnd"/>
      <w:r w:rsidRPr="00361C7E">
        <w:rPr>
          <w:sz w:val="16"/>
          <w:szCs w:val="16"/>
        </w:rPr>
        <w:t xml:space="preserve"> Press,</w:t>
      </w:r>
      <w:r>
        <w:rPr>
          <w:sz w:val="16"/>
          <w:szCs w:val="16"/>
        </w:rPr>
        <w:t xml:space="preserve"> </w:t>
      </w:r>
      <w:r w:rsidRPr="00361C7E">
        <w:rPr>
          <w:sz w:val="16"/>
          <w:szCs w:val="16"/>
        </w:rPr>
        <w:t>2014, p.17.</w:t>
      </w:r>
    </w:p>
  </w:footnote>
  <w:footnote w:id="47">
    <w:p w14:paraId="1C937680" w14:textId="77777777" w:rsidR="008572CC" w:rsidRPr="00361C7E" w:rsidRDefault="008572CC" w:rsidP="008572CC">
      <w:pPr>
        <w:pStyle w:val="NoSpacing"/>
        <w:rPr>
          <w:color w:val="000000"/>
          <w:sz w:val="16"/>
          <w:szCs w:val="16"/>
        </w:rPr>
      </w:pPr>
      <w:r w:rsidRPr="00361C7E">
        <w:rPr>
          <w:rStyle w:val="FootnoteReference"/>
          <w:rFonts w:cstheme="minorHAnsi"/>
          <w:sz w:val="16"/>
          <w:szCs w:val="16"/>
        </w:rPr>
        <w:footnoteRef/>
      </w:r>
      <w:r w:rsidRPr="00361C7E">
        <w:rPr>
          <w:sz w:val="16"/>
          <w:szCs w:val="16"/>
        </w:rPr>
        <w:t xml:space="preserve"> Melanie Reinhart, Chiron and The Healing Journey</w:t>
      </w:r>
      <w:r w:rsidRPr="00361C7E">
        <w:rPr>
          <w:color w:val="000000"/>
          <w:sz w:val="16"/>
          <w:szCs w:val="16"/>
        </w:rPr>
        <w:t xml:space="preserve">, An Astrological and Psychological Perspective, </w:t>
      </w:r>
      <w:proofErr w:type="spellStart"/>
      <w:r w:rsidRPr="00361C7E">
        <w:rPr>
          <w:color w:val="000000"/>
          <w:sz w:val="16"/>
          <w:szCs w:val="16"/>
        </w:rPr>
        <w:t>Starwalker</w:t>
      </w:r>
      <w:proofErr w:type="spellEnd"/>
      <w:r w:rsidRPr="00361C7E">
        <w:rPr>
          <w:color w:val="000000"/>
          <w:sz w:val="16"/>
          <w:szCs w:val="16"/>
        </w:rPr>
        <w:t xml:space="preserve"> Press, 2009, p. 23. </w:t>
      </w:r>
    </w:p>
  </w:footnote>
  <w:footnote w:id="48">
    <w:p w14:paraId="6035D541"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Melanie Reinhart, Chiron and The Healing Journey</w:t>
      </w:r>
      <w:r w:rsidRPr="00361C7E">
        <w:rPr>
          <w:color w:val="000000"/>
          <w:sz w:val="16"/>
          <w:szCs w:val="16"/>
        </w:rPr>
        <w:t>, pp.11-12.</w:t>
      </w:r>
    </w:p>
  </w:footnote>
  <w:footnote w:id="49">
    <w:p w14:paraId="0C4306C4" w14:textId="2E3B044C"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Melanie Reinhart, </w:t>
      </w:r>
      <w:r w:rsidR="00AA328B" w:rsidRPr="00361C7E">
        <w:rPr>
          <w:sz w:val="16"/>
          <w:szCs w:val="16"/>
        </w:rPr>
        <w:t>Chiron and The Healing Journey</w:t>
      </w:r>
      <w:r w:rsidRPr="00361C7E">
        <w:rPr>
          <w:sz w:val="16"/>
          <w:szCs w:val="16"/>
        </w:rPr>
        <w:t>, p.28.</w:t>
      </w:r>
    </w:p>
  </w:footnote>
  <w:footnote w:id="50">
    <w:p w14:paraId="0267531E"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Liz Greene, The Astrology of Fate, p.282.</w:t>
      </w:r>
    </w:p>
  </w:footnote>
  <w:footnote w:id="51">
    <w:p w14:paraId="50EC4511"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w:t>
      </w:r>
      <w:proofErr w:type="spellStart"/>
      <w:r w:rsidRPr="00361C7E">
        <w:rPr>
          <w:sz w:val="16"/>
          <w:szCs w:val="16"/>
        </w:rPr>
        <w:t>Hennink</w:t>
      </w:r>
      <w:proofErr w:type="spellEnd"/>
      <w:r w:rsidRPr="00361C7E">
        <w:rPr>
          <w:sz w:val="16"/>
          <w:szCs w:val="16"/>
        </w:rPr>
        <w:t xml:space="preserve">, </w:t>
      </w:r>
      <w:proofErr w:type="spellStart"/>
      <w:r w:rsidRPr="00361C7E">
        <w:rPr>
          <w:sz w:val="16"/>
          <w:szCs w:val="16"/>
        </w:rPr>
        <w:t>Hutter</w:t>
      </w:r>
      <w:proofErr w:type="spellEnd"/>
      <w:r w:rsidRPr="00361C7E">
        <w:rPr>
          <w:sz w:val="16"/>
          <w:szCs w:val="16"/>
        </w:rPr>
        <w:t xml:space="preserve"> and Bailey, Qualitative Research Methods, Sage Publications Ltd, SE, 2020, p.264.</w:t>
      </w:r>
    </w:p>
  </w:footnote>
  <w:footnote w:id="52">
    <w:p w14:paraId="13228C99"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w:t>
      </w:r>
      <w:proofErr w:type="spellStart"/>
      <w:r w:rsidRPr="00361C7E">
        <w:rPr>
          <w:sz w:val="16"/>
          <w:szCs w:val="16"/>
        </w:rPr>
        <w:t>Hennink</w:t>
      </w:r>
      <w:proofErr w:type="spellEnd"/>
      <w:r w:rsidRPr="00361C7E">
        <w:rPr>
          <w:sz w:val="16"/>
          <w:szCs w:val="16"/>
        </w:rPr>
        <w:t xml:space="preserve">, </w:t>
      </w:r>
      <w:proofErr w:type="spellStart"/>
      <w:r w:rsidRPr="00361C7E">
        <w:rPr>
          <w:sz w:val="16"/>
          <w:szCs w:val="16"/>
        </w:rPr>
        <w:t>Hutter</w:t>
      </w:r>
      <w:proofErr w:type="spellEnd"/>
      <w:r w:rsidRPr="00361C7E">
        <w:rPr>
          <w:sz w:val="16"/>
          <w:szCs w:val="16"/>
        </w:rPr>
        <w:t xml:space="preserve"> and Bailey, Qualitative Research Methods, p.87.</w:t>
      </w:r>
    </w:p>
  </w:footnote>
  <w:footnote w:id="53">
    <w:p w14:paraId="2F7897E2"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w:t>
      </w:r>
      <w:r w:rsidRPr="00361C7E">
        <w:rPr>
          <w:color w:val="000000"/>
          <w:sz w:val="16"/>
          <w:szCs w:val="16"/>
          <w:lang w:eastAsia="en-GB"/>
        </w:rPr>
        <w:t xml:space="preserve">Alan Bryman, Quantity </w:t>
      </w:r>
      <w:proofErr w:type="gramStart"/>
      <w:r w:rsidRPr="00361C7E">
        <w:rPr>
          <w:color w:val="000000"/>
          <w:sz w:val="16"/>
          <w:szCs w:val="16"/>
          <w:lang w:eastAsia="en-GB"/>
        </w:rPr>
        <w:t>And</w:t>
      </w:r>
      <w:proofErr w:type="gramEnd"/>
      <w:r w:rsidRPr="00361C7E">
        <w:rPr>
          <w:color w:val="000000"/>
          <w:sz w:val="16"/>
          <w:szCs w:val="16"/>
          <w:lang w:eastAsia="en-GB"/>
        </w:rPr>
        <w:t xml:space="preserve"> Quality In Social Research, Taylor &amp; Francis e-Library, 2004, p.130.</w:t>
      </w:r>
    </w:p>
  </w:footnote>
  <w:footnote w:id="54">
    <w:p w14:paraId="40678BD3" w14:textId="77777777" w:rsidR="008572CC" w:rsidRPr="00361C7E" w:rsidRDefault="008572CC" w:rsidP="008572CC">
      <w:pPr>
        <w:pStyle w:val="NoSpacing"/>
        <w:rPr>
          <w:sz w:val="16"/>
          <w:szCs w:val="16"/>
        </w:rPr>
      </w:pPr>
      <w:r w:rsidRPr="00361C7E">
        <w:rPr>
          <w:rStyle w:val="FootnoteReference"/>
          <w:rFonts w:cstheme="minorHAnsi"/>
          <w:sz w:val="16"/>
          <w:szCs w:val="16"/>
        </w:rPr>
        <w:footnoteRef/>
      </w:r>
      <w:r w:rsidRPr="00361C7E">
        <w:rPr>
          <w:sz w:val="16"/>
          <w:szCs w:val="16"/>
        </w:rPr>
        <w:t xml:space="preserve"> </w:t>
      </w:r>
      <w:proofErr w:type="spellStart"/>
      <w:r w:rsidRPr="00361C7E">
        <w:rPr>
          <w:sz w:val="16"/>
          <w:szCs w:val="16"/>
        </w:rPr>
        <w:t>Hennink</w:t>
      </w:r>
      <w:proofErr w:type="spellEnd"/>
      <w:r w:rsidRPr="00361C7E">
        <w:rPr>
          <w:sz w:val="16"/>
          <w:szCs w:val="16"/>
        </w:rPr>
        <w:t xml:space="preserve">, </w:t>
      </w:r>
      <w:proofErr w:type="spellStart"/>
      <w:r w:rsidRPr="00361C7E">
        <w:rPr>
          <w:sz w:val="16"/>
          <w:szCs w:val="16"/>
        </w:rPr>
        <w:t>Hutter</w:t>
      </w:r>
      <w:proofErr w:type="spellEnd"/>
      <w:r w:rsidRPr="00361C7E">
        <w:rPr>
          <w:sz w:val="16"/>
          <w:szCs w:val="16"/>
        </w:rPr>
        <w:t xml:space="preserve"> and Bailey, Qualitative Research Methods, p.39.</w:t>
      </w:r>
    </w:p>
  </w:footnote>
  <w:footnote w:id="55">
    <w:p w14:paraId="5F6BE582" w14:textId="77777777" w:rsidR="008572CC" w:rsidRPr="00361C7E" w:rsidRDefault="008572CC" w:rsidP="008572CC">
      <w:pPr>
        <w:pStyle w:val="NoSpacing"/>
        <w:rPr>
          <w:color w:val="000000"/>
          <w:sz w:val="16"/>
          <w:szCs w:val="16"/>
        </w:rPr>
      </w:pPr>
      <w:r w:rsidRPr="00361C7E">
        <w:rPr>
          <w:rStyle w:val="FootnoteReference"/>
          <w:rFonts w:cstheme="minorHAnsi"/>
          <w:sz w:val="16"/>
          <w:szCs w:val="16"/>
        </w:rPr>
        <w:footnoteRef/>
      </w:r>
      <w:r w:rsidRPr="00361C7E">
        <w:rPr>
          <w:sz w:val="16"/>
          <w:szCs w:val="16"/>
        </w:rPr>
        <w:t xml:space="preserve"> </w:t>
      </w:r>
      <w:proofErr w:type="spellStart"/>
      <w:r w:rsidRPr="00361C7E">
        <w:rPr>
          <w:color w:val="000000"/>
          <w:sz w:val="16"/>
          <w:szCs w:val="16"/>
        </w:rPr>
        <w:t>Hennink</w:t>
      </w:r>
      <w:proofErr w:type="spellEnd"/>
      <w:r w:rsidRPr="00361C7E">
        <w:rPr>
          <w:color w:val="000000"/>
          <w:sz w:val="16"/>
          <w:szCs w:val="16"/>
        </w:rPr>
        <w:t xml:space="preserve">, </w:t>
      </w:r>
      <w:proofErr w:type="spellStart"/>
      <w:r w:rsidRPr="00361C7E">
        <w:rPr>
          <w:color w:val="000000"/>
          <w:sz w:val="16"/>
          <w:szCs w:val="16"/>
        </w:rPr>
        <w:t>Hutter</w:t>
      </w:r>
      <w:proofErr w:type="spellEnd"/>
      <w:r w:rsidRPr="00361C7E">
        <w:rPr>
          <w:color w:val="000000"/>
          <w:sz w:val="16"/>
          <w:szCs w:val="16"/>
        </w:rPr>
        <w:t xml:space="preserve"> &amp; Bailey, p.60.</w:t>
      </w:r>
    </w:p>
  </w:footnote>
  <w:footnote w:id="56">
    <w:p w14:paraId="49508D7C"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w:t>
      </w:r>
      <w:proofErr w:type="spellStart"/>
      <w:r w:rsidRPr="00E3493A">
        <w:rPr>
          <w:sz w:val="16"/>
          <w:szCs w:val="16"/>
        </w:rPr>
        <w:t>Hennink</w:t>
      </w:r>
      <w:proofErr w:type="spellEnd"/>
      <w:r w:rsidRPr="00E3493A">
        <w:rPr>
          <w:sz w:val="16"/>
          <w:szCs w:val="16"/>
        </w:rPr>
        <w:t xml:space="preserve">, </w:t>
      </w:r>
      <w:proofErr w:type="spellStart"/>
      <w:r w:rsidRPr="00E3493A">
        <w:rPr>
          <w:sz w:val="16"/>
          <w:szCs w:val="16"/>
        </w:rPr>
        <w:t>Hutter</w:t>
      </w:r>
      <w:proofErr w:type="spellEnd"/>
      <w:r w:rsidRPr="00E3493A">
        <w:rPr>
          <w:sz w:val="16"/>
          <w:szCs w:val="16"/>
        </w:rPr>
        <w:t xml:space="preserve"> and Bailey, Qualitative Research Methods, p. 90.</w:t>
      </w:r>
    </w:p>
  </w:footnote>
  <w:footnote w:id="57">
    <w:p w14:paraId="32509F0C"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w:t>
      </w:r>
      <w:r w:rsidRPr="00E3493A">
        <w:rPr>
          <w:color w:val="000000"/>
          <w:sz w:val="16"/>
          <w:szCs w:val="16"/>
        </w:rPr>
        <w:t xml:space="preserve">Alan Bryman, Quantity </w:t>
      </w:r>
      <w:proofErr w:type="gramStart"/>
      <w:r w:rsidRPr="00E3493A">
        <w:rPr>
          <w:color w:val="000000"/>
          <w:sz w:val="16"/>
          <w:szCs w:val="16"/>
        </w:rPr>
        <w:t>And</w:t>
      </w:r>
      <w:proofErr w:type="gramEnd"/>
      <w:r w:rsidRPr="00E3493A">
        <w:rPr>
          <w:color w:val="000000"/>
          <w:sz w:val="16"/>
          <w:szCs w:val="16"/>
        </w:rPr>
        <w:t xml:space="preserve"> Quality In Social Research, Taylor &amp; Francis e-Library, 2004, p.42.</w:t>
      </w:r>
    </w:p>
  </w:footnote>
  <w:footnote w:id="58">
    <w:p w14:paraId="59F25065" w14:textId="77777777" w:rsidR="008572CC" w:rsidRPr="00E3493A" w:rsidRDefault="008572CC" w:rsidP="008572CC">
      <w:pPr>
        <w:pStyle w:val="NoSpacing"/>
        <w:rPr>
          <w:color w:val="000000"/>
          <w:sz w:val="16"/>
          <w:szCs w:val="16"/>
        </w:rPr>
      </w:pPr>
      <w:r w:rsidRPr="00E3493A">
        <w:rPr>
          <w:rStyle w:val="FootnoteReference"/>
          <w:rFonts w:cstheme="minorHAnsi"/>
          <w:sz w:val="16"/>
          <w:szCs w:val="16"/>
        </w:rPr>
        <w:footnoteRef/>
      </w:r>
      <w:r w:rsidRPr="00E3493A">
        <w:rPr>
          <w:sz w:val="16"/>
          <w:szCs w:val="16"/>
        </w:rPr>
        <w:t xml:space="preserve"> </w:t>
      </w:r>
      <w:r w:rsidRPr="00E3493A">
        <w:rPr>
          <w:color w:val="000000"/>
          <w:sz w:val="16"/>
          <w:szCs w:val="16"/>
        </w:rPr>
        <w:t xml:space="preserve">William </w:t>
      </w:r>
      <w:proofErr w:type="spellStart"/>
      <w:r w:rsidRPr="00E3493A">
        <w:rPr>
          <w:color w:val="000000"/>
          <w:sz w:val="16"/>
          <w:szCs w:val="16"/>
        </w:rPr>
        <w:t>Braud</w:t>
      </w:r>
      <w:proofErr w:type="spellEnd"/>
      <w:r w:rsidRPr="00E3493A">
        <w:rPr>
          <w:color w:val="000000"/>
          <w:sz w:val="16"/>
          <w:szCs w:val="16"/>
        </w:rPr>
        <w:t xml:space="preserve"> and Rosemarie Anderson, Transpersonal Research Methods for the Social Sciences, </w:t>
      </w:r>
      <w:proofErr w:type="spellStart"/>
      <w:r w:rsidRPr="00E3493A">
        <w:rPr>
          <w:color w:val="000000"/>
          <w:sz w:val="16"/>
          <w:szCs w:val="16"/>
        </w:rPr>
        <w:t>Honoring</w:t>
      </w:r>
      <w:proofErr w:type="spellEnd"/>
      <w:r w:rsidRPr="00E3493A">
        <w:rPr>
          <w:color w:val="000000"/>
          <w:sz w:val="16"/>
          <w:szCs w:val="16"/>
        </w:rPr>
        <w:t xml:space="preserve"> Human Experience, SAGE Publications, 1998, p.85.</w:t>
      </w:r>
    </w:p>
  </w:footnote>
  <w:footnote w:id="59">
    <w:p w14:paraId="40032602"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M. </w:t>
      </w:r>
      <w:r w:rsidRPr="00E3493A">
        <w:rPr>
          <w:color w:val="000000"/>
          <w:sz w:val="16"/>
          <w:szCs w:val="16"/>
        </w:rPr>
        <w:t>Patton, Qualitative Research and Evaluation Methods, 3rd ed., Sage, 2002, pp.4-5.</w:t>
      </w:r>
    </w:p>
  </w:footnote>
  <w:footnote w:id="60">
    <w:p w14:paraId="53D5E31B" w14:textId="77777777" w:rsidR="008572CC" w:rsidRPr="00E3493A" w:rsidRDefault="008572CC" w:rsidP="008572CC">
      <w:pPr>
        <w:pStyle w:val="NoSpacing"/>
        <w:rPr>
          <w:color w:val="333333"/>
          <w:sz w:val="16"/>
          <w:szCs w:val="16"/>
        </w:rPr>
      </w:pPr>
      <w:r w:rsidRPr="00E3493A">
        <w:rPr>
          <w:rStyle w:val="FootnoteReference"/>
          <w:rFonts w:cstheme="minorHAnsi"/>
          <w:sz w:val="16"/>
          <w:szCs w:val="16"/>
        </w:rPr>
        <w:footnoteRef/>
      </w:r>
      <w:r w:rsidRPr="00E3493A">
        <w:rPr>
          <w:sz w:val="16"/>
          <w:szCs w:val="16"/>
        </w:rPr>
        <w:t xml:space="preserve"> </w:t>
      </w:r>
      <w:r w:rsidRPr="00E3493A">
        <w:rPr>
          <w:color w:val="333333"/>
          <w:sz w:val="16"/>
          <w:szCs w:val="16"/>
        </w:rPr>
        <w:t xml:space="preserve">Silas Memory </w:t>
      </w:r>
      <w:proofErr w:type="spellStart"/>
      <w:r w:rsidRPr="00E3493A">
        <w:rPr>
          <w:color w:val="333333"/>
          <w:sz w:val="16"/>
          <w:szCs w:val="16"/>
        </w:rPr>
        <w:t>Madondo</w:t>
      </w:r>
      <w:proofErr w:type="spellEnd"/>
      <w:r w:rsidRPr="00E3493A">
        <w:rPr>
          <w:color w:val="333333"/>
          <w:sz w:val="16"/>
          <w:szCs w:val="16"/>
        </w:rPr>
        <w:t>, Qualitative Data Gathering Instruments and Methods, Data Analysis and Methods of Qualitative Research: Emerging Research and Opportunities</w:t>
      </w:r>
      <w:r w:rsidRPr="00E3493A">
        <w:rPr>
          <w:i/>
          <w:iCs/>
          <w:color w:val="333333"/>
          <w:sz w:val="16"/>
          <w:szCs w:val="16"/>
        </w:rPr>
        <w:t>,</w:t>
      </w:r>
      <w:r w:rsidRPr="00E3493A">
        <w:rPr>
          <w:rStyle w:val="apple-converted-space"/>
          <w:rFonts w:cstheme="minorHAnsi"/>
          <w:color w:val="333333"/>
          <w:sz w:val="16"/>
          <w:szCs w:val="16"/>
        </w:rPr>
        <w:t> </w:t>
      </w:r>
      <w:r w:rsidRPr="00E3493A">
        <w:rPr>
          <w:color w:val="333333"/>
          <w:sz w:val="16"/>
          <w:szCs w:val="16"/>
        </w:rPr>
        <w:t xml:space="preserve">IGI Global, 2021, pp.77-98, p.79. </w:t>
      </w:r>
      <w:hyperlink r:id="rId17" w:history="1">
        <w:r w:rsidRPr="00E3493A">
          <w:rPr>
            <w:rStyle w:val="Hyperlink"/>
            <w:rFonts w:cstheme="minorHAnsi"/>
            <w:sz w:val="16"/>
            <w:szCs w:val="16"/>
          </w:rPr>
          <w:t>https://doi-org.ezproxy.uwtsd.ac.uk/10.4018/978-1-7998-8549-8.ch004</w:t>
        </w:r>
      </w:hyperlink>
    </w:p>
  </w:footnote>
  <w:footnote w:id="61">
    <w:p w14:paraId="4F766E7B" w14:textId="77777777" w:rsidR="008572CC" w:rsidRPr="00E3493A" w:rsidRDefault="008572CC" w:rsidP="008572CC">
      <w:pPr>
        <w:pStyle w:val="NoSpacing"/>
        <w:rPr>
          <w:rFonts w:cstheme="minorHAnsi"/>
          <w:color w:val="000000"/>
          <w:sz w:val="16"/>
          <w:szCs w:val="16"/>
        </w:rPr>
      </w:pPr>
      <w:r w:rsidRPr="00E3493A">
        <w:rPr>
          <w:rStyle w:val="FootnoteReference"/>
          <w:rFonts w:cstheme="minorHAnsi"/>
          <w:sz w:val="16"/>
          <w:szCs w:val="16"/>
        </w:rPr>
        <w:footnoteRef/>
      </w:r>
      <w:r w:rsidRPr="00E3493A">
        <w:rPr>
          <w:rFonts w:cstheme="minorHAnsi"/>
          <w:sz w:val="16"/>
          <w:szCs w:val="16"/>
        </w:rPr>
        <w:t xml:space="preserve"> </w:t>
      </w:r>
      <w:r w:rsidRPr="00E3493A">
        <w:rPr>
          <w:rFonts w:cstheme="minorHAnsi"/>
          <w:color w:val="000000"/>
          <w:sz w:val="16"/>
          <w:szCs w:val="16"/>
        </w:rPr>
        <w:t>Judith Bell, Doing Your Research Project, A guide for first-time researchers in education, health and social science, fifth edition, Open University Press, 2010, p.5.</w:t>
      </w:r>
    </w:p>
  </w:footnote>
  <w:footnote w:id="62">
    <w:p w14:paraId="0D793F33"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V. </w:t>
      </w:r>
      <w:r w:rsidRPr="00E3493A">
        <w:rPr>
          <w:sz w:val="16"/>
          <w:szCs w:val="16"/>
          <w:shd w:val="clear" w:color="auto" w:fill="FFFFFF"/>
        </w:rPr>
        <w:t xml:space="preserve">Braun and V. Clarke, Using thematic analysis in psychology, </w:t>
      </w:r>
      <w:r w:rsidRPr="00E3493A">
        <w:rPr>
          <w:sz w:val="16"/>
          <w:szCs w:val="16"/>
        </w:rPr>
        <w:t>Qualitative Research in Psychology,</w:t>
      </w:r>
      <w:r w:rsidRPr="00E3493A">
        <w:rPr>
          <w:rStyle w:val="apple-converted-space"/>
          <w:rFonts w:cstheme="minorHAnsi"/>
          <w:color w:val="555555"/>
          <w:sz w:val="16"/>
          <w:szCs w:val="16"/>
        </w:rPr>
        <w:t xml:space="preserve"> 2006, </w:t>
      </w:r>
      <w:r w:rsidRPr="00E3493A">
        <w:rPr>
          <w:sz w:val="16"/>
          <w:szCs w:val="16"/>
        </w:rPr>
        <w:t>3</w:t>
      </w:r>
      <w:r w:rsidRPr="00E3493A">
        <w:rPr>
          <w:sz w:val="16"/>
          <w:szCs w:val="16"/>
          <w:shd w:val="clear" w:color="auto" w:fill="FFFFFF"/>
        </w:rPr>
        <w:t>(2), pp. 77-101, p.86.</w:t>
      </w:r>
    </w:p>
  </w:footnote>
  <w:footnote w:id="63">
    <w:p w14:paraId="7F7A4B2F"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w:t>
      </w:r>
      <w:r w:rsidRPr="00E3493A">
        <w:rPr>
          <w:color w:val="000000"/>
          <w:sz w:val="16"/>
          <w:szCs w:val="16"/>
        </w:rPr>
        <w:t>Judith Bell, Doing Your Research Project,</w:t>
      </w:r>
      <w:r>
        <w:rPr>
          <w:color w:val="000000"/>
          <w:sz w:val="16"/>
          <w:szCs w:val="16"/>
        </w:rPr>
        <w:t xml:space="preserve"> </w:t>
      </w:r>
      <w:r w:rsidRPr="00E3493A">
        <w:rPr>
          <w:color w:val="000000"/>
          <w:sz w:val="16"/>
          <w:szCs w:val="16"/>
        </w:rPr>
        <w:t>p.221.</w:t>
      </w:r>
    </w:p>
  </w:footnote>
  <w:footnote w:id="64">
    <w:p w14:paraId="11A34B1B"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w:t>
      </w:r>
      <w:r w:rsidRPr="00E3493A">
        <w:rPr>
          <w:color w:val="000000"/>
          <w:sz w:val="16"/>
          <w:szCs w:val="16"/>
          <w:lang w:eastAsia="en-GB"/>
        </w:rPr>
        <w:t>Judith Bell, p.222.</w:t>
      </w:r>
    </w:p>
  </w:footnote>
  <w:footnote w:id="65">
    <w:p w14:paraId="4084F60B"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Kathy Charmaz, Constructing Grounded Theory: A Practical Guide Through Qualitative Analysis, Sage Publications, 2006, p.26.</w:t>
      </w:r>
    </w:p>
  </w:footnote>
  <w:footnote w:id="66">
    <w:p w14:paraId="47DFD66B"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A. Clarke</w:t>
      </w:r>
      <w:r w:rsidRPr="008D45D5">
        <w:rPr>
          <w:i/>
          <w:iCs/>
          <w:sz w:val="16"/>
          <w:szCs w:val="16"/>
        </w:rPr>
        <w:t xml:space="preserve">, </w:t>
      </w:r>
      <w:r w:rsidRPr="00C67CA7">
        <w:rPr>
          <w:rStyle w:val="Emphasis"/>
          <w:rFonts w:cstheme="minorHAnsi"/>
          <w:i w:val="0"/>
          <w:iCs w:val="0"/>
          <w:color w:val="333333"/>
          <w:sz w:val="16"/>
          <w:szCs w:val="16"/>
        </w:rPr>
        <w:t>Situational analysis: Grounded theory after the postmodern turn,</w:t>
      </w:r>
      <w:r w:rsidRPr="008D45D5">
        <w:rPr>
          <w:rStyle w:val="Emphasis"/>
          <w:rFonts w:cstheme="minorHAnsi"/>
          <w:color w:val="333333"/>
          <w:sz w:val="16"/>
          <w:szCs w:val="16"/>
        </w:rPr>
        <w:t xml:space="preserve"> </w:t>
      </w:r>
      <w:r w:rsidRPr="008D45D5">
        <w:rPr>
          <w:i/>
          <w:iCs/>
          <w:sz w:val="16"/>
          <w:szCs w:val="16"/>
        </w:rPr>
        <w:t>Sa</w:t>
      </w:r>
      <w:r w:rsidRPr="00E3493A">
        <w:rPr>
          <w:sz w:val="16"/>
          <w:szCs w:val="16"/>
        </w:rPr>
        <w:t>ge Publications, 2005, Inc.</w:t>
      </w:r>
      <w:r w:rsidRPr="00E3493A">
        <w:rPr>
          <w:rStyle w:val="apple-converted-space"/>
          <w:rFonts w:cstheme="minorHAnsi"/>
          <w:color w:val="333333"/>
          <w:sz w:val="16"/>
          <w:szCs w:val="16"/>
        </w:rPr>
        <w:t> </w:t>
      </w:r>
      <w:hyperlink r:id="rId18" w:tgtFrame="_blank" w:history="1">
        <w:r w:rsidRPr="00E3493A">
          <w:rPr>
            <w:rStyle w:val="Hyperlink"/>
            <w:rFonts w:cstheme="minorHAnsi"/>
            <w:color w:val="2C72B7"/>
            <w:sz w:val="16"/>
            <w:szCs w:val="16"/>
          </w:rPr>
          <w:t>https://doi.org/10.4135/9781412985833</w:t>
        </w:r>
      </w:hyperlink>
    </w:p>
  </w:footnote>
  <w:footnote w:id="67">
    <w:p w14:paraId="71319937" w14:textId="77777777" w:rsidR="008572CC" w:rsidRPr="00E3493A" w:rsidRDefault="008572CC" w:rsidP="008572CC">
      <w:pPr>
        <w:pStyle w:val="NoSpacing"/>
        <w:rPr>
          <w:sz w:val="16"/>
          <w:szCs w:val="16"/>
        </w:rPr>
      </w:pPr>
      <w:r w:rsidRPr="00E3493A">
        <w:rPr>
          <w:rStyle w:val="FootnoteReference"/>
          <w:rFonts w:cstheme="minorHAnsi"/>
          <w:sz w:val="16"/>
          <w:szCs w:val="16"/>
        </w:rPr>
        <w:footnoteRef/>
      </w:r>
      <w:r w:rsidRPr="00E3493A">
        <w:rPr>
          <w:sz w:val="16"/>
          <w:szCs w:val="16"/>
        </w:rPr>
        <w:t xml:space="preserve"> </w:t>
      </w:r>
      <w:r w:rsidRPr="00E3493A">
        <w:rPr>
          <w:color w:val="000000"/>
          <w:sz w:val="16"/>
          <w:szCs w:val="16"/>
          <w:lang w:eastAsia="en-GB"/>
        </w:rPr>
        <w:t xml:space="preserve">Alan Bryman, Quantity </w:t>
      </w:r>
      <w:proofErr w:type="gramStart"/>
      <w:r w:rsidRPr="00E3493A">
        <w:rPr>
          <w:color w:val="000000"/>
          <w:sz w:val="16"/>
          <w:szCs w:val="16"/>
          <w:lang w:eastAsia="en-GB"/>
        </w:rPr>
        <w:t>And</w:t>
      </w:r>
      <w:proofErr w:type="gramEnd"/>
      <w:r w:rsidRPr="00E3493A">
        <w:rPr>
          <w:color w:val="000000"/>
          <w:sz w:val="16"/>
          <w:szCs w:val="16"/>
          <w:lang w:eastAsia="en-GB"/>
        </w:rPr>
        <w:t xml:space="preserve"> Quality In Social Research, Taylor &amp; Francis e-Library, 2004</w:t>
      </w:r>
      <w:r w:rsidRPr="00E3493A">
        <w:rPr>
          <w:sz w:val="16"/>
          <w:szCs w:val="16"/>
          <w:lang w:eastAsia="en-GB"/>
        </w:rPr>
        <w:t>, pp.79-80.</w:t>
      </w:r>
    </w:p>
  </w:footnote>
  <w:footnote w:id="68">
    <w:p w14:paraId="16CFC4B9" w14:textId="77777777" w:rsidR="008572CC" w:rsidRPr="001A54DD" w:rsidRDefault="008572CC" w:rsidP="008572CC">
      <w:pPr>
        <w:pStyle w:val="NoSpacing"/>
        <w:rPr>
          <w:sz w:val="16"/>
          <w:szCs w:val="16"/>
        </w:rPr>
      </w:pPr>
      <w:r w:rsidRPr="001A54DD">
        <w:rPr>
          <w:rStyle w:val="FootnoteReference"/>
          <w:rFonts w:cstheme="minorHAnsi"/>
          <w:sz w:val="16"/>
          <w:szCs w:val="16"/>
        </w:rPr>
        <w:footnoteRef/>
      </w:r>
      <w:r w:rsidRPr="001A54DD">
        <w:rPr>
          <w:sz w:val="16"/>
          <w:szCs w:val="16"/>
        </w:rPr>
        <w:t xml:space="preserve"> </w:t>
      </w:r>
      <w:proofErr w:type="spellStart"/>
      <w:r w:rsidRPr="001A54DD">
        <w:rPr>
          <w:sz w:val="16"/>
          <w:szCs w:val="16"/>
        </w:rPr>
        <w:t>Hennink</w:t>
      </w:r>
      <w:proofErr w:type="spellEnd"/>
      <w:r w:rsidRPr="001A54DD">
        <w:rPr>
          <w:sz w:val="16"/>
          <w:szCs w:val="16"/>
        </w:rPr>
        <w:t xml:space="preserve">, </w:t>
      </w:r>
      <w:proofErr w:type="spellStart"/>
      <w:r w:rsidRPr="001A54DD">
        <w:rPr>
          <w:sz w:val="16"/>
          <w:szCs w:val="16"/>
        </w:rPr>
        <w:t>Hutter</w:t>
      </w:r>
      <w:proofErr w:type="spellEnd"/>
      <w:r w:rsidRPr="001A54DD">
        <w:rPr>
          <w:sz w:val="16"/>
          <w:szCs w:val="16"/>
        </w:rPr>
        <w:t xml:space="preserve"> and Bailey, Qualitative Research Methods, Sage Publications Ltd, SE, 2020, p.40.</w:t>
      </w:r>
    </w:p>
  </w:footnote>
  <w:footnote w:id="69">
    <w:p w14:paraId="3BBABCB5" w14:textId="77777777" w:rsidR="008572CC" w:rsidRPr="001A54DD" w:rsidRDefault="008572CC" w:rsidP="008572CC">
      <w:pPr>
        <w:pStyle w:val="NoSpacing"/>
        <w:rPr>
          <w:sz w:val="16"/>
          <w:szCs w:val="16"/>
        </w:rPr>
      </w:pPr>
      <w:r w:rsidRPr="001A54DD">
        <w:rPr>
          <w:rStyle w:val="FootnoteReference"/>
          <w:rFonts w:cstheme="minorHAnsi"/>
          <w:sz w:val="16"/>
          <w:szCs w:val="16"/>
        </w:rPr>
        <w:footnoteRef/>
      </w:r>
      <w:r w:rsidRPr="001A54DD">
        <w:rPr>
          <w:sz w:val="16"/>
          <w:szCs w:val="16"/>
        </w:rPr>
        <w:t xml:space="preserve"> </w:t>
      </w:r>
      <w:r w:rsidRPr="001A54DD">
        <w:rPr>
          <w:color w:val="000000"/>
          <w:sz w:val="16"/>
          <w:szCs w:val="16"/>
        </w:rPr>
        <w:t xml:space="preserve">William </w:t>
      </w:r>
      <w:proofErr w:type="spellStart"/>
      <w:r w:rsidRPr="001A54DD">
        <w:rPr>
          <w:color w:val="000000"/>
          <w:sz w:val="16"/>
          <w:szCs w:val="16"/>
        </w:rPr>
        <w:t>Braud</w:t>
      </w:r>
      <w:proofErr w:type="spellEnd"/>
      <w:r w:rsidRPr="001A54DD">
        <w:rPr>
          <w:color w:val="000000"/>
          <w:sz w:val="16"/>
          <w:szCs w:val="16"/>
        </w:rPr>
        <w:t xml:space="preserve"> and Rosemarie Anderson, Transpersonal Research Methods for the Social Sciences, </w:t>
      </w:r>
      <w:proofErr w:type="spellStart"/>
      <w:r w:rsidRPr="001A54DD">
        <w:rPr>
          <w:color w:val="000000"/>
          <w:sz w:val="16"/>
          <w:szCs w:val="16"/>
        </w:rPr>
        <w:t>Honoring</w:t>
      </w:r>
      <w:proofErr w:type="spellEnd"/>
      <w:r w:rsidRPr="001A54DD">
        <w:rPr>
          <w:color w:val="000000"/>
          <w:sz w:val="16"/>
          <w:szCs w:val="16"/>
        </w:rPr>
        <w:t xml:space="preserve"> Human Experience, SAGE Publications, 1998, p.92.</w:t>
      </w:r>
    </w:p>
  </w:footnote>
  <w:footnote w:id="70">
    <w:p w14:paraId="05E63AE2" w14:textId="77777777" w:rsidR="008572CC" w:rsidRPr="001A54DD" w:rsidRDefault="008572CC" w:rsidP="008572CC">
      <w:pPr>
        <w:pStyle w:val="NoSpacing"/>
        <w:rPr>
          <w:color w:val="000000"/>
          <w:sz w:val="16"/>
          <w:szCs w:val="16"/>
        </w:rPr>
      </w:pPr>
      <w:r w:rsidRPr="001A54DD">
        <w:rPr>
          <w:rStyle w:val="FootnoteReference"/>
          <w:rFonts w:cstheme="minorHAnsi"/>
          <w:sz w:val="16"/>
          <w:szCs w:val="16"/>
        </w:rPr>
        <w:footnoteRef/>
      </w:r>
      <w:r w:rsidRPr="001A54DD">
        <w:rPr>
          <w:sz w:val="16"/>
          <w:szCs w:val="16"/>
        </w:rPr>
        <w:t xml:space="preserve"> Linda </w:t>
      </w:r>
      <w:r w:rsidRPr="001A54DD">
        <w:rPr>
          <w:color w:val="000000"/>
          <w:sz w:val="16"/>
          <w:szCs w:val="16"/>
        </w:rPr>
        <w:t xml:space="preserve">Finlay, Negotiating the swamp: the opportunity and challenge of reflexivity in research practice, Qualitative Research, 2002, 2(2), 209-230, </w:t>
      </w:r>
      <w:hyperlink r:id="rId19" w:history="1">
        <w:r w:rsidRPr="001A54DD">
          <w:rPr>
            <w:rStyle w:val="Hyperlink"/>
            <w:rFonts w:cstheme="minorHAnsi"/>
            <w:sz w:val="16"/>
            <w:szCs w:val="16"/>
          </w:rPr>
          <w:t>https://doi.org/10.1177/146879410200200205</w:t>
        </w:r>
      </w:hyperlink>
    </w:p>
  </w:footnote>
  <w:footnote w:id="71">
    <w:p w14:paraId="6C6D9C62" w14:textId="77777777" w:rsidR="008572CC" w:rsidRPr="001A54DD" w:rsidRDefault="008572CC" w:rsidP="008572CC">
      <w:pPr>
        <w:pStyle w:val="NoSpacing"/>
        <w:rPr>
          <w:color w:val="000000"/>
          <w:sz w:val="16"/>
          <w:szCs w:val="16"/>
        </w:rPr>
      </w:pPr>
      <w:r w:rsidRPr="001A54DD">
        <w:rPr>
          <w:rStyle w:val="FootnoteReference"/>
          <w:rFonts w:cstheme="minorHAnsi"/>
          <w:sz w:val="16"/>
          <w:szCs w:val="16"/>
        </w:rPr>
        <w:footnoteRef/>
      </w:r>
      <w:r w:rsidRPr="001A54DD">
        <w:rPr>
          <w:sz w:val="16"/>
          <w:szCs w:val="16"/>
        </w:rPr>
        <w:t xml:space="preserve"> </w:t>
      </w:r>
      <w:r w:rsidRPr="001A54DD">
        <w:rPr>
          <w:color w:val="000000"/>
          <w:sz w:val="16"/>
          <w:szCs w:val="16"/>
        </w:rPr>
        <w:t xml:space="preserve">Linda Tuhiwai Smith, Decolonizing Methodologies, Research </w:t>
      </w:r>
      <w:proofErr w:type="gramStart"/>
      <w:r w:rsidRPr="001A54DD">
        <w:rPr>
          <w:color w:val="000000"/>
          <w:sz w:val="16"/>
          <w:szCs w:val="16"/>
        </w:rPr>
        <w:t>And</w:t>
      </w:r>
      <w:proofErr w:type="gramEnd"/>
      <w:r w:rsidRPr="001A54DD">
        <w:rPr>
          <w:color w:val="000000"/>
          <w:sz w:val="16"/>
          <w:szCs w:val="16"/>
        </w:rPr>
        <w:t xml:space="preserve"> Indigenous Peoples, Zed </w:t>
      </w:r>
      <w:proofErr w:type="spellStart"/>
      <w:r w:rsidRPr="001A54DD">
        <w:rPr>
          <w:color w:val="000000"/>
          <w:sz w:val="16"/>
          <w:szCs w:val="16"/>
        </w:rPr>
        <w:t>Biiks</w:t>
      </w:r>
      <w:proofErr w:type="spellEnd"/>
      <w:r w:rsidRPr="001A54DD">
        <w:rPr>
          <w:color w:val="000000"/>
          <w:sz w:val="16"/>
          <w:szCs w:val="16"/>
        </w:rPr>
        <w:t xml:space="preserve"> Ltd, 1999, p.147.</w:t>
      </w:r>
    </w:p>
  </w:footnote>
  <w:footnote w:id="72">
    <w:p w14:paraId="441542DA" w14:textId="77777777" w:rsidR="008572CC" w:rsidRPr="001A54DD" w:rsidRDefault="008572CC" w:rsidP="008572CC">
      <w:pPr>
        <w:pStyle w:val="NoSpacing"/>
        <w:rPr>
          <w:sz w:val="16"/>
          <w:szCs w:val="16"/>
        </w:rPr>
      </w:pPr>
      <w:r w:rsidRPr="001A54DD">
        <w:rPr>
          <w:rStyle w:val="FootnoteReference"/>
          <w:rFonts w:cstheme="minorHAnsi"/>
          <w:sz w:val="16"/>
          <w:szCs w:val="16"/>
        </w:rPr>
        <w:footnoteRef/>
      </w:r>
      <w:r w:rsidRPr="001A54DD">
        <w:rPr>
          <w:sz w:val="16"/>
          <w:szCs w:val="16"/>
        </w:rPr>
        <w:t xml:space="preserve"> M. </w:t>
      </w:r>
      <w:r w:rsidRPr="001A54DD">
        <w:rPr>
          <w:color w:val="000000"/>
          <w:sz w:val="16"/>
          <w:szCs w:val="16"/>
        </w:rPr>
        <w:t>Patton, Qualitative Research and Evaluation Methods, 3rd ed., Sage, 2002, pp.40-41.</w:t>
      </w:r>
    </w:p>
  </w:footnote>
  <w:footnote w:id="73">
    <w:p w14:paraId="7EB28A92" w14:textId="77777777" w:rsidR="008572CC" w:rsidRPr="001A54DD" w:rsidRDefault="008572CC" w:rsidP="008572CC">
      <w:pPr>
        <w:pStyle w:val="NoSpacing"/>
        <w:rPr>
          <w:sz w:val="16"/>
          <w:szCs w:val="16"/>
        </w:rPr>
      </w:pPr>
      <w:r w:rsidRPr="001A54DD">
        <w:rPr>
          <w:rStyle w:val="FootnoteReference"/>
          <w:rFonts w:cstheme="minorHAnsi"/>
          <w:sz w:val="16"/>
          <w:szCs w:val="16"/>
        </w:rPr>
        <w:footnoteRef/>
      </w:r>
      <w:r w:rsidRPr="001A54DD">
        <w:rPr>
          <w:sz w:val="16"/>
          <w:szCs w:val="16"/>
        </w:rPr>
        <w:t xml:space="preserve"> </w:t>
      </w:r>
      <w:proofErr w:type="spellStart"/>
      <w:r w:rsidRPr="001A54DD">
        <w:rPr>
          <w:sz w:val="16"/>
          <w:szCs w:val="16"/>
        </w:rPr>
        <w:t>Hennink</w:t>
      </w:r>
      <w:proofErr w:type="spellEnd"/>
      <w:r w:rsidRPr="001A54DD">
        <w:rPr>
          <w:sz w:val="16"/>
          <w:szCs w:val="16"/>
        </w:rPr>
        <w:t xml:space="preserve">, </w:t>
      </w:r>
      <w:proofErr w:type="spellStart"/>
      <w:r w:rsidRPr="001A54DD">
        <w:rPr>
          <w:sz w:val="16"/>
          <w:szCs w:val="16"/>
        </w:rPr>
        <w:t>Hutter</w:t>
      </w:r>
      <w:proofErr w:type="spellEnd"/>
      <w:r w:rsidRPr="001A54DD">
        <w:rPr>
          <w:sz w:val="16"/>
          <w:szCs w:val="16"/>
        </w:rPr>
        <w:t xml:space="preserve"> and Bailey, Qualitative Research Methods, Sage Publications Ltd, SE, 2020,</w:t>
      </w:r>
      <w:r>
        <w:rPr>
          <w:sz w:val="16"/>
          <w:szCs w:val="16"/>
        </w:rPr>
        <w:t xml:space="preserve"> </w:t>
      </w:r>
      <w:r w:rsidRPr="001A54DD">
        <w:rPr>
          <w:sz w:val="16"/>
          <w:szCs w:val="16"/>
        </w:rPr>
        <w:t>p.112.</w:t>
      </w:r>
    </w:p>
  </w:footnote>
  <w:footnote w:id="74">
    <w:p w14:paraId="227AFA07" w14:textId="77777777" w:rsidR="008572CC" w:rsidRPr="001A54DD" w:rsidRDefault="008572CC" w:rsidP="008572CC">
      <w:pPr>
        <w:pStyle w:val="NoSpacing"/>
        <w:rPr>
          <w:sz w:val="16"/>
          <w:szCs w:val="16"/>
        </w:rPr>
      </w:pPr>
      <w:r w:rsidRPr="001A54DD">
        <w:rPr>
          <w:rStyle w:val="FootnoteReference"/>
          <w:rFonts w:cstheme="minorHAnsi"/>
          <w:sz w:val="16"/>
          <w:szCs w:val="16"/>
        </w:rPr>
        <w:footnoteRef/>
      </w:r>
      <w:r w:rsidRPr="001A54DD">
        <w:rPr>
          <w:sz w:val="16"/>
          <w:szCs w:val="16"/>
        </w:rPr>
        <w:t xml:space="preserve"> </w:t>
      </w:r>
      <w:r w:rsidRPr="001A54DD">
        <w:rPr>
          <w:color w:val="000000"/>
          <w:sz w:val="16"/>
          <w:szCs w:val="16"/>
          <w:lang w:eastAsia="en-GB"/>
        </w:rPr>
        <w:t xml:space="preserve">William </w:t>
      </w:r>
      <w:proofErr w:type="spellStart"/>
      <w:r w:rsidRPr="001A54DD">
        <w:rPr>
          <w:color w:val="000000"/>
          <w:sz w:val="16"/>
          <w:szCs w:val="16"/>
          <w:lang w:eastAsia="en-GB"/>
        </w:rPr>
        <w:t>Braud</w:t>
      </w:r>
      <w:proofErr w:type="spellEnd"/>
      <w:r w:rsidRPr="001A54DD">
        <w:rPr>
          <w:color w:val="000000"/>
          <w:sz w:val="16"/>
          <w:szCs w:val="16"/>
          <w:lang w:eastAsia="en-GB"/>
        </w:rPr>
        <w:t xml:space="preserve"> and Rosemarie Anderson, Transpersonal Research Methods for the Social Sciences, </w:t>
      </w:r>
      <w:proofErr w:type="spellStart"/>
      <w:r w:rsidRPr="001A54DD">
        <w:rPr>
          <w:color w:val="000000"/>
          <w:sz w:val="16"/>
          <w:szCs w:val="16"/>
          <w:lang w:eastAsia="en-GB"/>
        </w:rPr>
        <w:t>Honoring</w:t>
      </w:r>
      <w:proofErr w:type="spellEnd"/>
      <w:r w:rsidRPr="001A54DD">
        <w:rPr>
          <w:color w:val="000000"/>
          <w:sz w:val="16"/>
          <w:szCs w:val="16"/>
          <w:lang w:eastAsia="en-GB"/>
        </w:rPr>
        <w:t xml:space="preserve"> Human Experience, SAGE Publications, 1998, pp.47-48.</w:t>
      </w:r>
    </w:p>
  </w:footnote>
  <w:footnote w:id="75">
    <w:p w14:paraId="62D6A31A" w14:textId="77777777" w:rsidR="008572CC" w:rsidRPr="006B4253" w:rsidRDefault="008572CC" w:rsidP="008572CC">
      <w:pPr>
        <w:pStyle w:val="NoSpacing"/>
        <w:rPr>
          <w:rFonts w:cstheme="minorHAnsi"/>
          <w:sz w:val="16"/>
          <w:szCs w:val="16"/>
        </w:rPr>
      </w:pPr>
      <w:r w:rsidRPr="006B4253">
        <w:rPr>
          <w:rStyle w:val="FootnoteReference"/>
          <w:rFonts w:cstheme="minorHAnsi"/>
          <w:sz w:val="16"/>
          <w:szCs w:val="16"/>
        </w:rPr>
        <w:footnoteRef/>
      </w:r>
      <w:r w:rsidRPr="006B4253">
        <w:rPr>
          <w:rFonts w:cstheme="minorHAnsi"/>
          <w:sz w:val="16"/>
          <w:szCs w:val="16"/>
        </w:rPr>
        <w:t xml:space="preserve"> </w:t>
      </w:r>
      <w:r w:rsidRPr="006B4253">
        <w:rPr>
          <w:rFonts w:cstheme="minorHAnsi"/>
          <w:sz w:val="16"/>
          <w:szCs w:val="16"/>
          <w:lang w:eastAsia="en-GB"/>
        </w:rPr>
        <w:t>Bernadette Brady, Theories of Fate Among Present Day Astrologers, Trinity Saint David University of Wales, 2012</w:t>
      </w:r>
      <w:r w:rsidRPr="006B4253">
        <w:rPr>
          <w:rFonts w:cstheme="minorHAnsi"/>
          <w:sz w:val="16"/>
          <w:szCs w:val="16"/>
        </w:rPr>
        <w:t>, chapter 7, p.188.</w:t>
      </w:r>
    </w:p>
  </w:footnote>
  <w:footnote w:id="76">
    <w:p w14:paraId="5F3BFE00" w14:textId="77777777" w:rsidR="008572CC" w:rsidRPr="006B4253" w:rsidRDefault="008572CC" w:rsidP="008572CC">
      <w:pPr>
        <w:pStyle w:val="NoSpacing"/>
        <w:rPr>
          <w:rFonts w:cstheme="minorHAnsi"/>
          <w:sz w:val="16"/>
          <w:szCs w:val="16"/>
        </w:rPr>
      </w:pPr>
      <w:r w:rsidRPr="006B4253">
        <w:rPr>
          <w:rStyle w:val="FootnoteReference"/>
          <w:rFonts w:cstheme="minorHAnsi"/>
          <w:sz w:val="16"/>
          <w:szCs w:val="16"/>
        </w:rPr>
        <w:footnoteRef/>
      </w:r>
      <w:r w:rsidRPr="006B4253">
        <w:rPr>
          <w:rFonts w:cstheme="minorHAnsi"/>
          <w:sz w:val="16"/>
          <w:szCs w:val="16"/>
        </w:rPr>
        <w:t xml:space="preserve"> Nicholas Campion, Astrology and Popular Religion in The Modern West, Routledge, 2016, p.2. </w:t>
      </w:r>
    </w:p>
    <w:p w14:paraId="1B8C32E0" w14:textId="77777777" w:rsidR="008572CC" w:rsidRDefault="008572CC" w:rsidP="008572CC">
      <w:pPr>
        <w:pStyle w:val="FootnoteText"/>
      </w:pPr>
    </w:p>
  </w:footnote>
  <w:footnote w:id="77">
    <w:p w14:paraId="6C886BED" w14:textId="77777777" w:rsidR="008572CC" w:rsidRPr="00091906" w:rsidRDefault="008572CC" w:rsidP="008572CC">
      <w:pPr>
        <w:pStyle w:val="NoSpacing"/>
        <w:rPr>
          <w:sz w:val="16"/>
          <w:szCs w:val="16"/>
        </w:rPr>
      </w:pPr>
      <w:r w:rsidRPr="00091906">
        <w:rPr>
          <w:rStyle w:val="FootnoteReference"/>
          <w:sz w:val="16"/>
          <w:szCs w:val="16"/>
        </w:rPr>
        <w:footnoteRef/>
      </w:r>
      <w:r w:rsidRPr="00091906">
        <w:rPr>
          <w:sz w:val="16"/>
          <w:szCs w:val="16"/>
        </w:rPr>
        <w:t xml:space="preserve"> Nicholas Campion,</w:t>
      </w:r>
      <w:r w:rsidRPr="00091906">
        <w:rPr>
          <w:rStyle w:val="apple-converted-space"/>
          <w:color w:val="000000"/>
          <w:sz w:val="16"/>
          <w:szCs w:val="16"/>
        </w:rPr>
        <w:t> </w:t>
      </w:r>
      <w:r w:rsidRPr="00091906">
        <w:rPr>
          <w:rStyle w:val="Emphasis"/>
          <w:color w:val="000000"/>
          <w:sz w:val="16"/>
          <w:szCs w:val="16"/>
        </w:rPr>
        <w:t>Astrology and Cosmology in the World’s Religions</w:t>
      </w:r>
      <w:r w:rsidRPr="00091906">
        <w:rPr>
          <w:sz w:val="16"/>
          <w:szCs w:val="16"/>
        </w:rPr>
        <w:t>, p. 197.</w:t>
      </w:r>
    </w:p>
  </w:footnote>
  <w:footnote w:id="78">
    <w:p w14:paraId="48A157E9" w14:textId="77777777" w:rsidR="008572CC" w:rsidRPr="00091906" w:rsidRDefault="008572CC" w:rsidP="008572CC">
      <w:pPr>
        <w:pStyle w:val="NoSpacing"/>
        <w:rPr>
          <w:sz w:val="16"/>
          <w:szCs w:val="16"/>
        </w:rPr>
      </w:pPr>
      <w:r w:rsidRPr="00091906">
        <w:rPr>
          <w:rStyle w:val="FootnoteReference"/>
          <w:sz w:val="16"/>
          <w:szCs w:val="16"/>
        </w:rPr>
        <w:footnoteRef/>
      </w:r>
      <w:r w:rsidRPr="00091906">
        <w:rPr>
          <w:sz w:val="16"/>
          <w:szCs w:val="16"/>
        </w:rPr>
        <w:t xml:space="preserve"> Google Form Questionnaire, Section 2, Question 1.</w:t>
      </w:r>
    </w:p>
  </w:footnote>
  <w:footnote w:id="79">
    <w:p w14:paraId="70B66660" w14:textId="77777777" w:rsidR="008572CC" w:rsidRPr="00091906" w:rsidRDefault="008572CC" w:rsidP="008572CC">
      <w:pPr>
        <w:pStyle w:val="NoSpacing"/>
        <w:rPr>
          <w:sz w:val="16"/>
          <w:szCs w:val="16"/>
        </w:rPr>
      </w:pPr>
      <w:r w:rsidRPr="00091906">
        <w:rPr>
          <w:rStyle w:val="FootnoteReference"/>
          <w:sz w:val="16"/>
          <w:szCs w:val="16"/>
        </w:rPr>
        <w:footnoteRef/>
      </w:r>
      <w:r w:rsidRPr="00091906">
        <w:rPr>
          <w:sz w:val="16"/>
          <w:szCs w:val="16"/>
        </w:rPr>
        <w:t xml:space="preserve"> </w:t>
      </w:r>
      <w:r w:rsidRPr="00091906">
        <w:rPr>
          <w:rFonts w:cstheme="minorHAnsi"/>
          <w:sz w:val="16"/>
          <w:szCs w:val="16"/>
          <w:lang w:eastAsia="en-GB"/>
        </w:rPr>
        <w:t>Bernadette Brady, Theories of Fate Among Present Day Astrologers, Trinity Saint David University of Wales, 2012</w:t>
      </w:r>
      <w:r w:rsidRPr="00091906">
        <w:rPr>
          <w:rFonts w:cstheme="minorHAnsi"/>
          <w:sz w:val="16"/>
          <w:szCs w:val="16"/>
        </w:rPr>
        <w:t>, chapter 7, p.</w:t>
      </w:r>
      <w:r w:rsidRPr="00091906">
        <w:rPr>
          <w:sz w:val="16"/>
          <w:szCs w:val="16"/>
        </w:rPr>
        <w:t>202.</w:t>
      </w:r>
    </w:p>
  </w:footnote>
  <w:footnote w:id="80">
    <w:p w14:paraId="20825DD3" w14:textId="77777777" w:rsidR="008572CC" w:rsidRPr="00091906" w:rsidRDefault="008572CC" w:rsidP="008572CC">
      <w:pPr>
        <w:pStyle w:val="NoSpacing"/>
        <w:rPr>
          <w:sz w:val="16"/>
          <w:szCs w:val="16"/>
        </w:rPr>
      </w:pPr>
      <w:r w:rsidRPr="00091906">
        <w:rPr>
          <w:rStyle w:val="FootnoteReference"/>
          <w:sz w:val="16"/>
          <w:szCs w:val="16"/>
        </w:rPr>
        <w:footnoteRef/>
      </w:r>
      <w:r w:rsidRPr="00091906">
        <w:rPr>
          <w:sz w:val="16"/>
          <w:szCs w:val="16"/>
        </w:rPr>
        <w:t xml:space="preserve"> Nicholas Campion, Prophecy, Cosmology and the New Age Movement, Routledge, 2016, chapter 14, p.214. </w:t>
      </w:r>
    </w:p>
  </w:footnote>
  <w:footnote w:id="81">
    <w:p w14:paraId="44561F2D" w14:textId="77777777" w:rsidR="008572CC" w:rsidRPr="00091906" w:rsidRDefault="008572CC" w:rsidP="008572CC">
      <w:pPr>
        <w:pStyle w:val="NoSpacing"/>
        <w:rPr>
          <w:sz w:val="16"/>
          <w:szCs w:val="16"/>
        </w:rPr>
      </w:pPr>
      <w:r w:rsidRPr="00091906">
        <w:rPr>
          <w:rStyle w:val="FootnoteReference"/>
          <w:sz w:val="16"/>
          <w:szCs w:val="16"/>
        </w:rPr>
        <w:footnoteRef/>
      </w:r>
      <w:r w:rsidRPr="00091906">
        <w:rPr>
          <w:sz w:val="16"/>
          <w:szCs w:val="16"/>
        </w:rPr>
        <w:t xml:space="preserve"> Google Form Questionnaire, Section 2, Question 3.</w:t>
      </w:r>
    </w:p>
  </w:footnote>
  <w:footnote w:id="82">
    <w:p w14:paraId="36F6CBAD" w14:textId="77777777" w:rsidR="008572CC" w:rsidRPr="00091906" w:rsidRDefault="008572CC" w:rsidP="008572CC">
      <w:pPr>
        <w:pStyle w:val="FootnoteText"/>
        <w:rPr>
          <w:sz w:val="16"/>
          <w:szCs w:val="16"/>
        </w:rPr>
      </w:pPr>
      <w:r w:rsidRPr="00091906">
        <w:rPr>
          <w:rStyle w:val="FootnoteReference"/>
          <w:sz w:val="16"/>
          <w:szCs w:val="16"/>
        </w:rPr>
        <w:footnoteRef/>
      </w:r>
      <w:r w:rsidRPr="00091906">
        <w:rPr>
          <w:sz w:val="16"/>
          <w:szCs w:val="16"/>
        </w:rPr>
        <w:t xml:space="preserve"> Dane </w:t>
      </w:r>
      <w:proofErr w:type="spellStart"/>
      <w:r w:rsidRPr="00091906">
        <w:rPr>
          <w:sz w:val="16"/>
          <w:szCs w:val="16"/>
        </w:rPr>
        <w:t>Rudhyar</w:t>
      </w:r>
      <w:proofErr w:type="spellEnd"/>
      <w:r w:rsidRPr="00091906">
        <w:rPr>
          <w:sz w:val="16"/>
          <w:szCs w:val="16"/>
        </w:rPr>
        <w:t xml:space="preserve">, The </w:t>
      </w:r>
      <w:proofErr w:type="spellStart"/>
      <w:r w:rsidRPr="00091906">
        <w:rPr>
          <w:sz w:val="16"/>
          <w:szCs w:val="16"/>
        </w:rPr>
        <w:t>Planetarization</w:t>
      </w:r>
      <w:proofErr w:type="spellEnd"/>
      <w:r w:rsidRPr="00091906">
        <w:rPr>
          <w:sz w:val="16"/>
          <w:szCs w:val="16"/>
        </w:rPr>
        <w:t xml:space="preserve"> </w:t>
      </w:r>
      <w:proofErr w:type="gramStart"/>
      <w:r w:rsidRPr="00091906">
        <w:rPr>
          <w:sz w:val="16"/>
          <w:szCs w:val="16"/>
        </w:rPr>
        <w:t>Of</w:t>
      </w:r>
      <w:proofErr w:type="gramEnd"/>
      <w:r w:rsidRPr="00091906">
        <w:rPr>
          <w:sz w:val="16"/>
          <w:szCs w:val="16"/>
        </w:rPr>
        <w:t xml:space="preserve"> Consciousness, Aurora Press, SE, 1977, p.240. </w:t>
      </w:r>
    </w:p>
  </w:footnote>
  <w:footnote w:id="83">
    <w:p w14:paraId="34F08CE1" w14:textId="77777777" w:rsidR="008572CC" w:rsidRPr="00091906" w:rsidRDefault="008572CC" w:rsidP="008572CC">
      <w:pPr>
        <w:pStyle w:val="FootnoteText"/>
        <w:rPr>
          <w:sz w:val="16"/>
          <w:szCs w:val="16"/>
        </w:rPr>
      </w:pPr>
      <w:r w:rsidRPr="00091906">
        <w:rPr>
          <w:rStyle w:val="FootnoteReference"/>
          <w:sz w:val="16"/>
          <w:szCs w:val="16"/>
        </w:rPr>
        <w:footnoteRef/>
      </w:r>
      <w:r w:rsidRPr="00091906">
        <w:rPr>
          <w:sz w:val="16"/>
          <w:szCs w:val="16"/>
        </w:rPr>
        <w:t xml:space="preserve"> Dane </w:t>
      </w:r>
      <w:proofErr w:type="spellStart"/>
      <w:r w:rsidRPr="00091906">
        <w:rPr>
          <w:sz w:val="16"/>
          <w:szCs w:val="16"/>
        </w:rPr>
        <w:t>Rudhyar</w:t>
      </w:r>
      <w:proofErr w:type="spellEnd"/>
      <w:r w:rsidRPr="00091906">
        <w:rPr>
          <w:sz w:val="16"/>
          <w:szCs w:val="16"/>
        </w:rPr>
        <w:t xml:space="preserve">, The </w:t>
      </w:r>
      <w:proofErr w:type="spellStart"/>
      <w:r w:rsidRPr="00091906">
        <w:rPr>
          <w:sz w:val="16"/>
          <w:szCs w:val="16"/>
        </w:rPr>
        <w:t>Planetarization</w:t>
      </w:r>
      <w:proofErr w:type="spellEnd"/>
      <w:r w:rsidRPr="00091906">
        <w:rPr>
          <w:sz w:val="16"/>
          <w:szCs w:val="16"/>
        </w:rPr>
        <w:t xml:space="preserve"> </w:t>
      </w:r>
      <w:proofErr w:type="gramStart"/>
      <w:r w:rsidRPr="00091906">
        <w:rPr>
          <w:sz w:val="16"/>
          <w:szCs w:val="16"/>
        </w:rPr>
        <w:t>Of</w:t>
      </w:r>
      <w:proofErr w:type="gramEnd"/>
      <w:r w:rsidRPr="00091906">
        <w:rPr>
          <w:sz w:val="16"/>
          <w:szCs w:val="16"/>
        </w:rPr>
        <w:t xml:space="preserve"> Consciousness, p198.</w:t>
      </w:r>
    </w:p>
  </w:footnote>
  <w:footnote w:id="84">
    <w:p w14:paraId="0B597633" w14:textId="77777777" w:rsidR="008572CC" w:rsidRPr="00091906" w:rsidRDefault="008572CC" w:rsidP="008572CC">
      <w:pPr>
        <w:pStyle w:val="NoSpacing"/>
        <w:rPr>
          <w:rFonts w:cstheme="minorHAnsi"/>
          <w:sz w:val="16"/>
          <w:szCs w:val="16"/>
        </w:rPr>
      </w:pPr>
      <w:r w:rsidRPr="00091906">
        <w:rPr>
          <w:rStyle w:val="FootnoteReference"/>
          <w:rFonts w:cstheme="minorHAnsi"/>
          <w:sz w:val="16"/>
          <w:szCs w:val="16"/>
        </w:rPr>
        <w:footnoteRef/>
      </w:r>
      <w:r w:rsidRPr="00091906">
        <w:rPr>
          <w:rFonts w:cstheme="minorHAnsi"/>
          <w:sz w:val="16"/>
          <w:szCs w:val="16"/>
        </w:rPr>
        <w:t xml:space="preserve"> Google Form Questionnaire, Section 2, Question 4.</w:t>
      </w:r>
    </w:p>
  </w:footnote>
  <w:footnote w:id="85">
    <w:p w14:paraId="02182992" w14:textId="77777777" w:rsidR="008572CC" w:rsidRPr="00221305" w:rsidRDefault="008572CC" w:rsidP="008572CC">
      <w:pPr>
        <w:pStyle w:val="NoSpacing"/>
        <w:rPr>
          <w:sz w:val="16"/>
          <w:szCs w:val="16"/>
        </w:rPr>
      </w:pPr>
      <w:r w:rsidRPr="00221305">
        <w:rPr>
          <w:rStyle w:val="FootnoteReference"/>
          <w:rFonts w:cstheme="minorHAnsi"/>
          <w:sz w:val="16"/>
          <w:szCs w:val="16"/>
        </w:rPr>
        <w:footnoteRef/>
      </w:r>
      <w:r w:rsidRPr="00221305">
        <w:rPr>
          <w:sz w:val="16"/>
          <w:szCs w:val="16"/>
        </w:rPr>
        <w:t xml:space="preserve"> P16, Interview, 11</w:t>
      </w:r>
      <w:r w:rsidRPr="00221305">
        <w:rPr>
          <w:sz w:val="16"/>
          <w:szCs w:val="16"/>
          <w:vertAlign w:val="superscript"/>
        </w:rPr>
        <w:t>th</w:t>
      </w:r>
      <w:r w:rsidRPr="00221305">
        <w:rPr>
          <w:sz w:val="16"/>
          <w:szCs w:val="16"/>
        </w:rPr>
        <w:t xml:space="preserve"> April 2025.</w:t>
      </w:r>
    </w:p>
  </w:footnote>
  <w:footnote w:id="86">
    <w:p w14:paraId="73FF6B80"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Google Form Questionnaire, Section 3, Question 5.</w:t>
      </w:r>
    </w:p>
  </w:footnote>
  <w:footnote w:id="87">
    <w:p w14:paraId="28CC06D0" w14:textId="77777777" w:rsidR="008572CC" w:rsidRPr="00221305" w:rsidRDefault="008572CC" w:rsidP="008572CC">
      <w:pPr>
        <w:pStyle w:val="NoSpacing"/>
        <w:rPr>
          <w:sz w:val="16"/>
          <w:szCs w:val="16"/>
        </w:rPr>
      </w:pPr>
      <w:r w:rsidRPr="00221305">
        <w:rPr>
          <w:rStyle w:val="FootnoteReference"/>
          <w:rFonts w:cstheme="minorHAnsi"/>
          <w:sz w:val="16"/>
          <w:szCs w:val="16"/>
        </w:rPr>
        <w:footnoteRef/>
      </w:r>
      <w:r w:rsidRPr="00221305">
        <w:rPr>
          <w:sz w:val="16"/>
          <w:szCs w:val="16"/>
        </w:rPr>
        <w:t xml:space="preserve"> P16, Interview.</w:t>
      </w:r>
    </w:p>
  </w:footnote>
  <w:footnote w:id="88">
    <w:p w14:paraId="362E26F7"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P2, Interview, 16</w:t>
      </w:r>
      <w:r w:rsidRPr="00221305">
        <w:rPr>
          <w:sz w:val="16"/>
          <w:szCs w:val="16"/>
          <w:vertAlign w:val="superscript"/>
        </w:rPr>
        <w:t>th</w:t>
      </w:r>
      <w:r w:rsidRPr="00221305">
        <w:rPr>
          <w:sz w:val="16"/>
          <w:szCs w:val="16"/>
        </w:rPr>
        <w:t xml:space="preserve"> April 2025.</w:t>
      </w:r>
    </w:p>
  </w:footnote>
  <w:footnote w:id="89">
    <w:p w14:paraId="23999D8F"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P5, Interview, 21</w:t>
      </w:r>
      <w:r w:rsidRPr="00221305">
        <w:rPr>
          <w:sz w:val="16"/>
          <w:szCs w:val="16"/>
          <w:vertAlign w:val="superscript"/>
        </w:rPr>
        <w:t>st</w:t>
      </w:r>
      <w:r w:rsidRPr="00221305">
        <w:rPr>
          <w:sz w:val="16"/>
          <w:szCs w:val="16"/>
        </w:rPr>
        <w:t xml:space="preserve"> April 2025.</w:t>
      </w:r>
    </w:p>
  </w:footnote>
  <w:footnote w:id="90">
    <w:p w14:paraId="573E49E5" w14:textId="77777777" w:rsidR="008572CC" w:rsidRPr="00221305" w:rsidRDefault="008572CC" w:rsidP="008572CC">
      <w:pPr>
        <w:pStyle w:val="NoSpacing"/>
        <w:rPr>
          <w:sz w:val="16"/>
          <w:szCs w:val="16"/>
        </w:rPr>
      </w:pPr>
      <w:r w:rsidRPr="00221305">
        <w:rPr>
          <w:rStyle w:val="FootnoteReference"/>
          <w:rFonts w:cstheme="minorHAnsi"/>
          <w:sz w:val="16"/>
          <w:szCs w:val="16"/>
        </w:rPr>
        <w:footnoteRef/>
      </w:r>
      <w:r w:rsidRPr="00221305">
        <w:rPr>
          <w:sz w:val="16"/>
          <w:szCs w:val="16"/>
        </w:rPr>
        <w:t xml:space="preserve"> Liz Greene, The Astrology of Fate, Mandala, 1985,</w:t>
      </w:r>
      <w:r w:rsidRPr="00221305">
        <w:rPr>
          <w:color w:val="000000"/>
          <w:kern w:val="0"/>
          <w:sz w:val="16"/>
          <w:szCs w:val="16"/>
        </w:rPr>
        <w:t xml:space="preserve"> pp.155-156.</w:t>
      </w:r>
    </w:p>
  </w:footnote>
  <w:footnote w:id="91">
    <w:p w14:paraId="0BA5B2F5"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Google Form Questionnaire, Section 4, Question 2.</w:t>
      </w:r>
    </w:p>
  </w:footnote>
  <w:footnote w:id="92">
    <w:p w14:paraId="6ECF0F88"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P2</w:t>
      </w:r>
      <w:r>
        <w:rPr>
          <w:sz w:val="16"/>
          <w:szCs w:val="16"/>
        </w:rPr>
        <w:t>,</w:t>
      </w:r>
      <w:r w:rsidRPr="00221305">
        <w:rPr>
          <w:sz w:val="16"/>
          <w:szCs w:val="16"/>
        </w:rPr>
        <w:t xml:space="preserve"> Interview.</w:t>
      </w:r>
    </w:p>
  </w:footnote>
  <w:footnote w:id="93">
    <w:p w14:paraId="1893CCE5" w14:textId="77777777" w:rsidR="008572CC" w:rsidRPr="00221305" w:rsidRDefault="008572CC" w:rsidP="008572CC">
      <w:pPr>
        <w:pStyle w:val="NoSpacing"/>
        <w:rPr>
          <w:sz w:val="16"/>
          <w:szCs w:val="16"/>
        </w:rPr>
      </w:pPr>
      <w:r w:rsidRPr="00221305">
        <w:rPr>
          <w:rStyle w:val="FootnoteReference"/>
          <w:rFonts w:cstheme="minorHAnsi"/>
          <w:sz w:val="16"/>
          <w:szCs w:val="16"/>
        </w:rPr>
        <w:footnoteRef/>
      </w:r>
      <w:r w:rsidRPr="00221305">
        <w:rPr>
          <w:sz w:val="16"/>
          <w:szCs w:val="16"/>
        </w:rPr>
        <w:t xml:space="preserve"> Joe </w:t>
      </w:r>
      <w:proofErr w:type="spellStart"/>
      <w:r w:rsidRPr="00221305">
        <w:rPr>
          <w:sz w:val="16"/>
          <w:szCs w:val="16"/>
        </w:rPr>
        <w:t>Cambray</w:t>
      </w:r>
      <w:proofErr w:type="spellEnd"/>
      <w:r w:rsidRPr="00221305">
        <w:rPr>
          <w:sz w:val="16"/>
          <w:szCs w:val="16"/>
        </w:rPr>
        <w:t xml:space="preserve">, International Association for Analytical Psychology, </w:t>
      </w:r>
      <w:hyperlink r:id="rId20" w:history="1">
        <w:r w:rsidRPr="00221305">
          <w:rPr>
            <w:rStyle w:val="Hyperlink"/>
            <w:rFonts w:cstheme="minorHAnsi"/>
            <w:sz w:val="16"/>
            <w:szCs w:val="16"/>
          </w:rPr>
          <w:t>https://iaap.org/jung-analytical-psychology/short-articles-on-analytical-psychology/synchronicity-an-acausal-connecting-principle/</w:t>
        </w:r>
      </w:hyperlink>
      <w:r w:rsidRPr="00221305">
        <w:rPr>
          <w:sz w:val="16"/>
          <w:szCs w:val="16"/>
        </w:rPr>
        <w:t xml:space="preserve"> [Accessed on April 2025].</w:t>
      </w:r>
    </w:p>
  </w:footnote>
  <w:footnote w:id="94">
    <w:p w14:paraId="792823A9" w14:textId="77777777" w:rsidR="008572CC" w:rsidRPr="00221305" w:rsidRDefault="008572CC" w:rsidP="008572CC">
      <w:pPr>
        <w:pStyle w:val="NoSpacing"/>
        <w:rPr>
          <w:sz w:val="16"/>
          <w:szCs w:val="16"/>
        </w:rPr>
      </w:pPr>
      <w:r w:rsidRPr="00221305">
        <w:rPr>
          <w:rStyle w:val="FootnoteReference"/>
          <w:rFonts w:cstheme="minorHAnsi"/>
          <w:sz w:val="16"/>
          <w:szCs w:val="16"/>
        </w:rPr>
        <w:footnoteRef/>
      </w:r>
      <w:r w:rsidRPr="00221305">
        <w:rPr>
          <w:sz w:val="16"/>
          <w:szCs w:val="16"/>
        </w:rPr>
        <w:t xml:space="preserve"> Nicholas Campion, Astrology and Popular Religion in The Modern West, Routledge, 2016, pp.280-281.</w:t>
      </w:r>
    </w:p>
  </w:footnote>
  <w:footnote w:id="95">
    <w:p w14:paraId="13ED0C9F" w14:textId="77777777" w:rsidR="008572CC" w:rsidRPr="00221305" w:rsidRDefault="008572CC" w:rsidP="008572CC">
      <w:pPr>
        <w:pStyle w:val="NoSpacing"/>
        <w:rPr>
          <w:sz w:val="16"/>
          <w:szCs w:val="16"/>
        </w:rPr>
      </w:pPr>
      <w:r w:rsidRPr="00221305">
        <w:rPr>
          <w:rStyle w:val="FootnoteReference"/>
          <w:sz w:val="16"/>
          <w:szCs w:val="16"/>
        </w:rPr>
        <w:footnoteRef/>
      </w:r>
      <w:r w:rsidRPr="00221305">
        <w:rPr>
          <w:sz w:val="16"/>
          <w:szCs w:val="16"/>
        </w:rPr>
        <w:t xml:space="preserve"> Google Form Questionnaire, Section 3, Question 6.</w:t>
      </w:r>
    </w:p>
  </w:footnote>
  <w:footnote w:id="96">
    <w:p w14:paraId="0809FDC4"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Google Form Questionnaire, Section 3, Question 2.</w:t>
      </w:r>
    </w:p>
  </w:footnote>
  <w:footnote w:id="97">
    <w:p w14:paraId="0258FF0E"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Nicholas Campion, Astrology and Popular Religion in The Modern West, Routledge, 2016, pp.243-248.</w:t>
      </w:r>
    </w:p>
  </w:footnote>
  <w:footnote w:id="98">
    <w:p w14:paraId="2B3D6E11"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Google Form Questionnaire, Section 4, Question 1.</w:t>
      </w:r>
    </w:p>
  </w:footnote>
  <w:footnote w:id="99">
    <w:p w14:paraId="6EB43B92"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P3, Interview, 13</w:t>
      </w:r>
      <w:r w:rsidRPr="00566049">
        <w:rPr>
          <w:sz w:val="16"/>
          <w:szCs w:val="16"/>
          <w:vertAlign w:val="superscript"/>
        </w:rPr>
        <w:t>th</w:t>
      </w:r>
      <w:r w:rsidRPr="00566049">
        <w:rPr>
          <w:sz w:val="16"/>
          <w:szCs w:val="16"/>
        </w:rPr>
        <w:t xml:space="preserve"> April 2025.</w:t>
      </w:r>
    </w:p>
  </w:footnote>
  <w:footnote w:id="100">
    <w:p w14:paraId="135E4621"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P5, Interview, 21</w:t>
      </w:r>
      <w:r w:rsidRPr="00566049">
        <w:rPr>
          <w:sz w:val="16"/>
          <w:szCs w:val="16"/>
          <w:vertAlign w:val="superscript"/>
        </w:rPr>
        <w:t>st</w:t>
      </w:r>
      <w:r w:rsidRPr="00566049">
        <w:rPr>
          <w:sz w:val="16"/>
          <w:szCs w:val="16"/>
        </w:rPr>
        <w:t xml:space="preserve"> April 2025.</w:t>
      </w:r>
    </w:p>
  </w:footnote>
  <w:footnote w:id="101">
    <w:p w14:paraId="22B51DA8"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Google Form Questionnaire, Section 3, Question 3.</w:t>
      </w:r>
    </w:p>
  </w:footnote>
  <w:footnote w:id="102">
    <w:p w14:paraId="193F7C51" w14:textId="77777777" w:rsidR="008572CC" w:rsidRPr="00566049" w:rsidRDefault="008572CC" w:rsidP="008572CC">
      <w:pPr>
        <w:pStyle w:val="NoSpacing"/>
        <w:rPr>
          <w:sz w:val="16"/>
          <w:szCs w:val="16"/>
        </w:rPr>
      </w:pPr>
      <w:r w:rsidRPr="00566049">
        <w:rPr>
          <w:rStyle w:val="FootnoteReference"/>
          <w:sz w:val="16"/>
          <w:szCs w:val="16"/>
        </w:rPr>
        <w:footnoteRef/>
      </w:r>
      <w:r w:rsidRPr="00566049">
        <w:rPr>
          <w:sz w:val="16"/>
          <w:szCs w:val="16"/>
        </w:rPr>
        <w:t xml:space="preserve"> Google Form Questionnaire, Section 4, Question 3</w:t>
      </w:r>
    </w:p>
  </w:footnote>
  <w:footnote w:id="103">
    <w:p w14:paraId="3390F170" w14:textId="77777777" w:rsidR="008572CC" w:rsidRPr="00566049" w:rsidRDefault="008572CC" w:rsidP="008572CC">
      <w:pPr>
        <w:pStyle w:val="NoSpacing"/>
        <w:rPr>
          <w:sz w:val="16"/>
          <w:szCs w:val="16"/>
        </w:rPr>
      </w:pPr>
      <w:r w:rsidRPr="00566049">
        <w:rPr>
          <w:rStyle w:val="FootnoteReference"/>
          <w:rFonts w:cstheme="minorHAnsi"/>
          <w:sz w:val="16"/>
          <w:szCs w:val="16"/>
        </w:rPr>
        <w:footnoteRef/>
      </w:r>
      <w:r w:rsidRPr="00566049">
        <w:rPr>
          <w:sz w:val="16"/>
          <w:szCs w:val="16"/>
        </w:rPr>
        <w:t xml:space="preserve"> Nicholas Campion, What Do Astrologers </w:t>
      </w:r>
      <w:proofErr w:type="gramStart"/>
      <w:r w:rsidRPr="00566049">
        <w:rPr>
          <w:sz w:val="16"/>
          <w:szCs w:val="16"/>
        </w:rPr>
        <w:t>Believe?,</w:t>
      </w:r>
      <w:proofErr w:type="gramEnd"/>
      <w:r w:rsidRPr="00566049">
        <w:rPr>
          <w:sz w:val="16"/>
          <w:szCs w:val="16"/>
        </w:rPr>
        <w:t xml:space="preserve"> </w:t>
      </w:r>
      <w:proofErr w:type="spellStart"/>
      <w:r w:rsidRPr="00566049">
        <w:rPr>
          <w:sz w:val="16"/>
          <w:szCs w:val="16"/>
        </w:rPr>
        <w:t>Granta</w:t>
      </w:r>
      <w:proofErr w:type="spellEnd"/>
      <w:r w:rsidRPr="00566049">
        <w:rPr>
          <w:sz w:val="16"/>
          <w:szCs w:val="16"/>
        </w:rPr>
        <w:t xml:space="preserve"> Books, 2014.</w:t>
      </w:r>
    </w:p>
  </w:footnote>
  <w:footnote w:id="104">
    <w:p w14:paraId="5A8B3080" w14:textId="77777777" w:rsidR="008572CC" w:rsidRPr="00566049" w:rsidRDefault="008572CC" w:rsidP="008572CC">
      <w:pPr>
        <w:pStyle w:val="NoSpacing"/>
        <w:rPr>
          <w:sz w:val="16"/>
          <w:szCs w:val="16"/>
        </w:rPr>
      </w:pPr>
      <w:r w:rsidRPr="00566049">
        <w:rPr>
          <w:rStyle w:val="FootnoteReference"/>
          <w:rFonts w:cstheme="minorHAnsi"/>
          <w:sz w:val="16"/>
          <w:szCs w:val="16"/>
        </w:rPr>
        <w:footnoteRef/>
      </w:r>
      <w:r w:rsidRPr="00566049">
        <w:rPr>
          <w:sz w:val="16"/>
          <w:szCs w:val="16"/>
        </w:rPr>
        <w:t xml:space="preserve"> P10, Google Form Questionnaire, Section 3, Question 1.</w:t>
      </w:r>
    </w:p>
  </w:footnote>
  <w:footnote w:id="105">
    <w:p w14:paraId="28D07E09" w14:textId="77777777" w:rsidR="008572CC" w:rsidRPr="00566049" w:rsidRDefault="008572CC" w:rsidP="008572CC">
      <w:pPr>
        <w:pStyle w:val="NoSpacing"/>
        <w:rPr>
          <w:sz w:val="16"/>
          <w:szCs w:val="16"/>
        </w:rPr>
      </w:pPr>
      <w:r w:rsidRPr="00566049">
        <w:rPr>
          <w:rStyle w:val="FootnoteReference"/>
          <w:rFonts w:cstheme="minorHAnsi"/>
          <w:sz w:val="16"/>
          <w:szCs w:val="16"/>
        </w:rPr>
        <w:footnoteRef/>
      </w:r>
      <w:r w:rsidRPr="00566049">
        <w:rPr>
          <w:sz w:val="16"/>
          <w:szCs w:val="16"/>
        </w:rPr>
        <w:t xml:space="preserve"> P16, Google Form Questionnaire, Section 3, Question 1.</w:t>
      </w:r>
    </w:p>
  </w:footnote>
  <w:footnote w:id="106">
    <w:p w14:paraId="617FE972" w14:textId="77777777" w:rsidR="008572CC" w:rsidRPr="009F2FCC" w:rsidRDefault="008572CC" w:rsidP="008572CC">
      <w:pPr>
        <w:pStyle w:val="NoSpacing"/>
        <w:rPr>
          <w:sz w:val="16"/>
          <w:szCs w:val="16"/>
        </w:rPr>
      </w:pPr>
      <w:r w:rsidRPr="009F2FCC">
        <w:rPr>
          <w:rStyle w:val="FootnoteReference"/>
          <w:rFonts w:cstheme="minorHAnsi"/>
          <w:sz w:val="16"/>
          <w:szCs w:val="16"/>
        </w:rPr>
        <w:footnoteRef/>
      </w:r>
      <w:r w:rsidRPr="009F2FCC">
        <w:rPr>
          <w:sz w:val="16"/>
          <w:szCs w:val="16"/>
        </w:rPr>
        <w:t xml:space="preserve"> </w:t>
      </w:r>
      <w:r w:rsidRPr="009F2FCC">
        <w:rPr>
          <w:rFonts w:cstheme="minorHAnsi"/>
          <w:sz w:val="16"/>
          <w:szCs w:val="16"/>
        </w:rPr>
        <w:t xml:space="preserve">Geoffrey Cornelius, The Moment of Astrology, Origins </w:t>
      </w:r>
      <w:proofErr w:type="gramStart"/>
      <w:r w:rsidRPr="009F2FCC">
        <w:rPr>
          <w:rFonts w:cstheme="minorHAnsi"/>
          <w:sz w:val="16"/>
          <w:szCs w:val="16"/>
        </w:rPr>
        <w:t>In</w:t>
      </w:r>
      <w:proofErr w:type="gramEnd"/>
      <w:r w:rsidRPr="009F2FCC">
        <w:rPr>
          <w:rFonts w:cstheme="minorHAnsi"/>
          <w:sz w:val="16"/>
          <w:szCs w:val="16"/>
        </w:rPr>
        <w:t xml:space="preserve"> Divination, The Wessex Astrologer, 2003, pp.</w:t>
      </w:r>
      <w:r w:rsidRPr="009F2FCC">
        <w:rPr>
          <w:sz w:val="16"/>
          <w:szCs w:val="16"/>
        </w:rPr>
        <w:t>277-280.</w:t>
      </w:r>
    </w:p>
  </w:footnote>
  <w:footnote w:id="107">
    <w:p w14:paraId="032BB3E0" w14:textId="77777777" w:rsidR="008572CC" w:rsidRPr="009F2FCC" w:rsidRDefault="008572CC" w:rsidP="008572CC">
      <w:pPr>
        <w:pStyle w:val="NoSpacing"/>
        <w:rPr>
          <w:rFonts w:cstheme="minorHAnsi"/>
          <w:sz w:val="16"/>
          <w:szCs w:val="16"/>
        </w:rPr>
      </w:pPr>
      <w:r w:rsidRPr="009F2FCC">
        <w:rPr>
          <w:rStyle w:val="FootnoteReference"/>
          <w:rFonts w:cstheme="minorHAnsi"/>
          <w:sz w:val="16"/>
          <w:szCs w:val="16"/>
        </w:rPr>
        <w:footnoteRef/>
      </w:r>
      <w:r w:rsidRPr="009F2FCC">
        <w:rPr>
          <w:sz w:val="16"/>
          <w:szCs w:val="16"/>
        </w:rPr>
        <w:t xml:space="preserve"> </w:t>
      </w:r>
      <w:r w:rsidRPr="009F2FCC">
        <w:rPr>
          <w:rFonts w:eastAsia="Times New Roman" w:cstheme="minorHAnsi"/>
          <w:sz w:val="16"/>
          <w:szCs w:val="16"/>
          <w:lang w:eastAsia="en-GB"/>
        </w:rPr>
        <w:t xml:space="preserve">Bertrand Russell, On Astrologers,[Accessed on March 2025] </w:t>
      </w:r>
      <w:hyperlink r:id="rId21" w:anchor=":~:text=Astrologers%20still%20exist%3B%20it%20has,an%20invalid%20husband%20to%20support" w:history="1">
        <w:r w:rsidRPr="009F2FCC">
          <w:rPr>
            <w:rStyle w:val="Hyperlink"/>
            <w:rFonts w:cstheme="minorHAnsi"/>
            <w:sz w:val="16"/>
            <w:szCs w:val="16"/>
          </w:rPr>
          <w:t>http://thecampvs.com/2011/03/10/bertrand-russell-on-astrologers/#:~:text=Astrologers%20still%20exist%3B%20it%20has,an%20invalid%20husband%20to%20support</w:t>
        </w:r>
      </w:hyperlink>
      <w:r w:rsidRPr="009F2FCC">
        <w:rPr>
          <w:rFonts w:cstheme="minorHAnsi"/>
          <w:sz w:val="16"/>
          <w:szCs w:val="16"/>
        </w:rPr>
        <w:t>.</w:t>
      </w:r>
      <w:r w:rsidRPr="009F2FCC">
        <w:rPr>
          <w:rFonts w:eastAsia="Times New Roman" w:cstheme="minorHAnsi"/>
          <w:sz w:val="16"/>
          <w:szCs w:val="16"/>
          <w:lang w:eastAsia="en-GB"/>
        </w:rPr>
        <w:t xml:space="preserve"> </w:t>
      </w:r>
    </w:p>
  </w:footnote>
  <w:footnote w:id="108">
    <w:p w14:paraId="3EA05CB6" w14:textId="77777777" w:rsidR="008572CC" w:rsidRPr="009F2FCC" w:rsidRDefault="008572CC" w:rsidP="008572CC">
      <w:pPr>
        <w:pStyle w:val="NoSpacing"/>
        <w:rPr>
          <w:sz w:val="16"/>
          <w:szCs w:val="16"/>
        </w:rPr>
      </w:pPr>
      <w:r w:rsidRPr="009F2FCC">
        <w:rPr>
          <w:rStyle w:val="FootnoteReference"/>
          <w:rFonts w:cstheme="minorHAnsi"/>
          <w:sz w:val="16"/>
          <w:szCs w:val="16"/>
        </w:rPr>
        <w:footnoteRef/>
      </w:r>
      <w:r w:rsidRPr="009F2FCC">
        <w:rPr>
          <w:sz w:val="16"/>
          <w:szCs w:val="16"/>
        </w:rPr>
        <w:t xml:space="preserve"> P5, Google Form Questionnaire, Section 3, Question 1.</w:t>
      </w:r>
    </w:p>
  </w:footnote>
  <w:footnote w:id="109">
    <w:p w14:paraId="29117EC6" w14:textId="77777777" w:rsidR="008572CC" w:rsidRPr="009F2FCC" w:rsidRDefault="008572CC" w:rsidP="008572CC">
      <w:pPr>
        <w:pStyle w:val="NoSpacing"/>
        <w:rPr>
          <w:sz w:val="16"/>
          <w:szCs w:val="16"/>
        </w:rPr>
      </w:pPr>
      <w:r w:rsidRPr="009F2FCC">
        <w:rPr>
          <w:rStyle w:val="FootnoteReference"/>
          <w:rFonts w:cstheme="minorHAnsi"/>
          <w:sz w:val="16"/>
          <w:szCs w:val="16"/>
        </w:rPr>
        <w:footnoteRef/>
      </w:r>
      <w:r w:rsidRPr="009F2FCC">
        <w:rPr>
          <w:sz w:val="16"/>
          <w:szCs w:val="16"/>
        </w:rPr>
        <w:t xml:space="preserve"> Richard </w:t>
      </w:r>
      <w:proofErr w:type="spellStart"/>
      <w:r w:rsidRPr="009F2FCC">
        <w:rPr>
          <w:sz w:val="16"/>
          <w:szCs w:val="16"/>
        </w:rPr>
        <w:t>Tarnas</w:t>
      </w:r>
      <w:proofErr w:type="spellEnd"/>
      <w:r w:rsidRPr="009F2FCC">
        <w:rPr>
          <w:sz w:val="16"/>
          <w:szCs w:val="16"/>
        </w:rPr>
        <w:t>, Cosmos and Psyche, Intimations of a New World View, Plume, 2007, p. 93.</w:t>
      </w:r>
    </w:p>
  </w:footnote>
  <w:footnote w:id="110">
    <w:p w14:paraId="1F393571" w14:textId="77777777" w:rsidR="008572CC" w:rsidRPr="009F2FCC" w:rsidRDefault="008572CC" w:rsidP="008572CC">
      <w:pPr>
        <w:pStyle w:val="FootnoteText"/>
        <w:rPr>
          <w:sz w:val="16"/>
          <w:szCs w:val="16"/>
        </w:rPr>
      </w:pPr>
      <w:r w:rsidRPr="009F2FCC">
        <w:rPr>
          <w:rStyle w:val="FootnoteReference"/>
          <w:sz w:val="16"/>
          <w:szCs w:val="16"/>
        </w:rPr>
        <w:footnoteRef/>
      </w:r>
      <w:r w:rsidRPr="009F2FCC">
        <w:rPr>
          <w:sz w:val="16"/>
          <w:szCs w:val="16"/>
        </w:rPr>
        <w:t xml:space="preserve"> P12, Interview, 9</w:t>
      </w:r>
      <w:r w:rsidRPr="009F2FCC">
        <w:rPr>
          <w:sz w:val="16"/>
          <w:szCs w:val="16"/>
          <w:vertAlign w:val="superscript"/>
        </w:rPr>
        <w:t>th</w:t>
      </w:r>
      <w:r w:rsidRPr="009F2FCC">
        <w:rPr>
          <w:sz w:val="16"/>
          <w:szCs w:val="16"/>
        </w:rPr>
        <w:t xml:space="preserve"> April 2025.</w:t>
      </w:r>
    </w:p>
  </w:footnote>
  <w:footnote w:id="111">
    <w:p w14:paraId="70C3FCC6" w14:textId="77777777" w:rsidR="008572CC" w:rsidRPr="009F2FCC" w:rsidRDefault="008572CC" w:rsidP="008572CC">
      <w:pPr>
        <w:pStyle w:val="NoSpacing"/>
        <w:rPr>
          <w:sz w:val="16"/>
          <w:szCs w:val="16"/>
        </w:rPr>
      </w:pPr>
      <w:r w:rsidRPr="009F2FCC">
        <w:rPr>
          <w:rStyle w:val="FootnoteReference"/>
          <w:rFonts w:cstheme="minorHAnsi"/>
          <w:sz w:val="16"/>
          <w:szCs w:val="16"/>
        </w:rPr>
        <w:footnoteRef/>
      </w:r>
      <w:r w:rsidRPr="009F2FCC">
        <w:rPr>
          <w:sz w:val="16"/>
          <w:szCs w:val="16"/>
        </w:rPr>
        <w:t xml:space="preserve"> Plato, Book 10, Section 617e, Perseus Digital Library, </w:t>
      </w:r>
      <w:hyperlink r:id="rId22" w:history="1">
        <w:r w:rsidRPr="009F2FCC">
          <w:rPr>
            <w:rStyle w:val="Hyperlink"/>
            <w:rFonts w:cstheme="minorHAnsi"/>
            <w:sz w:val="16"/>
            <w:szCs w:val="16"/>
          </w:rPr>
          <w:t>https://www.perseus.tufts.edu/hopper/text?doc=Perseus%3Atext%3A1999.01.0168%3Abook%3D10%3Asection%3D617e</w:t>
        </w:r>
      </w:hyperlink>
    </w:p>
  </w:footnote>
  <w:footnote w:id="112">
    <w:p w14:paraId="29C53822" w14:textId="77777777" w:rsidR="008572CC" w:rsidRPr="009F2FCC" w:rsidRDefault="008572CC" w:rsidP="008572CC">
      <w:pPr>
        <w:pStyle w:val="NoSpacing"/>
        <w:rPr>
          <w:sz w:val="16"/>
          <w:szCs w:val="16"/>
        </w:rPr>
      </w:pPr>
      <w:r w:rsidRPr="009F2FCC">
        <w:rPr>
          <w:rStyle w:val="FootnoteReference"/>
          <w:rFonts w:cstheme="minorHAnsi"/>
          <w:sz w:val="16"/>
          <w:szCs w:val="16"/>
        </w:rPr>
        <w:footnoteRef/>
      </w:r>
      <w:r w:rsidRPr="009F2FCC">
        <w:rPr>
          <w:sz w:val="16"/>
          <w:szCs w:val="16"/>
        </w:rPr>
        <w:t xml:space="preserve"> </w:t>
      </w:r>
      <w:r w:rsidRPr="009F2FCC">
        <w:rPr>
          <w:rFonts w:cstheme="minorHAnsi"/>
          <w:sz w:val="16"/>
          <w:szCs w:val="16"/>
          <w:lang w:eastAsia="en-GB"/>
        </w:rPr>
        <w:t>Bernadette Brady, Theories of Fate Among Present Day Astrologers, Trinity Saint David University of Wales, 2012</w:t>
      </w:r>
      <w:r w:rsidRPr="009F2FCC">
        <w:rPr>
          <w:rFonts w:cstheme="minorHAnsi"/>
          <w:sz w:val="16"/>
          <w:szCs w:val="16"/>
        </w:rPr>
        <w:t xml:space="preserve">, chapter 7 </w:t>
      </w:r>
      <w:r w:rsidRPr="009F2FCC">
        <w:rPr>
          <w:sz w:val="16"/>
          <w:szCs w:val="16"/>
        </w:rPr>
        <w:t>and conclusion.</w:t>
      </w:r>
    </w:p>
  </w:footnote>
  <w:footnote w:id="113">
    <w:p w14:paraId="0E07421A" w14:textId="77777777" w:rsidR="008572CC" w:rsidRPr="00AF6C41" w:rsidRDefault="008572CC" w:rsidP="008572CC">
      <w:pPr>
        <w:pStyle w:val="NoSpacing"/>
        <w:rPr>
          <w:sz w:val="16"/>
          <w:szCs w:val="16"/>
        </w:rPr>
      </w:pPr>
      <w:r w:rsidRPr="00AF6C41">
        <w:rPr>
          <w:rStyle w:val="FootnoteReference"/>
          <w:sz w:val="16"/>
          <w:szCs w:val="16"/>
        </w:rPr>
        <w:footnoteRef/>
      </w:r>
      <w:r w:rsidRPr="00AF6C41">
        <w:rPr>
          <w:sz w:val="16"/>
          <w:szCs w:val="16"/>
        </w:rPr>
        <w:t xml:space="preserve"> Maureen B. Roberts, PhD, Re-Connection vs Re-Collection: Individuation &amp; Soul Retrieval as Remembered Wholeness,</w:t>
      </w:r>
      <w:r w:rsidRPr="00AF6C41">
        <w:rPr>
          <w:b/>
          <w:bCs/>
          <w:sz w:val="16"/>
          <w:szCs w:val="16"/>
        </w:rPr>
        <w:t xml:space="preserve"> </w:t>
      </w:r>
      <w:hyperlink r:id="rId23" w:history="1">
        <w:r w:rsidRPr="00AF6C41">
          <w:rPr>
            <w:rStyle w:val="Hyperlink"/>
            <w:sz w:val="16"/>
            <w:szCs w:val="16"/>
          </w:rPr>
          <w:t>https://www.jungcircle.com/ind.html</w:t>
        </w:r>
      </w:hyperlink>
      <w:r w:rsidRPr="00AF6C41">
        <w:rPr>
          <w:sz w:val="16"/>
          <w:szCs w:val="16"/>
        </w:rPr>
        <w:t xml:space="preserve"> [Accessed May 2025].</w:t>
      </w:r>
    </w:p>
  </w:footnote>
  <w:footnote w:id="114">
    <w:p w14:paraId="477F9971" w14:textId="77777777" w:rsidR="008572CC" w:rsidRPr="00AF6C41" w:rsidRDefault="008572CC" w:rsidP="008572CC">
      <w:pPr>
        <w:pStyle w:val="FootnoteText"/>
        <w:rPr>
          <w:sz w:val="16"/>
          <w:szCs w:val="16"/>
        </w:rPr>
      </w:pPr>
      <w:r w:rsidRPr="00AF6C41">
        <w:rPr>
          <w:rStyle w:val="FootnoteReference"/>
          <w:sz w:val="16"/>
          <w:szCs w:val="16"/>
        </w:rPr>
        <w:footnoteRef/>
      </w:r>
      <w:r w:rsidRPr="00AF6C41">
        <w:rPr>
          <w:sz w:val="16"/>
          <w:szCs w:val="16"/>
        </w:rPr>
        <w:t xml:space="preserve"> P5, Interview, 21</w:t>
      </w:r>
      <w:r w:rsidRPr="00AF6C41">
        <w:rPr>
          <w:sz w:val="16"/>
          <w:szCs w:val="16"/>
          <w:vertAlign w:val="superscript"/>
        </w:rPr>
        <w:t>st</w:t>
      </w:r>
      <w:r w:rsidRPr="00AF6C41">
        <w:rPr>
          <w:sz w:val="16"/>
          <w:szCs w:val="16"/>
        </w:rPr>
        <w:t xml:space="preserve"> April 2025.</w:t>
      </w:r>
    </w:p>
  </w:footnote>
  <w:footnote w:id="115">
    <w:p w14:paraId="052E4E29" w14:textId="77777777" w:rsidR="008572CC" w:rsidRPr="002F71E6" w:rsidRDefault="008572CC" w:rsidP="008572CC">
      <w:pPr>
        <w:pStyle w:val="FootnoteText"/>
        <w:rPr>
          <w:sz w:val="16"/>
          <w:szCs w:val="16"/>
        </w:rPr>
      </w:pPr>
      <w:r w:rsidRPr="002F71E6">
        <w:rPr>
          <w:rStyle w:val="FootnoteReference"/>
          <w:sz w:val="16"/>
          <w:szCs w:val="16"/>
        </w:rPr>
        <w:footnoteRef/>
      </w:r>
      <w:r w:rsidRPr="002F71E6">
        <w:rPr>
          <w:sz w:val="16"/>
          <w:szCs w:val="16"/>
        </w:rPr>
        <w:t xml:space="preserve"> </w:t>
      </w:r>
      <w:r w:rsidRPr="002F71E6">
        <w:rPr>
          <w:rFonts w:cstheme="minorHAnsi"/>
          <w:sz w:val="16"/>
          <w:szCs w:val="16"/>
          <w:lang w:eastAsia="en-GB"/>
        </w:rPr>
        <w:t>Bernadette Brady, Theories of Fate Among Present Day Astrologers, Trinity Saint David University of Wales, 2012, p.299.</w:t>
      </w:r>
    </w:p>
  </w:footnote>
  <w:footnote w:id="116">
    <w:p w14:paraId="5C7920A8" w14:textId="77777777" w:rsidR="008572CC" w:rsidRPr="002F71E6" w:rsidRDefault="008572CC" w:rsidP="008572CC">
      <w:pPr>
        <w:pStyle w:val="NoSpacing"/>
        <w:rPr>
          <w:sz w:val="16"/>
          <w:szCs w:val="16"/>
        </w:rPr>
      </w:pPr>
      <w:r w:rsidRPr="002F71E6">
        <w:rPr>
          <w:rStyle w:val="FootnoteReference"/>
          <w:rFonts w:cstheme="minorHAnsi"/>
          <w:sz w:val="16"/>
          <w:szCs w:val="16"/>
        </w:rPr>
        <w:footnoteRef/>
      </w:r>
      <w:r w:rsidRPr="002F71E6">
        <w:rPr>
          <w:sz w:val="16"/>
          <w:szCs w:val="16"/>
        </w:rPr>
        <w:t xml:space="preserve"> P16, Google Form Questionnaire, Final/Optional Question.</w:t>
      </w:r>
    </w:p>
  </w:footnote>
  <w:footnote w:id="117">
    <w:p w14:paraId="2DE6BBDA" w14:textId="77777777" w:rsidR="008572CC" w:rsidRPr="002F71E6" w:rsidRDefault="008572CC" w:rsidP="008572CC">
      <w:pPr>
        <w:pStyle w:val="NoSpacing"/>
        <w:rPr>
          <w:sz w:val="16"/>
          <w:szCs w:val="16"/>
        </w:rPr>
      </w:pPr>
      <w:r w:rsidRPr="002F71E6">
        <w:rPr>
          <w:rStyle w:val="FootnoteReference"/>
          <w:rFonts w:cstheme="minorHAnsi"/>
          <w:sz w:val="16"/>
          <w:szCs w:val="16"/>
        </w:rPr>
        <w:footnoteRef/>
      </w:r>
      <w:r w:rsidRPr="002F71E6">
        <w:rPr>
          <w:sz w:val="16"/>
          <w:szCs w:val="16"/>
        </w:rPr>
        <w:t xml:space="preserve"> Liz Greene, The Astrology of Fate, Mandala, 1985, p.282.</w:t>
      </w:r>
    </w:p>
  </w:footnote>
  <w:footnote w:id="118">
    <w:p w14:paraId="07C1667A" w14:textId="77777777" w:rsidR="008572CC" w:rsidRPr="002F71E6" w:rsidRDefault="008572CC" w:rsidP="008572CC">
      <w:pPr>
        <w:pStyle w:val="NoSpacing"/>
        <w:rPr>
          <w:sz w:val="16"/>
          <w:szCs w:val="16"/>
        </w:rPr>
      </w:pPr>
      <w:r w:rsidRPr="002F71E6">
        <w:rPr>
          <w:rStyle w:val="FootnoteReference"/>
          <w:rFonts w:cstheme="minorHAnsi"/>
          <w:sz w:val="16"/>
          <w:szCs w:val="16"/>
        </w:rPr>
        <w:footnoteRef/>
      </w:r>
      <w:r w:rsidRPr="002F71E6">
        <w:rPr>
          <w:sz w:val="16"/>
          <w:szCs w:val="16"/>
        </w:rPr>
        <w:t xml:space="preserve"> Clare Martin</w:t>
      </w:r>
      <w:r w:rsidRPr="002F71E6">
        <w:rPr>
          <w:i/>
          <w:iCs/>
          <w:sz w:val="16"/>
          <w:szCs w:val="16"/>
        </w:rPr>
        <w:t>,</w:t>
      </w:r>
      <w:r w:rsidRPr="002F71E6">
        <w:rPr>
          <w:rStyle w:val="apple-converted-space"/>
          <w:rFonts w:cstheme="minorHAnsi"/>
          <w:i/>
          <w:iCs/>
          <w:color w:val="000000"/>
          <w:sz w:val="16"/>
          <w:szCs w:val="16"/>
        </w:rPr>
        <w:t> </w:t>
      </w:r>
      <w:r w:rsidRPr="002F71E6">
        <w:rPr>
          <w:rStyle w:val="Emphasis"/>
          <w:rFonts w:cstheme="minorHAnsi"/>
          <w:color w:val="000000"/>
          <w:sz w:val="16"/>
          <w:szCs w:val="16"/>
        </w:rPr>
        <w:t>Alchemy: The Soul of Astrology</w:t>
      </w:r>
      <w:r w:rsidRPr="002F71E6">
        <w:rPr>
          <w:sz w:val="16"/>
          <w:szCs w:val="16"/>
        </w:rPr>
        <w:t>, The Wessex Astrologer, 2020, p. 40</w:t>
      </w:r>
    </w:p>
  </w:footnote>
  <w:footnote w:id="119">
    <w:p w14:paraId="2185065A" w14:textId="77777777" w:rsidR="008572CC" w:rsidRPr="00392CB4" w:rsidRDefault="008572CC" w:rsidP="008572CC">
      <w:pPr>
        <w:pStyle w:val="NoSpacing"/>
        <w:rPr>
          <w:sz w:val="16"/>
          <w:szCs w:val="16"/>
        </w:rPr>
      </w:pPr>
      <w:r w:rsidRPr="00392CB4">
        <w:rPr>
          <w:rStyle w:val="FootnoteReference"/>
          <w:sz w:val="16"/>
          <w:szCs w:val="16"/>
        </w:rPr>
        <w:footnoteRef/>
      </w:r>
      <w:r w:rsidRPr="00392CB4">
        <w:rPr>
          <w:sz w:val="16"/>
          <w:szCs w:val="16"/>
        </w:rPr>
        <w:t xml:space="preserve"> P16, Interview ,11</w:t>
      </w:r>
      <w:r w:rsidRPr="00392CB4">
        <w:rPr>
          <w:sz w:val="16"/>
          <w:szCs w:val="16"/>
          <w:vertAlign w:val="superscript"/>
        </w:rPr>
        <w:t>th</w:t>
      </w:r>
      <w:r w:rsidRPr="00392CB4">
        <w:rPr>
          <w:sz w:val="16"/>
          <w:szCs w:val="16"/>
        </w:rPr>
        <w:t xml:space="preserve"> April 2025.</w:t>
      </w:r>
    </w:p>
  </w:footnote>
  <w:footnote w:id="120">
    <w:p w14:paraId="07516EBC" w14:textId="77777777" w:rsidR="008572CC" w:rsidRPr="00392CB4" w:rsidRDefault="008572CC" w:rsidP="008572CC">
      <w:pPr>
        <w:pStyle w:val="NoSpacing"/>
        <w:rPr>
          <w:sz w:val="16"/>
          <w:szCs w:val="16"/>
        </w:rPr>
      </w:pPr>
      <w:r w:rsidRPr="00392CB4">
        <w:rPr>
          <w:rStyle w:val="FootnoteReference"/>
          <w:sz w:val="16"/>
          <w:szCs w:val="16"/>
        </w:rPr>
        <w:footnoteRef/>
      </w:r>
      <w:r w:rsidRPr="00392CB4">
        <w:rPr>
          <w:sz w:val="16"/>
          <w:szCs w:val="16"/>
        </w:rPr>
        <w:t xml:space="preserve"> Nicholas Campion, Astrology and Popular Religion in The Modern West, Routledge, 2016, pp.102-103.</w:t>
      </w:r>
    </w:p>
  </w:footnote>
  <w:footnote w:id="121">
    <w:p w14:paraId="5A11D313" w14:textId="77777777" w:rsidR="008572CC" w:rsidRPr="00392CB4" w:rsidRDefault="008572CC" w:rsidP="008572CC">
      <w:pPr>
        <w:pStyle w:val="NoSpacing"/>
        <w:rPr>
          <w:sz w:val="16"/>
          <w:szCs w:val="16"/>
        </w:rPr>
      </w:pPr>
      <w:r w:rsidRPr="00392CB4">
        <w:rPr>
          <w:rStyle w:val="FootnoteReference"/>
          <w:rFonts w:cstheme="minorHAnsi"/>
          <w:sz w:val="16"/>
          <w:szCs w:val="16"/>
        </w:rPr>
        <w:footnoteRef/>
      </w:r>
      <w:r w:rsidRPr="00392CB4">
        <w:rPr>
          <w:sz w:val="16"/>
          <w:szCs w:val="16"/>
        </w:rPr>
        <w:t xml:space="preserve"> P2, Interview, 16</w:t>
      </w:r>
      <w:r w:rsidRPr="00392CB4">
        <w:rPr>
          <w:sz w:val="16"/>
          <w:szCs w:val="16"/>
          <w:vertAlign w:val="superscript"/>
        </w:rPr>
        <w:t>th</w:t>
      </w:r>
      <w:r w:rsidRPr="00392CB4">
        <w:rPr>
          <w:sz w:val="16"/>
          <w:szCs w:val="16"/>
        </w:rPr>
        <w:t xml:space="preserve"> April2025.</w:t>
      </w:r>
    </w:p>
  </w:footnote>
  <w:footnote w:id="122">
    <w:p w14:paraId="78DB6341" w14:textId="77777777" w:rsidR="008572CC" w:rsidRPr="00392CB4" w:rsidRDefault="008572CC" w:rsidP="008572CC">
      <w:pPr>
        <w:pStyle w:val="NoSpacing"/>
        <w:rPr>
          <w:sz w:val="16"/>
          <w:szCs w:val="16"/>
        </w:rPr>
      </w:pPr>
      <w:r w:rsidRPr="00392CB4">
        <w:rPr>
          <w:rStyle w:val="FootnoteReference"/>
          <w:rFonts w:cstheme="minorHAnsi"/>
          <w:sz w:val="16"/>
          <w:szCs w:val="16"/>
        </w:rPr>
        <w:footnoteRef/>
      </w:r>
      <w:r w:rsidRPr="00392CB4">
        <w:rPr>
          <w:sz w:val="16"/>
          <w:szCs w:val="16"/>
        </w:rPr>
        <w:t xml:space="preserve"> P5, Interview, 21</w:t>
      </w:r>
      <w:r w:rsidRPr="00392CB4">
        <w:rPr>
          <w:sz w:val="16"/>
          <w:szCs w:val="16"/>
          <w:vertAlign w:val="superscript"/>
        </w:rPr>
        <w:t>st</w:t>
      </w:r>
      <w:r w:rsidRPr="00392CB4">
        <w:rPr>
          <w:sz w:val="16"/>
          <w:szCs w:val="16"/>
        </w:rPr>
        <w:t xml:space="preserve"> April 2025.</w:t>
      </w:r>
    </w:p>
  </w:footnote>
  <w:footnote w:id="123">
    <w:p w14:paraId="137BAF46" w14:textId="77777777" w:rsidR="008572CC" w:rsidRPr="00392CB4" w:rsidRDefault="008572CC" w:rsidP="008572CC">
      <w:pPr>
        <w:pStyle w:val="FootnoteText"/>
        <w:rPr>
          <w:sz w:val="16"/>
          <w:szCs w:val="16"/>
        </w:rPr>
      </w:pPr>
      <w:r w:rsidRPr="00392CB4">
        <w:rPr>
          <w:rStyle w:val="FootnoteReference"/>
          <w:sz w:val="16"/>
          <w:szCs w:val="16"/>
        </w:rPr>
        <w:footnoteRef/>
      </w:r>
      <w:r w:rsidRPr="00392CB4">
        <w:rPr>
          <w:sz w:val="16"/>
          <w:szCs w:val="16"/>
        </w:rPr>
        <w:t xml:space="preserve"> P16, Interview.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7325556"/>
      <w:docPartObj>
        <w:docPartGallery w:val="Page Numbers (Top of Page)"/>
        <w:docPartUnique/>
      </w:docPartObj>
    </w:sdtPr>
    <w:sdtContent>
      <w:p w14:paraId="7EE7B09E" w14:textId="678B4AE2" w:rsidR="004B6821" w:rsidRDefault="004B6821" w:rsidP="0003301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80511D" w14:textId="77777777" w:rsidR="004B6821" w:rsidRDefault="004B6821" w:rsidP="004B682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2078950"/>
      <w:docPartObj>
        <w:docPartGallery w:val="Page Numbers (Top of Page)"/>
        <w:docPartUnique/>
      </w:docPartObj>
    </w:sdtPr>
    <w:sdtContent>
      <w:p w14:paraId="566B71B2" w14:textId="1CF20B3C" w:rsidR="004B6821" w:rsidRDefault="004B6821" w:rsidP="0003301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4FE5E7F8" w14:textId="6D601A0F" w:rsidR="004B6821" w:rsidRDefault="004B6821" w:rsidP="004B6821">
    <w:pPr>
      <w:pStyle w:val="Header"/>
      <w:ind w:right="360"/>
    </w:pPr>
    <w:r>
      <w:t xml:space="preserve">Cristina-Felicia Rosca </w:t>
    </w:r>
    <w:r>
      <w:rPr>
        <w:rFonts w:ascii="Arial" w:hAnsi="Arial" w:cs="Arial"/>
      </w:rPr>
      <w:t>2420397</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9A6"/>
    <w:multiLevelType w:val="hybridMultilevel"/>
    <w:tmpl w:val="6EE6E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3387F"/>
    <w:multiLevelType w:val="hybridMultilevel"/>
    <w:tmpl w:val="8AB82AE2"/>
    <w:lvl w:ilvl="0" w:tplc="AE903F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0B164B"/>
    <w:multiLevelType w:val="hybridMultilevel"/>
    <w:tmpl w:val="D17628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840F7"/>
    <w:multiLevelType w:val="hybridMultilevel"/>
    <w:tmpl w:val="1C2C4344"/>
    <w:lvl w:ilvl="0" w:tplc="57CCC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4E495E"/>
    <w:multiLevelType w:val="hybridMultilevel"/>
    <w:tmpl w:val="7DC0BEBC"/>
    <w:lvl w:ilvl="0" w:tplc="D016952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CE55120"/>
    <w:multiLevelType w:val="hybridMultilevel"/>
    <w:tmpl w:val="E070C1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8657C"/>
    <w:multiLevelType w:val="hybridMultilevel"/>
    <w:tmpl w:val="29DC23D4"/>
    <w:lvl w:ilvl="0" w:tplc="DFEE5B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6C6BB7"/>
    <w:multiLevelType w:val="hybridMultilevel"/>
    <w:tmpl w:val="CF8CB798"/>
    <w:lvl w:ilvl="0" w:tplc="5962A0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3974EB5"/>
    <w:multiLevelType w:val="hybridMultilevel"/>
    <w:tmpl w:val="7D221E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26D08"/>
    <w:multiLevelType w:val="hybridMultilevel"/>
    <w:tmpl w:val="227652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721F8"/>
    <w:multiLevelType w:val="hybridMultilevel"/>
    <w:tmpl w:val="CBA075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E06A6"/>
    <w:multiLevelType w:val="hybridMultilevel"/>
    <w:tmpl w:val="7400BD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820066"/>
    <w:multiLevelType w:val="hybridMultilevel"/>
    <w:tmpl w:val="D9A2A878"/>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02C69F9"/>
    <w:multiLevelType w:val="hybridMultilevel"/>
    <w:tmpl w:val="EA36D4D6"/>
    <w:lvl w:ilvl="0" w:tplc="9056A8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DE103B"/>
    <w:multiLevelType w:val="hybridMultilevel"/>
    <w:tmpl w:val="8EF853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72FE0"/>
    <w:multiLevelType w:val="hybridMultilevel"/>
    <w:tmpl w:val="B8AE8B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D46BC"/>
    <w:multiLevelType w:val="hybridMultilevel"/>
    <w:tmpl w:val="B15A76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07570"/>
    <w:multiLevelType w:val="hybridMultilevel"/>
    <w:tmpl w:val="37843546"/>
    <w:lvl w:ilvl="0" w:tplc="DFEE5B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6C2726"/>
    <w:multiLevelType w:val="hybridMultilevel"/>
    <w:tmpl w:val="1E5E63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A404D4"/>
    <w:multiLevelType w:val="hybridMultilevel"/>
    <w:tmpl w:val="60EA6496"/>
    <w:lvl w:ilvl="0" w:tplc="52329E52">
      <w:start w:val="5"/>
      <w:numFmt w:val="decimal"/>
      <w:lvlText w:val="%1."/>
      <w:lvlJc w:val="left"/>
      <w:pPr>
        <w:ind w:left="720" w:hanging="360"/>
      </w:pPr>
      <w:rPr>
        <w:rFonts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CC6C43"/>
    <w:multiLevelType w:val="hybridMultilevel"/>
    <w:tmpl w:val="E23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AC5239"/>
    <w:multiLevelType w:val="hybridMultilevel"/>
    <w:tmpl w:val="1D16341A"/>
    <w:lvl w:ilvl="0" w:tplc="DFEE5B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8E5E25"/>
    <w:multiLevelType w:val="hybridMultilevel"/>
    <w:tmpl w:val="E656F0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BA3AB4"/>
    <w:multiLevelType w:val="hybridMultilevel"/>
    <w:tmpl w:val="81E6DB1A"/>
    <w:lvl w:ilvl="0" w:tplc="DFEE5B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1C1AAD"/>
    <w:multiLevelType w:val="hybridMultilevel"/>
    <w:tmpl w:val="A740E826"/>
    <w:lvl w:ilvl="0" w:tplc="B372932C">
      <w:start w:val="5"/>
      <w:numFmt w:val="decimal"/>
      <w:lvlText w:val="%1."/>
      <w:lvlJc w:val="left"/>
      <w:pPr>
        <w:ind w:left="720" w:hanging="360"/>
      </w:pPr>
      <w:rPr>
        <w:rFonts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E2527"/>
    <w:multiLevelType w:val="hybridMultilevel"/>
    <w:tmpl w:val="D22A1BF8"/>
    <w:lvl w:ilvl="0" w:tplc="B75E429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7E0098"/>
    <w:multiLevelType w:val="hybridMultilevel"/>
    <w:tmpl w:val="2ABE1E20"/>
    <w:lvl w:ilvl="0" w:tplc="75CCAFA0">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3D8847A8"/>
    <w:multiLevelType w:val="hybridMultilevel"/>
    <w:tmpl w:val="152CA0B6"/>
    <w:lvl w:ilvl="0" w:tplc="142085E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0B4D05"/>
    <w:multiLevelType w:val="hybridMultilevel"/>
    <w:tmpl w:val="6AE66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1C0BFC"/>
    <w:multiLevelType w:val="hybridMultilevel"/>
    <w:tmpl w:val="CFD0E3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302CA2"/>
    <w:multiLevelType w:val="hybridMultilevel"/>
    <w:tmpl w:val="3B1286F2"/>
    <w:lvl w:ilvl="0" w:tplc="4F1E899A">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49A75D07"/>
    <w:multiLevelType w:val="hybridMultilevel"/>
    <w:tmpl w:val="146258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BC7AF5"/>
    <w:multiLevelType w:val="hybridMultilevel"/>
    <w:tmpl w:val="94C6F0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3956E9"/>
    <w:multiLevelType w:val="hybridMultilevel"/>
    <w:tmpl w:val="0250F0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391E7D"/>
    <w:multiLevelType w:val="hybridMultilevel"/>
    <w:tmpl w:val="B9488400"/>
    <w:lvl w:ilvl="0" w:tplc="6938EA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4EC93A35"/>
    <w:multiLevelType w:val="hybridMultilevel"/>
    <w:tmpl w:val="A2702652"/>
    <w:lvl w:ilvl="0" w:tplc="DFEE5B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521C2E"/>
    <w:multiLevelType w:val="hybridMultilevel"/>
    <w:tmpl w:val="8118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FF411B"/>
    <w:multiLevelType w:val="hybridMultilevel"/>
    <w:tmpl w:val="FD8EDFD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688786E"/>
    <w:multiLevelType w:val="hybridMultilevel"/>
    <w:tmpl w:val="BD6448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4F6440"/>
    <w:multiLevelType w:val="hybridMultilevel"/>
    <w:tmpl w:val="52B8F4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F34DA6"/>
    <w:multiLevelType w:val="hybridMultilevel"/>
    <w:tmpl w:val="EEA856A2"/>
    <w:lvl w:ilvl="0" w:tplc="0C6838F8">
      <w:start w:val="5"/>
      <w:numFmt w:val="decimal"/>
      <w:lvlText w:val="%1."/>
      <w:lvlJc w:val="left"/>
      <w:pPr>
        <w:ind w:left="720" w:hanging="360"/>
      </w:pPr>
      <w:rPr>
        <w:rFonts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F5B6404"/>
    <w:multiLevelType w:val="hybridMultilevel"/>
    <w:tmpl w:val="25EC5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FBC0302"/>
    <w:multiLevelType w:val="hybridMultilevel"/>
    <w:tmpl w:val="3CAAD2A0"/>
    <w:lvl w:ilvl="0" w:tplc="DFEE5B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8647F1"/>
    <w:multiLevelType w:val="hybridMultilevel"/>
    <w:tmpl w:val="4AA28B64"/>
    <w:lvl w:ilvl="0" w:tplc="DFEE5B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9C3848"/>
    <w:multiLevelType w:val="hybridMultilevel"/>
    <w:tmpl w:val="9F5646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7C12F5"/>
    <w:multiLevelType w:val="hybridMultilevel"/>
    <w:tmpl w:val="DAD2671A"/>
    <w:lvl w:ilvl="0" w:tplc="9CF2633E">
      <w:start w:val="5"/>
      <w:numFmt w:val="decimal"/>
      <w:lvlText w:val="%1."/>
      <w:lvlJc w:val="left"/>
      <w:pPr>
        <w:ind w:left="1080" w:hanging="360"/>
      </w:pPr>
      <w:rPr>
        <w:rFonts w:hint="default"/>
        <w:b w:val="0"/>
        <w:color w:val="2021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C7742B1"/>
    <w:multiLevelType w:val="hybridMultilevel"/>
    <w:tmpl w:val="A7829D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A238B6"/>
    <w:multiLevelType w:val="hybridMultilevel"/>
    <w:tmpl w:val="9990D0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073983">
    <w:abstractNumId w:val="31"/>
  </w:num>
  <w:num w:numId="2" w16cid:durableId="463549151">
    <w:abstractNumId w:val="1"/>
  </w:num>
  <w:num w:numId="3" w16cid:durableId="856651337">
    <w:abstractNumId w:val="7"/>
  </w:num>
  <w:num w:numId="4" w16cid:durableId="169373160">
    <w:abstractNumId w:val="30"/>
  </w:num>
  <w:num w:numId="5" w16cid:durableId="870996128">
    <w:abstractNumId w:val="34"/>
  </w:num>
  <w:num w:numId="6" w16cid:durableId="246623749">
    <w:abstractNumId w:val="26"/>
  </w:num>
  <w:num w:numId="7" w16cid:durableId="218437666">
    <w:abstractNumId w:val="37"/>
  </w:num>
  <w:num w:numId="8" w16cid:durableId="1554122231">
    <w:abstractNumId w:val="8"/>
  </w:num>
  <w:num w:numId="9" w16cid:durableId="1390150445">
    <w:abstractNumId w:val="46"/>
  </w:num>
  <w:num w:numId="10" w16cid:durableId="1402752785">
    <w:abstractNumId w:val="27"/>
  </w:num>
  <w:num w:numId="11" w16cid:durableId="409890807">
    <w:abstractNumId w:val="11"/>
  </w:num>
  <w:num w:numId="12" w16cid:durableId="1206991992">
    <w:abstractNumId w:val="9"/>
  </w:num>
  <w:num w:numId="13" w16cid:durableId="1659916165">
    <w:abstractNumId w:val="4"/>
  </w:num>
  <w:num w:numId="14" w16cid:durableId="677122848">
    <w:abstractNumId w:val="38"/>
  </w:num>
  <w:num w:numId="15" w16cid:durableId="1121262173">
    <w:abstractNumId w:val="2"/>
  </w:num>
  <w:num w:numId="16" w16cid:durableId="780684661">
    <w:abstractNumId w:val="32"/>
  </w:num>
  <w:num w:numId="17" w16cid:durableId="987320862">
    <w:abstractNumId w:val="12"/>
  </w:num>
  <w:num w:numId="18" w16cid:durableId="256405008">
    <w:abstractNumId w:val="3"/>
  </w:num>
  <w:num w:numId="19" w16cid:durableId="1562249715">
    <w:abstractNumId w:val="39"/>
  </w:num>
  <w:num w:numId="20" w16cid:durableId="1904951439">
    <w:abstractNumId w:val="47"/>
  </w:num>
  <w:num w:numId="21" w16cid:durableId="1065294279">
    <w:abstractNumId w:val="18"/>
  </w:num>
  <w:num w:numId="22" w16cid:durableId="617107570">
    <w:abstractNumId w:val="25"/>
  </w:num>
  <w:num w:numId="23" w16cid:durableId="1487436427">
    <w:abstractNumId w:val="44"/>
  </w:num>
  <w:num w:numId="24" w16cid:durableId="1545100271">
    <w:abstractNumId w:val="22"/>
  </w:num>
  <w:num w:numId="25" w16cid:durableId="1285843554">
    <w:abstractNumId w:val="5"/>
  </w:num>
  <w:num w:numId="26" w16cid:durableId="165633942">
    <w:abstractNumId w:val="29"/>
  </w:num>
  <w:num w:numId="27" w16cid:durableId="1048063923">
    <w:abstractNumId w:val="15"/>
  </w:num>
  <w:num w:numId="28" w16cid:durableId="1853715046">
    <w:abstractNumId w:val="40"/>
  </w:num>
  <w:num w:numId="29" w16cid:durableId="1479298912">
    <w:abstractNumId w:val="24"/>
  </w:num>
  <w:num w:numId="30" w16cid:durableId="730733941">
    <w:abstractNumId w:val="45"/>
  </w:num>
  <w:num w:numId="31" w16cid:durableId="1985544929">
    <w:abstractNumId w:val="19"/>
  </w:num>
  <w:num w:numId="32" w16cid:durableId="1408575532">
    <w:abstractNumId w:val="33"/>
  </w:num>
  <w:num w:numId="33" w16cid:durableId="536740314">
    <w:abstractNumId w:val="13"/>
  </w:num>
  <w:num w:numId="34" w16cid:durableId="813110103">
    <w:abstractNumId w:val="14"/>
  </w:num>
  <w:num w:numId="35" w16cid:durableId="1938249370">
    <w:abstractNumId w:val="10"/>
  </w:num>
  <w:num w:numId="36" w16cid:durableId="979729854">
    <w:abstractNumId w:val="28"/>
  </w:num>
  <w:num w:numId="37" w16cid:durableId="1129282822">
    <w:abstractNumId w:val="41"/>
  </w:num>
  <w:num w:numId="38" w16cid:durableId="1935555091">
    <w:abstractNumId w:val="0"/>
  </w:num>
  <w:num w:numId="39" w16cid:durableId="26882572">
    <w:abstractNumId w:val="23"/>
  </w:num>
  <w:num w:numId="40" w16cid:durableId="658581201">
    <w:abstractNumId w:val="42"/>
  </w:num>
  <w:num w:numId="41" w16cid:durableId="1259870821">
    <w:abstractNumId w:val="36"/>
  </w:num>
  <w:num w:numId="42" w16cid:durableId="1513300774">
    <w:abstractNumId w:val="17"/>
  </w:num>
  <w:num w:numId="43" w16cid:durableId="324162387">
    <w:abstractNumId w:val="43"/>
  </w:num>
  <w:num w:numId="44" w16cid:durableId="782843955">
    <w:abstractNumId w:val="16"/>
  </w:num>
  <w:num w:numId="45" w16cid:durableId="912009314">
    <w:abstractNumId w:val="20"/>
  </w:num>
  <w:num w:numId="46" w16cid:durableId="9724308">
    <w:abstractNumId w:val="21"/>
  </w:num>
  <w:num w:numId="47" w16cid:durableId="2101872703">
    <w:abstractNumId w:val="6"/>
  </w:num>
  <w:num w:numId="48" w16cid:durableId="211743387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AA"/>
    <w:rsid w:val="00012802"/>
    <w:rsid w:val="00012F44"/>
    <w:rsid w:val="0002706A"/>
    <w:rsid w:val="0002795F"/>
    <w:rsid w:val="000302D5"/>
    <w:rsid w:val="000313B4"/>
    <w:rsid w:val="00042392"/>
    <w:rsid w:val="000439E6"/>
    <w:rsid w:val="000554ED"/>
    <w:rsid w:val="0006464D"/>
    <w:rsid w:val="0007024F"/>
    <w:rsid w:val="00071AC3"/>
    <w:rsid w:val="00073963"/>
    <w:rsid w:val="00074B7A"/>
    <w:rsid w:val="0007720F"/>
    <w:rsid w:val="00085237"/>
    <w:rsid w:val="00097E46"/>
    <w:rsid w:val="000B18DE"/>
    <w:rsid w:val="000B2701"/>
    <w:rsid w:val="000B2998"/>
    <w:rsid w:val="000B2A29"/>
    <w:rsid w:val="000B39E1"/>
    <w:rsid w:val="000B656D"/>
    <w:rsid w:val="000C212C"/>
    <w:rsid w:val="000C7C65"/>
    <w:rsid w:val="000E0FF1"/>
    <w:rsid w:val="000E4E13"/>
    <w:rsid w:val="000E525D"/>
    <w:rsid w:val="000F295D"/>
    <w:rsid w:val="000F5F0D"/>
    <w:rsid w:val="000F69A7"/>
    <w:rsid w:val="00105D16"/>
    <w:rsid w:val="00126020"/>
    <w:rsid w:val="001260C1"/>
    <w:rsid w:val="00142A66"/>
    <w:rsid w:val="00142C58"/>
    <w:rsid w:val="00161819"/>
    <w:rsid w:val="00163C90"/>
    <w:rsid w:val="00164C88"/>
    <w:rsid w:val="001663A5"/>
    <w:rsid w:val="00174DAB"/>
    <w:rsid w:val="001871C2"/>
    <w:rsid w:val="001A195D"/>
    <w:rsid w:val="001A54DD"/>
    <w:rsid w:val="001B10ED"/>
    <w:rsid w:val="001C0FFE"/>
    <w:rsid w:val="001C3609"/>
    <w:rsid w:val="001C6EA7"/>
    <w:rsid w:val="001D33DE"/>
    <w:rsid w:val="001E75C2"/>
    <w:rsid w:val="001F121E"/>
    <w:rsid w:val="001F40E8"/>
    <w:rsid w:val="00202446"/>
    <w:rsid w:val="0020318F"/>
    <w:rsid w:val="00210D7D"/>
    <w:rsid w:val="002173B7"/>
    <w:rsid w:val="0022023F"/>
    <w:rsid w:val="002219D2"/>
    <w:rsid w:val="00223412"/>
    <w:rsid w:val="00234901"/>
    <w:rsid w:val="00234A15"/>
    <w:rsid w:val="00235BDF"/>
    <w:rsid w:val="00243CDA"/>
    <w:rsid w:val="00250A14"/>
    <w:rsid w:val="00253A3B"/>
    <w:rsid w:val="00260B05"/>
    <w:rsid w:val="002708CE"/>
    <w:rsid w:val="00280453"/>
    <w:rsid w:val="002838D3"/>
    <w:rsid w:val="00287F5B"/>
    <w:rsid w:val="00297564"/>
    <w:rsid w:val="002A2342"/>
    <w:rsid w:val="002B09F5"/>
    <w:rsid w:val="002C5C82"/>
    <w:rsid w:val="002D75DC"/>
    <w:rsid w:val="002F41D3"/>
    <w:rsid w:val="0030240A"/>
    <w:rsid w:val="00304147"/>
    <w:rsid w:val="00315645"/>
    <w:rsid w:val="00324352"/>
    <w:rsid w:val="003249D2"/>
    <w:rsid w:val="00337C8C"/>
    <w:rsid w:val="0034260E"/>
    <w:rsid w:val="0035214C"/>
    <w:rsid w:val="00366027"/>
    <w:rsid w:val="00372679"/>
    <w:rsid w:val="0038195A"/>
    <w:rsid w:val="00381A3F"/>
    <w:rsid w:val="00391FC4"/>
    <w:rsid w:val="00393511"/>
    <w:rsid w:val="003972DB"/>
    <w:rsid w:val="003A55A5"/>
    <w:rsid w:val="003A7BAC"/>
    <w:rsid w:val="003B1C93"/>
    <w:rsid w:val="003B60AD"/>
    <w:rsid w:val="003D35A8"/>
    <w:rsid w:val="003D6CBC"/>
    <w:rsid w:val="003E51DF"/>
    <w:rsid w:val="003E7DA1"/>
    <w:rsid w:val="003F0601"/>
    <w:rsid w:val="003F1D4E"/>
    <w:rsid w:val="003F4327"/>
    <w:rsid w:val="00401FEE"/>
    <w:rsid w:val="00403492"/>
    <w:rsid w:val="00410958"/>
    <w:rsid w:val="004140E6"/>
    <w:rsid w:val="00415D74"/>
    <w:rsid w:val="00421F1C"/>
    <w:rsid w:val="00435FE9"/>
    <w:rsid w:val="0045092B"/>
    <w:rsid w:val="00453EA4"/>
    <w:rsid w:val="00455DEA"/>
    <w:rsid w:val="00463BE4"/>
    <w:rsid w:val="00474109"/>
    <w:rsid w:val="00482192"/>
    <w:rsid w:val="004927D2"/>
    <w:rsid w:val="00495AE7"/>
    <w:rsid w:val="004B0447"/>
    <w:rsid w:val="004B4F51"/>
    <w:rsid w:val="004B6821"/>
    <w:rsid w:val="004B7033"/>
    <w:rsid w:val="004C4A9B"/>
    <w:rsid w:val="004C4C61"/>
    <w:rsid w:val="004C672A"/>
    <w:rsid w:val="004D2D8C"/>
    <w:rsid w:val="004F0E63"/>
    <w:rsid w:val="004F6369"/>
    <w:rsid w:val="00502BBC"/>
    <w:rsid w:val="00504F81"/>
    <w:rsid w:val="005151CC"/>
    <w:rsid w:val="0051726F"/>
    <w:rsid w:val="005208FF"/>
    <w:rsid w:val="00524335"/>
    <w:rsid w:val="00526A76"/>
    <w:rsid w:val="00526D99"/>
    <w:rsid w:val="005319A1"/>
    <w:rsid w:val="00536101"/>
    <w:rsid w:val="00537770"/>
    <w:rsid w:val="005463E0"/>
    <w:rsid w:val="0056337F"/>
    <w:rsid w:val="00572318"/>
    <w:rsid w:val="00587CCF"/>
    <w:rsid w:val="00593413"/>
    <w:rsid w:val="005A79AC"/>
    <w:rsid w:val="005B445B"/>
    <w:rsid w:val="005C2C40"/>
    <w:rsid w:val="005E38EB"/>
    <w:rsid w:val="005F3768"/>
    <w:rsid w:val="0060586A"/>
    <w:rsid w:val="00611C35"/>
    <w:rsid w:val="00616D9A"/>
    <w:rsid w:val="0062151B"/>
    <w:rsid w:val="00627C91"/>
    <w:rsid w:val="00630AC7"/>
    <w:rsid w:val="00631897"/>
    <w:rsid w:val="006318DE"/>
    <w:rsid w:val="00632CCF"/>
    <w:rsid w:val="00640314"/>
    <w:rsid w:val="00640FA6"/>
    <w:rsid w:val="00644048"/>
    <w:rsid w:val="006443D8"/>
    <w:rsid w:val="00646275"/>
    <w:rsid w:val="0065064A"/>
    <w:rsid w:val="006564DB"/>
    <w:rsid w:val="00656AAD"/>
    <w:rsid w:val="00657CF6"/>
    <w:rsid w:val="0067043D"/>
    <w:rsid w:val="00671AC7"/>
    <w:rsid w:val="006759A6"/>
    <w:rsid w:val="00676ABB"/>
    <w:rsid w:val="00691EED"/>
    <w:rsid w:val="0069470B"/>
    <w:rsid w:val="006A0531"/>
    <w:rsid w:val="006A2E60"/>
    <w:rsid w:val="006A7160"/>
    <w:rsid w:val="006B153F"/>
    <w:rsid w:val="006B247F"/>
    <w:rsid w:val="006B45D7"/>
    <w:rsid w:val="006C18A6"/>
    <w:rsid w:val="006D506A"/>
    <w:rsid w:val="006E7E39"/>
    <w:rsid w:val="006F1817"/>
    <w:rsid w:val="006F1BBE"/>
    <w:rsid w:val="00722D63"/>
    <w:rsid w:val="0072344B"/>
    <w:rsid w:val="00724632"/>
    <w:rsid w:val="007311B9"/>
    <w:rsid w:val="00734D04"/>
    <w:rsid w:val="00740B52"/>
    <w:rsid w:val="0074128E"/>
    <w:rsid w:val="007462EB"/>
    <w:rsid w:val="007519F8"/>
    <w:rsid w:val="00760EA6"/>
    <w:rsid w:val="00761FA8"/>
    <w:rsid w:val="00763B21"/>
    <w:rsid w:val="0076534E"/>
    <w:rsid w:val="00776076"/>
    <w:rsid w:val="00784155"/>
    <w:rsid w:val="007919E3"/>
    <w:rsid w:val="007A5541"/>
    <w:rsid w:val="007B1173"/>
    <w:rsid w:val="007B229F"/>
    <w:rsid w:val="007B404C"/>
    <w:rsid w:val="007D6D4C"/>
    <w:rsid w:val="007F0FB8"/>
    <w:rsid w:val="007F1576"/>
    <w:rsid w:val="00800DC0"/>
    <w:rsid w:val="00804D03"/>
    <w:rsid w:val="00820106"/>
    <w:rsid w:val="0082277C"/>
    <w:rsid w:val="00826F44"/>
    <w:rsid w:val="008321E7"/>
    <w:rsid w:val="00844E2E"/>
    <w:rsid w:val="008513AA"/>
    <w:rsid w:val="008572CC"/>
    <w:rsid w:val="00860719"/>
    <w:rsid w:val="0086204E"/>
    <w:rsid w:val="0086462B"/>
    <w:rsid w:val="00867CCE"/>
    <w:rsid w:val="00872488"/>
    <w:rsid w:val="0087414D"/>
    <w:rsid w:val="008748B5"/>
    <w:rsid w:val="00876F82"/>
    <w:rsid w:val="00883243"/>
    <w:rsid w:val="00886ACB"/>
    <w:rsid w:val="00894931"/>
    <w:rsid w:val="008A759B"/>
    <w:rsid w:val="008D2551"/>
    <w:rsid w:val="008D32B0"/>
    <w:rsid w:val="008E65C9"/>
    <w:rsid w:val="008F2655"/>
    <w:rsid w:val="008F3A0C"/>
    <w:rsid w:val="009005DC"/>
    <w:rsid w:val="009016E4"/>
    <w:rsid w:val="00911D3B"/>
    <w:rsid w:val="00920490"/>
    <w:rsid w:val="00933A7C"/>
    <w:rsid w:val="00935B28"/>
    <w:rsid w:val="00940C74"/>
    <w:rsid w:val="009456CD"/>
    <w:rsid w:val="00965DB7"/>
    <w:rsid w:val="0096735F"/>
    <w:rsid w:val="00983475"/>
    <w:rsid w:val="009863D1"/>
    <w:rsid w:val="00991AB7"/>
    <w:rsid w:val="0099527C"/>
    <w:rsid w:val="009A6934"/>
    <w:rsid w:val="009B1A58"/>
    <w:rsid w:val="009B5FE5"/>
    <w:rsid w:val="009B6E3C"/>
    <w:rsid w:val="009D1B21"/>
    <w:rsid w:val="009D5C2F"/>
    <w:rsid w:val="009D601F"/>
    <w:rsid w:val="009E57A1"/>
    <w:rsid w:val="009E6EDB"/>
    <w:rsid w:val="009F6143"/>
    <w:rsid w:val="00A03A23"/>
    <w:rsid w:val="00A149AB"/>
    <w:rsid w:val="00A30BDC"/>
    <w:rsid w:val="00A31312"/>
    <w:rsid w:val="00A3458B"/>
    <w:rsid w:val="00A538F4"/>
    <w:rsid w:val="00A602E0"/>
    <w:rsid w:val="00A82F56"/>
    <w:rsid w:val="00A83A57"/>
    <w:rsid w:val="00A8605D"/>
    <w:rsid w:val="00A8655E"/>
    <w:rsid w:val="00AA328B"/>
    <w:rsid w:val="00AA5F2A"/>
    <w:rsid w:val="00AB0BB5"/>
    <w:rsid w:val="00AB20E9"/>
    <w:rsid w:val="00AC2F17"/>
    <w:rsid w:val="00AD0EB1"/>
    <w:rsid w:val="00AD7FFC"/>
    <w:rsid w:val="00AF293B"/>
    <w:rsid w:val="00AF34B3"/>
    <w:rsid w:val="00B02545"/>
    <w:rsid w:val="00B04CD7"/>
    <w:rsid w:val="00B47DE7"/>
    <w:rsid w:val="00B51250"/>
    <w:rsid w:val="00B51AEC"/>
    <w:rsid w:val="00B5659C"/>
    <w:rsid w:val="00B574DC"/>
    <w:rsid w:val="00B67E95"/>
    <w:rsid w:val="00B73FE7"/>
    <w:rsid w:val="00B83828"/>
    <w:rsid w:val="00B85FA8"/>
    <w:rsid w:val="00B86CA2"/>
    <w:rsid w:val="00B9464C"/>
    <w:rsid w:val="00BA3747"/>
    <w:rsid w:val="00BD284B"/>
    <w:rsid w:val="00BD737F"/>
    <w:rsid w:val="00BE7D43"/>
    <w:rsid w:val="00BF1AB1"/>
    <w:rsid w:val="00BF42C8"/>
    <w:rsid w:val="00C00B55"/>
    <w:rsid w:val="00C102F6"/>
    <w:rsid w:val="00C12951"/>
    <w:rsid w:val="00C21A16"/>
    <w:rsid w:val="00C246BC"/>
    <w:rsid w:val="00C31F63"/>
    <w:rsid w:val="00C3403C"/>
    <w:rsid w:val="00C359D2"/>
    <w:rsid w:val="00C4143B"/>
    <w:rsid w:val="00C523AE"/>
    <w:rsid w:val="00C57125"/>
    <w:rsid w:val="00C57745"/>
    <w:rsid w:val="00C67CA7"/>
    <w:rsid w:val="00C7694D"/>
    <w:rsid w:val="00C80076"/>
    <w:rsid w:val="00C85320"/>
    <w:rsid w:val="00C90D93"/>
    <w:rsid w:val="00C91A35"/>
    <w:rsid w:val="00CA4409"/>
    <w:rsid w:val="00CA56DE"/>
    <w:rsid w:val="00CA5BC9"/>
    <w:rsid w:val="00CA719C"/>
    <w:rsid w:val="00CA76C0"/>
    <w:rsid w:val="00CB077A"/>
    <w:rsid w:val="00CB22E6"/>
    <w:rsid w:val="00CB3799"/>
    <w:rsid w:val="00CB6DAE"/>
    <w:rsid w:val="00CD058B"/>
    <w:rsid w:val="00CD0C7F"/>
    <w:rsid w:val="00CE1209"/>
    <w:rsid w:val="00CF1F19"/>
    <w:rsid w:val="00CF512E"/>
    <w:rsid w:val="00D0506D"/>
    <w:rsid w:val="00D1526C"/>
    <w:rsid w:val="00D213A4"/>
    <w:rsid w:val="00D22477"/>
    <w:rsid w:val="00D25196"/>
    <w:rsid w:val="00D25C20"/>
    <w:rsid w:val="00D26B1F"/>
    <w:rsid w:val="00D432AA"/>
    <w:rsid w:val="00D458CE"/>
    <w:rsid w:val="00D521B7"/>
    <w:rsid w:val="00D61D69"/>
    <w:rsid w:val="00D61DDA"/>
    <w:rsid w:val="00D65DCE"/>
    <w:rsid w:val="00D73B4C"/>
    <w:rsid w:val="00D7417E"/>
    <w:rsid w:val="00D74EC3"/>
    <w:rsid w:val="00D86DAD"/>
    <w:rsid w:val="00DA1C5B"/>
    <w:rsid w:val="00DB61CB"/>
    <w:rsid w:val="00DD6CB1"/>
    <w:rsid w:val="00DE1B3D"/>
    <w:rsid w:val="00DE4447"/>
    <w:rsid w:val="00DF30B8"/>
    <w:rsid w:val="00E0792B"/>
    <w:rsid w:val="00E133F0"/>
    <w:rsid w:val="00E2066D"/>
    <w:rsid w:val="00E264F4"/>
    <w:rsid w:val="00E270FA"/>
    <w:rsid w:val="00E33CCB"/>
    <w:rsid w:val="00E42B75"/>
    <w:rsid w:val="00E46731"/>
    <w:rsid w:val="00E52B26"/>
    <w:rsid w:val="00E55EB4"/>
    <w:rsid w:val="00E569CA"/>
    <w:rsid w:val="00E674BB"/>
    <w:rsid w:val="00E704C6"/>
    <w:rsid w:val="00E956F1"/>
    <w:rsid w:val="00E96BCE"/>
    <w:rsid w:val="00EA72BF"/>
    <w:rsid w:val="00EC0DB4"/>
    <w:rsid w:val="00EC1D26"/>
    <w:rsid w:val="00EC1EB5"/>
    <w:rsid w:val="00EC6ECD"/>
    <w:rsid w:val="00ED38B1"/>
    <w:rsid w:val="00EF0E78"/>
    <w:rsid w:val="00EF2653"/>
    <w:rsid w:val="00EF52CA"/>
    <w:rsid w:val="00F018CB"/>
    <w:rsid w:val="00F12DD1"/>
    <w:rsid w:val="00F1303E"/>
    <w:rsid w:val="00F3040A"/>
    <w:rsid w:val="00F42F23"/>
    <w:rsid w:val="00F473B8"/>
    <w:rsid w:val="00F56ED8"/>
    <w:rsid w:val="00F6314F"/>
    <w:rsid w:val="00F73BFA"/>
    <w:rsid w:val="00F77BEF"/>
    <w:rsid w:val="00F945DB"/>
    <w:rsid w:val="00F966D5"/>
    <w:rsid w:val="00FD4B27"/>
    <w:rsid w:val="00FE7EB8"/>
    <w:rsid w:val="00FF297D"/>
    <w:rsid w:val="00FF2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5F5D9"/>
  <w15:chartTrackingRefBased/>
  <w15:docId w15:val="{08C3D283-385F-46CE-A9E4-9FC0EA07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2A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432A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D432A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432A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432A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432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2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2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2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2A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432A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D432A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432A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432A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432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2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2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2AA"/>
    <w:rPr>
      <w:rFonts w:eastAsiaTheme="majorEastAsia" w:cstheme="majorBidi"/>
      <w:color w:val="272727" w:themeColor="text1" w:themeTint="D8"/>
    </w:rPr>
  </w:style>
  <w:style w:type="paragraph" w:styleId="Title">
    <w:name w:val="Title"/>
    <w:basedOn w:val="Normal"/>
    <w:next w:val="Normal"/>
    <w:link w:val="TitleChar"/>
    <w:uiPriority w:val="10"/>
    <w:qFormat/>
    <w:rsid w:val="00D43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2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2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2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32AA"/>
    <w:rPr>
      <w:i/>
      <w:iCs/>
      <w:color w:val="404040" w:themeColor="text1" w:themeTint="BF"/>
    </w:rPr>
  </w:style>
  <w:style w:type="paragraph" w:styleId="ListParagraph">
    <w:name w:val="List Paragraph"/>
    <w:basedOn w:val="Normal"/>
    <w:uiPriority w:val="34"/>
    <w:qFormat/>
    <w:rsid w:val="00D432AA"/>
    <w:pPr>
      <w:ind w:left="720"/>
      <w:contextualSpacing/>
    </w:pPr>
  </w:style>
  <w:style w:type="character" w:styleId="IntenseEmphasis">
    <w:name w:val="Intense Emphasis"/>
    <w:basedOn w:val="DefaultParagraphFont"/>
    <w:uiPriority w:val="21"/>
    <w:qFormat/>
    <w:rsid w:val="00D432AA"/>
    <w:rPr>
      <w:i/>
      <w:iCs/>
      <w:color w:val="365F91" w:themeColor="accent1" w:themeShade="BF"/>
    </w:rPr>
  </w:style>
  <w:style w:type="paragraph" w:styleId="IntenseQuote">
    <w:name w:val="Intense Quote"/>
    <w:basedOn w:val="Normal"/>
    <w:next w:val="Normal"/>
    <w:link w:val="IntenseQuoteChar"/>
    <w:uiPriority w:val="30"/>
    <w:qFormat/>
    <w:rsid w:val="00D432A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432AA"/>
    <w:rPr>
      <w:i/>
      <w:iCs/>
      <w:color w:val="365F91" w:themeColor="accent1" w:themeShade="BF"/>
    </w:rPr>
  </w:style>
  <w:style w:type="character" w:styleId="IntenseReference">
    <w:name w:val="Intense Reference"/>
    <w:basedOn w:val="DefaultParagraphFont"/>
    <w:uiPriority w:val="32"/>
    <w:qFormat/>
    <w:rsid w:val="00D432AA"/>
    <w:rPr>
      <w:b/>
      <w:bCs/>
      <w:smallCaps/>
      <w:color w:val="365F91" w:themeColor="accent1" w:themeShade="BF"/>
      <w:spacing w:val="5"/>
    </w:rPr>
  </w:style>
  <w:style w:type="paragraph" w:styleId="NormalWeb">
    <w:name w:val="Normal (Web)"/>
    <w:basedOn w:val="Normal"/>
    <w:uiPriority w:val="99"/>
    <w:rsid w:val="003A7BAC"/>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 w:type="character" w:customStyle="1" w:styleId="apple-converted-space">
    <w:name w:val="apple-converted-space"/>
    <w:basedOn w:val="DefaultParagraphFont"/>
    <w:rsid w:val="00E270FA"/>
  </w:style>
  <w:style w:type="character" w:styleId="PlaceholderText">
    <w:name w:val="Placeholder Text"/>
    <w:basedOn w:val="DefaultParagraphFont"/>
    <w:uiPriority w:val="99"/>
    <w:semiHidden/>
    <w:rsid w:val="00872488"/>
    <w:rPr>
      <w:color w:val="666666"/>
    </w:rPr>
  </w:style>
  <w:style w:type="paragraph" w:styleId="NoSpacing">
    <w:name w:val="No Spacing"/>
    <w:uiPriority w:val="1"/>
    <w:qFormat/>
    <w:rsid w:val="007462EB"/>
    <w:pPr>
      <w:spacing w:after="0" w:line="240" w:lineRule="auto"/>
    </w:pPr>
  </w:style>
  <w:style w:type="character" w:styleId="Emphasis">
    <w:name w:val="Emphasis"/>
    <w:basedOn w:val="DefaultParagraphFont"/>
    <w:uiPriority w:val="20"/>
    <w:qFormat/>
    <w:rsid w:val="000554ED"/>
    <w:rPr>
      <w:i/>
      <w:iCs/>
    </w:rPr>
  </w:style>
  <w:style w:type="character" w:styleId="Hyperlink">
    <w:name w:val="Hyperlink"/>
    <w:basedOn w:val="DefaultParagraphFont"/>
    <w:uiPriority w:val="99"/>
    <w:unhideWhenUsed/>
    <w:rsid w:val="006A7160"/>
    <w:rPr>
      <w:color w:val="0000FF"/>
      <w:u w:val="single"/>
    </w:rPr>
  </w:style>
  <w:style w:type="paragraph" w:styleId="FootnoteText">
    <w:name w:val="footnote text"/>
    <w:basedOn w:val="Normal"/>
    <w:link w:val="FootnoteTextChar"/>
    <w:uiPriority w:val="99"/>
    <w:semiHidden/>
    <w:unhideWhenUsed/>
    <w:rsid w:val="006A71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7160"/>
    <w:rPr>
      <w:sz w:val="20"/>
      <w:szCs w:val="20"/>
    </w:rPr>
  </w:style>
  <w:style w:type="character" w:styleId="FootnoteReference">
    <w:name w:val="footnote reference"/>
    <w:basedOn w:val="DefaultParagraphFont"/>
    <w:uiPriority w:val="99"/>
    <w:semiHidden/>
    <w:unhideWhenUsed/>
    <w:rsid w:val="006A7160"/>
    <w:rPr>
      <w:vertAlign w:val="superscript"/>
    </w:rPr>
  </w:style>
  <w:style w:type="character" w:styleId="Strong">
    <w:name w:val="Strong"/>
    <w:basedOn w:val="DefaultParagraphFont"/>
    <w:uiPriority w:val="22"/>
    <w:qFormat/>
    <w:rsid w:val="009456CD"/>
    <w:rPr>
      <w:b/>
      <w:bCs/>
    </w:rPr>
  </w:style>
  <w:style w:type="character" w:customStyle="1" w:styleId="foreign-form">
    <w:name w:val="foreign-form"/>
    <w:basedOn w:val="DefaultParagraphFont"/>
    <w:rsid w:val="009456CD"/>
  </w:style>
  <w:style w:type="character" w:customStyle="1" w:styleId="definitionelem">
    <w:name w:val="definitionelem"/>
    <w:basedOn w:val="DefaultParagraphFont"/>
    <w:rsid w:val="009456CD"/>
  </w:style>
  <w:style w:type="character" w:styleId="UnresolvedMention">
    <w:name w:val="Unresolved Mention"/>
    <w:basedOn w:val="DefaultParagraphFont"/>
    <w:uiPriority w:val="99"/>
    <w:semiHidden/>
    <w:unhideWhenUsed/>
    <w:rsid w:val="003B1C93"/>
    <w:rPr>
      <w:color w:val="605E5C"/>
      <w:shd w:val="clear" w:color="auto" w:fill="E1DFDD"/>
    </w:rPr>
  </w:style>
  <w:style w:type="paragraph" w:styleId="Caption">
    <w:name w:val="caption"/>
    <w:basedOn w:val="Normal"/>
    <w:next w:val="Normal"/>
    <w:uiPriority w:val="35"/>
    <w:unhideWhenUsed/>
    <w:qFormat/>
    <w:rsid w:val="002F41D3"/>
    <w:pPr>
      <w:spacing w:line="240" w:lineRule="auto"/>
    </w:pPr>
    <w:rPr>
      <w:i/>
      <w:iCs/>
      <w:color w:val="1F497D" w:themeColor="text2"/>
      <w:sz w:val="18"/>
      <w:szCs w:val="18"/>
    </w:rPr>
  </w:style>
  <w:style w:type="table" w:styleId="TableGrid">
    <w:name w:val="Table Grid"/>
    <w:basedOn w:val="TableNormal"/>
    <w:uiPriority w:val="39"/>
    <w:rsid w:val="002F41D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74DAB"/>
    <w:rPr>
      <w:color w:val="800080" w:themeColor="followedHyperlink"/>
      <w:u w:val="single"/>
    </w:rPr>
  </w:style>
  <w:style w:type="paragraph" w:styleId="Header">
    <w:name w:val="header"/>
    <w:basedOn w:val="Normal"/>
    <w:link w:val="HeaderChar"/>
    <w:uiPriority w:val="99"/>
    <w:unhideWhenUsed/>
    <w:rsid w:val="004B6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821"/>
  </w:style>
  <w:style w:type="paragraph" w:styleId="Footer">
    <w:name w:val="footer"/>
    <w:basedOn w:val="Normal"/>
    <w:link w:val="FooterChar"/>
    <w:uiPriority w:val="99"/>
    <w:unhideWhenUsed/>
    <w:rsid w:val="004B6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821"/>
  </w:style>
  <w:style w:type="character" w:styleId="PageNumber">
    <w:name w:val="page number"/>
    <w:basedOn w:val="DefaultParagraphFont"/>
    <w:uiPriority w:val="99"/>
    <w:semiHidden/>
    <w:unhideWhenUsed/>
    <w:rsid w:val="004B6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11124">
      <w:bodyDiv w:val="1"/>
      <w:marLeft w:val="0"/>
      <w:marRight w:val="0"/>
      <w:marTop w:val="0"/>
      <w:marBottom w:val="0"/>
      <w:divBdr>
        <w:top w:val="none" w:sz="0" w:space="0" w:color="auto"/>
        <w:left w:val="none" w:sz="0" w:space="0" w:color="auto"/>
        <w:bottom w:val="none" w:sz="0" w:space="0" w:color="auto"/>
        <w:right w:val="none" w:sz="0" w:space="0" w:color="auto"/>
      </w:divBdr>
      <w:divsChild>
        <w:div w:id="2044674084">
          <w:marLeft w:val="0"/>
          <w:marRight w:val="0"/>
          <w:marTop w:val="0"/>
          <w:marBottom w:val="0"/>
          <w:divBdr>
            <w:top w:val="none" w:sz="0" w:space="0" w:color="auto"/>
            <w:left w:val="none" w:sz="0" w:space="0" w:color="auto"/>
            <w:bottom w:val="none" w:sz="0" w:space="0" w:color="auto"/>
            <w:right w:val="none" w:sz="0" w:space="0" w:color="auto"/>
          </w:divBdr>
        </w:div>
        <w:div w:id="897285676">
          <w:marLeft w:val="0"/>
          <w:marRight w:val="0"/>
          <w:marTop w:val="0"/>
          <w:marBottom w:val="0"/>
          <w:divBdr>
            <w:top w:val="none" w:sz="0" w:space="0" w:color="auto"/>
            <w:left w:val="none" w:sz="0" w:space="0" w:color="auto"/>
            <w:bottom w:val="none" w:sz="0" w:space="0" w:color="auto"/>
            <w:right w:val="none" w:sz="0" w:space="0" w:color="auto"/>
          </w:divBdr>
        </w:div>
      </w:divsChild>
    </w:div>
    <w:div w:id="394813366">
      <w:bodyDiv w:val="1"/>
      <w:marLeft w:val="0"/>
      <w:marRight w:val="0"/>
      <w:marTop w:val="0"/>
      <w:marBottom w:val="0"/>
      <w:divBdr>
        <w:top w:val="none" w:sz="0" w:space="0" w:color="auto"/>
        <w:left w:val="none" w:sz="0" w:space="0" w:color="auto"/>
        <w:bottom w:val="none" w:sz="0" w:space="0" w:color="auto"/>
        <w:right w:val="none" w:sz="0" w:space="0" w:color="auto"/>
      </w:divBdr>
    </w:div>
    <w:div w:id="1154757037">
      <w:bodyDiv w:val="1"/>
      <w:marLeft w:val="0"/>
      <w:marRight w:val="0"/>
      <w:marTop w:val="0"/>
      <w:marBottom w:val="0"/>
      <w:divBdr>
        <w:top w:val="none" w:sz="0" w:space="0" w:color="auto"/>
        <w:left w:val="none" w:sz="0" w:space="0" w:color="auto"/>
        <w:bottom w:val="none" w:sz="0" w:space="0" w:color="auto"/>
        <w:right w:val="none" w:sz="0" w:space="0" w:color="auto"/>
      </w:divBdr>
      <w:divsChild>
        <w:div w:id="1217855907">
          <w:marLeft w:val="0"/>
          <w:marRight w:val="0"/>
          <w:marTop w:val="0"/>
          <w:marBottom w:val="0"/>
          <w:divBdr>
            <w:top w:val="none" w:sz="0" w:space="0" w:color="auto"/>
            <w:left w:val="none" w:sz="0" w:space="0" w:color="auto"/>
            <w:bottom w:val="none" w:sz="0" w:space="0" w:color="auto"/>
            <w:right w:val="none" w:sz="0" w:space="0" w:color="auto"/>
          </w:divBdr>
        </w:div>
      </w:divsChild>
    </w:div>
    <w:div w:id="19670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stor.org/stable/j.ctt9qg5q5" TargetMode="External"/><Relationship Id="rId18" Type="http://schemas.openxmlformats.org/officeDocument/2006/relationships/hyperlink" Target="https://www.etymonline.com/word/determinism" TargetMode="External"/><Relationship Id="rId26" Type="http://schemas.openxmlformats.org/officeDocument/2006/relationships/hyperlink" Target="https://www.jungcircle.com/ind.html" TargetMode="External"/><Relationship Id="rId3" Type="http://schemas.openxmlformats.org/officeDocument/2006/relationships/styles" Target="styles.xml"/><Relationship Id="rId21" Type="http://schemas.openxmlformats.org/officeDocument/2006/relationships/hyperlink" Target="https://doi.org/10.1017/S0140525X0004490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aap.org/jung-analytical-psychology/short-articles-on-analytical-psychology/synchronicity-an-acausal-connecting-principle/" TargetMode="External"/><Relationship Id="rId17" Type="http://schemas.openxmlformats.org/officeDocument/2006/relationships/hyperlink" Target="https://www-oxfordreference-com.ezproxy.uwtsd.ac.uk/view/10.1093/acref/9780195112290.001.0001/acref-9780195112290-e-0046" TargetMode="External"/><Relationship Id="rId25" Type="http://schemas.openxmlformats.org/officeDocument/2006/relationships/hyperlink" Target="https://www.perseus.tufts.edu/hopper/text?doc=Perseus%3Atext%3A1999.01.0168%3Abook%3D10%3Asection%3D617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xfordreference-com.ezproxy.uwtsd.ac.uk/view/10.1093/acref/9780198868750.001.0001/acref-9780198868750" TargetMode="External"/><Relationship Id="rId20" Type="http://schemas.openxmlformats.org/officeDocument/2006/relationships/hyperlink" Target="https://www-oxfordreference-com.ezproxy.uwtsd.ac.uk/view/10.1093/acref/9780192830982.001.0001/acref-9780192830982-e-3126" TargetMode="External"/><Relationship Id="rId29" Type="http://schemas.openxmlformats.org/officeDocument/2006/relationships/hyperlink" Target="https://www-oxfordreference-com.ezproxy.uwtsd.ac.uk/view/10.1093/acref/9780199571123.001.0001/m_en_gb02888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lato.stanford.edu/archives/win2022/entries/freewill"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jstor.org/stable/3747384" TargetMode="External"/><Relationship Id="rId23" Type="http://schemas.openxmlformats.org/officeDocument/2006/relationships/hyperlink" Target="http://www.jstor.org/stable/2659913" TargetMode="External"/><Relationship Id="rId28" Type="http://schemas.openxmlformats.org/officeDocument/2006/relationships/hyperlink" Target="http://www.jstor.org/stable/27505718" TargetMode="External"/><Relationship Id="rId10" Type="http://schemas.openxmlformats.org/officeDocument/2006/relationships/image" Target="media/image3.png"/><Relationship Id="rId19" Type="http://schemas.openxmlformats.org/officeDocument/2006/relationships/hyperlink" Target="https://doi.org/10.1177/146879410200200205"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sycnet.apa.org/doi/10.4135/9781412985833" TargetMode="External"/><Relationship Id="rId22" Type="http://schemas.openxmlformats.org/officeDocument/2006/relationships/hyperlink" Target="https://doi-org.ezproxy.uwtsd.ac.uk/10.4018/978-1-7998-8549-8.ch004" TargetMode="External"/><Relationship Id="rId27" Type="http://schemas.openxmlformats.org/officeDocument/2006/relationships/hyperlink" Target="http://thecampvs.com/2011/03/10/bertrand-russell-on-astrologers/" TargetMode="External"/><Relationship Id="rId30" Type="http://schemas.openxmlformats.org/officeDocument/2006/relationships/hyperlink" Target="https://www.jstor.org/stable/48766266" TargetMode="Externa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archives/win2022/entries/freewill" TargetMode="External"/><Relationship Id="rId13" Type="http://schemas.openxmlformats.org/officeDocument/2006/relationships/hyperlink" Target="http://www.jstor.org/stable/3747384" TargetMode="External"/><Relationship Id="rId18" Type="http://schemas.openxmlformats.org/officeDocument/2006/relationships/hyperlink" Target="https://psycnet.apa.org/doi/10.4135/9781412985833" TargetMode="External"/><Relationship Id="rId3" Type="http://schemas.openxmlformats.org/officeDocument/2006/relationships/hyperlink" Target="http://www.jstor.org/stable/3747384" TargetMode="External"/><Relationship Id="rId21" Type="http://schemas.openxmlformats.org/officeDocument/2006/relationships/hyperlink" Target="http://thecampvs.com/2011/03/10/bertrand-russell-on-astrologers/" TargetMode="External"/><Relationship Id="rId7" Type="http://schemas.openxmlformats.org/officeDocument/2006/relationships/hyperlink" Target="https://www-oxfordreference-com.ezproxy.uwtsd.ac.uk/view/10.1093/acref/9780199571123.001.0001/m_en_gb0288820" TargetMode="External"/><Relationship Id="rId12" Type="http://schemas.openxmlformats.org/officeDocument/2006/relationships/hyperlink" Target="https://www.etymonline.com/word/determinism" TargetMode="External"/><Relationship Id="rId17" Type="http://schemas.openxmlformats.org/officeDocument/2006/relationships/hyperlink" Target="https://doi-org.ezproxy.uwtsd.ac.uk/10.4018/978-1-7998-8549-8.ch004" TargetMode="External"/><Relationship Id="rId2" Type="http://schemas.openxmlformats.org/officeDocument/2006/relationships/hyperlink" Target="http://thecampvs.com/2011/03/10/bertrand-russell-on-astrologers/" TargetMode="External"/><Relationship Id="rId16" Type="http://schemas.openxmlformats.org/officeDocument/2006/relationships/hyperlink" Target="https://doi.org/10.1017/S0140525X00044903" TargetMode="External"/><Relationship Id="rId20" Type="http://schemas.openxmlformats.org/officeDocument/2006/relationships/hyperlink" Target="https://iaap.org/jung-analytical-psychology/short-articles-on-analytical-psychology/synchronicity-an-acausal-connecting-principle/" TargetMode="External"/><Relationship Id="rId1" Type="http://schemas.openxmlformats.org/officeDocument/2006/relationships/hyperlink" Target="https://www-oxfordreference-com.ezproxy.uwtsd.ac.uk/view/10.1093/acref/9780195112290.001.0001/acref-9780195112290-e-0046" TargetMode="External"/><Relationship Id="rId6" Type="http://schemas.openxmlformats.org/officeDocument/2006/relationships/hyperlink" Target="https://www-oxfordreference-com.ezproxy.uwtsd.ac.uk/view/10.1093/acref/9780198868750.001.0001/acref-9780198868750" TargetMode="External"/><Relationship Id="rId11" Type="http://schemas.openxmlformats.org/officeDocument/2006/relationships/hyperlink" Target="https://www.etymonline.com/word/determinism" TargetMode="External"/><Relationship Id="rId5" Type="http://schemas.openxmlformats.org/officeDocument/2006/relationships/hyperlink" Target="http://www.jstor.org/stable/27505718" TargetMode="External"/><Relationship Id="rId15" Type="http://schemas.openxmlformats.org/officeDocument/2006/relationships/hyperlink" Target="https://www-oxfordreference-com.ezproxy.uwtsd.ac.uk/view/10.1093/acref/9780192830982.001.0001/acref-9780192830982-e-3126" TargetMode="External"/><Relationship Id="rId23" Type="http://schemas.openxmlformats.org/officeDocument/2006/relationships/hyperlink" Target="https://www.jungcircle.com/ind.html" TargetMode="External"/><Relationship Id="rId10" Type="http://schemas.openxmlformats.org/officeDocument/2006/relationships/hyperlink" Target="https://www-oxfordreference-com.ezproxy.uwtsd.ac.uk/view/10.1093/acref/9780199571123.001.0001/m_en_gb0220550" TargetMode="External"/><Relationship Id="rId19" Type="http://schemas.openxmlformats.org/officeDocument/2006/relationships/hyperlink" Target="https://doi.org/10.1177/146879410200200205" TargetMode="External"/><Relationship Id="rId4" Type="http://schemas.openxmlformats.org/officeDocument/2006/relationships/hyperlink" Target="https://www.jstor.org/stable/48766266" TargetMode="External"/><Relationship Id="rId9" Type="http://schemas.openxmlformats.org/officeDocument/2006/relationships/hyperlink" Target="https://plato.stanford.edu/archives/win2022/entries/freewill/" TargetMode="External"/><Relationship Id="rId14" Type="http://schemas.openxmlformats.org/officeDocument/2006/relationships/hyperlink" Target="http://www.jstor.org/stable/2659913" TargetMode="External"/><Relationship Id="rId22" Type="http://schemas.openxmlformats.org/officeDocument/2006/relationships/hyperlink" Target="https://www.perseus.tufts.edu/hopper/text?doc=Perseus%3Atext%3A1999.01.0168%3Abook%3D10%3Asection%3D61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7AACC-612A-4D92-8B06-2DFE54AC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7547</Words>
  <Characters>46037</Characters>
  <Application>Microsoft Office Word</Application>
  <DocSecurity>0</DocSecurity>
  <Lines>837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 R</dc:creator>
  <cp:keywords/>
  <dc:description/>
  <cp:lastModifiedBy>Cristina Rosca</cp:lastModifiedBy>
  <cp:revision>3</cp:revision>
  <dcterms:created xsi:type="dcterms:W3CDTF">2025-07-21T11:26:00Z</dcterms:created>
  <dcterms:modified xsi:type="dcterms:W3CDTF">2025-07-21T11:29:00Z</dcterms:modified>
</cp:coreProperties>
</file>