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C20DC" w14:textId="074C1B05" w:rsidR="000554CA" w:rsidRDefault="000554CA" w:rsidP="000554CA">
      <w:pPr>
        <w:jc w:val="center"/>
        <w:rPr>
          <w:rFonts w:cs="Times New Roman"/>
          <w:sz w:val="40"/>
          <w:szCs w:val="40"/>
        </w:rPr>
      </w:pPr>
      <w:bookmarkStart w:id="0" w:name="_Hlk99059233"/>
      <w:r>
        <w:rPr>
          <w:noProof/>
          <w:sz w:val="40"/>
          <w:szCs w:val="40"/>
        </w:rPr>
        <w:drawing>
          <wp:inline distT="0" distB="0" distL="0" distR="0" wp14:anchorId="0DB53602" wp14:editId="25C9CBB8">
            <wp:extent cx="1813560" cy="868680"/>
            <wp:effectExtent l="0" t="0" r="0" b="7620"/>
            <wp:docPr id="3" name="Picture 3" descr="C:\Users\ASUS\AppData\Local\Microsoft\Windows\INetCache\Content.MSO\17C2317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SUS\AppData\Local\Microsoft\Windows\INetCache\Content.MSO\17C23174.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868680"/>
                    </a:xfrm>
                    <a:prstGeom prst="rect">
                      <a:avLst/>
                    </a:prstGeom>
                    <a:noFill/>
                    <a:ln>
                      <a:noFill/>
                    </a:ln>
                  </pic:spPr>
                </pic:pic>
              </a:graphicData>
            </a:graphic>
          </wp:inline>
        </w:drawing>
      </w:r>
    </w:p>
    <w:p w14:paraId="1053B69C" w14:textId="77777777" w:rsidR="000554CA" w:rsidRDefault="000554CA" w:rsidP="000554CA">
      <w:pPr>
        <w:rPr>
          <w:rFonts w:cs="Times New Roman"/>
          <w:sz w:val="40"/>
          <w:szCs w:val="40"/>
        </w:rPr>
      </w:pPr>
    </w:p>
    <w:p w14:paraId="0A2F69EB" w14:textId="499911FB" w:rsidR="005B6268" w:rsidRDefault="000554CA" w:rsidP="000554CA">
      <w:pPr>
        <w:jc w:val="center"/>
        <w:rPr>
          <w:rFonts w:cs="Times New Roman"/>
          <w:sz w:val="40"/>
          <w:szCs w:val="40"/>
        </w:rPr>
      </w:pPr>
      <w:r w:rsidRPr="000554CA">
        <w:rPr>
          <w:rFonts w:cs="Times New Roman"/>
          <w:sz w:val="40"/>
          <w:szCs w:val="40"/>
        </w:rPr>
        <w:t>Community Engagement</w:t>
      </w:r>
    </w:p>
    <w:p w14:paraId="09D7F32A" w14:textId="3C98461C" w:rsidR="000554CA" w:rsidRDefault="000554CA" w:rsidP="000554CA">
      <w:pPr>
        <w:jc w:val="center"/>
        <w:rPr>
          <w:rFonts w:cs="Times New Roman"/>
          <w:sz w:val="40"/>
          <w:szCs w:val="40"/>
        </w:rPr>
      </w:pPr>
    </w:p>
    <w:p w14:paraId="5551E295" w14:textId="29905EEC" w:rsidR="000554CA" w:rsidRPr="000554CA" w:rsidRDefault="000554CA" w:rsidP="000554CA">
      <w:pPr>
        <w:jc w:val="center"/>
        <w:rPr>
          <w:rFonts w:cs="Times New Roman"/>
          <w:sz w:val="28"/>
          <w:szCs w:val="28"/>
        </w:rPr>
      </w:pPr>
      <w:r w:rsidRPr="000554CA">
        <w:rPr>
          <w:rFonts w:cs="Times New Roman"/>
          <w:sz w:val="28"/>
          <w:szCs w:val="28"/>
        </w:rPr>
        <w:t>Module code: LCBB4002</w:t>
      </w:r>
    </w:p>
    <w:p w14:paraId="22964500" w14:textId="3660530E" w:rsidR="000554CA" w:rsidRPr="000554CA" w:rsidRDefault="000554CA" w:rsidP="000554CA">
      <w:pPr>
        <w:jc w:val="center"/>
        <w:rPr>
          <w:rFonts w:cs="Times New Roman"/>
          <w:sz w:val="28"/>
          <w:szCs w:val="28"/>
        </w:rPr>
      </w:pPr>
      <w:r w:rsidRPr="000554CA">
        <w:rPr>
          <w:rFonts w:cs="Times New Roman"/>
          <w:sz w:val="28"/>
          <w:szCs w:val="28"/>
        </w:rPr>
        <w:t xml:space="preserve">Student </w:t>
      </w:r>
      <w:proofErr w:type="spellStart"/>
      <w:proofErr w:type="gramStart"/>
      <w:r w:rsidRPr="000554CA">
        <w:rPr>
          <w:rFonts w:cs="Times New Roman"/>
          <w:sz w:val="28"/>
          <w:szCs w:val="28"/>
        </w:rPr>
        <w:t>Name:</w:t>
      </w:r>
      <w:r w:rsidR="009F5E65">
        <w:rPr>
          <w:rFonts w:cs="Times New Roman"/>
          <w:sz w:val="28"/>
          <w:szCs w:val="28"/>
        </w:rPr>
        <w:t>MIHAELA</w:t>
      </w:r>
      <w:proofErr w:type="spellEnd"/>
      <w:proofErr w:type="gramEnd"/>
      <w:r w:rsidR="009F5E65">
        <w:rPr>
          <w:rFonts w:cs="Times New Roman"/>
          <w:sz w:val="28"/>
          <w:szCs w:val="28"/>
        </w:rPr>
        <w:t xml:space="preserve"> PLACINTA</w:t>
      </w:r>
    </w:p>
    <w:p w14:paraId="0F7F2BA2" w14:textId="7E702E49" w:rsidR="000554CA" w:rsidRPr="000554CA" w:rsidRDefault="000554CA" w:rsidP="000554CA">
      <w:pPr>
        <w:jc w:val="center"/>
        <w:rPr>
          <w:rFonts w:cs="Times New Roman"/>
          <w:sz w:val="28"/>
          <w:szCs w:val="28"/>
        </w:rPr>
      </w:pPr>
      <w:r w:rsidRPr="000554CA">
        <w:rPr>
          <w:rFonts w:cs="Times New Roman"/>
          <w:sz w:val="28"/>
          <w:szCs w:val="28"/>
        </w:rPr>
        <w:t>Student ID:</w:t>
      </w:r>
      <w:r w:rsidR="009F5E65">
        <w:rPr>
          <w:rFonts w:cs="Times New Roman"/>
          <w:sz w:val="28"/>
          <w:szCs w:val="28"/>
        </w:rPr>
        <w:t>2028614</w:t>
      </w:r>
    </w:p>
    <w:p w14:paraId="45112604" w14:textId="7E7DDEB5" w:rsidR="000554CA" w:rsidRPr="000554CA" w:rsidRDefault="000554CA" w:rsidP="000554CA">
      <w:pPr>
        <w:jc w:val="center"/>
        <w:rPr>
          <w:rFonts w:cs="Times New Roman"/>
          <w:sz w:val="28"/>
          <w:szCs w:val="28"/>
        </w:rPr>
      </w:pPr>
      <w:r w:rsidRPr="000554CA">
        <w:rPr>
          <w:rFonts w:cs="Times New Roman"/>
          <w:sz w:val="28"/>
          <w:szCs w:val="28"/>
        </w:rPr>
        <w:t>Date of submission:</w:t>
      </w:r>
    </w:p>
    <w:bookmarkEnd w:id="0"/>
    <w:p w14:paraId="7AD1294C" w14:textId="77777777" w:rsidR="003838DA" w:rsidRDefault="003838DA" w:rsidP="003838DA">
      <w:pPr>
        <w:spacing w:line="259" w:lineRule="auto"/>
        <w:jc w:val="left"/>
        <w:rPr>
          <w:rFonts w:cs="Times New Roman"/>
          <w:sz w:val="32"/>
          <w:szCs w:val="32"/>
        </w:rPr>
      </w:pPr>
    </w:p>
    <w:p w14:paraId="658BC161" w14:textId="77777777" w:rsidR="003838DA" w:rsidRDefault="003838DA">
      <w:pPr>
        <w:spacing w:line="259" w:lineRule="auto"/>
        <w:jc w:val="left"/>
        <w:rPr>
          <w:rFonts w:eastAsiaTheme="majorEastAsia" w:cstheme="majorBidi"/>
          <w:b/>
          <w:sz w:val="32"/>
          <w:szCs w:val="32"/>
        </w:rPr>
      </w:pPr>
      <w:r>
        <w:br w:type="page"/>
      </w:r>
    </w:p>
    <w:sdt>
      <w:sdtPr>
        <w:rPr>
          <w:rFonts w:ascii="Times New Roman" w:eastAsiaTheme="minorHAnsi" w:hAnsi="Times New Roman" w:cstheme="minorBidi"/>
          <w:color w:val="auto"/>
          <w:sz w:val="24"/>
          <w:szCs w:val="22"/>
          <w:lang w:val="en-GB"/>
        </w:rPr>
        <w:id w:val="-664093879"/>
        <w:docPartObj>
          <w:docPartGallery w:val="Table of Contents"/>
          <w:docPartUnique/>
        </w:docPartObj>
      </w:sdtPr>
      <w:sdtEndPr>
        <w:rPr>
          <w:b/>
          <w:bCs/>
          <w:noProof/>
        </w:rPr>
      </w:sdtEndPr>
      <w:sdtContent>
        <w:p w14:paraId="6324142A" w14:textId="77777777" w:rsidR="003838DA" w:rsidRDefault="003838DA" w:rsidP="003838DA">
          <w:pPr>
            <w:pStyle w:val="TOCHeading"/>
          </w:pPr>
          <w:r>
            <w:t>Table of Contents</w:t>
          </w:r>
        </w:p>
        <w:p w14:paraId="6ED7F9FC" w14:textId="6B09BD5F" w:rsidR="00645098" w:rsidRDefault="003838DA">
          <w:pPr>
            <w:pStyle w:val="TOC1"/>
            <w:tabs>
              <w:tab w:val="right" w:leader="dot" w:pos="9350"/>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99064985" w:history="1">
            <w:r w:rsidR="00645098" w:rsidRPr="00C1109F">
              <w:rPr>
                <w:rStyle w:val="Hyperlink"/>
                <w:noProof/>
              </w:rPr>
              <w:t>Introduction</w:t>
            </w:r>
            <w:r w:rsidR="00645098">
              <w:rPr>
                <w:noProof/>
                <w:webHidden/>
              </w:rPr>
              <w:tab/>
            </w:r>
            <w:r w:rsidR="00645098">
              <w:rPr>
                <w:noProof/>
                <w:webHidden/>
              </w:rPr>
              <w:fldChar w:fldCharType="begin"/>
            </w:r>
            <w:r w:rsidR="00645098">
              <w:rPr>
                <w:noProof/>
                <w:webHidden/>
              </w:rPr>
              <w:instrText xml:space="preserve"> PAGEREF _Toc99064985 \h </w:instrText>
            </w:r>
            <w:r w:rsidR="00645098">
              <w:rPr>
                <w:noProof/>
                <w:webHidden/>
              </w:rPr>
            </w:r>
            <w:r w:rsidR="00645098">
              <w:rPr>
                <w:noProof/>
                <w:webHidden/>
              </w:rPr>
              <w:fldChar w:fldCharType="separate"/>
            </w:r>
            <w:r w:rsidR="00645098">
              <w:rPr>
                <w:noProof/>
                <w:webHidden/>
              </w:rPr>
              <w:t>3</w:t>
            </w:r>
            <w:r w:rsidR="00645098">
              <w:rPr>
                <w:noProof/>
                <w:webHidden/>
              </w:rPr>
              <w:fldChar w:fldCharType="end"/>
            </w:r>
          </w:hyperlink>
        </w:p>
        <w:p w14:paraId="6E9E1B26" w14:textId="541C2FF5" w:rsidR="00645098" w:rsidRDefault="00F34CC3">
          <w:pPr>
            <w:pStyle w:val="TOC1"/>
            <w:tabs>
              <w:tab w:val="right" w:leader="dot" w:pos="9350"/>
            </w:tabs>
            <w:rPr>
              <w:rFonts w:asciiTheme="minorHAnsi" w:eastAsiaTheme="minorEastAsia" w:hAnsiTheme="minorHAnsi"/>
              <w:noProof/>
              <w:sz w:val="22"/>
              <w:lang w:val="en-US"/>
            </w:rPr>
          </w:pPr>
          <w:hyperlink w:anchor="_Toc99064986" w:history="1">
            <w:r w:rsidR="00645098" w:rsidRPr="00C1109F">
              <w:rPr>
                <w:rStyle w:val="Hyperlink"/>
                <w:noProof/>
              </w:rPr>
              <w:t>Community engagement principles and standards</w:t>
            </w:r>
            <w:r w:rsidR="00645098">
              <w:rPr>
                <w:noProof/>
                <w:webHidden/>
              </w:rPr>
              <w:tab/>
            </w:r>
            <w:r w:rsidR="00645098">
              <w:rPr>
                <w:noProof/>
                <w:webHidden/>
              </w:rPr>
              <w:fldChar w:fldCharType="begin"/>
            </w:r>
            <w:r w:rsidR="00645098">
              <w:rPr>
                <w:noProof/>
                <w:webHidden/>
              </w:rPr>
              <w:instrText xml:space="preserve"> PAGEREF _Toc99064986 \h </w:instrText>
            </w:r>
            <w:r w:rsidR="00645098">
              <w:rPr>
                <w:noProof/>
                <w:webHidden/>
              </w:rPr>
            </w:r>
            <w:r w:rsidR="00645098">
              <w:rPr>
                <w:noProof/>
                <w:webHidden/>
              </w:rPr>
              <w:fldChar w:fldCharType="separate"/>
            </w:r>
            <w:r w:rsidR="00645098">
              <w:rPr>
                <w:noProof/>
                <w:webHidden/>
              </w:rPr>
              <w:t>4</w:t>
            </w:r>
            <w:r w:rsidR="00645098">
              <w:rPr>
                <w:noProof/>
                <w:webHidden/>
              </w:rPr>
              <w:fldChar w:fldCharType="end"/>
            </w:r>
          </w:hyperlink>
        </w:p>
        <w:p w14:paraId="42848281" w14:textId="119F94D6" w:rsidR="00645098" w:rsidRDefault="00F34CC3">
          <w:pPr>
            <w:pStyle w:val="TOC1"/>
            <w:tabs>
              <w:tab w:val="right" w:leader="dot" w:pos="9350"/>
            </w:tabs>
            <w:rPr>
              <w:rFonts w:asciiTheme="minorHAnsi" w:eastAsiaTheme="minorEastAsia" w:hAnsiTheme="minorHAnsi"/>
              <w:noProof/>
              <w:sz w:val="22"/>
              <w:lang w:val="en-US"/>
            </w:rPr>
          </w:pPr>
          <w:hyperlink w:anchor="_Toc99064987" w:history="1">
            <w:r w:rsidR="00645098" w:rsidRPr="00C1109F">
              <w:rPr>
                <w:rStyle w:val="Hyperlink"/>
                <w:noProof/>
              </w:rPr>
              <w:t>Challenges of community engagement</w:t>
            </w:r>
            <w:r w:rsidR="00645098">
              <w:rPr>
                <w:noProof/>
                <w:webHidden/>
              </w:rPr>
              <w:tab/>
            </w:r>
            <w:r w:rsidR="00645098">
              <w:rPr>
                <w:noProof/>
                <w:webHidden/>
              </w:rPr>
              <w:fldChar w:fldCharType="begin"/>
            </w:r>
            <w:r w:rsidR="00645098">
              <w:rPr>
                <w:noProof/>
                <w:webHidden/>
              </w:rPr>
              <w:instrText xml:space="preserve"> PAGEREF _Toc99064987 \h </w:instrText>
            </w:r>
            <w:r w:rsidR="00645098">
              <w:rPr>
                <w:noProof/>
                <w:webHidden/>
              </w:rPr>
            </w:r>
            <w:r w:rsidR="00645098">
              <w:rPr>
                <w:noProof/>
                <w:webHidden/>
              </w:rPr>
              <w:fldChar w:fldCharType="separate"/>
            </w:r>
            <w:r w:rsidR="00645098">
              <w:rPr>
                <w:noProof/>
                <w:webHidden/>
              </w:rPr>
              <w:t>5</w:t>
            </w:r>
            <w:r w:rsidR="00645098">
              <w:rPr>
                <w:noProof/>
                <w:webHidden/>
              </w:rPr>
              <w:fldChar w:fldCharType="end"/>
            </w:r>
          </w:hyperlink>
        </w:p>
        <w:p w14:paraId="708F78E2" w14:textId="150F0F43" w:rsidR="00645098" w:rsidRDefault="00F34CC3">
          <w:pPr>
            <w:pStyle w:val="TOC1"/>
            <w:tabs>
              <w:tab w:val="right" w:leader="dot" w:pos="9350"/>
            </w:tabs>
            <w:rPr>
              <w:rFonts w:asciiTheme="minorHAnsi" w:eastAsiaTheme="minorEastAsia" w:hAnsiTheme="minorHAnsi"/>
              <w:noProof/>
              <w:sz w:val="22"/>
              <w:lang w:val="en-US"/>
            </w:rPr>
          </w:pPr>
          <w:hyperlink w:anchor="_Toc99064988" w:history="1">
            <w:r w:rsidR="00645098" w:rsidRPr="00C1109F">
              <w:rPr>
                <w:rStyle w:val="Hyperlink"/>
                <w:noProof/>
              </w:rPr>
              <w:t>The opportunity for community engagement</w:t>
            </w:r>
            <w:r w:rsidR="00645098">
              <w:rPr>
                <w:noProof/>
                <w:webHidden/>
              </w:rPr>
              <w:tab/>
            </w:r>
            <w:r w:rsidR="00645098">
              <w:rPr>
                <w:noProof/>
                <w:webHidden/>
              </w:rPr>
              <w:fldChar w:fldCharType="begin"/>
            </w:r>
            <w:r w:rsidR="00645098">
              <w:rPr>
                <w:noProof/>
                <w:webHidden/>
              </w:rPr>
              <w:instrText xml:space="preserve"> PAGEREF _Toc99064988 \h </w:instrText>
            </w:r>
            <w:r w:rsidR="00645098">
              <w:rPr>
                <w:noProof/>
                <w:webHidden/>
              </w:rPr>
            </w:r>
            <w:r w:rsidR="00645098">
              <w:rPr>
                <w:noProof/>
                <w:webHidden/>
              </w:rPr>
              <w:fldChar w:fldCharType="separate"/>
            </w:r>
            <w:r w:rsidR="00645098">
              <w:rPr>
                <w:noProof/>
                <w:webHidden/>
              </w:rPr>
              <w:t>7</w:t>
            </w:r>
            <w:r w:rsidR="00645098">
              <w:rPr>
                <w:noProof/>
                <w:webHidden/>
              </w:rPr>
              <w:fldChar w:fldCharType="end"/>
            </w:r>
          </w:hyperlink>
        </w:p>
        <w:p w14:paraId="4B1D7721" w14:textId="0EAA7220" w:rsidR="00645098" w:rsidRDefault="00F34CC3">
          <w:pPr>
            <w:pStyle w:val="TOC1"/>
            <w:tabs>
              <w:tab w:val="right" w:leader="dot" w:pos="9350"/>
            </w:tabs>
            <w:rPr>
              <w:rFonts w:asciiTheme="minorHAnsi" w:eastAsiaTheme="minorEastAsia" w:hAnsiTheme="minorHAnsi"/>
              <w:noProof/>
              <w:sz w:val="22"/>
              <w:lang w:val="en-US"/>
            </w:rPr>
          </w:pPr>
          <w:hyperlink w:anchor="_Toc99064989" w:history="1">
            <w:r w:rsidR="00645098" w:rsidRPr="00C1109F">
              <w:rPr>
                <w:rStyle w:val="Hyperlink"/>
                <w:noProof/>
              </w:rPr>
              <w:t>Conclusion</w:t>
            </w:r>
            <w:r w:rsidR="00645098">
              <w:rPr>
                <w:noProof/>
                <w:webHidden/>
              </w:rPr>
              <w:tab/>
            </w:r>
            <w:r w:rsidR="00645098">
              <w:rPr>
                <w:noProof/>
                <w:webHidden/>
              </w:rPr>
              <w:fldChar w:fldCharType="begin"/>
            </w:r>
            <w:r w:rsidR="00645098">
              <w:rPr>
                <w:noProof/>
                <w:webHidden/>
              </w:rPr>
              <w:instrText xml:space="preserve"> PAGEREF _Toc99064989 \h </w:instrText>
            </w:r>
            <w:r w:rsidR="00645098">
              <w:rPr>
                <w:noProof/>
                <w:webHidden/>
              </w:rPr>
            </w:r>
            <w:r w:rsidR="00645098">
              <w:rPr>
                <w:noProof/>
                <w:webHidden/>
              </w:rPr>
              <w:fldChar w:fldCharType="separate"/>
            </w:r>
            <w:r w:rsidR="00645098">
              <w:rPr>
                <w:noProof/>
                <w:webHidden/>
              </w:rPr>
              <w:t>8</w:t>
            </w:r>
            <w:r w:rsidR="00645098">
              <w:rPr>
                <w:noProof/>
                <w:webHidden/>
              </w:rPr>
              <w:fldChar w:fldCharType="end"/>
            </w:r>
          </w:hyperlink>
        </w:p>
        <w:p w14:paraId="446FFEBC" w14:textId="076D143D" w:rsidR="00645098" w:rsidRDefault="00F34CC3">
          <w:pPr>
            <w:pStyle w:val="TOC1"/>
            <w:tabs>
              <w:tab w:val="right" w:leader="dot" w:pos="9350"/>
            </w:tabs>
            <w:rPr>
              <w:rFonts w:asciiTheme="minorHAnsi" w:eastAsiaTheme="minorEastAsia" w:hAnsiTheme="minorHAnsi"/>
              <w:noProof/>
              <w:sz w:val="22"/>
              <w:lang w:val="en-US"/>
            </w:rPr>
          </w:pPr>
          <w:hyperlink w:anchor="_Toc99064990" w:history="1">
            <w:r w:rsidR="00645098" w:rsidRPr="00C1109F">
              <w:rPr>
                <w:rStyle w:val="Hyperlink"/>
                <w:noProof/>
              </w:rPr>
              <w:t>Reference</w:t>
            </w:r>
            <w:r w:rsidR="00645098">
              <w:rPr>
                <w:noProof/>
                <w:webHidden/>
              </w:rPr>
              <w:tab/>
            </w:r>
            <w:r w:rsidR="00645098">
              <w:rPr>
                <w:noProof/>
                <w:webHidden/>
              </w:rPr>
              <w:fldChar w:fldCharType="begin"/>
            </w:r>
            <w:r w:rsidR="00645098">
              <w:rPr>
                <w:noProof/>
                <w:webHidden/>
              </w:rPr>
              <w:instrText xml:space="preserve"> PAGEREF _Toc99064990 \h </w:instrText>
            </w:r>
            <w:r w:rsidR="00645098">
              <w:rPr>
                <w:noProof/>
                <w:webHidden/>
              </w:rPr>
            </w:r>
            <w:r w:rsidR="00645098">
              <w:rPr>
                <w:noProof/>
                <w:webHidden/>
              </w:rPr>
              <w:fldChar w:fldCharType="separate"/>
            </w:r>
            <w:r w:rsidR="00645098">
              <w:rPr>
                <w:noProof/>
                <w:webHidden/>
              </w:rPr>
              <w:t>9</w:t>
            </w:r>
            <w:r w:rsidR="00645098">
              <w:rPr>
                <w:noProof/>
                <w:webHidden/>
              </w:rPr>
              <w:fldChar w:fldCharType="end"/>
            </w:r>
          </w:hyperlink>
        </w:p>
        <w:p w14:paraId="4D29B508" w14:textId="56B16762" w:rsidR="003838DA" w:rsidRDefault="003838DA" w:rsidP="003838DA">
          <w:pPr>
            <w:rPr>
              <w:b/>
              <w:bCs/>
              <w:noProof/>
            </w:rPr>
          </w:pPr>
          <w:r>
            <w:rPr>
              <w:b/>
              <w:bCs/>
              <w:noProof/>
            </w:rPr>
            <w:fldChar w:fldCharType="end"/>
          </w:r>
        </w:p>
      </w:sdtContent>
    </w:sdt>
    <w:p w14:paraId="178CFB12" w14:textId="499B3A9A" w:rsidR="003838DA" w:rsidRDefault="003838DA">
      <w:pPr>
        <w:spacing w:line="259" w:lineRule="auto"/>
        <w:jc w:val="left"/>
        <w:rPr>
          <w:rFonts w:eastAsiaTheme="majorEastAsia" w:cstheme="majorBidi"/>
          <w:b/>
          <w:sz w:val="32"/>
          <w:szCs w:val="32"/>
        </w:rPr>
      </w:pPr>
    </w:p>
    <w:p w14:paraId="13E5C84E" w14:textId="2E2D0586" w:rsidR="003838DA" w:rsidRDefault="003838DA"/>
    <w:p w14:paraId="77E6BDC9" w14:textId="4A8626D8" w:rsidR="003838DA" w:rsidRDefault="003838DA">
      <w:pPr>
        <w:spacing w:line="259" w:lineRule="auto"/>
        <w:jc w:val="left"/>
        <w:rPr>
          <w:rFonts w:eastAsiaTheme="majorEastAsia" w:cstheme="majorBidi"/>
          <w:b/>
          <w:sz w:val="32"/>
          <w:szCs w:val="32"/>
        </w:rPr>
      </w:pPr>
    </w:p>
    <w:p w14:paraId="72EFCD16" w14:textId="77777777" w:rsidR="003838DA" w:rsidRDefault="003838DA">
      <w:pPr>
        <w:spacing w:line="259" w:lineRule="auto"/>
        <w:jc w:val="left"/>
        <w:rPr>
          <w:rFonts w:eastAsiaTheme="majorEastAsia" w:cstheme="majorBidi"/>
          <w:b/>
          <w:sz w:val="32"/>
          <w:szCs w:val="32"/>
        </w:rPr>
      </w:pPr>
      <w:r>
        <w:br w:type="page"/>
      </w:r>
    </w:p>
    <w:p w14:paraId="51748778" w14:textId="5412DE87" w:rsidR="000554CA" w:rsidRDefault="000554CA" w:rsidP="003838DA">
      <w:pPr>
        <w:pStyle w:val="Heading1"/>
      </w:pPr>
      <w:bookmarkStart w:id="1" w:name="_Toc99064985"/>
      <w:bookmarkStart w:id="2" w:name="_Hlk99059264"/>
      <w:r>
        <w:lastRenderedPageBreak/>
        <w:t>Introduction</w:t>
      </w:r>
      <w:bookmarkEnd w:id="1"/>
    </w:p>
    <w:bookmarkEnd w:id="2"/>
    <w:p w14:paraId="35F76E9C" w14:textId="14A3CF03" w:rsidR="001A2560" w:rsidRDefault="003838DA" w:rsidP="003838DA">
      <w:r>
        <w:t>The report is about community engagement.</w:t>
      </w:r>
      <w:r w:rsidR="009131B7" w:rsidRPr="009131B7">
        <w:t xml:space="preserve"> The goal of community involvement is to identify and solve problems impacting the well-being of identifiable groups of people, whether they are linked geographically, have a shared interest, or are affiliated in some other way. Since "community" and "engagement" are linked, it broadens our view of what it means to be a part of a community, making it more inclusive of all its members and their unique perspectives and experiences. This mix of science and creativity is what makes community participation work. A wide range of disciplines are involved, including sociology and public policy; anthropology; cultural anthropology; organizational development; psychology; and social psychology. Organizing themes from community involvement, development, and constituency building, as well as community psychology, are also a component of it. The art comes from the ability to use and modify the research to meet the needs of a particular group and the goals of a specific engagement </w:t>
      </w:r>
      <w:r w:rsidR="009131B7">
        <w:t>endeavour</w:t>
      </w:r>
      <w:r w:rsidR="009131B7" w:rsidRPr="009131B7">
        <w:t xml:space="preserve"> with that community. While the outcomes of these activities may be described in a variety of ways and include a wide range of structures (e.g.</w:t>
      </w:r>
      <w:r w:rsidR="001A2560">
        <w:t xml:space="preserve"> </w:t>
      </w:r>
      <w:r w:rsidR="009131B7" w:rsidRPr="009131B7">
        <w:t>coalitions, partnerships, collaborations) they all belong under the general heading of community involvement and are handled identically in this context</w:t>
      </w:r>
      <w:r w:rsidR="00DE7470">
        <w:t xml:space="preserve"> </w:t>
      </w:r>
      <w:r w:rsidR="00DE7470">
        <w:rPr>
          <w:rFonts w:cs="Times New Roman"/>
          <w:shd w:val="clear" w:color="auto" w:fill="FFFFFF"/>
        </w:rPr>
        <w:t>(Kearney, 2015)</w:t>
      </w:r>
      <w:r w:rsidR="009131B7" w:rsidRPr="009131B7">
        <w:t xml:space="preserve">. </w:t>
      </w:r>
      <w:r w:rsidR="009131B7">
        <w:t>To</w:t>
      </w:r>
      <w:r w:rsidR="009131B7" w:rsidRPr="009131B7">
        <w:t xml:space="preserve"> effectively involve the community, it is required to devote time, money, and the expertise of those who can do so. Across the United </w:t>
      </w:r>
      <w:r w:rsidR="001A2560">
        <w:t>Kingdom</w:t>
      </w:r>
      <w:r w:rsidR="009131B7" w:rsidRPr="009131B7">
        <w:t xml:space="preserve"> and the globe, citizens and leaders are fighting to make the correct decisions for their communities and the problems they are concerned about. The finest plans can only be developed and implemented with the best tools, approaches, and knowledge available.</w:t>
      </w:r>
      <w:r w:rsidR="009131B7">
        <w:t xml:space="preserve"> </w:t>
      </w:r>
    </w:p>
    <w:p w14:paraId="36E78C3F" w14:textId="590E68FB" w:rsidR="003838DA" w:rsidRPr="003838DA" w:rsidRDefault="003838DA" w:rsidP="003838DA">
      <w:r>
        <w:t xml:space="preserve">Participation in one's community is the act or process of collaborating with and through various social groups to solve problems impacting the well-being of those groups' members. To promote the health of the community and its inhabitants, it is a strong vehicle for implementing environmental and behavioural changes. In many cases, collaborations and coalitions are used to assist mobilize resources and </w:t>
      </w:r>
      <w:r w:rsidR="00571FA1">
        <w:t>influence</w:t>
      </w:r>
      <w:r>
        <w:t xml:space="preserve"> systems, alter relationships among partners, and serve as catalysts for changing policies, programs, and practices</w:t>
      </w:r>
      <w:r w:rsidR="00571FA1">
        <w:t xml:space="preserve"> </w:t>
      </w:r>
      <w:r w:rsidR="00571FA1">
        <w:rPr>
          <w:rFonts w:cs="Times New Roman"/>
          <w:shd w:val="clear" w:color="auto" w:fill="FFFFFF"/>
        </w:rPr>
        <w:t>(South et al., 2014)</w:t>
      </w:r>
      <w:r>
        <w:t>. It's not so much a model as a framework of concepts, methods, and techniques that encourage engagement</w:t>
      </w:r>
      <w:r w:rsidR="00DE7470">
        <w:t xml:space="preserve"> </w:t>
      </w:r>
      <w:r w:rsidR="00DE7470">
        <w:rPr>
          <w:rFonts w:cs="Times New Roman"/>
          <w:shd w:val="clear" w:color="auto" w:fill="FFFFFF"/>
        </w:rPr>
        <w:t>(Holzer et al., 2014)</w:t>
      </w:r>
      <w:r>
        <w:t xml:space="preserve">. Every community member's right to know, be heard, be active, and feel empowered is upheld by this framework's foundational tenets. To be successful, community involvement uses a variety of techniques and tactics. Developing and strengthening trust is also a key component of </w:t>
      </w:r>
      <w:r>
        <w:lastRenderedPageBreak/>
        <w:t>long-term participation and good governance, according to this model. Stakeholders, interest groups, and citizen groups may all be included under the umbrella term "community." If a community is defined as a physical location, a group of people who have a common interest, or a group of people who share a common identity, then it is a community.</w:t>
      </w:r>
    </w:p>
    <w:p w14:paraId="091D2087" w14:textId="705B3514" w:rsidR="000554CA" w:rsidRPr="00F62341" w:rsidRDefault="000554CA" w:rsidP="00F62341">
      <w:pPr>
        <w:pStyle w:val="Heading1"/>
      </w:pPr>
      <w:bookmarkStart w:id="3" w:name="_Toc99064986"/>
      <w:bookmarkStart w:id="4" w:name="_Hlk99059517"/>
      <w:r>
        <w:t>Community engagement principle</w:t>
      </w:r>
      <w:r w:rsidR="001A2560">
        <w:t>s</w:t>
      </w:r>
      <w:r w:rsidR="003838DA">
        <w:t xml:space="preserve"> and standards</w:t>
      </w:r>
      <w:bookmarkEnd w:id="3"/>
    </w:p>
    <w:bookmarkEnd w:id="4"/>
    <w:p w14:paraId="4D2767C3" w14:textId="668E14C4" w:rsidR="00170ADF" w:rsidRDefault="009131B7" w:rsidP="00D50EAC">
      <w:r>
        <w:t xml:space="preserve">There are scientific and practical principles in </w:t>
      </w:r>
      <w:r w:rsidR="00170ADF">
        <w:t xml:space="preserve">the </w:t>
      </w:r>
      <w:r>
        <w:t>Principles of Community Engagement that may be used to get people to participate in health promotion, health protection, illness prevention in their communities</w:t>
      </w:r>
      <w:r w:rsidR="009A4DEC">
        <w:t xml:space="preserve"> etc</w:t>
      </w:r>
      <w:r>
        <w:t xml:space="preserve">. As </w:t>
      </w:r>
      <w:r w:rsidR="009A4DEC">
        <w:t xml:space="preserve">a </w:t>
      </w:r>
      <w:r w:rsidR="001A2560">
        <w:t>community leader</w:t>
      </w:r>
      <w:r>
        <w:t>,</w:t>
      </w:r>
      <w:r w:rsidR="001A2560">
        <w:t xml:space="preserve"> </w:t>
      </w:r>
      <w:r w:rsidR="00E80571">
        <w:t>one</w:t>
      </w:r>
      <w:r>
        <w:t xml:space="preserve"> m</w:t>
      </w:r>
      <w:r w:rsidR="001A2560">
        <w:t>ight be used</w:t>
      </w:r>
      <w:r>
        <w:t xml:space="preserve"> these recommendations to increase </w:t>
      </w:r>
      <w:r w:rsidR="009A4DEC">
        <w:t>the</w:t>
      </w:r>
      <w:r>
        <w:t xml:space="preserve"> ability to communicate effectively with each other as well as with other stakeholders in the community.</w:t>
      </w:r>
      <w:r w:rsidR="00170ADF">
        <w:t xml:space="preserve"> Ensuring that the process serves both a clearly defined aim and participants' requirements may be done via sufficient and inclusive preparation.</w:t>
      </w:r>
      <w:r w:rsidR="00D50EAC">
        <w:t xml:space="preserve"> </w:t>
      </w:r>
      <w:r w:rsidR="00170ADF">
        <w:t xml:space="preserve">Diversity </w:t>
      </w:r>
      <w:r w:rsidR="009A4DEC">
        <w:t>and i</w:t>
      </w:r>
      <w:r w:rsidR="00170ADF">
        <w:t xml:space="preserve">nclusion in the </w:t>
      </w:r>
      <w:r w:rsidR="009A4DEC">
        <w:t>w</w:t>
      </w:r>
      <w:r w:rsidR="00170ADF">
        <w:t>orkplace</w:t>
      </w:r>
      <w:r w:rsidR="00DE7470">
        <w:t xml:space="preserve"> </w:t>
      </w:r>
      <w:r w:rsidR="00DE7470">
        <w:rPr>
          <w:rFonts w:cs="Times New Roman"/>
          <w:shd w:val="clear" w:color="auto" w:fill="FFFFFF"/>
        </w:rPr>
        <w:t>(Adebayo et al., 2018)</w:t>
      </w:r>
      <w:r w:rsidR="00170ADF">
        <w:t>. The foundation for excellent results and democratic legitimacy may be laid by including a wide range of individuals, views, ideas, and information.</w:t>
      </w:r>
      <w:r w:rsidR="00D50EAC">
        <w:t xml:space="preserve"> </w:t>
      </w:r>
      <w:r w:rsidR="00170ADF">
        <w:t xml:space="preserve">The </w:t>
      </w:r>
      <w:r w:rsidR="009A4DEC">
        <w:t>v</w:t>
      </w:r>
      <w:r w:rsidR="00170ADF">
        <w:t xml:space="preserve">alue of </w:t>
      </w:r>
      <w:r w:rsidR="009A4DEC">
        <w:t>w</w:t>
      </w:r>
      <w:r w:rsidR="00170ADF">
        <w:t xml:space="preserve">orking </w:t>
      </w:r>
      <w:r w:rsidR="009A4DEC">
        <w:t>t</w:t>
      </w:r>
      <w:r w:rsidR="00170ADF">
        <w:t xml:space="preserve">ogether </w:t>
      </w:r>
      <w:r w:rsidR="009A4DEC">
        <w:t>t</w:t>
      </w:r>
      <w:r w:rsidR="00170ADF">
        <w:t xml:space="preserve">oward a </w:t>
      </w:r>
      <w:r w:rsidR="009A4DEC">
        <w:t>c</w:t>
      </w:r>
      <w:r w:rsidR="00170ADF">
        <w:t xml:space="preserve">ommon </w:t>
      </w:r>
      <w:r w:rsidR="009A4DEC">
        <w:t>g</w:t>
      </w:r>
      <w:r w:rsidR="00170ADF">
        <w:t>oal. Encourage collaboration among participants, government agencies, community organizations, and others for the benefit of everyone</w:t>
      </w:r>
      <w:r w:rsidR="009A4DEC">
        <w:t>.</w:t>
      </w:r>
      <w:r w:rsidR="00D50EAC">
        <w:t xml:space="preserve"> </w:t>
      </w:r>
      <w:r w:rsidR="00170ADF">
        <w:t xml:space="preserve">Learning and </w:t>
      </w:r>
      <w:r w:rsidR="009A4DEC">
        <w:t>o</w:t>
      </w:r>
      <w:r w:rsidR="00170ADF">
        <w:t>penness. Community engagement events should be systematically evaluated for their success by allowing everyone participating to listen to each other and explore ideas without predefined results.</w:t>
      </w:r>
      <w:r w:rsidR="00D50EAC">
        <w:t xml:space="preserve"> </w:t>
      </w:r>
      <w:r w:rsidR="00170ADF">
        <w:t>Trust and openness go hand in hand. Provide a public record of the organizers, sponsors, results, and a wide variety of perspectives and ideas that were expressed in the process</w:t>
      </w:r>
      <w:r w:rsidR="009A4DEC">
        <w:t xml:space="preserve">. </w:t>
      </w:r>
      <w:r w:rsidR="00170ADF">
        <w:t xml:space="preserve">Efforts and results. Participants should be aware of the potential of their efforts and </w:t>
      </w:r>
      <w:r w:rsidR="00EC3606">
        <w:t xml:space="preserve">the </w:t>
      </w:r>
      <w:r w:rsidR="006C65EA">
        <w:t>know-how</w:t>
      </w:r>
      <w:r w:rsidR="00170ADF">
        <w:t xml:space="preserve"> they might help.</w:t>
      </w:r>
      <w:r w:rsidR="00D50EAC">
        <w:t xml:space="preserve"> </w:t>
      </w:r>
      <w:r w:rsidR="00170ADF">
        <w:t xml:space="preserve">Creating a </w:t>
      </w:r>
      <w:r w:rsidR="009A4DEC">
        <w:t>p</w:t>
      </w:r>
      <w:r w:rsidR="00170ADF">
        <w:t xml:space="preserve">articipatory and </w:t>
      </w:r>
      <w:r w:rsidR="009A4DEC">
        <w:t>e</w:t>
      </w:r>
      <w:r w:rsidR="00170ADF">
        <w:t xml:space="preserve">ngaging </w:t>
      </w:r>
      <w:r w:rsidR="009A4DEC">
        <w:t>e</w:t>
      </w:r>
      <w:r w:rsidR="00170ADF">
        <w:t>nvironment. Make it easier for people to participate in their communities by providing programs and institutions that encourage long-term involvement.</w:t>
      </w:r>
    </w:p>
    <w:p w14:paraId="4E770099" w14:textId="5CA7A486" w:rsidR="009131B7" w:rsidRDefault="009131B7" w:rsidP="00D50EAC">
      <w:r>
        <w:t>The main concepts of the declaration are universal, independent of the starting organizations:</w:t>
      </w:r>
    </w:p>
    <w:p w14:paraId="3E45FE33" w14:textId="2B3E29FA" w:rsidR="009131B7" w:rsidRDefault="009131B7" w:rsidP="00170ADF">
      <w:pPr>
        <w:pStyle w:val="ListParagraph"/>
        <w:numPr>
          <w:ilvl w:val="0"/>
          <w:numId w:val="2"/>
        </w:numPr>
      </w:pPr>
      <w:r>
        <w:t xml:space="preserve">Be specific about the people or communities wish to include in </w:t>
      </w:r>
      <w:r w:rsidR="00D50EAC">
        <w:t xml:space="preserve">the </w:t>
      </w:r>
      <w:r>
        <w:t>engagement efforts.</w:t>
      </w:r>
    </w:p>
    <w:p w14:paraId="0803378F" w14:textId="63D2050B" w:rsidR="00170ADF" w:rsidRDefault="009131B7" w:rsidP="00170ADF">
      <w:pPr>
        <w:pStyle w:val="ListParagraph"/>
        <w:numPr>
          <w:ilvl w:val="0"/>
          <w:numId w:val="2"/>
        </w:numPr>
      </w:pPr>
      <w:r>
        <w:t>Acquire a thorough understanding of the local economy, political system, social norms and values, and demographic trends, as well as the community's history and previous involvement attempts. Find out what the community thinks of the people who are starting the engagement efforts.</w:t>
      </w:r>
    </w:p>
    <w:p w14:paraId="75BE771C" w14:textId="20802A21" w:rsidR="009131B7" w:rsidRDefault="009131B7" w:rsidP="00170ADF">
      <w:pPr>
        <w:pStyle w:val="ListParagraph"/>
        <w:numPr>
          <w:ilvl w:val="0"/>
          <w:numId w:val="2"/>
        </w:numPr>
      </w:pPr>
      <w:r>
        <w:lastRenderedPageBreak/>
        <w:t xml:space="preserve">Get to know the people in </w:t>
      </w:r>
      <w:r w:rsidR="00D50EAC">
        <w:t xml:space="preserve">the </w:t>
      </w:r>
      <w:r>
        <w:t>community, develop trust, and engage with both official and informal leaders to create methods for mobilizing the community</w:t>
      </w:r>
      <w:r w:rsidR="00DE7470">
        <w:t xml:space="preserve"> </w:t>
      </w:r>
      <w:r w:rsidR="00DE7470">
        <w:rPr>
          <w:rFonts w:cs="Times New Roman"/>
          <w:shd w:val="clear" w:color="auto" w:fill="FFFFFF"/>
        </w:rPr>
        <w:t xml:space="preserve">(De </w:t>
      </w:r>
      <w:proofErr w:type="spellStart"/>
      <w:r w:rsidR="00DE7470">
        <w:rPr>
          <w:rFonts w:cs="Times New Roman"/>
          <w:shd w:val="clear" w:color="auto" w:fill="FFFFFF"/>
        </w:rPr>
        <w:t>Weger</w:t>
      </w:r>
      <w:proofErr w:type="spellEnd"/>
      <w:r w:rsidR="00DE7470">
        <w:rPr>
          <w:rFonts w:cs="Times New Roman"/>
          <w:shd w:val="clear" w:color="auto" w:fill="FFFFFF"/>
        </w:rPr>
        <w:t xml:space="preserve"> et al., 2018)</w:t>
      </w:r>
      <w:r>
        <w:t>.</w:t>
      </w:r>
      <w:r w:rsidR="00170ADF">
        <w:t xml:space="preserve"> </w:t>
      </w:r>
      <w:r>
        <w:t xml:space="preserve">It is important to remember and acknowledge that all members of a community have a right to self-determination. </w:t>
      </w:r>
      <w:r w:rsidR="00D50EAC">
        <w:t xml:space="preserve">One </w:t>
      </w:r>
      <w:r>
        <w:t xml:space="preserve">can't just give a group of people the authority to behave </w:t>
      </w:r>
      <w:r w:rsidR="00170ADF">
        <w:t>in</w:t>
      </w:r>
      <w:r>
        <w:t xml:space="preserve"> their self-interest.</w:t>
      </w:r>
    </w:p>
    <w:p w14:paraId="58747EE1" w14:textId="6AA64207" w:rsidR="009131B7" w:rsidRDefault="009131B7" w:rsidP="00170ADF">
      <w:pPr>
        <w:pStyle w:val="ListParagraph"/>
        <w:numPr>
          <w:ilvl w:val="0"/>
          <w:numId w:val="2"/>
        </w:numPr>
      </w:pPr>
      <w:r>
        <w:t>Creating change and improving health need collaboration with the community.</w:t>
      </w:r>
    </w:p>
    <w:p w14:paraId="5AA07F7B" w14:textId="0B8B52BD" w:rsidR="009131B7" w:rsidRDefault="00170ADF" w:rsidP="00170ADF">
      <w:pPr>
        <w:pStyle w:val="ListParagraph"/>
        <w:numPr>
          <w:ilvl w:val="0"/>
          <w:numId w:val="2"/>
        </w:numPr>
      </w:pPr>
      <w:r>
        <w:t>One</w:t>
      </w:r>
      <w:r w:rsidR="009131B7">
        <w:t xml:space="preserve"> must be aware of and appreciate the diversity of the local community. Designing and executing strategies for community participation that take into account cultural diversity is an absolute need. The employment of numerous engagement tactics will be necessary </w:t>
      </w:r>
      <w:r>
        <w:t>to</w:t>
      </w:r>
      <w:r w:rsidR="009131B7">
        <w:t xml:space="preserve"> reach these varied audiences.</w:t>
      </w:r>
    </w:p>
    <w:p w14:paraId="444E92FF" w14:textId="7D68659B" w:rsidR="009131B7" w:rsidRPr="009131B7" w:rsidRDefault="009131B7" w:rsidP="009131B7">
      <w:r>
        <w:t>Engaging the community requires the identification and mobilization of community assets, as well as the development of community decision-making capabilities and resources.</w:t>
      </w:r>
      <w:r w:rsidR="00170ADF">
        <w:t xml:space="preserve"> </w:t>
      </w:r>
      <w:r>
        <w:t>Be ready to hand up management of activities or interventions to the community, and flexible enough to satisfy the community's shifting requirements.</w:t>
      </w:r>
    </w:p>
    <w:p w14:paraId="4FE21C5F" w14:textId="53D63DD5" w:rsidR="009131B7" w:rsidRDefault="009131B7" w:rsidP="009131B7">
      <w:pPr>
        <w:pStyle w:val="Heading1"/>
      </w:pPr>
      <w:bookmarkStart w:id="5" w:name="_Toc99064987"/>
      <w:bookmarkStart w:id="6" w:name="_Hlk99059620"/>
      <w:r>
        <w:t>Challenges</w:t>
      </w:r>
      <w:r w:rsidR="008B76D6">
        <w:t xml:space="preserve"> of community engagement</w:t>
      </w:r>
      <w:bookmarkEnd w:id="5"/>
    </w:p>
    <w:bookmarkEnd w:id="6"/>
    <w:p w14:paraId="4D1EB975" w14:textId="77777777" w:rsidR="00D50EAC" w:rsidRDefault="00D50EAC" w:rsidP="00F03ECB">
      <w:r w:rsidRPr="00D50EAC">
        <w:t>Creating a sense of belonging in a community comes with several difficulties. Some of these issues might be so severe that they hinder the expansion of community engagement.</w:t>
      </w:r>
    </w:p>
    <w:p w14:paraId="59075153" w14:textId="2E82214D" w:rsidR="00F62341" w:rsidRDefault="00F03ECB" w:rsidP="00F03ECB">
      <w:r>
        <w:t xml:space="preserve">Resourcing: The issue of proper funding is at the heart of everything. The most common obstacle to community participation is a lack of time and resources to implement a comprehensive plan. From the first stages of conceptualization through the final stages of implementation, this is essential. Employees will appreciate the reduced administrative load </w:t>
      </w:r>
      <w:r w:rsidR="001B63D9">
        <w:t>one</w:t>
      </w:r>
      <w:r>
        <w:t>'ll be able to provide by using an online engagement platform such as Engagement Hub</w:t>
      </w:r>
      <w:r w:rsidR="00DE7470">
        <w:t xml:space="preserve"> </w:t>
      </w:r>
      <w:r w:rsidR="00DE7470">
        <w:rPr>
          <w:rFonts w:cs="Times New Roman"/>
          <w:shd w:val="clear" w:color="auto" w:fill="FFFFFF"/>
        </w:rPr>
        <w:t>(Cyril et al., 2015)</w:t>
      </w:r>
      <w:r w:rsidR="001B63D9">
        <w:t xml:space="preserve">. </w:t>
      </w:r>
      <w:r>
        <w:t>Community engagement approach and resourcing must be flexible enough to adapt both proactively and reactively to community needs and input.</w:t>
      </w:r>
    </w:p>
    <w:p w14:paraId="37AE19DC" w14:textId="75BDC462" w:rsidR="00F62341" w:rsidRDefault="00F03ECB" w:rsidP="00F03ECB">
      <w:r>
        <w:t xml:space="preserve">Accessibility: An important part of any community participation is accessibility for all participants. This may include arranging events at a variety of times and places, offering training sessions for online interaction software users, or even converting information into different languages.  Must conform to online accessibility requirements when it comes to website. </w:t>
      </w:r>
    </w:p>
    <w:p w14:paraId="33B463D5" w14:textId="330F22C3" w:rsidR="00F03ECB" w:rsidRDefault="00F03ECB" w:rsidP="00F03ECB">
      <w:r>
        <w:lastRenderedPageBreak/>
        <w:t xml:space="preserve">Representativeness: Assuring that data is a reflection of </w:t>
      </w:r>
      <w:r w:rsidR="00F62341">
        <w:t xml:space="preserve">the </w:t>
      </w:r>
      <w:r>
        <w:t>whole community and that all views are heard may be a challenging task. However, segmenting</w:t>
      </w:r>
      <w:r w:rsidR="001B63D9">
        <w:t xml:space="preserve"> the</w:t>
      </w:r>
      <w:r>
        <w:t xml:space="preserve"> audience based on demographics, region, and other characteristics might help </w:t>
      </w:r>
      <w:r w:rsidR="001B63D9">
        <w:t>to</w:t>
      </w:r>
      <w:r>
        <w:t xml:space="preserve"> keep track of any segments of </w:t>
      </w:r>
      <w:r w:rsidR="001B63D9">
        <w:t>the</w:t>
      </w:r>
      <w:r>
        <w:t xml:space="preserve"> community that </w:t>
      </w:r>
      <w:r w:rsidR="001B63D9">
        <w:t>one</w:t>
      </w:r>
      <w:r>
        <w:t xml:space="preserve"> </w:t>
      </w:r>
      <w:r w:rsidR="00E80571">
        <w:t>hasn’t</w:t>
      </w:r>
      <w:r>
        <w:t xml:space="preserve"> reached or haven't had enough engagement </w:t>
      </w:r>
      <w:r w:rsidR="00571FA1">
        <w:rPr>
          <w:rFonts w:cs="Times New Roman"/>
          <w:shd w:val="clear" w:color="auto" w:fill="FFFFFF"/>
        </w:rPr>
        <w:t>(</w:t>
      </w:r>
      <w:proofErr w:type="spellStart"/>
      <w:r w:rsidR="00571FA1">
        <w:rPr>
          <w:rFonts w:cs="Times New Roman"/>
          <w:shd w:val="clear" w:color="auto" w:fill="FFFFFF"/>
        </w:rPr>
        <w:t>Sallnow</w:t>
      </w:r>
      <w:proofErr w:type="spellEnd"/>
      <w:r w:rsidR="00571FA1">
        <w:rPr>
          <w:rFonts w:cs="Times New Roman"/>
          <w:shd w:val="clear" w:color="auto" w:fill="FFFFFF"/>
        </w:rPr>
        <w:t xml:space="preserve"> et al., 2015)</w:t>
      </w:r>
      <w:r>
        <w:t xml:space="preserve">. Automatic segmentation upon registration may be set up using online engagement software to determine whether </w:t>
      </w:r>
      <w:r w:rsidR="001B63D9">
        <w:t>one can reach</w:t>
      </w:r>
      <w:r>
        <w:t xml:space="preserve"> all areas of </w:t>
      </w:r>
      <w:r w:rsidR="001B63D9">
        <w:t>the</w:t>
      </w:r>
      <w:r>
        <w:t xml:space="preserve"> community.</w:t>
      </w:r>
    </w:p>
    <w:p w14:paraId="42A89E02" w14:textId="05FE3B64" w:rsidR="00F03ECB" w:rsidRDefault="00F03ECB" w:rsidP="00F03ECB">
      <w:r>
        <w:t xml:space="preserve">Equity: When it comes to equity, it's critical to ensure that everyone has a voice and that no one group is left out. After representativeness, </w:t>
      </w:r>
      <w:r w:rsidR="008111C4">
        <w:t>the community faces the equality challenge</w:t>
      </w:r>
      <w:r>
        <w:t>. Ensuring quantitative data equality may be accomplished, for example, by the use of tools such as surveys and polls that limit the number of times a person can submit or vote.</w:t>
      </w:r>
    </w:p>
    <w:p w14:paraId="15A05EFC" w14:textId="6893A1B9" w:rsidR="00F03ECB" w:rsidRDefault="00F03ECB" w:rsidP="00F03ECB">
      <w:r>
        <w:t xml:space="preserve">Summarising sentiment: To sum up the community's feelings, it's difficult to combine a wide range of opinions into a single answer to </w:t>
      </w:r>
      <w:r w:rsidR="008111C4">
        <w:t>the</w:t>
      </w:r>
      <w:r>
        <w:t xml:space="preserve"> efforts. It is important to allow more time for the sentiment to develop during the consultation period so that emergent ideas can be developed and tested. The sentiment analysis must also be humanized</w:t>
      </w:r>
      <w:r w:rsidR="00571FA1">
        <w:t xml:space="preserve"> </w:t>
      </w:r>
      <w:r w:rsidR="00571FA1">
        <w:rPr>
          <w:rFonts w:cs="Times New Roman"/>
          <w:shd w:val="clear" w:color="auto" w:fill="FFFFFF"/>
        </w:rPr>
        <w:t>(</w:t>
      </w:r>
      <w:proofErr w:type="spellStart"/>
      <w:r w:rsidR="00571FA1">
        <w:rPr>
          <w:rFonts w:cs="Times New Roman"/>
          <w:shd w:val="clear" w:color="auto" w:fill="FFFFFF"/>
        </w:rPr>
        <w:t>Weerts</w:t>
      </w:r>
      <w:proofErr w:type="spellEnd"/>
      <w:r w:rsidR="00571FA1">
        <w:rPr>
          <w:rFonts w:cs="Times New Roman"/>
          <w:shd w:val="clear" w:color="auto" w:fill="FFFFFF"/>
        </w:rPr>
        <w:t xml:space="preserve"> et al., 2014)</w:t>
      </w:r>
      <w:r>
        <w:t>. The general emotion of qualitative feedback may only be evaluated by individuals and agreed upon as a group so that individual viewpoints do not influence the data interpretation.</w:t>
      </w:r>
    </w:p>
    <w:p w14:paraId="7B236EF2" w14:textId="07142B0C" w:rsidR="00F03ECB" w:rsidRDefault="00F03ECB" w:rsidP="00F03ECB">
      <w:r>
        <w:t xml:space="preserve">Consultation fatigue: Consultation fatigue is a risk when engaging with </w:t>
      </w:r>
      <w:r w:rsidR="008111C4">
        <w:t>the</w:t>
      </w:r>
      <w:r>
        <w:t xml:space="preserve"> community regular basis, since they may get </w:t>
      </w:r>
      <w:r w:rsidR="008111C4">
        <w:t>judged</w:t>
      </w:r>
      <w:r>
        <w:t xml:space="preserve"> and stop participating. Maintaining interest in a community requires a careful balancing act between </w:t>
      </w:r>
      <w:r w:rsidR="008111C4">
        <w:t>the</w:t>
      </w:r>
      <w:r>
        <w:t xml:space="preserve"> desire for involvement and the amount of engagement that's appropriate for the whole group</w:t>
      </w:r>
      <w:r w:rsidR="00DE7470">
        <w:t xml:space="preserve"> </w:t>
      </w:r>
      <w:bookmarkStart w:id="7" w:name="_Hlk99062799"/>
      <w:r w:rsidR="00DE7470">
        <w:rPr>
          <w:rFonts w:cs="Times New Roman"/>
          <w:shd w:val="clear" w:color="auto" w:fill="FFFFFF"/>
        </w:rPr>
        <w:t>(Barnes et al., 2016)</w:t>
      </w:r>
      <w:bookmarkEnd w:id="7"/>
      <w:r>
        <w:t>.</w:t>
      </w:r>
    </w:p>
    <w:p w14:paraId="3358D69E" w14:textId="72017C2B" w:rsidR="00F03ECB" w:rsidRDefault="00F03ECB" w:rsidP="00F03ECB">
      <w:r>
        <w:t xml:space="preserve">Disillusionment: As a community member, </w:t>
      </w:r>
      <w:r w:rsidR="008111C4">
        <w:t>one</w:t>
      </w:r>
      <w:r>
        <w:t xml:space="preserve"> may grow disillusioned if you don't see your ideas being implemented. Community members are likely to experience resentment and distrust if they perceive that </w:t>
      </w:r>
      <w:r w:rsidR="008111C4">
        <w:t>an</w:t>
      </w:r>
      <w:r>
        <w:t xml:space="preserve"> organization just listened to them because it was a "tick-box exercise" and their</w:t>
      </w:r>
      <w:r w:rsidR="00F62341">
        <w:t xml:space="preserve"> </w:t>
      </w:r>
      <w:r>
        <w:t xml:space="preserve">criticism was ignored. Therefore, it is critical to </w:t>
      </w:r>
      <w:r w:rsidR="00F62341">
        <w:t>managing</w:t>
      </w:r>
      <w:r>
        <w:t xml:space="preserve"> the expectations of how much community participation is included in the ultimate decision-making.</w:t>
      </w:r>
    </w:p>
    <w:p w14:paraId="720F3EC1" w14:textId="4B79634D" w:rsidR="00F03ECB" w:rsidRDefault="00F03ECB" w:rsidP="00F03ECB">
      <w:r>
        <w:t xml:space="preserve">Governance: Having proper governance ensures that everyone engaged is held to the same standards of responsibility and openness. Strategic planning, resourcing plans, and clear demarcation of decision-making and responsibility assist to get the most out of </w:t>
      </w:r>
      <w:r w:rsidR="008111C4">
        <w:t>the</w:t>
      </w:r>
      <w:r>
        <w:t xml:space="preserve"> community engagement activities when used in conjunction with an organized strategy.</w:t>
      </w:r>
    </w:p>
    <w:p w14:paraId="4250283A" w14:textId="0A7AC232" w:rsidR="00F03ECB" w:rsidRDefault="00F03ECB" w:rsidP="00F03ECB">
      <w:r>
        <w:lastRenderedPageBreak/>
        <w:t xml:space="preserve">Community building: It takes effort and a best-practice strategy to establish an engaged community, but the payoff is enormous. Take the time to develop the talents of </w:t>
      </w:r>
      <w:r w:rsidR="008111C4">
        <w:t>the</w:t>
      </w:r>
      <w:r>
        <w:t xml:space="preserve"> community so that they can engage with</w:t>
      </w:r>
      <w:r w:rsidR="008111C4">
        <w:t xml:space="preserve"> </w:t>
      </w:r>
      <w:r>
        <w:t>now and in the future. Take the time.</w:t>
      </w:r>
    </w:p>
    <w:p w14:paraId="63702A81" w14:textId="392D3AE1" w:rsidR="00170ADF" w:rsidRDefault="00F03ECB" w:rsidP="00F03ECB">
      <w:r>
        <w:t>With careful planning and resource allocation, organizations may benefit from an engaged community and more confident decision-making by cooperating with a community that is empowered and knowledgeable.</w:t>
      </w:r>
    </w:p>
    <w:p w14:paraId="0C8F3A2E" w14:textId="77777777" w:rsidR="00511788" w:rsidRDefault="00170ADF" w:rsidP="008126D1">
      <w:r>
        <w:rPr>
          <w:noProof/>
        </w:rPr>
        <w:drawing>
          <wp:inline distT="0" distB="0" distL="0" distR="0" wp14:anchorId="629D3723" wp14:editId="0A3E7D2D">
            <wp:extent cx="5943600" cy="3269615"/>
            <wp:effectExtent l="0" t="0" r="0" b="6985"/>
            <wp:docPr id="5" name="Picture 5" descr="Chapter 1: What Is Community Engagement? | Principles of Community  Engagement | ATSD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hapter 1: What Is Community Engagement? | Principles of Community  Engagement | ATSD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269615"/>
                    </a:xfrm>
                    <a:prstGeom prst="rect">
                      <a:avLst/>
                    </a:prstGeom>
                    <a:noFill/>
                    <a:ln>
                      <a:noFill/>
                    </a:ln>
                  </pic:spPr>
                </pic:pic>
              </a:graphicData>
            </a:graphic>
          </wp:inline>
        </w:drawing>
      </w:r>
    </w:p>
    <w:p w14:paraId="4621C054" w14:textId="7F85256B" w:rsidR="009131B7" w:rsidRDefault="008B76D6" w:rsidP="00511788">
      <w:pPr>
        <w:pStyle w:val="Heading1"/>
      </w:pPr>
      <w:bookmarkStart w:id="8" w:name="_Toc99064988"/>
      <w:bookmarkStart w:id="9" w:name="_Hlk99059918"/>
      <w:r>
        <w:t>The opportunity for community engagement</w:t>
      </w:r>
      <w:bookmarkEnd w:id="8"/>
    </w:p>
    <w:bookmarkEnd w:id="9"/>
    <w:p w14:paraId="2B84C6B7" w14:textId="0815EDDE" w:rsidR="00BD5E0F" w:rsidRPr="00BD5E0F" w:rsidRDefault="00BD5E0F" w:rsidP="008B76D6">
      <w:r w:rsidRPr="00BD5E0F">
        <w:t xml:space="preserve">Getting involved </w:t>
      </w:r>
      <w:r w:rsidR="008B76D6">
        <w:t>with a</w:t>
      </w:r>
      <w:r w:rsidRPr="00BD5E0F">
        <w:t xml:space="preserve"> community may be a great way to spread the word about</w:t>
      </w:r>
      <w:r w:rsidR="008B76D6">
        <w:t xml:space="preserve"> the</w:t>
      </w:r>
      <w:r w:rsidRPr="00BD5E0F">
        <w:t xml:space="preserve"> business and raise awareness of</w:t>
      </w:r>
      <w:r w:rsidR="008B76D6">
        <w:t xml:space="preserve"> its </w:t>
      </w:r>
      <w:r w:rsidRPr="00BD5E0F">
        <w:t>offer</w:t>
      </w:r>
      <w:r w:rsidR="008B76D6">
        <w:t>s</w:t>
      </w:r>
      <w:r w:rsidRPr="00BD5E0F">
        <w:t xml:space="preserve">. It may also be used to advertise </w:t>
      </w:r>
      <w:r w:rsidR="008B76D6">
        <w:t>the</w:t>
      </w:r>
      <w:r w:rsidRPr="00BD5E0F">
        <w:t xml:space="preserve"> company's principles. Involving </w:t>
      </w:r>
      <w:r w:rsidR="008B76D6">
        <w:t>the business</w:t>
      </w:r>
      <w:r w:rsidRPr="00BD5E0F">
        <w:t xml:space="preserve"> in the community </w:t>
      </w:r>
      <w:r w:rsidR="008B76D6">
        <w:t>daily</w:t>
      </w:r>
      <w:r w:rsidRPr="00BD5E0F">
        <w:t xml:space="preserve"> fosters a pleasant work environment and strengthens ties to the community.</w:t>
      </w:r>
      <w:r w:rsidR="008B76D6">
        <w:t xml:space="preserve"> Make initiatives and solutions more likely to be universally accepted. Those that engage in these procedures do so because they care deeply about seeing the initiatives through to completion. Develop new and better solutions. Practical and successful solutions may be developed by drawing on the varied local experience of many people. Improve residents' problem-solving abilities. The problems are discussed in detail by participants. As their expertise grows, they can understand the situation from more perspectives. Practice communication and decision-making skills among the general public. People from diverse origins may be empowered and </w:t>
      </w:r>
      <w:r w:rsidR="008B76D6">
        <w:lastRenderedPageBreak/>
        <w:t>integrated. Those who feel neglected might take more control of their lives and communities. Working together with individuals from diverse parts of the community frequently results in the discovery of shared interests and values</w:t>
      </w:r>
      <w:r w:rsidR="00571FA1">
        <w:t xml:space="preserve"> </w:t>
      </w:r>
      <w:r w:rsidR="00571FA1">
        <w:rPr>
          <w:rFonts w:cs="Times New Roman"/>
          <w:shd w:val="clear" w:color="auto" w:fill="FFFFFF"/>
        </w:rPr>
        <w:t>(Mathur et al., 2014)</w:t>
      </w:r>
      <w:r w:rsidR="008B76D6">
        <w:t xml:space="preserve">. Organizing the neighbours into small groups. The more individuals in a community are aware of what's going on and eager to work toward a goal, the more likely they are to succeed. Organize several chances to voice the organisation’s concerns. People may voice their issues before they get too huge or out of control via regular, ongoing talks. Boost confidence in local government and </w:t>
      </w:r>
      <w:proofErr w:type="spellStart"/>
      <w:r w:rsidR="008B76D6">
        <w:t>nonprofits</w:t>
      </w:r>
      <w:proofErr w:type="spellEnd"/>
      <w:r w:rsidR="008B76D6">
        <w:t>. As a team, we are better able to communicate and comprehend one another. Having a better understanding of what government, community leaders, and organizations can and can't do may help prevent future conflicts.</w:t>
      </w:r>
    </w:p>
    <w:p w14:paraId="251E2B5B" w14:textId="6558A250" w:rsidR="003838DA" w:rsidRDefault="003838DA" w:rsidP="001A2560">
      <w:pPr>
        <w:pStyle w:val="Heading1"/>
      </w:pPr>
      <w:bookmarkStart w:id="10" w:name="_Toc99064989"/>
      <w:bookmarkStart w:id="11" w:name="_Hlk99060012"/>
      <w:r>
        <w:t>Conclusion</w:t>
      </w:r>
      <w:bookmarkEnd w:id="10"/>
    </w:p>
    <w:bookmarkEnd w:id="11"/>
    <w:p w14:paraId="4E9903AE" w14:textId="07B5B42E" w:rsidR="00C2575F" w:rsidRDefault="001A2560" w:rsidP="001A2560">
      <w:pPr>
        <w:rPr>
          <w:rFonts w:cs="Times New Roman"/>
          <w:szCs w:val="24"/>
        </w:rPr>
      </w:pPr>
      <w:r w:rsidRPr="001A2560">
        <w:rPr>
          <w:rFonts w:cs="Times New Roman"/>
          <w:szCs w:val="24"/>
        </w:rPr>
        <w:t>There are so many good results and advantages for organizations and the greater community as a result of community participation.</w:t>
      </w:r>
      <w:r w:rsidR="0023166E">
        <w:rPr>
          <w:rFonts w:cs="Times New Roman"/>
          <w:szCs w:val="24"/>
        </w:rPr>
        <w:t xml:space="preserve"> </w:t>
      </w:r>
      <w:r w:rsidRPr="001A2560">
        <w:rPr>
          <w:rFonts w:cs="Times New Roman"/>
          <w:szCs w:val="24"/>
        </w:rPr>
        <w:t xml:space="preserve">When </w:t>
      </w:r>
      <w:r w:rsidR="00E80571">
        <w:rPr>
          <w:rFonts w:cs="Times New Roman"/>
          <w:szCs w:val="24"/>
        </w:rPr>
        <w:t>one includes</w:t>
      </w:r>
      <w:r w:rsidRPr="001A2560">
        <w:rPr>
          <w:rFonts w:cs="Times New Roman"/>
          <w:szCs w:val="24"/>
        </w:rPr>
        <w:t xml:space="preserve"> the community in </w:t>
      </w:r>
      <w:r w:rsidR="00E80571">
        <w:rPr>
          <w:rFonts w:cs="Times New Roman"/>
          <w:szCs w:val="24"/>
        </w:rPr>
        <w:t>his</w:t>
      </w:r>
      <w:r w:rsidRPr="001A2560">
        <w:rPr>
          <w:rFonts w:cs="Times New Roman"/>
          <w:szCs w:val="24"/>
        </w:rPr>
        <w:t xml:space="preserve"> projects and efforts, </w:t>
      </w:r>
      <w:r w:rsidR="00E80571">
        <w:rPr>
          <w:rFonts w:cs="Times New Roman"/>
          <w:szCs w:val="24"/>
        </w:rPr>
        <w:t>He or she wi</w:t>
      </w:r>
      <w:r w:rsidRPr="001A2560">
        <w:rPr>
          <w:rFonts w:cs="Times New Roman"/>
          <w:szCs w:val="24"/>
        </w:rPr>
        <w:t xml:space="preserve">ll be able to understand the broad picture and their entire effect, which will help </w:t>
      </w:r>
      <w:r w:rsidR="00E80571">
        <w:rPr>
          <w:rFonts w:cs="Times New Roman"/>
          <w:szCs w:val="24"/>
        </w:rPr>
        <w:t xml:space="preserve">to </w:t>
      </w:r>
      <w:r w:rsidRPr="001A2560">
        <w:rPr>
          <w:rFonts w:cs="Times New Roman"/>
          <w:szCs w:val="24"/>
        </w:rPr>
        <w:t xml:space="preserve">make better choices as an </w:t>
      </w:r>
      <w:r w:rsidRPr="00F7710F">
        <w:rPr>
          <w:rFonts w:cs="Times New Roman"/>
          <w:szCs w:val="24"/>
        </w:rPr>
        <w:t>organization</w:t>
      </w:r>
      <w:r w:rsidR="00F7710F" w:rsidRPr="00F7710F">
        <w:rPr>
          <w:rFonts w:cs="Times New Roman"/>
          <w:szCs w:val="24"/>
        </w:rPr>
        <w:t xml:space="preserve"> </w:t>
      </w:r>
      <w:r w:rsidR="00F7710F" w:rsidRPr="00F7710F">
        <w:rPr>
          <w:rFonts w:cs="Times New Roman"/>
          <w:color w:val="000000"/>
          <w:szCs w:val="24"/>
          <w:shd w:val="clear" w:color="auto" w:fill="FFFFFF"/>
        </w:rPr>
        <w:t>(Geisler, 2013)</w:t>
      </w:r>
      <w:r w:rsidRPr="00F7710F">
        <w:rPr>
          <w:rFonts w:cs="Times New Roman"/>
          <w:szCs w:val="24"/>
        </w:rPr>
        <w:t>. When</w:t>
      </w:r>
      <w:r w:rsidRPr="001A2560">
        <w:rPr>
          <w:rFonts w:cs="Times New Roman"/>
          <w:szCs w:val="24"/>
        </w:rPr>
        <w:t xml:space="preserve"> done correctly, community participation may help </w:t>
      </w:r>
      <w:r w:rsidR="00E80571">
        <w:rPr>
          <w:rFonts w:cs="Times New Roman"/>
          <w:szCs w:val="24"/>
        </w:rPr>
        <w:t>to</w:t>
      </w:r>
      <w:r w:rsidRPr="001A2560">
        <w:rPr>
          <w:rFonts w:cs="Times New Roman"/>
          <w:szCs w:val="24"/>
        </w:rPr>
        <w:t xml:space="preserve"> build a more socially responsible business. Interacting with members of the community is a critical component of civic involvement. But it's not a one-way street;</w:t>
      </w:r>
      <w:r w:rsidR="00E80571">
        <w:rPr>
          <w:rFonts w:cs="Times New Roman"/>
          <w:szCs w:val="24"/>
        </w:rPr>
        <w:t xml:space="preserve"> organisations</w:t>
      </w:r>
      <w:r w:rsidRPr="001A2560">
        <w:rPr>
          <w:rFonts w:cs="Times New Roman"/>
          <w:szCs w:val="24"/>
        </w:rPr>
        <w:t xml:space="preserve"> have to engage </w:t>
      </w:r>
      <w:r w:rsidR="00E80571">
        <w:rPr>
          <w:rFonts w:cs="Times New Roman"/>
          <w:szCs w:val="24"/>
        </w:rPr>
        <w:t xml:space="preserve">their </w:t>
      </w:r>
      <w:r w:rsidRPr="001A2560">
        <w:rPr>
          <w:rFonts w:cs="Times New Roman"/>
          <w:szCs w:val="24"/>
        </w:rPr>
        <w:t>community in discourse and listen to what they have to say as well.</w:t>
      </w:r>
      <w:r w:rsidR="00E80571">
        <w:rPr>
          <w:rFonts w:cs="Times New Roman"/>
          <w:szCs w:val="24"/>
        </w:rPr>
        <w:t xml:space="preserve"> </w:t>
      </w:r>
      <w:r w:rsidRPr="001A2560">
        <w:rPr>
          <w:rFonts w:cs="Times New Roman"/>
          <w:szCs w:val="24"/>
        </w:rPr>
        <w:t xml:space="preserve">Facilitating communication is more difficult than it seems at first glance. Don't assume that others down some communication barriers, and </w:t>
      </w:r>
      <w:r w:rsidR="00E80571">
        <w:rPr>
          <w:rFonts w:cs="Times New Roman"/>
          <w:szCs w:val="24"/>
        </w:rPr>
        <w:t>search</w:t>
      </w:r>
      <w:r w:rsidRPr="001A2560">
        <w:rPr>
          <w:rFonts w:cs="Times New Roman"/>
          <w:szCs w:val="24"/>
        </w:rPr>
        <w:t xml:space="preserve"> for methods to provide a variety of communication platforms and formats.</w:t>
      </w:r>
      <w:r w:rsidR="00E80571">
        <w:rPr>
          <w:rFonts w:cs="Times New Roman"/>
          <w:szCs w:val="24"/>
        </w:rPr>
        <w:t xml:space="preserve"> </w:t>
      </w:r>
      <w:r w:rsidRPr="001A2560">
        <w:rPr>
          <w:rFonts w:cs="Times New Roman"/>
          <w:szCs w:val="24"/>
        </w:rPr>
        <w:t xml:space="preserve">However, it is always worthwhile to communicate with stakeholders. A wider range of viewpoints and better information will be available as a result. As a result, </w:t>
      </w:r>
      <w:r w:rsidR="00E80571">
        <w:rPr>
          <w:rFonts w:cs="Times New Roman"/>
          <w:szCs w:val="24"/>
        </w:rPr>
        <w:t>the organisation will</w:t>
      </w:r>
      <w:r w:rsidRPr="001A2560">
        <w:rPr>
          <w:rFonts w:cs="Times New Roman"/>
          <w:szCs w:val="24"/>
        </w:rPr>
        <w:t xml:space="preserve"> be able to better communicate with </w:t>
      </w:r>
      <w:r w:rsidR="00E80571">
        <w:rPr>
          <w:rFonts w:cs="Times New Roman"/>
          <w:szCs w:val="24"/>
        </w:rPr>
        <w:t>the</w:t>
      </w:r>
      <w:r w:rsidRPr="001A2560">
        <w:rPr>
          <w:rFonts w:cs="Times New Roman"/>
          <w:szCs w:val="24"/>
        </w:rPr>
        <w:t xml:space="preserve"> community and help them better understand one other.</w:t>
      </w:r>
    </w:p>
    <w:p w14:paraId="6EDA9FAF" w14:textId="77777777" w:rsidR="00C2575F" w:rsidRDefault="00C2575F">
      <w:pPr>
        <w:spacing w:line="259" w:lineRule="auto"/>
        <w:jc w:val="left"/>
        <w:rPr>
          <w:rFonts w:cs="Times New Roman"/>
          <w:szCs w:val="24"/>
        </w:rPr>
      </w:pPr>
      <w:r>
        <w:rPr>
          <w:rFonts w:cs="Times New Roman"/>
          <w:szCs w:val="24"/>
        </w:rPr>
        <w:br w:type="page"/>
      </w:r>
    </w:p>
    <w:p w14:paraId="200F075E" w14:textId="3B34BED1" w:rsidR="000554CA" w:rsidRDefault="00C2575F" w:rsidP="00C2575F">
      <w:pPr>
        <w:pStyle w:val="Heading1"/>
      </w:pPr>
      <w:bookmarkStart w:id="12" w:name="_Toc99064990"/>
      <w:r>
        <w:lastRenderedPageBreak/>
        <w:t>Reference</w:t>
      </w:r>
      <w:bookmarkEnd w:id="12"/>
      <w:r>
        <w:t xml:space="preserve"> </w:t>
      </w:r>
    </w:p>
    <w:p w14:paraId="15C2A99A" w14:textId="77777777" w:rsidR="00027AE2" w:rsidRPr="00027AE2" w:rsidRDefault="00027AE2" w:rsidP="00027AE2">
      <w:pPr>
        <w:rPr>
          <w:rFonts w:cs="Times New Roman"/>
          <w:shd w:val="clear" w:color="auto" w:fill="FFFFFF"/>
        </w:rPr>
      </w:pPr>
      <w:bookmarkStart w:id="13" w:name="_Hlk99062130"/>
      <w:r w:rsidRPr="00027AE2">
        <w:rPr>
          <w:rFonts w:cs="Times New Roman"/>
          <w:shd w:val="clear" w:color="auto" w:fill="FFFFFF"/>
        </w:rPr>
        <w:t xml:space="preserve">Adebayo, O.W., Salerno, J.P., </w:t>
      </w:r>
      <w:proofErr w:type="spellStart"/>
      <w:r w:rsidRPr="00027AE2">
        <w:rPr>
          <w:rFonts w:cs="Times New Roman"/>
          <w:shd w:val="clear" w:color="auto" w:fill="FFFFFF"/>
        </w:rPr>
        <w:t>Francillon</w:t>
      </w:r>
      <w:proofErr w:type="spellEnd"/>
      <w:r w:rsidRPr="00027AE2">
        <w:rPr>
          <w:rFonts w:cs="Times New Roman"/>
          <w:shd w:val="clear" w:color="auto" w:fill="FFFFFF"/>
        </w:rPr>
        <w:t>, V. and Williams, J.R., 2018. A systematic review of components of community‐based organisation engagement. </w:t>
      </w:r>
      <w:r w:rsidRPr="00027AE2">
        <w:rPr>
          <w:rFonts w:cs="Times New Roman"/>
          <w:i/>
          <w:iCs/>
          <w:shd w:val="clear" w:color="auto" w:fill="FFFFFF"/>
        </w:rPr>
        <w:t>Health &amp; social care in the community</w:t>
      </w:r>
      <w:r w:rsidRPr="00027AE2">
        <w:rPr>
          <w:rFonts w:cs="Times New Roman"/>
          <w:shd w:val="clear" w:color="auto" w:fill="FFFFFF"/>
        </w:rPr>
        <w:t>, </w:t>
      </w:r>
      <w:r w:rsidRPr="00027AE2">
        <w:rPr>
          <w:rFonts w:cs="Times New Roman"/>
          <w:i/>
          <w:iCs/>
          <w:shd w:val="clear" w:color="auto" w:fill="FFFFFF"/>
        </w:rPr>
        <w:t>26</w:t>
      </w:r>
      <w:r w:rsidRPr="00027AE2">
        <w:rPr>
          <w:rFonts w:cs="Times New Roman"/>
          <w:shd w:val="clear" w:color="auto" w:fill="FFFFFF"/>
        </w:rPr>
        <w:t xml:space="preserve">(4), </w:t>
      </w:r>
      <w:proofErr w:type="gramStart"/>
      <w:r w:rsidRPr="00027AE2">
        <w:rPr>
          <w:rFonts w:cs="Times New Roman"/>
          <w:shd w:val="clear" w:color="auto" w:fill="FFFFFF"/>
        </w:rPr>
        <w:t>pp.e</w:t>
      </w:r>
      <w:proofErr w:type="gramEnd"/>
      <w:r w:rsidRPr="00027AE2">
        <w:rPr>
          <w:rFonts w:cs="Times New Roman"/>
          <w:shd w:val="clear" w:color="auto" w:fill="FFFFFF"/>
        </w:rPr>
        <w:t>474-e484.</w:t>
      </w:r>
    </w:p>
    <w:p w14:paraId="67F12D2B" w14:textId="77777777" w:rsidR="00027AE2" w:rsidRPr="00027AE2" w:rsidRDefault="00027AE2" w:rsidP="00027AE2">
      <w:pPr>
        <w:rPr>
          <w:rFonts w:cs="Times New Roman"/>
          <w:color w:val="000000"/>
          <w:shd w:val="clear" w:color="auto" w:fill="FFFFFF"/>
        </w:rPr>
      </w:pPr>
      <w:r w:rsidRPr="00027AE2">
        <w:rPr>
          <w:rFonts w:cs="Times New Roman"/>
          <w:color w:val="000000"/>
          <w:shd w:val="clear" w:color="auto" w:fill="FFFFFF"/>
        </w:rPr>
        <w:t>Atsdr.cdc.gov. 2022. </w:t>
      </w:r>
      <w:r w:rsidRPr="00027AE2">
        <w:rPr>
          <w:rFonts w:cs="Times New Roman"/>
          <w:i/>
          <w:iCs/>
          <w:color w:val="000000"/>
          <w:shd w:val="clear" w:color="auto" w:fill="FFFFFF"/>
        </w:rPr>
        <w:t>Chapter 1: What Is Community Engagement? | Principles of Community Engagement | ATSDR</w:t>
      </w:r>
      <w:r w:rsidRPr="00027AE2">
        <w:rPr>
          <w:rFonts w:cs="Times New Roman"/>
          <w:color w:val="000000"/>
          <w:shd w:val="clear" w:color="auto" w:fill="FFFFFF"/>
        </w:rPr>
        <w:t>. [online] Available at: &lt;https://www.atsdr.cdc.gov/communityengagement/pce_what.html&gt; [Accessed 24 March 2022].</w:t>
      </w:r>
    </w:p>
    <w:p w14:paraId="2A5EBB9D" w14:textId="2A77109D" w:rsidR="00027AE2" w:rsidRPr="00027AE2" w:rsidRDefault="00027AE2" w:rsidP="00027AE2">
      <w:pPr>
        <w:rPr>
          <w:rFonts w:cs="Times New Roman"/>
          <w:shd w:val="clear" w:color="auto" w:fill="FFFFFF"/>
        </w:rPr>
      </w:pPr>
      <w:r w:rsidRPr="00027AE2">
        <w:rPr>
          <w:rFonts w:cs="Times New Roman"/>
          <w:shd w:val="clear" w:color="auto" w:fill="FFFFFF"/>
        </w:rPr>
        <w:t>Barnes, M. and Schmitz, P., 2016. Community engagement matters (now more than ever). </w:t>
      </w:r>
      <w:r w:rsidRPr="00027AE2">
        <w:rPr>
          <w:rFonts w:cs="Times New Roman"/>
          <w:i/>
          <w:iCs/>
          <w:shd w:val="clear" w:color="auto" w:fill="FFFFFF"/>
        </w:rPr>
        <w:t>Stanford Social Innovation Review</w:t>
      </w:r>
      <w:r w:rsidRPr="00027AE2">
        <w:rPr>
          <w:rFonts w:cs="Times New Roman"/>
          <w:shd w:val="clear" w:color="auto" w:fill="FFFFFF"/>
        </w:rPr>
        <w:t>, </w:t>
      </w:r>
      <w:r w:rsidRPr="00027AE2">
        <w:rPr>
          <w:rFonts w:cs="Times New Roman"/>
          <w:i/>
          <w:iCs/>
          <w:shd w:val="clear" w:color="auto" w:fill="FFFFFF"/>
        </w:rPr>
        <w:t>14</w:t>
      </w:r>
      <w:r w:rsidRPr="00027AE2">
        <w:rPr>
          <w:rFonts w:cs="Times New Roman"/>
          <w:shd w:val="clear" w:color="auto" w:fill="FFFFFF"/>
        </w:rPr>
        <w:t>(2), pp.32-39.</w:t>
      </w:r>
      <w:r w:rsidR="00DE7470">
        <w:rPr>
          <w:rFonts w:cs="Times New Roman"/>
          <w:shd w:val="clear" w:color="auto" w:fill="FFFFFF"/>
        </w:rPr>
        <w:t xml:space="preserve">  </w:t>
      </w:r>
    </w:p>
    <w:p w14:paraId="0F504C95" w14:textId="687F873F" w:rsidR="00027AE2" w:rsidRPr="00027AE2" w:rsidRDefault="00027AE2" w:rsidP="00027AE2">
      <w:pPr>
        <w:rPr>
          <w:rFonts w:cs="Times New Roman"/>
          <w:shd w:val="clear" w:color="auto" w:fill="FFFFFF"/>
        </w:rPr>
      </w:pPr>
      <w:r w:rsidRPr="00027AE2">
        <w:rPr>
          <w:rFonts w:cs="Times New Roman"/>
          <w:shd w:val="clear" w:color="auto" w:fill="FFFFFF"/>
        </w:rPr>
        <w:t xml:space="preserve">Cyril, S., Smith, B.J., </w:t>
      </w:r>
      <w:proofErr w:type="spellStart"/>
      <w:r w:rsidRPr="00027AE2">
        <w:rPr>
          <w:rFonts w:cs="Times New Roman"/>
          <w:shd w:val="clear" w:color="auto" w:fill="FFFFFF"/>
        </w:rPr>
        <w:t>Possamai-Inesedy</w:t>
      </w:r>
      <w:proofErr w:type="spellEnd"/>
      <w:r w:rsidRPr="00027AE2">
        <w:rPr>
          <w:rFonts w:cs="Times New Roman"/>
          <w:shd w:val="clear" w:color="auto" w:fill="FFFFFF"/>
        </w:rPr>
        <w:t xml:space="preserve">, A. and </w:t>
      </w:r>
      <w:proofErr w:type="spellStart"/>
      <w:r w:rsidRPr="00027AE2">
        <w:rPr>
          <w:rFonts w:cs="Times New Roman"/>
          <w:shd w:val="clear" w:color="auto" w:fill="FFFFFF"/>
        </w:rPr>
        <w:t>Renzaho</w:t>
      </w:r>
      <w:proofErr w:type="spellEnd"/>
      <w:r w:rsidRPr="00027AE2">
        <w:rPr>
          <w:rFonts w:cs="Times New Roman"/>
          <w:shd w:val="clear" w:color="auto" w:fill="FFFFFF"/>
        </w:rPr>
        <w:t>, A.M., 2015. Exploring the role of community engagement in improving the health of disadvantaged populations: a systematic review. </w:t>
      </w:r>
      <w:r w:rsidRPr="00027AE2">
        <w:rPr>
          <w:rFonts w:cs="Times New Roman"/>
          <w:i/>
          <w:iCs/>
          <w:shd w:val="clear" w:color="auto" w:fill="FFFFFF"/>
        </w:rPr>
        <w:t>Global health action</w:t>
      </w:r>
      <w:r w:rsidRPr="00027AE2">
        <w:rPr>
          <w:rFonts w:cs="Times New Roman"/>
          <w:shd w:val="clear" w:color="auto" w:fill="FFFFFF"/>
        </w:rPr>
        <w:t>, </w:t>
      </w:r>
      <w:r w:rsidRPr="00027AE2">
        <w:rPr>
          <w:rFonts w:cs="Times New Roman"/>
          <w:i/>
          <w:iCs/>
          <w:shd w:val="clear" w:color="auto" w:fill="FFFFFF"/>
        </w:rPr>
        <w:t>8</w:t>
      </w:r>
      <w:r w:rsidRPr="00027AE2">
        <w:rPr>
          <w:rFonts w:cs="Times New Roman"/>
          <w:shd w:val="clear" w:color="auto" w:fill="FFFFFF"/>
        </w:rPr>
        <w:t>(1), p.29842.</w:t>
      </w:r>
      <w:r w:rsidR="00DE7470">
        <w:rPr>
          <w:rFonts w:cs="Times New Roman"/>
          <w:shd w:val="clear" w:color="auto" w:fill="FFFFFF"/>
        </w:rPr>
        <w:t xml:space="preserve">    </w:t>
      </w:r>
    </w:p>
    <w:p w14:paraId="16969BBD" w14:textId="77777777" w:rsidR="00027AE2" w:rsidRPr="00027AE2" w:rsidRDefault="00027AE2" w:rsidP="00027AE2">
      <w:pPr>
        <w:rPr>
          <w:rFonts w:cs="Times New Roman"/>
          <w:shd w:val="clear" w:color="auto" w:fill="FFFFFF"/>
        </w:rPr>
      </w:pPr>
      <w:r w:rsidRPr="00027AE2">
        <w:rPr>
          <w:rFonts w:cs="Times New Roman"/>
          <w:shd w:val="clear" w:color="auto" w:fill="FFFFFF"/>
        </w:rPr>
        <w:t xml:space="preserve">De </w:t>
      </w:r>
      <w:proofErr w:type="spellStart"/>
      <w:r w:rsidRPr="00027AE2">
        <w:rPr>
          <w:rFonts w:cs="Times New Roman"/>
          <w:shd w:val="clear" w:color="auto" w:fill="FFFFFF"/>
        </w:rPr>
        <w:t>Weger</w:t>
      </w:r>
      <w:proofErr w:type="spellEnd"/>
      <w:r w:rsidRPr="00027AE2">
        <w:rPr>
          <w:rFonts w:cs="Times New Roman"/>
          <w:shd w:val="clear" w:color="auto" w:fill="FFFFFF"/>
        </w:rPr>
        <w:t xml:space="preserve">, E., Van </w:t>
      </w:r>
      <w:proofErr w:type="spellStart"/>
      <w:r w:rsidRPr="00027AE2">
        <w:rPr>
          <w:rFonts w:cs="Times New Roman"/>
          <w:shd w:val="clear" w:color="auto" w:fill="FFFFFF"/>
        </w:rPr>
        <w:t>Vooren</w:t>
      </w:r>
      <w:proofErr w:type="spellEnd"/>
      <w:r w:rsidRPr="00027AE2">
        <w:rPr>
          <w:rFonts w:cs="Times New Roman"/>
          <w:shd w:val="clear" w:color="auto" w:fill="FFFFFF"/>
        </w:rPr>
        <w:t xml:space="preserve">, N., </w:t>
      </w:r>
      <w:proofErr w:type="spellStart"/>
      <w:r w:rsidRPr="00027AE2">
        <w:rPr>
          <w:rFonts w:cs="Times New Roman"/>
          <w:shd w:val="clear" w:color="auto" w:fill="FFFFFF"/>
        </w:rPr>
        <w:t>Luijkx</w:t>
      </w:r>
      <w:proofErr w:type="spellEnd"/>
      <w:r w:rsidRPr="00027AE2">
        <w:rPr>
          <w:rFonts w:cs="Times New Roman"/>
          <w:shd w:val="clear" w:color="auto" w:fill="FFFFFF"/>
        </w:rPr>
        <w:t>, K.G., Baan, C.A. and Drewes, H.W., 2018. Achieving successful community engagement: a rapid realist review. </w:t>
      </w:r>
      <w:r w:rsidRPr="00027AE2">
        <w:rPr>
          <w:rFonts w:cs="Times New Roman"/>
          <w:i/>
          <w:iCs/>
          <w:shd w:val="clear" w:color="auto" w:fill="FFFFFF"/>
        </w:rPr>
        <w:t>BMC health services research</w:t>
      </w:r>
      <w:r w:rsidRPr="00027AE2">
        <w:rPr>
          <w:rFonts w:cs="Times New Roman"/>
          <w:shd w:val="clear" w:color="auto" w:fill="FFFFFF"/>
        </w:rPr>
        <w:t>, </w:t>
      </w:r>
      <w:r w:rsidRPr="00027AE2">
        <w:rPr>
          <w:rFonts w:cs="Times New Roman"/>
          <w:i/>
          <w:iCs/>
          <w:shd w:val="clear" w:color="auto" w:fill="FFFFFF"/>
        </w:rPr>
        <w:t>18</w:t>
      </w:r>
      <w:r w:rsidRPr="00027AE2">
        <w:rPr>
          <w:rFonts w:cs="Times New Roman"/>
          <w:shd w:val="clear" w:color="auto" w:fill="FFFFFF"/>
        </w:rPr>
        <w:t>(1), pp.1-18.</w:t>
      </w:r>
    </w:p>
    <w:p w14:paraId="2AE17090" w14:textId="77777777" w:rsidR="00027AE2" w:rsidRPr="00027AE2" w:rsidRDefault="00027AE2" w:rsidP="00027AE2">
      <w:pPr>
        <w:rPr>
          <w:rFonts w:cs="Times New Roman"/>
          <w:color w:val="000000"/>
          <w:shd w:val="clear" w:color="auto" w:fill="FFFFFF"/>
        </w:rPr>
      </w:pPr>
      <w:r w:rsidRPr="00027AE2">
        <w:rPr>
          <w:rFonts w:cs="Times New Roman"/>
          <w:color w:val="000000"/>
          <w:shd w:val="clear" w:color="auto" w:fill="FFFFFF"/>
        </w:rPr>
        <w:t>Epa.gov. 2022. [online] Available at: &lt;https://www.epa.gov/sites/production/files/2017-03/documents/tribalswcommunityengagementstrategy508.pdf&gt; [Accessed 24 March 2022].</w:t>
      </w:r>
    </w:p>
    <w:p w14:paraId="25A8020E" w14:textId="77777777" w:rsidR="00027AE2" w:rsidRPr="00027AE2" w:rsidRDefault="00027AE2" w:rsidP="00027AE2">
      <w:pPr>
        <w:rPr>
          <w:rFonts w:cs="Times New Roman"/>
          <w:color w:val="000000"/>
          <w:shd w:val="clear" w:color="auto" w:fill="FFFFFF"/>
        </w:rPr>
      </w:pPr>
      <w:r w:rsidRPr="00027AE2">
        <w:rPr>
          <w:rFonts w:cs="Times New Roman"/>
          <w:color w:val="000000"/>
          <w:shd w:val="clear" w:color="auto" w:fill="FFFFFF"/>
        </w:rPr>
        <w:t>Geisler, C., 2013. </w:t>
      </w:r>
      <w:r w:rsidRPr="00027AE2">
        <w:rPr>
          <w:rFonts w:cs="Times New Roman"/>
          <w:i/>
          <w:iCs/>
          <w:color w:val="000000"/>
          <w:shd w:val="clear" w:color="auto" w:fill="FFFFFF"/>
        </w:rPr>
        <w:t>Designing for User Engagement</w:t>
      </w:r>
      <w:r w:rsidRPr="00027AE2">
        <w:rPr>
          <w:rFonts w:cs="Times New Roman"/>
          <w:color w:val="000000"/>
          <w:shd w:val="clear" w:color="auto" w:fill="FFFFFF"/>
        </w:rPr>
        <w:t>. Hoboken: Taylor and Francis.</w:t>
      </w:r>
    </w:p>
    <w:p w14:paraId="3963A056" w14:textId="3B19B8B8" w:rsidR="00027AE2" w:rsidRPr="00027AE2" w:rsidRDefault="00027AE2" w:rsidP="00027AE2">
      <w:pPr>
        <w:rPr>
          <w:rFonts w:cs="Times New Roman"/>
          <w:shd w:val="clear" w:color="auto" w:fill="FFFFFF"/>
        </w:rPr>
      </w:pPr>
      <w:r w:rsidRPr="00027AE2">
        <w:rPr>
          <w:rFonts w:cs="Times New Roman"/>
          <w:shd w:val="clear" w:color="auto" w:fill="FFFFFF"/>
        </w:rPr>
        <w:t>Holzer, J.K., Ellis, L. and Merritt, M.W., 2014. Why we need community engagement in medical research. </w:t>
      </w:r>
      <w:r w:rsidRPr="00027AE2">
        <w:rPr>
          <w:rFonts w:cs="Times New Roman"/>
          <w:i/>
          <w:iCs/>
          <w:shd w:val="clear" w:color="auto" w:fill="FFFFFF"/>
        </w:rPr>
        <w:t>Journal of Investigative Medicine</w:t>
      </w:r>
      <w:r w:rsidRPr="00027AE2">
        <w:rPr>
          <w:rFonts w:cs="Times New Roman"/>
          <w:shd w:val="clear" w:color="auto" w:fill="FFFFFF"/>
        </w:rPr>
        <w:t>, </w:t>
      </w:r>
      <w:r w:rsidRPr="00027AE2">
        <w:rPr>
          <w:rFonts w:cs="Times New Roman"/>
          <w:i/>
          <w:iCs/>
          <w:shd w:val="clear" w:color="auto" w:fill="FFFFFF"/>
        </w:rPr>
        <w:t>62</w:t>
      </w:r>
      <w:r w:rsidRPr="00027AE2">
        <w:rPr>
          <w:rFonts w:cs="Times New Roman"/>
          <w:shd w:val="clear" w:color="auto" w:fill="FFFFFF"/>
        </w:rPr>
        <w:t>(6), pp.851-855.</w:t>
      </w:r>
      <w:r w:rsidR="00DE7470">
        <w:rPr>
          <w:rFonts w:cs="Times New Roman"/>
          <w:shd w:val="clear" w:color="auto" w:fill="FFFFFF"/>
        </w:rPr>
        <w:t xml:space="preserve">      </w:t>
      </w:r>
    </w:p>
    <w:p w14:paraId="3E0AE77F" w14:textId="77777777" w:rsidR="00027AE2" w:rsidRPr="00027AE2" w:rsidRDefault="00027AE2" w:rsidP="00027AE2">
      <w:pPr>
        <w:rPr>
          <w:rFonts w:cs="Times New Roman"/>
          <w:shd w:val="clear" w:color="auto" w:fill="FFFFFF"/>
        </w:rPr>
      </w:pPr>
      <w:r w:rsidRPr="00027AE2">
        <w:rPr>
          <w:rFonts w:cs="Times New Roman"/>
          <w:shd w:val="clear" w:color="auto" w:fill="FFFFFF"/>
        </w:rPr>
        <w:t>Kearney, J., 2015. Challenges for community engagement: An Australian perspective. </w:t>
      </w:r>
      <w:r w:rsidRPr="00027AE2">
        <w:rPr>
          <w:rFonts w:cs="Times New Roman"/>
          <w:i/>
          <w:iCs/>
          <w:shd w:val="clear" w:color="auto" w:fill="FFFFFF"/>
        </w:rPr>
        <w:t>Educational Research for Social Change</w:t>
      </w:r>
      <w:r w:rsidRPr="00027AE2">
        <w:rPr>
          <w:rFonts w:cs="Times New Roman"/>
          <w:shd w:val="clear" w:color="auto" w:fill="FFFFFF"/>
        </w:rPr>
        <w:t>, </w:t>
      </w:r>
      <w:r w:rsidRPr="00027AE2">
        <w:rPr>
          <w:rFonts w:cs="Times New Roman"/>
          <w:i/>
          <w:iCs/>
          <w:shd w:val="clear" w:color="auto" w:fill="FFFFFF"/>
        </w:rPr>
        <w:t>4</w:t>
      </w:r>
      <w:r w:rsidRPr="00027AE2">
        <w:rPr>
          <w:rFonts w:cs="Times New Roman"/>
          <w:shd w:val="clear" w:color="auto" w:fill="FFFFFF"/>
        </w:rPr>
        <w:t>(1), pp.26-39.</w:t>
      </w:r>
    </w:p>
    <w:p w14:paraId="435FCE53" w14:textId="60C90572" w:rsidR="00027AE2" w:rsidRPr="00027AE2" w:rsidRDefault="00027AE2" w:rsidP="00027AE2">
      <w:pPr>
        <w:rPr>
          <w:rFonts w:cs="Times New Roman"/>
          <w:shd w:val="clear" w:color="auto" w:fill="FFFFFF"/>
        </w:rPr>
      </w:pPr>
      <w:r w:rsidRPr="00027AE2">
        <w:rPr>
          <w:rFonts w:cs="Times New Roman"/>
          <w:shd w:val="clear" w:color="auto" w:fill="FFFFFF"/>
        </w:rPr>
        <w:t xml:space="preserve">Mathur, S.R. and Clark, H.G., 2014. Community engagement for </w:t>
      </w:r>
      <w:proofErr w:type="spellStart"/>
      <w:r w:rsidRPr="00027AE2">
        <w:rPr>
          <w:rFonts w:cs="Times New Roman"/>
          <w:shd w:val="clear" w:color="auto" w:fill="FFFFFF"/>
        </w:rPr>
        <w:t>reentry</w:t>
      </w:r>
      <w:proofErr w:type="spellEnd"/>
      <w:r w:rsidRPr="00027AE2">
        <w:rPr>
          <w:rFonts w:cs="Times New Roman"/>
          <w:shd w:val="clear" w:color="auto" w:fill="FFFFFF"/>
        </w:rPr>
        <w:t xml:space="preserve"> success of youth from juvenile justice: Challenges and opportunities. </w:t>
      </w:r>
      <w:r w:rsidRPr="00027AE2">
        <w:rPr>
          <w:rFonts w:cs="Times New Roman"/>
          <w:i/>
          <w:iCs/>
          <w:shd w:val="clear" w:color="auto" w:fill="FFFFFF"/>
        </w:rPr>
        <w:t>Education and Treatment of Children</w:t>
      </w:r>
      <w:r w:rsidRPr="00027AE2">
        <w:rPr>
          <w:rFonts w:cs="Times New Roman"/>
          <w:shd w:val="clear" w:color="auto" w:fill="FFFFFF"/>
        </w:rPr>
        <w:t>, </w:t>
      </w:r>
      <w:r w:rsidRPr="00027AE2">
        <w:rPr>
          <w:rFonts w:cs="Times New Roman"/>
          <w:i/>
          <w:iCs/>
          <w:shd w:val="clear" w:color="auto" w:fill="FFFFFF"/>
        </w:rPr>
        <w:t>37</w:t>
      </w:r>
      <w:r w:rsidRPr="00027AE2">
        <w:rPr>
          <w:rFonts w:cs="Times New Roman"/>
          <w:shd w:val="clear" w:color="auto" w:fill="FFFFFF"/>
        </w:rPr>
        <w:t>(4), pp.713-734.</w:t>
      </w:r>
      <w:r w:rsidR="00571FA1">
        <w:rPr>
          <w:rFonts w:cs="Times New Roman"/>
          <w:shd w:val="clear" w:color="auto" w:fill="FFFFFF"/>
        </w:rPr>
        <w:t xml:space="preserve">  </w:t>
      </w:r>
    </w:p>
    <w:p w14:paraId="4D7B222A" w14:textId="77777777" w:rsidR="00027AE2" w:rsidRPr="00027AE2" w:rsidRDefault="00027AE2" w:rsidP="00027AE2">
      <w:pPr>
        <w:rPr>
          <w:rFonts w:cs="Times New Roman"/>
          <w:shd w:val="clear" w:color="auto" w:fill="FFFFFF"/>
        </w:rPr>
      </w:pPr>
      <w:proofErr w:type="spellStart"/>
      <w:r w:rsidRPr="00027AE2">
        <w:rPr>
          <w:rFonts w:cs="Times New Roman"/>
          <w:shd w:val="clear" w:color="auto" w:fill="FFFFFF"/>
        </w:rPr>
        <w:t>Preece</w:t>
      </w:r>
      <w:proofErr w:type="spellEnd"/>
      <w:r w:rsidRPr="00027AE2">
        <w:rPr>
          <w:rFonts w:cs="Times New Roman"/>
          <w:shd w:val="clear" w:color="auto" w:fill="FFFFFF"/>
        </w:rPr>
        <w:t xml:space="preserve">, J., </w:t>
      </w:r>
      <w:proofErr w:type="spellStart"/>
      <w:r w:rsidRPr="00027AE2">
        <w:rPr>
          <w:rFonts w:cs="Times New Roman"/>
          <w:shd w:val="clear" w:color="auto" w:fill="FFFFFF"/>
        </w:rPr>
        <w:t>Ntseane</w:t>
      </w:r>
      <w:proofErr w:type="spellEnd"/>
      <w:r w:rsidRPr="00027AE2">
        <w:rPr>
          <w:rFonts w:cs="Times New Roman"/>
          <w:shd w:val="clear" w:color="auto" w:fill="FFFFFF"/>
        </w:rPr>
        <w:t xml:space="preserve">, P. and </w:t>
      </w:r>
      <w:proofErr w:type="spellStart"/>
      <w:r w:rsidRPr="00027AE2">
        <w:rPr>
          <w:rFonts w:cs="Times New Roman"/>
          <w:shd w:val="clear" w:color="auto" w:fill="FFFFFF"/>
        </w:rPr>
        <w:t>MmaB</w:t>
      </w:r>
      <w:proofErr w:type="spellEnd"/>
      <w:r w:rsidRPr="00027AE2">
        <w:rPr>
          <w:rFonts w:cs="Times New Roman"/>
          <w:shd w:val="clear" w:color="auto" w:fill="FFFFFF"/>
        </w:rPr>
        <w:t>, O. eds., 2012. </w:t>
      </w:r>
      <w:r w:rsidRPr="00027AE2">
        <w:rPr>
          <w:rFonts w:cs="Times New Roman"/>
          <w:i/>
          <w:iCs/>
          <w:shd w:val="clear" w:color="auto" w:fill="FFFFFF"/>
        </w:rPr>
        <w:t>Community engagement in African Universities: perspectives, prospects and challenges</w:t>
      </w:r>
      <w:r w:rsidRPr="00027AE2">
        <w:rPr>
          <w:rFonts w:cs="Times New Roman"/>
          <w:shd w:val="clear" w:color="auto" w:fill="FFFFFF"/>
        </w:rPr>
        <w:t>. Leicester: NIACE.</w:t>
      </w:r>
    </w:p>
    <w:p w14:paraId="07DA8133" w14:textId="77777777" w:rsidR="00027AE2" w:rsidRPr="00027AE2" w:rsidRDefault="00027AE2" w:rsidP="00027AE2">
      <w:pPr>
        <w:rPr>
          <w:rFonts w:cs="Times New Roman"/>
          <w:shd w:val="clear" w:color="auto" w:fill="FFFFFF"/>
        </w:rPr>
      </w:pPr>
      <w:proofErr w:type="spellStart"/>
      <w:r w:rsidRPr="00027AE2">
        <w:rPr>
          <w:rFonts w:cs="Times New Roman"/>
          <w:shd w:val="clear" w:color="auto" w:fill="FFFFFF"/>
        </w:rPr>
        <w:lastRenderedPageBreak/>
        <w:t>Sallnow</w:t>
      </w:r>
      <w:proofErr w:type="spellEnd"/>
      <w:r w:rsidRPr="00027AE2">
        <w:rPr>
          <w:rFonts w:cs="Times New Roman"/>
          <w:shd w:val="clear" w:color="auto" w:fill="FFFFFF"/>
        </w:rPr>
        <w:t>, L. and Paul, S., 2015. Understanding community engagement in end-of-life care: developing conceptual clarity. </w:t>
      </w:r>
      <w:r w:rsidRPr="00027AE2">
        <w:rPr>
          <w:rFonts w:cs="Times New Roman"/>
          <w:i/>
          <w:iCs/>
          <w:shd w:val="clear" w:color="auto" w:fill="FFFFFF"/>
        </w:rPr>
        <w:t>Critical Public Health</w:t>
      </w:r>
      <w:r w:rsidRPr="00027AE2">
        <w:rPr>
          <w:rFonts w:cs="Times New Roman"/>
          <w:shd w:val="clear" w:color="auto" w:fill="FFFFFF"/>
        </w:rPr>
        <w:t>, </w:t>
      </w:r>
      <w:r w:rsidRPr="00027AE2">
        <w:rPr>
          <w:rFonts w:cs="Times New Roman"/>
          <w:i/>
          <w:iCs/>
          <w:shd w:val="clear" w:color="auto" w:fill="FFFFFF"/>
        </w:rPr>
        <w:t>25</w:t>
      </w:r>
      <w:r w:rsidRPr="00027AE2">
        <w:rPr>
          <w:rFonts w:cs="Times New Roman"/>
          <w:shd w:val="clear" w:color="auto" w:fill="FFFFFF"/>
        </w:rPr>
        <w:t>(2), pp.231-238.</w:t>
      </w:r>
    </w:p>
    <w:p w14:paraId="649B3021" w14:textId="77777777" w:rsidR="00027AE2" w:rsidRPr="00027AE2" w:rsidRDefault="00027AE2" w:rsidP="00027AE2">
      <w:pPr>
        <w:rPr>
          <w:rFonts w:cs="Times New Roman"/>
          <w:shd w:val="clear" w:color="auto" w:fill="FFFFFF"/>
        </w:rPr>
      </w:pPr>
      <w:r w:rsidRPr="00027AE2">
        <w:rPr>
          <w:rFonts w:cs="Times New Roman"/>
          <w:shd w:val="clear" w:color="auto" w:fill="FFFFFF"/>
        </w:rPr>
        <w:t>Sarkissian, W., Hofer, N., Shore, Y., Vajda, S. and Wilkinson, C., 2012. </w:t>
      </w:r>
      <w:r w:rsidRPr="00027AE2">
        <w:rPr>
          <w:rFonts w:cs="Times New Roman"/>
          <w:i/>
          <w:iCs/>
          <w:shd w:val="clear" w:color="auto" w:fill="FFFFFF"/>
        </w:rPr>
        <w:t>Kitchen table sustainability: Practical recipes for community engagement with sustainability</w:t>
      </w:r>
      <w:r w:rsidRPr="00027AE2">
        <w:rPr>
          <w:rFonts w:cs="Times New Roman"/>
          <w:shd w:val="clear" w:color="auto" w:fill="FFFFFF"/>
        </w:rPr>
        <w:t>. Routledge.</w:t>
      </w:r>
    </w:p>
    <w:p w14:paraId="30926171" w14:textId="22CE96B2" w:rsidR="00027AE2" w:rsidRPr="00027AE2" w:rsidRDefault="00027AE2" w:rsidP="00027AE2">
      <w:pPr>
        <w:rPr>
          <w:rFonts w:cs="Times New Roman"/>
          <w:shd w:val="clear" w:color="auto" w:fill="FFFFFF"/>
        </w:rPr>
      </w:pPr>
      <w:r w:rsidRPr="00027AE2">
        <w:rPr>
          <w:rFonts w:cs="Times New Roman"/>
          <w:shd w:val="clear" w:color="auto" w:fill="FFFFFF"/>
        </w:rPr>
        <w:t>South, J. and Phillips, G., 2014. Evaluating community engagement as part of the public health system. </w:t>
      </w:r>
      <w:r w:rsidRPr="00027AE2">
        <w:rPr>
          <w:rFonts w:cs="Times New Roman"/>
          <w:i/>
          <w:iCs/>
          <w:shd w:val="clear" w:color="auto" w:fill="FFFFFF"/>
        </w:rPr>
        <w:t xml:space="preserve">J </w:t>
      </w:r>
      <w:proofErr w:type="spellStart"/>
      <w:r w:rsidRPr="00027AE2">
        <w:rPr>
          <w:rFonts w:cs="Times New Roman"/>
          <w:i/>
          <w:iCs/>
          <w:shd w:val="clear" w:color="auto" w:fill="FFFFFF"/>
        </w:rPr>
        <w:t>Epidemiol</w:t>
      </w:r>
      <w:proofErr w:type="spellEnd"/>
      <w:r w:rsidRPr="00027AE2">
        <w:rPr>
          <w:rFonts w:cs="Times New Roman"/>
          <w:i/>
          <w:iCs/>
          <w:shd w:val="clear" w:color="auto" w:fill="FFFFFF"/>
        </w:rPr>
        <w:t xml:space="preserve"> Community Health</w:t>
      </w:r>
      <w:r w:rsidRPr="00027AE2">
        <w:rPr>
          <w:rFonts w:cs="Times New Roman"/>
          <w:shd w:val="clear" w:color="auto" w:fill="FFFFFF"/>
        </w:rPr>
        <w:t>, </w:t>
      </w:r>
      <w:r w:rsidRPr="00027AE2">
        <w:rPr>
          <w:rFonts w:cs="Times New Roman"/>
          <w:i/>
          <w:iCs/>
          <w:shd w:val="clear" w:color="auto" w:fill="FFFFFF"/>
        </w:rPr>
        <w:t>68</w:t>
      </w:r>
      <w:r w:rsidRPr="00027AE2">
        <w:rPr>
          <w:rFonts w:cs="Times New Roman"/>
          <w:shd w:val="clear" w:color="auto" w:fill="FFFFFF"/>
        </w:rPr>
        <w:t>(7), pp.692-696.</w:t>
      </w:r>
      <w:r w:rsidR="00571FA1">
        <w:rPr>
          <w:rFonts w:cs="Times New Roman"/>
          <w:shd w:val="clear" w:color="auto" w:fill="FFFFFF"/>
        </w:rPr>
        <w:t xml:space="preserve">   </w:t>
      </w:r>
    </w:p>
    <w:p w14:paraId="7AB104C3" w14:textId="4F5F1A73" w:rsidR="00027AE2" w:rsidRPr="00027AE2" w:rsidRDefault="00027AE2" w:rsidP="00027AE2">
      <w:pPr>
        <w:rPr>
          <w:rFonts w:cs="Times New Roman"/>
          <w:shd w:val="clear" w:color="auto" w:fill="FFFFFF"/>
        </w:rPr>
      </w:pPr>
      <w:proofErr w:type="spellStart"/>
      <w:r w:rsidRPr="00027AE2">
        <w:rPr>
          <w:rFonts w:cs="Times New Roman"/>
          <w:shd w:val="clear" w:color="auto" w:fill="FFFFFF"/>
        </w:rPr>
        <w:t>Weerts</w:t>
      </w:r>
      <w:proofErr w:type="spellEnd"/>
      <w:r w:rsidRPr="00027AE2">
        <w:rPr>
          <w:rFonts w:cs="Times New Roman"/>
          <w:shd w:val="clear" w:color="auto" w:fill="FFFFFF"/>
        </w:rPr>
        <w:t xml:space="preserve">, D.J. and </w:t>
      </w:r>
      <w:proofErr w:type="spellStart"/>
      <w:r w:rsidRPr="00027AE2">
        <w:rPr>
          <w:rFonts w:cs="Times New Roman"/>
          <w:shd w:val="clear" w:color="auto" w:fill="FFFFFF"/>
        </w:rPr>
        <w:t>Sandmann</w:t>
      </w:r>
      <w:proofErr w:type="spellEnd"/>
      <w:r w:rsidRPr="00027AE2">
        <w:rPr>
          <w:rFonts w:cs="Times New Roman"/>
          <w:shd w:val="clear" w:color="auto" w:fill="FFFFFF"/>
        </w:rPr>
        <w:t>, L.R., 20</w:t>
      </w:r>
      <w:r w:rsidR="00571FA1">
        <w:rPr>
          <w:rFonts w:cs="Times New Roman"/>
          <w:shd w:val="clear" w:color="auto" w:fill="FFFFFF"/>
        </w:rPr>
        <w:t>14</w:t>
      </w:r>
      <w:r w:rsidRPr="00027AE2">
        <w:rPr>
          <w:rFonts w:cs="Times New Roman"/>
          <w:shd w:val="clear" w:color="auto" w:fill="FFFFFF"/>
        </w:rPr>
        <w:t>. Building a two-way street: Challenges and opportunities for community engagement at research universities. </w:t>
      </w:r>
      <w:r w:rsidRPr="00027AE2">
        <w:rPr>
          <w:rFonts w:cs="Times New Roman"/>
          <w:i/>
          <w:iCs/>
          <w:shd w:val="clear" w:color="auto" w:fill="FFFFFF"/>
        </w:rPr>
        <w:t>The review of higher education</w:t>
      </w:r>
      <w:r w:rsidRPr="00027AE2">
        <w:rPr>
          <w:rFonts w:cs="Times New Roman"/>
          <w:shd w:val="clear" w:color="auto" w:fill="FFFFFF"/>
        </w:rPr>
        <w:t>, </w:t>
      </w:r>
      <w:r w:rsidRPr="00027AE2">
        <w:rPr>
          <w:rFonts w:cs="Times New Roman"/>
          <w:i/>
          <w:iCs/>
          <w:shd w:val="clear" w:color="auto" w:fill="FFFFFF"/>
        </w:rPr>
        <w:t>32</w:t>
      </w:r>
      <w:r w:rsidRPr="00027AE2">
        <w:rPr>
          <w:rFonts w:cs="Times New Roman"/>
          <w:shd w:val="clear" w:color="auto" w:fill="FFFFFF"/>
        </w:rPr>
        <w:t>(1), pp.73-106.</w:t>
      </w:r>
    </w:p>
    <w:bookmarkEnd w:id="13"/>
    <w:p w14:paraId="6B6CF4D0" w14:textId="77777777" w:rsidR="00027AE2" w:rsidRPr="009701C6" w:rsidRDefault="00027AE2" w:rsidP="009701C6"/>
    <w:sectPr w:rsidR="00027AE2" w:rsidRPr="009701C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F541B" w14:textId="77777777" w:rsidR="00F34CC3" w:rsidRDefault="00F34CC3" w:rsidP="001E2677">
      <w:pPr>
        <w:spacing w:after="0" w:line="240" w:lineRule="auto"/>
      </w:pPr>
      <w:r>
        <w:separator/>
      </w:r>
    </w:p>
  </w:endnote>
  <w:endnote w:type="continuationSeparator" w:id="0">
    <w:p w14:paraId="7C32302D" w14:textId="77777777" w:rsidR="00F34CC3" w:rsidRDefault="00F34CC3" w:rsidP="001E2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8494571"/>
      <w:docPartObj>
        <w:docPartGallery w:val="Page Numbers (Bottom of Page)"/>
        <w:docPartUnique/>
      </w:docPartObj>
    </w:sdtPr>
    <w:sdtEndPr>
      <w:rPr>
        <w:noProof/>
      </w:rPr>
    </w:sdtEndPr>
    <w:sdtContent>
      <w:p w14:paraId="5EEB47CF" w14:textId="300495E4" w:rsidR="001E2677" w:rsidRDefault="001E26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FFD012" w14:textId="77777777" w:rsidR="001E2677" w:rsidRDefault="001E26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F9551" w14:textId="77777777" w:rsidR="00F34CC3" w:rsidRDefault="00F34CC3" w:rsidP="001E2677">
      <w:pPr>
        <w:spacing w:after="0" w:line="240" w:lineRule="auto"/>
      </w:pPr>
      <w:r>
        <w:separator/>
      </w:r>
    </w:p>
  </w:footnote>
  <w:footnote w:type="continuationSeparator" w:id="0">
    <w:p w14:paraId="1CE0FC09" w14:textId="77777777" w:rsidR="00F34CC3" w:rsidRDefault="00F34CC3" w:rsidP="001E26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44FAE"/>
    <w:multiLevelType w:val="hybridMultilevel"/>
    <w:tmpl w:val="C35ACB60"/>
    <w:lvl w:ilvl="0" w:tplc="DD68827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5460C9"/>
    <w:multiLevelType w:val="hybridMultilevel"/>
    <w:tmpl w:val="81E80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3558435">
    <w:abstractNumId w:val="1"/>
  </w:num>
  <w:num w:numId="2" w16cid:durableId="1058280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4CA"/>
    <w:rsid w:val="00027AE2"/>
    <w:rsid w:val="000554CA"/>
    <w:rsid w:val="000C2F8D"/>
    <w:rsid w:val="00170ADF"/>
    <w:rsid w:val="001A2560"/>
    <w:rsid w:val="001B63D9"/>
    <w:rsid w:val="001E2677"/>
    <w:rsid w:val="0023166E"/>
    <w:rsid w:val="00250DA3"/>
    <w:rsid w:val="003838DA"/>
    <w:rsid w:val="00425093"/>
    <w:rsid w:val="004574DC"/>
    <w:rsid w:val="00511788"/>
    <w:rsid w:val="00571FA1"/>
    <w:rsid w:val="005A6C61"/>
    <w:rsid w:val="005B6268"/>
    <w:rsid w:val="00645098"/>
    <w:rsid w:val="00674E02"/>
    <w:rsid w:val="006C65EA"/>
    <w:rsid w:val="00772CD5"/>
    <w:rsid w:val="007F7920"/>
    <w:rsid w:val="008111C4"/>
    <w:rsid w:val="008126D1"/>
    <w:rsid w:val="008B76D6"/>
    <w:rsid w:val="009131B7"/>
    <w:rsid w:val="0092302F"/>
    <w:rsid w:val="009701C6"/>
    <w:rsid w:val="009813A2"/>
    <w:rsid w:val="009A4DEC"/>
    <w:rsid w:val="009F552D"/>
    <w:rsid w:val="009F5E65"/>
    <w:rsid w:val="00A85EAF"/>
    <w:rsid w:val="00AD3F59"/>
    <w:rsid w:val="00B404E6"/>
    <w:rsid w:val="00BD5E0F"/>
    <w:rsid w:val="00C2575F"/>
    <w:rsid w:val="00C25822"/>
    <w:rsid w:val="00C50539"/>
    <w:rsid w:val="00D50EAC"/>
    <w:rsid w:val="00D70C2E"/>
    <w:rsid w:val="00DE7470"/>
    <w:rsid w:val="00E80571"/>
    <w:rsid w:val="00EC3606"/>
    <w:rsid w:val="00F03ECB"/>
    <w:rsid w:val="00F274C9"/>
    <w:rsid w:val="00F34CC3"/>
    <w:rsid w:val="00F62341"/>
    <w:rsid w:val="00F771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82D8D"/>
  <w15:chartTrackingRefBased/>
  <w15:docId w15:val="{6370773A-3AFB-4028-89A6-CB79E06A3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1B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F552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F552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52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F552D"/>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674E02"/>
    <w:pPr>
      <w:spacing w:after="0"/>
      <w:contextualSpacing/>
    </w:pPr>
    <w:rPr>
      <w:rFonts w:eastAsiaTheme="majorEastAsia" w:cstheme="majorBidi"/>
      <w:spacing w:val="-10"/>
      <w:kern w:val="28"/>
      <w:sz w:val="28"/>
      <w:szCs w:val="56"/>
    </w:rPr>
  </w:style>
  <w:style w:type="character" w:customStyle="1" w:styleId="TitleChar">
    <w:name w:val="Title Char"/>
    <w:basedOn w:val="DefaultParagraphFont"/>
    <w:link w:val="Title"/>
    <w:uiPriority w:val="10"/>
    <w:rsid w:val="00674E02"/>
    <w:rPr>
      <w:rFonts w:ascii="Times New Roman" w:eastAsiaTheme="majorEastAsia" w:hAnsi="Times New Roman" w:cstheme="majorBidi"/>
      <w:spacing w:val="-10"/>
      <w:kern w:val="28"/>
      <w:sz w:val="28"/>
      <w:szCs w:val="56"/>
    </w:rPr>
  </w:style>
  <w:style w:type="paragraph" w:styleId="TOCHeading">
    <w:name w:val="TOC Heading"/>
    <w:basedOn w:val="Heading1"/>
    <w:next w:val="Normal"/>
    <w:uiPriority w:val="39"/>
    <w:unhideWhenUsed/>
    <w:qFormat/>
    <w:rsid w:val="003838DA"/>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838DA"/>
    <w:pPr>
      <w:spacing w:after="100"/>
    </w:pPr>
  </w:style>
  <w:style w:type="character" w:styleId="Hyperlink">
    <w:name w:val="Hyperlink"/>
    <w:basedOn w:val="DefaultParagraphFont"/>
    <w:uiPriority w:val="99"/>
    <w:unhideWhenUsed/>
    <w:rsid w:val="003838DA"/>
    <w:rPr>
      <w:color w:val="0563C1" w:themeColor="hyperlink"/>
      <w:u w:val="single"/>
    </w:rPr>
  </w:style>
  <w:style w:type="paragraph" w:styleId="ListParagraph">
    <w:name w:val="List Paragraph"/>
    <w:basedOn w:val="Normal"/>
    <w:uiPriority w:val="34"/>
    <w:qFormat/>
    <w:rsid w:val="00170ADF"/>
    <w:pPr>
      <w:ind w:left="720"/>
      <w:contextualSpacing/>
    </w:pPr>
  </w:style>
  <w:style w:type="paragraph" w:styleId="Header">
    <w:name w:val="header"/>
    <w:basedOn w:val="Normal"/>
    <w:link w:val="HeaderChar"/>
    <w:uiPriority w:val="99"/>
    <w:unhideWhenUsed/>
    <w:rsid w:val="001E26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2677"/>
    <w:rPr>
      <w:rFonts w:ascii="Times New Roman" w:hAnsi="Times New Roman"/>
      <w:sz w:val="24"/>
      <w:lang w:val="en-GB"/>
    </w:rPr>
  </w:style>
  <w:style w:type="paragraph" w:styleId="Footer">
    <w:name w:val="footer"/>
    <w:basedOn w:val="Normal"/>
    <w:link w:val="FooterChar"/>
    <w:uiPriority w:val="99"/>
    <w:unhideWhenUsed/>
    <w:rsid w:val="001E26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2677"/>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F167D7-8764-42DE-B288-5B7E4E806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2508</Words>
  <Characters>14302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Jhuma Akter</dc:creator>
  <cp:keywords/>
  <dc:description/>
  <cp:lastModifiedBy>Jessica Huma</cp:lastModifiedBy>
  <cp:revision>2</cp:revision>
  <dcterms:created xsi:type="dcterms:W3CDTF">2022-05-09T17:01:00Z</dcterms:created>
  <dcterms:modified xsi:type="dcterms:W3CDTF">2022-05-09T17:01:00Z</dcterms:modified>
</cp:coreProperties>
</file>