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pPr>
      <w:r w:rsidDel="00000000" w:rsidR="00000000" w:rsidRPr="00000000">
        <w:rPr>
          <w:rtl w:val="0"/>
        </w:rPr>
      </w:r>
    </w:p>
    <w:tbl>
      <w:tblPr>
        <w:tblStyle w:val="Table1"/>
        <w:tblW w:w="4725.0" w:type="dxa"/>
        <w:jc w:val="left"/>
        <w:tblInd w:w="47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1695"/>
        <w:gridCol w:w="240"/>
        <w:gridCol w:w="945"/>
        <w:tblGridChange w:id="0">
          <w:tblGrid>
            <w:gridCol w:w="1845"/>
            <w:gridCol w:w="1695"/>
            <w:gridCol w:w="240"/>
            <w:gridCol w:w="945"/>
          </w:tblGrid>
        </w:tblGridChange>
      </w:tblGrid>
      <w:tr>
        <w:trPr>
          <w:cantSplit w:val="0"/>
          <w:trHeight w:val="500" w:hRule="atLeast"/>
          <w:tblHeader w:val="0"/>
        </w:trPr>
        <w:tc>
          <w:tcPr>
            <w:tcBorders>
              <w:top w:color="000000" w:space="0" w:sz="0" w:val="nil"/>
              <w:left w:color="000000" w:space="0" w:sz="0" w:val="nil"/>
              <w:bottom w:color="000000" w:space="0" w:sz="0" w:val="nil"/>
              <w:right w:color="000000" w:space="0" w:sz="0" w:val="nil"/>
            </w:tcBorders>
            <w:tcMar>
              <w:top w:w="0.0" w:type="dxa"/>
              <w:left w:w="0.0" w:type="dxa"/>
              <w:bottom w:w="0.0" w:type="dxa"/>
              <w:right w:w="0.0" w:type="dxa"/>
            </w:tcMar>
            <w:vAlign w:val="top"/>
          </w:tcPr>
          <w:p w:rsidR="00000000" w:rsidDel="00000000" w:rsidP="00000000" w:rsidRDefault="00000000" w:rsidRPr="00000000" w14:paraId="00000002">
            <w:pPr>
              <w:spacing w:line="327.27272727272725" w:lineRule="auto"/>
              <w:rPr>
                <w:rFonts w:ascii="Roboto" w:cs="Roboto" w:eastAsia="Roboto" w:hAnsi="Roboto"/>
                <w:color w:val="2222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3">
            <w:pPr>
              <w:spacing w:line="327.27272727272725" w:lineRule="auto"/>
              <w:jc w:val="right"/>
              <w:rPr>
                <w:rFonts w:ascii="Roboto" w:cs="Roboto" w:eastAsia="Roboto" w:hAnsi="Roboto"/>
                <w:color w:val="5e5e5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4">
            <w:pPr>
              <w:jc w:val="right"/>
              <w:rPr>
                <w:rFonts w:ascii="Roboto" w:cs="Roboto" w:eastAsia="Roboto" w:hAnsi="Roboto"/>
                <w:color w:val="222222"/>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5">
            <w:pPr>
              <w:jc w:val="right"/>
              <w:rPr>
                <w:rFonts w:ascii="Roboto" w:cs="Roboto" w:eastAsia="Roboto" w:hAnsi="Roboto"/>
                <w:color w:val="222222"/>
              </w:rPr>
            </w:pPr>
            <w:r w:rsidDel="00000000" w:rsidR="00000000" w:rsidRPr="00000000">
              <w:rPr>
                <w:rtl w:val="0"/>
              </w:rPr>
            </w:r>
          </w:p>
        </w:tc>
      </w:tr>
      <w:tr>
        <w:trPr>
          <w:cantSplit w:val="0"/>
          <w:trHeight w:val="500" w:hRule="atLeast"/>
          <w:tblHeader w:val="0"/>
        </w:trPr>
        <w:tc>
          <w:tcPr>
            <w:gridSpan w:val="3"/>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06">
            <w:pPr>
              <w:rPr>
                <w:rFonts w:ascii="Roboto" w:cs="Roboto" w:eastAsia="Roboto" w:hAnsi="Roboto"/>
                <w:color w:val="222222"/>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09">
            <w:pPr>
              <w:rPr>
                <w:rFonts w:ascii="Roboto" w:cs="Roboto" w:eastAsia="Roboto" w:hAnsi="Roboto"/>
                <w:color w:val="222222"/>
              </w:rPr>
            </w:pPr>
            <w:r w:rsidDel="00000000" w:rsidR="00000000" w:rsidRPr="00000000">
              <w:rPr>
                <w:rtl w:val="0"/>
              </w:rPr>
            </w:r>
          </w:p>
        </w:tc>
      </w:tr>
    </w:tbl>
    <w:p w:rsidR="00000000" w:rsidDel="00000000" w:rsidP="00000000" w:rsidRDefault="00000000" w:rsidRPr="00000000" w14:paraId="0000000A">
      <w:pPr>
        <w:shd w:fill="ffffff" w:val="clear"/>
        <w:spacing w:after="18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Good afternoon,</w:t>
      </w:r>
    </w:p>
    <w:p w:rsidR="00000000" w:rsidDel="00000000" w:rsidP="00000000" w:rsidRDefault="00000000" w:rsidRPr="00000000" w14:paraId="0000000B">
      <w:pPr>
        <w:shd w:fill="ffffff" w:val="clear"/>
        <w:spacing w:after="18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I chose aviation and its impact on climate change as the subject of this summary. Recently, this problem has received much attention because the number of flights around the world appears to be increasing. The aviation industry causes about 2.5% of all carbon emissions globally. However, the warming impact is greatly increased when high altitude effects like nitrogen oxides and cirrus clouds formed through aircraft emissions are included (Lee et al., 2021).</w:t>
      </w:r>
    </w:p>
    <w:p w:rsidR="00000000" w:rsidDel="00000000" w:rsidP="00000000" w:rsidRDefault="00000000" w:rsidRPr="00000000" w14:paraId="0000000C">
      <w:pPr>
        <w:shd w:fill="ffffff" w:val="clear"/>
        <w:spacing w:after="18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There are many obstacles to reducing these emissions. Large aircraft use fuel that is rich in energy, and a complete fleet replacement is not possible at the moment. Furthermore, there is no decline in demand for air flights expected soon (Le Quéré et al., 2021). To achieve some progress in reducing emissions to net-zero levels, one should use an integrated approach that includes route optimization to minimize excess mileage, offset programs like CORSIA, and large-scale production of Sustainable Aviation Fuels (SAFs) (Atabaki et al., 2021).</w:t>
      </w:r>
    </w:p>
    <w:p w:rsidR="00000000" w:rsidDel="00000000" w:rsidP="00000000" w:rsidRDefault="00000000" w:rsidRPr="00000000" w14:paraId="0000000D">
      <w:pPr>
        <w:shd w:fill="ffffff" w:val="clear"/>
        <w:spacing w:after="180" w:lineRule="auto"/>
        <w:rPr>
          <w:rFonts w:ascii="Times" w:cs="Times" w:eastAsia="Times" w:hAnsi="Times"/>
          <w:sz w:val="18"/>
          <w:szCs w:val="18"/>
        </w:rPr>
      </w:pPr>
      <w:r w:rsidDel="00000000" w:rsidR="00000000" w:rsidRPr="00000000">
        <w:rPr>
          <w:rFonts w:ascii="Times" w:cs="Times" w:eastAsia="Times" w:hAnsi="Times"/>
          <w:sz w:val="18"/>
          <w:szCs w:val="18"/>
          <w:rtl w:val="0"/>
        </w:rPr>
        <w:t xml:space="preserve">Journal Articles &amp; References: </w:t>
      </w:r>
    </w:p>
    <w:p w:rsidR="00000000" w:rsidDel="00000000" w:rsidP="00000000" w:rsidRDefault="00000000" w:rsidRPr="00000000" w14:paraId="0000000E">
      <w:pPr>
        <w:shd w:fill="ffffff" w:val="clear"/>
        <w:spacing w:after="180" w:lineRule="auto"/>
        <w:rPr>
          <w:rFonts w:ascii="Times" w:cs="Times" w:eastAsia="Times" w:hAnsi="Times"/>
          <w:color w:val="0000e9"/>
          <w:sz w:val="18"/>
          <w:szCs w:val="18"/>
          <w:u w:val="single"/>
        </w:rPr>
      </w:pPr>
      <w:r w:rsidDel="00000000" w:rsidR="00000000" w:rsidRPr="00000000">
        <w:rPr>
          <w:rFonts w:ascii="Times" w:cs="Times" w:eastAsia="Times" w:hAnsi="Times"/>
          <w:b w:val="1"/>
          <w:bCs w:val="1"/>
          <w:sz w:val="18"/>
          <w:szCs w:val="18"/>
          <w:rtl w:val="0"/>
        </w:rPr>
        <w:t xml:space="preserve">Atabaki, M. S., Mohammadi, M., &amp; Saboori, M.</w:t>
      </w:r>
      <w:r w:rsidDel="00000000" w:rsidR="00000000" w:rsidRPr="00000000">
        <w:rPr>
          <w:rFonts w:ascii="Times" w:cs="Times" w:eastAsia="Times" w:hAnsi="Times"/>
          <w:sz w:val="18"/>
          <w:szCs w:val="18"/>
          <w:rtl w:val="0"/>
        </w:rPr>
        <w:t xml:space="preserve"> (2021). Climate Change Mitigation Pathways for the Aviation Sector. </w:t>
      </w:r>
      <w:r w:rsidDel="00000000" w:rsidR="00000000" w:rsidRPr="00000000">
        <w:rPr>
          <w:rFonts w:ascii="Times" w:cs="Times" w:eastAsia="Times" w:hAnsi="Times"/>
          <w:i w:val="1"/>
          <w:iCs w:val="1"/>
          <w:sz w:val="18"/>
          <w:szCs w:val="18"/>
          <w:rtl w:val="0"/>
        </w:rPr>
        <w:t xml:space="preserve">Sustainability</w:t>
      </w:r>
      <w:r w:rsidDel="00000000" w:rsidR="00000000" w:rsidRPr="00000000">
        <w:rPr>
          <w:rFonts w:ascii="Times" w:cs="Times" w:eastAsia="Times" w:hAnsi="Times"/>
          <w:sz w:val="18"/>
          <w:szCs w:val="18"/>
          <w:rtl w:val="0"/>
        </w:rPr>
        <w:t xml:space="preserve">, 13(7), 3656.</w:t>
      </w:r>
      <w:hyperlink r:id="rId6">
        <w:r w:rsidDel="00000000" w:rsidR="00000000" w:rsidRPr="00000000">
          <w:rPr>
            <w:rFonts w:ascii="Times" w:cs="Times" w:eastAsia="Times" w:hAnsi="Times"/>
            <w:sz w:val="18"/>
            <w:szCs w:val="18"/>
            <w:rtl w:val="0"/>
          </w:rPr>
          <w:t xml:space="preserve"> </w:t>
        </w:r>
      </w:hyperlink>
      <w:hyperlink r:id="rId7">
        <w:r w:rsidDel="00000000" w:rsidR="00000000" w:rsidRPr="00000000">
          <w:rPr>
            <w:rFonts w:ascii="Times" w:cs="Times" w:eastAsia="Times" w:hAnsi="Times"/>
            <w:color w:val="0000e9"/>
            <w:sz w:val="18"/>
            <w:szCs w:val="18"/>
            <w:u w:val="single"/>
            <w:rtl w:val="0"/>
          </w:rPr>
          <w:t xml:space="preserve">https://doi.org/10.3390/su13073656</w:t>
        </w:r>
      </w:hyperlink>
      <w:r w:rsidDel="00000000" w:rsidR="00000000" w:rsidRPr="00000000">
        <w:rPr>
          <w:rtl w:val="0"/>
        </w:rPr>
      </w:r>
    </w:p>
    <w:p w:rsidR="00000000" w:rsidDel="00000000" w:rsidP="00000000" w:rsidRDefault="00000000" w:rsidRPr="00000000" w14:paraId="0000000F">
      <w:pPr>
        <w:shd w:fill="ffffff" w:val="clear"/>
        <w:spacing w:after="180" w:lineRule="auto"/>
        <w:rPr>
          <w:rFonts w:ascii="Times" w:cs="Times" w:eastAsia="Times" w:hAnsi="Times"/>
          <w:color w:val="0000e9"/>
          <w:sz w:val="18"/>
          <w:szCs w:val="18"/>
          <w:u w:val="single"/>
        </w:rPr>
      </w:pPr>
      <w:r w:rsidDel="00000000" w:rsidR="00000000" w:rsidRPr="00000000">
        <w:rPr>
          <w:rFonts w:ascii="Times" w:cs="Times" w:eastAsia="Times" w:hAnsi="Times"/>
          <w:b w:val="1"/>
          <w:bCs w:val="1"/>
          <w:sz w:val="18"/>
          <w:szCs w:val="18"/>
          <w:rtl w:val="0"/>
        </w:rPr>
        <w:t xml:space="preserve">Le Quéré, C., Capstick, S., Corner, A., Cutting, D., &amp; Martin, R.</w:t>
      </w:r>
      <w:r w:rsidDel="00000000" w:rsidR="00000000" w:rsidRPr="00000000">
        <w:rPr>
          <w:rFonts w:ascii="Times" w:cs="Times" w:eastAsia="Times" w:hAnsi="Times"/>
          <w:sz w:val="18"/>
          <w:szCs w:val="18"/>
          <w:rtl w:val="0"/>
        </w:rPr>
        <w:t xml:space="preserve"> (2021). Decarbonising the critical sectors of aviation, shipping, road freight and industry to limit warming to 1.5–2°C. </w:t>
      </w:r>
      <w:r w:rsidDel="00000000" w:rsidR="00000000" w:rsidRPr="00000000">
        <w:rPr>
          <w:rFonts w:ascii="Times" w:cs="Times" w:eastAsia="Times" w:hAnsi="Times"/>
          <w:i w:val="1"/>
          <w:iCs w:val="1"/>
          <w:sz w:val="18"/>
          <w:szCs w:val="18"/>
          <w:rtl w:val="0"/>
        </w:rPr>
        <w:t xml:space="preserve">Climate Policy</w:t>
      </w:r>
      <w:r w:rsidDel="00000000" w:rsidR="00000000" w:rsidRPr="00000000">
        <w:rPr>
          <w:rFonts w:ascii="Times" w:cs="Times" w:eastAsia="Times" w:hAnsi="Times"/>
          <w:sz w:val="18"/>
          <w:szCs w:val="18"/>
          <w:rtl w:val="0"/>
        </w:rPr>
        <w:t xml:space="preserve">, 21(2), 230–248.</w:t>
      </w:r>
      <w:hyperlink r:id="rId8">
        <w:r w:rsidDel="00000000" w:rsidR="00000000" w:rsidRPr="00000000">
          <w:rPr>
            <w:rFonts w:ascii="Times" w:cs="Times" w:eastAsia="Times" w:hAnsi="Times"/>
            <w:sz w:val="18"/>
            <w:szCs w:val="18"/>
            <w:rtl w:val="0"/>
          </w:rPr>
          <w:t xml:space="preserve"> </w:t>
        </w:r>
      </w:hyperlink>
      <w:hyperlink r:id="rId9">
        <w:r w:rsidDel="00000000" w:rsidR="00000000" w:rsidRPr="00000000">
          <w:rPr>
            <w:rFonts w:ascii="Times" w:cs="Times" w:eastAsia="Times" w:hAnsi="Times"/>
            <w:color w:val="0000e9"/>
            <w:sz w:val="18"/>
            <w:szCs w:val="18"/>
            <w:u w:val="single"/>
            <w:rtl w:val="0"/>
          </w:rPr>
          <w:t xml:space="preserve">https://doi.org/10.1080/14693062.2020.1831430</w:t>
        </w:r>
      </w:hyperlink>
      <w:r w:rsidDel="00000000" w:rsidR="00000000" w:rsidRPr="00000000">
        <w:rPr>
          <w:rtl w:val="0"/>
        </w:rPr>
      </w:r>
    </w:p>
    <w:p w:rsidR="00000000" w:rsidDel="00000000" w:rsidP="00000000" w:rsidRDefault="00000000" w:rsidRPr="00000000" w14:paraId="00000010">
      <w:pPr>
        <w:shd w:fill="ffffff" w:val="clear"/>
        <w:spacing w:after="180" w:lineRule="auto"/>
        <w:rPr>
          <w:rFonts w:ascii="Times" w:cs="Times" w:eastAsia="Times" w:hAnsi="Times"/>
          <w:color w:val="0000e9"/>
          <w:sz w:val="18"/>
          <w:szCs w:val="18"/>
          <w:u w:val="single"/>
        </w:rPr>
      </w:pPr>
      <w:r w:rsidDel="00000000" w:rsidR="00000000" w:rsidRPr="00000000">
        <w:rPr>
          <w:rFonts w:ascii="Times" w:cs="Times" w:eastAsia="Times" w:hAnsi="Times"/>
          <w:b w:val="1"/>
          <w:bCs w:val="1"/>
          <w:sz w:val="18"/>
          <w:szCs w:val="18"/>
          <w:rtl w:val="0"/>
        </w:rPr>
        <w:t xml:space="preserve">Lee, D. S., Fahey, D. W., Skowron, A., Allen, M. R., Burkhardt, U., Chen, Q., Dahal, S. J., Frömming, C., Grewe, V., Lim, L. L., Owen, B., Sausen, R., &amp; Wilcox, L. J.</w:t>
      </w:r>
      <w:r w:rsidDel="00000000" w:rsidR="00000000" w:rsidRPr="00000000">
        <w:rPr>
          <w:rFonts w:ascii="Times" w:cs="Times" w:eastAsia="Times" w:hAnsi="Times"/>
          <w:sz w:val="18"/>
          <w:szCs w:val="18"/>
          <w:rtl w:val="0"/>
        </w:rPr>
        <w:t xml:space="preserve"> (2021). The contribution of global aviation to anthropogenic climate forcing for 2000 to 2018. </w:t>
      </w:r>
      <w:r w:rsidDel="00000000" w:rsidR="00000000" w:rsidRPr="00000000">
        <w:rPr>
          <w:rFonts w:ascii="Times" w:cs="Times" w:eastAsia="Times" w:hAnsi="Times"/>
          <w:i w:val="1"/>
          <w:iCs w:val="1"/>
          <w:sz w:val="18"/>
          <w:szCs w:val="18"/>
          <w:rtl w:val="0"/>
        </w:rPr>
        <w:t xml:space="preserve">Atmospheric Environment</w:t>
      </w:r>
      <w:r w:rsidDel="00000000" w:rsidR="00000000" w:rsidRPr="00000000">
        <w:rPr>
          <w:rFonts w:ascii="Times" w:cs="Times" w:eastAsia="Times" w:hAnsi="Times"/>
          <w:sz w:val="18"/>
          <w:szCs w:val="18"/>
          <w:rtl w:val="0"/>
        </w:rPr>
        <w:t xml:space="preserve">, 244, 117834.</w:t>
      </w:r>
      <w:hyperlink r:id="rId10">
        <w:r w:rsidDel="00000000" w:rsidR="00000000" w:rsidRPr="00000000">
          <w:rPr>
            <w:rFonts w:ascii="Times" w:cs="Times" w:eastAsia="Times" w:hAnsi="Times"/>
            <w:sz w:val="18"/>
            <w:szCs w:val="18"/>
            <w:rtl w:val="0"/>
          </w:rPr>
          <w:t xml:space="preserve"> </w:t>
        </w:r>
      </w:hyperlink>
      <w:hyperlink r:id="rId11">
        <w:r w:rsidDel="00000000" w:rsidR="00000000" w:rsidRPr="00000000">
          <w:rPr>
            <w:rFonts w:ascii="Times" w:cs="Times" w:eastAsia="Times" w:hAnsi="Times"/>
            <w:color w:val="0000e9"/>
            <w:sz w:val="18"/>
            <w:szCs w:val="18"/>
            <w:u w:val="single"/>
            <w:rtl w:val="0"/>
          </w:rPr>
          <w:t xml:space="preserve">https://doi.org/10.1016/j.atmosenv.2020.117834</w:t>
        </w:r>
      </w:hyperlink>
      <w:r w:rsidDel="00000000" w:rsidR="00000000" w:rsidRPr="00000000">
        <w:rPr>
          <w:rtl w:val="0"/>
        </w:rPr>
      </w:r>
    </w:p>
    <w:p w:rsidR="00000000" w:rsidDel="00000000" w:rsidP="00000000" w:rsidRDefault="00000000" w:rsidRPr="00000000" w14:paraId="00000011">
      <w:pPr>
        <w:rPr>
          <w:rFonts w:ascii="Roboto" w:cs="Roboto" w:eastAsia="Roboto" w:hAnsi="Roboto"/>
          <w:color w:val="5e5e5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016/j.atmosenv.2020.117834" TargetMode="External"/><Relationship Id="rId10" Type="http://schemas.openxmlformats.org/officeDocument/2006/relationships/hyperlink" Target="https://doi.org/10.1016/j.atmosenv.2020.117834" TargetMode="External"/><Relationship Id="rId9" Type="http://schemas.openxmlformats.org/officeDocument/2006/relationships/hyperlink" Target="https://doi.org/10.1080/14693062.2020.1831430" TargetMode="External"/><Relationship Id="rId5" Type="http://schemas.openxmlformats.org/officeDocument/2006/relationships/styles" Target="styles.xml"/><Relationship Id="rId6" Type="http://schemas.openxmlformats.org/officeDocument/2006/relationships/hyperlink" Target="https://doi.org/10.3390/su13073656" TargetMode="External"/><Relationship Id="rId7" Type="http://schemas.openxmlformats.org/officeDocument/2006/relationships/hyperlink" Target="https://doi.org/10.3390/su13073656" TargetMode="External"/><Relationship Id="rId8" Type="http://schemas.openxmlformats.org/officeDocument/2006/relationships/hyperlink" Target="https://doi.org/10.1080/14693062.2020.183143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