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235B7" w14:textId="77777777" w:rsidR="003347BC" w:rsidRDefault="003347BC" w:rsidP="003347BC">
      <w:pPr>
        <w:autoSpaceDE w:val="0"/>
        <w:autoSpaceDN w:val="0"/>
        <w:adjustRightInd w:val="0"/>
        <w:spacing w:line="480" w:lineRule="auto"/>
        <w:jc w:val="both"/>
        <w:rPr>
          <w:rFonts w:ascii="Arial" w:hAnsi="Arial" w:cs="Arial"/>
          <w:sz w:val="24"/>
          <w:szCs w:val="24"/>
        </w:rPr>
      </w:pPr>
      <w:r w:rsidRPr="008B6B75">
        <w:rPr>
          <w:rFonts w:ascii="Arial" w:hAnsi="Arial" w:cs="Arial"/>
          <w:sz w:val="24"/>
          <w:szCs w:val="24"/>
        </w:rPr>
        <w:t>Aim: A critical analysis of the role that community policing plays in shaping public perceptions of the police in the UK.</w:t>
      </w:r>
    </w:p>
    <w:p w14:paraId="15A37DF5" w14:textId="77777777" w:rsidR="003347BC" w:rsidRDefault="003347BC" w:rsidP="003A0E79">
      <w:pPr>
        <w:autoSpaceDE w:val="0"/>
        <w:autoSpaceDN w:val="0"/>
        <w:adjustRightInd w:val="0"/>
        <w:spacing w:line="360" w:lineRule="auto"/>
        <w:jc w:val="both"/>
        <w:rPr>
          <w:rFonts w:ascii="Arial" w:hAnsi="Arial" w:cs="Arial"/>
          <w:sz w:val="24"/>
          <w:szCs w:val="24"/>
        </w:rPr>
      </w:pPr>
    </w:p>
    <w:p w14:paraId="3C23D6A1" w14:textId="77777777" w:rsidR="003347BC" w:rsidRPr="002728AB" w:rsidRDefault="003347BC" w:rsidP="003347BC">
      <w:pPr>
        <w:pStyle w:val="ListParagraph"/>
        <w:numPr>
          <w:ilvl w:val="0"/>
          <w:numId w:val="1"/>
        </w:numPr>
        <w:autoSpaceDE w:val="0"/>
        <w:autoSpaceDN w:val="0"/>
        <w:adjustRightInd w:val="0"/>
        <w:spacing w:after="160" w:line="480" w:lineRule="auto"/>
        <w:jc w:val="both"/>
        <w:rPr>
          <w:rFonts w:ascii="Arial" w:hAnsi="Arial" w:cs="Arial"/>
          <w:sz w:val="24"/>
          <w:szCs w:val="24"/>
        </w:rPr>
      </w:pPr>
      <w:r w:rsidRPr="00EE30CA">
        <w:rPr>
          <w:rFonts w:ascii="Arial" w:hAnsi="Arial" w:cs="Arial"/>
          <w:b/>
          <w:bCs/>
          <w:sz w:val="24"/>
          <w:szCs w:val="24"/>
        </w:rPr>
        <w:t xml:space="preserve">Objective 1: </w:t>
      </w:r>
      <w:r w:rsidRPr="00EE30CA">
        <w:rPr>
          <w:rFonts w:ascii="Arial" w:hAnsi="Arial" w:cs="Arial"/>
          <w:sz w:val="24"/>
          <w:szCs w:val="24"/>
        </w:rPr>
        <w:t>To examine how community policing strategies are implemented within selected UK police forces and the extent to which they prioritise public engagement.</w:t>
      </w:r>
    </w:p>
    <w:p w14:paraId="45EDA1EC" w14:textId="77777777" w:rsidR="003347BC" w:rsidRPr="002728AB" w:rsidRDefault="003347BC" w:rsidP="003347BC">
      <w:pPr>
        <w:pStyle w:val="ListParagraph"/>
        <w:numPr>
          <w:ilvl w:val="0"/>
          <w:numId w:val="1"/>
        </w:numPr>
        <w:spacing w:after="160" w:line="480" w:lineRule="auto"/>
        <w:jc w:val="both"/>
        <w:rPr>
          <w:rFonts w:ascii="Arial" w:hAnsi="Arial" w:cs="Arial"/>
          <w:sz w:val="24"/>
          <w:szCs w:val="24"/>
        </w:rPr>
      </w:pPr>
      <w:r w:rsidRPr="00EE30CA">
        <w:rPr>
          <w:rFonts w:ascii="Arial" w:hAnsi="Arial" w:cs="Arial"/>
          <w:b/>
          <w:bCs/>
          <w:sz w:val="24"/>
          <w:szCs w:val="24"/>
        </w:rPr>
        <w:t xml:space="preserve">Objective 2: </w:t>
      </w:r>
      <w:r w:rsidRPr="00EE30CA">
        <w:rPr>
          <w:rFonts w:ascii="Arial" w:hAnsi="Arial" w:cs="Arial"/>
          <w:sz w:val="24"/>
          <w:szCs w:val="24"/>
        </w:rPr>
        <w:t>To explore the impact of community policing on public perceptions of trust, confidence and legitimacy in policing.</w:t>
      </w:r>
    </w:p>
    <w:p w14:paraId="4869C6DB" w14:textId="77777777" w:rsidR="003347BC" w:rsidRDefault="003347BC" w:rsidP="003347BC">
      <w:pPr>
        <w:pStyle w:val="ListParagraph"/>
        <w:numPr>
          <w:ilvl w:val="0"/>
          <w:numId w:val="1"/>
        </w:numPr>
        <w:spacing w:after="160" w:line="480" w:lineRule="auto"/>
        <w:jc w:val="both"/>
        <w:rPr>
          <w:rFonts w:ascii="Arial" w:hAnsi="Arial" w:cs="Arial"/>
          <w:sz w:val="24"/>
          <w:szCs w:val="24"/>
        </w:rPr>
      </w:pPr>
      <w:r w:rsidRPr="00EE30CA">
        <w:rPr>
          <w:rFonts w:ascii="Arial" w:hAnsi="Arial" w:cs="Arial"/>
          <w:b/>
          <w:bCs/>
          <w:sz w:val="24"/>
          <w:szCs w:val="24"/>
        </w:rPr>
        <w:t xml:space="preserve">Objective 3: </w:t>
      </w:r>
      <w:r w:rsidRPr="00EE30CA">
        <w:rPr>
          <w:rFonts w:ascii="Arial" w:hAnsi="Arial" w:cs="Arial"/>
          <w:sz w:val="24"/>
          <w:szCs w:val="24"/>
        </w:rPr>
        <w:t>To critically assess the limitations and challenges of community policing in influencing public perceptions, including barriers such inconsistent practices, resource pressures or misaligned public expectations.</w:t>
      </w:r>
    </w:p>
    <w:p w14:paraId="1CFE9D85" w14:textId="77777777" w:rsidR="003347BC" w:rsidRDefault="003347BC" w:rsidP="003A0E79">
      <w:pPr>
        <w:spacing w:line="360" w:lineRule="auto"/>
        <w:jc w:val="both"/>
        <w:rPr>
          <w:rFonts w:ascii="Arial" w:hAnsi="Arial" w:cs="Arial"/>
          <w:sz w:val="24"/>
          <w:szCs w:val="24"/>
        </w:rPr>
      </w:pPr>
    </w:p>
    <w:p w14:paraId="6EEDC89C" w14:textId="7E81FFE2" w:rsidR="003347BC" w:rsidRDefault="003347BC" w:rsidP="003347BC">
      <w:pPr>
        <w:pStyle w:val="Heading2"/>
        <w:spacing w:line="480" w:lineRule="auto"/>
        <w:rPr>
          <w:rFonts w:ascii="Arial" w:hAnsi="Arial" w:cs="Arial"/>
          <w:color w:val="auto"/>
          <w:sz w:val="28"/>
          <w:szCs w:val="28"/>
          <w:u w:val="single"/>
        </w:rPr>
      </w:pPr>
      <w:bookmarkStart w:id="0" w:name="_Toc212807102"/>
      <w:r>
        <w:rPr>
          <w:rFonts w:ascii="Arial" w:hAnsi="Arial" w:cs="Arial"/>
          <w:color w:val="auto"/>
          <w:sz w:val="28"/>
          <w:szCs w:val="28"/>
          <w:u w:val="single"/>
        </w:rPr>
        <w:t xml:space="preserve">Chapter 3 - </w:t>
      </w:r>
      <w:bookmarkEnd w:id="0"/>
      <w:r>
        <w:rPr>
          <w:rFonts w:ascii="Arial" w:hAnsi="Arial" w:cs="Arial"/>
          <w:color w:val="auto"/>
          <w:sz w:val="28"/>
          <w:szCs w:val="28"/>
          <w:u w:val="single"/>
        </w:rPr>
        <w:t>Methodology</w:t>
      </w:r>
    </w:p>
    <w:p w14:paraId="3A8AA71B" w14:textId="7D30ED0C" w:rsidR="00CE4D98" w:rsidRDefault="003347BC" w:rsidP="004953A5">
      <w:pPr>
        <w:jc w:val="both"/>
        <w:rPr>
          <w:rFonts w:ascii="Arial" w:hAnsi="Arial" w:cs="Arial"/>
          <w:sz w:val="28"/>
          <w:szCs w:val="28"/>
        </w:rPr>
      </w:pPr>
      <w:bookmarkStart w:id="1" w:name="_Toc212807103"/>
      <w:r>
        <w:rPr>
          <w:rFonts w:ascii="Arial" w:hAnsi="Arial" w:cs="Arial"/>
          <w:sz w:val="28"/>
          <w:szCs w:val="28"/>
        </w:rPr>
        <w:t>3</w:t>
      </w:r>
      <w:r w:rsidRPr="009833F4">
        <w:rPr>
          <w:rFonts w:ascii="Arial" w:hAnsi="Arial" w:cs="Arial"/>
          <w:sz w:val="28"/>
          <w:szCs w:val="28"/>
        </w:rPr>
        <w:t xml:space="preserve">.1 </w:t>
      </w:r>
      <w:bookmarkEnd w:id="1"/>
      <w:r w:rsidRPr="009833F4">
        <w:rPr>
          <w:rFonts w:ascii="Arial" w:hAnsi="Arial" w:cs="Arial"/>
          <w:sz w:val="28"/>
          <w:szCs w:val="28"/>
        </w:rPr>
        <w:t>Introduction</w:t>
      </w:r>
    </w:p>
    <w:p w14:paraId="76FD2642" w14:textId="77777777" w:rsidR="004953A5" w:rsidRDefault="004953A5" w:rsidP="003347BC">
      <w:pPr>
        <w:spacing w:line="480" w:lineRule="auto"/>
        <w:jc w:val="both"/>
        <w:rPr>
          <w:rFonts w:ascii="Arial" w:hAnsi="Arial" w:cs="Arial"/>
          <w:sz w:val="28"/>
          <w:szCs w:val="28"/>
        </w:rPr>
      </w:pPr>
    </w:p>
    <w:p w14:paraId="6CCE7A92" w14:textId="647AB2C6" w:rsidR="00485646" w:rsidRDefault="00485646" w:rsidP="00485646">
      <w:pPr>
        <w:spacing w:line="480" w:lineRule="auto"/>
        <w:jc w:val="both"/>
        <w:rPr>
          <w:rFonts w:ascii="Arial" w:hAnsi="Arial" w:cs="Arial"/>
          <w:sz w:val="24"/>
          <w:szCs w:val="24"/>
        </w:rPr>
      </w:pPr>
      <w:r w:rsidRPr="00485646">
        <w:rPr>
          <w:rFonts w:ascii="Arial" w:hAnsi="Arial" w:cs="Arial"/>
          <w:sz w:val="24"/>
          <w:szCs w:val="24"/>
        </w:rPr>
        <w:t xml:space="preserve">This chapter outlines the methodology adopted in my study, which aims to critically explore the extent to which community policing shapes public perceptions of the police in the UK. A clear and appropriate methodological approach is essential in ensuring that the research methods selected are capable of addressing the research aim and objectives in a systematic and credible manner (Greetham, 2019). </w:t>
      </w:r>
      <w:r w:rsidR="009F677B" w:rsidRPr="009F677B">
        <w:rPr>
          <w:rFonts w:ascii="Arial" w:hAnsi="Arial" w:cs="Arial"/>
          <w:sz w:val="24"/>
          <w:szCs w:val="24"/>
        </w:rPr>
        <w:t>Public perceptions of policing are complex and socially constructed, shaped by both measurable attitudes such as confidence and trust, and subjective experiences such as visibility and engagement with neighbourhood policing teams.</w:t>
      </w:r>
    </w:p>
    <w:p w14:paraId="7D6A3753" w14:textId="77777777" w:rsidR="009F677B" w:rsidRPr="00485646" w:rsidRDefault="009F677B" w:rsidP="00485646">
      <w:pPr>
        <w:spacing w:line="480" w:lineRule="auto"/>
        <w:jc w:val="both"/>
        <w:rPr>
          <w:rFonts w:ascii="Arial" w:hAnsi="Arial" w:cs="Arial"/>
          <w:sz w:val="24"/>
          <w:szCs w:val="24"/>
        </w:rPr>
      </w:pPr>
    </w:p>
    <w:p w14:paraId="0F66E05C" w14:textId="6F583D82" w:rsidR="00DD59C3" w:rsidRDefault="00485646" w:rsidP="003347BC">
      <w:pPr>
        <w:spacing w:line="480" w:lineRule="auto"/>
        <w:jc w:val="both"/>
        <w:rPr>
          <w:rFonts w:ascii="Arial" w:hAnsi="Arial" w:cs="Arial"/>
          <w:sz w:val="24"/>
          <w:szCs w:val="24"/>
        </w:rPr>
      </w:pPr>
      <w:r w:rsidRPr="00485646">
        <w:rPr>
          <w:rFonts w:ascii="Arial" w:hAnsi="Arial" w:cs="Arial"/>
          <w:sz w:val="24"/>
          <w:szCs w:val="24"/>
        </w:rPr>
        <w:lastRenderedPageBreak/>
        <w:t>This chapter therefore explains the research strategy underpinning the study, followed by an outline of how data were collected and analysed. The final section critically reflects on the limitations and potential challenges associated with the chosen methods, alongside steps taken to enhance the reliability of the research. By justifying each methodological decision, this chapter demonstrates how the research design is appropriate for exploring public perceptions of community policing within a UK context.</w:t>
      </w:r>
    </w:p>
    <w:p w14:paraId="037ADC53" w14:textId="77777777" w:rsidR="00685932" w:rsidRDefault="00685932" w:rsidP="003347BC">
      <w:pPr>
        <w:spacing w:line="480" w:lineRule="auto"/>
        <w:jc w:val="both"/>
        <w:rPr>
          <w:rFonts w:ascii="Arial" w:hAnsi="Arial" w:cs="Arial"/>
          <w:sz w:val="24"/>
          <w:szCs w:val="24"/>
        </w:rPr>
      </w:pPr>
    </w:p>
    <w:p w14:paraId="43107D03" w14:textId="5076B991" w:rsidR="00685932" w:rsidRPr="00973B77" w:rsidRDefault="00685932" w:rsidP="003347BC">
      <w:pPr>
        <w:spacing w:line="480" w:lineRule="auto"/>
        <w:jc w:val="both"/>
        <w:rPr>
          <w:rFonts w:ascii="Arial" w:hAnsi="Arial" w:cs="Arial"/>
          <w:sz w:val="24"/>
          <w:szCs w:val="24"/>
        </w:rPr>
      </w:pPr>
      <w:r w:rsidRPr="00685932">
        <w:rPr>
          <w:rFonts w:ascii="Arial" w:hAnsi="Arial" w:cs="Arial"/>
          <w:sz w:val="24"/>
          <w:szCs w:val="24"/>
        </w:rPr>
        <w:t>While alternative approaches such as longitudinal surveys or interview-based designs could have offered deeper insight into changes in perceptions over time, the chosen methodology represents the most appropriate balance between depth, feasibility and analytical rigour for the aims of this study</w:t>
      </w:r>
      <w:r w:rsidR="00063D70">
        <w:rPr>
          <w:rFonts w:ascii="Arial" w:hAnsi="Arial" w:cs="Arial"/>
          <w:sz w:val="24"/>
          <w:szCs w:val="24"/>
        </w:rPr>
        <w:t xml:space="preserve"> </w:t>
      </w:r>
      <w:r w:rsidR="00897773" w:rsidRPr="00897773">
        <w:rPr>
          <w:rFonts w:ascii="Arial" w:hAnsi="Arial" w:cs="Arial"/>
          <w:sz w:val="24"/>
          <w:szCs w:val="24"/>
        </w:rPr>
        <w:t>(Adu and Miles, 2024)</w:t>
      </w:r>
      <w:r w:rsidRPr="00685932">
        <w:rPr>
          <w:rFonts w:ascii="Arial" w:hAnsi="Arial" w:cs="Arial"/>
          <w:sz w:val="24"/>
          <w:szCs w:val="24"/>
        </w:rPr>
        <w:t>.</w:t>
      </w:r>
    </w:p>
    <w:p w14:paraId="5B0FD20E" w14:textId="77777777" w:rsidR="00485646" w:rsidRPr="00973B77" w:rsidRDefault="00485646" w:rsidP="004953A5">
      <w:pPr>
        <w:jc w:val="both"/>
        <w:rPr>
          <w:rFonts w:ascii="Arial" w:hAnsi="Arial" w:cs="Arial"/>
          <w:sz w:val="24"/>
          <w:szCs w:val="24"/>
        </w:rPr>
      </w:pPr>
    </w:p>
    <w:p w14:paraId="184CEA75" w14:textId="3387397F" w:rsidR="00FE5CB0" w:rsidRDefault="00FE5CB0" w:rsidP="004953A5">
      <w:pPr>
        <w:jc w:val="both"/>
        <w:rPr>
          <w:rFonts w:ascii="Arial" w:hAnsi="Arial" w:cs="Arial"/>
          <w:sz w:val="28"/>
          <w:szCs w:val="28"/>
        </w:rPr>
      </w:pPr>
      <w:r w:rsidRPr="00DB600B">
        <w:rPr>
          <w:rFonts w:ascii="Arial" w:hAnsi="Arial" w:cs="Arial"/>
          <w:sz w:val="28"/>
          <w:szCs w:val="28"/>
        </w:rPr>
        <w:t xml:space="preserve">3.2 Research </w:t>
      </w:r>
      <w:r w:rsidR="00CC7433" w:rsidRPr="00DB600B">
        <w:rPr>
          <w:rFonts w:ascii="Arial" w:hAnsi="Arial" w:cs="Arial"/>
          <w:sz w:val="28"/>
          <w:szCs w:val="28"/>
        </w:rPr>
        <w:t>S</w:t>
      </w:r>
      <w:r w:rsidRPr="00DB600B">
        <w:rPr>
          <w:rFonts w:ascii="Arial" w:hAnsi="Arial" w:cs="Arial"/>
          <w:sz w:val="28"/>
          <w:szCs w:val="28"/>
        </w:rPr>
        <w:t>trategy</w:t>
      </w:r>
    </w:p>
    <w:p w14:paraId="70C90D20" w14:textId="77777777" w:rsidR="004953A5" w:rsidRPr="00DB600B" w:rsidRDefault="004953A5" w:rsidP="003347BC">
      <w:pPr>
        <w:spacing w:line="480" w:lineRule="auto"/>
        <w:jc w:val="both"/>
        <w:rPr>
          <w:rFonts w:ascii="Arial" w:hAnsi="Arial" w:cs="Arial"/>
          <w:sz w:val="28"/>
          <w:szCs w:val="28"/>
        </w:rPr>
      </w:pPr>
    </w:p>
    <w:p w14:paraId="3C3DF17F" w14:textId="77777777" w:rsidR="00567DDC" w:rsidRDefault="00567DDC" w:rsidP="00567DDC">
      <w:pPr>
        <w:spacing w:line="480" w:lineRule="auto"/>
        <w:jc w:val="both"/>
        <w:rPr>
          <w:rFonts w:ascii="Arial" w:hAnsi="Arial" w:cs="Arial"/>
          <w:sz w:val="24"/>
          <w:szCs w:val="24"/>
        </w:rPr>
      </w:pPr>
      <w:r w:rsidRPr="00567DDC">
        <w:rPr>
          <w:rFonts w:ascii="Arial" w:hAnsi="Arial" w:cs="Arial"/>
          <w:sz w:val="24"/>
          <w:szCs w:val="24"/>
        </w:rPr>
        <w:t>This study adopts a mixed-methods research strategy, combining quantitative and qualitative approaches within a cross-sectional design. Mixed-methods research involves the collection and integration of numerical and textual data to provide a more comprehensive understanding of a research problem than would be possible through a single method alone (Creswell and Clark, 2025). In this study, a mixed-methods strategy is implemented through the use of an online questionnaire containing both closed-ended questions and open-ended questions.</w:t>
      </w:r>
    </w:p>
    <w:p w14:paraId="470B30E5" w14:textId="77777777" w:rsidR="00D8409F" w:rsidRDefault="00D8409F" w:rsidP="00567DDC">
      <w:pPr>
        <w:spacing w:line="480" w:lineRule="auto"/>
        <w:jc w:val="both"/>
        <w:rPr>
          <w:rFonts w:ascii="Arial" w:hAnsi="Arial" w:cs="Arial"/>
          <w:sz w:val="24"/>
          <w:szCs w:val="24"/>
        </w:rPr>
      </w:pPr>
    </w:p>
    <w:p w14:paraId="536FAEBC" w14:textId="0A4FD7BE" w:rsidR="00D8409F" w:rsidRDefault="00D8409F" w:rsidP="00567DDC">
      <w:pPr>
        <w:spacing w:line="480" w:lineRule="auto"/>
        <w:jc w:val="both"/>
        <w:rPr>
          <w:rFonts w:ascii="Arial" w:hAnsi="Arial" w:cs="Arial"/>
          <w:sz w:val="24"/>
          <w:szCs w:val="24"/>
        </w:rPr>
      </w:pPr>
      <w:r w:rsidRPr="00D8409F">
        <w:rPr>
          <w:rFonts w:ascii="Arial" w:hAnsi="Arial" w:cs="Arial"/>
          <w:sz w:val="24"/>
          <w:szCs w:val="24"/>
        </w:rPr>
        <w:t>The methodological choices underpinning this study align with Saunders’ Research Onion model, progressing from an overarching mixed-methods strategy to specific methods of data collection and analysis (Phair and Warren, 2025).</w:t>
      </w:r>
    </w:p>
    <w:p w14:paraId="668C5CDB" w14:textId="77777777" w:rsidR="00106BA6" w:rsidRPr="00567DDC" w:rsidRDefault="00106BA6" w:rsidP="00567DDC">
      <w:pPr>
        <w:spacing w:line="480" w:lineRule="auto"/>
        <w:jc w:val="both"/>
        <w:rPr>
          <w:rFonts w:ascii="Arial" w:hAnsi="Arial" w:cs="Arial"/>
          <w:sz w:val="24"/>
          <w:szCs w:val="24"/>
        </w:rPr>
      </w:pPr>
    </w:p>
    <w:p w14:paraId="2F665BCC" w14:textId="77777777" w:rsidR="00567DDC" w:rsidRDefault="00567DDC" w:rsidP="00567DDC">
      <w:pPr>
        <w:spacing w:line="480" w:lineRule="auto"/>
        <w:jc w:val="both"/>
        <w:rPr>
          <w:rFonts w:ascii="Arial" w:hAnsi="Arial" w:cs="Arial"/>
          <w:sz w:val="24"/>
          <w:szCs w:val="24"/>
        </w:rPr>
      </w:pPr>
      <w:r w:rsidRPr="00567DDC">
        <w:rPr>
          <w:rFonts w:ascii="Arial" w:hAnsi="Arial" w:cs="Arial"/>
          <w:sz w:val="24"/>
          <w:szCs w:val="24"/>
        </w:rPr>
        <w:lastRenderedPageBreak/>
        <w:t>The research is cross-sectional, with data collected at a single point in time. This approach is appropriate given the time constraints associated with an undergraduate dissertation and the study’s focus on capturing contemporary public perceptions of community policing rather than changes over time (</w:t>
      </w:r>
      <w:proofErr w:type="spellStart"/>
      <w:r w:rsidRPr="00567DDC">
        <w:rPr>
          <w:rFonts w:ascii="Arial" w:hAnsi="Arial" w:cs="Arial"/>
          <w:sz w:val="24"/>
          <w:szCs w:val="24"/>
        </w:rPr>
        <w:t>Walliman</w:t>
      </w:r>
      <w:proofErr w:type="spellEnd"/>
      <w:r w:rsidRPr="00567DDC">
        <w:rPr>
          <w:rFonts w:ascii="Arial" w:hAnsi="Arial" w:cs="Arial"/>
          <w:sz w:val="24"/>
          <w:szCs w:val="24"/>
        </w:rPr>
        <w:t>, 2021). The strategy allows for the identification of prevailing attitudes towards community policing, trust and confidence in the police, as well as the perceived effectiveness of neighbourhood policing practices.</w:t>
      </w:r>
    </w:p>
    <w:p w14:paraId="1000B2FF" w14:textId="77777777" w:rsidR="00106BA6" w:rsidRPr="00567DDC" w:rsidRDefault="00106BA6" w:rsidP="00567DDC">
      <w:pPr>
        <w:spacing w:line="480" w:lineRule="auto"/>
        <w:jc w:val="both"/>
        <w:rPr>
          <w:rFonts w:ascii="Arial" w:hAnsi="Arial" w:cs="Arial"/>
          <w:sz w:val="24"/>
          <w:szCs w:val="24"/>
        </w:rPr>
      </w:pPr>
    </w:p>
    <w:p w14:paraId="04DC5F9A" w14:textId="77777777" w:rsidR="00567DDC" w:rsidRDefault="00567DDC" w:rsidP="00567DDC">
      <w:pPr>
        <w:spacing w:line="480" w:lineRule="auto"/>
        <w:jc w:val="both"/>
        <w:rPr>
          <w:rFonts w:ascii="Arial" w:hAnsi="Arial" w:cs="Arial"/>
          <w:sz w:val="24"/>
          <w:szCs w:val="24"/>
        </w:rPr>
      </w:pPr>
      <w:r w:rsidRPr="00567DDC">
        <w:rPr>
          <w:rFonts w:ascii="Arial" w:hAnsi="Arial" w:cs="Arial"/>
          <w:sz w:val="24"/>
          <w:szCs w:val="24"/>
        </w:rPr>
        <w:t>The choice of a mixed-methods strategy is justified by the nature of the research topic. Public perceptions of policing, particularly in relation to trust and legitimacy, cannot be fully understood through quantitative data alone, as such perceptions are influenced by personal experience, local context and interpretation (Flick, 2023). Quantitative methods enable the identification of patterns and trends across a sample, such as levels of confidence or willingness to report crime, while qualitative methods provide insight into the reasons behind these attitudes.</w:t>
      </w:r>
    </w:p>
    <w:p w14:paraId="1BCC1D73" w14:textId="77777777" w:rsidR="008031F1" w:rsidRPr="00567DDC" w:rsidRDefault="008031F1" w:rsidP="00567DDC">
      <w:pPr>
        <w:spacing w:line="480" w:lineRule="auto"/>
        <w:jc w:val="both"/>
        <w:rPr>
          <w:rFonts w:ascii="Arial" w:hAnsi="Arial" w:cs="Arial"/>
          <w:sz w:val="24"/>
          <w:szCs w:val="24"/>
        </w:rPr>
      </w:pPr>
    </w:p>
    <w:p w14:paraId="154C5D28" w14:textId="714E0E96" w:rsidR="00567DDC" w:rsidRDefault="00567DDC" w:rsidP="00567DDC">
      <w:pPr>
        <w:spacing w:line="480" w:lineRule="auto"/>
        <w:jc w:val="both"/>
        <w:rPr>
          <w:rFonts w:ascii="Arial" w:hAnsi="Arial" w:cs="Arial"/>
          <w:sz w:val="24"/>
          <w:szCs w:val="24"/>
        </w:rPr>
      </w:pPr>
      <w:r w:rsidRPr="00567DDC">
        <w:rPr>
          <w:rFonts w:ascii="Arial" w:hAnsi="Arial" w:cs="Arial"/>
          <w:sz w:val="24"/>
          <w:szCs w:val="24"/>
        </w:rPr>
        <w:t>By integrating qualitative responses with quantitative findings, the study benefits from triangulation, which enhances the validity and credibility of the research (Hitchcock and Onwuegbuzie, 2022). Mixed-methods approaches are widely recognised as particularly suitable for research examining public attitudes and experiences within policing contexts (</w:t>
      </w:r>
      <w:r w:rsidRPr="00D8020E">
        <w:rPr>
          <w:rFonts w:ascii="Arial" w:hAnsi="Arial" w:cs="Arial"/>
          <w:sz w:val="24"/>
          <w:szCs w:val="24"/>
        </w:rPr>
        <w:t>Wood</w:t>
      </w:r>
      <w:r w:rsidRPr="00567DDC">
        <w:rPr>
          <w:rFonts w:ascii="Arial" w:hAnsi="Arial" w:cs="Arial"/>
          <w:sz w:val="24"/>
          <w:szCs w:val="24"/>
        </w:rPr>
        <w:t xml:space="preserve"> et al, 2022), making this strategy well aligned with the aims of my study.</w:t>
      </w:r>
    </w:p>
    <w:p w14:paraId="42EC9353" w14:textId="77777777" w:rsidR="007644F9" w:rsidRDefault="007644F9" w:rsidP="00567DDC">
      <w:pPr>
        <w:spacing w:line="480" w:lineRule="auto"/>
        <w:jc w:val="both"/>
        <w:rPr>
          <w:rFonts w:ascii="Arial" w:hAnsi="Arial" w:cs="Arial"/>
          <w:sz w:val="24"/>
          <w:szCs w:val="24"/>
        </w:rPr>
      </w:pPr>
    </w:p>
    <w:p w14:paraId="1695A567" w14:textId="220B49B1" w:rsidR="007644F9" w:rsidRPr="00567DDC" w:rsidRDefault="007644F9" w:rsidP="00567DDC">
      <w:pPr>
        <w:spacing w:line="480" w:lineRule="auto"/>
        <w:jc w:val="both"/>
        <w:rPr>
          <w:rFonts w:ascii="Arial" w:hAnsi="Arial" w:cs="Arial"/>
          <w:sz w:val="24"/>
          <w:szCs w:val="24"/>
        </w:rPr>
      </w:pPr>
      <w:r w:rsidRPr="007644F9">
        <w:rPr>
          <w:rFonts w:ascii="Arial" w:hAnsi="Arial" w:cs="Arial"/>
          <w:sz w:val="24"/>
          <w:szCs w:val="24"/>
        </w:rPr>
        <w:t xml:space="preserve">However, it is recognised that qualitative data obtained through open-ended questionnaire responses lacks the depth that could have been achieved through </w:t>
      </w:r>
      <w:r w:rsidRPr="007644F9">
        <w:rPr>
          <w:rFonts w:ascii="Arial" w:hAnsi="Arial" w:cs="Arial"/>
          <w:sz w:val="24"/>
          <w:szCs w:val="24"/>
        </w:rPr>
        <w:lastRenderedPageBreak/>
        <w:t>interviews; nonetheless, this limitation is offset by the ability to capture a broader range of perspectives within the available timeframe.</w:t>
      </w:r>
    </w:p>
    <w:p w14:paraId="5D3B361B" w14:textId="77777777" w:rsidR="00DD59C3" w:rsidRPr="00973B77" w:rsidRDefault="00DD59C3" w:rsidP="004953A5">
      <w:pPr>
        <w:jc w:val="both"/>
        <w:rPr>
          <w:rFonts w:ascii="Arial" w:hAnsi="Arial" w:cs="Arial"/>
          <w:sz w:val="24"/>
          <w:szCs w:val="24"/>
        </w:rPr>
      </w:pPr>
    </w:p>
    <w:p w14:paraId="7C86894F" w14:textId="7FB0660B" w:rsidR="00FE5CB0" w:rsidRDefault="00FE5CB0" w:rsidP="004953A5">
      <w:pPr>
        <w:jc w:val="both"/>
        <w:rPr>
          <w:rFonts w:ascii="Arial" w:hAnsi="Arial" w:cs="Arial"/>
          <w:sz w:val="28"/>
          <w:szCs w:val="28"/>
        </w:rPr>
      </w:pPr>
      <w:r w:rsidRPr="003E5815">
        <w:rPr>
          <w:rFonts w:ascii="Arial" w:hAnsi="Arial" w:cs="Arial"/>
          <w:sz w:val="28"/>
          <w:szCs w:val="28"/>
        </w:rPr>
        <w:t xml:space="preserve">3.3 Data </w:t>
      </w:r>
      <w:r w:rsidR="00CC7433" w:rsidRPr="003E5815">
        <w:rPr>
          <w:rFonts w:ascii="Arial" w:hAnsi="Arial" w:cs="Arial"/>
          <w:sz w:val="28"/>
          <w:szCs w:val="28"/>
        </w:rPr>
        <w:t>C</w:t>
      </w:r>
      <w:r w:rsidRPr="003E5815">
        <w:rPr>
          <w:rFonts w:ascii="Arial" w:hAnsi="Arial" w:cs="Arial"/>
          <w:sz w:val="28"/>
          <w:szCs w:val="28"/>
        </w:rPr>
        <w:t>ollection</w:t>
      </w:r>
    </w:p>
    <w:p w14:paraId="7C975CEF" w14:textId="77777777" w:rsidR="004953A5" w:rsidRPr="003E5815" w:rsidRDefault="004953A5" w:rsidP="00FE5CB0">
      <w:pPr>
        <w:spacing w:line="480" w:lineRule="auto"/>
        <w:jc w:val="both"/>
        <w:rPr>
          <w:rFonts w:ascii="Arial" w:hAnsi="Arial" w:cs="Arial"/>
          <w:sz w:val="28"/>
          <w:szCs w:val="28"/>
        </w:rPr>
      </w:pPr>
    </w:p>
    <w:p w14:paraId="29BF22F0" w14:textId="77777777" w:rsidR="003F0EA7" w:rsidRDefault="003F0EA7" w:rsidP="003F0EA7">
      <w:pPr>
        <w:spacing w:line="480" w:lineRule="auto"/>
        <w:jc w:val="both"/>
        <w:rPr>
          <w:rFonts w:ascii="Arial" w:hAnsi="Arial" w:cs="Arial"/>
          <w:sz w:val="24"/>
          <w:szCs w:val="24"/>
        </w:rPr>
      </w:pPr>
      <w:r w:rsidRPr="003F0EA7">
        <w:rPr>
          <w:rFonts w:ascii="Arial" w:hAnsi="Arial" w:cs="Arial"/>
          <w:sz w:val="24"/>
          <w:szCs w:val="24"/>
        </w:rPr>
        <w:t>The data for this study are derived from primary research, collected directly from members of the general public aged 18 and over. Primary data collection allows the research to be tailored specifically to the aims of the study and ensures that findings reflect current perceptions of community policing (</w:t>
      </w:r>
      <w:proofErr w:type="spellStart"/>
      <w:r w:rsidRPr="003F0EA7">
        <w:rPr>
          <w:rFonts w:ascii="Arial" w:hAnsi="Arial" w:cs="Arial"/>
          <w:sz w:val="24"/>
          <w:szCs w:val="24"/>
        </w:rPr>
        <w:t>Biggam</w:t>
      </w:r>
      <w:proofErr w:type="spellEnd"/>
      <w:r w:rsidRPr="003F0EA7">
        <w:rPr>
          <w:rFonts w:ascii="Arial" w:hAnsi="Arial" w:cs="Arial"/>
          <w:sz w:val="24"/>
          <w:szCs w:val="24"/>
        </w:rPr>
        <w:t>, 2026). Participants are primarily drawn from communities within South Wales, although responses from other UK force areas are also included to provide broader contextual insight.</w:t>
      </w:r>
    </w:p>
    <w:p w14:paraId="10948AD6" w14:textId="77777777" w:rsidR="008031F1" w:rsidRPr="003F0EA7" w:rsidRDefault="008031F1" w:rsidP="003F0EA7">
      <w:pPr>
        <w:spacing w:line="480" w:lineRule="auto"/>
        <w:jc w:val="both"/>
        <w:rPr>
          <w:rFonts w:ascii="Arial" w:hAnsi="Arial" w:cs="Arial"/>
          <w:sz w:val="24"/>
          <w:szCs w:val="24"/>
        </w:rPr>
      </w:pPr>
    </w:p>
    <w:p w14:paraId="24AC10CE" w14:textId="61A70CF2" w:rsidR="003F0EA7" w:rsidRDefault="003F0EA7" w:rsidP="003F0EA7">
      <w:pPr>
        <w:spacing w:line="480" w:lineRule="auto"/>
        <w:jc w:val="both"/>
        <w:rPr>
          <w:rFonts w:ascii="Arial" w:hAnsi="Arial" w:cs="Arial"/>
          <w:sz w:val="24"/>
          <w:szCs w:val="24"/>
        </w:rPr>
      </w:pPr>
      <w:r w:rsidRPr="003F0EA7">
        <w:rPr>
          <w:rFonts w:ascii="Arial" w:hAnsi="Arial" w:cs="Arial"/>
          <w:sz w:val="24"/>
          <w:szCs w:val="24"/>
        </w:rPr>
        <w:t>The study employs non-probability convenience sampling, whereby participants are recruited based on accessibility and willingness to take part. This sampling method is commonly used in exploratory social research and is considered appropriate for undergraduate-level studies examining attitudes and perceptions (</w:t>
      </w:r>
      <w:proofErr w:type="spellStart"/>
      <w:r w:rsidRPr="003F0EA7">
        <w:rPr>
          <w:rFonts w:ascii="Arial" w:hAnsi="Arial" w:cs="Arial"/>
          <w:sz w:val="24"/>
          <w:szCs w:val="24"/>
        </w:rPr>
        <w:t>Walliman</w:t>
      </w:r>
      <w:proofErr w:type="spellEnd"/>
      <w:r w:rsidRPr="003F0EA7">
        <w:rPr>
          <w:rFonts w:ascii="Arial" w:hAnsi="Arial" w:cs="Arial"/>
          <w:sz w:val="24"/>
          <w:szCs w:val="24"/>
        </w:rPr>
        <w:t xml:space="preserve">, 2021). </w:t>
      </w:r>
      <w:r w:rsidR="005C1DEA" w:rsidRPr="005C1DEA">
        <w:rPr>
          <w:rFonts w:ascii="Arial" w:hAnsi="Arial" w:cs="Arial"/>
          <w:sz w:val="24"/>
          <w:szCs w:val="24"/>
        </w:rPr>
        <w:t>This approach is particularly suitable for research into community policing, as it captures perceptions from individuals embedded within local communities where neighbourhood policing practices are most visible and experienced.</w:t>
      </w:r>
      <w:r w:rsidR="005C1DEA">
        <w:rPr>
          <w:rFonts w:ascii="Arial" w:hAnsi="Arial" w:cs="Arial"/>
          <w:sz w:val="24"/>
          <w:szCs w:val="24"/>
        </w:rPr>
        <w:t xml:space="preserve"> </w:t>
      </w:r>
      <w:r w:rsidRPr="003F0EA7">
        <w:rPr>
          <w:rFonts w:ascii="Arial" w:hAnsi="Arial" w:cs="Arial"/>
          <w:sz w:val="24"/>
          <w:szCs w:val="24"/>
        </w:rPr>
        <w:t>While this approach limits the extent to which findings can be generalised to the wider population, it enables the collection of a sufficient volume of data within practical constraints.</w:t>
      </w:r>
    </w:p>
    <w:p w14:paraId="462454FB" w14:textId="77777777" w:rsidR="008031F1" w:rsidRDefault="008031F1" w:rsidP="003F0EA7">
      <w:pPr>
        <w:spacing w:line="480" w:lineRule="auto"/>
        <w:jc w:val="both"/>
        <w:rPr>
          <w:rFonts w:ascii="Arial" w:hAnsi="Arial" w:cs="Arial"/>
          <w:sz w:val="24"/>
          <w:szCs w:val="24"/>
        </w:rPr>
      </w:pPr>
    </w:p>
    <w:p w14:paraId="49AD2817" w14:textId="554D3D71" w:rsidR="00D737FF" w:rsidRDefault="00D737FF" w:rsidP="003F0EA7">
      <w:pPr>
        <w:spacing w:line="480" w:lineRule="auto"/>
        <w:jc w:val="both"/>
        <w:rPr>
          <w:rFonts w:ascii="Arial" w:hAnsi="Arial" w:cs="Arial"/>
          <w:sz w:val="24"/>
          <w:szCs w:val="24"/>
        </w:rPr>
      </w:pPr>
      <w:r w:rsidRPr="00D737FF">
        <w:rPr>
          <w:rFonts w:ascii="Arial" w:hAnsi="Arial" w:cs="Arial"/>
          <w:sz w:val="24"/>
          <w:szCs w:val="24"/>
        </w:rPr>
        <w:t xml:space="preserve">The questionnaire will be created and hosted using Microsoft Forms. It will be distributed via social media platforms, email sharing and word of mouth. Data collection will take place over a period of approximately one month, with the aim of obtaining a minimum of 100 responses. It is anticipated that the majority of </w:t>
      </w:r>
      <w:r w:rsidRPr="00D737FF">
        <w:rPr>
          <w:rFonts w:ascii="Arial" w:hAnsi="Arial" w:cs="Arial"/>
          <w:sz w:val="24"/>
          <w:szCs w:val="24"/>
        </w:rPr>
        <w:lastRenderedPageBreak/>
        <w:t>respondents, estimated at around 90 per cent, will be based in Wales due to the researcher’s personal and social networks.</w:t>
      </w:r>
    </w:p>
    <w:p w14:paraId="549D0CE8" w14:textId="77777777" w:rsidR="008031F1" w:rsidRPr="003F0EA7" w:rsidRDefault="008031F1" w:rsidP="003F0EA7">
      <w:pPr>
        <w:spacing w:line="480" w:lineRule="auto"/>
        <w:jc w:val="both"/>
        <w:rPr>
          <w:rFonts w:ascii="Arial" w:hAnsi="Arial" w:cs="Arial"/>
          <w:sz w:val="24"/>
          <w:szCs w:val="24"/>
        </w:rPr>
      </w:pPr>
    </w:p>
    <w:p w14:paraId="35BABAA4" w14:textId="3CC02F17" w:rsidR="003F0EA7" w:rsidRDefault="00AC1464" w:rsidP="003F0EA7">
      <w:pPr>
        <w:spacing w:line="480" w:lineRule="auto"/>
        <w:jc w:val="both"/>
        <w:rPr>
          <w:rFonts w:ascii="Arial" w:hAnsi="Arial" w:cs="Arial"/>
          <w:sz w:val="24"/>
          <w:szCs w:val="24"/>
        </w:rPr>
      </w:pPr>
      <w:r w:rsidRPr="00AC1464">
        <w:rPr>
          <w:rFonts w:ascii="Arial" w:hAnsi="Arial" w:cs="Arial"/>
          <w:sz w:val="24"/>
          <w:szCs w:val="24"/>
        </w:rPr>
        <w:t xml:space="preserve">A range of question types </w:t>
      </w:r>
      <w:r>
        <w:rPr>
          <w:rFonts w:ascii="Arial" w:hAnsi="Arial" w:cs="Arial"/>
          <w:sz w:val="24"/>
          <w:szCs w:val="24"/>
        </w:rPr>
        <w:t>will be</w:t>
      </w:r>
      <w:r w:rsidRPr="00AC1464">
        <w:rPr>
          <w:rFonts w:ascii="Arial" w:hAnsi="Arial" w:cs="Arial"/>
          <w:sz w:val="24"/>
          <w:szCs w:val="24"/>
        </w:rPr>
        <w:t xml:space="preserve"> used, including rating-scale questions, ranking questions, closed questions and open-ended questions.</w:t>
      </w:r>
      <w:r>
        <w:rPr>
          <w:rFonts w:ascii="Arial" w:hAnsi="Arial" w:cs="Arial"/>
          <w:sz w:val="24"/>
          <w:szCs w:val="24"/>
        </w:rPr>
        <w:t xml:space="preserve"> </w:t>
      </w:r>
      <w:r w:rsidR="003F0EA7" w:rsidRPr="003F0EA7">
        <w:rPr>
          <w:rFonts w:ascii="Arial" w:hAnsi="Arial" w:cs="Arial"/>
          <w:sz w:val="24"/>
          <w:szCs w:val="24"/>
        </w:rPr>
        <w:t>This combination supports the mixed-methods strategy by producing both quantitative and qualitative data (Creswell and Clark, 2025). The questionnaire is structured to align with the research objectives, with questions exploring confidence in local policing, willingness to report crime, visibility of neighbourhood officers, contact with neighbourhood policing teams, and perceptions of trust and engagement.</w:t>
      </w:r>
    </w:p>
    <w:p w14:paraId="7FF23275" w14:textId="77777777" w:rsidR="006D1E47" w:rsidRPr="003F0EA7" w:rsidRDefault="006D1E47" w:rsidP="003F0EA7">
      <w:pPr>
        <w:spacing w:line="480" w:lineRule="auto"/>
        <w:jc w:val="both"/>
        <w:rPr>
          <w:rFonts w:ascii="Arial" w:hAnsi="Arial" w:cs="Arial"/>
          <w:sz w:val="24"/>
          <w:szCs w:val="24"/>
        </w:rPr>
      </w:pPr>
    </w:p>
    <w:p w14:paraId="5796E3D8" w14:textId="720ABB19" w:rsidR="003F0EA7" w:rsidRPr="003F0EA7" w:rsidRDefault="003F0EA7" w:rsidP="003F0EA7">
      <w:pPr>
        <w:spacing w:line="480" w:lineRule="auto"/>
        <w:jc w:val="both"/>
        <w:rPr>
          <w:rFonts w:ascii="Arial" w:hAnsi="Arial" w:cs="Arial"/>
          <w:sz w:val="24"/>
          <w:szCs w:val="24"/>
        </w:rPr>
      </w:pPr>
      <w:r w:rsidRPr="003F0EA7">
        <w:rPr>
          <w:rFonts w:ascii="Arial" w:hAnsi="Arial" w:cs="Arial"/>
          <w:sz w:val="24"/>
          <w:szCs w:val="24"/>
        </w:rPr>
        <w:t xml:space="preserve">Ethical considerations were central to the data collection process. Participation is voluntary, and respondents </w:t>
      </w:r>
      <w:r w:rsidR="00EC5D4D">
        <w:rPr>
          <w:rFonts w:ascii="Arial" w:hAnsi="Arial" w:cs="Arial"/>
          <w:sz w:val="24"/>
          <w:szCs w:val="24"/>
        </w:rPr>
        <w:t>will be</w:t>
      </w:r>
      <w:r w:rsidRPr="003F0EA7">
        <w:rPr>
          <w:rFonts w:ascii="Arial" w:hAnsi="Arial" w:cs="Arial"/>
          <w:sz w:val="24"/>
          <w:szCs w:val="24"/>
        </w:rPr>
        <w:t xml:space="preserve"> informed at the outset that they must be aged 18 or over. An information statement explains the purpose of the research, how the data will be used, and the approximate completion time. No identifying information is automatically collected, ensuring anonymity. Participants are informed of their right to withdraw from the study at any time prior to submitting their responses by closing the questionnaire. These measures reflect ethical best practice in social research and support honest participation (Bottomley, </w:t>
      </w:r>
      <w:proofErr w:type="spellStart"/>
      <w:r w:rsidRPr="003F0EA7">
        <w:rPr>
          <w:rFonts w:ascii="Arial" w:hAnsi="Arial" w:cs="Arial"/>
          <w:sz w:val="24"/>
          <w:szCs w:val="24"/>
        </w:rPr>
        <w:t>Pryjmachuk</w:t>
      </w:r>
      <w:proofErr w:type="spellEnd"/>
      <w:r w:rsidRPr="003F0EA7">
        <w:rPr>
          <w:rFonts w:ascii="Arial" w:hAnsi="Arial" w:cs="Arial"/>
          <w:sz w:val="24"/>
          <w:szCs w:val="24"/>
        </w:rPr>
        <w:t xml:space="preserve"> and Wright, 2020).</w:t>
      </w:r>
    </w:p>
    <w:p w14:paraId="2868371C" w14:textId="77777777" w:rsidR="00FE5CB0" w:rsidRPr="003E5815" w:rsidRDefault="00FE5CB0" w:rsidP="004953A5">
      <w:pPr>
        <w:jc w:val="both"/>
        <w:rPr>
          <w:rFonts w:ascii="Arial" w:hAnsi="Arial" w:cs="Arial"/>
          <w:sz w:val="28"/>
          <w:szCs w:val="28"/>
        </w:rPr>
      </w:pPr>
    </w:p>
    <w:p w14:paraId="3B917F72" w14:textId="33FE0D15" w:rsidR="00FE5CB0" w:rsidRDefault="00FE5CB0" w:rsidP="004953A5">
      <w:pPr>
        <w:jc w:val="both"/>
        <w:rPr>
          <w:rFonts w:ascii="Arial" w:hAnsi="Arial" w:cs="Arial"/>
          <w:sz w:val="28"/>
          <w:szCs w:val="28"/>
        </w:rPr>
      </w:pPr>
      <w:r w:rsidRPr="003E5815">
        <w:rPr>
          <w:rFonts w:ascii="Arial" w:hAnsi="Arial" w:cs="Arial"/>
          <w:sz w:val="28"/>
          <w:szCs w:val="28"/>
        </w:rPr>
        <w:t xml:space="preserve">3.4 Data </w:t>
      </w:r>
      <w:r w:rsidR="00CC7433" w:rsidRPr="003E5815">
        <w:rPr>
          <w:rFonts w:ascii="Arial" w:hAnsi="Arial" w:cs="Arial"/>
          <w:sz w:val="28"/>
          <w:szCs w:val="28"/>
        </w:rPr>
        <w:t>A</w:t>
      </w:r>
      <w:r w:rsidRPr="003E5815">
        <w:rPr>
          <w:rFonts w:ascii="Arial" w:hAnsi="Arial" w:cs="Arial"/>
          <w:sz w:val="28"/>
          <w:szCs w:val="28"/>
        </w:rPr>
        <w:t>nalysis</w:t>
      </w:r>
    </w:p>
    <w:p w14:paraId="5B0CF048" w14:textId="77777777" w:rsidR="004953A5" w:rsidRPr="003E5815" w:rsidRDefault="004953A5" w:rsidP="00FE5CB0">
      <w:pPr>
        <w:spacing w:line="480" w:lineRule="auto"/>
        <w:jc w:val="both"/>
        <w:rPr>
          <w:rFonts w:ascii="Arial" w:hAnsi="Arial" w:cs="Arial"/>
          <w:sz w:val="28"/>
          <w:szCs w:val="28"/>
        </w:rPr>
      </w:pPr>
    </w:p>
    <w:p w14:paraId="236024B9" w14:textId="369D6A41" w:rsidR="0048650E" w:rsidRDefault="0048650E" w:rsidP="00147F48">
      <w:pPr>
        <w:spacing w:line="480" w:lineRule="auto"/>
        <w:jc w:val="both"/>
        <w:rPr>
          <w:rFonts w:ascii="Arial" w:hAnsi="Arial" w:cs="Arial"/>
          <w:sz w:val="24"/>
          <w:szCs w:val="24"/>
        </w:rPr>
      </w:pPr>
      <w:r w:rsidRPr="0048650E">
        <w:rPr>
          <w:rFonts w:ascii="Arial" w:hAnsi="Arial" w:cs="Arial"/>
          <w:sz w:val="24"/>
          <w:szCs w:val="24"/>
        </w:rPr>
        <w:t>Once data collection is complete, Microsoft Forms will be used to collate responses and automatically generate graphs and charts. These visual outputs will be used to present quantitative findings in the following chapter, allowing key trends in public perceptions of community policing to be clearly illustrated.</w:t>
      </w:r>
    </w:p>
    <w:p w14:paraId="4AF14D98" w14:textId="77777777" w:rsidR="006D1E47" w:rsidRDefault="006D1E47" w:rsidP="00147F48">
      <w:pPr>
        <w:spacing w:line="480" w:lineRule="auto"/>
        <w:jc w:val="both"/>
        <w:rPr>
          <w:rFonts w:ascii="Arial" w:hAnsi="Arial" w:cs="Arial"/>
          <w:sz w:val="24"/>
          <w:szCs w:val="24"/>
        </w:rPr>
      </w:pPr>
    </w:p>
    <w:p w14:paraId="7191AD49" w14:textId="18751DEA" w:rsidR="00147F48" w:rsidRDefault="00A96162" w:rsidP="00147F48">
      <w:pPr>
        <w:spacing w:line="480" w:lineRule="auto"/>
        <w:jc w:val="both"/>
        <w:rPr>
          <w:rFonts w:ascii="Arial" w:hAnsi="Arial" w:cs="Arial"/>
          <w:sz w:val="24"/>
          <w:szCs w:val="24"/>
        </w:rPr>
      </w:pPr>
      <w:r w:rsidRPr="00A96162">
        <w:rPr>
          <w:rFonts w:ascii="Arial" w:hAnsi="Arial" w:cs="Arial"/>
          <w:sz w:val="24"/>
          <w:szCs w:val="24"/>
        </w:rPr>
        <w:t>Quantitative data generated through closed-ended questions and rating-scale items are analysed using descriptive statistical techniques.</w:t>
      </w:r>
      <w:r>
        <w:rPr>
          <w:rFonts w:ascii="Arial" w:hAnsi="Arial" w:cs="Arial"/>
          <w:sz w:val="24"/>
          <w:szCs w:val="24"/>
        </w:rPr>
        <w:t xml:space="preserve"> </w:t>
      </w:r>
      <w:r w:rsidR="00542115" w:rsidRPr="00542115">
        <w:rPr>
          <w:rFonts w:ascii="Arial" w:hAnsi="Arial" w:cs="Arial"/>
          <w:sz w:val="24"/>
          <w:szCs w:val="24"/>
        </w:rPr>
        <w:t>Responses are exported into spreadsheet software for organisation and analysis.</w:t>
      </w:r>
      <w:r w:rsidR="00542115">
        <w:rPr>
          <w:rFonts w:ascii="Arial" w:hAnsi="Arial" w:cs="Arial"/>
          <w:sz w:val="24"/>
          <w:szCs w:val="24"/>
        </w:rPr>
        <w:t xml:space="preserve"> </w:t>
      </w:r>
      <w:r w:rsidR="00147F48" w:rsidRPr="00147F48">
        <w:rPr>
          <w:rFonts w:ascii="Arial" w:hAnsi="Arial" w:cs="Arial"/>
          <w:sz w:val="24"/>
          <w:szCs w:val="24"/>
        </w:rPr>
        <w:t>Frequencies and percentages are used to summarise participant responses, while measures of central tendency, such as averages, are used where appropriate to identify overall trends.</w:t>
      </w:r>
    </w:p>
    <w:p w14:paraId="194ED241" w14:textId="77777777" w:rsidR="00125CD3" w:rsidRPr="00147F48" w:rsidRDefault="00125CD3" w:rsidP="00147F48">
      <w:pPr>
        <w:spacing w:line="480" w:lineRule="auto"/>
        <w:jc w:val="both"/>
        <w:rPr>
          <w:rFonts w:ascii="Arial" w:hAnsi="Arial" w:cs="Arial"/>
          <w:sz w:val="24"/>
          <w:szCs w:val="24"/>
        </w:rPr>
      </w:pPr>
    </w:p>
    <w:p w14:paraId="7CB1B470" w14:textId="26544E68" w:rsidR="00147F48" w:rsidRDefault="00147F48" w:rsidP="00147F48">
      <w:pPr>
        <w:spacing w:line="480" w:lineRule="auto"/>
        <w:jc w:val="both"/>
        <w:rPr>
          <w:rFonts w:ascii="Arial" w:hAnsi="Arial" w:cs="Arial"/>
          <w:sz w:val="24"/>
          <w:szCs w:val="24"/>
        </w:rPr>
      </w:pPr>
      <w:r w:rsidRPr="00147F48">
        <w:rPr>
          <w:rFonts w:ascii="Arial" w:hAnsi="Arial" w:cs="Arial"/>
          <w:sz w:val="24"/>
          <w:szCs w:val="24"/>
        </w:rPr>
        <w:t>Descriptive statistics are suitable for this study as the research does not aim to establish causal relationships or test hypotheses, but rather to explore patterns in public perceptions of community policing, confidence and trust in the police (</w:t>
      </w:r>
      <w:proofErr w:type="spellStart"/>
      <w:r w:rsidRPr="00147F48">
        <w:rPr>
          <w:rFonts w:ascii="Arial" w:hAnsi="Arial" w:cs="Arial"/>
          <w:sz w:val="24"/>
          <w:szCs w:val="24"/>
        </w:rPr>
        <w:t>Walliman</w:t>
      </w:r>
      <w:proofErr w:type="spellEnd"/>
      <w:r w:rsidRPr="00147F48">
        <w:rPr>
          <w:rFonts w:ascii="Arial" w:hAnsi="Arial" w:cs="Arial"/>
          <w:sz w:val="24"/>
          <w:szCs w:val="24"/>
        </w:rPr>
        <w:t>, 2021). Quantitative findings are presented using tables and charts to enhance clarity and accessibility.</w:t>
      </w:r>
      <w:r w:rsidR="0093254D">
        <w:rPr>
          <w:rFonts w:ascii="Arial" w:hAnsi="Arial" w:cs="Arial"/>
          <w:sz w:val="24"/>
          <w:szCs w:val="24"/>
        </w:rPr>
        <w:t xml:space="preserve"> </w:t>
      </w:r>
      <w:r w:rsidR="0093254D" w:rsidRPr="0093254D">
        <w:rPr>
          <w:rFonts w:ascii="Arial" w:hAnsi="Arial" w:cs="Arial"/>
          <w:sz w:val="24"/>
          <w:szCs w:val="24"/>
        </w:rPr>
        <w:t>This approach enables comparison between key variables, such as perceived police visibility and levels of trust, supporting a clearer assessment of how community policing practices relate to public confidence.</w:t>
      </w:r>
    </w:p>
    <w:p w14:paraId="2FFB266D" w14:textId="77777777" w:rsidR="006D1E47" w:rsidRPr="00147F48" w:rsidRDefault="006D1E47" w:rsidP="00147F48">
      <w:pPr>
        <w:spacing w:line="480" w:lineRule="auto"/>
        <w:jc w:val="both"/>
        <w:rPr>
          <w:rFonts w:ascii="Arial" w:hAnsi="Arial" w:cs="Arial"/>
          <w:sz w:val="24"/>
          <w:szCs w:val="24"/>
        </w:rPr>
      </w:pPr>
    </w:p>
    <w:p w14:paraId="486434AF" w14:textId="77777777" w:rsidR="00147F48" w:rsidRDefault="00147F48" w:rsidP="00147F48">
      <w:pPr>
        <w:spacing w:line="480" w:lineRule="auto"/>
        <w:jc w:val="both"/>
        <w:rPr>
          <w:rFonts w:ascii="Arial" w:hAnsi="Arial" w:cs="Arial"/>
          <w:sz w:val="24"/>
          <w:szCs w:val="24"/>
        </w:rPr>
      </w:pPr>
      <w:r w:rsidRPr="00147F48">
        <w:rPr>
          <w:rFonts w:ascii="Arial" w:hAnsi="Arial" w:cs="Arial"/>
          <w:sz w:val="24"/>
          <w:szCs w:val="24"/>
        </w:rPr>
        <w:t>Qualitative data obtained from open-ended questionnaire responses are analysed using thematic analysis, following the approach outlined by Braun and Clarke (2021). This method provides a systematic framework for identifying patterns and themes within qualitative data while remaining flexible enough to capture nuanced perspectives. The process involves familiarisation with the data, the generation of initial codes, and the grouping of these codes into broader themes such as visibility, communication, resource constraints and perceived effectiveness of community policing.</w:t>
      </w:r>
    </w:p>
    <w:p w14:paraId="524B753C" w14:textId="77777777" w:rsidR="00C5614D" w:rsidRPr="00147F48" w:rsidRDefault="00C5614D" w:rsidP="00147F48">
      <w:pPr>
        <w:spacing w:line="480" w:lineRule="auto"/>
        <w:jc w:val="both"/>
        <w:rPr>
          <w:rFonts w:ascii="Arial" w:hAnsi="Arial" w:cs="Arial"/>
          <w:sz w:val="24"/>
          <w:szCs w:val="24"/>
        </w:rPr>
      </w:pPr>
    </w:p>
    <w:p w14:paraId="4745EB20" w14:textId="77777777" w:rsidR="00147F48" w:rsidRPr="00147F48" w:rsidRDefault="00147F48" w:rsidP="00147F48">
      <w:pPr>
        <w:spacing w:line="480" w:lineRule="auto"/>
        <w:jc w:val="both"/>
        <w:rPr>
          <w:rFonts w:ascii="Arial" w:hAnsi="Arial" w:cs="Arial"/>
          <w:sz w:val="24"/>
          <w:szCs w:val="24"/>
        </w:rPr>
      </w:pPr>
      <w:r w:rsidRPr="00147F48">
        <w:rPr>
          <w:rFonts w:ascii="Arial" w:hAnsi="Arial" w:cs="Arial"/>
          <w:sz w:val="24"/>
          <w:szCs w:val="24"/>
        </w:rPr>
        <w:lastRenderedPageBreak/>
        <w:t>Thematic analysis is appropriate for this study as it allows participants to articulate their experiences and perceptions in their own words, adding depth and context to the quantitative findings (Flick, 2023). Integrating qualitative themes with quantitative trends strengthens the analysis by enabling triangulation, thereby enhancing the credibility of the research outcomes (Hitchcock and Onwuegbuzie, 2022).</w:t>
      </w:r>
    </w:p>
    <w:p w14:paraId="51439A4E" w14:textId="77777777" w:rsidR="00FE5CB0" w:rsidRPr="00973B77" w:rsidRDefault="00FE5CB0" w:rsidP="002B6D7D">
      <w:pPr>
        <w:jc w:val="both"/>
        <w:rPr>
          <w:rFonts w:ascii="Arial" w:hAnsi="Arial" w:cs="Arial"/>
          <w:sz w:val="24"/>
          <w:szCs w:val="24"/>
        </w:rPr>
      </w:pPr>
    </w:p>
    <w:p w14:paraId="6B486B61" w14:textId="6CDEDDC8" w:rsidR="004953A5" w:rsidRDefault="00FE5CB0" w:rsidP="002B6D7D">
      <w:pPr>
        <w:jc w:val="both"/>
        <w:rPr>
          <w:rFonts w:ascii="Arial" w:hAnsi="Arial" w:cs="Arial"/>
          <w:sz w:val="28"/>
          <w:szCs w:val="28"/>
        </w:rPr>
      </w:pPr>
      <w:r w:rsidRPr="003E5815">
        <w:rPr>
          <w:rFonts w:ascii="Arial" w:hAnsi="Arial" w:cs="Arial"/>
          <w:sz w:val="28"/>
          <w:szCs w:val="28"/>
        </w:rPr>
        <w:t>3.5 Limitations</w:t>
      </w:r>
    </w:p>
    <w:p w14:paraId="6785683C" w14:textId="77777777" w:rsidR="002B6D7D" w:rsidRPr="003E5815" w:rsidRDefault="002B6D7D" w:rsidP="00FE5CB0">
      <w:pPr>
        <w:spacing w:line="480" w:lineRule="auto"/>
        <w:jc w:val="both"/>
        <w:rPr>
          <w:rFonts w:ascii="Arial" w:hAnsi="Arial" w:cs="Arial"/>
          <w:sz w:val="28"/>
          <w:szCs w:val="28"/>
        </w:rPr>
      </w:pPr>
    </w:p>
    <w:p w14:paraId="66C135FD" w14:textId="77777777" w:rsidR="00094418" w:rsidRDefault="00094418" w:rsidP="00094418">
      <w:pPr>
        <w:spacing w:line="480" w:lineRule="auto"/>
        <w:jc w:val="both"/>
        <w:rPr>
          <w:rFonts w:ascii="Arial" w:hAnsi="Arial" w:cs="Arial"/>
          <w:sz w:val="24"/>
          <w:szCs w:val="24"/>
        </w:rPr>
      </w:pPr>
      <w:r w:rsidRPr="00094418">
        <w:rPr>
          <w:rFonts w:ascii="Arial" w:hAnsi="Arial" w:cs="Arial"/>
          <w:sz w:val="24"/>
          <w:szCs w:val="24"/>
        </w:rPr>
        <w:t>As with all research, this study is subject to several limitations. The use of convenience sampling limits the generalisability of the findings, as the sample may not be representative of the wider UK population. Participants who choose to engage with the questionnaire may hold particularly strong views about policing, which may introduce response bias. Additionally, reliance on self-reported data means that responses may be influenced by recent experiences, media coverage or personal perceptions rather than long-term attitudes.</w:t>
      </w:r>
    </w:p>
    <w:p w14:paraId="4F28052B" w14:textId="77777777" w:rsidR="00C5614D" w:rsidRDefault="00C5614D" w:rsidP="00094418">
      <w:pPr>
        <w:spacing w:line="480" w:lineRule="auto"/>
        <w:jc w:val="both"/>
        <w:rPr>
          <w:rFonts w:ascii="Arial" w:hAnsi="Arial" w:cs="Arial"/>
          <w:sz w:val="24"/>
          <w:szCs w:val="24"/>
        </w:rPr>
      </w:pPr>
    </w:p>
    <w:p w14:paraId="1D412B6A" w14:textId="3C83DBB3" w:rsidR="00094418" w:rsidRDefault="00DE64A8" w:rsidP="00094418">
      <w:pPr>
        <w:spacing w:line="480" w:lineRule="auto"/>
        <w:jc w:val="both"/>
        <w:rPr>
          <w:rFonts w:ascii="Arial" w:hAnsi="Arial" w:cs="Arial"/>
          <w:sz w:val="24"/>
          <w:szCs w:val="24"/>
        </w:rPr>
      </w:pPr>
      <w:r w:rsidRPr="00DE64A8">
        <w:rPr>
          <w:rFonts w:ascii="Arial" w:hAnsi="Arial" w:cs="Arial"/>
          <w:sz w:val="24"/>
          <w:szCs w:val="24"/>
        </w:rPr>
        <w:t xml:space="preserve">A key limitation of this study is the researcher’s limited social reach outside Wales, which is likely to result in a geographically concentrated sample. </w:t>
      </w:r>
      <w:r w:rsidR="00392E07" w:rsidRPr="00392E07">
        <w:rPr>
          <w:rFonts w:ascii="Arial" w:hAnsi="Arial" w:cs="Arial"/>
          <w:sz w:val="24"/>
          <w:szCs w:val="24"/>
        </w:rPr>
        <w:t>While this regional concentration limits national generalisability, it also provides more context-specific insight into community policing within Wales, which is valuable given ongoing debates around neighbourhood policing visibility and resource allocation.</w:t>
      </w:r>
      <w:r w:rsidR="00392E07">
        <w:rPr>
          <w:rFonts w:ascii="Arial" w:hAnsi="Arial" w:cs="Arial"/>
          <w:sz w:val="24"/>
          <w:szCs w:val="24"/>
        </w:rPr>
        <w:t xml:space="preserve"> </w:t>
      </w:r>
      <w:r w:rsidRPr="00DE64A8">
        <w:rPr>
          <w:rFonts w:ascii="Arial" w:hAnsi="Arial" w:cs="Arial"/>
          <w:sz w:val="24"/>
          <w:szCs w:val="24"/>
        </w:rPr>
        <w:t>To mitigate this, participants are encouraged to share the questionnaire with friends and family where possible in order to widen its reach.</w:t>
      </w:r>
      <w:r w:rsidR="00E23C11">
        <w:rPr>
          <w:rFonts w:ascii="Arial" w:hAnsi="Arial" w:cs="Arial"/>
          <w:sz w:val="24"/>
          <w:szCs w:val="24"/>
        </w:rPr>
        <w:t xml:space="preserve"> </w:t>
      </w:r>
      <w:r w:rsidR="0096710A" w:rsidRPr="0096710A">
        <w:rPr>
          <w:rFonts w:ascii="Arial" w:hAnsi="Arial" w:cs="Arial"/>
          <w:sz w:val="24"/>
          <w:szCs w:val="24"/>
        </w:rPr>
        <w:t>Additionally, online questionnaires may exclude individuals with limited access to digital platforms.</w:t>
      </w:r>
    </w:p>
    <w:p w14:paraId="4EE28617" w14:textId="77777777" w:rsidR="00C5614D" w:rsidRPr="00094418" w:rsidRDefault="00C5614D" w:rsidP="00094418">
      <w:pPr>
        <w:spacing w:line="480" w:lineRule="auto"/>
        <w:jc w:val="both"/>
        <w:rPr>
          <w:rFonts w:ascii="Arial" w:hAnsi="Arial" w:cs="Arial"/>
          <w:sz w:val="24"/>
          <w:szCs w:val="24"/>
        </w:rPr>
      </w:pPr>
    </w:p>
    <w:p w14:paraId="682B48B0" w14:textId="77777777" w:rsidR="00094418" w:rsidRDefault="00094418" w:rsidP="00094418">
      <w:pPr>
        <w:spacing w:line="480" w:lineRule="auto"/>
        <w:jc w:val="both"/>
        <w:rPr>
          <w:rFonts w:ascii="Arial" w:hAnsi="Arial" w:cs="Arial"/>
          <w:sz w:val="24"/>
          <w:szCs w:val="24"/>
        </w:rPr>
      </w:pPr>
      <w:r w:rsidRPr="00094418">
        <w:rPr>
          <w:rFonts w:ascii="Arial" w:hAnsi="Arial" w:cs="Arial"/>
          <w:sz w:val="24"/>
          <w:szCs w:val="24"/>
        </w:rPr>
        <w:lastRenderedPageBreak/>
        <w:t>To mitigate these limitations, the questionnaire was designed using clear and neutral language to reduce misinterpretation and minimise leading responses. The inclusion of open-ended questions allows participants to clarify and expand upon their answers, reducing the risk of oversimplification. Distribution across multiple platforms helped to maximise reach, and a target of at least 100 responses was set to enhance the robustness of the quantitative data.</w:t>
      </w:r>
    </w:p>
    <w:p w14:paraId="01564A3F" w14:textId="77777777" w:rsidR="00C5614D" w:rsidRPr="00094418" w:rsidRDefault="00C5614D" w:rsidP="00094418">
      <w:pPr>
        <w:spacing w:line="480" w:lineRule="auto"/>
        <w:jc w:val="both"/>
        <w:rPr>
          <w:rFonts w:ascii="Arial" w:hAnsi="Arial" w:cs="Arial"/>
          <w:sz w:val="24"/>
          <w:szCs w:val="24"/>
        </w:rPr>
      </w:pPr>
    </w:p>
    <w:p w14:paraId="5F907734" w14:textId="494B8585" w:rsidR="00094418" w:rsidRPr="00094418" w:rsidRDefault="00094418" w:rsidP="00094418">
      <w:pPr>
        <w:spacing w:line="480" w:lineRule="auto"/>
        <w:jc w:val="both"/>
        <w:rPr>
          <w:rFonts w:ascii="Arial" w:hAnsi="Arial" w:cs="Arial"/>
          <w:sz w:val="24"/>
          <w:szCs w:val="24"/>
        </w:rPr>
      </w:pPr>
      <w:r w:rsidRPr="00094418">
        <w:rPr>
          <w:rFonts w:ascii="Arial" w:hAnsi="Arial" w:cs="Arial"/>
          <w:sz w:val="24"/>
          <w:szCs w:val="24"/>
        </w:rPr>
        <w:t xml:space="preserve">Despite these limitations, the research remains reliable due to the consistent structure of the questionnaire, the anonymity afforded to participants, and the use of established analytical methods. Findings are interpreted in relation to existing academic literature on community policing and public trust, strengthening the credibility of the conclusions drawn (Denzin et </w:t>
      </w:r>
      <w:r w:rsidRPr="00D8020E">
        <w:rPr>
          <w:rFonts w:ascii="Arial" w:hAnsi="Arial" w:cs="Arial"/>
          <w:sz w:val="24"/>
          <w:szCs w:val="24"/>
        </w:rPr>
        <w:t>al, 2023).</w:t>
      </w:r>
    </w:p>
    <w:p w14:paraId="29FF2093" w14:textId="77777777" w:rsidR="00FE5CB0" w:rsidRPr="00094418" w:rsidRDefault="00FE5CB0" w:rsidP="00FE5CB0">
      <w:pPr>
        <w:spacing w:line="480" w:lineRule="auto"/>
        <w:jc w:val="both"/>
        <w:rPr>
          <w:rFonts w:ascii="Arial" w:hAnsi="Arial" w:cs="Arial"/>
          <w:sz w:val="24"/>
          <w:szCs w:val="24"/>
        </w:rPr>
      </w:pPr>
    </w:p>
    <w:p w14:paraId="48E72864" w14:textId="77777777" w:rsidR="00C5614D" w:rsidRDefault="00C5614D" w:rsidP="003347BC">
      <w:pPr>
        <w:spacing w:line="480" w:lineRule="auto"/>
        <w:jc w:val="both"/>
        <w:rPr>
          <w:rFonts w:ascii="Arial" w:hAnsi="Arial" w:cs="Arial"/>
          <w:sz w:val="28"/>
          <w:szCs w:val="28"/>
        </w:rPr>
      </w:pPr>
    </w:p>
    <w:p w14:paraId="7A783EE6" w14:textId="77777777" w:rsidR="003F4516" w:rsidRDefault="003F4516" w:rsidP="003347BC">
      <w:pPr>
        <w:spacing w:line="480" w:lineRule="auto"/>
        <w:jc w:val="both"/>
        <w:rPr>
          <w:rFonts w:ascii="Arial" w:hAnsi="Arial" w:cs="Arial"/>
          <w:sz w:val="28"/>
          <w:szCs w:val="28"/>
        </w:rPr>
      </w:pPr>
    </w:p>
    <w:p w14:paraId="56926B6B" w14:textId="77777777" w:rsidR="00C5614D" w:rsidRDefault="00C5614D" w:rsidP="003347BC">
      <w:pPr>
        <w:spacing w:line="480" w:lineRule="auto"/>
        <w:jc w:val="both"/>
        <w:rPr>
          <w:rFonts w:ascii="Arial" w:hAnsi="Arial" w:cs="Arial"/>
          <w:sz w:val="28"/>
          <w:szCs w:val="28"/>
        </w:rPr>
      </w:pPr>
    </w:p>
    <w:p w14:paraId="0323EEC8" w14:textId="77777777" w:rsidR="0096710A" w:rsidRDefault="0096710A" w:rsidP="003347BC">
      <w:pPr>
        <w:spacing w:line="480" w:lineRule="auto"/>
        <w:jc w:val="both"/>
        <w:rPr>
          <w:rFonts w:ascii="Arial" w:hAnsi="Arial" w:cs="Arial"/>
          <w:sz w:val="28"/>
          <w:szCs w:val="28"/>
        </w:rPr>
      </w:pPr>
    </w:p>
    <w:p w14:paraId="60B8507F" w14:textId="77777777" w:rsidR="0096710A" w:rsidRDefault="0096710A" w:rsidP="003347BC">
      <w:pPr>
        <w:spacing w:line="480" w:lineRule="auto"/>
        <w:jc w:val="both"/>
        <w:rPr>
          <w:rFonts w:ascii="Arial" w:hAnsi="Arial" w:cs="Arial"/>
          <w:sz w:val="28"/>
          <w:szCs w:val="28"/>
        </w:rPr>
      </w:pPr>
    </w:p>
    <w:p w14:paraId="67103D2D" w14:textId="77777777" w:rsidR="0096710A" w:rsidRDefault="0096710A" w:rsidP="003347BC">
      <w:pPr>
        <w:spacing w:line="480" w:lineRule="auto"/>
        <w:jc w:val="both"/>
        <w:rPr>
          <w:rFonts w:ascii="Arial" w:hAnsi="Arial" w:cs="Arial"/>
          <w:sz w:val="28"/>
          <w:szCs w:val="28"/>
        </w:rPr>
      </w:pPr>
    </w:p>
    <w:p w14:paraId="4A1A2B9A" w14:textId="77777777" w:rsidR="0096710A" w:rsidRDefault="0096710A" w:rsidP="003347BC">
      <w:pPr>
        <w:spacing w:line="480" w:lineRule="auto"/>
        <w:jc w:val="both"/>
        <w:rPr>
          <w:rFonts w:ascii="Arial" w:hAnsi="Arial" w:cs="Arial"/>
          <w:sz w:val="28"/>
          <w:szCs w:val="28"/>
        </w:rPr>
      </w:pPr>
    </w:p>
    <w:p w14:paraId="63D8B3DC" w14:textId="77777777" w:rsidR="0096710A" w:rsidRDefault="0096710A" w:rsidP="003347BC">
      <w:pPr>
        <w:spacing w:line="480" w:lineRule="auto"/>
        <w:jc w:val="both"/>
        <w:rPr>
          <w:rFonts w:ascii="Arial" w:hAnsi="Arial" w:cs="Arial"/>
          <w:sz w:val="28"/>
          <w:szCs w:val="28"/>
        </w:rPr>
      </w:pPr>
    </w:p>
    <w:p w14:paraId="2B0D1520" w14:textId="77777777" w:rsidR="0096710A" w:rsidRDefault="0096710A" w:rsidP="003347BC">
      <w:pPr>
        <w:spacing w:line="480" w:lineRule="auto"/>
        <w:jc w:val="both"/>
        <w:rPr>
          <w:rFonts w:ascii="Arial" w:hAnsi="Arial" w:cs="Arial"/>
          <w:sz w:val="28"/>
          <w:szCs w:val="28"/>
        </w:rPr>
      </w:pPr>
    </w:p>
    <w:p w14:paraId="3BA1C61A" w14:textId="77777777" w:rsidR="0096710A" w:rsidRDefault="0096710A" w:rsidP="003347BC">
      <w:pPr>
        <w:spacing w:line="480" w:lineRule="auto"/>
        <w:jc w:val="both"/>
        <w:rPr>
          <w:rFonts w:ascii="Arial" w:hAnsi="Arial" w:cs="Arial"/>
          <w:sz w:val="28"/>
          <w:szCs w:val="28"/>
        </w:rPr>
      </w:pPr>
    </w:p>
    <w:p w14:paraId="577E5DFB" w14:textId="77777777" w:rsidR="00D84B07" w:rsidRDefault="00D84B07" w:rsidP="00D84B07">
      <w:pPr>
        <w:pStyle w:val="Heading2"/>
        <w:rPr>
          <w:rFonts w:ascii="Arial" w:hAnsi="Arial" w:cs="Arial"/>
          <w:color w:val="auto"/>
          <w:sz w:val="28"/>
          <w:szCs w:val="28"/>
          <w:u w:val="single"/>
        </w:rPr>
      </w:pPr>
      <w:r w:rsidRPr="005F63BC">
        <w:rPr>
          <w:rFonts w:ascii="Arial" w:hAnsi="Arial" w:cs="Arial"/>
          <w:color w:val="auto"/>
          <w:sz w:val="28"/>
          <w:szCs w:val="28"/>
          <w:u w:val="single"/>
        </w:rPr>
        <w:lastRenderedPageBreak/>
        <w:t xml:space="preserve">Reference List  </w:t>
      </w:r>
    </w:p>
    <w:p w14:paraId="25E850F5" w14:textId="77777777" w:rsidR="00D84B07" w:rsidRDefault="00D84B07" w:rsidP="00D84B07"/>
    <w:p w14:paraId="75BAF513" w14:textId="71FBE32A" w:rsidR="00C64CF2" w:rsidRPr="00C64CF2" w:rsidRDefault="00C64CF2" w:rsidP="00C64CF2">
      <w:pPr>
        <w:pStyle w:val="ListParagraph"/>
        <w:numPr>
          <w:ilvl w:val="0"/>
          <w:numId w:val="2"/>
        </w:numPr>
        <w:spacing w:line="360" w:lineRule="auto"/>
        <w:rPr>
          <w:rFonts w:ascii="Arial" w:hAnsi="Arial" w:cs="Arial"/>
          <w:sz w:val="24"/>
          <w:szCs w:val="24"/>
          <w:lang w:eastAsia="en-GB"/>
        </w:rPr>
      </w:pPr>
      <w:r w:rsidRPr="00C64CF2">
        <w:rPr>
          <w:rFonts w:ascii="Arial" w:hAnsi="Arial" w:cs="Arial"/>
          <w:sz w:val="24"/>
          <w:szCs w:val="24"/>
          <w:lang w:eastAsia="en-GB"/>
        </w:rPr>
        <w:t xml:space="preserve">Adu, P. and Miles, A. (2024) </w:t>
      </w:r>
      <w:r w:rsidRPr="00C64CF2">
        <w:rPr>
          <w:rFonts w:ascii="Arial" w:hAnsi="Arial" w:cs="Arial"/>
          <w:i/>
          <w:iCs/>
          <w:sz w:val="24"/>
          <w:szCs w:val="24"/>
          <w:lang w:eastAsia="en-GB"/>
        </w:rPr>
        <w:t>Dissertation research methods : a step-by-step guide to writing up your research in the social sciences</w:t>
      </w:r>
      <w:r w:rsidRPr="00C64CF2">
        <w:rPr>
          <w:rFonts w:ascii="Arial" w:hAnsi="Arial" w:cs="Arial"/>
          <w:sz w:val="24"/>
          <w:szCs w:val="24"/>
          <w:lang w:eastAsia="en-GB"/>
        </w:rPr>
        <w:t xml:space="preserve">. </w:t>
      </w:r>
      <w:r w:rsidR="0096151D">
        <w:rPr>
          <w:rFonts w:ascii="Arial" w:hAnsi="Arial" w:cs="Arial"/>
          <w:sz w:val="24"/>
          <w:szCs w:val="24"/>
          <w:lang w:eastAsia="en-GB"/>
        </w:rPr>
        <w:t>London</w:t>
      </w:r>
      <w:r w:rsidRPr="00C64CF2">
        <w:rPr>
          <w:rFonts w:ascii="Arial" w:hAnsi="Arial" w:cs="Arial"/>
          <w:sz w:val="24"/>
          <w:szCs w:val="24"/>
          <w:lang w:eastAsia="en-GB"/>
        </w:rPr>
        <w:t>: Routledge.</w:t>
      </w:r>
      <w:r w:rsidR="0096151D">
        <w:rPr>
          <w:rFonts w:ascii="Arial" w:hAnsi="Arial" w:cs="Arial"/>
          <w:sz w:val="24"/>
          <w:szCs w:val="24"/>
          <w:lang w:eastAsia="en-GB"/>
        </w:rPr>
        <w:t xml:space="preserve"> Available at: </w:t>
      </w:r>
      <w:hyperlink r:id="rId5" w:tgtFrame="_blank" w:history="1">
        <w:r w:rsidR="00390413" w:rsidRPr="00390413">
          <w:rPr>
            <w:rStyle w:val="Hyperlink"/>
            <w:rFonts w:ascii="Arial" w:hAnsi="Arial" w:cs="Arial"/>
            <w:sz w:val="24"/>
            <w:szCs w:val="24"/>
            <w:lang w:eastAsia="en-GB"/>
          </w:rPr>
          <w:t>https://doi.org/10.4324/9781003268154</w:t>
        </w:r>
      </w:hyperlink>
      <w:r w:rsidR="00390413">
        <w:rPr>
          <w:rFonts w:ascii="Arial" w:hAnsi="Arial" w:cs="Arial"/>
          <w:sz w:val="24"/>
          <w:szCs w:val="24"/>
          <w:lang w:eastAsia="en-GB"/>
        </w:rPr>
        <w:t xml:space="preserve">. </w:t>
      </w:r>
    </w:p>
    <w:p w14:paraId="4E6986EB" w14:textId="5BAC22AC" w:rsidR="0007274D" w:rsidRPr="00AF1724" w:rsidRDefault="0007274D" w:rsidP="00C64CF2">
      <w:pPr>
        <w:pStyle w:val="ListParagraph"/>
        <w:numPr>
          <w:ilvl w:val="0"/>
          <w:numId w:val="2"/>
        </w:numPr>
        <w:spacing w:line="360" w:lineRule="auto"/>
        <w:rPr>
          <w:rFonts w:ascii="Arial" w:hAnsi="Arial" w:cs="Arial"/>
          <w:sz w:val="24"/>
          <w:szCs w:val="24"/>
          <w:lang w:eastAsia="en-GB"/>
        </w:rPr>
      </w:pPr>
      <w:proofErr w:type="spellStart"/>
      <w:r w:rsidRPr="009100B3">
        <w:rPr>
          <w:rFonts w:ascii="Arial" w:hAnsi="Arial" w:cs="Arial"/>
          <w:sz w:val="24"/>
          <w:szCs w:val="24"/>
          <w:lang w:eastAsia="en-GB"/>
        </w:rPr>
        <w:t>Biggam</w:t>
      </w:r>
      <w:proofErr w:type="spellEnd"/>
      <w:r w:rsidRPr="009100B3">
        <w:rPr>
          <w:rFonts w:ascii="Arial" w:hAnsi="Arial" w:cs="Arial"/>
          <w:sz w:val="24"/>
          <w:szCs w:val="24"/>
          <w:lang w:eastAsia="en-GB"/>
        </w:rPr>
        <w:t xml:space="preserve">, J. (2026) </w:t>
      </w:r>
      <w:r w:rsidRPr="009100B3">
        <w:rPr>
          <w:rFonts w:ascii="Arial" w:hAnsi="Arial" w:cs="Arial"/>
          <w:i/>
          <w:iCs/>
          <w:sz w:val="24"/>
          <w:szCs w:val="24"/>
          <w:lang w:eastAsia="en-GB"/>
        </w:rPr>
        <w:t>Succeeding with your Master’s dissertation : a step-by-step handbook</w:t>
      </w:r>
      <w:r w:rsidRPr="009100B3">
        <w:rPr>
          <w:rFonts w:ascii="Arial" w:hAnsi="Arial" w:cs="Arial"/>
          <w:sz w:val="24"/>
          <w:szCs w:val="24"/>
          <w:lang w:eastAsia="en-GB"/>
        </w:rPr>
        <w:t xml:space="preserve">. </w:t>
      </w:r>
      <w:r>
        <w:rPr>
          <w:rFonts w:ascii="Arial" w:hAnsi="Arial" w:cs="Arial"/>
          <w:sz w:val="24"/>
          <w:szCs w:val="24"/>
          <w:lang w:eastAsia="en-GB"/>
        </w:rPr>
        <w:t>6</w:t>
      </w:r>
      <w:r w:rsidRPr="0007274D">
        <w:rPr>
          <w:rFonts w:ascii="Arial" w:hAnsi="Arial" w:cs="Arial"/>
          <w:sz w:val="24"/>
          <w:szCs w:val="24"/>
          <w:vertAlign w:val="superscript"/>
          <w:lang w:eastAsia="en-GB"/>
        </w:rPr>
        <w:t>th</w:t>
      </w:r>
      <w:r w:rsidRPr="009100B3">
        <w:rPr>
          <w:rFonts w:ascii="Arial" w:hAnsi="Arial" w:cs="Arial"/>
          <w:sz w:val="24"/>
          <w:szCs w:val="24"/>
          <w:lang w:eastAsia="en-GB"/>
        </w:rPr>
        <w:t xml:space="preserve"> </w:t>
      </w:r>
      <w:proofErr w:type="spellStart"/>
      <w:r w:rsidR="00236F28">
        <w:rPr>
          <w:rFonts w:ascii="Arial" w:hAnsi="Arial" w:cs="Arial"/>
          <w:sz w:val="24"/>
          <w:szCs w:val="24"/>
          <w:lang w:eastAsia="en-GB"/>
        </w:rPr>
        <w:t>edn</w:t>
      </w:r>
      <w:proofErr w:type="spellEnd"/>
      <w:r w:rsidRPr="009100B3">
        <w:rPr>
          <w:rFonts w:ascii="Arial" w:hAnsi="Arial" w:cs="Arial"/>
          <w:sz w:val="24"/>
          <w:szCs w:val="24"/>
          <w:lang w:eastAsia="en-GB"/>
        </w:rPr>
        <w:t xml:space="preserve">. Maidenhead: Open University Press. Available at: </w:t>
      </w:r>
      <w:hyperlink r:id="rId6" w:history="1">
        <w:r w:rsidRPr="00D44D3C">
          <w:rPr>
            <w:rStyle w:val="Hyperlink"/>
            <w:rFonts w:ascii="Arial" w:hAnsi="Arial" w:cs="Arial"/>
            <w:sz w:val="24"/>
            <w:szCs w:val="24"/>
            <w:lang w:eastAsia="en-GB"/>
          </w:rPr>
          <w:t>https://ezproxy.uwtsd.ac.uk/login?url=https://www.vlebooks.com/product/openreader?id=TrinityStD&amp;accId=8886856&amp;isbn=9780335253661&amp;uid=^u</w:t>
        </w:r>
      </w:hyperlink>
      <w:r w:rsidRPr="009100B3">
        <w:rPr>
          <w:rFonts w:ascii="Arial" w:hAnsi="Arial" w:cs="Arial"/>
          <w:sz w:val="24"/>
          <w:szCs w:val="24"/>
          <w:lang w:eastAsia="en-GB"/>
        </w:rPr>
        <w:t>.</w:t>
      </w:r>
      <w:r>
        <w:rPr>
          <w:rFonts w:ascii="Arial" w:hAnsi="Arial" w:cs="Arial"/>
          <w:sz w:val="24"/>
          <w:szCs w:val="24"/>
          <w:lang w:eastAsia="en-GB"/>
        </w:rPr>
        <w:t xml:space="preserve"> </w:t>
      </w:r>
    </w:p>
    <w:p w14:paraId="45FF1927" w14:textId="77777777" w:rsidR="0007274D" w:rsidRDefault="0007274D" w:rsidP="00C64CF2">
      <w:pPr>
        <w:pStyle w:val="ListParagraph"/>
        <w:numPr>
          <w:ilvl w:val="0"/>
          <w:numId w:val="2"/>
        </w:numPr>
        <w:spacing w:line="360" w:lineRule="auto"/>
        <w:rPr>
          <w:rFonts w:ascii="Arial" w:hAnsi="Arial" w:cs="Arial"/>
          <w:sz w:val="24"/>
          <w:szCs w:val="24"/>
          <w:lang w:eastAsia="en-GB"/>
        </w:rPr>
      </w:pPr>
      <w:r w:rsidRPr="003048F9">
        <w:rPr>
          <w:rFonts w:ascii="Arial" w:hAnsi="Arial" w:cs="Arial"/>
          <w:sz w:val="24"/>
          <w:szCs w:val="24"/>
          <w:lang w:eastAsia="en-GB"/>
        </w:rPr>
        <w:t>Bottomley, J, Pryjmachuk, S and Wright, M. (2020</w:t>
      </w:r>
      <w:r w:rsidRPr="00C1234D">
        <w:rPr>
          <w:rFonts w:ascii="Arial" w:hAnsi="Arial" w:cs="Arial"/>
          <w:sz w:val="24"/>
          <w:szCs w:val="24"/>
          <w:lang w:eastAsia="en-GB"/>
        </w:rPr>
        <w:t xml:space="preserve">) </w:t>
      </w:r>
      <w:r w:rsidRPr="00C1234D">
        <w:rPr>
          <w:rFonts w:ascii="Arial" w:hAnsi="Arial" w:cs="Arial"/>
          <w:i/>
          <w:iCs/>
          <w:sz w:val="24"/>
          <w:szCs w:val="24"/>
          <w:lang w:eastAsia="en-GB"/>
        </w:rPr>
        <w:t>Academic writing and referencing for your policing degree</w:t>
      </w:r>
      <w:r>
        <w:rPr>
          <w:rFonts w:ascii="Arial" w:hAnsi="Arial" w:cs="Arial"/>
          <w:sz w:val="24"/>
          <w:szCs w:val="24"/>
          <w:lang w:eastAsia="en-GB"/>
        </w:rPr>
        <w:t>.</w:t>
      </w:r>
      <w:r w:rsidRPr="00C1234D">
        <w:rPr>
          <w:rFonts w:ascii="Arial" w:hAnsi="Arial" w:cs="Arial"/>
          <w:sz w:val="24"/>
          <w:szCs w:val="24"/>
          <w:lang w:eastAsia="en-GB"/>
        </w:rPr>
        <w:t xml:space="preserve"> </w:t>
      </w:r>
      <w:r>
        <w:rPr>
          <w:rFonts w:ascii="Arial" w:hAnsi="Arial" w:cs="Arial"/>
          <w:sz w:val="24"/>
          <w:szCs w:val="24"/>
          <w:lang w:eastAsia="en-GB"/>
        </w:rPr>
        <w:t xml:space="preserve">London: Routledge. Available at: </w:t>
      </w:r>
      <w:hyperlink r:id="rId7" w:tgtFrame="_blank" w:history="1">
        <w:r w:rsidRPr="00E920B4">
          <w:rPr>
            <w:rStyle w:val="Hyperlink"/>
            <w:rFonts w:ascii="Arial" w:hAnsi="Arial" w:cs="Arial"/>
            <w:sz w:val="24"/>
            <w:szCs w:val="24"/>
            <w:lang w:eastAsia="en-GB"/>
          </w:rPr>
          <w:t>https://doi.org/10.4324/9781041054054</w:t>
        </w:r>
      </w:hyperlink>
      <w:r>
        <w:rPr>
          <w:rFonts w:ascii="Arial" w:hAnsi="Arial" w:cs="Arial"/>
          <w:sz w:val="24"/>
          <w:szCs w:val="24"/>
          <w:lang w:eastAsia="en-GB"/>
        </w:rPr>
        <w:t xml:space="preserve">. </w:t>
      </w:r>
    </w:p>
    <w:p w14:paraId="23C55EB4" w14:textId="77777777" w:rsidR="0007274D" w:rsidRPr="001235FB" w:rsidRDefault="0007274D" w:rsidP="00C64CF2">
      <w:pPr>
        <w:pStyle w:val="ListParagraph"/>
        <w:numPr>
          <w:ilvl w:val="0"/>
          <w:numId w:val="2"/>
        </w:numPr>
        <w:spacing w:line="360" w:lineRule="auto"/>
        <w:rPr>
          <w:rFonts w:ascii="Arial" w:hAnsi="Arial" w:cs="Arial"/>
          <w:sz w:val="24"/>
          <w:szCs w:val="24"/>
        </w:rPr>
      </w:pPr>
      <w:r w:rsidRPr="001235FB">
        <w:rPr>
          <w:rFonts w:ascii="Arial" w:hAnsi="Arial" w:cs="Arial"/>
          <w:sz w:val="24"/>
          <w:szCs w:val="24"/>
        </w:rPr>
        <w:t>Braun, V and Clarke, V. (202</w:t>
      </w:r>
      <w:r>
        <w:rPr>
          <w:rFonts w:ascii="Arial" w:hAnsi="Arial" w:cs="Arial"/>
          <w:sz w:val="24"/>
          <w:szCs w:val="24"/>
        </w:rPr>
        <w:t>1</w:t>
      </w:r>
      <w:r w:rsidRPr="001235FB">
        <w:rPr>
          <w:rFonts w:ascii="Arial" w:hAnsi="Arial" w:cs="Arial"/>
          <w:sz w:val="24"/>
          <w:szCs w:val="24"/>
        </w:rPr>
        <w:t>)</w:t>
      </w:r>
      <w:r w:rsidRPr="00601844">
        <w:rPr>
          <w:rFonts w:ascii="Arial" w:hAnsi="Arial" w:cs="Arial"/>
          <w:sz w:val="24"/>
          <w:szCs w:val="24"/>
        </w:rPr>
        <w:t xml:space="preserve"> </w:t>
      </w:r>
      <w:r w:rsidRPr="00601844">
        <w:rPr>
          <w:rFonts w:ascii="Arial" w:hAnsi="Arial" w:cs="Arial"/>
          <w:i/>
          <w:iCs/>
          <w:sz w:val="24"/>
          <w:szCs w:val="24"/>
        </w:rPr>
        <w:t>Thematic Analysis: A Practical Guide</w:t>
      </w:r>
      <w:r w:rsidRPr="00601844">
        <w:rPr>
          <w:rFonts w:ascii="Arial" w:hAnsi="Arial" w:cs="Arial"/>
          <w:sz w:val="24"/>
          <w:szCs w:val="24"/>
        </w:rPr>
        <w:t>. London: SAGE Publications.</w:t>
      </w:r>
      <w:r>
        <w:rPr>
          <w:rFonts w:ascii="Arial" w:hAnsi="Arial" w:cs="Arial"/>
          <w:sz w:val="24"/>
          <w:szCs w:val="24"/>
        </w:rPr>
        <w:t xml:space="preserve"> Available at: </w:t>
      </w:r>
      <w:hyperlink r:id="rId8" w:history="1">
        <w:r w:rsidRPr="00D44D3C">
          <w:rPr>
            <w:rStyle w:val="Hyperlink"/>
            <w:rFonts w:ascii="Arial" w:hAnsi="Arial" w:cs="Arial"/>
            <w:sz w:val="24"/>
            <w:szCs w:val="24"/>
          </w:rPr>
          <w:t>https://us.sagepub.com/en-us/nam/thematic-analysis/book248481</w:t>
        </w:r>
      </w:hyperlink>
      <w:r>
        <w:rPr>
          <w:rFonts w:ascii="Arial" w:hAnsi="Arial" w:cs="Arial"/>
          <w:sz w:val="24"/>
          <w:szCs w:val="24"/>
        </w:rPr>
        <w:t xml:space="preserve">. </w:t>
      </w:r>
    </w:p>
    <w:p w14:paraId="45AF16C9" w14:textId="1C6F10E6" w:rsidR="0007274D" w:rsidRPr="001235FB" w:rsidRDefault="0007274D" w:rsidP="00C64CF2">
      <w:pPr>
        <w:pStyle w:val="ListParagraph"/>
        <w:numPr>
          <w:ilvl w:val="0"/>
          <w:numId w:val="2"/>
        </w:numPr>
        <w:spacing w:line="360" w:lineRule="auto"/>
        <w:rPr>
          <w:rFonts w:ascii="Arial" w:hAnsi="Arial" w:cs="Arial"/>
          <w:sz w:val="24"/>
          <w:szCs w:val="24"/>
        </w:rPr>
      </w:pPr>
      <w:r w:rsidRPr="001235FB">
        <w:rPr>
          <w:rFonts w:ascii="Arial" w:hAnsi="Arial" w:cs="Arial"/>
          <w:sz w:val="24"/>
          <w:szCs w:val="24"/>
        </w:rPr>
        <w:t>Creswell, J and Clark, V.</w:t>
      </w:r>
      <w:r>
        <w:rPr>
          <w:rFonts w:ascii="Arial" w:hAnsi="Arial" w:cs="Arial"/>
          <w:sz w:val="24"/>
          <w:szCs w:val="24"/>
        </w:rPr>
        <w:t xml:space="preserve"> (2025) </w:t>
      </w:r>
      <w:r>
        <w:rPr>
          <w:rFonts w:ascii="Arial" w:hAnsi="Arial" w:cs="Arial"/>
          <w:i/>
          <w:iCs/>
          <w:sz w:val="24"/>
          <w:szCs w:val="24"/>
        </w:rPr>
        <w:t xml:space="preserve">Designing and Conducting Mixed Methods Research. </w:t>
      </w:r>
      <w:r>
        <w:rPr>
          <w:rFonts w:ascii="Arial" w:hAnsi="Arial" w:cs="Arial"/>
          <w:sz w:val="24"/>
          <w:szCs w:val="24"/>
        </w:rPr>
        <w:t>4</w:t>
      </w:r>
      <w:r w:rsidRPr="00012ACD">
        <w:rPr>
          <w:rFonts w:ascii="Arial" w:hAnsi="Arial" w:cs="Arial"/>
          <w:sz w:val="24"/>
          <w:szCs w:val="24"/>
          <w:vertAlign w:val="superscript"/>
        </w:rPr>
        <w:t>th</w:t>
      </w:r>
      <w:r>
        <w:rPr>
          <w:rFonts w:ascii="Arial" w:hAnsi="Arial" w:cs="Arial"/>
          <w:sz w:val="24"/>
          <w:szCs w:val="24"/>
        </w:rPr>
        <w:t xml:space="preserve"> </w:t>
      </w:r>
      <w:proofErr w:type="spellStart"/>
      <w:r w:rsidR="00236F28">
        <w:rPr>
          <w:rFonts w:ascii="Arial" w:hAnsi="Arial" w:cs="Arial"/>
          <w:sz w:val="24"/>
          <w:szCs w:val="24"/>
        </w:rPr>
        <w:t>edn</w:t>
      </w:r>
      <w:proofErr w:type="spellEnd"/>
      <w:r>
        <w:rPr>
          <w:rFonts w:ascii="Arial" w:hAnsi="Arial" w:cs="Arial"/>
          <w:sz w:val="24"/>
          <w:szCs w:val="24"/>
        </w:rPr>
        <w:t xml:space="preserve">. California: SAGE Publishing. Available at: </w:t>
      </w:r>
      <w:hyperlink r:id="rId9" w:history="1">
        <w:r w:rsidRPr="00D44D3C">
          <w:rPr>
            <w:rStyle w:val="Hyperlink"/>
            <w:rFonts w:ascii="Arial" w:hAnsi="Arial" w:cs="Arial"/>
            <w:sz w:val="24"/>
            <w:szCs w:val="24"/>
          </w:rPr>
          <w:t>https://us.sagepub.com/en-us/nam/designing-and-conducting-mixed-methods-research/book269004</w:t>
        </w:r>
      </w:hyperlink>
      <w:r>
        <w:rPr>
          <w:rFonts w:ascii="Arial" w:hAnsi="Arial" w:cs="Arial"/>
          <w:sz w:val="24"/>
          <w:szCs w:val="24"/>
        </w:rPr>
        <w:t xml:space="preserve">. </w:t>
      </w:r>
    </w:p>
    <w:p w14:paraId="42D4ACB6" w14:textId="76EFF55D" w:rsidR="0007274D" w:rsidRPr="002512EA" w:rsidRDefault="0007274D" w:rsidP="00C64CF2">
      <w:pPr>
        <w:pStyle w:val="ListParagraph"/>
        <w:numPr>
          <w:ilvl w:val="0"/>
          <w:numId w:val="2"/>
        </w:numPr>
        <w:spacing w:line="360" w:lineRule="auto"/>
        <w:rPr>
          <w:rFonts w:ascii="Arial" w:hAnsi="Arial" w:cs="Arial"/>
          <w:sz w:val="24"/>
          <w:szCs w:val="24"/>
        </w:rPr>
      </w:pPr>
      <w:r w:rsidRPr="002512EA">
        <w:rPr>
          <w:rFonts w:ascii="Arial" w:hAnsi="Arial" w:cs="Arial"/>
          <w:sz w:val="24"/>
          <w:szCs w:val="24"/>
        </w:rPr>
        <w:t xml:space="preserve">Denzin, N, Lincoln, Y, Giardina, M and Cannella, G. (2023) </w:t>
      </w:r>
      <w:r w:rsidRPr="002512EA">
        <w:rPr>
          <w:rFonts w:ascii="Arial" w:hAnsi="Arial" w:cs="Arial"/>
          <w:i/>
          <w:iCs/>
          <w:sz w:val="24"/>
          <w:szCs w:val="24"/>
        </w:rPr>
        <w:t>The SAGE Handbook of Qualitative</w:t>
      </w:r>
      <w:r w:rsidRPr="00AE5EBC">
        <w:rPr>
          <w:rFonts w:ascii="Arial" w:hAnsi="Arial" w:cs="Arial"/>
          <w:i/>
          <w:iCs/>
          <w:sz w:val="24"/>
          <w:szCs w:val="24"/>
        </w:rPr>
        <w:t xml:space="preserve"> Research</w:t>
      </w:r>
      <w:r w:rsidRPr="00AE5EBC">
        <w:rPr>
          <w:rFonts w:ascii="Arial" w:hAnsi="Arial" w:cs="Arial"/>
          <w:sz w:val="24"/>
          <w:szCs w:val="24"/>
        </w:rPr>
        <w:t>. 6</w:t>
      </w:r>
      <w:r w:rsidRPr="0046640D">
        <w:rPr>
          <w:rFonts w:ascii="Arial" w:hAnsi="Arial" w:cs="Arial"/>
          <w:sz w:val="24"/>
          <w:szCs w:val="24"/>
          <w:vertAlign w:val="superscript"/>
        </w:rPr>
        <w:t>th</w:t>
      </w:r>
      <w:r w:rsidRPr="00AE5EBC">
        <w:rPr>
          <w:rFonts w:ascii="Arial" w:hAnsi="Arial" w:cs="Arial"/>
          <w:sz w:val="24"/>
          <w:szCs w:val="24"/>
        </w:rPr>
        <w:t xml:space="preserve"> </w:t>
      </w:r>
      <w:proofErr w:type="spellStart"/>
      <w:r w:rsidR="00236F28">
        <w:rPr>
          <w:rFonts w:ascii="Arial" w:hAnsi="Arial" w:cs="Arial"/>
          <w:sz w:val="24"/>
          <w:szCs w:val="24"/>
        </w:rPr>
        <w:t>edn</w:t>
      </w:r>
      <w:proofErr w:type="spellEnd"/>
      <w:r>
        <w:rPr>
          <w:rFonts w:ascii="Arial" w:hAnsi="Arial" w:cs="Arial"/>
          <w:sz w:val="24"/>
          <w:szCs w:val="24"/>
        </w:rPr>
        <w:t>.</w:t>
      </w:r>
      <w:r w:rsidRPr="00AE5EBC">
        <w:rPr>
          <w:rFonts w:ascii="Arial" w:hAnsi="Arial" w:cs="Arial"/>
          <w:sz w:val="24"/>
          <w:szCs w:val="24"/>
        </w:rPr>
        <w:t xml:space="preserve"> </w:t>
      </w:r>
      <w:r>
        <w:rPr>
          <w:rFonts w:ascii="Arial" w:hAnsi="Arial" w:cs="Arial"/>
          <w:sz w:val="24"/>
          <w:szCs w:val="24"/>
        </w:rPr>
        <w:t xml:space="preserve">California: </w:t>
      </w:r>
      <w:r w:rsidRPr="00AE5EBC">
        <w:rPr>
          <w:rFonts w:ascii="Arial" w:hAnsi="Arial" w:cs="Arial"/>
          <w:sz w:val="24"/>
          <w:szCs w:val="24"/>
        </w:rPr>
        <w:t>SAGE Publications.</w:t>
      </w:r>
      <w:r>
        <w:rPr>
          <w:rFonts w:ascii="Arial" w:hAnsi="Arial" w:cs="Arial"/>
          <w:sz w:val="24"/>
          <w:szCs w:val="24"/>
        </w:rPr>
        <w:t xml:space="preserve"> Available at: </w:t>
      </w:r>
      <w:hyperlink r:id="rId10" w:history="1">
        <w:r w:rsidRPr="00D44D3C">
          <w:rPr>
            <w:rStyle w:val="Hyperlink"/>
            <w:rFonts w:ascii="Arial" w:hAnsi="Arial" w:cs="Arial"/>
            <w:sz w:val="24"/>
            <w:szCs w:val="24"/>
          </w:rPr>
          <w:t>https://us.sagepub.com/en-us/nam/the-sage-handbook-of-qualitative-research/book275161</w:t>
        </w:r>
      </w:hyperlink>
      <w:r>
        <w:rPr>
          <w:rFonts w:ascii="Arial" w:hAnsi="Arial" w:cs="Arial"/>
          <w:sz w:val="24"/>
          <w:szCs w:val="24"/>
        </w:rPr>
        <w:t xml:space="preserve">. </w:t>
      </w:r>
    </w:p>
    <w:p w14:paraId="553FC36A" w14:textId="7DF3EDC7" w:rsidR="0007274D" w:rsidRPr="001235FB" w:rsidRDefault="0007274D" w:rsidP="00C64CF2">
      <w:pPr>
        <w:pStyle w:val="ListParagraph"/>
        <w:numPr>
          <w:ilvl w:val="0"/>
          <w:numId w:val="2"/>
        </w:numPr>
        <w:spacing w:line="360" w:lineRule="auto"/>
        <w:rPr>
          <w:rFonts w:ascii="Arial" w:hAnsi="Arial" w:cs="Arial"/>
          <w:sz w:val="24"/>
          <w:szCs w:val="24"/>
        </w:rPr>
      </w:pPr>
      <w:r w:rsidRPr="001235FB">
        <w:rPr>
          <w:rFonts w:ascii="Arial" w:hAnsi="Arial" w:cs="Arial"/>
          <w:sz w:val="24"/>
          <w:szCs w:val="24"/>
        </w:rPr>
        <w:t>Flick, U. (20</w:t>
      </w:r>
      <w:r>
        <w:rPr>
          <w:rFonts w:ascii="Arial" w:hAnsi="Arial" w:cs="Arial"/>
          <w:sz w:val="24"/>
          <w:szCs w:val="24"/>
        </w:rPr>
        <w:t>23</w:t>
      </w:r>
      <w:r w:rsidRPr="001235FB">
        <w:rPr>
          <w:rFonts w:ascii="Arial" w:hAnsi="Arial" w:cs="Arial"/>
          <w:sz w:val="24"/>
          <w:szCs w:val="24"/>
        </w:rPr>
        <w:t>)</w:t>
      </w:r>
      <w:r w:rsidRPr="001028EC">
        <w:rPr>
          <w:rFonts w:ascii="Arial" w:hAnsi="Arial" w:cs="Arial"/>
          <w:sz w:val="24"/>
          <w:szCs w:val="24"/>
        </w:rPr>
        <w:t xml:space="preserve"> </w:t>
      </w:r>
      <w:r w:rsidRPr="00D77898">
        <w:rPr>
          <w:rFonts w:ascii="Arial" w:hAnsi="Arial" w:cs="Arial"/>
          <w:i/>
          <w:iCs/>
          <w:sz w:val="24"/>
          <w:szCs w:val="24"/>
        </w:rPr>
        <w:t>An Introduction to Qualitative Research</w:t>
      </w:r>
      <w:r w:rsidRPr="00D77898">
        <w:rPr>
          <w:rFonts w:ascii="Arial" w:hAnsi="Arial" w:cs="Arial"/>
          <w:sz w:val="24"/>
          <w:szCs w:val="24"/>
        </w:rPr>
        <w:t xml:space="preserve">. </w:t>
      </w:r>
      <w:r>
        <w:rPr>
          <w:rFonts w:ascii="Arial" w:hAnsi="Arial" w:cs="Arial"/>
          <w:sz w:val="24"/>
          <w:szCs w:val="24"/>
        </w:rPr>
        <w:t>7</w:t>
      </w:r>
      <w:r w:rsidRPr="00E12E46">
        <w:rPr>
          <w:rFonts w:ascii="Arial" w:hAnsi="Arial" w:cs="Arial"/>
          <w:sz w:val="24"/>
          <w:szCs w:val="24"/>
          <w:vertAlign w:val="superscript"/>
        </w:rPr>
        <w:t>th</w:t>
      </w:r>
      <w:r w:rsidRPr="00D77898">
        <w:rPr>
          <w:rFonts w:ascii="Arial" w:hAnsi="Arial" w:cs="Arial"/>
          <w:sz w:val="24"/>
          <w:szCs w:val="24"/>
        </w:rPr>
        <w:t xml:space="preserve"> </w:t>
      </w:r>
      <w:proofErr w:type="spellStart"/>
      <w:r w:rsidR="00A50B62">
        <w:rPr>
          <w:rFonts w:ascii="Arial" w:hAnsi="Arial" w:cs="Arial"/>
          <w:sz w:val="24"/>
          <w:szCs w:val="24"/>
        </w:rPr>
        <w:t>edn</w:t>
      </w:r>
      <w:proofErr w:type="spellEnd"/>
      <w:r>
        <w:rPr>
          <w:rFonts w:ascii="Arial" w:hAnsi="Arial" w:cs="Arial"/>
          <w:sz w:val="24"/>
          <w:szCs w:val="24"/>
        </w:rPr>
        <w:t>.</w:t>
      </w:r>
      <w:r w:rsidRPr="00D77898">
        <w:rPr>
          <w:rFonts w:ascii="Arial" w:hAnsi="Arial" w:cs="Arial"/>
          <w:sz w:val="24"/>
          <w:szCs w:val="24"/>
        </w:rPr>
        <w:t xml:space="preserve"> London: SAGE Publications.</w:t>
      </w:r>
      <w:r>
        <w:rPr>
          <w:rFonts w:ascii="Arial" w:hAnsi="Arial" w:cs="Arial"/>
          <w:sz w:val="24"/>
          <w:szCs w:val="24"/>
        </w:rPr>
        <w:t xml:space="preserve"> Available at: </w:t>
      </w:r>
      <w:hyperlink r:id="rId11" w:history="1">
        <w:r w:rsidRPr="00D44D3C">
          <w:rPr>
            <w:rStyle w:val="Hyperlink"/>
            <w:rFonts w:ascii="Arial" w:hAnsi="Arial" w:cs="Arial"/>
            <w:sz w:val="24"/>
            <w:szCs w:val="24"/>
          </w:rPr>
          <w:t>https://us.sagepub.com/en-us/nam/an-introduction-to-qualitative-research/book278983</w:t>
        </w:r>
      </w:hyperlink>
      <w:r>
        <w:rPr>
          <w:rFonts w:ascii="Arial" w:hAnsi="Arial" w:cs="Arial"/>
          <w:sz w:val="24"/>
          <w:szCs w:val="24"/>
        </w:rPr>
        <w:t xml:space="preserve">. </w:t>
      </w:r>
    </w:p>
    <w:p w14:paraId="716F3188" w14:textId="395B8BB4" w:rsidR="0007274D" w:rsidRDefault="0007274D" w:rsidP="00C64CF2">
      <w:pPr>
        <w:pStyle w:val="ListParagraph"/>
        <w:numPr>
          <w:ilvl w:val="0"/>
          <w:numId w:val="2"/>
        </w:numPr>
        <w:spacing w:line="360" w:lineRule="auto"/>
        <w:rPr>
          <w:rFonts w:ascii="Arial" w:hAnsi="Arial" w:cs="Arial"/>
          <w:sz w:val="24"/>
          <w:szCs w:val="24"/>
          <w:lang w:eastAsia="en-GB"/>
        </w:rPr>
      </w:pPr>
      <w:r w:rsidRPr="00140BD4">
        <w:rPr>
          <w:rFonts w:ascii="Arial" w:hAnsi="Arial" w:cs="Arial"/>
          <w:sz w:val="24"/>
          <w:szCs w:val="24"/>
          <w:lang w:eastAsia="en-GB"/>
        </w:rPr>
        <w:t xml:space="preserve">Greetham, B. (2019) </w:t>
      </w:r>
      <w:r w:rsidRPr="00140BD4">
        <w:rPr>
          <w:rFonts w:ascii="Arial" w:hAnsi="Arial" w:cs="Arial"/>
          <w:i/>
          <w:iCs/>
          <w:sz w:val="24"/>
          <w:szCs w:val="24"/>
          <w:lang w:eastAsia="en-GB"/>
        </w:rPr>
        <w:t>How to write your</w:t>
      </w:r>
      <w:r>
        <w:rPr>
          <w:rFonts w:ascii="Arial" w:hAnsi="Arial" w:cs="Arial"/>
          <w:i/>
          <w:iCs/>
          <w:sz w:val="24"/>
          <w:szCs w:val="24"/>
          <w:lang w:eastAsia="en-GB"/>
        </w:rPr>
        <w:t xml:space="preserve"> undergraduate dissertation. </w:t>
      </w:r>
      <w:r>
        <w:rPr>
          <w:rFonts w:ascii="Arial" w:hAnsi="Arial" w:cs="Arial"/>
          <w:sz w:val="24"/>
          <w:szCs w:val="24"/>
          <w:lang w:eastAsia="en-GB"/>
        </w:rPr>
        <w:t>3</w:t>
      </w:r>
      <w:r w:rsidRPr="00126BCE">
        <w:rPr>
          <w:rFonts w:ascii="Arial" w:hAnsi="Arial" w:cs="Arial"/>
          <w:sz w:val="24"/>
          <w:szCs w:val="24"/>
          <w:vertAlign w:val="superscript"/>
          <w:lang w:eastAsia="en-GB"/>
        </w:rPr>
        <w:t>rd</w:t>
      </w:r>
      <w:r>
        <w:rPr>
          <w:rFonts w:ascii="Arial" w:hAnsi="Arial" w:cs="Arial"/>
          <w:sz w:val="24"/>
          <w:szCs w:val="24"/>
          <w:lang w:eastAsia="en-GB"/>
        </w:rPr>
        <w:t xml:space="preserve"> </w:t>
      </w:r>
      <w:proofErr w:type="spellStart"/>
      <w:r w:rsidR="00A50B62">
        <w:rPr>
          <w:rFonts w:ascii="Arial" w:hAnsi="Arial" w:cs="Arial"/>
          <w:sz w:val="24"/>
          <w:szCs w:val="24"/>
          <w:lang w:eastAsia="en-GB"/>
        </w:rPr>
        <w:t>edn</w:t>
      </w:r>
      <w:proofErr w:type="spellEnd"/>
      <w:r>
        <w:rPr>
          <w:rFonts w:ascii="Arial" w:hAnsi="Arial" w:cs="Arial"/>
          <w:sz w:val="24"/>
          <w:szCs w:val="24"/>
          <w:lang w:eastAsia="en-GB"/>
        </w:rPr>
        <w:t xml:space="preserve">. London: Red Globe Press. Available at: </w:t>
      </w:r>
      <w:hyperlink r:id="rId12" w:history="1">
        <w:r w:rsidRPr="00D44D3C">
          <w:rPr>
            <w:rStyle w:val="Hyperlink"/>
            <w:rFonts w:ascii="Arial" w:hAnsi="Arial" w:cs="Arial"/>
            <w:sz w:val="24"/>
            <w:szCs w:val="24"/>
            <w:lang w:eastAsia="en-GB"/>
          </w:rPr>
          <w:t>https://research-ebsco-com.uwtsd.idm.oclc.org/c/onvpsy/search/details/5qgj7d2h2n?db=nlebk</w:t>
        </w:r>
      </w:hyperlink>
      <w:r>
        <w:rPr>
          <w:rFonts w:ascii="Arial" w:hAnsi="Arial" w:cs="Arial"/>
          <w:sz w:val="24"/>
          <w:szCs w:val="24"/>
          <w:lang w:eastAsia="en-GB"/>
        </w:rPr>
        <w:t xml:space="preserve">. </w:t>
      </w:r>
    </w:p>
    <w:p w14:paraId="5D387855" w14:textId="77777777" w:rsidR="0007274D" w:rsidRPr="009423B3" w:rsidRDefault="0007274D" w:rsidP="00C64CF2">
      <w:pPr>
        <w:pStyle w:val="ListParagraph"/>
        <w:numPr>
          <w:ilvl w:val="0"/>
          <w:numId w:val="2"/>
        </w:numPr>
        <w:spacing w:line="360" w:lineRule="auto"/>
        <w:rPr>
          <w:rFonts w:ascii="Arial" w:hAnsi="Arial" w:cs="Arial"/>
          <w:sz w:val="24"/>
          <w:szCs w:val="24"/>
          <w:lang w:eastAsia="en-GB"/>
        </w:rPr>
      </w:pPr>
      <w:r w:rsidRPr="008574AD">
        <w:rPr>
          <w:rFonts w:ascii="Arial" w:hAnsi="Arial" w:cs="Arial"/>
          <w:sz w:val="24"/>
          <w:szCs w:val="24"/>
          <w:lang w:eastAsia="en-GB"/>
        </w:rPr>
        <w:t xml:space="preserve">Hitchcock, J and Onwuegbuzie, A. (2022) </w:t>
      </w:r>
      <w:r w:rsidRPr="008574AD">
        <w:rPr>
          <w:rFonts w:ascii="Arial" w:hAnsi="Arial" w:cs="Arial"/>
          <w:i/>
          <w:iCs/>
          <w:sz w:val="24"/>
          <w:szCs w:val="24"/>
          <w:lang w:eastAsia="en-GB"/>
        </w:rPr>
        <w:t xml:space="preserve">The Routledge </w:t>
      </w:r>
      <w:r>
        <w:rPr>
          <w:rFonts w:ascii="Arial" w:hAnsi="Arial" w:cs="Arial"/>
          <w:i/>
          <w:iCs/>
          <w:sz w:val="24"/>
          <w:szCs w:val="24"/>
          <w:lang w:eastAsia="en-GB"/>
        </w:rPr>
        <w:t>H</w:t>
      </w:r>
      <w:r w:rsidRPr="008574AD">
        <w:rPr>
          <w:rFonts w:ascii="Arial" w:hAnsi="Arial" w:cs="Arial"/>
          <w:i/>
          <w:iCs/>
          <w:sz w:val="24"/>
          <w:szCs w:val="24"/>
          <w:lang w:eastAsia="en-GB"/>
        </w:rPr>
        <w:t xml:space="preserve">andbook for </w:t>
      </w:r>
      <w:r>
        <w:rPr>
          <w:rFonts w:ascii="Arial" w:hAnsi="Arial" w:cs="Arial"/>
          <w:i/>
          <w:iCs/>
          <w:sz w:val="24"/>
          <w:szCs w:val="24"/>
          <w:lang w:eastAsia="en-GB"/>
        </w:rPr>
        <w:t>A</w:t>
      </w:r>
      <w:r w:rsidRPr="008574AD">
        <w:rPr>
          <w:rFonts w:ascii="Arial" w:hAnsi="Arial" w:cs="Arial"/>
          <w:i/>
          <w:iCs/>
          <w:sz w:val="24"/>
          <w:szCs w:val="24"/>
          <w:lang w:eastAsia="en-GB"/>
        </w:rPr>
        <w:t xml:space="preserve">dvancing </w:t>
      </w:r>
      <w:r>
        <w:rPr>
          <w:rFonts w:ascii="Arial" w:hAnsi="Arial" w:cs="Arial"/>
          <w:i/>
          <w:iCs/>
          <w:sz w:val="24"/>
          <w:szCs w:val="24"/>
          <w:lang w:eastAsia="en-GB"/>
        </w:rPr>
        <w:t>I</w:t>
      </w:r>
      <w:r w:rsidRPr="008574AD">
        <w:rPr>
          <w:rFonts w:ascii="Arial" w:hAnsi="Arial" w:cs="Arial"/>
          <w:i/>
          <w:iCs/>
          <w:sz w:val="24"/>
          <w:szCs w:val="24"/>
          <w:lang w:eastAsia="en-GB"/>
        </w:rPr>
        <w:t xml:space="preserve">ntegration in </w:t>
      </w:r>
      <w:r>
        <w:rPr>
          <w:rFonts w:ascii="Arial" w:hAnsi="Arial" w:cs="Arial"/>
          <w:i/>
          <w:iCs/>
          <w:sz w:val="24"/>
          <w:szCs w:val="24"/>
          <w:lang w:eastAsia="en-GB"/>
        </w:rPr>
        <w:t>M</w:t>
      </w:r>
      <w:r w:rsidRPr="008574AD">
        <w:rPr>
          <w:rFonts w:ascii="Arial" w:hAnsi="Arial" w:cs="Arial"/>
          <w:i/>
          <w:iCs/>
          <w:sz w:val="24"/>
          <w:szCs w:val="24"/>
          <w:lang w:eastAsia="en-GB"/>
        </w:rPr>
        <w:t xml:space="preserve">ixed </w:t>
      </w:r>
      <w:r>
        <w:rPr>
          <w:rFonts w:ascii="Arial" w:hAnsi="Arial" w:cs="Arial"/>
          <w:i/>
          <w:iCs/>
          <w:sz w:val="24"/>
          <w:szCs w:val="24"/>
          <w:lang w:eastAsia="en-GB"/>
        </w:rPr>
        <w:t>M</w:t>
      </w:r>
      <w:r w:rsidRPr="008574AD">
        <w:rPr>
          <w:rFonts w:ascii="Arial" w:hAnsi="Arial" w:cs="Arial"/>
          <w:i/>
          <w:iCs/>
          <w:sz w:val="24"/>
          <w:szCs w:val="24"/>
          <w:lang w:eastAsia="en-GB"/>
        </w:rPr>
        <w:t xml:space="preserve">ethods </w:t>
      </w:r>
      <w:r>
        <w:rPr>
          <w:rFonts w:ascii="Arial" w:hAnsi="Arial" w:cs="Arial"/>
          <w:i/>
          <w:iCs/>
          <w:sz w:val="24"/>
          <w:szCs w:val="24"/>
          <w:lang w:eastAsia="en-GB"/>
        </w:rPr>
        <w:t>R</w:t>
      </w:r>
      <w:r w:rsidRPr="008574AD">
        <w:rPr>
          <w:rFonts w:ascii="Arial" w:hAnsi="Arial" w:cs="Arial"/>
          <w:i/>
          <w:iCs/>
          <w:sz w:val="24"/>
          <w:szCs w:val="24"/>
          <w:lang w:eastAsia="en-GB"/>
        </w:rPr>
        <w:t>esearch</w:t>
      </w:r>
      <w:r w:rsidRPr="008574AD">
        <w:rPr>
          <w:rFonts w:ascii="Arial" w:hAnsi="Arial" w:cs="Arial"/>
          <w:sz w:val="24"/>
          <w:szCs w:val="24"/>
          <w:lang w:eastAsia="en-GB"/>
        </w:rPr>
        <w:t xml:space="preserve">. London: Routledge. Available at: </w:t>
      </w:r>
      <w:hyperlink r:id="rId13" w:history="1">
        <w:r w:rsidRPr="008574AD">
          <w:rPr>
            <w:rStyle w:val="Hyperlink"/>
            <w:rFonts w:ascii="Arial" w:hAnsi="Arial" w:cs="Arial"/>
            <w:sz w:val="24"/>
            <w:szCs w:val="24"/>
            <w:lang w:eastAsia="en-GB"/>
          </w:rPr>
          <w:t>https://ezproxy.uwtsd.ac.uk/login?url=https://www.vlebooks.com/product/openreader?id=TrinityStD&amp;accId=8886856&amp;isbn=9780429780141&amp;uid=^u</w:t>
        </w:r>
      </w:hyperlink>
      <w:r w:rsidRPr="008574AD">
        <w:rPr>
          <w:rFonts w:ascii="Arial" w:hAnsi="Arial" w:cs="Arial"/>
          <w:sz w:val="24"/>
          <w:szCs w:val="24"/>
          <w:lang w:eastAsia="en-GB"/>
        </w:rPr>
        <w:t>.</w:t>
      </w:r>
    </w:p>
    <w:p w14:paraId="5B75B9E6" w14:textId="05C9E403" w:rsidR="0007274D" w:rsidRPr="0007274D" w:rsidRDefault="0007274D" w:rsidP="00C64CF2">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Phair, D and Warren, K. (2025) </w:t>
      </w:r>
      <w:r>
        <w:rPr>
          <w:rFonts w:ascii="Arial" w:hAnsi="Arial" w:cs="Arial"/>
          <w:i/>
          <w:iCs/>
          <w:sz w:val="24"/>
          <w:szCs w:val="24"/>
        </w:rPr>
        <w:t xml:space="preserve">Saunders’ (2019) Research Onion. </w:t>
      </w:r>
      <w:r>
        <w:rPr>
          <w:rFonts w:ascii="Arial" w:hAnsi="Arial" w:cs="Arial"/>
          <w:sz w:val="24"/>
          <w:szCs w:val="24"/>
        </w:rPr>
        <w:t xml:space="preserve">Grad Coach. Available at: </w:t>
      </w:r>
      <w:hyperlink r:id="rId14" w:history="1">
        <w:r w:rsidRPr="00D44D3C">
          <w:rPr>
            <w:rStyle w:val="Hyperlink"/>
            <w:rFonts w:ascii="Arial" w:hAnsi="Arial" w:cs="Arial"/>
            <w:sz w:val="24"/>
            <w:szCs w:val="24"/>
          </w:rPr>
          <w:t>https://gradcoach.com/saunders-research-onion/</w:t>
        </w:r>
      </w:hyperlink>
      <w:r>
        <w:rPr>
          <w:rFonts w:ascii="Arial" w:hAnsi="Arial" w:cs="Arial"/>
          <w:sz w:val="24"/>
          <w:szCs w:val="24"/>
        </w:rPr>
        <w:t xml:space="preserve"> (Accessed: </w:t>
      </w:r>
      <w:r w:rsidR="007F7EA2">
        <w:rPr>
          <w:rFonts w:ascii="Arial" w:hAnsi="Arial" w:cs="Arial"/>
          <w:sz w:val="24"/>
          <w:szCs w:val="24"/>
        </w:rPr>
        <w:t>30</w:t>
      </w:r>
      <w:r w:rsidR="007F7EA2" w:rsidRPr="007F7EA2">
        <w:rPr>
          <w:rFonts w:ascii="Arial" w:hAnsi="Arial" w:cs="Arial"/>
          <w:sz w:val="24"/>
          <w:szCs w:val="24"/>
          <w:vertAlign w:val="superscript"/>
        </w:rPr>
        <w:t>th</w:t>
      </w:r>
      <w:r>
        <w:rPr>
          <w:rFonts w:ascii="Arial" w:hAnsi="Arial" w:cs="Arial"/>
          <w:sz w:val="24"/>
          <w:szCs w:val="24"/>
        </w:rPr>
        <w:t xml:space="preserve"> </w:t>
      </w:r>
      <w:r w:rsidR="007F7EA2">
        <w:rPr>
          <w:rFonts w:ascii="Arial" w:hAnsi="Arial" w:cs="Arial"/>
          <w:sz w:val="24"/>
          <w:szCs w:val="24"/>
        </w:rPr>
        <w:t>Jan</w:t>
      </w:r>
      <w:r>
        <w:rPr>
          <w:rFonts w:ascii="Arial" w:hAnsi="Arial" w:cs="Arial"/>
          <w:sz w:val="24"/>
          <w:szCs w:val="24"/>
        </w:rPr>
        <w:t>uary 2026).</w:t>
      </w:r>
    </w:p>
    <w:p w14:paraId="42A964FA" w14:textId="5A3BF9C6" w:rsidR="003F68BF" w:rsidRDefault="003F68BF" w:rsidP="00C64CF2">
      <w:pPr>
        <w:pStyle w:val="ListParagraph"/>
        <w:numPr>
          <w:ilvl w:val="0"/>
          <w:numId w:val="2"/>
        </w:numPr>
        <w:spacing w:line="360" w:lineRule="auto"/>
        <w:rPr>
          <w:rFonts w:ascii="Arial" w:hAnsi="Arial" w:cs="Arial"/>
          <w:sz w:val="24"/>
          <w:szCs w:val="24"/>
        </w:rPr>
      </w:pPr>
      <w:r w:rsidRPr="002A160C">
        <w:rPr>
          <w:rFonts w:ascii="Arial" w:hAnsi="Arial" w:cs="Arial"/>
          <w:sz w:val="24"/>
          <w:szCs w:val="24"/>
        </w:rPr>
        <w:t>Walliman, N. (202</w:t>
      </w:r>
      <w:r w:rsidR="005859A3">
        <w:rPr>
          <w:rFonts w:ascii="Arial" w:hAnsi="Arial" w:cs="Arial"/>
          <w:sz w:val="24"/>
          <w:szCs w:val="24"/>
        </w:rPr>
        <w:t>1</w:t>
      </w:r>
      <w:r w:rsidRPr="002A160C">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Research methods: the basics. </w:t>
      </w:r>
      <w:r>
        <w:rPr>
          <w:rFonts w:ascii="Arial" w:hAnsi="Arial" w:cs="Arial"/>
          <w:sz w:val="24"/>
          <w:szCs w:val="24"/>
        </w:rPr>
        <w:t>3</w:t>
      </w:r>
      <w:r w:rsidRPr="00637353">
        <w:rPr>
          <w:rFonts w:ascii="Arial" w:hAnsi="Arial" w:cs="Arial"/>
          <w:sz w:val="24"/>
          <w:szCs w:val="24"/>
          <w:vertAlign w:val="superscript"/>
        </w:rPr>
        <w:t>rd</w:t>
      </w:r>
      <w:r>
        <w:rPr>
          <w:rFonts w:ascii="Arial" w:hAnsi="Arial" w:cs="Arial"/>
          <w:sz w:val="24"/>
          <w:szCs w:val="24"/>
        </w:rPr>
        <w:t xml:space="preserve"> </w:t>
      </w:r>
      <w:proofErr w:type="spellStart"/>
      <w:r w:rsidR="00624574">
        <w:rPr>
          <w:rFonts w:ascii="Arial" w:hAnsi="Arial" w:cs="Arial"/>
          <w:sz w:val="24"/>
          <w:szCs w:val="24"/>
        </w:rPr>
        <w:t>edn</w:t>
      </w:r>
      <w:proofErr w:type="spellEnd"/>
      <w:r>
        <w:rPr>
          <w:rFonts w:ascii="Arial" w:hAnsi="Arial" w:cs="Arial"/>
          <w:sz w:val="24"/>
          <w:szCs w:val="24"/>
        </w:rPr>
        <w:t xml:space="preserve">. Oxfordshire: Routledge. </w:t>
      </w:r>
      <w:r w:rsidR="002E74C1">
        <w:rPr>
          <w:rFonts w:ascii="Arial" w:hAnsi="Arial" w:cs="Arial"/>
          <w:sz w:val="24"/>
          <w:szCs w:val="24"/>
        </w:rPr>
        <w:t xml:space="preserve">Available at: </w:t>
      </w:r>
      <w:hyperlink r:id="rId15" w:tgtFrame="_blank" w:history="1">
        <w:r w:rsidR="00C21BE7" w:rsidRPr="00C21BE7">
          <w:rPr>
            <w:rStyle w:val="Hyperlink"/>
            <w:rFonts w:ascii="Arial" w:hAnsi="Arial" w:cs="Arial"/>
            <w:sz w:val="24"/>
            <w:szCs w:val="24"/>
          </w:rPr>
          <w:t>https://doi.org/10.4324/9781003141693</w:t>
        </w:r>
      </w:hyperlink>
      <w:r w:rsidR="00C21BE7">
        <w:rPr>
          <w:rFonts w:ascii="Arial" w:hAnsi="Arial" w:cs="Arial"/>
          <w:sz w:val="24"/>
          <w:szCs w:val="24"/>
        </w:rPr>
        <w:t>.</w:t>
      </w:r>
    </w:p>
    <w:p w14:paraId="4BCBAF48" w14:textId="1D168C3F" w:rsidR="00571ED6" w:rsidRPr="00571ED6" w:rsidRDefault="00571ED6" w:rsidP="00C64CF2">
      <w:pPr>
        <w:pStyle w:val="ListParagraph"/>
        <w:numPr>
          <w:ilvl w:val="0"/>
          <w:numId w:val="2"/>
        </w:numPr>
        <w:spacing w:line="360" w:lineRule="auto"/>
        <w:rPr>
          <w:rFonts w:ascii="Arial" w:hAnsi="Arial" w:cs="Arial"/>
          <w:sz w:val="24"/>
          <w:szCs w:val="24"/>
          <w:lang w:eastAsia="en-GB"/>
        </w:rPr>
      </w:pPr>
      <w:r w:rsidRPr="00571ED6">
        <w:rPr>
          <w:rFonts w:ascii="Arial" w:hAnsi="Arial" w:cs="Arial"/>
          <w:sz w:val="24"/>
          <w:szCs w:val="24"/>
          <w:lang w:eastAsia="en-GB"/>
        </w:rPr>
        <w:t xml:space="preserve">Wood, D, Bradshaw, S, Dickens, T, McLeod, J, Simpson, F and Weaver, G. (2022) </w:t>
      </w:r>
      <w:r w:rsidRPr="00571ED6">
        <w:rPr>
          <w:rFonts w:ascii="Arial" w:hAnsi="Arial" w:cs="Arial"/>
          <w:i/>
          <w:iCs/>
          <w:sz w:val="24"/>
          <w:szCs w:val="24"/>
          <w:lang w:eastAsia="en-GB"/>
        </w:rPr>
        <w:t>Blackstone’s handbook for policing students</w:t>
      </w:r>
      <w:r w:rsidRPr="00571ED6">
        <w:rPr>
          <w:rFonts w:ascii="Arial" w:hAnsi="Arial" w:cs="Arial"/>
          <w:sz w:val="24"/>
          <w:szCs w:val="24"/>
          <w:lang w:eastAsia="en-GB"/>
        </w:rPr>
        <w:t xml:space="preserve">. </w:t>
      </w:r>
      <w:r w:rsidR="00624574">
        <w:rPr>
          <w:rFonts w:ascii="Arial" w:hAnsi="Arial" w:cs="Arial"/>
          <w:sz w:val="24"/>
          <w:szCs w:val="24"/>
          <w:lang w:eastAsia="en-GB"/>
        </w:rPr>
        <w:t>17</w:t>
      </w:r>
      <w:r w:rsidR="00624574" w:rsidRPr="00624574">
        <w:rPr>
          <w:rFonts w:ascii="Arial" w:hAnsi="Arial" w:cs="Arial"/>
          <w:sz w:val="24"/>
          <w:szCs w:val="24"/>
          <w:vertAlign w:val="superscript"/>
          <w:lang w:eastAsia="en-GB"/>
        </w:rPr>
        <w:t>th</w:t>
      </w:r>
      <w:r w:rsidRPr="00571ED6">
        <w:rPr>
          <w:rFonts w:ascii="Arial" w:hAnsi="Arial" w:cs="Arial"/>
          <w:sz w:val="24"/>
          <w:szCs w:val="24"/>
          <w:lang w:eastAsia="en-GB"/>
        </w:rPr>
        <w:t xml:space="preserve"> </w:t>
      </w:r>
      <w:proofErr w:type="spellStart"/>
      <w:r w:rsidRPr="00571ED6">
        <w:rPr>
          <w:rFonts w:ascii="Arial" w:hAnsi="Arial" w:cs="Arial"/>
          <w:sz w:val="24"/>
          <w:szCs w:val="24"/>
          <w:lang w:eastAsia="en-GB"/>
        </w:rPr>
        <w:t>edn</w:t>
      </w:r>
      <w:proofErr w:type="spellEnd"/>
      <w:r w:rsidRPr="00571ED6">
        <w:rPr>
          <w:rFonts w:ascii="Arial" w:hAnsi="Arial" w:cs="Arial"/>
          <w:sz w:val="24"/>
          <w:szCs w:val="24"/>
          <w:lang w:eastAsia="en-GB"/>
        </w:rPr>
        <w:t>. Oxford: Oxford University Press.</w:t>
      </w:r>
    </w:p>
    <w:sectPr w:rsidR="00571ED6" w:rsidRPr="00571E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9097F"/>
    <w:multiLevelType w:val="hybridMultilevel"/>
    <w:tmpl w:val="0A2A4F42"/>
    <w:lvl w:ilvl="0" w:tplc="E514E92E">
      <w:start w:val="1"/>
      <w:numFmt w:val="bullet"/>
      <w:lvlText w:val=""/>
      <w:lvlJc w:val="left"/>
      <w:pPr>
        <w:tabs>
          <w:tab w:val="num" w:pos="720"/>
        </w:tabs>
        <w:ind w:left="720" w:hanging="360"/>
      </w:pPr>
      <w:rPr>
        <w:rFonts w:ascii="Wingdings" w:hAnsi="Wingdings" w:hint="default"/>
      </w:rPr>
    </w:lvl>
    <w:lvl w:ilvl="1" w:tplc="0F6865C8" w:tentative="1">
      <w:start w:val="1"/>
      <w:numFmt w:val="bullet"/>
      <w:lvlText w:val=""/>
      <w:lvlJc w:val="left"/>
      <w:pPr>
        <w:tabs>
          <w:tab w:val="num" w:pos="1440"/>
        </w:tabs>
        <w:ind w:left="1440" w:hanging="360"/>
      </w:pPr>
      <w:rPr>
        <w:rFonts w:ascii="Wingdings" w:hAnsi="Wingdings" w:hint="default"/>
      </w:rPr>
    </w:lvl>
    <w:lvl w:ilvl="2" w:tplc="09C8A872" w:tentative="1">
      <w:start w:val="1"/>
      <w:numFmt w:val="bullet"/>
      <w:lvlText w:val=""/>
      <w:lvlJc w:val="left"/>
      <w:pPr>
        <w:tabs>
          <w:tab w:val="num" w:pos="2160"/>
        </w:tabs>
        <w:ind w:left="2160" w:hanging="360"/>
      </w:pPr>
      <w:rPr>
        <w:rFonts w:ascii="Wingdings" w:hAnsi="Wingdings" w:hint="default"/>
      </w:rPr>
    </w:lvl>
    <w:lvl w:ilvl="3" w:tplc="87344C40" w:tentative="1">
      <w:start w:val="1"/>
      <w:numFmt w:val="bullet"/>
      <w:lvlText w:val=""/>
      <w:lvlJc w:val="left"/>
      <w:pPr>
        <w:tabs>
          <w:tab w:val="num" w:pos="2880"/>
        </w:tabs>
        <w:ind w:left="2880" w:hanging="360"/>
      </w:pPr>
      <w:rPr>
        <w:rFonts w:ascii="Wingdings" w:hAnsi="Wingdings" w:hint="default"/>
      </w:rPr>
    </w:lvl>
    <w:lvl w:ilvl="4" w:tplc="BE4AD0D6" w:tentative="1">
      <w:start w:val="1"/>
      <w:numFmt w:val="bullet"/>
      <w:lvlText w:val=""/>
      <w:lvlJc w:val="left"/>
      <w:pPr>
        <w:tabs>
          <w:tab w:val="num" w:pos="3600"/>
        </w:tabs>
        <w:ind w:left="3600" w:hanging="360"/>
      </w:pPr>
      <w:rPr>
        <w:rFonts w:ascii="Wingdings" w:hAnsi="Wingdings" w:hint="default"/>
      </w:rPr>
    </w:lvl>
    <w:lvl w:ilvl="5" w:tplc="55529904" w:tentative="1">
      <w:start w:val="1"/>
      <w:numFmt w:val="bullet"/>
      <w:lvlText w:val=""/>
      <w:lvlJc w:val="left"/>
      <w:pPr>
        <w:tabs>
          <w:tab w:val="num" w:pos="4320"/>
        </w:tabs>
        <w:ind w:left="4320" w:hanging="360"/>
      </w:pPr>
      <w:rPr>
        <w:rFonts w:ascii="Wingdings" w:hAnsi="Wingdings" w:hint="default"/>
      </w:rPr>
    </w:lvl>
    <w:lvl w:ilvl="6" w:tplc="9F32E9D2" w:tentative="1">
      <w:start w:val="1"/>
      <w:numFmt w:val="bullet"/>
      <w:lvlText w:val=""/>
      <w:lvlJc w:val="left"/>
      <w:pPr>
        <w:tabs>
          <w:tab w:val="num" w:pos="5040"/>
        </w:tabs>
        <w:ind w:left="5040" w:hanging="360"/>
      </w:pPr>
      <w:rPr>
        <w:rFonts w:ascii="Wingdings" w:hAnsi="Wingdings" w:hint="default"/>
      </w:rPr>
    </w:lvl>
    <w:lvl w:ilvl="7" w:tplc="A70277AA" w:tentative="1">
      <w:start w:val="1"/>
      <w:numFmt w:val="bullet"/>
      <w:lvlText w:val=""/>
      <w:lvlJc w:val="left"/>
      <w:pPr>
        <w:tabs>
          <w:tab w:val="num" w:pos="5760"/>
        </w:tabs>
        <w:ind w:left="5760" w:hanging="360"/>
      </w:pPr>
      <w:rPr>
        <w:rFonts w:ascii="Wingdings" w:hAnsi="Wingdings" w:hint="default"/>
      </w:rPr>
    </w:lvl>
    <w:lvl w:ilvl="8" w:tplc="245C5B7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DC4375"/>
    <w:multiLevelType w:val="hybridMultilevel"/>
    <w:tmpl w:val="40BCEA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196902">
    <w:abstractNumId w:val="1"/>
  </w:num>
  <w:num w:numId="2" w16cid:durableId="1719357925">
    <w:abstractNumId w:val="2"/>
  </w:num>
  <w:num w:numId="3" w16cid:durableId="1592204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BC"/>
    <w:rsid w:val="000075C6"/>
    <w:rsid w:val="00012ACD"/>
    <w:rsid w:val="000506C5"/>
    <w:rsid w:val="00063D70"/>
    <w:rsid w:val="000666AF"/>
    <w:rsid w:val="0007274D"/>
    <w:rsid w:val="00094418"/>
    <w:rsid w:val="000C2D6F"/>
    <w:rsid w:val="00106BA6"/>
    <w:rsid w:val="00125CD3"/>
    <w:rsid w:val="00126BCE"/>
    <w:rsid w:val="00147F48"/>
    <w:rsid w:val="00167893"/>
    <w:rsid w:val="001938B2"/>
    <w:rsid w:val="00236F28"/>
    <w:rsid w:val="002404CE"/>
    <w:rsid w:val="002936F1"/>
    <w:rsid w:val="002B6D7D"/>
    <w:rsid w:val="002E74C1"/>
    <w:rsid w:val="003347BC"/>
    <w:rsid w:val="0037139E"/>
    <w:rsid w:val="00390413"/>
    <w:rsid w:val="00392E07"/>
    <w:rsid w:val="003A0E79"/>
    <w:rsid w:val="003C2ED8"/>
    <w:rsid w:val="003E33AA"/>
    <w:rsid w:val="003E5815"/>
    <w:rsid w:val="003F0EA7"/>
    <w:rsid w:val="003F4516"/>
    <w:rsid w:val="003F68BF"/>
    <w:rsid w:val="004564C8"/>
    <w:rsid w:val="0046640D"/>
    <w:rsid w:val="00485646"/>
    <w:rsid w:val="0048650E"/>
    <w:rsid w:val="004953A5"/>
    <w:rsid w:val="00542115"/>
    <w:rsid w:val="00567DDC"/>
    <w:rsid w:val="00571ED6"/>
    <w:rsid w:val="005859A3"/>
    <w:rsid w:val="00587A0F"/>
    <w:rsid w:val="00592FC0"/>
    <w:rsid w:val="005C1DEA"/>
    <w:rsid w:val="005E387D"/>
    <w:rsid w:val="00605850"/>
    <w:rsid w:val="00621DB7"/>
    <w:rsid w:val="00624574"/>
    <w:rsid w:val="00685932"/>
    <w:rsid w:val="006B10E5"/>
    <w:rsid w:val="006D1E47"/>
    <w:rsid w:val="006D52D0"/>
    <w:rsid w:val="006F4C3E"/>
    <w:rsid w:val="00732062"/>
    <w:rsid w:val="00737CE0"/>
    <w:rsid w:val="007644F9"/>
    <w:rsid w:val="00765233"/>
    <w:rsid w:val="007F7EA2"/>
    <w:rsid w:val="008031F1"/>
    <w:rsid w:val="00823E1A"/>
    <w:rsid w:val="008574AD"/>
    <w:rsid w:val="00874EBF"/>
    <w:rsid w:val="00897773"/>
    <w:rsid w:val="009100B3"/>
    <w:rsid w:val="0093254D"/>
    <w:rsid w:val="009423B3"/>
    <w:rsid w:val="0096151D"/>
    <w:rsid w:val="0096710A"/>
    <w:rsid w:val="00973B77"/>
    <w:rsid w:val="009B2BA3"/>
    <w:rsid w:val="009B5ABD"/>
    <w:rsid w:val="009F677B"/>
    <w:rsid w:val="00A50B62"/>
    <w:rsid w:val="00A96162"/>
    <w:rsid w:val="00AA5850"/>
    <w:rsid w:val="00AB62F1"/>
    <w:rsid w:val="00AC1464"/>
    <w:rsid w:val="00AF1724"/>
    <w:rsid w:val="00B06A1F"/>
    <w:rsid w:val="00BF7AF0"/>
    <w:rsid w:val="00C20879"/>
    <w:rsid w:val="00C21BE7"/>
    <w:rsid w:val="00C41E17"/>
    <w:rsid w:val="00C5614D"/>
    <w:rsid w:val="00C64CF2"/>
    <w:rsid w:val="00C74144"/>
    <w:rsid w:val="00CC7433"/>
    <w:rsid w:val="00CE4D98"/>
    <w:rsid w:val="00D43F27"/>
    <w:rsid w:val="00D45678"/>
    <w:rsid w:val="00D737FF"/>
    <w:rsid w:val="00D8020E"/>
    <w:rsid w:val="00D8409F"/>
    <w:rsid w:val="00D84B07"/>
    <w:rsid w:val="00DA58E8"/>
    <w:rsid w:val="00DB600B"/>
    <w:rsid w:val="00DD59C3"/>
    <w:rsid w:val="00DE64A8"/>
    <w:rsid w:val="00E12E46"/>
    <w:rsid w:val="00E23C11"/>
    <w:rsid w:val="00E8131E"/>
    <w:rsid w:val="00E920B4"/>
    <w:rsid w:val="00EB3558"/>
    <w:rsid w:val="00EC5D4D"/>
    <w:rsid w:val="00F006EF"/>
    <w:rsid w:val="00F36FC2"/>
    <w:rsid w:val="00FB7BC7"/>
    <w:rsid w:val="00FE5C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C16EB"/>
  <w15:chartTrackingRefBased/>
  <w15:docId w15:val="{8B05A555-8B14-4D43-98CB-71260E2F6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7BC"/>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334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4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7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7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7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7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7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47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7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7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7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7BC"/>
    <w:rPr>
      <w:rFonts w:eastAsiaTheme="majorEastAsia" w:cstheme="majorBidi"/>
      <w:color w:val="272727" w:themeColor="text1" w:themeTint="D8"/>
    </w:rPr>
  </w:style>
  <w:style w:type="paragraph" w:styleId="Title">
    <w:name w:val="Title"/>
    <w:basedOn w:val="Normal"/>
    <w:next w:val="Normal"/>
    <w:link w:val="TitleChar"/>
    <w:uiPriority w:val="10"/>
    <w:qFormat/>
    <w:rsid w:val="003347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7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7BC"/>
    <w:pPr>
      <w:spacing w:before="160"/>
      <w:jc w:val="center"/>
    </w:pPr>
    <w:rPr>
      <w:i/>
      <w:iCs/>
      <w:color w:val="404040" w:themeColor="text1" w:themeTint="BF"/>
    </w:rPr>
  </w:style>
  <w:style w:type="character" w:customStyle="1" w:styleId="QuoteChar">
    <w:name w:val="Quote Char"/>
    <w:basedOn w:val="DefaultParagraphFont"/>
    <w:link w:val="Quote"/>
    <w:uiPriority w:val="29"/>
    <w:rsid w:val="003347BC"/>
    <w:rPr>
      <w:i/>
      <w:iCs/>
      <w:color w:val="404040" w:themeColor="text1" w:themeTint="BF"/>
    </w:rPr>
  </w:style>
  <w:style w:type="paragraph" w:styleId="ListParagraph">
    <w:name w:val="List Paragraph"/>
    <w:basedOn w:val="Normal"/>
    <w:uiPriority w:val="34"/>
    <w:qFormat/>
    <w:rsid w:val="003347BC"/>
    <w:pPr>
      <w:ind w:left="720"/>
      <w:contextualSpacing/>
    </w:pPr>
  </w:style>
  <w:style w:type="character" w:styleId="IntenseEmphasis">
    <w:name w:val="Intense Emphasis"/>
    <w:basedOn w:val="DefaultParagraphFont"/>
    <w:uiPriority w:val="21"/>
    <w:qFormat/>
    <w:rsid w:val="003347BC"/>
    <w:rPr>
      <w:i/>
      <w:iCs/>
      <w:color w:val="0F4761" w:themeColor="accent1" w:themeShade="BF"/>
    </w:rPr>
  </w:style>
  <w:style w:type="paragraph" w:styleId="IntenseQuote">
    <w:name w:val="Intense Quote"/>
    <w:basedOn w:val="Normal"/>
    <w:next w:val="Normal"/>
    <w:link w:val="IntenseQuoteChar"/>
    <w:uiPriority w:val="30"/>
    <w:qFormat/>
    <w:rsid w:val="00334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7BC"/>
    <w:rPr>
      <w:i/>
      <w:iCs/>
      <w:color w:val="0F4761" w:themeColor="accent1" w:themeShade="BF"/>
    </w:rPr>
  </w:style>
  <w:style w:type="character" w:styleId="IntenseReference">
    <w:name w:val="Intense Reference"/>
    <w:basedOn w:val="DefaultParagraphFont"/>
    <w:uiPriority w:val="32"/>
    <w:qFormat/>
    <w:rsid w:val="003347BC"/>
    <w:rPr>
      <w:b/>
      <w:bCs/>
      <w:smallCaps/>
      <w:color w:val="0F4761" w:themeColor="accent1" w:themeShade="BF"/>
      <w:spacing w:val="5"/>
    </w:rPr>
  </w:style>
  <w:style w:type="character" w:styleId="Hyperlink">
    <w:name w:val="Hyperlink"/>
    <w:basedOn w:val="DefaultParagraphFont"/>
    <w:uiPriority w:val="99"/>
    <w:unhideWhenUsed/>
    <w:rsid w:val="00D84B07"/>
    <w:rPr>
      <w:color w:val="467886" w:themeColor="hyperlink"/>
      <w:u w:val="single"/>
    </w:rPr>
  </w:style>
  <w:style w:type="character" w:styleId="UnresolvedMention">
    <w:name w:val="Unresolved Mention"/>
    <w:basedOn w:val="DefaultParagraphFont"/>
    <w:uiPriority w:val="99"/>
    <w:semiHidden/>
    <w:unhideWhenUsed/>
    <w:rsid w:val="00DD59C3"/>
    <w:rPr>
      <w:color w:val="605E5C"/>
      <w:shd w:val="clear" w:color="auto" w:fill="E1DFDD"/>
    </w:rPr>
  </w:style>
  <w:style w:type="character" w:styleId="FollowedHyperlink">
    <w:name w:val="FollowedHyperlink"/>
    <w:basedOn w:val="DefaultParagraphFont"/>
    <w:uiPriority w:val="99"/>
    <w:semiHidden/>
    <w:unhideWhenUsed/>
    <w:rsid w:val="00E12E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en-us/nam/thematic-analysis/book248481" TargetMode="External"/><Relationship Id="rId13" Type="http://schemas.openxmlformats.org/officeDocument/2006/relationships/hyperlink" Target="https://ezproxy.uwtsd.ac.uk/login?url=https://www.vlebooks.com/product/openreader?id=TrinityStD&amp;accId=8886856&amp;isbn=9780429780141&amp;uid=%5eu" TargetMode="External"/><Relationship Id="rId3" Type="http://schemas.openxmlformats.org/officeDocument/2006/relationships/settings" Target="settings.xml"/><Relationship Id="rId7" Type="http://schemas.openxmlformats.org/officeDocument/2006/relationships/hyperlink" Target="https://doi.org/10.4324/9781041054054" TargetMode="External"/><Relationship Id="rId12" Type="http://schemas.openxmlformats.org/officeDocument/2006/relationships/hyperlink" Target="https://research-ebsco-com.uwtsd.idm.oclc.org/c/onvpsy/search/details/5qgj7d2h2n?db=nleb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zproxy.uwtsd.ac.uk/login?url=https://www.vlebooks.com/product/openreader?id=TrinityStD&amp;accId=8886856&amp;isbn=9780335253661&amp;uid=%5eu" TargetMode="External"/><Relationship Id="rId11" Type="http://schemas.openxmlformats.org/officeDocument/2006/relationships/hyperlink" Target="https://us.sagepub.com/en-us/nam/an-introduction-to-qualitative-research/book278983" TargetMode="External"/><Relationship Id="rId5" Type="http://schemas.openxmlformats.org/officeDocument/2006/relationships/hyperlink" Target="https://doi.org/10.4324/9781003268154" TargetMode="External"/><Relationship Id="rId15" Type="http://schemas.openxmlformats.org/officeDocument/2006/relationships/hyperlink" Target="https://doi.org/10.4324/9781003141693" TargetMode="External"/><Relationship Id="rId10" Type="http://schemas.openxmlformats.org/officeDocument/2006/relationships/hyperlink" Target="https://us.sagepub.com/en-us/nam/the-sage-handbook-of-qualitative-research/book275161" TargetMode="External"/><Relationship Id="rId4" Type="http://schemas.openxmlformats.org/officeDocument/2006/relationships/webSettings" Target="webSettings.xml"/><Relationship Id="rId9" Type="http://schemas.openxmlformats.org/officeDocument/2006/relationships/hyperlink" Target="https://us.sagepub.com/en-us/nam/designing-and-conducting-mixed-methods-research/book269004" TargetMode="External"/><Relationship Id="rId14" Type="http://schemas.openxmlformats.org/officeDocument/2006/relationships/hyperlink" Target="https://gradcoach.com/saunders-research-o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2327</Words>
  <Characters>13268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Thomas</dc:creator>
  <cp:keywords/>
  <dc:description/>
  <cp:lastModifiedBy>Seren Thomas</cp:lastModifiedBy>
  <cp:revision>97</cp:revision>
  <dcterms:created xsi:type="dcterms:W3CDTF">2025-12-21T23:02:00Z</dcterms:created>
  <dcterms:modified xsi:type="dcterms:W3CDTF">2026-02-06T16:00:00Z</dcterms:modified>
</cp:coreProperties>
</file>