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304D" w:rsidRPr="008C7E0B" w:rsidRDefault="008C7E0B">
      <w:pPr>
        <w:rPr>
          <w:b/>
        </w:rPr>
      </w:pPr>
      <w:bookmarkStart w:id="0" w:name="_GoBack"/>
      <w:bookmarkEnd w:id="0"/>
      <w:r w:rsidRPr="008C7E0B">
        <w:rPr>
          <w:b/>
        </w:rPr>
        <w:t>Week four case exercise</w:t>
      </w:r>
    </w:p>
    <w:p w:rsidR="008C7E0B" w:rsidRPr="008C7E0B" w:rsidRDefault="008C7E0B" w:rsidP="008C7E0B">
      <w:pPr>
        <w:rPr>
          <w:b/>
        </w:rPr>
      </w:pPr>
      <w:r w:rsidRPr="008C7E0B">
        <w:rPr>
          <w:b/>
        </w:rPr>
        <w:t>Case study: B&amp;Q – the business case for diversity</w:t>
      </w:r>
    </w:p>
    <w:p w:rsidR="008C7E0B" w:rsidRDefault="008C7E0B" w:rsidP="008C7E0B">
      <w:r>
        <w:t xml:space="preserve">This week has considered two different attitudes to the issue of difference and diversity in the workforce. The first approach seeks to understand the nature of disadvantage as an aspect of ‘difference’. It examines the effects of difference on the life chances and </w:t>
      </w:r>
      <w:proofErr w:type="gramStart"/>
      <w:r>
        <w:t>employment prospects of certain specific groups – women, people from ethnic minority backgrounds, people with disabilities, for instance – and seeks</w:t>
      </w:r>
      <w:proofErr w:type="gramEnd"/>
      <w:r>
        <w:t xml:space="preserve"> to understand how individuals from such groups might find themselves at a disadvantage, for example, in the labour market. The effects of unfair discrimination by employers, whether direct or indirect, deliberate or inadvertent, can be very significant and damaging to the lives and prospects of many. It therefore seems both rational and morally desirable for a society to address issues of unfair discrimination, not only by raising awareness through information campaigns, but also by using legislative means to ensure that employers behave appropriately.</w:t>
      </w:r>
    </w:p>
    <w:p w:rsidR="008C7E0B" w:rsidRDefault="008C7E0B" w:rsidP="008C7E0B">
      <w:r>
        <w:t>Both UK and European Union (EU) legislation protects an increasing number of groups identified as being disadvantaged. A relatively recent addition is age discrimination. Whilst there is considerable interest in the impact of the regulations on older workers, they are not specifically intended to protect any particular age group. There were reports that some organisations attempted to evade what they saw as the potential costs of the legislation by forcing older workers out before the law came into effect. This may be because the potential compensation awards by Employment Tribunals for unfair dismissal on age discrimination grounds is unlimited, as it is for other types of discrimination. The number of Employment Tribunal claims related to age discrimination increased substantially from 972 in the initial year 2006/7 to a high of 6,800 in 2010/11; however, it has dropped since the introduction of fees for lodging a claim in the summer of 2013. Nevertheless, average awards of £18,800 were recorded in 2013/-14 with the highest award being £137,000 showing that age discrimination can result in significant penalties to an employer.</w:t>
      </w:r>
    </w:p>
    <w:p w:rsidR="008C7E0B" w:rsidRDefault="008C7E0B" w:rsidP="008C7E0B">
      <w:r>
        <w:t>As we have also seen, the second approach or ‘business case’ for promoting diversity provides a rather different rationale for organisations to operate inclusive and open personnel policies and practices. The argument is well summarised in the view that business success is dependent on both employing talented staff and attracting customers. The commercial risk associated with ignoring groups of people who might be potential employees or customers makes a strong business case for a business to establish a diversity programme. These arguments might be more likely to command the support of business owners and shareholders than appeals to less tangible principles such as social justice.</w:t>
      </w:r>
    </w:p>
    <w:p w:rsidR="008C7E0B" w:rsidRPr="008C7E0B" w:rsidRDefault="008C7E0B" w:rsidP="008C7E0B">
      <w:pPr>
        <w:rPr>
          <w:b/>
        </w:rPr>
      </w:pPr>
      <w:r w:rsidRPr="008C7E0B">
        <w:rPr>
          <w:b/>
        </w:rPr>
        <w:t>Tasks</w:t>
      </w:r>
    </w:p>
    <w:p w:rsidR="008C7E0B" w:rsidRDefault="008C7E0B" w:rsidP="008C7E0B">
      <w:r>
        <w:t>1. Why did B&amp;Q adopt its present approach to diversity? How far do you agree or disagree with these reasons for its action, and why?</w:t>
      </w:r>
    </w:p>
    <w:p w:rsidR="008C7E0B" w:rsidRDefault="008C7E0B" w:rsidP="008C7E0B">
      <w:r>
        <w:t>2. Review B&amp;Q’s approach in the light of theories about personality. Which of the theoretical approaches do you think might best explain the company’s approach to its staff and customers?</w:t>
      </w:r>
    </w:p>
    <w:p w:rsidR="008C7E0B" w:rsidRDefault="008C7E0B" w:rsidP="008C7E0B">
      <w:r>
        <w:t>3. How might the B&amp;Q approach to diversity encourage individuals (both staff and customers) to contribute to the organisation’s commercial performance?</w:t>
      </w:r>
    </w:p>
    <w:p w:rsidR="008C7E0B" w:rsidRDefault="008C7E0B" w:rsidP="008C7E0B">
      <w:r>
        <w:lastRenderedPageBreak/>
        <w:t>4. B&amp;Q operates in a very specific sector, namely retail DIY building and gardening materials and equipment. Would its approach to diversity translate to other types of organisation, for example, an on-line or telephone retail insurance company (e.g. selling for motor, travel or home insurance), a car manufacturer, or a state-run school or hospital?</w:t>
      </w:r>
    </w:p>
    <w:sectPr w:rsidR="008C7E0B">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0A33" w:rsidRDefault="00710A33" w:rsidP="00710A33">
      <w:pPr>
        <w:spacing w:after="0" w:line="240" w:lineRule="auto"/>
      </w:pPr>
      <w:r>
        <w:separator/>
      </w:r>
    </w:p>
  </w:endnote>
  <w:endnote w:type="continuationSeparator" w:id="0">
    <w:p w:rsidR="00710A33" w:rsidRDefault="00710A33" w:rsidP="00710A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65968798"/>
      <w:docPartObj>
        <w:docPartGallery w:val="Page Numbers (Bottom of Page)"/>
        <w:docPartUnique/>
      </w:docPartObj>
    </w:sdtPr>
    <w:sdtEndPr>
      <w:rPr>
        <w:noProof/>
      </w:rPr>
    </w:sdtEndPr>
    <w:sdtContent>
      <w:p w:rsidR="00710A33" w:rsidRDefault="00710A33">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rsidR="00710A33" w:rsidRDefault="00710A3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0A33" w:rsidRDefault="00710A33" w:rsidP="00710A33">
      <w:pPr>
        <w:spacing w:after="0" w:line="240" w:lineRule="auto"/>
      </w:pPr>
      <w:r>
        <w:separator/>
      </w:r>
    </w:p>
  </w:footnote>
  <w:footnote w:type="continuationSeparator" w:id="0">
    <w:p w:rsidR="00710A33" w:rsidRDefault="00710A33" w:rsidP="00710A3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7E0B"/>
    <w:rsid w:val="00710A33"/>
    <w:rsid w:val="00834B16"/>
    <w:rsid w:val="008C7E0B"/>
    <w:rsid w:val="008C7FE8"/>
    <w:rsid w:val="00A21B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sfsdfsd">
    <w:name w:val="dsfsdfsd"/>
    <w:basedOn w:val="Normal"/>
    <w:qFormat/>
    <w:rsid w:val="008C7FE8"/>
  </w:style>
  <w:style w:type="paragraph" w:styleId="Header">
    <w:name w:val="header"/>
    <w:basedOn w:val="Normal"/>
    <w:link w:val="HeaderChar"/>
    <w:uiPriority w:val="99"/>
    <w:unhideWhenUsed/>
    <w:rsid w:val="00710A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0A33"/>
  </w:style>
  <w:style w:type="paragraph" w:styleId="Footer">
    <w:name w:val="footer"/>
    <w:basedOn w:val="Normal"/>
    <w:link w:val="FooterChar"/>
    <w:uiPriority w:val="99"/>
    <w:unhideWhenUsed/>
    <w:rsid w:val="00710A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0A3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sfsdfsd">
    <w:name w:val="dsfsdfsd"/>
    <w:basedOn w:val="Normal"/>
    <w:qFormat/>
    <w:rsid w:val="008C7FE8"/>
  </w:style>
  <w:style w:type="paragraph" w:styleId="Header">
    <w:name w:val="header"/>
    <w:basedOn w:val="Normal"/>
    <w:link w:val="HeaderChar"/>
    <w:uiPriority w:val="99"/>
    <w:unhideWhenUsed/>
    <w:rsid w:val="00710A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0A33"/>
  </w:style>
  <w:style w:type="paragraph" w:styleId="Footer">
    <w:name w:val="footer"/>
    <w:basedOn w:val="Normal"/>
    <w:link w:val="FooterChar"/>
    <w:uiPriority w:val="99"/>
    <w:unhideWhenUsed/>
    <w:rsid w:val="00710A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0A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554</Words>
  <Characters>3164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3711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Anthony Burns</dc:creator>
  <cp:lastModifiedBy>Anthony Burns</cp:lastModifiedBy>
  <cp:revision>2</cp:revision>
  <dcterms:created xsi:type="dcterms:W3CDTF">2017-08-09T10:04:00Z</dcterms:created>
  <dcterms:modified xsi:type="dcterms:W3CDTF">2017-09-12T10:07:00Z</dcterms:modified>
</cp:coreProperties>
</file>