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6B3AD1"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7296FC0C" w:rsidR="00CD33A8" w:rsidRPr="00C552BC" w:rsidRDefault="00CD33A8" w:rsidP="00CD33A8">
      <w:pPr>
        <w:tabs>
          <w:tab w:val="left" w:pos="6540"/>
        </w:tabs>
        <w:spacing w:line="360" w:lineRule="auto"/>
        <w:rPr>
          <w:rFonts w:ascii="Arial" w:hAnsi="Arial" w:cs="Arial"/>
          <w:sz w:val="22"/>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C552BC" w:rsidRPr="004C13D0">
        <w:rPr>
          <w:rFonts w:ascii="Arial" w:hAnsi="Arial" w:cs="Arial"/>
          <w:sz w:val="28"/>
          <w:szCs w:val="28"/>
          <w:lang w:val="nl-NL"/>
        </w:rPr>
        <w:t>INTRODUCTION HEALTH AND SOCIAL CARE</w:t>
      </w:r>
    </w:p>
    <w:p w14:paraId="537571AF" w14:textId="30A2FBE8"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 xml:space="preserve">Module </w:t>
      </w:r>
      <w:r w:rsidR="003204A6" w:rsidRPr="00CD33A8">
        <w:rPr>
          <w:rFonts w:ascii="Arial" w:hAnsi="Arial" w:cs="Arial"/>
          <w:b/>
          <w:bCs/>
          <w:sz w:val="28"/>
          <w:szCs w:val="28"/>
        </w:rPr>
        <w:t>code</w:t>
      </w:r>
      <w:r w:rsidR="004C13D0">
        <w:rPr>
          <w:rFonts w:ascii="Arial" w:hAnsi="Arial" w:cs="Arial"/>
          <w:sz w:val="28"/>
          <w:szCs w:val="28"/>
        </w:rPr>
        <w:t xml:space="preserve">: </w:t>
      </w:r>
      <w:r w:rsidR="003204A6">
        <w:rPr>
          <w:rFonts w:ascii="Arial" w:hAnsi="Arial" w:cs="Arial"/>
          <w:sz w:val="28"/>
          <w:szCs w:val="28"/>
        </w:rPr>
        <w:t>LCHS4003</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1C2FF407"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3204A6">
        <w:rPr>
          <w:rFonts w:ascii="Arial" w:hAnsi="Arial" w:cs="Arial"/>
          <w:sz w:val="28"/>
          <w:szCs w:val="28"/>
          <w:lang w:val="nl-NL"/>
        </w:rPr>
        <w:t xml:space="preserve"> Meherun Nessa Chowdhury</w:t>
      </w:r>
    </w:p>
    <w:p w14:paraId="39AA4413" w14:textId="65D3B828"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4C13D0">
        <w:rPr>
          <w:rFonts w:ascii="Arial" w:hAnsi="Arial" w:cs="Arial"/>
          <w:sz w:val="28"/>
          <w:szCs w:val="28"/>
          <w:lang w:val="nl-NL"/>
        </w:rPr>
        <w:t xml:space="preserve"> </w:t>
      </w:r>
      <w:r w:rsidR="00E076C5">
        <w:rPr>
          <w:rFonts w:ascii="Arial" w:hAnsi="Arial" w:cs="Arial"/>
          <w:sz w:val="28"/>
          <w:szCs w:val="28"/>
          <w:lang w:val="nl-NL"/>
        </w:rPr>
        <w:t>2</w:t>
      </w:r>
      <w:r w:rsidR="004C13D0">
        <w:rPr>
          <w:rFonts w:ascii="Arial" w:hAnsi="Arial" w:cs="Arial"/>
          <w:sz w:val="28"/>
          <w:szCs w:val="28"/>
          <w:lang w:val="nl-NL"/>
        </w:rPr>
        <w:t>516013</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6C3EB227"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E076C5">
        <w:rPr>
          <w:rFonts w:ascii="Arial" w:hAnsi="Arial" w:cs="Arial"/>
          <w:sz w:val="28"/>
          <w:szCs w:val="28"/>
        </w:rPr>
        <w:t xml:space="preserve">  Mark Kane</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sdt>
      <w:sdtPr>
        <w:rPr>
          <w:rFonts w:ascii="Times New Roman" w:eastAsiaTheme="minorHAnsi" w:hAnsi="Times New Roman" w:cstheme="minorBidi"/>
          <w:b w:val="0"/>
          <w:bCs w:val="0"/>
          <w:color w:val="auto"/>
          <w:sz w:val="24"/>
          <w:szCs w:val="22"/>
          <w:lang w:val="en-GB"/>
        </w:rPr>
        <w:id w:val="1819692326"/>
        <w:docPartObj>
          <w:docPartGallery w:val="Table of Contents"/>
          <w:docPartUnique/>
        </w:docPartObj>
      </w:sdtPr>
      <w:sdtEndPr>
        <w:rPr>
          <w:noProof/>
        </w:rPr>
      </w:sdtEndPr>
      <w:sdtContent>
        <w:p w14:paraId="7EDACB5B" w14:textId="7387A7C1" w:rsidR="001E08A5" w:rsidRDefault="001E08A5">
          <w:pPr>
            <w:pStyle w:val="TOCHeading"/>
          </w:pPr>
          <w:r>
            <w:t>Table of Contents</w:t>
          </w:r>
        </w:p>
        <w:p w14:paraId="40020CDE" w14:textId="5716D52D" w:rsidR="001E08A5" w:rsidRDefault="001E08A5">
          <w:pPr>
            <w:pStyle w:val="TOC1"/>
            <w:tabs>
              <w:tab w:val="right" w:leader="dot" w:pos="9016"/>
            </w:tabs>
            <w:rPr>
              <w:rFonts w:eastAsiaTheme="minorEastAsia" w:cstheme="minorBidi"/>
              <w:b w:val="0"/>
              <w:bCs w:val="0"/>
              <w:caps/>
              <w:noProof/>
              <w:kern w:val="2"/>
              <w:sz w:val="24"/>
              <w:szCs w:val="24"/>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27321262" w:history="1">
            <w:r w:rsidRPr="00DD0271">
              <w:rPr>
                <w:rStyle w:val="Hyperlink"/>
                <w:noProof/>
              </w:rPr>
              <w:t>1. Introduction</w:t>
            </w:r>
            <w:r>
              <w:rPr>
                <w:noProof/>
                <w:webHidden/>
              </w:rPr>
              <w:tab/>
            </w:r>
            <w:r>
              <w:rPr>
                <w:noProof/>
                <w:webHidden/>
              </w:rPr>
              <w:fldChar w:fldCharType="begin"/>
            </w:r>
            <w:r>
              <w:rPr>
                <w:noProof/>
                <w:webHidden/>
              </w:rPr>
              <w:instrText xml:space="preserve"> PAGEREF _Toc227321262 \h </w:instrText>
            </w:r>
            <w:r>
              <w:rPr>
                <w:noProof/>
                <w:webHidden/>
              </w:rPr>
            </w:r>
            <w:r>
              <w:rPr>
                <w:noProof/>
                <w:webHidden/>
              </w:rPr>
              <w:fldChar w:fldCharType="separate"/>
            </w:r>
            <w:r>
              <w:rPr>
                <w:noProof/>
                <w:webHidden/>
              </w:rPr>
              <w:t>3</w:t>
            </w:r>
            <w:r>
              <w:rPr>
                <w:noProof/>
                <w:webHidden/>
              </w:rPr>
              <w:fldChar w:fldCharType="end"/>
            </w:r>
          </w:hyperlink>
        </w:p>
        <w:p w14:paraId="29B47997" w14:textId="02B0E3F0" w:rsidR="001E08A5" w:rsidRDefault="001E08A5">
          <w:pPr>
            <w:pStyle w:val="TOC1"/>
            <w:tabs>
              <w:tab w:val="right" w:leader="dot" w:pos="9016"/>
            </w:tabs>
            <w:rPr>
              <w:rFonts w:eastAsiaTheme="minorEastAsia" w:cstheme="minorBidi"/>
              <w:b w:val="0"/>
              <w:bCs w:val="0"/>
              <w:caps/>
              <w:noProof/>
              <w:kern w:val="2"/>
              <w:sz w:val="24"/>
              <w:szCs w:val="24"/>
              <w:lang w:eastAsia="en-GB"/>
              <w14:ligatures w14:val="standardContextual"/>
            </w:rPr>
          </w:pPr>
          <w:hyperlink w:anchor="_Toc227321263" w:history="1">
            <w:r w:rsidRPr="00DD0271">
              <w:rPr>
                <w:rStyle w:val="Hyperlink"/>
                <w:noProof/>
              </w:rPr>
              <w:t>2. Importance of effective communication</w:t>
            </w:r>
            <w:r>
              <w:rPr>
                <w:noProof/>
                <w:webHidden/>
              </w:rPr>
              <w:tab/>
            </w:r>
            <w:r>
              <w:rPr>
                <w:noProof/>
                <w:webHidden/>
              </w:rPr>
              <w:fldChar w:fldCharType="begin"/>
            </w:r>
            <w:r>
              <w:rPr>
                <w:noProof/>
                <w:webHidden/>
              </w:rPr>
              <w:instrText xml:space="preserve"> PAGEREF _Toc227321263 \h </w:instrText>
            </w:r>
            <w:r>
              <w:rPr>
                <w:noProof/>
                <w:webHidden/>
              </w:rPr>
            </w:r>
            <w:r>
              <w:rPr>
                <w:noProof/>
                <w:webHidden/>
              </w:rPr>
              <w:fldChar w:fldCharType="separate"/>
            </w:r>
            <w:r>
              <w:rPr>
                <w:noProof/>
                <w:webHidden/>
              </w:rPr>
              <w:t>4</w:t>
            </w:r>
            <w:r>
              <w:rPr>
                <w:noProof/>
                <w:webHidden/>
              </w:rPr>
              <w:fldChar w:fldCharType="end"/>
            </w:r>
          </w:hyperlink>
        </w:p>
        <w:p w14:paraId="0BA960A3" w14:textId="47DC792C" w:rsidR="001E08A5" w:rsidRDefault="001E08A5">
          <w:pPr>
            <w:pStyle w:val="TOC1"/>
            <w:tabs>
              <w:tab w:val="right" w:leader="dot" w:pos="9016"/>
            </w:tabs>
            <w:rPr>
              <w:rFonts w:eastAsiaTheme="minorEastAsia" w:cstheme="minorBidi"/>
              <w:b w:val="0"/>
              <w:bCs w:val="0"/>
              <w:caps/>
              <w:noProof/>
              <w:kern w:val="2"/>
              <w:sz w:val="24"/>
              <w:szCs w:val="24"/>
              <w:lang w:eastAsia="en-GB"/>
              <w14:ligatures w14:val="standardContextual"/>
            </w:rPr>
          </w:pPr>
          <w:hyperlink w:anchor="_Toc227321264" w:history="1">
            <w:r w:rsidRPr="00DD0271">
              <w:rPr>
                <w:rStyle w:val="Hyperlink"/>
                <w:noProof/>
              </w:rPr>
              <w:t>3. Importance of good administrative skills</w:t>
            </w:r>
            <w:r>
              <w:rPr>
                <w:noProof/>
                <w:webHidden/>
              </w:rPr>
              <w:tab/>
            </w:r>
            <w:r>
              <w:rPr>
                <w:noProof/>
                <w:webHidden/>
              </w:rPr>
              <w:fldChar w:fldCharType="begin"/>
            </w:r>
            <w:r>
              <w:rPr>
                <w:noProof/>
                <w:webHidden/>
              </w:rPr>
              <w:instrText xml:space="preserve"> PAGEREF _Toc227321264 \h </w:instrText>
            </w:r>
            <w:r>
              <w:rPr>
                <w:noProof/>
                <w:webHidden/>
              </w:rPr>
            </w:r>
            <w:r>
              <w:rPr>
                <w:noProof/>
                <w:webHidden/>
              </w:rPr>
              <w:fldChar w:fldCharType="separate"/>
            </w:r>
            <w:r>
              <w:rPr>
                <w:noProof/>
                <w:webHidden/>
              </w:rPr>
              <w:t>5</w:t>
            </w:r>
            <w:r>
              <w:rPr>
                <w:noProof/>
                <w:webHidden/>
              </w:rPr>
              <w:fldChar w:fldCharType="end"/>
            </w:r>
          </w:hyperlink>
        </w:p>
        <w:p w14:paraId="7BED0B54" w14:textId="4BF12425" w:rsidR="001E08A5" w:rsidRDefault="001E08A5">
          <w:pPr>
            <w:pStyle w:val="TOC1"/>
            <w:tabs>
              <w:tab w:val="right" w:leader="dot" w:pos="9016"/>
            </w:tabs>
            <w:rPr>
              <w:rFonts w:eastAsiaTheme="minorEastAsia" w:cstheme="minorBidi"/>
              <w:b w:val="0"/>
              <w:bCs w:val="0"/>
              <w:caps/>
              <w:noProof/>
              <w:kern w:val="2"/>
              <w:sz w:val="24"/>
              <w:szCs w:val="24"/>
              <w:lang w:eastAsia="en-GB"/>
              <w14:ligatures w14:val="standardContextual"/>
            </w:rPr>
          </w:pPr>
          <w:hyperlink w:anchor="_Toc227321265" w:history="1">
            <w:r w:rsidRPr="00DD0271">
              <w:rPr>
                <w:rStyle w:val="Hyperlink"/>
                <w:noProof/>
              </w:rPr>
              <w:t>4. Importance of working collaboratively</w:t>
            </w:r>
            <w:r>
              <w:rPr>
                <w:noProof/>
                <w:webHidden/>
              </w:rPr>
              <w:tab/>
            </w:r>
            <w:r>
              <w:rPr>
                <w:noProof/>
                <w:webHidden/>
              </w:rPr>
              <w:fldChar w:fldCharType="begin"/>
            </w:r>
            <w:r>
              <w:rPr>
                <w:noProof/>
                <w:webHidden/>
              </w:rPr>
              <w:instrText xml:space="preserve"> PAGEREF _Toc227321265 \h </w:instrText>
            </w:r>
            <w:r>
              <w:rPr>
                <w:noProof/>
                <w:webHidden/>
              </w:rPr>
            </w:r>
            <w:r>
              <w:rPr>
                <w:noProof/>
                <w:webHidden/>
              </w:rPr>
              <w:fldChar w:fldCharType="separate"/>
            </w:r>
            <w:r>
              <w:rPr>
                <w:noProof/>
                <w:webHidden/>
              </w:rPr>
              <w:t>6</w:t>
            </w:r>
            <w:r>
              <w:rPr>
                <w:noProof/>
                <w:webHidden/>
              </w:rPr>
              <w:fldChar w:fldCharType="end"/>
            </w:r>
          </w:hyperlink>
        </w:p>
        <w:p w14:paraId="4FD8859C" w14:textId="2EAADC78" w:rsidR="001E08A5" w:rsidRDefault="001E08A5">
          <w:pPr>
            <w:pStyle w:val="TOC1"/>
            <w:tabs>
              <w:tab w:val="right" w:leader="dot" w:pos="9016"/>
            </w:tabs>
            <w:rPr>
              <w:rStyle w:val="Hyperlink"/>
              <w:noProof/>
            </w:rPr>
          </w:pPr>
          <w:hyperlink w:anchor="_Toc227321266" w:history="1">
            <w:r w:rsidRPr="00DD0271">
              <w:rPr>
                <w:rStyle w:val="Hyperlink"/>
                <w:noProof/>
              </w:rPr>
              <w:t>Conclusion</w:t>
            </w:r>
            <w:r>
              <w:rPr>
                <w:noProof/>
                <w:webHidden/>
              </w:rPr>
              <w:tab/>
            </w:r>
            <w:r>
              <w:rPr>
                <w:noProof/>
                <w:webHidden/>
              </w:rPr>
              <w:fldChar w:fldCharType="begin"/>
            </w:r>
            <w:r>
              <w:rPr>
                <w:noProof/>
                <w:webHidden/>
              </w:rPr>
              <w:instrText xml:space="preserve"> PAGEREF _Toc227321266 \h </w:instrText>
            </w:r>
            <w:r>
              <w:rPr>
                <w:noProof/>
                <w:webHidden/>
              </w:rPr>
            </w:r>
            <w:r>
              <w:rPr>
                <w:noProof/>
                <w:webHidden/>
              </w:rPr>
              <w:fldChar w:fldCharType="separate"/>
            </w:r>
            <w:r>
              <w:rPr>
                <w:noProof/>
                <w:webHidden/>
              </w:rPr>
              <w:t>7</w:t>
            </w:r>
            <w:r>
              <w:rPr>
                <w:noProof/>
                <w:webHidden/>
              </w:rPr>
              <w:fldChar w:fldCharType="end"/>
            </w:r>
          </w:hyperlink>
        </w:p>
        <w:p w14:paraId="6636536C" w14:textId="35971FA1" w:rsidR="001E08A5" w:rsidRPr="001E08A5" w:rsidRDefault="001E08A5" w:rsidP="001E08A5">
          <w:pPr>
            <w:rPr>
              <w:rFonts w:ascii="Calibri" w:hAnsi="Calibri" w:cs="Calibri"/>
              <w:b/>
              <w:bCs/>
              <w:sz w:val="20"/>
              <w:szCs w:val="20"/>
            </w:rPr>
          </w:pPr>
          <w:r w:rsidRPr="001E08A5">
            <w:rPr>
              <w:rFonts w:ascii="Calibri" w:hAnsi="Calibri" w:cs="Calibri"/>
              <w:b/>
              <w:bCs/>
              <w:sz w:val="20"/>
              <w:szCs w:val="20"/>
            </w:rPr>
            <w:t>References………………………………………………………………………………………………………………………</w:t>
          </w:r>
          <w:r>
            <w:rPr>
              <w:rFonts w:ascii="Calibri" w:hAnsi="Calibri" w:cs="Calibri"/>
              <w:b/>
              <w:bCs/>
              <w:sz w:val="20"/>
              <w:szCs w:val="20"/>
            </w:rPr>
            <w:t>……………………………</w:t>
          </w:r>
          <w:r w:rsidRPr="001E08A5">
            <w:rPr>
              <w:rFonts w:ascii="Calibri" w:hAnsi="Calibri" w:cs="Calibri"/>
              <w:b/>
              <w:bCs/>
              <w:sz w:val="20"/>
              <w:szCs w:val="20"/>
            </w:rPr>
            <w:t>8</w:t>
          </w:r>
        </w:p>
        <w:p w14:paraId="20D4B5EA" w14:textId="77777777" w:rsidR="001E08A5" w:rsidRPr="001E08A5" w:rsidRDefault="001E08A5" w:rsidP="001E08A5">
          <w:pPr>
            <w:rPr>
              <w:rFonts w:ascii="Calibri" w:hAnsi="Calibri" w:cs="Calibri"/>
              <w:b/>
              <w:bCs/>
            </w:rPr>
          </w:pPr>
        </w:p>
        <w:p w14:paraId="3A179788" w14:textId="77777777" w:rsidR="001E08A5" w:rsidRPr="001E08A5" w:rsidRDefault="001E08A5" w:rsidP="001E08A5">
          <w:pPr>
            <w:rPr>
              <w:b/>
              <w:bCs/>
            </w:rPr>
          </w:pPr>
        </w:p>
        <w:p w14:paraId="2AB85EBE" w14:textId="6BD8B43E" w:rsidR="001E08A5" w:rsidRDefault="001E08A5">
          <w:r>
            <w:rPr>
              <w:b/>
              <w:bCs/>
              <w:noProof/>
            </w:rPr>
            <w:fldChar w:fldCharType="end"/>
          </w:r>
        </w:p>
      </w:sdtContent>
    </w:sdt>
    <w:p w14:paraId="4F7320CB" w14:textId="505A010A" w:rsidR="00B87E75" w:rsidRPr="00283C2B" w:rsidRDefault="00B87E75" w:rsidP="00244201">
      <w:pPr>
        <w:spacing w:line="360" w:lineRule="auto"/>
        <w:rPr>
          <w:rFonts w:asciiTheme="minorBidi" w:hAnsiTheme="minorBidi"/>
          <w:sz w:val="22"/>
        </w:rPr>
      </w:pPr>
      <w:r w:rsidRPr="00283C2B">
        <w:rPr>
          <w:rFonts w:asciiTheme="minorBidi" w:hAnsiTheme="minorBidi"/>
          <w:sz w:val="22"/>
        </w:rPr>
        <w:br w:type="page"/>
      </w:r>
    </w:p>
    <w:p w14:paraId="12D76753" w14:textId="393172FB" w:rsidR="00B87E75" w:rsidRPr="00CD33A8" w:rsidRDefault="00B87E75" w:rsidP="00556F48">
      <w:pPr>
        <w:pStyle w:val="Heading1"/>
      </w:pPr>
      <w:bookmarkStart w:id="0" w:name="_Toc227321262"/>
      <w:r w:rsidRPr="00CD33A8">
        <w:lastRenderedPageBreak/>
        <w:t>1. Introduction</w:t>
      </w:r>
      <w:bookmarkEnd w:id="0"/>
    </w:p>
    <w:p w14:paraId="14BF3272" w14:textId="17C70EE2" w:rsidR="0026393A" w:rsidRDefault="00F43B3B" w:rsidP="00244201">
      <w:pPr>
        <w:tabs>
          <w:tab w:val="left" w:pos="6540"/>
        </w:tabs>
        <w:spacing w:line="360" w:lineRule="auto"/>
        <w:rPr>
          <w:rFonts w:ascii="Arial" w:hAnsi="Arial" w:cs="Arial"/>
          <w:sz w:val="22"/>
        </w:rPr>
      </w:pPr>
      <w:r>
        <w:rPr>
          <w:rFonts w:ascii="Arial" w:hAnsi="Arial" w:cs="Arial"/>
          <w:sz w:val="22"/>
        </w:rPr>
        <w:t xml:space="preserve">This report examines the care needs of Mr Ahmed, a </w:t>
      </w:r>
      <w:r w:rsidR="004928BC">
        <w:rPr>
          <w:rFonts w:ascii="Arial" w:hAnsi="Arial" w:cs="Arial"/>
          <w:sz w:val="22"/>
        </w:rPr>
        <w:t>68-year-old</w:t>
      </w:r>
      <w:r>
        <w:rPr>
          <w:rFonts w:ascii="Arial" w:hAnsi="Arial" w:cs="Arial"/>
          <w:sz w:val="22"/>
        </w:rPr>
        <w:t xml:space="preserve"> stroke patient receiving domiciliary support following hospital discharge. The case highlights key aspects of health and social care practice, including effective communication, administrative competence, and collaborative working within a multidisciplinary team. Mr Ahmed’s limited English proficiency and reliance on his wife for communication present further challenged which should be addressed to ensure safe, person-centred care. Furthermore, a recent missed care visit leading to delayed medication administration raises concerns regarding service delivery and accountability. </w:t>
      </w:r>
    </w:p>
    <w:p w14:paraId="223FD7F3" w14:textId="787A6255" w:rsidR="00F43B3B" w:rsidRDefault="00F43B3B" w:rsidP="00244201">
      <w:pPr>
        <w:tabs>
          <w:tab w:val="left" w:pos="6540"/>
        </w:tabs>
        <w:spacing w:line="360" w:lineRule="auto"/>
        <w:rPr>
          <w:rFonts w:ascii="Arial" w:hAnsi="Arial" w:cs="Arial"/>
          <w:sz w:val="22"/>
        </w:rPr>
      </w:pPr>
      <w:r>
        <w:rPr>
          <w:rFonts w:ascii="Arial" w:hAnsi="Arial" w:cs="Arial"/>
          <w:sz w:val="22"/>
        </w:rPr>
        <w:t xml:space="preserve">This report will first explore the importance of effective communication, referencing the Equality Act 2010 and a recognised communication model. It will go on to discuss the role of administrative skills, including that of record keeping and data protection under the Data Protection Act 2018. Finally, it will examine the importance of collaborative working between professionals, and strategies to be used to overcome challenges in multi-agency care. </w:t>
      </w:r>
    </w:p>
    <w:p w14:paraId="68C53673" w14:textId="77777777" w:rsidR="008E3943" w:rsidRPr="00CD33A8" w:rsidRDefault="008E3943" w:rsidP="00244201">
      <w:pPr>
        <w:tabs>
          <w:tab w:val="left" w:pos="6540"/>
        </w:tabs>
        <w:spacing w:line="360" w:lineRule="auto"/>
        <w:rPr>
          <w:rFonts w:ascii="Arial" w:hAnsi="Arial" w:cs="Arial"/>
          <w:sz w:val="22"/>
        </w:rPr>
      </w:pPr>
    </w:p>
    <w:p w14:paraId="52010A5E" w14:textId="77777777" w:rsidR="0026393A" w:rsidRPr="00CD33A8" w:rsidRDefault="0026393A" w:rsidP="00244201">
      <w:pPr>
        <w:tabs>
          <w:tab w:val="left" w:pos="6540"/>
        </w:tabs>
        <w:spacing w:line="360" w:lineRule="auto"/>
        <w:rPr>
          <w:rFonts w:ascii="Arial" w:hAnsi="Arial" w:cs="Arial"/>
          <w:sz w:val="22"/>
        </w:rPr>
      </w:pPr>
    </w:p>
    <w:p w14:paraId="6469017A" w14:textId="77777777" w:rsidR="00556F48" w:rsidRDefault="00556F48" w:rsidP="00556F48">
      <w:pPr>
        <w:pStyle w:val="Heading1"/>
      </w:pPr>
    </w:p>
    <w:p w14:paraId="2FD0D73D" w14:textId="77777777" w:rsidR="00556F48" w:rsidRDefault="00556F48" w:rsidP="00556F48">
      <w:pPr>
        <w:pStyle w:val="Heading1"/>
      </w:pPr>
    </w:p>
    <w:p w14:paraId="58C2630D" w14:textId="77777777" w:rsidR="00556F48" w:rsidRDefault="00556F48" w:rsidP="00556F48">
      <w:pPr>
        <w:pStyle w:val="Heading1"/>
      </w:pPr>
    </w:p>
    <w:p w14:paraId="326A3E05" w14:textId="77777777" w:rsidR="00556F48" w:rsidRDefault="00556F48" w:rsidP="00556F48">
      <w:pPr>
        <w:pStyle w:val="Heading1"/>
      </w:pPr>
    </w:p>
    <w:p w14:paraId="3A1D0BCB" w14:textId="77777777" w:rsidR="00556F48" w:rsidRDefault="00556F48" w:rsidP="00556F48">
      <w:pPr>
        <w:pStyle w:val="Heading1"/>
      </w:pPr>
    </w:p>
    <w:p w14:paraId="2962AA11" w14:textId="77777777" w:rsidR="00556F48" w:rsidRDefault="00556F48" w:rsidP="00556F48">
      <w:pPr>
        <w:pStyle w:val="Heading1"/>
      </w:pPr>
    </w:p>
    <w:p w14:paraId="08D2EE30" w14:textId="77777777" w:rsidR="00556F48" w:rsidRDefault="00556F48" w:rsidP="00556F48">
      <w:pPr>
        <w:pStyle w:val="Heading1"/>
      </w:pPr>
    </w:p>
    <w:p w14:paraId="20B0FC5E" w14:textId="77777777" w:rsidR="00556F48" w:rsidRPr="00556F48" w:rsidRDefault="00556F48" w:rsidP="00556F48"/>
    <w:p w14:paraId="73B07562" w14:textId="7CCE139A" w:rsidR="008E3943" w:rsidRDefault="0026393A" w:rsidP="00556F48">
      <w:pPr>
        <w:pStyle w:val="Heading1"/>
      </w:pPr>
      <w:bookmarkStart w:id="1" w:name="_Toc227321263"/>
      <w:r w:rsidRPr="00CD33A8">
        <w:lastRenderedPageBreak/>
        <w:t xml:space="preserve">2. </w:t>
      </w:r>
      <w:r w:rsidR="008E3943">
        <w:t>I</w:t>
      </w:r>
      <w:r w:rsidR="008E3943" w:rsidRPr="008E3943">
        <w:t>mportance of effective communication</w:t>
      </w:r>
      <w:bookmarkEnd w:id="1"/>
    </w:p>
    <w:p w14:paraId="0537CEF5" w14:textId="6F2DAF38" w:rsidR="003E4ECF" w:rsidRDefault="00F43B3B" w:rsidP="00244201">
      <w:pPr>
        <w:tabs>
          <w:tab w:val="left" w:pos="6540"/>
        </w:tabs>
        <w:spacing w:line="360" w:lineRule="auto"/>
        <w:rPr>
          <w:rFonts w:asciiTheme="minorBidi" w:hAnsiTheme="minorBidi"/>
          <w:sz w:val="22"/>
        </w:rPr>
      </w:pPr>
      <w:r>
        <w:rPr>
          <w:rFonts w:asciiTheme="minorBidi" w:hAnsiTheme="minorBidi"/>
          <w:sz w:val="22"/>
        </w:rPr>
        <w:t>Effective communication is key in delivering safe, person-centred care, especially in cases like Mr Ahmed’s. Following a stroke, individuals may experience difficulties with communicating, making it vital for care professionals to adapt their approach to meet individual needs (NICE, 2013). Mr Ahmed’s limited English proficiency further increases the risk of misunderstandings, potentially impact his consent and overall wellbeing.</w:t>
      </w:r>
    </w:p>
    <w:p w14:paraId="42F27812" w14:textId="0EE09E05" w:rsidR="00F43B3B" w:rsidRDefault="00F43B3B" w:rsidP="00244201">
      <w:pPr>
        <w:tabs>
          <w:tab w:val="left" w:pos="6540"/>
        </w:tabs>
        <w:spacing w:line="360" w:lineRule="auto"/>
        <w:rPr>
          <w:rFonts w:asciiTheme="minorBidi" w:hAnsiTheme="minorBidi"/>
          <w:sz w:val="22"/>
        </w:rPr>
      </w:pPr>
      <w:r>
        <w:rPr>
          <w:rFonts w:asciiTheme="minorBidi" w:hAnsiTheme="minorBidi"/>
          <w:sz w:val="22"/>
        </w:rPr>
        <w:t xml:space="preserve">The Equality Act 2010 emphasises the importance of promoting equality and preventing discrimination in healthcare settings. With this legislation, Mr Ahmed’s language needs mist be recognised as part of providing his care. Reasonable adjustments, such as access to interpreters or translated materials, should be implemented to ensure that he can understand and participate in decisions about his care (Equality Act, 2010). Relying solely on his wife to interpret may influence accuracy and confidentiality; therefore, professional language support should be considered. </w:t>
      </w:r>
    </w:p>
    <w:p w14:paraId="52B5C7ED" w14:textId="75CDD2B3" w:rsidR="00F43B3B" w:rsidRDefault="00F43B3B" w:rsidP="00244201">
      <w:pPr>
        <w:tabs>
          <w:tab w:val="left" w:pos="6540"/>
        </w:tabs>
        <w:spacing w:line="360" w:lineRule="auto"/>
        <w:rPr>
          <w:rFonts w:asciiTheme="minorBidi" w:hAnsiTheme="minorBidi"/>
          <w:sz w:val="22"/>
        </w:rPr>
      </w:pPr>
      <w:r>
        <w:rPr>
          <w:rFonts w:asciiTheme="minorBidi" w:hAnsiTheme="minorBidi"/>
          <w:sz w:val="22"/>
        </w:rPr>
        <w:t xml:space="preserve">One useful framework for understanding communication is the Shannon-Weaver Model (1949) which highlights how messages are transmitted from sender to receiver and how ‘noise’ can interfere with understanding. In Mr Ahmed’s case, language barriers, cognitive impairment from stroke, and environmental distractions can all act as ‘noise’, reducing the effectiveness of communication. To reduce these barriers, care professionals should use clear, simple language, and visual aids. Active listening is also crucial, ensuring that Mr Ahmed’s responses are understood correctly. </w:t>
      </w:r>
    </w:p>
    <w:p w14:paraId="7EEB5B90" w14:textId="4CDAFEC3" w:rsidR="00F43B3B" w:rsidRDefault="00F43B3B" w:rsidP="00244201">
      <w:pPr>
        <w:tabs>
          <w:tab w:val="left" w:pos="6540"/>
        </w:tabs>
        <w:spacing w:line="360" w:lineRule="auto"/>
        <w:rPr>
          <w:rFonts w:asciiTheme="minorBidi" w:hAnsiTheme="minorBidi"/>
          <w:sz w:val="22"/>
        </w:rPr>
      </w:pPr>
      <w:r>
        <w:rPr>
          <w:rFonts w:asciiTheme="minorBidi" w:hAnsiTheme="minorBidi"/>
          <w:sz w:val="22"/>
        </w:rPr>
        <w:t>Communication with family members is equally important. Mr Ahmed’s wife plays a significant role in his care, acting as an advocate and support system. Professionals should involve her in discussions whilst still respecting Mr Ahmed’s autonomy and consent, The principles of person-centred care require that Mr Ahemd remains at the centre of decision making, even when support is needed (Kitwood, 1997).</w:t>
      </w:r>
    </w:p>
    <w:p w14:paraId="402B3607" w14:textId="797586BB" w:rsidR="00F43B3B" w:rsidRDefault="00F43B3B" w:rsidP="00244201">
      <w:pPr>
        <w:tabs>
          <w:tab w:val="left" w:pos="6540"/>
        </w:tabs>
        <w:spacing w:line="360" w:lineRule="auto"/>
        <w:rPr>
          <w:rFonts w:asciiTheme="minorBidi" w:hAnsiTheme="minorBidi"/>
          <w:sz w:val="22"/>
        </w:rPr>
      </w:pPr>
      <w:r>
        <w:rPr>
          <w:rFonts w:asciiTheme="minorBidi" w:hAnsiTheme="minorBidi"/>
          <w:sz w:val="22"/>
        </w:rPr>
        <w:t xml:space="preserve">Effective communication also supports continuity of care across the support team. Accurate handovers between care workers, nurses and therapist ensure that all professionals are aware of Mr Ahmed’s needs and any changes in his condition. The missed care visit incident demonstrates how breakdowns in communication can lead to serious consequences, such as missed medication. </w:t>
      </w:r>
    </w:p>
    <w:p w14:paraId="7030DE73" w14:textId="62A9E5C1" w:rsidR="00F43B3B" w:rsidRDefault="00F43B3B" w:rsidP="00244201">
      <w:pPr>
        <w:tabs>
          <w:tab w:val="left" w:pos="6540"/>
        </w:tabs>
        <w:spacing w:line="360" w:lineRule="auto"/>
        <w:rPr>
          <w:rFonts w:asciiTheme="minorBidi" w:hAnsiTheme="minorBidi"/>
          <w:sz w:val="22"/>
        </w:rPr>
      </w:pPr>
      <w:r>
        <w:rPr>
          <w:rFonts w:asciiTheme="minorBidi" w:hAnsiTheme="minorBidi"/>
          <w:sz w:val="22"/>
        </w:rPr>
        <w:t xml:space="preserve">In summary, effective communication in Mr Ahmed’s care involves adapting to language needs, applying legal frameworks such as the Equality Act 2010, and using structured communication models. This ensures safe, inclusive, and high-quality care delivery. </w:t>
      </w:r>
    </w:p>
    <w:p w14:paraId="05EC7741" w14:textId="77777777" w:rsidR="00556F48" w:rsidRPr="00556F48" w:rsidRDefault="00556F48" w:rsidP="00556F48"/>
    <w:p w14:paraId="60B2CDC3" w14:textId="0C380298" w:rsidR="00B87E75" w:rsidRPr="00CD33A8" w:rsidRDefault="0026393A" w:rsidP="00556F48">
      <w:pPr>
        <w:pStyle w:val="Heading1"/>
      </w:pPr>
      <w:bookmarkStart w:id="2" w:name="_Toc227321264"/>
      <w:r w:rsidRPr="00CD33A8">
        <w:lastRenderedPageBreak/>
        <w:t>3</w:t>
      </w:r>
      <w:r w:rsidR="00B87E75" w:rsidRPr="00CD33A8">
        <w:t>.</w:t>
      </w:r>
      <w:r w:rsidR="008E3943">
        <w:t xml:space="preserve"> I</w:t>
      </w:r>
      <w:r w:rsidR="008E3943" w:rsidRPr="008E3943">
        <w:t>mportance of good administrative skills</w:t>
      </w:r>
      <w:bookmarkEnd w:id="2"/>
      <w:r w:rsidR="008E3943" w:rsidRPr="008E3943">
        <w:t xml:space="preserve"> </w:t>
      </w:r>
    </w:p>
    <w:p w14:paraId="4FC14C6B" w14:textId="3B4B2CE4" w:rsidR="00B87E75" w:rsidRDefault="00F43B3B" w:rsidP="00244201">
      <w:pPr>
        <w:tabs>
          <w:tab w:val="left" w:pos="6540"/>
        </w:tabs>
        <w:spacing w:line="360" w:lineRule="auto"/>
        <w:rPr>
          <w:rFonts w:asciiTheme="minorBidi" w:hAnsiTheme="minorBidi"/>
          <w:sz w:val="22"/>
        </w:rPr>
      </w:pPr>
      <w:r>
        <w:rPr>
          <w:rFonts w:asciiTheme="minorBidi" w:hAnsiTheme="minorBidi"/>
          <w:sz w:val="22"/>
        </w:rPr>
        <w:t xml:space="preserve">Good </w:t>
      </w:r>
      <w:r w:rsidR="00D02F6F">
        <w:rPr>
          <w:rFonts w:asciiTheme="minorBidi" w:hAnsiTheme="minorBidi"/>
          <w:sz w:val="22"/>
        </w:rPr>
        <w:t>administrative</w:t>
      </w:r>
      <w:r>
        <w:rPr>
          <w:rFonts w:asciiTheme="minorBidi" w:hAnsiTheme="minorBidi"/>
          <w:sz w:val="22"/>
        </w:rPr>
        <w:t xml:space="preserve"> skills are </w:t>
      </w:r>
      <w:r w:rsidR="00D02F6F">
        <w:rPr>
          <w:rFonts w:asciiTheme="minorBidi" w:hAnsiTheme="minorBidi"/>
          <w:sz w:val="22"/>
        </w:rPr>
        <w:t xml:space="preserve">fundamental to professional practice in health and social care, ensuring that care delivery is safe, consistent, and accountable. In Mr Ahmed’s case, accurate record keeping is particularly important due to his complex needs and involvement of multiple professionals. </w:t>
      </w:r>
    </w:p>
    <w:p w14:paraId="5523EB03" w14:textId="36EB3BE7" w:rsidR="00D02F6F" w:rsidRDefault="00D02F6F" w:rsidP="00244201">
      <w:pPr>
        <w:tabs>
          <w:tab w:val="left" w:pos="6540"/>
        </w:tabs>
        <w:spacing w:line="360" w:lineRule="auto"/>
        <w:rPr>
          <w:rFonts w:asciiTheme="minorBidi" w:hAnsiTheme="minorBidi"/>
          <w:sz w:val="22"/>
        </w:rPr>
      </w:pPr>
      <w:r>
        <w:rPr>
          <w:rFonts w:asciiTheme="minorBidi" w:hAnsiTheme="minorBidi"/>
          <w:sz w:val="22"/>
        </w:rPr>
        <w:t xml:space="preserve">Record keeping involves documenting all aspects of care, including medication administration, care visits, observations, and communication with other professionals. According to the Nursing and Midwifery Council (NMC, 2018), records must be clear, accurate, and completed in a timely manner. In Mr Ahmed’s situation, the missed domically visit highlights the risks associated with poor documentation or scheduling errors. Proper records would help identify whether the visit was missed due to administrative oversight or communication failure. </w:t>
      </w:r>
    </w:p>
    <w:p w14:paraId="51811E1E" w14:textId="79643137" w:rsidR="00D02F6F" w:rsidRDefault="00D02F6F" w:rsidP="00244201">
      <w:pPr>
        <w:tabs>
          <w:tab w:val="left" w:pos="6540"/>
        </w:tabs>
        <w:spacing w:line="360" w:lineRule="auto"/>
        <w:rPr>
          <w:rFonts w:asciiTheme="minorBidi" w:hAnsiTheme="minorBidi"/>
          <w:sz w:val="22"/>
        </w:rPr>
      </w:pPr>
      <w:r>
        <w:rPr>
          <w:rFonts w:asciiTheme="minorBidi" w:hAnsiTheme="minorBidi"/>
          <w:sz w:val="22"/>
        </w:rPr>
        <w:t xml:space="preserve">The Data Protection Act 2018 governs how personal data is collected, stored, and shared, Health and Social Care </w:t>
      </w:r>
      <w:r w:rsidR="004928BC">
        <w:rPr>
          <w:rFonts w:asciiTheme="minorBidi" w:hAnsiTheme="minorBidi"/>
          <w:sz w:val="22"/>
        </w:rPr>
        <w:t>provide</w:t>
      </w:r>
      <w:r>
        <w:rPr>
          <w:rFonts w:asciiTheme="minorBidi" w:hAnsiTheme="minorBidi"/>
          <w:sz w:val="22"/>
        </w:rPr>
        <w:t xml:space="preserve"> must ensure that Mr Ahmed’s personal information is handled lawfully, fairly, and securely. This includes maintaining confidentiality and only sharing information on a need-to-know basis (ICO, 2018). For example, while information may be shared between the GP, direct nurse, and speech therapist, it must be done securely and with appropriate consent.</w:t>
      </w:r>
    </w:p>
    <w:p w14:paraId="7CB00824" w14:textId="0AC1BB0D" w:rsidR="00D02F6F" w:rsidRDefault="00D02F6F" w:rsidP="00244201">
      <w:pPr>
        <w:tabs>
          <w:tab w:val="left" w:pos="6540"/>
        </w:tabs>
        <w:spacing w:line="360" w:lineRule="auto"/>
        <w:rPr>
          <w:rFonts w:asciiTheme="minorBidi" w:hAnsiTheme="minorBidi"/>
          <w:sz w:val="22"/>
        </w:rPr>
      </w:pPr>
      <w:r>
        <w:rPr>
          <w:rFonts w:asciiTheme="minorBidi" w:hAnsiTheme="minorBidi"/>
          <w:sz w:val="22"/>
        </w:rPr>
        <w:t xml:space="preserve">Key principles of the Data Protection Act include accuracy, data minimisation, and security. In practice, this means ensuring that records about Mr Ahmed are up to date, relevant, and protected from unauthorised access. Digital systems should be password protected, and paper records should be stored securely. Breaches of data protection could harm Mr Ahmed’s privacy and trust in services. </w:t>
      </w:r>
    </w:p>
    <w:p w14:paraId="1C633E1D" w14:textId="104B8161" w:rsidR="00D02F6F" w:rsidRDefault="00D02F6F" w:rsidP="00244201">
      <w:pPr>
        <w:tabs>
          <w:tab w:val="left" w:pos="6540"/>
        </w:tabs>
        <w:spacing w:line="360" w:lineRule="auto"/>
        <w:rPr>
          <w:rFonts w:asciiTheme="minorBidi" w:hAnsiTheme="minorBidi"/>
          <w:sz w:val="22"/>
        </w:rPr>
      </w:pPr>
      <w:r>
        <w:rPr>
          <w:rFonts w:asciiTheme="minorBidi" w:hAnsiTheme="minorBidi"/>
          <w:sz w:val="22"/>
        </w:rPr>
        <w:t xml:space="preserve">Administrative skills also support safeguarding and accountability. Accurate records provide evidence of care delivered and can be used in investigations, such as the current inquiry into the missed visit. Without proper documentation, it becomes difficult to determine responsibility or implement improvements. </w:t>
      </w:r>
    </w:p>
    <w:p w14:paraId="43A42515" w14:textId="4BBB11EE" w:rsidR="00556F48" w:rsidRDefault="00D02F6F" w:rsidP="00556F48">
      <w:pPr>
        <w:tabs>
          <w:tab w:val="left" w:pos="6540"/>
        </w:tabs>
        <w:spacing w:line="360" w:lineRule="auto"/>
        <w:rPr>
          <w:rFonts w:asciiTheme="minorBidi" w:hAnsiTheme="minorBidi"/>
          <w:sz w:val="22"/>
        </w:rPr>
      </w:pPr>
      <w:r>
        <w:rPr>
          <w:rFonts w:asciiTheme="minorBidi" w:hAnsiTheme="minorBidi"/>
          <w:sz w:val="22"/>
        </w:rPr>
        <w:t xml:space="preserve">Policy frameworks such as the Care Quality Commission (CQC) standards emphasise the importance of safe, effective and well-led services (CQC, 2022). These standards require organisations to maintain robust systems for record keeping and </w:t>
      </w:r>
      <w:r w:rsidR="003204A6">
        <w:rPr>
          <w:rFonts w:asciiTheme="minorBidi" w:hAnsiTheme="minorBidi"/>
          <w:sz w:val="22"/>
        </w:rPr>
        <w:t>communication,</w:t>
      </w:r>
      <w:r>
        <w:rPr>
          <w:rFonts w:asciiTheme="minorBidi" w:hAnsiTheme="minorBidi"/>
          <w:sz w:val="22"/>
        </w:rPr>
        <w:t xml:space="preserve"> In Mr Ahmed’s care, adherence to these frameworks ensures that risks are </w:t>
      </w:r>
      <w:r w:rsidR="003204A6">
        <w:rPr>
          <w:rFonts w:asciiTheme="minorBidi" w:hAnsiTheme="minorBidi"/>
          <w:sz w:val="22"/>
        </w:rPr>
        <w:t>minimised,</w:t>
      </w:r>
      <w:r>
        <w:rPr>
          <w:rFonts w:asciiTheme="minorBidi" w:hAnsiTheme="minorBidi"/>
          <w:sz w:val="22"/>
        </w:rPr>
        <w:t xml:space="preserve"> and care quality is maintained. In conclusion, strong administrative skills underpin safe practice by ensuring accurate documentation, compliance with legal requirements such as the Data Protection Act 2018, and accountability within care services. </w:t>
      </w:r>
    </w:p>
    <w:p w14:paraId="7158B626" w14:textId="77777777" w:rsidR="00556F48" w:rsidRPr="00556F48" w:rsidRDefault="00556F48" w:rsidP="00556F48">
      <w:pPr>
        <w:tabs>
          <w:tab w:val="left" w:pos="6540"/>
        </w:tabs>
        <w:spacing w:line="360" w:lineRule="auto"/>
        <w:rPr>
          <w:rFonts w:asciiTheme="minorBidi" w:hAnsiTheme="minorBidi"/>
          <w:sz w:val="22"/>
        </w:rPr>
      </w:pPr>
    </w:p>
    <w:p w14:paraId="581C99BF" w14:textId="589B91CE" w:rsidR="00B87E75" w:rsidRPr="00CD33A8" w:rsidRDefault="004A736E" w:rsidP="00556F48">
      <w:pPr>
        <w:pStyle w:val="Heading1"/>
      </w:pPr>
      <w:bookmarkStart w:id="3" w:name="_Toc227321265"/>
      <w:r w:rsidRPr="00CD33A8">
        <w:t>4</w:t>
      </w:r>
      <w:r w:rsidR="00B87E75" w:rsidRPr="00CD33A8">
        <w:t xml:space="preserve">. </w:t>
      </w:r>
      <w:r w:rsidR="008E3943">
        <w:t>I</w:t>
      </w:r>
      <w:r w:rsidR="008E3943" w:rsidRPr="008E3943">
        <w:t>mportance of working collaboratively</w:t>
      </w:r>
      <w:bookmarkEnd w:id="3"/>
    </w:p>
    <w:p w14:paraId="682D1769" w14:textId="1EC0F34D" w:rsidR="003E4ECF" w:rsidRDefault="00D02F6F" w:rsidP="00244201">
      <w:pPr>
        <w:tabs>
          <w:tab w:val="left" w:pos="6540"/>
        </w:tabs>
        <w:spacing w:line="360" w:lineRule="auto"/>
        <w:rPr>
          <w:rFonts w:asciiTheme="minorBidi" w:hAnsiTheme="minorBidi"/>
          <w:sz w:val="22"/>
        </w:rPr>
      </w:pPr>
      <w:r>
        <w:rPr>
          <w:rFonts w:asciiTheme="minorBidi" w:hAnsiTheme="minorBidi"/>
          <w:sz w:val="22"/>
        </w:rPr>
        <w:t xml:space="preserve">Collaborative working is essential in delivering holistic care, particularly for individuals like Mr Ahmed who require input from multiple professionals. His care involves a GP, distinct nurse, domically care workers, and a speech and language therapist, each contributing specialist knowledge. </w:t>
      </w:r>
    </w:p>
    <w:p w14:paraId="718F8511" w14:textId="68637679" w:rsidR="00D02F6F" w:rsidRDefault="00D02F6F" w:rsidP="00244201">
      <w:pPr>
        <w:tabs>
          <w:tab w:val="left" w:pos="6540"/>
        </w:tabs>
        <w:spacing w:line="360" w:lineRule="auto"/>
        <w:rPr>
          <w:rFonts w:asciiTheme="minorBidi" w:hAnsiTheme="minorBidi"/>
          <w:sz w:val="22"/>
        </w:rPr>
      </w:pPr>
      <w:r>
        <w:rPr>
          <w:rFonts w:asciiTheme="minorBidi" w:hAnsiTheme="minorBidi"/>
          <w:sz w:val="22"/>
        </w:rPr>
        <w:t xml:space="preserve">Effective collaboration relies on clear communication, shares goals, and mutual respect among professionals (Reeves et al, 2017). Regular multidisciplinary team (MDT) meetings or updates can ensure that all members are informed about Mr Ahmed’s progress and any changes in his condition. Shared care plans are also useful in coordinating interventions and avoiding duplication or gaps in care. </w:t>
      </w:r>
    </w:p>
    <w:p w14:paraId="01D4FFE2" w14:textId="2984A1BA" w:rsidR="00D02F6F" w:rsidRDefault="00D02F6F" w:rsidP="00244201">
      <w:pPr>
        <w:tabs>
          <w:tab w:val="left" w:pos="6540"/>
        </w:tabs>
        <w:spacing w:line="360" w:lineRule="auto"/>
        <w:rPr>
          <w:rFonts w:asciiTheme="minorBidi" w:hAnsiTheme="minorBidi"/>
          <w:sz w:val="22"/>
        </w:rPr>
      </w:pPr>
      <w:r>
        <w:rPr>
          <w:rFonts w:asciiTheme="minorBidi" w:hAnsiTheme="minorBidi"/>
          <w:sz w:val="22"/>
        </w:rPr>
        <w:t xml:space="preserve">Person centred care should remain the focus of collaboration. All professionals must work together to support Mr Ahemd’s recovery, communication, and independence while considering his cultural and linguistic needs. </w:t>
      </w:r>
    </w:p>
    <w:p w14:paraId="251B65D0" w14:textId="7C850FF9" w:rsidR="00D02F6F" w:rsidRDefault="00D02F6F" w:rsidP="00244201">
      <w:pPr>
        <w:tabs>
          <w:tab w:val="left" w:pos="6540"/>
        </w:tabs>
        <w:spacing w:line="360" w:lineRule="auto"/>
        <w:rPr>
          <w:rFonts w:asciiTheme="minorBidi" w:hAnsiTheme="minorBidi"/>
          <w:sz w:val="22"/>
        </w:rPr>
      </w:pPr>
      <w:r>
        <w:rPr>
          <w:rFonts w:asciiTheme="minorBidi" w:hAnsiTheme="minorBidi"/>
          <w:sz w:val="22"/>
        </w:rPr>
        <w:t xml:space="preserve">However, multi-agency working can present challenges. These include communication breakdowns, role ambiguity, and differing organisational priorities. The missed care visit may reflect such challenges, highlighting the need for better coordination and accountability. </w:t>
      </w:r>
    </w:p>
    <w:p w14:paraId="2596DF0B" w14:textId="1A8D7CFD" w:rsidR="00D02F6F" w:rsidRDefault="00D02F6F" w:rsidP="00244201">
      <w:pPr>
        <w:tabs>
          <w:tab w:val="left" w:pos="6540"/>
        </w:tabs>
        <w:spacing w:line="360" w:lineRule="auto"/>
        <w:rPr>
          <w:rFonts w:asciiTheme="minorBidi" w:hAnsiTheme="minorBidi"/>
          <w:sz w:val="22"/>
        </w:rPr>
      </w:pPr>
      <w:r>
        <w:rPr>
          <w:rFonts w:asciiTheme="minorBidi" w:hAnsiTheme="minorBidi"/>
          <w:sz w:val="22"/>
        </w:rPr>
        <w:t xml:space="preserve">Strategies to overcome these issues include the use of clear protocols, effective leadership, and digital information-sharing systems. Establishing defined roles and responsibilities ensures that each professional understands their contribution. Training in teamwork and communication can also enhance collaboration. </w:t>
      </w:r>
    </w:p>
    <w:p w14:paraId="54A80785" w14:textId="2510B6B9" w:rsidR="00D02F6F" w:rsidRDefault="00D02F6F" w:rsidP="00244201">
      <w:pPr>
        <w:tabs>
          <w:tab w:val="left" w:pos="6540"/>
        </w:tabs>
        <w:spacing w:line="360" w:lineRule="auto"/>
        <w:rPr>
          <w:rFonts w:asciiTheme="minorBidi" w:hAnsiTheme="minorBidi"/>
          <w:sz w:val="22"/>
        </w:rPr>
      </w:pPr>
      <w:r>
        <w:rPr>
          <w:rFonts w:asciiTheme="minorBidi" w:hAnsiTheme="minorBidi"/>
          <w:sz w:val="22"/>
        </w:rPr>
        <w:t xml:space="preserve">In summary, collaborative working enables comprehensive care delivery, improves outcomes, and reduces risks. By addressing common challenges, professionals can ensure that Mr Ahmed received coordinated and effective support. </w:t>
      </w:r>
    </w:p>
    <w:p w14:paraId="15C25996" w14:textId="77777777" w:rsidR="008E3943" w:rsidRDefault="008E3943" w:rsidP="00244201">
      <w:pPr>
        <w:tabs>
          <w:tab w:val="left" w:pos="6540"/>
        </w:tabs>
        <w:spacing w:line="360" w:lineRule="auto"/>
        <w:rPr>
          <w:rFonts w:asciiTheme="minorBidi" w:hAnsiTheme="minorBidi"/>
          <w:sz w:val="22"/>
        </w:rPr>
      </w:pPr>
    </w:p>
    <w:p w14:paraId="44253202" w14:textId="77777777" w:rsidR="00174579" w:rsidRPr="00CD33A8" w:rsidRDefault="00174579" w:rsidP="00244201">
      <w:pPr>
        <w:tabs>
          <w:tab w:val="left" w:pos="6540"/>
        </w:tabs>
        <w:spacing w:line="360" w:lineRule="auto"/>
        <w:rPr>
          <w:rFonts w:asciiTheme="minorBidi" w:hAnsiTheme="minorBidi"/>
          <w:sz w:val="22"/>
        </w:rPr>
      </w:pPr>
    </w:p>
    <w:p w14:paraId="77F36EFD" w14:textId="77777777" w:rsidR="00A53DD3" w:rsidRDefault="00A53DD3" w:rsidP="00556F48">
      <w:pPr>
        <w:pStyle w:val="Heading1"/>
      </w:pPr>
    </w:p>
    <w:p w14:paraId="04921FA0" w14:textId="77777777" w:rsidR="00A53DD3" w:rsidRDefault="00A53DD3" w:rsidP="00A53DD3"/>
    <w:p w14:paraId="044318C8" w14:textId="77777777" w:rsidR="00A53DD3" w:rsidRPr="00A53DD3" w:rsidRDefault="00A53DD3" w:rsidP="00A53DD3"/>
    <w:p w14:paraId="16FAF0EA" w14:textId="132B1C90" w:rsidR="00B87E75" w:rsidRPr="00CD33A8" w:rsidRDefault="00B87E75" w:rsidP="00556F48">
      <w:pPr>
        <w:pStyle w:val="Heading1"/>
      </w:pPr>
      <w:bookmarkStart w:id="4" w:name="_Toc227321266"/>
      <w:r w:rsidRPr="00CD33A8">
        <w:lastRenderedPageBreak/>
        <w:t>Conclusion</w:t>
      </w:r>
      <w:bookmarkEnd w:id="4"/>
    </w:p>
    <w:p w14:paraId="6DBC958B" w14:textId="7A1FC300" w:rsidR="00CD33A8" w:rsidRPr="00CD33A8" w:rsidRDefault="00CD33A8" w:rsidP="00244201">
      <w:pPr>
        <w:tabs>
          <w:tab w:val="left" w:pos="6540"/>
        </w:tabs>
        <w:spacing w:line="360" w:lineRule="auto"/>
        <w:rPr>
          <w:rFonts w:asciiTheme="minorBidi" w:hAnsiTheme="minorBidi"/>
          <w:sz w:val="22"/>
        </w:rPr>
      </w:pPr>
    </w:p>
    <w:p w14:paraId="6812580D" w14:textId="328FB3FF" w:rsidR="0090040D" w:rsidRDefault="00D02F6F" w:rsidP="00244201">
      <w:pPr>
        <w:tabs>
          <w:tab w:val="left" w:pos="6540"/>
        </w:tabs>
        <w:spacing w:line="360" w:lineRule="auto"/>
        <w:rPr>
          <w:rFonts w:asciiTheme="minorBidi" w:hAnsiTheme="minorBidi"/>
          <w:sz w:val="22"/>
        </w:rPr>
      </w:pPr>
      <w:r>
        <w:rPr>
          <w:rFonts w:asciiTheme="minorBidi" w:hAnsiTheme="minorBidi"/>
          <w:sz w:val="22"/>
        </w:rPr>
        <w:t xml:space="preserve">This report has examined the key aspects of communication, administrative skill and collaborative working within the context of Mr Ahmed’s care. Effective communication is essential to ensure understanding, particularly given his language barriers and post stroke condition, and must align with the Equality Act 2010. Good administrative practices, including accurate record keeping and adherence to the Data Protection Act 2018, are vital for ensuring safe, accountable care and supporting investigations into incidents such as missed visits. </w:t>
      </w:r>
    </w:p>
    <w:p w14:paraId="68A1AE02" w14:textId="6740FB38" w:rsidR="00D02F6F" w:rsidRDefault="00D02F6F" w:rsidP="00244201">
      <w:pPr>
        <w:tabs>
          <w:tab w:val="left" w:pos="6540"/>
        </w:tabs>
        <w:spacing w:line="360" w:lineRule="auto"/>
        <w:rPr>
          <w:rFonts w:asciiTheme="minorBidi" w:hAnsiTheme="minorBidi"/>
          <w:sz w:val="22"/>
        </w:rPr>
      </w:pPr>
      <w:r>
        <w:rPr>
          <w:rFonts w:asciiTheme="minorBidi" w:hAnsiTheme="minorBidi"/>
          <w:sz w:val="22"/>
        </w:rPr>
        <w:t xml:space="preserve">Furthermore, collaborative working among the multidisciplinary team plays a crucial role in delivery holistic and coordinated care. While challenges exit in multi-agency settings, these can be addressed through clear communication, defined roles and shared care planning. </w:t>
      </w:r>
    </w:p>
    <w:p w14:paraId="66ABF32B" w14:textId="22023215" w:rsidR="00D02F6F" w:rsidRPr="00CD33A8" w:rsidRDefault="00D02F6F" w:rsidP="00244201">
      <w:pPr>
        <w:tabs>
          <w:tab w:val="left" w:pos="6540"/>
        </w:tabs>
        <w:spacing w:line="360" w:lineRule="auto"/>
        <w:rPr>
          <w:rFonts w:asciiTheme="minorBidi" w:hAnsiTheme="minorBidi"/>
          <w:sz w:val="22"/>
        </w:rPr>
      </w:pPr>
      <w:r>
        <w:rPr>
          <w:rFonts w:asciiTheme="minorBidi" w:hAnsiTheme="minorBidi"/>
          <w:sz w:val="22"/>
        </w:rPr>
        <w:t xml:space="preserve">Overall, integrating these three elements is fundamental to providing </w:t>
      </w:r>
      <w:r w:rsidR="003204A6">
        <w:rPr>
          <w:rFonts w:asciiTheme="minorBidi" w:hAnsiTheme="minorBidi"/>
          <w:sz w:val="22"/>
        </w:rPr>
        <w:t>high-quality, person-centred</w:t>
      </w:r>
      <w:r>
        <w:rPr>
          <w:rFonts w:asciiTheme="minorBidi" w:hAnsiTheme="minorBidi"/>
          <w:sz w:val="22"/>
        </w:rPr>
        <w:t xml:space="preserve"> care and improving outcomes for individuals like Mr Ahmed. </w:t>
      </w:r>
    </w:p>
    <w:p w14:paraId="0FE513A0" w14:textId="77777777" w:rsidR="00174579" w:rsidRDefault="00174579" w:rsidP="00244201">
      <w:pPr>
        <w:spacing w:line="360" w:lineRule="auto"/>
        <w:rPr>
          <w:rFonts w:ascii="Arial" w:hAnsi="Arial" w:cs="Arial"/>
          <w:b/>
          <w:bCs/>
          <w:sz w:val="28"/>
          <w:szCs w:val="28"/>
        </w:rPr>
      </w:pPr>
    </w:p>
    <w:p w14:paraId="32075299" w14:textId="77777777" w:rsidR="00174579" w:rsidRDefault="00174579" w:rsidP="00244201">
      <w:pPr>
        <w:spacing w:line="360" w:lineRule="auto"/>
        <w:rPr>
          <w:rFonts w:ascii="Arial" w:hAnsi="Arial" w:cs="Arial"/>
          <w:b/>
          <w:bCs/>
          <w:sz w:val="28"/>
          <w:szCs w:val="28"/>
        </w:rPr>
      </w:pPr>
    </w:p>
    <w:p w14:paraId="18B3FBB3" w14:textId="77777777" w:rsidR="00A53DD3" w:rsidRDefault="00A53DD3" w:rsidP="00556F48">
      <w:pPr>
        <w:spacing w:line="360" w:lineRule="auto"/>
        <w:jc w:val="center"/>
        <w:rPr>
          <w:rFonts w:ascii="Arial" w:hAnsi="Arial" w:cs="Arial"/>
          <w:b/>
          <w:bCs/>
          <w:sz w:val="28"/>
          <w:szCs w:val="28"/>
        </w:rPr>
      </w:pPr>
    </w:p>
    <w:p w14:paraId="614F63EA" w14:textId="77777777" w:rsidR="00A53DD3" w:rsidRDefault="00A53DD3" w:rsidP="00556F48">
      <w:pPr>
        <w:spacing w:line="360" w:lineRule="auto"/>
        <w:jc w:val="center"/>
        <w:rPr>
          <w:rFonts w:ascii="Arial" w:hAnsi="Arial" w:cs="Arial"/>
          <w:b/>
          <w:bCs/>
          <w:sz w:val="28"/>
          <w:szCs w:val="28"/>
        </w:rPr>
      </w:pPr>
    </w:p>
    <w:p w14:paraId="78A054CB" w14:textId="77777777" w:rsidR="00A53DD3" w:rsidRDefault="00A53DD3" w:rsidP="00556F48">
      <w:pPr>
        <w:spacing w:line="360" w:lineRule="auto"/>
        <w:jc w:val="center"/>
        <w:rPr>
          <w:rFonts w:ascii="Arial" w:hAnsi="Arial" w:cs="Arial"/>
          <w:b/>
          <w:bCs/>
          <w:sz w:val="28"/>
          <w:szCs w:val="28"/>
        </w:rPr>
      </w:pPr>
    </w:p>
    <w:p w14:paraId="6ECDDDA1" w14:textId="77777777" w:rsidR="00A53DD3" w:rsidRDefault="00A53DD3" w:rsidP="00556F48">
      <w:pPr>
        <w:spacing w:line="360" w:lineRule="auto"/>
        <w:jc w:val="center"/>
        <w:rPr>
          <w:rFonts w:ascii="Arial" w:hAnsi="Arial" w:cs="Arial"/>
          <w:b/>
          <w:bCs/>
          <w:sz w:val="28"/>
          <w:szCs w:val="28"/>
        </w:rPr>
      </w:pPr>
    </w:p>
    <w:p w14:paraId="55C88428" w14:textId="77777777" w:rsidR="00A53DD3" w:rsidRDefault="00A53DD3" w:rsidP="00556F48">
      <w:pPr>
        <w:spacing w:line="360" w:lineRule="auto"/>
        <w:jc w:val="center"/>
        <w:rPr>
          <w:rFonts w:ascii="Arial" w:hAnsi="Arial" w:cs="Arial"/>
          <w:b/>
          <w:bCs/>
          <w:sz w:val="28"/>
          <w:szCs w:val="28"/>
        </w:rPr>
      </w:pPr>
    </w:p>
    <w:p w14:paraId="1FFDA69F" w14:textId="77777777" w:rsidR="00A53DD3" w:rsidRDefault="00A53DD3" w:rsidP="00556F48">
      <w:pPr>
        <w:spacing w:line="360" w:lineRule="auto"/>
        <w:jc w:val="center"/>
        <w:rPr>
          <w:rFonts w:ascii="Arial" w:hAnsi="Arial" w:cs="Arial"/>
          <w:b/>
          <w:bCs/>
          <w:sz w:val="28"/>
          <w:szCs w:val="28"/>
        </w:rPr>
      </w:pPr>
    </w:p>
    <w:p w14:paraId="21AC9938" w14:textId="77777777" w:rsidR="00A53DD3" w:rsidRDefault="00A53DD3" w:rsidP="00556F48">
      <w:pPr>
        <w:spacing w:line="360" w:lineRule="auto"/>
        <w:jc w:val="center"/>
        <w:rPr>
          <w:rFonts w:ascii="Arial" w:hAnsi="Arial" w:cs="Arial"/>
          <w:b/>
          <w:bCs/>
          <w:sz w:val="28"/>
          <w:szCs w:val="28"/>
        </w:rPr>
      </w:pPr>
    </w:p>
    <w:p w14:paraId="19F4CC3A" w14:textId="77777777" w:rsidR="00A53DD3" w:rsidRDefault="00A53DD3" w:rsidP="00556F48">
      <w:pPr>
        <w:spacing w:line="360" w:lineRule="auto"/>
        <w:jc w:val="center"/>
        <w:rPr>
          <w:rFonts w:ascii="Arial" w:hAnsi="Arial" w:cs="Arial"/>
          <w:b/>
          <w:bCs/>
          <w:sz w:val="28"/>
          <w:szCs w:val="28"/>
        </w:rPr>
      </w:pPr>
    </w:p>
    <w:p w14:paraId="7215E3EC" w14:textId="77777777" w:rsidR="00A53DD3" w:rsidRDefault="00A53DD3" w:rsidP="00556F48">
      <w:pPr>
        <w:spacing w:line="360" w:lineRule="auto"/>
        <w:jc w:val="center"/>
        <w:rPr>
          <w:rFonts w:ascii="Arial" w:hAnsi="Arial" w:cs="Arial"/>
          <w:b/>
          <w:bCs/>
          <w:sz w:val="28"/>
          <w:szCs w:val="28"/>
        </w:rPr>
      </w:pPr>
    </w:p>
    <w:p w14:paraId="3E127E14" w14:textId="77777777" w:rsidR="00A53DD3" w:rsidRDefault="00A53DD3" w:rsidP="00556F48">
      <w:pPr>
        <w:spacing w:line="360" w:lineRule="auto"/>
        <w:jc w:val="center"/>
        <w:rPr>
          <w:rFonts w:ascii="Arial" w:hAnsi="Arial" w:cs="Arial"/>
          <w:b/>
          <w:bCs/>
          <w:sz w:val="28"/>
          <w:szCs w:val="28"/>
        </w:rPr>
      </w:pPr>
    </w:p>
    <w:p w14:paraId="6023152C" w14:textId="4CD5B877" w:rsidR="006C4E7D" w:rsidRPr="006E1731" w:rsidRDefault="006E1731" w:rsidP="00556F48">
      <w:pPr>
        <w:spacing w:line="360" w:lineRule="auto"/>
        <w:jc w:val="center"/>
        <w:rPr>
          <w:rFonts w:ascii="Arial" w:hAnsi="Arial" w:cs="Arial"/>
          <w:sz w:val="28"/>
          <w:szCs w:val="28"/>
        </w:rPr>
      </w:pPr>
      <w:r>
        <w:rPr>
          <w:rFonts w:ascii="Arial" w:hAnsi="Arial" w:cs="Arial"/>
          <w:b/>
          <w:bCs/>
          <w:sz w:val="28"/>
          <w:szCs w:val="28"/>
        </w:rPr>
        <w:lastRenderedPageBreak/>
        <w:t>References</w:t>
      </w:r>
    </w:p>
    <w:p w14:paraId="22268AEF" w14:textId="77777777" w:rsidR="00244201" w:rsidRPr="00244201" w:rsidRDefault="00244201" w:rsidP="00244201">
      <w:pPr>
        <w:pStyle w:val="NormalWeb"/>
        <w:spacing w:line="360" w:lineRule="auto"/>
        <w:rPr>
          <w:rFonts w:ascii="Arial" w:hAnsi="Arial" w:cs="Arial"/>
          <w:sz w:val="22"/>
          <w:szCs w:val="22"/>
        </w:rPr>
      </w:pPr>
      <w:r w:rsidRPr="00244201">
        <w:rPr>
          <w:rFonts w:ascii="Arial" w:hAnsi="Arial" w:cs="Arial"/>
          <w:sz w:val="22"/>
          <w:szCs w:val="22"/>
        </w:rPr>
        <w:t xml:space="preserve">Care Quality Commission (CQC) (2022) </w:t>
      </w:r>
      <w:r w:rsidRPr="00244201">
        <w:rPr>
          <w:rStyle w:val="Emphasis"/>
          <w:rFonts w:ascii="Arial" w:hAnsi="Arial" w:cs="Arial"/>
          <w:sz w:val="22"/>
          <w:szCs w:val="22"/>
        </w:rPr>
        <w:t>Fundamental standards</w:t>
      </w:r>
      <w:r w:rsidRPr="00244201">
        <w:rPr>
          <w:rFonts w:ascii="Arial" w:hAnsi="Arial" w:cs="Arial"/>
          <w:sz w:val="22"/>
          <w:szCs w:val="22"/>
        </w:rPr>
        <w:t>. London: CQC.</w:t>
      </w:r>
    </w:p>
    <w:p w14:paraId="3BACAE51" w14:textId="77777777" w:rsidR="00244201" w:rsidRPr="00244201" w:rsidRDefault="00244201" w:rsidP="00244201">
      <w:pPr>
        <w:pStyle w:val="NormalWeb"/>
        <w:spacing w:line="360" w:lineRule="auto"/>
        <w:rPr>
          <w:rFonts w:ascii="Arial" w:hAnsi="Arial" w:cs="Arial"/>
          <w:sz w:val="22"/>
          <w:szCs w:val="22"/>
        </w:rPr>
      </w:pPr>
      <w:r w:rsidRPr="00244201">
        <w:rPr>
          <w:rFonts w:ascii="Arial" w:hAnsi="Arial" w:cs="Arial"/>
          <w:sz w:val="22"/>
          <w:szCs w:val="22"/>
        </w:rPr>
        <w:t xml:space="preserve">Equality Act (2010) </w:t>
      </w:r>
      <w:r w:rsidRPr="00244201">
        <w:rPr>
          <w:rStyle w:val="Emphasis"/>
          <w:rFonts w:ascii="Arial" w:hAnsi="Arial" w:cs="Arial"/>
          <w:sz w:val="22"/>
          <w:szCs w:val="22"/>
        </w:rPr>
        <w:t>Equality Act 2010</w:t>
      </w:r>
      <w:r w:rsidRPr="00244201">
        <w:rPr>
          <w:rFonts w:ascii="Arial" w:hAnsi="Arial" w:cs="Arial"/>
          <w:sz w:val="22"/>
          <w:szCs w:val="22"/>
        </w:rPr>
        <w:t>. London: HMSO.</w:t>
      </w:r>
    </w:p>
    <w:p w14:paraId="6AA83BCE" w14:textId="77777777" w:rsidR="00244201" w:rsidRPr="00244201" w:rsidRDefault="00244201" w:rsidP="00244201">
      <w:pPr>
        <w:pStyle w:val="NormalWeb"/>
        <w:spacing w:line="360" w:lineRule="auto"/>
        <w:rPr>
          <w:rFonts w:ascii="Arial" w:hAnsi="Arial" w:cs="Arial"/>
          <w:sz w:val="22"/>
          <w:szCs w:val="22"/>
        </w:rPr>
      </w:pPr>
      <w:r w:rsidRPr="00244201">
        <w:rPr>
          <w:rFonts w:ascii="Arial" w:hAnsi="Arial" w:cs="Arial"/>
          <w:sz w:val="22"/>
          <w:szCs w:val="22"/>
        </w:rPr>
        <w:t xml:space="preserve">Information Commissioner’s Office (ICO) (2018) </w:t>
      </w:r>
      <w:r w:rsidRPr="00244201">
        <w:rPr>
          <w:rStyle w:val="Emphasis"/>
          <w:rFonts w:ascii="Arial" w:hAnsi="Arial" w:cs="Arial"/>
          <w:sz w:val="22"/>
          <w:szCs w:val="22"/>
        </w:rPr>
        <w:t>Guide to the General Data Protection Regulation (GDPR)</w:t>
      </w:r>
      <w:r w:rsidRPr="00244201">
        <w:rPr>
          <w:rFonts w:ascii="Arial" w:hAnsi="Arial" w:cs="Arial"/>
          <w:sz w:val="22"/>
          <w:szCs w:val="22"/>
        </w:rPr>
        <w:t>.</w:t>
      </w:r>
    </w:p>
    <w:p w14:paraId="530B3AA2" w14:textId="5342FE80" w:rsidR="00244201" w:rsidRPr="00244201" w:rsidRDefault="006E1731" w:rsidP="00244201">
      <w:pPr>
        <w:pStyle w:val="NormalWeb"/>
        <w:spacing w:line="360" w:lineRule="auto"/>
        <w:rPr>
          <w:rFonts w:ascii="Arial" w:hAnsi="Arial" w:cs="Arial"/>
          <w:sz w:val="22"/>
          <w:szCs w:val="22"/>
        </w:rPr>
      </w:pPr>
      <w:r w:rsidRPr="00244201">
        <w:rPr>
          <w:rFonts w:ascii="Arial" w:hAnsi="Arial" w:cs="Arial"/>
          <w:sz w:val="22"/>
          <w:szCs w:val="22"/>
        </w:rPr>
        <w:t>Kit wood</w:t>
      </w:r>
      <w:r w:rsidR="00244201" w:rsidRPr="00244201">
        <w:rPr>
          <w:rFonts w:ascii="Arial" w:hAnsi="Arial" w:cs="Arial"/>
          <w:sz w:val="22"/>
          <w:szCs w:val="22"/>
        </w:rPr>
        <w:t xml:space="preserve">, T. (1997) </w:t>
      </w:r>
      <w:r w:rsidR="00244201" w:rsidRPr="00244201">
        <w:rPr>
          <w:rStyle w:val="Emphasis"/>
          <w:rFonts w:ascii="Arial" w:hAnsi="Arial" w:cs="Arial"/>
          <w:sz w:val="22"/>
          <w:szCs w:val="22"/>
        </w:rPr>
        <w:t>Dementia Reconsidered: The Person Comes First</w:t>
      </w:r>
      <w:r w:rsidR="00244201" w:rsidRPr="00244201">
        <w:rPr>
          <w:rFonts w:ascii="Arial" w:hAnsi="Arial" w:cs="Arial"/>
          <w:sz w:val="22"/>
          <w:szCs w:val="22"/>
        </w:rPr>
        <w:t>. Buckingham: Open University Press.</w:t>
      </w:r>
    </w:p>
    <w:p w14:paraId="70D528CC" w14:textId="77777777" w:rsidR="00244201" w:rsidRPr="00244201" w:rsidRDefault="00244201" w:rsidP="00244201">
      <w:pPr>
        <w:pStyle w:val="NormalWeb"/>
        <w:spacing w:line="360" w:lineRule="auto"/>
        <w:rPr>
          <w:rFonts w:ascii="Arial" w:hAnsi="Arial" w:cs="Arial"/>
          <w:sz w:val="22"/>
          <w:szCs w:val="22"/>
        </w:rPr>
      </w:pPr>
      <w:r w:rsidRPr="00244201">
        <w:rPr>
          <w:rFonts w:ascii="Arial" w:hAnsi="Arial" w:cs="Arial"/>
          <w:sz w:val="22"/>
          <w:szCs w:val="22"/>
        </w:rPr>
        <w:t xml:space="preserve">NICE (2023) </w:t>
      </w:r>
      <w:r w:rsidRPr="00244201">
        <w:rPr>
          <w:rStyle w:val="Emphasis"/>
          <w:rFonts w:ascii="Arial" w:hAnsi="Arial" w:cs="Arial"/>
          <w:sz w:val="22"/>
          <w:szCs w:val="22"/>
        </w:rPr>
        <w:t>Stroke rehabilitation in adults</w:t>
      </w:r>
      <w:r w:rsidRPr="00244201">
        <w:rPr>
          <w:rFonts w:ascii="Arial" w:hAnsi="Arial" w:cs="Arial"/>
          <w:sz w:val="22"/>
          <w:szCs w:val="22"/>
        </w:rPr>
        <w:t>. London: National Institute for Health and Care Excellence.</w:t>
      </w:r>
    </w:p>
    <w:p w14:paraId="3C8B130B" w14:textId="77777777" w:rsidR="00244201" w:rsidRPr="00244201" w:rsidRDefault="00244201" w:rsidP="00244201">
      <w:pPr>
        <w:pStyle w:val="NormalWeb"/>
        <w:spacing w:line="360" w:lineRule="auto"/>
        <w:rPr>
          <w:rFonts w:ascii="Arial" w:hAnsi="Arial" w:cs="Arial"/>
          <w:sz w:val="22"/>
          <w:szCs w:val="22"/>
        </w:rPr>
      </w:pPr>
      <w:r w:rsidRPr="00244201">
        <w:rPr>
          <w:rFonts w:ascii="Arial" w:hAnsi="Arial" w:cs="Arial"/>
          <w:sz w:val="22"/>
          <w:szCs w:val="22"/>
        </w:rPr>
        <w:t xml:space="preserve">Nursing and Midwifery Council (NMC) (2018) </w:t>
      </w:r>
      <w:r w:rsidRPr="00244201">
        <w:rPr>
          <w:rStyle w:val="Emphasis"/>
          <w:rFonts w:ascii="Arial" w:hAnsi="Arial" w:cs="Arial"/>
          <w:sz w:val="22"/>
          <w:szCs w:val="22"/>
        </w:rPr>
        <w:t>The Code: Professional standards of practice and behaviour for nurses and midwives</w:t>
      </w:r>
      <w:r w:rsidRPr="00244201">
        <w:rPr>
          <w:rFonts w:ascii="Arial" w:hAnsi="Arial" w:cs="Arial"/>
          <w:sz w:val="22"/>
          <w:szCs w:val="22"/>
        </w:rPr>
        <w:t>. London: NMC.</w:t>
      </w:r>
    </w:p>
    <w:p w14:paraId="3E666D6E" w14:textId="77777777" w:rsidR="00244201" w:rsidRPr="00244201" w:rsidRDefault="00244201" w:rsidP="00244201">
      <w:pPr>
        <w:pStyle w:val="NormalWeb"/>
        <w:spacing w:line="360" w:lineRule="auto"/>
        <w:rPr>
          <w:rFonts w:ascii="Arial" w:hAnsi="Arial" w:cs="Arial"/>
          <w:sz w:val="22"/>
          <w:szCs w:val="22"/>
        </w:rPr>
      </w:pPr>
      <w:r w:rsidRPr="00244201">
        <w:rPr>
          <w:rFonts w:ascii="Arial" w:hAnsi="Arial" w:cs="Arial"/>
          <w:sz w:val="22"/>
          <w:szCs w:val="22"/>
        </w:rPr>
        <w:t xml:space="preserve">Reeves, S., </w:t>
      </w:r>
      <w:proofErr w:type="spellStart"/>
      <w:r w:rsidRPr="00244201">
        <w:rPr>
          <w:rFonts w:ascii="Arial" w:hAnsi="Arial" w:cs="Arial"/>
          <w:sz w:val="22"/>
          <w:szCs w:val="22"/>
        </w:rPr>
        <w:t>Pelone</w:t>
      </w:r>
      <w:proofErr w:type="spellEnd"/>
      <w:r w:rsidRPr="00244201">
        <w:rPr>
          <w:rFonts w:ascii="Arial" w:hAnsi="Arial" w:cs="Arial"/>
          <w:sz w:val="22"/>
          <w:szCs w:val="22"/>
        </w:rPr>
        <w:t xml:space="preserve">, F., Harrison, R., Goldman, J. and </w:t>
      </w:r>
      <w:proofErr w:type="spellStart"/>
      <w:r w:rsidRPr="00244201">
        <w:rPr>
          <w:rFonts w:ascii="Arial" w:hAnsi="Arial" w:cs="Arial"/>
          <w:sz w:val="22"/>
          <w:szCs w:val="22"/>
        </w:rPr>
        <w:t>Zwarenstein</w:t>
      </w:r>
      <w:proofErr w:type="spellEnd"/>
      <w:r w:rsidRPr="00244201">
        <w:rPr>
          <w:rFonts w:ascii="Arial" w:hAnsi="Arial" w:cs="Arial"/>
          <w:sz w:val="22"/>
          <w:szCs w:val="22"/>
        </w:rPr>
        <w:t xml:space="preserve">, M. (2017) ‘Interprofessional collaboration to improve professional practice and healthcare outcomes’, </w:t>
      </w:r>
      <w:r w:rsidRPr="00244201">
        <w:rPr>
          <w:rStyle w:val="Emphasis"/>
          <w:rFonts w:ascii="Arial" w:hAnsi="Arial" w:cs="Arial"/>
          <w:sz w:val="22"/>
          <w:szCs w:val="22"/>
        </w:rPr>
        <w:t>Cochrane Database of Systematic Reviews</w:t>
      </w:r>
      <w:r w:rsidRPr="00244201">
        <w:rPr>
          <w:rFonts w:ascii="Arial" w:hAnsi="Arial" w:cs="Arial"/>
          <w:sz w:val="22"/>
          <w:szCs w:val="22"/>
        </w:rPr>
        <w:t>.</w:t>
      </w:r>
    </w:p>
    <w:p w14:paraId="7A80E608" w14:textId="77777777" w:rsidR="00244201" w:rsidRPr="00244201" w:rsidRDefault="00244201" w:rsidP="00244201">
      <w:pPr>
        <w:pStyle w:val="NormalWeb"/>
        <w:spacing w:line="360" w:lineRule="auto"/>
        <w:rPr>
          <w:rFonts w:ascii="Arial" w:hAnsi="Arial" w:cs="Arial"/>
          <w:sz w:val="22"/>
          <w:szCs w:val="22"/>
        </w:rPr>
      </w:pPr>
      <w:r w:rsidRPr="00244201">
        <w:rPr>
          <w:rFonts w:ascii="Arial" w:hAnsi="Arial" w:cs="Arial"/>
          <w:sz w:val="22"/>
          <w:szCs w:val="22"/>
        </w:rPr>
        <w:t xml:space="preserve">Shannon, C.E. and Weaver, W. (1949) </w:t>
      </w:r>
      <w:r w:rsidRPr="00244201">
        <w:rPr>
          <w:rStyle w:val="Emphasis"/>
          <w:rFonts w:ascii="Arial" w:hAnsi="Arial" w:cs="Arial"/>
          <w:sz w:val="22"/>
          <w:szCs w:val="22"/>
        </w:rPr>
        <w:t>The Mathematical Theory of Communication</w:t>
      </w:r>
      <w:r w:rsidRPr="00244201">
        <w:rPr>
          <w:rFonts w:ascii="Arial" w:hAnsi="Arial" w:cs="Arial"/>
          <w:sz w:val="22"/>
          <w:szCs w:val="22"/>
        </w:rPr>
        <w:t>. Urbana: University of Illinois Press.</w:t>
      </w:r>
    </w:p>
    <w:p w14:paraId="0A2F70AD" w14:textId="77777777" w:rsidR="00244201" w:rsidRDefault="00244201" w:rsidP="006C4E7D">
      <w:pPr>
        <w:rPr>
          <w:b/>
          <w:bCs/>
        </w:rPr>
      </w:pPr>
    </w:p>
    <w:p w14:paraId="5FFCA22E" w14:textId="77777777" w:rsidR="006C4E7D" w:rsidRPr="006C4E7D" w:rsidRDefault="006C4E7D" w:rsidP="006C4E7D">
      <w:pPr>
        <w:rPr>
          <w:rFonts w:asciiTheme="minorBidi" w:eastAsiaTheme="majorEastAsia" w:hAnsiTheme="minorBidi"/>
          <w:b/>
          <w:bCs/>
          <w:sz w:val="28"/>
        </w:rPr>
      </w:pPr>
    </w:p>
    <w:p w14:paraId="497161D8" w14:textId="77777777" w:rsidR="006C4E7D" w:rsidRPr="006C4E7D" w:rsidRDefault="006C4E7D" w:rsidP="006C4E7D">
      <w:pPr>
        <w:rPr>
          <w:lang w:eastAsia="en-GB"/>
        </w:rPr>
      </w:pPr>
    </w:p>
    <w:sectPr w:rsidR="006C4E7D" w:rsidRPr="006C4E7D" w:rsidSect="00E620E7">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F958E3" w14:textId="77777777" w:rsidR="00F577A4" w:rsidRDefault="00F577A4" w:rsidP="003E4ECF">
      <w:pPr>
        <w:spacing w:after="0" w:line="240" w:lineRule="auto"/>
      </w:pPr>
      <w:r>
        <w:separator/>
      </w:r>
    </w:p>
  </w:endnote>
  <w:endnote w:type="continuationSeparator" w:id="0">
    <w:p w14:paraId="2F3D761C" w14:textId="77777777" w:rsidR="00F577A4" w:rsidRDefault="00F577A4"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roman"/>
    <w:notTrueType/>
    <w:pitch w:val="default"/>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5F8ABB" w14:textId="77777777" w:rsidR="00F577A4" w:rsidRDefault="00F577A4" w:rsidP="003E4ECF">
      <w:pPr>
        <w:spacing w:after="0" w:line="240" w:lineRule="auto"/>
      </w:pPr>
      <w:r>
        <w:separator/>
      </w:r>
    </w:p>
  </w:footnote>
  <w:footnote w:type="continuationSeparator" w:id="0">
    <w:p w14:paraId="277BEC31" w14:textId="77777777" w:rsidR="00F577A4" w:rsidRDefault="00F577A4"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F2360E"/>
    <w:multiLevelType w:val="hybridMultilevel"/>
    <w:tmpl w:val="8424FB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9747BC"/>
    <w:multiLevelType w:val="hybridMultilevel"/>
    <w:tmpl w:val="65D651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F745B7"/>
    <w:multiLevelType w:val="hybridMultilevel"/>
    <w:tmpl w:val="C74A1B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2490538">
    <w:abstractNumId w:val="1"/>
  </w:num>
  <w:num w:numId="2" w16cid:durableId="1694379670">
    <w:abstractNumId w:val="2"/>
  </w:num>
  <w:num w:numId="3" w16cid:durableId="6718353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0B5209"/>
    <w:rsid w:val="000F50D4"/>
    <w:rsid w:val="00174579"/>
    <w:rsid w:val="001D7C03"/>
    <w:rsid w:val="001E08A5"/>
    <w:rsid w:val="00216C85"/>
    <w:rsid w:val="00244201"/>
    <w:rsid w:val="0026393A"/>
    <w:rsid w:val="00273EDD"/>
    <w:rsid w:val="00283C2B"/>
    <w:rsid w:val="002C3965"/>
    <w:rsid w:val="002C622D"/>
    <w:rsid w:val="00311E98"/>
    <w:rsid w:val="003204A6"/>
    <w:rsid w:val="00321C4C"/>
    <w:rsid w:val="00392BBC"/>
    <w:rsid w:val="003D560F"/>
    <w:rsid w:val="003E4ECF"/>
    <w:rsid w:val="00467996"/>
    <w:rsid w:val="004928BC"/>
    <w:rsid w:val="004A736E"/>
    <w:rsid w:val="004C13D0"/>
    <w:rsid w:val="004F4CAD"/>
    <w:rsid w:val="00556F48"/>
    <w:rsid w:val="006925AA"/>
    <w:rsid w:val="006B3AD1"/>
    <w:rsid w:val="006C4E7D"/>
    <w:rsid w:val="006E1731"/>
    <w:rsid w:val="00725177"/>
    <w:rsid w:val="007A1B8D"/>
    <w:rsid w:val="007E0153"/>
    <w:rsid w:val="00814A9E"/>
    <w:rsid w:val="008E1BA0"/>
    <w:rsid w:val="008E3943"/>
    <w:rsid w:val="0090040D"/>
    <w:rsid w:val="0094460C"/>
    <w:rsid w:val="00946356"/>
    <w:rsid w:val="00977AB8"/>
    <w:rsid w:val="009D052C"/>
    <w:rsid w:val="009D1D1E"/>
    <w:rsid w:val="00A035FD"/>
    <w:rsid w:val="00A32C67"/>
    <w:rsid w:val="00A44E9F"/>
    <w:rsid w:val="00A51C94"/>
    <w:rsid w:val="00A53DD3"/>
    <w:rsid w:val="00A95ECC"/>
    <w:rsid w:val="00AD23A0"/>
    <w:rsid w:val="00B57920"/>
    <w:rsid w:val="00B87E75"/>
    <w:rsid w:val="00BA3C60"/>
    <w:rsid w:val="00BF4C8E"/>
    <w:rsid w:val="00C552BC"/>
    <w:rsid w:val="00C854B2"/>
    <w:rsid w:val="00CD33A8"/>
    <w:rsid w:val="00D02F6F"/>
    <w:rsid w:val="00D24DAE"/>
    <w:rsid w:val="00D34DA6"/>
    <w:rsid w:val="00D426AA"/>
    <w:rsid w:val="00DB58D6"/>
    <w:rsid w:val="00E076C5"/>
    <w:rsid w:val="00E569FD"/>
    <w:rsid w:val="00E620E7"/>
    <w:rsid w:val="00F43B3B"/>
    <w:rsid w:val="00F577A4"/>
    <w:rsid w:val="00F66E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556F48"/>
    <w:pPr>
      <w:keepNext/>
      <w:keepLines/>
      <w:spacing w:before="240" w:after="0" w:line="360" w:lineRule="auto"/>
      <w:jc w:val="center"/>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paragraph" w:styleId="Heading4">
    <w:name w:val="heading 4"/>
    <w:basedOn w:val="Normal"/>
    <w:next w:val="Normal"/>
    <w:link w:val="Heading4Char"/>
    <w:uiPriority w:val="9"/>
    <w:semiHidden/>
    <w:unhideWhenUsed/>
    <w:qFormat/>
    <w:rsid w:val="001E08A5"/>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E08A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6F48"/>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NormalWeb">
    <w:name w:val="Normal (Web)"/>
    <w:basedOn w:val="Normal"/>
    <w:uiPriority w:val="99"/>
    <w:semiHidden/>
    <w:unhideWhenUsed/>
    <w:rsid w:val="003204A6"/>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3204A6"/>
    <w:rPr>
      <w:i/>
      <w:iCs/>
    </w:rPr>
  </w:style>
  <w:style w:type="paragraph" w:styleId="ListParagraph">
    <w:name w:val="List Paragraph"/>
    <w:basedOn w:val="Normal"/>
    <w:uiPriority w:val="34"/>
    <w:qFormat/>
    <w:rsid w:val="004F4CAD"/>
    <w:pPr>
      <w:ind w:left="720"/>
      <w:contextualSpacing/>
    </w:pPr>
  </w:style>
  <w:style w:type="paragraph" w:styleId="TOCHeading">
    <w:name w:val="TOC Heading"/>
    <w:basedOn w:val="Heading1"/>
    <w:next w:val="Normal"/>
    <w:uiPriority w:val="39"/>
    <w:unhideWhenUsed/>
    <w:qFormat/>
    <w:rsid w:val="00174579"/>
    <w:pPr>
      <w:spacing w:before="480" w:line="276" w:lineRule="auto"/>
      <w:outlineLvl w:val="9"/>
    </w:pPr>
    <w:rPr>
      <w:rFonts w:asciiTheme="majorHAnsi" w:hAnsiTheme="majorHAnsi" w:cstheme="majorBidi"/>
      <w:bCs/>
      <w:color w:val="2F5496" w:themeColor="accent1" w:themeShade="BF"/>
      <w:sz w:val="28"/>
      <w:szCs w:val="28"/>
      <w:lang w:val="en-US"/>
    </w:rPr>
  </w:style>
  <w:style w:type="paragraph" w:styleId="TOC1">
    <w:name w:val="toc 1"/>
    <w:basedOn w:val="Normal"/>
    <w:next w:val="Normal"/>
    <w:autoRedefine/>
    <w:uiPriority w:val="39"/>
    <w:unhideWhenUsed/>
    <w:rsid w:val="00174579"/>
    <w:pPr>
      <w:spacing w:before="240" w:after="120"/>
    </w:pPr>
    <w:rPr>
      <w:rFonts w:asciiTheme="minorHAnsi" w:hAnsiTheme="minorHAnsi" w:cstheme="minorHAnsi"/>
      <w:b/>
      <w:bCs/>
      <w:sz w:val="20"/>
      <w:szCs w:val="20"/>
    </w:rPr>
  </w:style>
  <w:style w:type="character" w:styleId="Hyperlink">
    <w:name w:val="Hyperlink"/>
    <w:basedOn w:val="DefaultParagraphFont"/>
    <w:uiPriority w:val="99"/>
    <w:unhideWhenUsed/>
    <w:rsid w:val="00174579"/>
    <w:rPr>
      <w:color w:val="0563C1" w:themeColor="hyperlink"/>
      <w:u w:val="single"/>
    </w:rPr>
  </w:style>
  <w:style w:type="paragraph" w:styleId="TOC2">
    <w:name w:val="toc 2"/>
    <w:basedOn w:val="Normal"/>
    <w:next w:val="Normal"/>
    <w:autoRedefine/>
    <w:uiPriority w:val="39"/>
    <w:unhideWhenUsed/>
    <w:rsid w:val="00174579"/>
    <w:pPr>
      <w:spacing w:before="120" w:after="0"/>
      <w:ind w:left="240"/>
    </w:pPr>
    <w:rPr>
      <w:rFonts w:asciiTheme="minorHAnsi" w:hAnsiTheme="minorHAnsi" w:cstheme="minorHAnsi"/>
      <w:i/>
      <w:iCs/>
      <w:sz w:val="20"/>
      <w:szCs w:val="20"/>
    </w:rPr>
  </w:style>
  <w:style w:type="paragraph" w:styleId="TOC3">
    <w:name w:val="toc 3"/>
    <w:basedOn w:val="Normal"/>
    <w:next w:val="Normal"/>
    <w:autoRedefine/>
    <w:uiPriority w:val="39"/>
    <w:unhideWhenUsed/>
    <w:rsid w:val="00174579"/>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174579"/>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174579"/>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174579"/>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174579"/>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174579"/>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174579"/>
    <w:pPr>
      <w:spacing w:after="0"/>
      <w:ind w:left="1920"/>
    </w:pPr>
    <w:rPr>
      <w:rFonts w:asciiTheme="minorHAnsi" w:hAnsiTheme="minorHAnsi" w:cstheme="minorHAnsi"/>
      <w:sz w:val="20"/>
      <w:szCs w:val="20"/>
    </w:rPr>
  </w:style>
  <w:style w:type="paragraph" w:styleId="FootnoteText">
    <w:name w:val="footnote text"/>
    <w:basedOn w:val="Normal"/>
    <w:link w:val="FootnoteTextChar"/>
    <w:uiPriority w:val="99"/>
    <w:semiHidden/>
    <w:unhideWhenUsed/>
    <w:rsid w:val="00556F4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56F48"/>
    <w:rPr>
      <w:sz w:val="20"/>
      <w:szCs w:val="20"/>
    </w:rPr>
  </w:style>
  <w:style w:type="character" w:styleId="FootnoteReference">
    <w:name w:val="footnote reference"/>
    <w:basedOn w:val="DefaultParagraphFont"/>
    <w:uiPriority w:val="99"/>
    <w:semiHidden/>
    <w:unhideWhenUsed/>
    <w:rsid w:val="00556F48"/>
    <w:rPr>
      <w:vertAlign w:val="superscript"/>
    </w:rPr>
  </w:style>
  <w:style w:type="paragraph" w:styleId="TableofFigures">
    <w:name w:val="table of figures"/>
    <w:basedOn w:val="Normal"/>
    <w:next w:val="Normal"/>
    <w:uiPriority w:val="99"/>
    <w:semiHidden/>
    <w:unhideWhenUsed/>
    <w:rsid w:val="00283C2B"/>
    <w:pPr>
      <w:spacing w:after="0"/>
    </w:pPr>
  </w:style>
  <w:style w:type="character" w:customStyle="1" w:styleId="Heading4Char">
    <w:name w:val="Heading 4 Char"/>
    <w:basedOn w:val="DefaultParagraphFont"/>
    <w:link w:val="Heading4"/>
    <w:uiPriority w:val="9"/>
    <w:semiHidden/>
    <w:rsid w:val="001E08A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E08A5"/>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F51A07F-9F06-B14C-BF0C-0FDEF32FAE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8</Pages>
  <Words>1485</Words>
  <Characters>9401</Characters>
  <Application>Microsoft Office Word</Application>
  <DocSecurity>0</DocSecurity>
  <Lines>204</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Meherun Nessa Chowdhury (2516013)</cp:lastModifiedBy>
  <cp:revision>4</cp:revision>
  <dcterms:created xsi:type="dcterms:W3CDTF">2026-04-17T11:30:00Z</dcterms:created>
  <dcterms:modified xsi:type="dcterms:W3CDTF">2026-04-17T11:32:00Z</dcterms:modified>
</cp:coreProperties>
</file>