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51109" w:rsidRDefault="00E86B1F">
      <w:pPr>
        <w:pStyle w:val="Title"/>
      </w:pPr>
      <w:bookmarkStart w:id="0" w:name="_heading=h.gjdgxs" w:colFirst="0" w:colLast="0"/>
      <w:bookmarkEnd w:id="0"/>
      <w:r>
        <w:t xml:space="preserve">BMLW4005  Criminal Law </w:t>
      </w:r>
    </w:p>
    <w:p w14:paraId="00000002" w14:textId="77777777" w:rsidR="00751109" w:rsidRDefault="00751109">
      <w:pPr>
        <w:pStyle w:val="Title"/>
        <w:rPr>
          <w:i/>
          <w:sz w:val="24"/>
          <w:szCs w:val="24"/>
          <w:u w:val="none"/>
        </w:rPr>
      </w:pPr>
    </w:p>
    <w:p w14:paraId="00000003" w14:textId="77777777" w:rsidR="00751109" w:rsidRDefault="00751109">
      <w:pPr>
        <w:pStyle w:val="Title"/>
        <w:rPr>
          <w:i/>
          <w:sz w:val="24"/>
          <w:szCs w:val="24"/>
          <w:u w:val="none"/>
        </w:rPr>
      </w:pPr>
    </w:p>
    <w:p w14:paraId="00000004" w14:textId="77777777" w:rsidR="00751109" w:rsidRDefault="00E86B1F">
      <w:pPr>
        <w:pStyle w:val="Title"/>
        <w:rPr>
          <w:i/>
          <w:sz w:val="24"/>
          <w:szCs w:val="24"/>
          <w:u w:val="none"/>
        </w:rPr>
      </w:pPr>
      <w:bookmarkStart w:id="1" w:name="_heading=h.30j0zll" w:colFirst="0" w:colLast="0"/>
      <w:bookmarkEnd w:id="1"/>
      <w:r>
        <w:rPr>
          <w:i/>
          <w:sz w:val="24"/>
          <w:szCs w:val="24"/>
          <w:u w:val="none"/>
        </w:rPr>
        <w:t xml:space="preserve">Law portfolio </w:t>
      </w:r>
    </w:p>
    <w:p w14:paraId="00000005" w14:textId="77777777" w:rsidR="00751109" w:rsidRDefault="00751109">
      <w:pPr>
        <w:pStyle w:val="Title"/>
        <w:rPr>
          <w:i/>
          <w:sz w:val="24"/>
          <w:szCs w:val="24"/>
          <w:u w:val="none"/>
        </w:rPr>
      </w:pPr>
      <w:bookmarkStart w:id="2" w:name="_heading=h.gd5n6ho780mg" w:colFirst="0" w:colLast="0"/>
      <w:bookmarkEnd w:id="2"/>
    </w:p>
    <w:p w14:paraId="00000006" w14:textId="77777777" w:rsidR="00751109" w:rsidRDefault="00E86B1F">
      <w:pPr>
        <w:pStyle w:val="Title"/>
        <w:rPr>
          <w:i/>
          <w:sz w:val="24"/>
          <w:szCs w:val="24"/>
          <w:u w:val="none"/>
        </w:rPr>
      </w:pPr>
      <w:bookmarkStart w:id="3" w:name="_heading=h.6sglt0frh54u" w:colFirst="0" w:colLast="0"/>
      <w:bookmarkEnd w:id="3"/>
      <w:r>
        <w:rPr>
          <w:i/>
          <w:sz w:val="24"/>
          <w:szCs w:val="24"/>
          <w:u w:val="none"/>
        </w:rPr>
        <w:t>Name of the Student: Corina Neagu</w:t>
      </w:r>
    </w:p>
    <w:p w14:paraId="00000007" w14:textId="77777777" w:rsidR="00751109" w:rsidRDefault="00E86B1F">
      <w:pPr>
        <w:pStyle w:val="Title"/>
        <w:rPr>
          <w:i/>
          <w:sz w:val="24"/>
          <w:szCs w:val="24"/>
          <w:u w:val="none"/>
        </w:rPr>
      </w:pPr>
      <w:bookmarkStart w:id="4" w:name="_heading=h.pwlal5v7wadx" w:colFirst="0" w:colLast="0"/>
      <w:bookmarkEnd w:id="4"/>
      <w:r>
        <w:rPr>
          <w:i/>
          <w:sz w:val="24"/>
          <w:szCs w:val="24"/>
          <w:u w:val="none"/>
        </w:rPr>
        <w:t>Student ID: 2133243</w:t>
      </w:r>
    </w:p>
    <w:p w14:paraId="00000008" w14:textId="77777777" w:rsidR="00751109" w:rsidRDefault="00E86B1F">
      <w:pPr>
        <w:pStyle w:val="Title"/>
        <w:rPr>
          <w:i/>
          <w:sz w:val="24"/>
          <w:szCs w:val="24"/>
          <w:u w:val="none"/>
        </w:rPr>
      </w:pPr>
      <w:bookmarkStart w:id="5" w:name="_heading=h.6assf01z6dpz" w:colFirst="0" w:colLast="0"/>
      <w:bookmarkEnd w:id="5"/>
      <w:r>
        <w:rPr>
          <w:i/>
          <w:sz w:val="24"/>
          <w:szCs w:val="24"/>
          <w:u w:val="none"/>
        </w:rPr>
        <w:t>Name of the Tutor: Sadie France</w:t>
      </w:r>
      <w:r>
        <w:br w:type="page"/>
      </w:r>
    </w:p>
    <w:p w14:paraId="00000009" w14:textId="77777777" w:rsidR="00751109" w:rsidRDefault="00E86B1F">
      <w:pPr>
        <w:pBdr>
          <w:top w:val="nil"/>
          <w:left w:val="nil"/>
          <w:bottom w:val="nil"/>
          <w:right w:val="nil"/>
          <w:between w:val="nil"/>
        </w:pBdr>
        <w:spacing w:line="360" w:lineRule="auto"/>
        <w:jc w:val="center"/>
        <w:rPr>
          <w:b/>
          <w:color w:val="000000"/>
        </w:rPr>
      </w:pPr>
      <w:r>
        <w:rPr>
          <w:b/>
          <w:color w:val="000000"/>
        </w:rPr>
        <w:lastRenderedPageBreak/>
        <w:t>Table of Content</w:t>
      </w:r>
    </w:p>
    <w:p w14:paraId="0000000A" w14:textId="77777777" w:rsidR="00751109" w:rsidRDefault="00751109">
      <w:pPr>
        <w:pBdr>
          <w:top w:val="nil"/>
          <w:left w:val="nil"/>
          <w:bottom w:val="nil"/>
          <w:right w:val="nil"/>
          <w:between w:val="nil"/>
        </w:pBdr>
        <w:spacing w:line="360" w:lineRule="auto"/>
        <w:rPr>
          <w:color w:val="000000"/>
        </w:rPr>
      </w:pPr>
    </w:p>
    <w:sdt>
      <w:sdtPr>
        <w:id w:val="-2027855925"/>
        <w:docPartObj>
          <w:docPartGallery w:val="Table of Contents"/>
          <w:docPartUnique/>
        </w:docPartObj>
      </w:sdtPr>
      <w:sdtEndPr/>
      <w:sdtContent>
        <w:p w14:paraId="0000000B" w14:textId="77777777" w:rsidR="00751109" w:rsidRDefault="00E86B1F">
          <w:pPr>
            <w:pBdr>
              <w:top w:val="nil"/>
              <w:left w:val="nil"/>
              <w:bottom w:val="nil"/>
              <w:right w:val="nil"/>
              <w:between w:val="nil"/>
            </w:pBdr>
            <w:tabs>
              <w:tab w:val="right" w:pos="9360"/>
            </w:tabs>
            <w:spacing w:before="80" w:line="240" w:lineRule="auto"/>
            <w:rPr>
              <w:color w:val="000000"/>
            </w:rPr>
          </w:pPr>
          <w:r>
            <w:fldChar w:fldCharType="begin"/>
          </w:r>
          <w:r>
            <w:instrText xml:space="preserve"> TOC \h \u \z </w:instrText>
          </w:r>
          <w:r>
            <w:fldChar w:fldCharType="separate"/>
          </w:r>
          <w:hyperlink w:anchor="_heading=h.1fob9te">
            <w:r>
              <w:rPr>
                <w:color w:val="000000"/>
              </w:rPr>
              <w:t>Introduction</w:t>
            </w:r>
          </w:hyperlink>
          <w:r>
            <w:rPr>
              <w:color w:val="000000"/>
            </w:rPr>
            <w:tab/>
          </w:r>
          <w:r>
            <w:fldChar w:fldCharType="begin"/>
          </w:r>
          <w:r>
            <w:instrText xml:space="preserve"> HYPERLINK \l "_heading=h.1fob9te" </w:instrText>
          </w:r>
          <w:r>
            <w:fldChar w:fldCharType="separate"/>
          </w:r>
          <w:r>
            <w:rPr>
              <w:color w:val="000000"/>
            </w:rPr>
            <w:t>3</w:t>
          </w:r>
        </w:p>
        <w:p w14:paraId="0000000C" w14:textId="77777777" w:rsidR="00751109" w:rsidRDefault="00E86B1F">
          <w:pPr>
            <w:pBdr>
              <w:top w:val="nil"/>
              <w:left w:val="nil"/>
              <w:bottom w:val="nil"/>
              <w:right w:val="nil"/>
              <w:between w:val="nil"/>
            </w:pBdr>
            <w:tabs>
              <w:tab w:val="right" w:pos="9360"/>
            </w:tabs>
            <w:spacing w:before="200" w:line="240" w:lineRule="auto"/>
            <w:rPr>
              <w:color w:val="000000"/>
            </w:rPr>
          </w:pPr>
          <w:r>
            <w:fldChar w:fldCharType="end"/>
          </w:r>
          <w:hyperlink w:anchor="_heading=h.2et92p0">
            <w:r>
              <w:rPr>
                <w:color w:val="000000"/>
              </w:rPr>
              <w:t>Part A</w:t>
            </w:r>
          </w:hyperlink>
          <w:r>
            <w:rPr>
              <w:color w:val="000000"/>
            </w:rPr>
            <w:tab/>
          </w:r>
          <w:r>
            <w:fldChar w:fldCharType="begin"/>
          </w:r>
          <w:r>
            <w:instrText xml:space="preserve"> HYPERLINK \l "_heading=h.2et92p0" </w:instrText>
          </w:r>
          <w:r>
            <w:fldChar w:fldCharType="separate"/>
          </w:r>
          <w:r>
            <w:rPr>
              <w:color w:val="000000"/>
            </w:rPr>
            <w:t>4</w:t>
          </w:r>
        </w:p>
        <w:p w14:paraId="0000000D" w14:textId="77777777" w:rsidR="00751109" w:rsidRDefault="00E86B1F">
          <w:pPr>
            <w:pBdr>
              <w:top w:val="nil"/>
              <w:left w:val="nil"/>
              <w:bottom w:val="nil"/>
              <w:right w:val="nil"/>
              <w:between w:val="nil"/>
            </w:pBdr>
            <w:tabs>
              <w:tab w:val="right" w:pos="9360"/>
            </w:tabs>
            <w:spacing w:before="200" w:line="240" w:lineRule="auto"/>
            <w:rPr>
              <w:color w:val="000000"/>
            </w:rPr>
          </w:pPr>
          <w:r>
            <w:fldChar w:fldCharType="end"/>
          </w:r>
          <w:hyperlink w:anchor="_heading=h.tyjcwt">
            <w:r>
              <w:rPr>
                <w:color w:val="000000"/>
              </w:rPr>
              <w:t>Part B</w:t>
            </w:r>
          </w:hyperlink>
          <w:r>
            <w:rPr>
              <w:color w:val="000000"/>
            </w:rPr>
            <w:tab/>
          </w:r>
          <w:r>
            <w:fldChar w:fldCharType="begin"/>
          </w:r>
          <w:r>
            <w:instrText xml:space="preserve"> HYPERLINK \l "_heading=h.tyjcwt" </w:instrText>
          </w:r>
          <w:r>
            <w:fldChar w:fldCharType="separate"/>
          </w:r>
          <w:r>
            <w:rPr>
              <w:color w:val="000000"/>
            </w:rPr>
            <w:t>5</w:t>
          </w:r>
        </w:p>
        <w:p w14:paraId="0000000E" w14:textId="77777777" w:rsidR="00751109" w:rsidRDefault="00E86B1F">
          <w:pPr>
            <w:pBdr>
              <w:top w:val="nil"/>
              <w:left w:val="nil"/>
              <w:bottom w:val="nil"/>
              <w:right w:val="nil"/>
              <w:between w:val="nil"/>
            </w:pBdr>
            <w:tabs>
              <w:tab w:val="right" w:pos="9360"/>
            </w:tabs>
            <w:spacing w:before="200" w:line="240" w:lineRule="auto"/>
            <w:rPr>
              <w:color w:val="000000"/>
            </w:rPr>
          </w:pPr>
          <w:r>
            <w:fldChar w:fldCharType="end"/>
          </w:r>
          <w:hyperlink w:anchor="_heading=h.1t3h5sf">
            <w:r>
              <w:rPr>
                <w:color w:val="000000"/>
              </w:rPr>
              <w:t>Conclusion</w:t>
            </w:r>
          </w:hyperlink>
          <w:r>
            <w:rPr>
              <w:color w:val="000000"/>
            </w:rPr>
            <w:tab/>
          </w:r>
          <w:r>
            <w:fldChar w:fldCharType="begin"/>
          </w:r>
          <w:r>
            <w:instrText xml:space="preserve"> HYPERLINK \l "_heading=h.1t3h</w:instrText>
          </w:r>
          <w:r>
            <w:instrText xml:space="preserve">5sf" </w:instrText>
          </w:r>
          <w:r>
            <w:fldChar w:fldCharType="separate"/>
          </w:r>
          <w:r>
            <w:rPr>
              <w:color w:val="000000"/>
            </w:rPr>
            <w:t>8</w:t>
          </w:r>
        </w:p>
        <w:p w14:paraId="0000000F" w14:textId="77777777" w:rsidR="00751109" w:rsidRDefault="00E86B1F">
          <w:pPr>
            <w:pBdr>
              <w:top w:val="nil"/>
              <w:left w:val="nil"/>
              <w:bottom w:val="nil"/>
              <w:right w:val="nil"/>
              <w:between w:val="nil"/>
            </w:pBdr>
            <w:tabs>
              <w:tab w:val="right" w:pos="9360"/>
            </w:tabs>
            <w:spacing w:before="200" w:after="80" w:line="240" w:lineRule="auto"/>
            <w:rPr>
              <w:color w:val="000000"/>
            </w:rPr>
          </w:pPr>
          <w:r>
            <w:fldChar w:fldCharType="end"/>
          </w:r>
          <w:hyperlink w:anchor="_heading=h.2s8eyo1">
            <w:r>
              <w:rPr>
                <w:color w:val="000000"/>
              </w:rPr>
              <w:t>References</w:t>
            </w:r>
          </w:hyperlink>
          <w:r>
            <w:rPr>
              <w:color w:val="000000"/>
            </w:rPr>
            <w:tab/>
          </w:r>
          <w:r>
            <w:fldChar w:fldCharType="begin"/>
          </w:r>
          <w:r>
            <w:instrText xml:space="preserve"> PAGEREF _heading=h.2s8eyo1 \h </w:instrText>
          </w:r>
          <w:r>
            <w:fldChar w:fldCharType="separate"/>
          </w:r>
          <w:r>
            <w:rPr>
              <w:color w:val="000000"/>
            </w:rPr>
            <w:t>9</w:t>
          </w:r>
          <w:r>
            <w:fldChar w:fldCharType="end"/>
          </w:r>
          <w:r>
            <w:fldChar w:fldCharType="end"/>
          </w:r>
        </w:p>
      </w:sdtContent>
    </w:sdt>
    <w:p w14:paraId="00000010" w14:textId="77777777" w:rsidR="00751109" w:rsidRDefault="00751109">
      <w:pPr>
        <w:pBdr>
          <w:top w:val="nil"/>
          <w:left w:val="nil"/>
          <w:bottom w:val="nil"/>
          <w:right w:val="nil"/>
          <w:between w:val="nil"/>
        </w:pBdr>
        <w:rPr>
          <w:color w:val="000000"/>
        </w:rPr>
      </w:pPr>
    </w:p>
    <w:p w14:paraId="00000011" w14:textId="77777777" w:rsidR="00751109" w:rsidRDefault="00E86B1F">
      <w:pPr>
        <w:pBdr>
          <w:top w:val="nil"/>
          <w:left w:val="nil"/>
          <w:bottom w:val="nil"/>
          <w:right w:val="nil"/>
          <w:between w:val="nil"/>
        </w:pBdr>
        <w:spacing w:line="360" w:lineRule="auto"/>
        <w:rPr>
          <w:color w:val="000000"/>
        </w:rPr>
      </w:pPr>
      <w:r>
        <w:br w:type="page"/>
      </w:r>
    </w:p>
    <w:p w14:paraId="00000012" w14:textId="77777777" w:rsidR="00751109" w:rsidRDefault="00E86B1F">
      <w:pPr>
        <w:pStyle w:val="Heading1"/>
        <w:spacing w:line="360" w:lineRule="auto"/>
        <w:jc w:val="both"/>
      </w:pPr>
      <w:bookmarkStart w:id="6" w:name="_heading=h.1fob9te" w:colFirst="0" w:colLast="0"/>
      <w:bookmarkEnd w:id="6"/>
      <w:r>
        <w:lastRenderedPageBreak/>
        <w:t xml:space="preserve">Introduction </w:t>
      </w:r>
    </w:p>
    <w:p w14:paraId="00000013" w14:textId="77777777" w:rsidR="00751109" w:rsidRDefault="00E86B1F">
      <w:pPr>
        <w:pBdr>
          <w:top w:val="nil"/>
          <w:left w:val="nil"/>
          <w:bottom w:val="nil"/>
          <w:right w:val="nil"/>
          <w:between w:val="nil"/>
        </w:pBdr>
        <w:spacing w:line="360" w:lineRule="auto"/>
        <w:jc w:val="both"/>
        <w:rPr>
          <w:color w:val="000000"/>
        </w:rPr>
      </w:pPr>
      <w:r>
        <w:rPr>
          <w:color w:val="000000"/>
        </w:rPr>
        <w:t>This report is about criminal law and will highlight different points related to crime and laws. This report will help to understand which law can be claimed for any criminal activity such as damages to property. Additionally, it will also show which law c</w:t>
      </w:r>
      <w:r>
        <w:rPr>
          <w:color w:val="000000"/>
        </w:rPr>
        <w:t xml:space="preserve">an support men's rea criminal activity of the individual. </w:t>
      </w:r>
    </w:p>
    <w:p w14:paraId="00000014" w14:textId="77777777" w:rsidR="00751109" w:rsidRDefault="00E86B1F">
      <w:pPr>
        <w:pStyle w:val="Heading1"/>
        <w:spacing w:line="360" w:lineRule="auto"/>
        <w:jc w:val="both"/>
      </w:pPr>
      <w:bookmarkStart w:id="7" w:name="_heading=h.3znysh7" w:colFirst="0" w:colLast="0"/>
      <w:bookmarkEnd w:id="7"/>
      <w:r>
        <w:br w:type="page"/>
      </w:r>
    </w:p>
    <w:p w14:paraId="00000015" w14:textId="77777777" w:rsidR="00751109" w:rsidRDefault="00E86B1F">
      <w:pPr>
        <w:pStyle w:val="Heading1"/>
        <w:spacing w:line="360" w:lineRule="auto"/>
        <w:jc w:val="both"/>
      </w:pPr>
      <w:bookmarkStart w:id="8" w:name="_heading=h.2et92p0" w:colFirst="0" w:colLast="0"/>
      <w:bookmarkEnd w:id="8"/>
      <w:r>
        <w:lastRenderedPageBreak/>
        <w:t xml:space="preserve">Part A </w:t>
      </w:r>
    </w:p>
    <w:p w14:paraId="54D87DFD" w14:textId="77777777" w:rsidR="00B573E9" w:rsidRDefault="00392309">
      <w:pPr>
        <w:pBdr>
          <w:top w:val="nil"/>
          <w:left w:val="nil"/>
          <w:bottom w:val="nil"/>
          <w:right w:val="nil"/>
          <w:between w:val="nil"/>
        </w:pBdr>
        <w:spacing w:line="360" w:lineRule="auto"/>
        <w:jc w:val="both"/>
        <w:rPr>
          <w:color w:val="000000"/>
        </w:rPr>
      </w:pPr>
      <w:r>
        <w:rPr>
          <w:color w:val="000000"/>
        </w:rPr>
        <w:t>In the first cas</w:t>
      </w:r>
      <w:r w:rsidR="00E86B1F">
        <w:rPr>
          <w:color w:val="000000"/>
        </w:rPr>
        <w:t xml:space="preserve">e of </w:t>
      </w:r>
      <w:r>
        <w:rPr>
          <w:color w:val="000000"/>
        </w:rPr>
        <w:t xml:space="preserve"> </w:t>
      </w:r>
      <w:r w:rsidR="00E86B1F">
        <w:rPr>
          <w:color w:val="000000"/>
        </w:rPr>
        <w:t>Ronan and Hadley, it can be seen that Ronan has taken some unethical behaviour which is strictly prohibited by the law of the United Kingdom. The action</w:t>
      </w:r>
      <w:r>
        <w:rPr>
          <w:color w:val="000000"/>
        </w:rPr>
        <w:t xml:space="preserve"> that</w:t>
      </w:r>
      <w:r w:rsidR="00E86B1F">
        <w:rPr>
          <w:color w:val="000000"/>
        </w:rPr>
        <w:t xml:space="preserve"> Hadley</w:t>
      </w:r>
      <w:r w:rsidR="00B573E9">
        <w:rPr>
          <w:color w:val="000000"/>
        </w:rPr>
        <w:t xml:space="preserve"> had done</w:t>
      </w:r>
    </w:p>
    <w:p w14:paraId="00000016" w14:textId="608E7983" w:rsidR="00751109" w:rsidRDefault="00E86B1F">
      <w:pPr>
        <w:pBdr>
          <w:top w:val="nil"/>
          <w:left w:val="nil"/>
          <w:bottom w:val="nil"/>
          <w:right w:val="nil"/>
          <w:between w:val="nil"/>
        </w:pBdr>
        <w:spacing w:line="360" w:lineRule="auto"/>
        <w:jc w:val="both"/>
        <w:rPr>
          <w:color w:val="000000"/>
        </w:rPr>
      </w:pPr>
      <w:r>
        <w:rPr>
          <w:color w:val="000000"/>
        </w:rPr>
        <w:t xml:space="preserve"> was be</w:t>
      </w:r>
      <w:r>
        <w:rPr>
          <w:color w:val="000000"/>
        </w:rPr>
        <w:t>cause of hatred towards Ronan which resulted in criminal activity. It is because Hadley committed different crimes and the most critical crime was trespassing on Ronan’s property without his knowledge or information. Additionally, Hadley also caused variou</w:t>
      </w:r>
      <w:r>
        <w:rPr>
          <w:color w:val="000000"/>
        </w:rPr>
        <w:t>s damages to the property of Ronan which includes stealing</w:t>
      </w:r>
      <w:r w:rsidR="00392309">
        <w:rPr>
          <w:color w:val="000000"/>
        </w:rPr>
        <w:t xml:space="preserve"> the Kolex watch, </w:t>
      </w:r>
      <w:r>
        <w:rPr>
          <w:color w:val="000000"/>
        </w:rPr>
        <w:t>s</w:t>
      </w:r>
      <w:r w:rsidR="00392309">
        <w:rPr>
          <w:color w:val="000000"/>
        </w:rPr>
        <w:t>etting the dressing room on fire</w:t>
      </w:r>
      <w:r>
        <w:rPr>
          <w:color w:val="000000"/>
        </w:rPr>
        <w:t xml:space="preserve"> and breaking a wooden bench. As a result, it caused huge damage to the pr</w:t>
      </w:r>
      <w:r w:rsidR="00392309">
        <w:rPr>
          <w:color w:val="000000"/>
        </w:rPr>
        <w:t>operty which Ronan can claim as</w:t>
      </w:r>
      <w:r>
        <w:rPr>
          <w:color w:val="000000"/>
        </w:rPr>
        <w:t xml:space="preserve"> criminal activity and ask for compensatio</w:t>
      </w:r>
      <w:r>
        <w:rPr>
          <w:color w:val="000000"/>
        </w:rPr>
        <w:t xml:space="preserve">n and justice. </w:t>
      </w:r>
    </w:p>
    <w:p w14:paraId="00000017" w14:textId="77777777" w:rsidR="00751109" w:rsidRDefault="00E86B1F">
      <w:pPr>
        <w:pBdr>
          <w:top w:val="nil"/>
          <w:left w:val="nil"/>
          <w:bottom w:val="nil"/>
          <w:right w:val="nil"/>
          <w:between w:val="nil"/>
        </w:pBdr>
        <w:spacing w:line="360" w:lineRule="auto"/>
        <w:jc w:val="both"/>
        <w:rPr>
          <w:color w:val="000000"/>
        </w:rPr>
      </w:pPr>
      <w:r>
        <w:rPr>
          <w:color w:val="000000"/>
        </w:rPr>
        <w:t>Hadley is considered liable to different criminal laws developed by the government of the United Kingdom. One of the laws is the “Criminal Damage Act of 1971”. This law developed by the government of the UK suggests that the person that dam</w:t>
      </w:r>
      <w:r>
        <w:rPr>
          <w:color w:val="000000"/>
        </w:rPr>
        <w:t xml:space="preserve">ages or destroys the property belonging to someone else is guilty of an offence. “The offence is triable either way” a suggested by the Magistrate’s Court Act 1980 and the individual can face a maximum of 10 years’ imprisonment (Łuczaj </w:t>
      </w:r>
      <w:r>
        <w:rPr>
          <w:i/>
          <w:color w:val="000000"/>
        </w:rPr>
        <w:t xml:space="preserve">et al., </w:t>
      </w:r>
      <w:r>
        <w:rPr>
          <w:color w:val="000000"/>
        </w:rPr>
        <w:t>2021). There</w:t>
      </w:r>
      <w:r>
        <w:rPr>
          <w:color w:val="000000"/>
        </w:rPr>
        <w:t xml:space="preserve"> are three sections of “The Criminal Damage Act of 1971” which includes “Destroying or damaging property under Section 1, Threats to destroy or damage property under section 2 and Possessing anything with intent to destroy or damage property under Section </w:t>
      </w:r>
      <w:r>
        <w:rPr>
          <w:color w:val="000000"/>
        </w:rPr>
        <w:t>3”. Section 1 describes that if the person destroys or damages the property of another party, or even intended to destroy any property, the individual will be guilty to the crime. Section 1 of this law also describes a property which have tangible nature a</w:t>
      </w:r>
      <w:r>
        <w:rPr>
          <w:color w:val="000000"/>
        </w:rPr>
        <w:t xml:space="preserve">nd required proof of damage made to the tangible property (Robinson </w:t>
      </w:r>
      <w:r>
        <w:rPr>
          <w:i/>
          <w:color w:val="000000"/>
        </w:rPr>
        <w:t xml:space="preserve">et all., </w:t>
      </w:r>
      <w:r>
        <w:rPr>
          <w:color w:val="000000"/>
        </w:rPr>
        <w:t xml:space="preserve">2019). Thus, the property includes lands, furniture and other tangible assets of the owner. </w:t>
      </w:r>
    </w:p>
    <w:p w14:paraId="00000018" w14:textId="6A07E63B" w:rsidR="00751109" w:rsidRDefault="00E86B1F">
      <w:pPr>
        <w:pBdr>
          <w:top w:val="nil"/>
          <w:left w:val="nil"/>
          <w:bottom w:val="nil"/>
          <w:right w:val="nil"/>
          <w:between w:val="nil"/>
        </w:pBdr>
        <w:spacing w:line="360" w:lineRule="auto"/>
        <w:jc w:val="both"/>
        <w:rPr>
          <w:color w:val="000000"/>
        </w:rPr>
      </w:pPr>
      <w:r>
        <w:rPr>
          <w:color w:val="000000"/>
        </w:rPr>
        <w:t>Section 2 of “The Criminal Damage Act of 1971”, states “two offences of threatening to</w:t>
      </w:r>
      <w:r>
        <w:rPr>
          <w:color w:val="000000"/>
        </w:rPr>
        <w:t xml:space="preserve"> destroy or damage”.  The threat made by the individual is</w:t>
      </w:r>
      <w:r w:rsidR="0007436E">
        <w:rPr>
          <w:color w:val="000000"/>
        </w:rPr>
        <w:t xml:space="preserve"> associated with causing damage</w:t>
      </w:r>
      <w:r>
        <w:rPr>
          <w:color w:val="000000"/>
        </w:rPr>
        <w:t xml:space="preserve"> and destruction to the property which results in causing a potential threat to the individual or people who are present in the scenario. Section 3 of “The Criminal D</w:t>
      </w:r>
      <w:r>
        <w:rPr>
          <w:color w:val="000000"/>
        </w:rPr>
        <w:t>amage Act of 1971” suggests “possessing anything with intent to destroy or damage property (b)to destroy or damage his own or the user's property in a way which he knows is likely to endanger the life of some other person; shall be guilty of an offence”. T</w:t>
      </w:r>
      <w:r>
        <w:rPr>
          <w:color w:val="000000"/>
        </w:rPr>
        <w:t>hus, t</w:t>
      </w:r>
      <w:r w:rsidR="0007436E">
        <w:rPr>
          <w:color w:val="000000"/>
        </w:rPr>
        <w:t>his law also sees if the damage</w:t>
      </w:r>
      <w:r>
        <w:rPr>
          <w:color w:val="000000"/>
        </w:rPr>
        <w:t xml:space="preserve"> and destruction caused by the individual are life-threatening to other individuals present in the scenario or not (Collins </w:t>
      </w:r>
      <w:r>
        <w:rPr>
          <w:i/>
          <w:color w:val="000000"/>
        </w:rPr>
        <w:t xml:space="preserve">et al., </w:t>
      </w:r>
      <w:r>
        <w:rPr>
          <w:color w:val="000000"/>
        </w:rPr>
        <w:lastRenderedPageBreak/>
        <w:t>202`). Thus, the individual can be liable for t</w:t>
      </w:r>
      <w:r w:rsidR="0007436E">
        <w:rPr>
          <w:color w:val="000000"/>
        </w:rPr>
        <w:t>he punishment as per the damage</w:t>
      </w:r>
      <w:r>
        <w:rPr>
          <w:color w:val="000000"/>
        </w:rPr>
        <w:t xml:space="preserve"> and ho</w:t>
      </w:r>
      <w:r w:rsidR="0007436E">
        <w:rPr>
          <w:color w:val="000000"/>
        </w:rPr>
        <w:t>w threatening the damage</w:t>
      </w:r>
      <w:r>
        <w:rPr>
          <w:color w:val="000000"/>
        </w:rPr>
        <w:t xml:space="preserve"> is. </w:t>
      </w:r>
    </w:p>
    <w:p w14:paraId="00000019" w14:textId="77777777" w:rsidR="00751109" w:rsidRDefault="00E86B1F">
      <w:pPr>
        <w:pBdr>
          <w:top w:val="nil"/>
          <w:left w:val="nil"/>
          <w:bottom w:val="nil"/>
          <w:right w:val="nil"/>
          <w:between w:val="nil"/>
        </w:pBdr>
        <w:spacing w:line="360" w:lineRule="auto"/>
        <w:jc w:val="both"/>
        <w:rPr>
          <w:color w:val="000000"/>
        </w:rPr>
      </w:pPr>
      <w:bookmarkStart w:id="9" w:name="_GoBack"/>
      <w:bookmarkEnd w:id="9"/>
      <w:r>
        <w:rPr>
          <w:color w:val="000000"/>
        </w:rPr>
        <w:t>From the above statement of the “Criminal Damage Act of 1971”, it can be seen that Ronan is liable to the criminal law of the United Kingdom as his action caused several destructions. He is also liable for the theft of the Ko</w:t>
      </w:r>
      <w:r>
        <w:rPr>
          <w:color w:val="000000"/>
        </w:rPr>
        <w:t xml:space="preserve">lex watch which Ronan needs to be guilty of as a crime. The law also has two elements which include “actus reus and mens rea”. Ronan is liable to actus reus as his acts were intentional as he intended to damage the property of Hadley.  Additionally, he is </w:t>
      </w:r>
      <w:r>
        <w:rPr>
          <w:color w:val="000000"/>
        </w:rPr>
        <w:t>also liable to damage the different properties of Hadley. Thus, Hadley can claim the justice he needs as per the “Criminal Damage Act of 1971” of the UK (Bradford and Tiratelli, 2019). Claiming this justice through this law can make Ronan guilty of his act</w:t>
      </w:r>
      <w:r>
        <w:rPr>
          <w:color w:val="000000"/>
        </w:rPr>
        <w:t>s such as damaging property and stealing the property. Hadley can charge Section 1 and Section 2 of the “Criminal Damage Act of 1971” as Ronan entered into the property of Hadley within the prior information and knowledge of Ronan and destroyed and damaged</w:t>
      </w:r>
      <w:r>
        <w:rPr>
          <w:color w:val="000000"/>
        </w:rPr>
        <w:t xml:space="preserve"> many properties including stealing his property. Thus, as per Section 1 of the “Criminal Damage Act of 1971”, Ronan is liable and guilty of destroying or damaging property. The property that Ronan damaged and destroyed includes a wooden bench which is tan</w:t>
      </w:r>
      <w:r>
        <w:rPr>
          <w:color w:val="000000"/>
        </w:rPr>
        <w:t>gible in nature. Thus, Ronan is guilty of the crime of damaging the bench as per Section 1 of the “Criminal Damage Act of 1971”. Additionally, Hadley can also charge section 2 of the “Criminal Damage Act of 1971” as he also intended to steal the “Bucci tra</w:t>
      </w:r>
      <w:r>
        <w:rPr>
          <w:color w:val="000000"/>
        </w:rPr>
        <w:t>iners” owned by Hadley. Thus, Hadley can charge this law which can result in imprisoning Ronan for at least 2 years (Christensen, 2019).</w:t>
      </w:r>
    </w:p>
    <w:p w14:paraId="0000001A" w14:textId="77777777" w:rsidR="00751109" w:rsidRDefault="00751109">
      <w:pPr>
        <w:pBdr>
          <w:top w:val="nil"/>
          <w:left w:val="nil"/>
          <w:bottom w:val="nil"/>
          <w:right w:val="nil"/>
          <w:between w:val="nil"/>
        </w:pBdr>
        <w:spacing w:line="360" w:lineRule="auto"/>
        <w:jc w:val="both"/>
        <w:rPr>
          <w:color w:val="000000"/>
        </w:rPr>
      </w:pPr>
    </w:p>
    <w:p w14:paraId="0000001B" w14:textId="77777777" w:rsidR="00751109" w:rsidRDefault="00E86B1F">
      <w:pPr>
        <w:pStyle w:val="Heading1"/>
        <w:spacing w:line="360" w:lineRule="auto"/>
        <w:jc w:val="both"/>
      </w:pPr>
      <w:bookmarkStart w:id="10" w:name="_heading=h.tyjcwt" w:colFirst="0" w:colLast="0"/>
      <w:bookmarkEnd w:id="10"/>
      <w:r>
        <w:t>Part B</w:t>
      </w:r>
    </w:p>
    <w:p w14:paraId="0000001C" w14:textId="2B60E290" w:rsidR="00751109" w:rsidRDefault="00E86B1F">
      <w:pPr>
        <w:pBdr>
          <w:top w:val="nil"/>
          <w:left w:val="nil"/>
          <w:bottom w:val="nil"/>
          <w:right w:val="nil"/>
          <w:between w:val="nil"/>
        </w:pBdr>
        <w:spacing w:line="360" w:lineRule="auto"/>
        <w:jc w:val="both"/>
        <w:rPr>
          <w:color w:val="000000"/>
        </w:rPr>
      </w:pPr>
      <w:r>
        <w:rPr>
          <w:color w:val="000000"/>
        </w:rPr>
        <w:t>In the second case, Freya who has been diagnosed with epilepsy disease has been charged under “s.47 Offence Aga</w:t>
      </w:r>
      <w:r>
        <w:rPr>
          <w:color w:val="000000"/>
        </w:rPr>
        <w:t>inst the Person Act of 1861”. She was charged with this law as she punched Mike which caused a black eye. This act occurred as Frey</w:t>
      </w:r>
      <w:r w:rsidR="00413A6A">
        <w:rPr>
          <w:color w:val="000000"/>
        </w:rPr>
        <w:t>a which</w:t>
      </w:r>
      <w:r>
        <w:rPr>
          <w:color w:val="000000"/>
        </w:rPr>
        <w:t xml:space="preserve"> was diagn</w:t>
      </w:r>
      <w:r w:rsidR="00413A6A">
        <w:rPr>
          <w:color w:val="000000"/>
        </w:rPr>
        <w:t>osed with epilepsy and Nicky</w:t>
      </w:r>
      <w:r>
        <w:rPr>
          <w:color w:val="000000"/>
        </w:rPr>
        <w:t xml:space="preserve"> met at freshers' week at university decided to go to the party. Before going t</w:t>
      </w:r>
      <w:r>
        <w:rPr>
          <w:color w:val="000000"/>
        </w:rPr>
        <w:t>o the party, both of them drank a bottle of gin and hand another “six double gin and tonics each”. However, when returning from the party, Freya started to vomit and fell unconsciousl</w:t>
      </w:r>
      <w:r w:rsidR="00413A6A">
        <w:rPr>
          <w:color w:val="000000"/>
        </w:rPr>
        <w:t xml:space="preserve">y to the ground. Nicky </w:t>
      </w:r>
      <w:r>
        <w:rPr>
          <w:color w:val="000000"/>
        </w:rPr>
        <w:t>called Mike who was in the next room to g</w:t>
      </w:r>
      <w:r>
        <w:rPr>
          <w:color w:val="000000"/>
        </w:rPr>
        <w:t>et help. But, Freya punche</w:t>
      </w:r>
      <w:r w:rsidR="00413A6A">
        <w:rPr>
          <w:color w:val="000000"/>
        </w:rPr>
        <w:t>d Mike in the face whilst having a seizure and resulted</w:t>
      </w:r>
      <w:r>
        <w:rPr>
          <w:color w:val="000000"/>
        </w:rPr>
        <w:t xml:space="preserve"> in</w:t>
      </w:r>
      <w:r w:rsidR="00413A6A">
        <w:rPr>
          <w:color w:val="000000"/>
        </w:rPr>
        <w:t xml:space="preserve"> him getting</w:t>
      </w:r>
      <w:r>
        <w:rPr>
          <w:color w:val="000000"/>
        </w:rPr>
        <w:t xml:space="preserve"> a black e</w:t>
      </w:r>
      <w:r w:rsidR="00413A6A">
        <w:rPr>
          <w:color w:val="000000"/>
        </w:rPr>
        <w:t xml:space="preserve">ye </w:t>
      </w:r>
      <w:r>
        <w:rPr>
          <w:color w:val="000000"/>
        </w:rPr>
        <w:t xml:space="preserve">. Thus, this resulted in Freya being charged with “s.47 Offences Against the Person Act of 1861”.  </w:t>
      </w:r>
    </w:p>
    <w:p w14:paraId="0000001D" w14:textId="1344B8FB" w:rsidR="00751109" w:rsidRDefault="00E86B1F">
      <w:pPr>
        <w:pBdr>
          <w:top w:val="nil"/>
          <w:left w:val="nil"/>
          <w:bottom w:val="nil"/>
          <w:right w:val="nil"/>
          <w:between w:val="nil"/>
        </w:pBdr>
        <w:spacing w:line="360" w:lineRule="auto"/>
        <w:jc w:val="both"/>
        <w:rPr>
          <w:color w:val="000000"/>
        </w:rPr>
      </w:pPr>
      <w:r>
        <w:rPr>
          <w:color w:val="000000"/>
        </w:rPr>
        <w:lastRenderedPageBreak/>
        <w:t>As per “s.47 Offences Against the Person Act o</w:t>
      </w:r>
      <w:r>
        <w:rPr>
          <w:color w:val="000000"/>
        </w:rPr>
        <w:t>f 1861”, it is the action of assault which results in causing “Actual Bodily Harm (ABH)”. This law also suggests that the offence is caused when an individual recklessly or intentionally</w:t>
      </w:r>
      <w:r w:rsidR="00413A6A">
        <w:rPr>
          <w:color w:val="000000"/>
        </w:rPr>
        <w:t xml:space="preserve"> harms</w:t>
      </w:r>
      <w:r>
        <w:rPr>
          <w:color w:val="000000"/>
        </w:rPr>
        <w:t xml:space="preserve"> another individual which results in causing “Actual Bodily Harm”. How</w:t>
      </w:r>
      <w:r>
        <w:rPr>
          <w:color w:val="000000"/>
        </w:rPr>
        <w:t xml:space="preserve">ever, the action must be proven as an assault which caused bodily harm to another individual (McDermaid, 2020).  </w:t>
      </w:r>
    </w:p>
    <w:p w14:paraId="0000001E" w14:textId="64D4212F" w:rsidR="00751109" w:rsidRDefault="00E86B1F">
      <w:pPr>
        <w:pBdr>
          <w:top w:val="nil"/>
          <w:left w:val="nil"/>
          <w:bottom w:val="nil"/>
          <w:right w:val="nil"/>
          <w:between w:val="nil"/>
        </w:pBdr>
        <w:spacing w:line="360" w:lineRule="auto"/>
        <w:jc w:val="both"/>
        <w:rPr>
          <w:color w:val="000000"/>
        </w:rPr>
      </w:pPr>
      <w:r>
        <w:rPr>
          <w:color w:val="000000"/>
        </w:rPr>
        <w:t>However, Freya can claim the “defences of intoxication and automatism” as the physical bodily harm caused by Freya was unintentional. It is be</w:t>
      </w:r>
      <w:r>
        <w:rPr>
          <w:color w:val="000000"/>
        </w:rPr>
        <w:t>cause Freya was a patient with epilepsy which she has been diagnosed with for the past 10 years. She was also unconscious when the assault or the act of bodily harm occurred. Thus, the act of Frey</w:t>
      </w:r>
      <w:r w:rsidR="00A968AE">
        <w:rPr>
          <w:color w:val="000000"/>
        </w:rPr>
        <w:t>a</w:t>
      </w:r>
      <w:r>
        <w:rPr>
          <w:color w:val="000000"/>
        </w:rPr>
        <w:t xml:space="preserve"> can also be considered as men’s rea as the act or the assau</w:t>
      </w:r>
      <w:r>
        <w:rPr>
          <w:color w:val="000000"/>
        </w:rPr>
        <w:t xml:space="preserve">lt was unintentional or not meant to hurt Mike. Thus, Freya can claim the “defence of automatism and intoxication” which can help her to prove herself innocent and the </w:t>
      </w:r>
      <w:r w:rsidR="00413A6A">
        <w:rPr>
          <w:color w:val="000000"/>
        </w:rPr>
        <w:t xml:space="preserve">act as unintentional before </w:t>
      </w:r>
      <w:r>
        <w:rPr>
          <w:color w:val="000000"/>
        </w:rPr>
        <w:t xml:space="preserve">court. It is because </w:t>
      </w:r>
      <w:r w:rsidR="00413A6A">
        <w:rPr>
          <w:color w:val="000000"/>
        </w:rPr>
        <w:t xml:space="preserve">the </w:t>
      </w:r>
      <w:r>
        <w:rPr>
          <w:color w:val="000000"/>
        </w:rPr>
        <w:t>automatism states “a general defenc</w:t>
      </w:r>
      <w:r>
        <w:rPr>
          <w:color w:val="000000"/>
        </w:rPr>
        <w:t>e that can be pleaded in relation to all crimes”. There are generally two types of auto</w:t>
      </w:r>
      <w:r w:rsidR="00A21B33">
        <w:rPr>
          <w:color w:val="000000"/>
        </w:rPr>
        <w:t>matism which include “non-insan</w:t>
      </w:r>
      <w:r>
        <w:rPr>
          <w:color w:val="000000"/>
        </w:rPr>
        <w:t>e automatism and insane automotism”. Automatism is applied when “the cause of the defendant’s behaviour was internal or external”. Intoxi</w:t>
      </w:r>
      <w:r>
        <w:rPr>
          <w:color w:val="000000"/>
        </w:rPr>
        <w:t xml:space="preserve">cation can also be claimed as it is “restricted to referring only to intoxication by alcohol and dangerous drugs” (Ashley, 2020). Thus, the individual can be classed as involuntarily intoxicated if they are not aware </w:t>
      </w:r>
      <w:r w:rsidR="00A21B33">
        <w:rPr>
          <w:color w:val="000000"/>
        </w:rPr>
        <w:t xml:space="preserve">of </w:t>
      </w:r>
      <w:r>
        <w:rPr>
          <w:color w:val="000000"/>
        </w:rPr>
        <w:t>consuming an intoxicant suc</w:t>
      </w:r>
      <w:r>
        <w:rPr>
          <w:color w:val="000000"/>
        </w:rPr>
        <w:t>h as spiked drinks. However, intoxication is only considered a defence if the action of the individual is deprived by intoxication which makes his ability to form the committed offence as men's rea. However, if the action or encounter of the individual doe</w:t>
      </w:r>
      <w:r>
        <w:rPr>
          <w:color w:val="000000"/>
        </w:rPr>
        <w:t xml:space="preserve">s not form the men's rea, then the action of the individual can be considered as an offence and will be guilty of the offence regardless of any intoxication (Jadhav-Patil and Kumbharikar-Bhale, 2020).  </w:t>
      </w:r>
    </w:p>
    <w:p w14:paraId="0000001F" w14:textId="08F17E3C" w:rsidR="00751109" w:rsidRDefault="00E86B1F">
      <w:pPr>
        <w:pBdr>
          <w:top w:val="nil"/>
          <w:left w:val="nil"/>
          <w:bottom w:val="nil"/>
          <w:right w:val="nil"/>
          <w:between w:val="nil"/>
        </w:pBdr>
        <w:spacing w:line="360" w:lineRule="auto"/>
        <w:jc w:val="both"/>
        <w:rPr>
          <w:color w:val="000000"/>
        </w:rPr>
      </w:pPr>
      <w:r>
        <w:rPr>
          <w:color w:val="000000"/>
        </w:rPr>
        <w:t>Thus, in the case of Freya, where she punched Mike in</w:t>
      </w:r>
      <w:r w:rsidR="00A21B33">
        <w:rPr>
          <w:color w:val="000000"/>
        </w:rPr>
        <w:t xml:space="preserve"> the</w:t>
      </w:r>
      <w:r>
        <w:rPr>
          <w:color w:val="000000"/>
        </w:rPr>
        <w:t xml:space="preserve"> face</w:t>
      </w:r>
      <w:r w:rsidR="00A21B33">
        <w:rPr>
          <w:color w:val="000000"/>
        </w:rPr>
        <w:t>, resulting</w:t>
      </w:r>
      <w:r>
        <w:rPr>
          <w:color w:val="000000"/>
        </w:rPr>
        <w:t xml:space="preserve"> in causing a black eye, she can claim the “defence of automatism and intoxication”</w:t>
      </w:r>
      <w:r w:rsidR="00A21B33">
        <w:rPr>
          <w:color w:val="000000"/>
        </w:rPr>
        <w:t>. This defence can help Freya</w:t>
      </w:r>
      <w:r>
        <w:rPr>
          <w:color w:val="000000"/>
        </w:rPr>
        <w:t xml:space="preserve"> not </w:t>
      </w:r>
      <w:r w:rsidR="00A21B33">
        <w:rPr>
          <w:color w:val="000000"/>
        </w:rPr>
        <w:t xml:space="preserve">to </w:t>
      </w:r>
      <w:r>
        <w:rPr>
          <w:color w:val="000000"/>
        </w:rPr>
        <w:t>be guilty of her action as the action or encounter was unintentional and Freya was in an intoxicated state. Addi</w:t>
      </w:r>
      <w:r>
        <w:rPr>
          <w:color w:val="000000"/>
        </w:rPr>
        <w:t>tionally, she can also claim herself to the “defence of intoxication and automatism” as she was a patient of epilepsy from a very young age. However, she has not had a seizure for the past ten years and was not taking the required medication because of it.</w:t>
      </w:r>
      <w:r>
        <w:rPr>
          <w:color w:val="000000"/>
        </w:rPr>
        <w:t xml:space="preserve"> As a result, the drinks such as bottles of gin and tonics resulted in affecting her disease and caused seizures and vomiting. However, Freya cannot rely on the defence of intoxication as she was “intoxicated without any external influences”. Although, she</w:t>
      </w:r>
      <w:r>
        <w:rPr>
          <w:color w:val="000000"/>
        </w:rPr>
        <w:t xml:space="preserve"> ca</w:t>
      </w:r>
      <w:r w:rsidR="00A21B33">
        <w:rPr>
          <w:color w:val="000000"/>
        </w:rPr>
        <w:t xml:space="preserve">n use automatism as a defence to her action that </w:t>
      </w:r>
      <w:r>
        <w:rPr>
          <w:color w:val="000000"/>
        </w:rPr>
        <w:t xml:space="preserve">resulted in </w:t>
      </w:r>
      <w:r>
        <w:rPr>
          <w:color w:val="000000"/>
        </w:rPr>
        <w:lastRenderedPageBreak/>
        <w:t>bodily harm was the outcome of her disease which impacts the nervous system and results in abnormal activity (McKenna, 2019). Thus, automatism ca</w:t>
      </w:r>
      <w:r w:rsidR="00A21B33">
        <w:rPr>
          <w:color w:val="000000"/>
        </w:rPr>
        <w:t>n act as a defence for Freya and</w:t>
      </w:r>
      <w:r>
        <w:rPr>
          <w:color w:val="000000"/>
        </w:rPr>
        <w:t xml:space="preserve"> her action.  </w:t>
      </w:r>
    </w:p>
    <w:p w14:paraId="00000020" w14:textId="77777777" w:rsidR="00751109" w:rsidRDefault="00E86B1F">
      <w:pPr>
        <w:pStyle w:val="Heading1"/>
        <w:spacing w:line="360" w:lineRule="auto"/>
        <w:jc w:val="both"/>
      </w:pPr>
      <w:bookmarkStart w:id="11" w:name="_heading=h.3dy6vkm" w:colFirst="0" w:colLast="0"/>
      <w:bookmarkEnd w:id="11"/>
      <w:r>
        <w:br w:type="page"/>
      </w:r>
    </w:p>
    <w:p w14:paraId="00000021" w14:textId="77777777" w:rsidR="00751109" w:rsidRDefault="00E86B1F">
      <w:pPr>
        <w:pStyle w:val="Heading1"/>
        <w:spacing w:line="360" w:lineRule="auto"/>
        <w:jc w:val="both"/>
      </w:pPr>
      <w:bookmarkStart w:id="12" w:name="_heading=h.1t3h5sf" w:colFirst="0" w:colLast="0"/>
      <w:bookmarkEnd w:id="12"/>
      <w:r>
        <w:lastRenderedPageBreak/>
        <w:t xml:space="preserve">Conclusion </w:t>
      </w:r>
    </w:p>
    <w:p w14:paraId="00000022" w14:textId="6F55315C" w:rsidR="00751109" w:rsidRDefault="00E86B1F">
      <w:pPr>
        <w:pBdr>
          <w:top w:val="nil"/>
          <w:left w:val="nil"/>
          <w:bottom w:val="nil"/>
          <w:right w:val="nil"/>
          <w:between w:val="nil"/>
        </w:pBdr>
        <w:spacing w:line="360" w:lineRule="auto"/>
        <w:jc w:val="both"/>
        <w:rPr>
          <w:color w:val="000000"/>
        </w:rPr>
      </w:pPr>
      <w:r>
        <w:rPr>
          <w:color w:val="000000"/>
        </w:rPr>
        <w:t xml:space="preserve">The </w:t>
      </w:r>
      <w:r w:rsidR="00A21B33">
        <w:rPr>
          <w:color w:val="000000"/>
        </w:rPr>
        <w:t xml:space="preserve">report above </w:t>
      </w:r>
      <w:r>
        <w:rPr>
          <w:color w:val="000000"/>
        </w:rPr>
        <w:t>has concluded with “criminal law” and has covered different points related to crime and law. The report has first shown the law that the individual can claim for damaging the property. Additionally, it has also shown how the</w:t>
      </w:r>
      <w:r>
        <w:rPr>
          <w:color w:val="000000"/>
        </w:rPr>
        <w:t xml:space="preserve"> defence of “intoxication and aut</w:t>
      </w:r>
      <w:r w:rsidR="00A21B33">
        <w:rPr>
          <w:color w:val="000000"/>
        </w:rPr>
        <w:t>omatism” can support the men’s rea</w:t>
      </w:r>
      <w:r>
        <w:rPr>
          <w:color w:val="000000"/>
        </w:rPr>
        <w:t xml:space="preserve"> activity. </w:t>
      </w:r>
    </w:p>
    <w:p w14:paraId="00000023" w14:textId="77777777" w:rsidR="00751109" w:rsidRDefault="00E86B1F">
      <w:pPr>
        <w:pStyle w:val="Heading1"/>
        <w:spacing w:line="360" w:lineRule="auto"/>
        <w:jc w:val="both"/>
      </w:pPr>
      <w:bookmarkStart w:id="13" w:name="_heading=h.4d34og8" w:colFirst="0" w:colLast="0"/>
      <w:bookmarkEnd w:id="13"/>
      <w:r>
        <w:br w:type="page"/>
      </w:r>
    </w:p>
    <w:p w14:paraId="00000024" w14:textId="77777777" w:rsidR="00751109" w:rsidRDefault="00E86B1F">
      <w:pPr>
        <w:pStyle w:val="Heading1"/>
        <w:spacing w:line="360" w:lineRule="auto"/>
        <w:jc w:val="both"/>
      </w:pPr>
      <w:bookmarkStart w:id="14" w:name="_heading=h.2s8eyo1" w:colFirst="0" w:colLast="0"/>
      <w:bookmarkEnd w:id="14"/>
      <w:r>
        <w:lastRenderedPageBreak/>
        <w:t>References</w:t>
      </w:r>
    </w:p>
    <w:p w14:paraId="00000025" w14:textId="77777777" w:rsidR="00751109" w:rsidRDefault="00E86B1F">
      <w:pPr>
        <w:pBdr>
          <w:top w:val="nil"/>
          <w:left w:val="nil"/>
          <w:bottom w:val="nil"/>
          <w:right w:val="nil"/>
          <w:between w:val="nil"/>
        </w:pBdr>
        <w:spacing w:line="360" w:lineRule="auto"/>
        <w:jc w:val="both"/>
        <w:rPr>
          <w:color w:val="000000"/>
        </w:rPr>
      </w:pPr>
      <w:r>
        <w:rPr>
          <w:color w:val="000000"/>
        </w:rPr>
        <w:t>Ashley, F., 2020. Nuancing Feminist Perspectives on the Voluntary Intoxication Defence. Man. LJ, 43, p.65.</w:t>
      </w:r>
    </w:p>
    <w:p w14:paraId="00000026" w14:textId="77777777" w:rsidR="00751109" w:rsidRDefault="00E86B1F">
      <w:pPr>
        <w:pBdr>
          <w:top w:val="nil"/>
          <w:left w:val="nil"/>
          <w:bottom w:val="nil"/>
          <w:right w:val="nil"/>
          <w:between w:val="nil"/>
        </w:pBdr>
        <w:spacing w:line="360" w:lineRule="auto"/>
        <w:jc w:val="both"/>
        <w:rPr>
          <w:color w:val="000000"/>
        </w:rPr>
      </w:pPr>
      <w:r>
        <w:rPr>
          <w:color w:val="000000"/>
        </w:rPr>
        <w:t>Bradford, B. and Tiratelli, M., 2019. Does stop and sea</w:t>
      </w:r>
      <w:r>
        <w:rPr>
          <w:color w:val="000000"/>
        </w:rPr>
        <w:t>rch reduce crime. UK Justice Policy Review, 4, pp.1-11.</w:t>
      </w:r>
    </w:p>
    <w:p w14:paraId="00000027" w14:textId="77777777" w:rsidR="00751109" w:rsidRDefault="00E86B1F">
      <w:pPr>
        <w:pBdr>
          <w:top w:val="nil"/>
          <w:left w:val="nil"/>
          <w:bottom w:val="nil"/>
          <w:right w:val="nil"/>
          <w:between w:val="nil"/>
        </w:pBdr>
        <w:spacing w:line="360" w:lineRule="auto"/>
        <w:jc w:val="both"/>
        <w:rPr>
          <w:color w:val="000000"/>
        </w:rPr>
      </w:pPr>
      <w:r>
        <w:rPr>
          <w:color w:val="000000"/>
        </w:rPr>
        <w:t xml:space="preserve">Christensen, T.K., 2019. Indirect threats as an illegal speech act. Ken Ramshøj, Henrik Jørgensen, Johanna Wood (red.) The Sign of the V: Papers in Honour of Sten Vikner. Aarhus: AU Library Scholarly </w:t>
      </w:r>
      <w:r>
        <w:rPr>
          <w:color w:val="000000"/>
        </w:rPr>
        <w:t>Publishing Services, pp.113-130.</w:t>
      </w:r>
    </w:p>
    <w:p w14:paraId="00000028" w14:textId="77777777" w:rsidR="00751109" w:rsidRDefault="00E86B1F">
      <w:pPr>
        <w:pBdr>
          <w:top w:val="nil"/>
          <w:left w:val="nil"/>
          <w:bottom w:val="nil"/>
          <w:right w:val="nil"/>
          <w:between w:val="nil"/>
        </w:pBdr>
        <w:spacing w:line="360" w:lineRule="auto"/>
        <w:jc w:val="both"/>
        <w:rPr>
          <w:color w:val="000000"/>
        </w:rPr>
      </w:pPr>
      <w:r>
        <w:rPr>
          <w:color w:val="000000"/>
        </w:rPr>
        <w:t>Collins, J., Barnoux, M. and Langdon, P.E., 2021. Adults with intellectual disabilities and/or autism who deliberately set fires: A systematic review. Aggression and violent behavior, 56, p.101545</w:t>
      </w:r>
    </w:p>
    <w:p w14:paraId="00000029" w14:textId="77777777" w:rsidR="00751109" w:rsidRDefault="00E86B1F">
      <w:pPr>
        <w:pBdr>
          <w:top w:val="nil"/>
          <w:left w:val="nil"/>
          <w:bottom w:val="nil"/>
          <w:right w:val="nil"/>
          <w:between w:val="nil"/>
        </w:pBdr>
        <w:spacing w:line="360" w:lineRule="auto"/>
        <w:jc w:val="both"/>
        <w:rPr>
          <w:color w:val="000000"/>
        </w:rPr>
      </w:pPr>
      <w:r>
        <w:rPr>
          <w:color w:val="000000"/>
        </w:rPr>
        <w:t>Jadhav-Patil, A. and Kumbharikar-Bhale, A., 2020. Intoxication as Defence for Criminal Liability.</w:t>
      </w:r>
    </w:p>
    <w:p w14:paraId="0000002A" w14:textId="77777777" w:rsidR="00751109" w:rsidRDefault="00E86B1F">
      <w:pPr>
        <w:pBdr>
          <w:top w:val="nil"/>
          <w:left w:val="nil"/>
          <w:bottom w:val="nil"/>
          <w:right w:val="nil"/>
          <w:between w:val="nil"/>
        </w:pBdr>
        <w:spacing w:line="360" w:lineRule="auto"/>
        <w:jc w:val="both"/>
        <w:rPr>
          <w:color w:val="000000"/>
        </w:rPr>
      </w:pPr>
      <w:r>
        <w:rPr>
          <w:color w:val="000000"/>
        </w:rPr>
        <w:t>Łuczaj, Ł., Wilde, M. and Townsend, L., 2021. The ethnobiology of contemporary british foragers: Foods they teach, their sources of inspiration and impact. Su</w:t>
      </w:r>
      <w:r>
        <w:rPr>
          <w:color w:val="000000"/>
        </w:rPr>
        <w:t>stainability, 13(6), p.3478.</w:t>
      </w:r>
    </w:p>
    <w:p w14:paraId="0000002B" w14:textId="77777777" w:rsidR="00751109" w:rsidRDefault="00E86B1F">
      <w:pPr>
        <w:pBdr>
          <w:top w:val="nil"/>
          <w:left w:val="nil"/>
          <w:bottom w:val="nil"/>
          <w:right w:val="nil"/>
          <w:between w:val="nil"/>
        </w:pBdr>
        <w:spacing w:line="360" w:lineRule="auto"/>
        <w:jc w:val="both"/>
        <w:rPr>
          <w:color w:val="000000"/>
        </w:rPr>
      </w:pPr>
      <w:r>
        <w:rPr>
          <w:color w:val="000000"/>
        </w:rPr>
        <w:t>McDermaid, L., 2020. Homophobia,'Increasing Barbarity'and'Perverted Desires: Why Brown Has No Place in Governing Consent to Non-Fatal Offences against the Person. Southampton Student L. Rev., 10, p.58.</w:t>
      </w:r>
    </w:p>
    <w:p w14:paraId="0000002C" w14:textId="77777777" w:rsidR="00751109" w:rsidRDefault="00E86B1F">
      <w:pPr>
        <w:pBdr>
          <w:top w:val="nil"/>
          <w:left w:val="nil"/>
          <w:bottom w:val="nil"/>
          <w:right w:val="nil"/>
          <w:between w:val="nil"/>
        </w:pBdr>
        <w:spacing w:line="360" w:lineRule="auto"/>
        <w:jc w:val="both"/>
        <w:rPr>
          <w:color w:val="000000"/>
        </w:rPr>
      </w:pPr>
      <w:r>
        <w:rPr>
          <w:color w:val="000000"/>
        </w:rPr>
        <w:t>McKenna, B.J., 2019. Auto</w:t>
      </w:r>
      <w:r>
        <w:rPr>
          <w:color w:val="000000"/>
        </w:rPr>
        <w:t>matism: A Complete Yet Imperfect Defense. Mil. L. Rev., 227, p.46.</w:t>
      </w:r>
    </w:p>
    <w:p w14:paraId="0000002D" w14:textId="77777777" w:rsidR="00751109" w:rsidRDefault="00E86B1F">
      <w:pPr>
        <w:pBdr>
          <w:top w:val="nil"/>
          <w:left w:val="nil"/>
          <w:bottom w:val="nil"/>
          <w:right w:val="nil"/>
          <w:between w:val="nil"/>
        </w:pBdr>
        <w:spacing w:line="360" w:lineRule="auto"/>
        <w:jc w:val="both"/>
        <w:rPr>
          <w:color w:val="000000"/>
        </w:rPr>
      </w:pPr>
      <w:r>
        <w:rPr>
          <w:color w:val="000000"/>
        </w:rPr>
        <w:t>Robinson, A., Marchment, Z. and Gill, P., 2019. Domestic extremist criminal damage events: behaving like criminals or terrorists?. Security Journal, 32(2), pp.153-167.</w:t>
      </w:r>
    </w:p>
    <w:sectPr w:rsidR="0075110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54016" w14:textId="77777777" w:rsidR="00E86B1F" w:rsidRDefault="00E86B1F">
      <w:pPr>
        <w:spacing w:line="240" w:lineRule="auto"/>
      </w:pPr>
      <w:r>
        <w:separator/>
      </w:r>
    </w:p>
  </w:endnote>
  <w:endnote w:type="continuationSeparator" w:id="0">
    <w:p w14:paraId="71295F90" w14:textId="77777777" w:rsidR="00E86B1F" w:rsidRDefault="00E86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E" w14:textId="17DD621A" w:rsidR="00751109" w:rsidRDefault="00E86B1F">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392309">
      <w:rPr>
        <w:color w:val="000000"/>
      </w:rPr>
      <w:fldChar w:fldCharType="separate"/>
    </w:r>
    <w:r w:rsidR="00EC7258">
      <w:rPr>
        <w:noProof/>
        <w:color w:val="000000"/>
      </w:rPr>
      <w:t>6</w:t>
    </w:r>
    <w:r>
      <w:rPr>
        <w:color w:val="000000"/>
      </w:rPr>
      <w:fldChar w:fldCharType="end"/>
    </w:r>
  </w:p>
  <w:p w14:paraId="0000002F" w14:textId="77777777" w:rsidR="00751109" w:rsidRDefault="00751109">
    <w:pPr>
      <w:pBdr>
        <w:top w:val="nil"/>
        <w:left w:val="nil"/>
        <w:bottom w:val="nil"/>
        <w:right w:val="nil"/>
        <w:between w:val="nil"/>
      </w:pBdr>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DF38C" w14:textId="77777777" w:rsidR="00E86B1F" w:rsidRDefault="00E86B1F">
      <w:pPr>
        <w:spacing w:line="240" w:lineRule="auto"/>
      </w:pPr>
      <w:r>
        <w:separator/>
      </w:r>
    </w:p>
  </w:footnote>
  <w:footnote w:type="continuationSeparator" w:id="0">
    <w:p w14:paraId="098B06D8" w14:textId="77777777" w:rsidR="00E86B1F" w:rsidRDefault="00E86B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109"/>
    <w:rsid w:val="0007436E"/>
    <w:rsid w:val="001E58EE"/>
    <w:rsid w:val="00392309"/>
    <w:rsid w:val="00413A6A"/>
    <w:rsid w:val="00751109"/>
    <w:rsid w:val="00A21B33"/>
    <w:rsid w:val="00A968AE"/>
    <w:rsid w:val="00B573E9"/>
    <w:rsid w:val="00E86B1F"/>
    <w:rsid w:val="00EC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85EAA"/>
  <w15:docId w15:val="{F21F3F25-E8D9-4F7A-98AC-71BE98FA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797EA3"/>
    <w:pPr>
      <w:keepNext/>
      <w:keepLines/>
      <w:outlineLvl w:val="0"/>
    </w:pPr>
    <w:rPr>
      <w:b/>
    </w:rPr>
  </w:style>
  <w:style w:type="paragraph" w:styleId="Heading2">
    <w:name w:val="heading 2"/>
    <w:basedOn w:val="Normal1"/>
    <w:next w:val="Normal1"/>
    <w:rsid w:val="00797EA3"/>
    <w:pPr>
      <w:keepNext/>
      <w:keepLines/>
      <w:spacing w:before="360" w:after="120"/>
      <w:outlineLvl w:val="1"/>
    </w:pPr>
    <w:rPr>
      <w:sz w:val="32"/>
      <w:szCs w:val="32"/>
    </w:rPr>
  </w:style>
  <w:style w:type="paragraph" w:styleId="Heading3">
    <w:name w:val="heading 3"/>
    <w:basedOn w:val="Normal1"/>
    <w:next w:val="Normal1"/>
    <w:rsid w:val="00797EA3"/>
    <w:pPr>
      <w:keepNext/>
      <w:keepLines/>
      <w:spacing w:before="320" w:after="80"/>
      <w:outlineLvl w:val="2"/>
    </w:pPr>
    <w:rPr>
      <w:color w:val="434343"/>
      <w:sz w:val="28"/>
      <w:szCs w:val="28"/>
    </w:rPr>
  </w:style>
  <w:style w:type="paragraph" w:styleId="Heading4">
    <w:name w:val="heading 4"/>
    <w:basedOn w:val="Normal1"/>
    <w:next w:val="Normal1"/>
    <w:rsid w:val="00797EA3"/>
    <w:pPr>
      <w:keepNext/>
      <w:keepLines/>
      <w:spacing w:before="280" w:after="80"/>
      <w:outlineLvl w:val="3"/>
    </w:pPr>
    <w:rPr>
      <w:color w:val="666666"/>
    </w:rPr>
  </w:style>
  <w:style w:type="paragraph" w:styleId="Heading5">
    <w:name w:val="heading 5"/>
    <w:basedOn w:val="Normal1"/>
    <w:next w:val="Normal1"/>
    <w:rsid w:val="00797EA3"/>
    <w:pPr>
      <w:keepNext/>
      <w:keepLines/>
      <w:spacing w:before="240" w:after="80"/>
      <w:outlineLvl w:val="4"/>
    </w:pPr>
    <w:rPr>
      <w:color w:val="666666"/>
      <w:sz w:val="22"/>
      <w:szCs w:val="22"/>
    </w:rPr>
  </w:style>
  <w:style w:type="paragraph" w:styleId="Heading6">
    <w:name w:val="heading 6"/>
    <w:basedOn w:val="Normal1"/>
    <w:next w:val="Normal1"/>
    <w:rsid w:val="00797EA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797EA3"/>
    <w:pPr>
      <w:keepNext/>
      <w:keepLines/>
      <w:spacing w:line="360" w:lineRule="auto"/>
      <w:jc w:val="center"/>
    </w:pPr>
    <w:rPr>
      <w:b/>
      <w:sz w:val="32"/>
      <w:szCs w:val="32"/>
      <w:u w:val="single"/>
    </w:rPr>
  </w:style>
  <w:style w:type="paragraph" w:customStyle="1" w:styleId="Normal1">
    <w:name w:val="Normal1"/>
    <w:rsid w:val="00797EA3"/>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B617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759"/>
    <w:rPr>
      <w:rFonts w:ascii="Tahoma" w:hAnsi="Tahoma" w:cs="Tahoma"/>
      <w:sz w:val="16"/>
      <w:szCs w:val="16"/>
    </w:rPr>
  </w:style>
  <w:style w:type="paragraph" w:styleId="Header">
    <w:name w:val="header"/>
    <w:basedOn w:val="Normal"/>
    <w:link w:val="HeaderChar"/>
    <w:uiPriority w:val="99"/>
    <w:unhideWhenUsed/>
    <w:rsid w:val="009507A7"/>
    <w:pPr>
      <w:tabs>
        <w:tab w:val="center" w:pos="4680"/>
        <w:tab w:val="right" w:pos="9360"/>
      </w:tabs>
      <w:spacing w:line="240" w:lineRule="auto"/>
    </w:pPr>
  </w:style>
  <w:style w:type="character" w:customStyle="1" w:styleId="HeaderChar">
    <w:name w:val="Header Char"/>
    <w:basedOn w:val="DefaultParagraphFont"/>
    <w:link w:val="Header"/>
    <w:uiPriority w:val="99"/>
    <w:rsid w:val="009507A7"/>
  </w:style>
  <w:style w:type="paragraph" w:styleId="Footer">
    <w:name w:val="footer"/>
    <w:basedOn w:val="Normal"/>
    <w:link w:val="FooterChar"/>
    <w:uiPriority w:val="99"/>
    <w:unhideWhenUsed/>
    <w:rsid w:val="009507A7"/>
    <w:pPr>
      <w:tabs>
        <w:tab w:val="center" w:pos="4680"/>
        <w:tab w:val="right" w:pos="9360"/>
      </w:tabs>
      <w:spacing w:line="240" w:lineRule="auto"/>
    </w:pPr>
  </w:style>
  <w:style w:type="character" w:customStyle="1" w:styleId="FooterChar">
    <w:name w:val="Footer Char"/>
    <w:basedOn w:val="DefaultParagraphFont"/>
    <w:link w:val="Footer"/>
    <w:uiPriority w:val="99"/>
    <w:rsid w:val="00950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cf21UWnMNCKdLiC/HDvb9EPRdw==">AMUW2mXiAdwxF6wxnZh8YnUT4YsDzcw66LJ15dUd5u/3VrUZ6bUafv35XRZyLJ7EfBGk0I9He3Lts/d3ObanNGhJopQqhnjjUulyupcLeORPkS+NG1StdGzTEa2j66jcTPyRGqYLeW0NTOxKy0rlvXElKAvZaMdr3aThU3x+uhG/oCBxqW+ZNZvR10Q/vFEDdrN2eQqZnMlYHWmbd9yOqLjk5fabXrAhpO3sAp60JQ3j8KbmiN4QY3ooGOvJBH/4JLSH15xj2hqk7JmKCCsRq01ztgvtoFjog1OjE4DWPKfu54unHYol1ol/L8sRGVFVkhlj3sCskzVQABpfNW6Sw5e6UzQjg5n6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Mario</cp:lastModifiedBy>
  <cp:revision>2</cp:revision>
  <dcterms:created xsi:type="dcterms:W3CDTF">2023-01-14T11:54:00Z</dcterms:created>
  <dcterms:modified xsi:type="dcterms:W3CDTF">2023-01-14T11:54:00Z</dcterms:modified>
</cp:coreProperties>
</file>