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D9E5C" w14:textId="77777777" w:rsidR="005958D5" w:rsidRPr="005958D5" w:rsidRDefault="005958D5" w:rsidP="005958D5">
      <w:pPr>
        <w:rPr>
          <w:b/>
          <w:bCs/>
        </w:rPr>
      </w:pPr>
      <w:r w:rsidRPr="005958D5">
        <w:rPr>
          <w:b/>
          <w:bCs/>
        </w:rPr>
        <w:t>NSEDA Assignment E – Staff Solution</w:t>
      </w:r>
    </w:p>
    <w:p w14:paraId="6A80D569" w14:textId="77777777" w:rsidR="005958D5" w:rsidRPr="005958D5" w:rsidRDefault="005958D5" w:rsidP="005958D5">
      <w:pPr>
        <w:rPr>
          <w:b/>
          <w:bCs/>
        </w:rPr>
      </w:pPr>
      <w:r w:rsidRPr="005958D5">
        <w:rPr>
          <w:b/>
          <w:bCs/>
        </w:rPr>
        <w:t>Use of this sheet</w:t>
      </w:r>
    </w:p>
    <w:p w14:paraId="6B87FA81" w14:textId="77777777" w:rsidR="005958D5" w:rsidRPr="005958D5" w:rsidRDefault="005958D5" w:rsidP="005958D5">
      <w:r w:rsidRPr="005958D5">
        <w:t xml:space="preserve">This is an indicative staff solution. Credit equivalent scientifically defensible approaches, provided assumptions are stated and calculations are internally consistent. The assignment brief requires an integrated scientific narrative addressing isotope suitability, decay correction, dose reconstruction, health implications, IRR17, SAPs and ALARP-based improvements. The incident dossier gives the key technical parameters: a Cs-137 source assembly, original activity 240 TBq on 12 May 1994, a 12% self-absorption factor, an incident date of 3 November 2024, two exposure phases at about 1.0 m and 0.6 m, and attenuation estimates of 10–25% and 25–40% respectively. </w:t>
      </w:r>
    </w:p>
    <w:p w14:paraId="5AA20D24" w14:textId="77777777" w:rsidR="005958D5" w:rsidRPr="005958D5" w:rsidRDefault="00000000" w:rsidP="005958D5">
      <w:r>
        <w:pict w14:anchorId="64EF451D">
          <v:rect id="_x0000_i1025" style="width:0;height:1.5pt" o:hralign="center" o:hrstd="t" o:hr="t" fillcolor="#a0a0a0" stroked="f"/>
        </w:pict>
      </w:r>
    </w:p>
    <w:p w14:paraId="15DEF5AC" w14:textId="77777777" w:rsidR="005958D5" w:rsidRPr="005958D5" w:rsidRDefault="005958D5" w:rsidP="005958D5">
      <w:pPr>
        <w:rPr>
          <w:b/>
          <w:bCs/>
        </w:rPr>
      </w:pPr>
      <w:r w:rsidRPr="005958D5">
        <w:rPr>
          <w:b/>
          <w:bCs/>
        </w:rPr>
        <w:t>Key indicative numerical answers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3"/>
        <w:gridCol w:w="2725"/>
        <w:gridCol w:w="3328"/>
      </w:tblGrid>
      <w:tr w:rsidR="005958D5" w:rsidRPr="005958D5" w14:paraId="6523057B" w14:textId="77777777">
        <w:trPr>
          <w:tblHeader/>
          <w:tblCellSpacing w:w="15" w:type="dxa"/>
        </w:trPr>
        <w:tc>
          <w:tcPr>
            <w:tcW w:w="0" w:type="auto"/>
            <w:vAlign w:val="center"/>
            <w:hideMark/>
          </w:tcPr>
          <w:p w14:paraId="258387ED" w14:textId="77777777" w:rsidR="005958D5" w:rsidRPr="005958D5" w:rsidRDefault="005958D5" w:rsidP="005958D5">
            <w:pPr>
              <w:rPr>
                <w:b/>
                <w:bCs/>
              </w:rPr>
            </w:pPr>
            <w:r w:rsidRPr="005958D5">
              <w:rPr>
                <w:b/>
                <w:bCs/>
              </w:rPr>
              <w:t>Quantity</w:t>
            </w:r>
          </w:p>
        </w:tc>
        <w:tc>
          <w:tcPr>
            <w:tcW w:w="0" w:type="auto"/>
            <w:vAlign w:val="center"/>
            <w:hideMark/>
          </w:tcPr>
          <w:p w14:paraId="42024AAA" w14:textId="77777777" w:rsidR="005958D5" w:rsidRPr="005958D5" w:rsidRDefault="005958D5" w:rsidP="005958D5">
            <w:pPr>
              <w:rPr>
                <w:b/>
                <w:bCs/>
              </w:rPr>
            </w:pPr>
            <w:r w:rsidRPr="005958D5">
              <w:rPr>
                <w:b/>
                <w:bCs/>
              </w:rPr>
              <w:t>Indicative value</w:t>
            </w:r>
          </w:p>
        </w:tc>
        <w:tc>
          <w:tcPr>
            <w:tcW w:w="0" w:type="auto"/>
            <w:vAlign w:val="center"/>
            <w:hideMark/>
          </w:tcPr>
          <w:p w14:paraId="6CF7451B" w14:textId="77777777" w:rsidR="005958D5" w:rsidRPr="005958D5" w:rsidRDefault="005958D5" w:rsidP="005958D5">
            <w:pPr>
              <w:rPr>
                <w:b/>
                <w:bCs/>
              </w:rPr>
            </w:pPr>
            <w:r w:rsidRPr="005958D5">
              <w:rPr>
                <w:b/>
                <w:bCs/>
              </w:rPr>
              <w:t>Marker note</w:t>
            </w:r>
          </w:p>
        </w:tc>
      </w:tr>
      <w:tr w:rsidR="005958D5" w:rsidRPr="005958D5" w14:paraId="1E8F597D" w14:textId="77777777">
        <w:trPr>
          <w:tblCellSpacing w:w="15" w:type="dxa"/>
        </w:trPr>
        <w:tc>
          <w:tcPr>
            <w:tcW w:w="0" w:type="auto"/>
            <w:vAlign w:val="center"/>
            <w:hideMark/>
          </w:tcPr>
          <w:p w14:paraId="0B963673" w14:textId="77777777" w:rsidR="005958D5" w:rsidRPr="005958D5" w:rsidRDefault="005958D5" w:rsidP="005958D5">
            <w:r w:rsidRPr="005958D5">
              <w:t>Source activity on 3 Nov 2024</w:t>
            </w:r>
          </w:p>
        </w:tc>
        <w:tc>
          <w:tcPr>
            <w:tcW w:w="0" w:type="auto"/>
            <w:vAlign w:val="center"/>
            <w:hideMark/>
          </w:tcPr>
          <w:p w14:paraId="1CB3896F" w14:textId="77777777" w:rsidR="005958D5" w:rsidRPr="005958D5" w:rsidRDefault="005958D5" w:rsidP="005958D5">
            <w:r w:rsidRPr="005958D5">
              <w:t>≈ 118–120 TBq</w:t>
            </w:r>
          </w:p>
        </w:tc>
        <w:tc>
          <w:tcPr>
            <w:tcW w:w="0" w:type="auto"/>
            <w:vAlign w:val="center"/>
            <w:hideMark/>
          </w:tcPr>
          <w:p w14:paraId="2EAC2EE2" w14:textId="77777777" w:rsidR="005958D5" w:rsidRPr="005958D5" w:rsidRDefault="005958D5" w:rsidP="005958D5">
            <w:r w:rsidRPr="005958D5">
              <w:t>Accept about 118–120 TBq depending on elapsed-time rounding and half-life used</w:t>
            </w:r>
          </w:p>
        </w:tc>
      </w:tr>
      <w:tr w:rsidR="005958D5" w:rsidRPr="005958D5" w14:paraId="05C35BB8" w14:textId="77777777">
        <w:trPr>
          <w:tblCellSpacing w:w="15" w:type="dxa"/>
        </w:trPr>
        <w:tc>
          <w:tcPr>
            <w:tcW w:w="0" w:type="auto"/>
            <w:vAlign w:val="center"/>
            <w:hideMark/>
          </w:tcPr>
          <w:p w14:paraId="7C68CB86" w14:textId="77777777" w:rsidR="005958D5" w:rsidRPr="005958D5" w:rsidRDefault="005958D5" w:rsidP="005958D5">
            <w:r w:rsidRPr="005958D5">
              <w:t>Dose rate at 1 m using Cs-137 gamma constant, before self-absorption</w:t>
            </w:r>
          </w:p>
        </w:tc>
        <w:tc>
          <w:tcPr>
            <w:tcW w:w="0" w:type="auto"/>
            <w:vAlign w:val="center"/>
            <w:hideMark/>
          </w:tcPr>
          <w:p w14:paraId="5B54DFF2" w14:textId="77777777" w:rsidR="005958D5" w:rsidRPr="005958D5" w:rsidRDefault="005958D5" w:rsidP="005958D5">
            <w:r w:rsidRPr="005958D5">
              <w:t>≈ 9.5 Sv h^-1</w:t>
            </w:r>
          </w:p>
        </w:tc>
        <w:tc>
          <w:tcPr>
            <w:tcW w:w="0" w:type="auto"/>
            <w:vAlign w:val="center"/>
            <w:hideMark/>
          </w:tcPr>
          <w:p w14:paraId="622021F3" w14:textId="77777777" w:rsidR="005958D5" w:rsidRPr="005958D5" w:rsidRDefault="005958D5" w:rsidP="005958D5">
            <w:r w:rsidRPr="005958D5">
              <w:t>Assumes Γ ≈ 0.08 mSv m^2 GBq^-1 h^-1</w:t>
            </w:r>
          </w:p>
        </w:tc>
      </w:tr>
      <w:tr w:rsidR="005958D5" w:rsidRPr="005958D5" w14:paraId="17BA3230" w14:textId="77777777">
        <w:trPr>
          <w:tblCellSpacing w:w="15" w:type="dxa"/>
        </w:trPr>
        <w:tc>
          <w:tcPr>
            <w:tcW w:w="0" w:type="auto"/>
            <w:vAlign w:val="center"/>
            <w:hideMark/>
          </w:tcPr>
          <w:p w14:paraId="32A25FA9" w14:textId="77777777" w:rsidR="005958D5" w:rsidRPr="005958D5" w:rsidRDefault="005958D5" w:rsidP="005958D5">
            <w:r w:rsidRPr="005958D5">
              <w:t>Dose rate at 1 m after 12% self-absorption</w:t>
            </w:r>
          </w:p>
        </w:tc>
        <w:tc>
          <w:tcPr>
            <w:tcW w:w="0" w:type="auto"/>
            <w:vAlign w:val="center"/>
            <w:hideMark/>
          </w:tcPr>
          <w:p w14:paraId="1A3CAA9E" w14:textId="77777777" w:rsidR="005958D5" w:rsidRPr="005958D5" w:rsidRDefault="005958D5" w:rsidP="005958D5">
            <w:r w:rsidRPr="005958D5">
              <w:t>≈ 8.4 Sv h^-1</w:t>
            </w:r>
          </w:p>
        </w:tc>
        <w:tc>
          <w:tcPr>
            <w:tcW w:w="0" w:type="auto"/>
            <w:vAlign w:val="center"/>
            <w:hideMark/>
          </w:tcPr>
          <w:p w14:paraId="246A292C" w14:textId="77777777" w:rsidR="005958D5" w:rsidRPr="005958D5" w:rsidRDefault="005958D5" w:rsidP="005958D5">
            <w:r w:rsidRPr="005958D5">
              <w:t>0.88 multiplier applied to the 1 m value</w:t>
            </w:r>
          </w:p>
        </w:tc>
      </w:tr>
      <w:tr w:rsidR="005958D5" w:rsidRPr="005958D5" w14:paraId="5B08B285" w14:textId="77777777">
        <w:trPr>
          <w:tblCellSpacing w:w="15" w:type="dxa"/>
        </w:trPr>
        <w:tc>
          <w:tcPr>
            <w:tcW w:w="0" w:type="auto"/>
            <w:vAlign w:val="center"/>
            <w:hideMark/>
          </w:tcPr>
          <w:p w14:paraId="5D240D90" w14:textId="77777777" w:rsidR="005958D5" w:rsidRPr="005958D5" w:rsidRDefault="005958D5" w:rsidP="005958D5">
            <w:r w:rsidRPr="005958D5">
              <w:t>Initial investigation phase (1.0 m, attenuated)</w:t>
            </w:r>
          </w:p>
        </w:tc>
        <w:tc>
          <w:tcPr>
            <w:tcW w:w="0" w:type="auto"/>
            <w:vAlign w:val="center"/>
            <w:hideMark/>
          </w:tcPr>
          <w:p w14:paraId="4B293B02" w14:textId="77777777" w:rsidR="005958D5" w:rsidRPr="005958D5" w:rsidRDefault="005958D5" w:rsidP="005958D5">
            <w:r w:rsidRPr="005958D5">
              <w:t>≈ 0.8–2.1 Sv h^-1</w:t>
            </w:r>
          </w:p>
        </w:tc>
        <w:tc>
          <w:tcPr>
            <w:tcW w:w="0" w:type="auto"/>
            <w:vAlign w:val="center"/>
            <w:hideMark/>
          </w:tcPr>
          <w:p w14:paraId="07C99292" w14:textId="77777777" w:rsidR="005958D5" w:rsidRPr="005958D5" w:rsidRDefault="005958D5" w:rsidP="005958D5">
            <w:r w:rsidRPr="005958D5">
              <w:t>Corresponds to 10–25% of nominal field at 1.0 m</w:t>
            </w:r>
          </w:p>
        </w:tc>
      </w:tr>
      <w:tr w:rsidR="005958D5" w:rsidRPr="005958D5" w14:paraId="466573FC" w14:textId="77777777">
        <w:trPr>
          <w:tblCellSpacing w:w="15" w:type="dxa"/>
        </w:trPr>
        <w:tc>
          <w:tcPr>
            <w:tcW w:w="0" w:type="auto"/>
            <w:vAlign w:val="center"/>
            <w:hideMark/>
          </w:tcPr>
          <w:p w14:paraId="77B57D18" w14:textId="77777777" w:rsidR="005958D5" w:rsidRPr="005958D5" w:rsidRDefault="005958D5" w:rsidP="005958D5">
            <w:r w:rsidRPr="005958D5">
              <w:t>Direct inspection phase (0.6 m, less attenuated)</w:t>
            </w:r>
          </w:p>
        </w:tc>
        <w:tc>
          <w:tcPr>
            <w:tcW w:w="0" w:type="auto"/>
            <w:vAlign w:val="center"/>
            <w:hideMark/>
          </w:tcPr>
          <w:p w14:paraId="088CE753" w14:textId="77777777" w:rsidR="005958D5" w:rsidRPr="005958D5" w:rsidRDefault="005958D5" w:rsidP="005958D5">
            <w:r w:rsidRPr="005958D5">
              <w:t>≈ 5.8–9.3 Sv h^-1</w:t>
            </w:r>
          </w:p>
        </w:tc>
        <w:tc>
          <w:tcPr>
            <w:tcW w:w="0" w:type="auto"/>
            <w:vAlign w:val="center"/>
            <w:hideMark/>
          </w:tcPr>
          <w:p w14:paraId="20931A52" w14:textId="77777777" w:rsidR="005958D5" w:rsidRPr="005958D5" w:rsidRDefault="005958D5" w:rsidP="005958D5">
            <w:r w:rsidRPr="005958D5">
              <w:t>Corresponds to 25–40% of nominal field at 0.6 m</w:t>
            </w:r>
          </w:p>
        </w:tc>
      </w:tr>
      <w:tr w:rsidR="005958D5" w:rsidRPr="005958D5" w14:paraId="74FD8188" w14:textId="77777777">
        <w:trPr>
          <w:tblCellSpacing w:w="15" w:type="dxa"/>
        </w:trPr>
        <w:tc>
          <w:tcPr>
            <w:tcW w:w="0" w:type="auto"/>
            <w:vAlign w:val="center"/>
            <w:hideMark/>
          </w:tcPr>
          <w:p w14:paraId="3D1F6D3A" w14:textId="77777777" w:rsidR="005958D5" w:rsidRPr="005958D5" w:rsidRDefault="005958D5" w:rsidP="005958D5">
            <w:r w:rsidRPr="005958D5">
              <w:t>Whole-body effective dose estimate</w:t>
            </w:r>
          </w:p>
        </w:tc>
        <w:tc>
          <w:tcPr>
            <w:tcW w:w="0" w:type="auto"/>
            <w:vAlign w:val="center"/>
            <w:hideMark/>
          </w:tcPr>
          <w:p w14:paraId="79AE2C5F" w14:textId="77777777" w:rsidR="005958D5" w:rsidRPr="005958D5" w:rsidRDefault="005958D5" w:rsidP="005958D5">
            <w:r w:rsidRPr="005958D5">
              <w:t>Typically ~35–55 mSv central; broader defensible range ~25–70 mSv</w:t>
            </w:r>
          </w:p>
        </w:tc>
        <w:tc>
          <w:tcPr>
            <w:tcW w:w="0" w:type="auto"/>
            <w:vAlign w:val="center"/>
            <w:hideMark/>
          </w:tcPr>
          <w:p w14:paraId="29E944B4" w14:textId="77777777" w:rsidR="005958D5" w:rsidRPr="005958D5" w:rsidRDefault="005958D5" w:rsidP="005958D5">
            <w:r w:rsidRPr="005958D5">
              <w:t>Reward justified assumptions more than exact numerical match</w:t>
            </w:r>
          </w:p>
        </w:tc>
      </w:tr>
    </w:tbl>
    <w:p w14:paraId="3C5F3DEF" w14:textId="77777777" w:rsidR="005958D5" w:rsidRPr="005958D5" w:rsidRDefault="005958D5" w:rsidP="005958D5">
      <w:r w:rsidRPr="005958D5">
        <w:t>These values are consistent with the existing E draft solution and with the same Cs-137/gamma-constant treatment used in A.</w:t>
      </w:r>
    </w:p>
    <w:p w14:paraId="2CD7D9A9" w14:textId="77777777" w:rsidR="005958D5" w:rsidRPr="005958D5" w:rsidRDefault="00000000" w:rsidP="005958D5">
      <w:r>
        <w:pict w14:anchorId="4A3B43F9">
          <v:rect id="_x0000_i1026" style="width:0;height:1.5pt" o:hralign="center" o:hrstd="t" o:hr="t" fillcolor="#a0a0a0" stroked="f"/>
        </w:pict>
      </w:r>
    </w:p>
    <w:p w14:paraId="6FC5E815" w14:textId="77777777" w:rsidR="005958D5" w:rsidRPr="005958D5" w:rsidRDefault="005958D5" w:rsidP="005958D5">
      <w:pPr>
        <w:rPr>
          <w:b/>
          <w:bCs/>
        </w:rPr>
      </w:pPr>
      <w:r w:rsidRPr="005958D5">
        <w:rPr>
          <w:b/>
          <w:bCs/>
        </w:rPr>
        <w:t>1. Framing expected from a good report</w:t>
      </w:r>
    </w:p>
    <w:p w14:paraId="1665569B" w14:textId="77777777" w:rsidR="005958D5" w:rsidRPr="005958D5" w:rsidRDefault="005958D5" w:rsidP="005958D5">
      <w:pPr>
        <w:numPr>
          <w:ilvl w:val="0"/>
          <w:numId w:val="1"/>
        </w:numPr>
      </w:pPr>
      <w:r w:rsidRPr="005958D5">
        <w:t xml:space="preserve">The strongest submissions will read as a </w:t>
      </w:r>
      <w:r w:rsidRPr="005958D5">
        <w:rPr>
          <w:b/>
          <w:bCs/>
        </w:rPr>
        <w:t>single scientific investigation</w:t>
      </w:r>
      <w:r w:rsidRPr="005958D5">
        <w:t xml:space="preserve"> rather than a sequence of short answers. </w:t>
      </w:r>
    </w:p>
    <w:p w14:paraId="48B83E37" w14:textId="77777777" w:rsidR="005958D5" w:rsidRPr="005958D5" w:rsidRDefault="005958D5" w:rsidP="005958D5">
      <w:pPr>
        <w:numPr>
          <w:ilvl w:val="0"/>
          <w:numId w:val="1"/>
        </w:numPr>
      </w:pPr>
      <w:r w:rsidRPr="005958D5">
        <w:t xml:space="preserve">Students should identify and justify simplifying assumptions, especially: </w:t>
      </w:r>
    </w:p>
    <w:p w14:paraId="5F37AFE0" w14:textId="77777777" w:rsidR="005958D5" w:rsidRPr="005958D5" w:rsidRDefault="005958D5" w:rsidP="005958D5">
      <w:pPr>
        <w:numPr>
          <w:ilvl w:val="1"/>
          <w:numId w:val="1"/>
        </w:numPr>
      </w:pPr>
      <w:r w:rsidRPr="005958D5">
        <w:t xml:space="preserve">point-source treatment, </w:t>
      </w:r>
    </w:p>
    <w:p w14:paraId="766313CA" w14:textId="77777777" w:rsidR="005958D5" w:rsidRPr="005958D5" w:rsidRDefault="005958D5" w:rsidP="005958D5">
      <w:pPr>
        <w:numPr>
          <w:ilvl w:val="1"/>
          <w:numId w:val="1"/>
        </w:numPr>
      </w:pPr>
      <w:r w:rsidRPr="005958D5">
        <w:lastRenderedPageBreak/>
        <w:t xml:space="preserve">inverse-square behaviour, </w:t>
      </w:r>
    </w:p>
    <w:p w14:paraId="51FB3068" w14:textId="77777777" w:rsidR="005958D5" w:rsidRPr="005958D5" w:rsidRDefault="005958D5" w:rsidP="005958D5">
      <w:pPr>
        <w:numPr>
          <w:ilvl w:val="1"/>
          <w:numId w:val="1"/>
        </w:numPr>
      </w:pPr>
      <w:r w:rsidRPr="005958D5">
        <w:t xml:space="preserve">use of a tabulated gamma constant, </w:t>
      </w:r>
    </w:p>
    <w:p w14:paraId="2C7CE1B8" w14:textId="77777777" w:rsidR="005958D5" w:rsidRPr="005958D5" w:rsidRDefault="005958D5" w:rsidP="005958D5">
      <w:pPr>
        <w:numPr>
          <w:ilvl w:val="1"/>
          <w:numId w:val="1"/>
        </w:numPr>
      </w:pPr>
      <w:r w:rsidRPr="005958D5">
        <w:t xml:space="preserve">representative attenuation factors for the two exposure phases. </w:t>
      </w:r>
    </w:p>
    <w:p w14:paraId="4DEC24D0" w14:textId="77777777" w:rsidR="005958D5" w:rsidRPr="005958D5" w:rsidRDefault="005958D5" w:rsidP="005958D5">
      <w:pPr>
        <w:numPr>
          <w:ilvl w:val="0"/>
          <w:numId w:val="1"/>
        </w:numPr>
      </w:pPr>
      <w:r w:rsidRPr="005958D5">
        <w:t xml:space="preserve">Numerical agreement with the recorded dosimeter values does not need to be exact. The key test is whether the estimate is of the right order and scientifically defended. </w:t>
      </w:r>
    </w:p>
    <w:p w14:paraId="774D18A6" w14:textId="77777777" w:rsidR="005958D5" w:rsidRPr="005958D5" w:rsidRDefault="005958D5" w:rsidP="005958D5">
      <w:pPr>
        <w:numPr>
          <w:ilvl w:val="0"/>
          <w:numId w:val="1"/>
        </w:numPr>
      </w:pPr>
      <w:r w:rsidRPr="005958D5">
        <w:t xml:space="preserve">Because the scenario involves a maintenance and fault-recovery access condition rather than a normal irradiation geometry, students should be credited for recognising that local shielding, drawer geometry and posture make the radiation field strongly position dependent. </w:t>
      </w:r>
    </w:p>
    <w:p w14:paraId="63B79762" w14:textId="77777777" w:rsidR="005958D5" w:rsidRPr="005958D5" w:rsidRDefault="005958D5" w:rsidP="005958D5">
      <w:pPr>
        <w:numPr>
          <w:ilvl w:val="0"/>
          <w:numId w:val="1"/>
        </w:numPr>
      </w:pPr>
      <w:r w:rsidRPr="005958D5">
        <w:t xml:space="preserve">Better answers will also notice that the first phase occurred </w:t>
      </w:r>
      <w:r w:rsidRPr="005958D5">
        <w:rPr>
          <w:b/>
          <w:bCs/>
        </w:rPr>
        <w:t>before the operator retrieved the EPD</w:t>
      </w:r>
      <w:r w:rsidRPr="005958D5">
        <w:t xml:space="preserve">, so the EPD reading does not capture the entire exposure history. That is one of the most important interpretive features in this case. The scenario and current E draft both support that expectation. </w:t>
      </w:r>
    </w:p>
    <w:p w14:paraId="153766D7" w14:textId="77777777" w:rsidR="005958D5" w:rsidRPr="005958D5" w:rsidRDefault="00000000" w:rsidP="005958D5">
      <w:r>
        <w:pict w14:anchorId="5EAB8A83">
          <v:rect id="_x0000_i1027" style="width:0;height:1.5pt" o:hralign="center" o:hrstd="t" o:hr="t" fillcolor="#a0a0a0" stroked="f"/>
        </w:pict>
      </w:r>
    </w:p>
    <w:p w14:paraId="09711096" w14:textId="77777777" w:rsidR="005958D5" w:rsidRPr="005958D5" w:rsidRDefault="005958D5" w:rsidP="005958D5">
      <w:pPr>
        <w:rPr>
          <w:b/>
          <w:bCs/>
        </w:rPr>
      </w:pPr>
      <w:r w:rsidRPr="005958D5">
        <w:rPr>
          <w:b/>
          <w:bCs/>
        </w:rPr>
        <w:t>2. Worked scientific solution</w:t>
      </w:r>
    </w:p>
    <w:p w14:paraId="51961319" w14:textId="77777777" w:rsidR="005958D5" w:rsidRPr="005958D5" w:rsidRDefault="005958D5" w:rsidP="005958D5">
      <w:pPr>
        <w:rPr>
          <w:b/>
          <w:bCs/>
        </w:rPr>
      </w:pPr>
      <w:r w:rsidRPr="005958D5">
        <w:rPr>
          <w:b/>
          <w:bCs/>
        </w:rPr>
        <w:t>2.1 Suitability of Caesium-137 for the irradiator</w:t>
      </w:r>
    </w:p>
    <w:p w14:paraId="0567804D" w14:textId="77777777" w:rsidR="005958D5" w:rsidRPr="005958D5" w:rsidRDefault="005958D5" w:rsidP="005958D5">
      <w:pPr>
        <w:numPr>
          <w:ilvl w:val="0"/>
          <w:numId w:val="2"/>
        </w:numPr>
      </w:pPr>
      <w:r w:rsidRPr="005958D5">
        <w:t xml:space="preserve">Cs-137 has a relatively long half-life, about 30.17 years, so source replacement frequency is low and output decreases only gradually over service life. </w:t>
      </w:r>
    </w:p>
    <w:p w14:paraId="6EB1B1C2" w14:textId="77777777" w:rsidR="005958D5" w:rsidRPr="005958D5" w:rsidRDefault="005958D5" w:rsidP="005958D5">
      <w:pPr>
        <w:numPr>
          <w:ilvl w:val="0"/>
          <w:numId w:val="2"/>
        </w:numPr>
      </w:pPr>
      <w:r w:rsidRPr="005958D5">
        <w:t xml:space="preserve">It emits a principal penetrating gamma photon at about 662 keV via Ba-137m, making it suitable for blood and research irradiation where a stable, penetrating gamma field is required. </w:t>
      </w:r>
    </w:p>
    <w:p w14:paraId="31FD4AA0" w14:textId="77777777" w:rsidR="005958D5" w:rsidRPr="005958D5" w:rsidRDefault="005958D5" w:rsidP="005958D5">
      <w:pPr>
        <w:numPr>
          <w:ilvl w:val="0"/>
          <w:numId w:val="2"/>
        </w:numPr>
      </w:pPr>
      <w:r w:rsidRPr="005958D5">
        <w:t xml:space="preserve">It can be incorporated into robust sealed source pencils within a heavily shielded irradiator body. </w:t>
      </w:r>
    </w:p>
    <w:p w14:paraId="5D24AC5F" w14:textId="77777777" w:rsidR="005958D5" w:rsidRPr="005958D5" w:rsidRDefault="005958D5" w:rsidP="005958D5">
      <w:pPr>
        <w:numPr>
          <w:ilvl w:val="0"/>
          <w:numId w:val="2"/>
        </w:numPr>
      </w:pPr>
      <w:r w:rsidRPr="005958D5">
        <w:t xml:space="preserve">Sensible limitations may also be mentioned: the source material is caesium chloride ceramic, so if containment were ever breached there would be contamination and security concerns; this is one reason why some facilities have historically moved toward alternative technologies. The brief and A-solution style support this level of balanced comment. </w:t>
      </w:r>
    </w:p>
    <w:p w14:paraId="62F5A6F4" w14:textId="77777777" w:rsidR="005958D5" w:rsidRPr="005958D5" w:rsidRDefault="005958D5" w:rsidP="005958D5">
      <w:pPr>
        <w:rPr>
          <w:b/>
          <w:bCs/>
        </w:rPr>
      </w:pPr>
      <w:r w:rsidRPr="005958D5">
        <w:rPr>
          <w:b/>
          <w:bCs/>
        </w:rPr>
        <w:t>2.2 Decay-corrected activity on the incident date</w:t>
      </w:r>
    </w:p>
    <w:p w14:paraId="0512D4CE" w14:textId="77777777" w:rsidR="005958D5" w:rsidRPr="005958D5" w:rsidRDefault="005958D5" w:rsidP="005958D5">
      <w:r w:rsidRPr="005958D5">
        <w:t>Given:</w:t>
      </w:r>
    </w:p>
    <w:p w14:paraId="3E7AA778" w14:textId="5D7CC60F" w:rsidR="005958D5" w:rsidRPr="005958D5" w:rsidRDefault="00000000" w:rsidP="005958D5">
      <w:pPr>
        <w:numPr>
          <w:ilvl w:val="0"/>
          <w:numId w:val="3"/>
        </w:numPr>
      </w:pPr>
      <m:oMath>
        <m:sSub>
          <m:sSubPr>
            <m:ctrlPr>
              <w:rPr>
                <w:rFonts w:ascii="Cambria Math" w:hAnsi="Cambria Math"/>
              </w:rPr>
            </m:ctrlPr>
          </m:sSubPr>
          <m:e>
            <m:r>
              <w:rPr>
                <w:rFonts w:ascii="Cambria Math" w:hAnsi="Cambria Math"/>
              </w:rPr>
              <m:t>A</m:t>
            </m:r>
          </m:e>
          <m:sub>
            <m:r>
              <w:rPr>
                <w:rFonts w:ascii="Cambria Math" w:hAnsi="Cambria Math"/>
              </w:rPr>
              <m:t>0</m:t>
            </m:r>
          </m:sub>
        </m:sSub>
        <m:r>
          <w:rPr>
            <w:rFonts w:ascii="Cambria Math" w:hAnsi="Cambria Math"/>
          </w:rPr>
          <m:t>=240</m:t>
        </m:r>
      </m:oMath>
      <w:r w:rsidR="005958D5" w:rsidRPr="005958D5">
        <w:t xml:space="preserve">TBq on 12 May 1994 </w:t>
      </w:r>
    </w:p>
    <w:p w14:paraId="02778F1F" w14:textId="77777777" w:rsidR="005958D5" w:rsidRPr="005958D5" w:rsidRDefault="005958D5" w:rsidP="005958D5">
      <w:pPr>
        <w:numPr>
          <w:ilvl w:val="0"/>
          <w:numId w:val="3"/>
        </w:numPr>
      </w:pPr>
      <w:r w:rsidRPr="005958D5">
        <w:t xml:space="preserve">Incident date = 3 November 2024 </w:t>
      </w:r>
    </w:p>
    <w:p w14:paraId="3FBA5AA6" w14:textId="248FAE43" w:rsidR="005958D5" w:rsidRPr="005958D5" w:rsidRDefault="00000000" w:rsidP="005958D5">
      <w:pPr>
        <w:numPr>
          <w:ilvl w:val="0"/>
          <w:numId w:val="3"/>
        </w:numPr>
      </w:pPr>
      <m:oMath>
        <m:sSub>
          <m:sSubPr>
            <m:ctrlPr>
              <w:rPr>
                <w:rFonts w:ascii="Cambria Math" w:hAnsi="Cambria Math"/>
              </w:rPr>
            </m:ctrlPr>
          </m:sSubPr>
          <m:e>
            <m:r>
              <w:rPr>
                <w:rFonts w:ascii="Cambria Math" w:hAnsi="Cambria Math"/>
              </w:rPr>
              <m:t>T</m:t>
            </m:r>
          </m:e>
          <m:sub>
            <m:r>
              <w:rPr>
                <w:rFonts w:ascii="Cambria Math" w:hAnsi="Cambria Math"/>
              </w:rPr>
              <m:t>1</m:t>
            </m:r>
            <m:r>
              <m:rPr>
                <m:sty m:val="p"/>
              </m:rPr>
              <w:rPr>
                <w:rFonts w:ascii="Cambria Math" w:hAnsi="Cambria Math"/>
              </w:rPr>
              <m:t>/</m:t>
            </m:r>
            <m:r>
              <w:rPr>
                <w:rFonts w:ascii="Cambria Math" w:hAnsi="Cambria Math"/>
              </w:rPr>
              <m:t>2</m:t>
            </m:r>
          </m:sub>
        </m:sSub>
        <m:r>
          <w:rPr>
            <w:rFonts w:ascii="Cambria Math" w:hAnsi="Cambria Math"/>
          </w:rPr>
          <m:t>(</m:t>
        </m:r>
        <m:r>
          <m:rPr>
            <m:nor/>
          </m:rPr>
          <m:t>Cs-137</m:t>
        </m:r>
        <m:r>
          <w:rPr>
            <w:rFonts w:ascii="Cambria Math" w:hAnsi="Cambria Math"/>
          </w:rPr>
          <m:t>)≈30.17</m:t>
        </m:r>
      </m:oMath>
      <w:r w:rsidR="005958D5" w:rsidRPr="005958D5">
        <w:t xml:space="preserve">y </w:t>
      </w:r>
    </w:p>
    <w:p w14:paraId="6B346999" w14:textId="77777777" w:rsidR="005958D5" w:rsidRPr="005958D5" w:rsidRDefault="005958D5" w:rsidP="005958D5">
      <w:r w:rsidRPr="005958D5">
        <w:t>Elapsed time is about 30.48 years, depending on rounding convention. Use:</w:t>
      </w:r>
    </w:p>
    <w:p w14:paraId="54C3F483" w14:textId="093136E2" w:rsidR="005958D5" w:rsidRPr="005958D5" w:rsidRDefault="005958D5" w:rsidP="005958D5">
      <m:oMathPara>
        <m:oMath>
          <m:r>
            <w:rPr>
              <w:rFonts w:ascii="Cambria Math" w:hAnsi="Cambria Math"/>
            </w:rPr>
            <w:lastRenderedPageBreak/>
            <m:t>A=</m:t>
          </m:r>
          <m:sSub>
            <m:sSubPr>
              <m:ctrlPr>
                <w:rPr>
                  <w:rFonts w:ascii="Cambria Math" w:hAnsi="Cambria Math"/>
                </w:rPr>
              </m:ctrlPr>
            </m:sSubPr>
            <m:e>
              <m:r>
                <w:rPr>
                  <w:rFonts w:ascii="Cambria Math" w:hAnsi="Cambria Math"/>
                </w:rPr>
                <m:t>A</m:t>
              </m:r>
            </m:e>
            <m:sub>
              <m:r>
                <w:rPr>
                  <w:rFonts w:ascii="Cambria Math" w:hAnsi="Cambria Math"/>
                </w:rPr>
                <m:t>0</m:t>
              </m:r>
            </m:sub>
          </m:sSub>
          <m:r>
            <w:rPr>
              <w:rFonts w:ascii="Cambria Math" w:hAnsi="Cambria Math"/>
            </w:rPr>
            <m:t>×</m:t>
          </m:r>
          <m:sSup>
            <m:sSupPr>
              <m:ctrlPr>
                <w:rPr>
                  <w:rFonts w:ascii="Cambria Math" w:hAnsi="Cambria Math"/>
                </w:rPr>
              </m:ctrlPr>
            </m:sSupPr>
            <m:e>
              <m:r>
                <w:rPr>
                  <w:rFonts w:ascii="Cambria Math" w:hAnsi="Cambria Math"/>
                </w:rPr>
                <m:t>2</m:t>
              </m:r>
            </m:e>
            <m:sup>
              <m:r>
                <w:rPr>
                  <w:rFonts w:ascii="Cambria Math" w:hAnsi="Cambria Math"/>
                </w:rPr>
                <m:t>-t</m:t>
              </m:r>
              <m:r>
                <m:rPr>
                  <m:sty m:val="p"/>
                </m:rP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1</m:t>
                  </m:r>
                  <m:r>
                    <m:rPr>
                      <m:sty m:val="p"/>
                    </m:rPr>
                    <w:rPr>
                      <w:rFonts w:ascii="Cambria Math" w:hAnsi="Cambria Math"/>
                    </w:rPr>
                    <m:t>/</m:t>
                  </m:r>
                  <m:r>
                    <w:rPr>
                      <w:rFonts w:ascii="Cambria Math" w:hAnsi="Cambria Math"/>
                    </w:rPr>
                    <m:t>2</m:t>
                  </m:r>
                </m:sub>
              </m:sSub>
            </m:sup>
          </m:sSup>
          <m:r>
            <m:rPr>
              <m:sty m:val="p"/>
            </m:rPr>
            <w:br/>
          </m:r>
        </m:oMath>
        <m:oMath>
          <m:r>
            <w:rPr>
              <w:rFonts w:ascii="Cambria Math" w:hAnsi="Cambria Math"/>
            </w:rPr>
            <m:t>A≈240×</m:t>
          </m:r>
          <m:sSup>
            <m:sSupPr>
              <m:ctrlPr>
                <w:rPr>
                  <w:rFonts w:ascii="Cambria Math" w:hAnsi="Cambria Math"/>
                </w:rPr>
              </m:ctrlPr>
            </m:sSupPr>
            <m:e>
              <m:r>
                <w:rPr>
                  <w:rFonts w:ascii="Cambria Math" w:hAnsi="Cambria Math"/>
                </w:rPr>
                <m:t>2</m:t>
              </m:r>
            </m:e>
            <m:sup>
              <m:r>
                <w:rPr>
                  <w:rFonts w:ascii="Cambria Math" w:hAnsi="Cambria Math"/>
                </w:rPr>
                <m:t>-30.48</m:t>
              </m:r>
              <m:r>
                <m:rPr>
                  <m:sty m:val="p"/>
                </m:rPr>
                <w:rPr>
                  <w:rFonts w:ascii="Cambria Math" w:hAnsi="Cambria Math"/>
                </w:rPr>
                <m:t>/</m:t>
              </m:r>
              <m:r>
                <w:rPr>
                  <w:rFonts w:ascii="Cambria Math" w:hAnsi="Cambria Math"/>
                </w:rPr>
                <m:t>30.17</m:t>
              </m:r>
            </m:sup>
          </m:sSup>
          <m:r>
            <m:rPr>
              <m:sty m:val="p"/>
            </m:rPr>
            <w:br/>
          </m:r>
        </m:oMath>
        <m:oMath>
          <m:f>
            <m:fPr>
              <m:ctrlPr>
                <w:rPr>
                  <w:rFonts w:ascii="Cambria Math" w:hAnsi="Cambria Math"/>
                </w:rPr>
              </m:ctrlPr>
            </m:fPr>
            <m:num>
              <m:r>
                <w:rPr>
                  <w:rFonts w:ascii="Cambria Math" w:hAnsi="Cambria Math"/>
                </w:rPr>
                <m:t>30.48</m:t>
              </m:r>
            </m:num>
            <m:den>
              <m:r>
                <w:rPr>
                  <w:rFonts w:ascii="Cambria Math" w:hAnsi="Cambria Math"/>
                </w:rPr>
                <m:t>30.17</m:t>
              </m:r>
            </m:den>
          </m:f>
          <m:r>
            <w:rPr>
              <w:rFonts w:ascii="Cambria Math" w:hAnsi="Cambria Math"/>
            </w:rPr>
            <m:t>≈1.010</m:t>
          </m:r>
          <m:r>
            <w:br/>
          </m:r>
        </m:oMath>
        <m:oMath>
          <m:sSup>
            <m:sSupPr>
              <m:ctrlPr>
                <w:rPr>
                  <w:rFonts w:ascii="Cambria Math" w:hAnsi="Cambria Math"/>
                </w:rPr>
              </m:ctrlPr>
            </m:sSupPr>
            <m:e>
              <m:r>
                <w:rPr>
                  <w:rFonts w:ascii="Cambria Math" w:hAnsi="Cambria Math"/>
                </w:rPr>
                <m:t>2</m:t>
              </m:r>
            </m:e>
            <m:sup>
              <m:r>
                <w:rPr>
                  <w:rFonts w:ascii="Cambria Math" w:hAnsi="Cambria Math"/>
                </w:rPr>
                <m:t>-1.010</m:t>
              </m:r>
            </m:sup>
          </m:sSup>
          <m:r>
            <w:rPr>
              <w:rFonts w:ascii="Cambria Math" w:hAnsi="Cambria Math"/>
            </w:rPr>
            <m:t>≈0.497</m:t>
          </m:r>
          <m:r>
            <w:br/>
          </m:r>
        </m:oMath>
        <m:oMath>
          <m:r>
            <w:rPr>
              <w:rFonts w:ascii="Cambria Math" w:hAnsi="Cambria Math"/>
            </w:rPr>
            <m:t>A≈240×0.497≈119.3</m:t>
          </m:r>
          <m:r>
            <m:rPr>
              <m:nor/>
            </m:rPr>
            <m:t xml:space="preserve"> TBq</m:t>
          </m:r>
          <m:r>
            <m:rPr>
              <m:sty m:val="p"/>
            </m:rPr>
            <w:br/>
          </m:r>
        </m:oMath>
      </m:oMathPara>
    </w:p>
    <w:p w14:paraId="7C882F03" w14:textId="77777777" w:rsidR="005958D5" w:rsidRPr="005958D5" w:rsidRDefault="005958D5" w:rsidP="005958D5">
      <w:r w:rsidRPr="005958D5">
        <w:t xml:space="preserve">So the source activity on 3 November 2024 is about </w:t>
      </w:r>
      <w:r w:rsidRPr="005958D5">
        <w:rPr>
          <w:b/>
          <w:bCs/>
        </w:rPr>
        <w:t>119 TBq</w:t>
      </w:r>
      <w:r w:rsidRPr="005958D5">
        <w:t xml:space="preserve">. Accept about </w:t>
      </w:r>
      <w:r w:rsidRPr="005958D5">
        <w:rPr>
          <w:b/>
          <w:bCs/>
        </w:rPr>
        <w:t>118–120 TBq</w:t>
      </w:r>
      <w:r w:rsidRPr="005958D5">
        <w:t xml:space="preserve"> depending on elapsed-time rounding and half-life used. This is consistent with both the E draft solution and the A solution benchmark.</w:t>
      </w:r>
    </w:p>
    <w:p w14:paraId="0F8075BC" w14:textId="77777777" w:rsidR="005958D5" w:rsidRPr="005958D5" w:rsidRDefault="005958D5" w:rsidP="005958D5">
      <w:pPr>
        <w:rPr>
          <w:b/>
          <w:bCs/>
        </w:rPr>
      </w:pPr>
      <w:r w:rsidRPr="005958D5">
        <w:rPr>
          <w:b/>
          <w:bCs/>
        </w:rPr>
        <w:t>2.3 Unshielded dose-rate at 1 m</w:t>
      </w:r>
    </w:p>
    <w:p w14:paraId="4E3179A6" w14:textId="77777777" w:rsidR="005958D5" w:rsidRPr="005958D5" w:rsidRDefault="005958D5" w:rsidP="005958D5">
      <w:r w:rsidRPr="005958D5">
        <w:t>Using a tabulated Cs-137 gamma constant:</w:t>
      </w:r>
    </w:p>
    <w:p w14:paraId="5B14B2AA" w14:textId="47A0C57F" w:rsidR="005958D5" w:rsidRPr="005958D5" w:rsidRDefault="005958D5" w:rsidP="005958D5">
      <m:oMathPara>
        <m:oMath>
          <m:r>
            <m:rPr>
              <m:sty m:val="p"/>
            </m:rPr>
            <w:rPr>
              <w:rFonts w:ascii="Cambria Math" w:hAnsi="Cambria Math"/>
            </w:rPr>
            <m:t>Γ</m:t>
          </m:r>
          <m:r>
            <w:rPr>
              <w:rFonts w:ascii="Cambria Math" w:hAnsi="Cambria Math"/>
            </w:rPr>
            <m:t>≈0.08</m:t>
          </m:r>
          <m:sSup>
            <m:sSupPr>
              <m:ctrlPr>
                <w:rPr>
                  <w:rFonts w:ascii="Cambria Math" w:hAnsi="Cambria Math"/>
                </w:rPr>
              </m:ctrlPr>
            </m:sSupPr>
            <m:e>
              <m:r>
                <m:rPr>
                  <m:nor/>
                </m:rPr>
                <m:t xml:space="preserve"> mSv m</m:t>
              </m:r>
            </m:e>
            <m:sup>
              <m:r>
                <w:rPr>
                  <w:rFonts w:ascii="Cambria Math" w:hAnsi="Cambria Math"/>
                </w:rPr>
                <m:t>2</m:t>
              </m:r>
            </m:sup>
          </m:sSup>
          <m:sSup>
            <m:sSupPr>
              <m:ctrlPr>
                <w:rPr>
                  <w:rFonts w:ascii="Cambria Math" w:hAnsi="Cambria Math"/>
                </w:rPr>
              </m:ctrlPr>
            </m:sSupPr>
            <m:e>
              <m:r>
                <m:rPr>
                  <m:nor/>
                </m:rPr>
                <m:t xml:space="preserve"> GBq</m:t>
              </m:r>
            </m:e>
            <m:sup>
              <m:r>
                <w:rPr>
                  <w:rFonts w:ascii="Cambria Math" w:hAnsi="Cambria Math"/>
                </w:rPr>
                <m:t>-1</m:t>
              </m:r>
            </m:sup>
          </m:sSup>
          <m:sSup>
            <m:sSupPr>
              <m:ctrlPr>
                <w:rPr>
                  <w:rFonts w:ascii="Cambria Math" w:hAnsi="Cambria Math"/>
                </w:rPr>
              </m:ctrlPr>
            </m:sSupPr>
            <m:e>
              <m:r>
                <m:rPr>
                  <m:nor/>
                </m:rPr>
                <m:t xml:space="preserve"> h</m:t>
              </m:r>
            </m:e>
            <m:sup>
              <m:r>
                <w:rPr>
                  <w:rFonts w:ascii="Cambria Math" w:hAnsi="Cambria Math"/>
                </w:rPr>
                <m:t>-1</m:t>
              </m:r>
            </m:sup>
          </m:sSup>
          <m:r>
            <m:rPr>
              <m:sty m:val="p"/>
            </m:rPr>
            <w:br/>
          </m:r>
        </m:oMath>
      </m:oMathPara>
    </w:p>
    <w:p w14:paraId="44170A09" w14:textId="77777777" w:rsidR="005958D5" w:rsidRPr="005958D5" w:rsidRDefault="005958D5" w:rsidP="005958D5">
      <w:r w:rsidRPr="005958D5">
        <w:t>Convert activity:</w:t>
      </w:r>
    </w:p>
    <w:p w14:paraId="42E8D2C9" w14:textId="29E0D0EB" w:rsidR="005958D5" w:rsidRPr="005958D5" w:rsidRDefault="005958D5" w:rsidP="005958D5">
      <m:oMathPara>
        <m:oMath>
          <m:r>
            <w:rPr>
              <w:rFonts w:ascii="Cambria Math" w:hAnsi="Cambria Math"/>
            </w:rPr>
            <m:t>119</m:t>
          </m:r>
          <m:r>
            <m:rPr>
              <m:nor/>
            </m:rPr>
            <m:t xml:space="preserve"> TBq</m:t>
          </m:r>
          <m:r>
            <w:rPr>
              <w:rFonts w:ascii="Cambria Math" w:hAnsi="Cambria Math"/>
            </w:rPr>
            <m:t>=</m:t>
          </m:r>
          <m:r>
            <m:rPr>
              <m:sty m:val="p"/>
            </m:rPr>
            <w:rPr>
              <w:rFonts w:ascii="Cambria Math" w:hAnsi="Cambria Math"/>
            </w:rPr>
            <m:t>119,000</m:t>
          </m:r>
          <m:r>
            <m:rPr>
              <m:nor/>
            </m:rPr>
            <m:t xml:space="preserve"> GBq</m:t>
          </m:r>
          <m:r>
            <m:rPr>
              <m:sty m:val="p"/>
            </m:rPr>
            <w:br/>
          </m:r>
        </m:oMath>
      </m:oMathPara>
    </w:p>
    <w:p w14:paraId="78EB48DA" w14:textId="77777777" w:rsidR="005958D5" w:rsidRPr="005958D5" w:rsidRDefault="005958D5" w:rsidP="005958D5">
      <w:r w:rsidRPr="005958D5">
        <w:t>Then:</w:t>
      </w:r>
    </w:p>
    <w:p w14:paraId="7556B93F" w14:textId="1BEA0BFC" w:rsidR="005958D5" w:rsidRPr="005958D5" w:rsidRDefault="00000000" w:rsidP="005958D5">
      <m:oMathPara>
        <m:oMath>
          <m:acc>
            <m:accPr>
              <m:chr m:val="̇"/>
              <m:ctrlPr>
                <w:rPr>
                  <w:rFonts w:ascii="Cambria Math" w:hAnsi="Cambria Math"/>
                </w:rPr>
              </m:ctrlPr>
            </m:accPr>
            <m:e>
              <m:r>
                <w:rPr>
                  <w:rFonts w:ascii="Cambria Math" w:hAnsi="Cambria Math"/>
                </w:rPr>
                <m:t>H</m:t>
              </m:r>
            </m:e>
          </m:acc>
          <m:r>
            <w:rPr>
              <w:rFonts w:ascii="Cambria Math" w:hAnsi="Cambria Math"/>
            </w:rPr>
            <m:t>(1</m:t>
          </m:r>
          <m:r>
            <m:rPr>
              <m:nor/>
            </m:rPr>
            <m:t xml:space="preserve"> m</m:t>
          </m:r>
          <m:r>
            <w:rPr>
              <w:rFonts w:ascii="Cambria Math" w:hAnsi="Cambria Math"/>
            </w:rPr>
            <m:t>)=</m:t>
          </m:r>
          <m:r>
            <m:rPr>
              <m:sty m:val="p"/>
            </m:rPr>
            <w:rPr>
              <w:rFonts w:ascii="Cambria Math" w:hAnsi="Cambria Math"/>
            </w:rPr>
            <m:t>Γ</m:t>
          </m:r>
          <m:r>
            <w:rPr>
              <w:rFonts w:ascii="Cambria Math" w:hAnsi="Cambria Math"/>
            </w:rPr>
            <m:t>A</m:t>
          </m:r>
          <m:r>
            <w:br/>
          </m:r>
        </m:oMath>
        <m:oMath>
          <m:acc>
            <m:accPr>
              <m:chr m:val="̇"/>
              <m:ctrlPr>
                <w:rPr>
                  <w:rFonts w:ascii="Cambria Math" w:hAnsi="Cambria Math"/>
                </w:rPr>
              </m:ctrlPr>
            </m:accPr>
            <m:e>
              <m:r>
                <w:rPr>
                  <w:rFonts w:ascii="Cambria Math" w:hAnsi="Cambria Math"/>
                </w:rPr>
                <m:t>H</m:t>
              </m:r>
            </m:e>
          </m:acc>
          <m:r>
            <w:rPr>
              <w:rFonts w:ascii="Cambria Math" w:hAnsi="Cambria Math"/>
            </w:rPr>
            <m:t>(1</m:t>
          </m:r>
          <m:r>
            <m:rPr>
              <m:nor/>
            </m:rPr>
            <m:t xml:space="preserve"> m</m:t>
          </m:r>
          <m:r>
            <w:rPr>
              <w:rFonts w:ascii="Cambria Math" w:hAnsi="Cambria Math"/>
            </w:rPr>
            <m:t>)≈0.08×</m:t>
          </m:r>
          <m:r>
            <m:rPr>
              <m:sty m:val="p"/>
            </m:rPr>
            <w:rPr>
              <w:rFonts w:ascii="Cambria Math" w:hAnsi="Cambria Math"/>
            </w:rPr>
            <m:t>119,000</m:t>
          </m:r>
          <m:sSup>
            <m:sSupPr>
              <m:ctrlPr>
                <w:rPr>
                  <w:rFonts w:ascii="Cambria Math" w:hAnsi="Cambria Math"/>
                </w:rPr>
              </m:ctrlPr>
            </m:sSupPr>
            <m:e>
              <m:r>
                <m:rPr>
                  <m:nor/>
                </m:rPr>
                <m:t xml:space="preserve"> mSv h</m:t>
              </m:r>
            </m:e>
            <m:sup>
              <m:r>
                <w:rPr>
                  <w:rFonts w:ascii="Cambria Math" w:hAnsi="Cambria Math"/>
                </w:rPr>
                <m:t>-1</m:t>
              </m:r>
            </m:sup>
          </m:sSup>
          <m:r>
            <m:rPr>
              <m:sty m:val="p"/>
            </m:rPr>
            <w:br/>
          </m:r>
        </m:oMath>
        <m:oMath>
          <m:acc>
            <m:accPr>
              <m:chr m:val="̇"/>
              <m:ctrlPr>
                <w:rPr>
                  <w:rFonts w:ascii="Cambria Math" w:hAnsi="Cambria Math"/>
                </w:rPr>
              </m:ctrlPr>
            </m:accPr>
            <m:e>
              <m:r>
                <w:rPr>
                  <w:rFonts w:ascii="Cambria Math" w:hAnsi="Cambria Math"/>
                </w:rPr>
                <m:t>H</m:t>
              </m:r>
            </m:e>
          </m:acc>
          <m:r>
            <w:rPr>
              <w:rFonts w:ascii="Cambria Math" w:hAnsi="Cambria Math"/>
            </w:rPr>
            <m:t>(1</m:t>
          </m:r>
          <m:r>
            <m:rPr>
              <m:nor/>
            </m:rPr>
            <m:t xml:space="preserve"> m</m:t>
          </m:r>
          <m:r>
            <w:rPr>
              <w:rFonts w:ascii="Cambria Math" w:hAnsi="Cambria Math"/>
            </w:rPr>
            <m:t>)≈9520</m:t>
          </m:r>
          <m:sSup>
            <m:sSupPr>
              <m:ctrlPr>
                <w:rPr>
                  <w:rFonts w:ascii="Cambria Math" w:hAnsi="Cambria Math"/>
                </w:rPr>
              </m:ctrlPr>
            </m:sSupPr>
            <m:e>
              <m:r>
                <m:rPr>
                  <m:nor/>
                </m:rPr>
                <m:t xml:space="preserve"> mSv h</m:t>
              </m:r>
            </m:e>
            <m:sup>
              <m:r>
                <w:rPr>
                  <w:rFonts w:ascii="Cambria Math" w:hAnsi="Cambria Math"/>
                </w:rPr>
                <m:t>-1</m:t>
              </m:r>
            </m:sup>
          </m:sSup>
          <m:r>
            <w:rPr>
              <w:rFonts w:ascii="Cambria Math" w:hAnsi="Cambria Math"/>
            </w:rPr>
            <m:t>≈9.5</m:t>
          </m:r>
          <m:sSup>
            <m:sSupPr>
              <m:ctrlPr>
                <w:rPr>
                  <w:rFonts w:ascii="Cambria Math" w:hAnsi="Cambria Math"/>
                </w:rPr>
              </m:ctrlPr>
            </m:sSupPr>
            <m:e>
              <m:r>
                <m:rPr>
                  <m:nor/>
                </m:rPr>
                <m:t xml:space="preserve"> Sv h</m:t>
              </m:r>
            </m:e>
            <m:sup>
              <m:r>
                <w:rPr>
                  <w:rFonts w:ascii="Cambria Math" w:hAnsi="Cambria Math"/>
                </w:rPr>
                <m:t>-1</m:t>
              </m:r>
            </m:sup>
          </m:sSup>
          <m:r>
            <m:rPr>
              <m:sty m:val="p"/>
            </m:rPr>
            <w:br/>
          </m:r>
        </m:oMath>
      </m:oMathPara>
    </w:p>
    <w:p w14:paraId="1B0D8F04" w14:textId="77777777" w:rsidR="005958D5" w:rsidRPr="005958D5" w:rsidRDefault="005958D5" w:rsidP="005958D5">
      <w:r w:rsidRPr="005958D5">
        <w:t>The dossier also states that the source cage geometry causes an approximately 12% reduction in exit flux owing to self-shielding. Apply that as a simple multiplier:</w:t>
      </w:r>
    </w:p>
    <w:p w14:paraId="723439EF" w14:textId="189A8AF9" w:rsidR="005958D5" w:rsidRPr="005958D5" w:rsidRDefault="00000000" w:rsidP="005958D5">
      <m:oMathPara>
        <m:oMath>
          <m:acc>
            <m:accPr>
              <m:chr m:val="̇"/>
              <m:ctrlPr>
                <w:rPr>
                  <w:rFonts w:ascii="Cambria Math" w:hAnsi="Cambria Math"/>
                </w:rPr>
              </m:ctrlPr>
            </m:accPr>
            <m:e>
              <m:r>
                <w:rPr>
                  <w:rFonts w:ascii="Cambria Math" w:hAnsi="Cambria Math"/>
                </w:rPr>
                <m:t>H</m:t>
              </m:r>
            </m:e>
          </m:acc>
          <m:r>
            <w:rPr>
              <w:rFonts w:ascii="Cambria Math" w:hAnsi="Cambria Math"/>
            </w:rPr>
            <m:t>(1</m:t>
          </m:r>
          <m:r>
            <m:rPr>
              <m:nor/>
            </m:rPr>
            <m:t xml:space="preserve"> m, effective</m:t>
          </m:r>
          <m:r>
            <w:rPr>
              <w:rFonts w:ascii="Cambria Math" w:hAnsi="Cambria Math"/>
            </w:rPr>
            <m:t>)≈0.88×9.52≈8.38</m:t>
          </m:r>
          <m:sSup>
            <m:sSupPr>
              <m:ctrlPr>
                <w:rPr>
                  <w:rFonts w:ascii="Cambria Math" w:hAnsi="Cambria Math"/>
                </w:rPr>
              </m:ctrlPr>
            </m:sSupPr>
            <m:e>
              <m:r>
                <m:rPr>
                  <m:nor/>
                </m:rPr>
                <m:t xml:space="preserve"> Sv h</m:t>
              </m:r>
            </m:e>
            <m:sup>
              <m:r>
                <w:rPr>
                  <w:rFonts w:ascii="Cambria Math" w:hAnsi="Cambria Math"/>
                </w:rPr>
                <m:t>-1</m:t>
              </m:r>
            </m:sup>
          </m:sSup>
          <m:r>
            <m:rPr>
              <m:sty m:val="p"/>
            </m:rPr>
            <w:br/>
          </m:r>
        </m:oMath>
      </m:oMathPara>
    </w:p>
    <w:p w14:paraId="589F697A" w14:textId="77777777" w:rsidR="005958D5" w:rsidRPr="005958D5" w:rsidRDefault="005958D5" w:rsidP="005958D5">
      <w:r w:rsidRPr="005958D5">
        <w:t xml:space="preserve">So a suitable nominal anchor value for subsequent calculations is about </w:t>
      </w:r>
      <w:r w:rsidRPr="005958D5">
        <w:rPr>
          <w:b/>
          <w:bCs/>
        </w:rPr>
        <w:t>8.4 Sv h^-1 at 1 m</w:t>
      </w:r>
      <w:r w:rsidRPr="005958D5">
        <w:t xml:space="preserve"> after self-absorption. That treatment matches the method already used in A and the current E draft.</w:t>
      </w:r>
    </w:p>
    <w:p w14:paraId="769E5DA3" w14:textId="77777777" w:rsidR="005958D5" w:rsidRPr="005958D5" w:rsidRDefault="005958D5" w:rsidP="005958D5">
      <w:pPr>
        <w:rPr>
          <w:b/>
          <w:bCs/>
        </w:rPr>
      </w:pPr>
      <w:r w:rsidRPr="005958D5">
        <w:rPr>
          <w:b/>
          <w:bCs/>
        </w:rPr>
        <w:t>2.4 Dose-rate during the initial investigation phase</w:t>
      </w:r>
    </w:p>
    <w:p w14:paraId="347B1AC5" w14:textId="77777777" w:rsidR="005958D5" w:rsidRPr="005958D5" w:rsidRDefault="005958D5" w:rsidP="005958D5">
      <w:r w:rsidRPr="005958D5">
        <w:t>The reconstructed geometry gives:</w:t>
      </w:r>
    </w:p>
    <w:p w14:paraId="71BEC869" w14:textId="77777777" w:rsidR="005958D5" w:rsidRPr="005958D5" w:rsidRDefault="005958D5" w:rsidP="005958D5">
      <w:pPr>
        <w:numPr>
          <w:ilvl w:val="0"/>
          <w:numId w:val="4"/>
        </w:numPr>
      </w:pPr>
      <w:r w:rsidRPr="005958D5">
        <w:t xml:space="preserve">distance ≈ 1.0 m, </w:t>
      </w:r>
    </w:p>
    <w:p w14:paraId="3F1B63F9" w14:textId="77777777" w:rsidR="005958D5" w:rsidRPr="005958D5" w:rsidRDefault="005958D5" w:rsidP="005958D5">
      <w:pPr>
        <w:numPr>
          <w:ilvl w:val="0"/>
          <w:numId w:val="4"/>
        </w:numPr>
      </w:pPr>
      <w:r w:rsidRPr="005958D5">
        <w:t xml:space="preserve">duration ≈ 60–90 s, </w:t>
      </w:r>
    </w:p>
    <w:p w14:paraId="18D71CCE" w14:textId="77777777" w:rsidR="005958D5" w:rsidRPr="005958D5" w:rsidRDefault="005958D5" w:rsidP="005958D5">
      <w:pPr>
        <w:numPr>
          <w:ilvl w:val="0"/>
          <w:numId w:val="4"/>
        </w:numPr>
      </w:pPr>
      <w:r w:rsidRPr="005958D5">
        <w:t xml:space="preserve">torso field ≈ 10–25% of the nominal unshielded field at that distance, </w:t>
      </w:r>
    </w:p>
    <w:p w14:paraId="0F78BA0B" w14:textId="77777777" w:rsidR="005958D5" w:rsidRPr="005958D5" w:rsidRDefault="005958D5" w:rsidP="005958D5">
      <w:pPr>
        <w:numPr>
          <w:ilvl w:val="0"/>
          <w:numId w:val="4"/>
        </w:numPr>
      </w:pPr>
      <w:r w:rsidRPr="005958D5">
        <w:t xml:space="preserve">no EPD worn during this phase. </w:t>
      </w:r>
    </w:p>
    <w:p w14:paraId="2585FC1C" w14:textId="77777777" w:rsidR="005958D5" w:rsidRPr="005958D5" w:rsidRDefault="005958D5" w:rsidP="005958D5">
      <w:r w:rsidRPr="005958D5">
        <w:t>At 1.0 m the nominal field is simply:</w:t>
      </w:r>
    </w:p>
    <w:p w14:paraId="202575EC" w14:textId="4DF28F40" w:rsidR="005958D5" w:rsidRPr="005958D5" w:rsidRDefault="00000000" w:rsidP="005958D5">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nominal</m:t>
              </m:r>
            </m:sub>
          </m:sSub>
          <m:r>
            <w:rPr>
              <w:rFonts w:ascii="Cambria Math" w:hAnsi="Cambria Math"/>
            </w:rPr>
            <m:t>(1.0</m:t>
          </m:r>
          <m:r>
            <m:rPr>
              <m:nor/>
            </m:rPr>
            <m:t xml:space="preserve"> m</m:t>
          </m:r>
          <m:r>
            <w:rPr>
              <w:rFonts w:ascii="Cambria Math" w:hAnsi="Cambria Math"/>
            </w:rPr>
            <m:t>)≈8.38</m:t>
          </m:r>
          <m:sSup>
            <m:sSupPr>
              <m:ctrlPr>
                <w:rPr>
                  <w:rFonts w:ascii="Cambria Math" w:hAnsi="Cambria Math"/>
                </w:rPr>
              </m:ctrlPr>
            </m:sSupPr>
            <m:e>
              <m:r>
                <m:rPr>
                  <m:nor/>
                </m:rPr>
                <m:t xml:space="preserve"> Sv h</m:t>
              </m:r>
            </m:e>
            <m:sup>
              <m:r>
                <w:rPr>
                  <w:rFonts w:ascii="Cambria Math" w:hAnsi="Cambria Math"/>
                </w:rPr>
                <m:t>-1</m:t>
              </m:r>
            </m:sup>
          </m:sSup>
          <m:r>
            <m:rPr>
              <m:sty m:val="p"/>
            </m:rPr>
            <w:br/>
          </m:r>
        </m:oMath>
      </m:oMathPara>
    </w:p>
    <w:p w14:paraId="5829979B" w14:textId="77777777" w:rsidR="005958D5" w:rsidRPr="005958D5" w:rsidRDefault="005958D5" w:rsidP="005958D5">
      <w:r w:rsidRPr="005958D5">
        <w:t>Apply 10–25% attenuation factor:</w:t>
      </w:r>
    </w:p>
    <w:p w14:paraId="4EA9E9FA" w14:textId="7C0CCE98" w:rsidR="005958D5" w:rsidRPr="005958D5" w:rsidRDefault="00000000" w:rsidP="005958D5">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initial</m:t>
              </m:r>
            </m:sub>
          </m:sSub>
          <m:r>
            <w:rPr>
              <w:rFonts w:ascii="Cambria Math" w:hAnsi="Cambria Math"/>
            </w:rPr>
            <m:t>≈0.10×8.38</m:t>
          </m:r>
          <m:r>
            <m:rPr>
              <m:nor/>
            </m:rPr>
            <m:t xml:space="preserve"> to </m:t>
          </m:r>
          <m:r>
            <w:rPr>
              <w:rFonts w:ascii="Cambria Math" w:hAnsi="Cambria Math"/>
            </w:rPr>
            <m:t>0.25×8.38</m:t>
          </m:r>
          <m:r>
            <w:br/>
          </m:r>
        </m:oMath>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initial</m:t>
              </m:r>
            </m:sub>
          </m:sSub>
          <m:r>
            <w:rPr>
              <w:rFonts w:ascii="Cambria Math" w:hAnsi="Cambria Math"/>
            </w:rPr>
            <m:t>≈0.84</m:t>
          </m:r>
          <m:r>
            <m:rPr>
              <m:nor/>
            </m:rPr>
            <m:t xml:space="preserve"> to </m:t>
          </m:r>
          <m:r>
            <w:rPr>
              <w:rFonts w:ascii="Cambria Math" w:hAnsi="Cambria Math"/>
            </w:rPr>
            <m:t>2.10</m:t>
          </m:r>
          <m:sSup>
            <m:sSupPr>
              <m:ctrlPr>
                <w:rPr>
                  <w:rFonts w:ascii="Cambria Math" w:hAnsi="Cambria Math"/>
                </w:rPr>
              </m:ctrlPr>
            </m:sSupPr>
            <m:e>
              <m:r>
                <m:rPr>
                  <m:nor/>
                </m:rPr>
                <m:t xml:space="preserve"> Sv h</m:t>
              </m:r>
            </m:e>
            <m:sup>
              <m:r>
                <w:rPr>
                  <w:rFonts w:ascii="Cambria Math" w:hAnsi="Cambria Math"/>
                </w:rPr>
                <m:t>-1</m:t>
              </m:r>
            </m:sup>
          </m:sSup>
          <m:r>
            <m:rPr>
              <m:sty m:val="p"/>
            </m:rPr>
            <w:br/>
          </m:r>
        </m:oMath>
      </m:oMathPara>
    </w:p>
    <w:p w14:paraId="6781FF66" w14:textId="77777777" w:rsidR="005958D5" w:rsidRPr="005958D5" w:rsidRDefault="005958D5" w:rsidP="005958D5">
      <w:r w:rsidRPr="005958D5">
        <w:t xml:space="preserve">So a defensible band is about </w:t>
      </w:r>
      <w:r w:rsidRPr="005958D5">
        <w:rPr>
          <w:b/>
          <w:bCs/>
        </w:rPr>
        <w:t>0.8–2.1 Sv h^-1</w:t>
      </w:r>
      <w:r w:rsidRPr="005958D5">
        <w:t>.</w:t>
      </w:r>
    </w:p>
    <w:p w14:paraId="012FD542" w14:textId="77777777" w:rsidR="005958D5" w:rsidRPr="005958D5" w:rsidRDefault="005958D5" w:rsidP="005958D5">
      <w:r w:rsidRPr="005958D5">
        <w:t>Dose contribution over 60–90 s:</w:t>
      </w:r>
    </w:p>
    <w:p w14:paraId="2314F95B" w14:textId="77777777" w:rsidR="005958D5" w:rsidRPr="005958D5" w:rsidRDefault="005958D5" w:rsidP="005958D5">
      <w:r w:rsidRPr="005958D5">
        <w:t>Lower bound:</w:t>
      </w:r>
    </w:p>
    <w:p w14:paraId="76AECA42" w14:textId="3CEF976D" w:rsidR="005958D5" w:rsidRPr="005958D5" w:rsidRDefault="005958D5" w:rsidP="005958D5">
      <m:oMathPara>
        <m:oMath>
          <m:r>
            <w:rPr>
              <w:rFonts w:ascii="Cambria Math" w:hAnsi="Cambria Math"/>
            </w:rPr>
            <m:t>0.84×</m:t>
          </m:r>
          <m:f>
            <m:fPr>
              <m:ctrlPr>
                <w:rPr>
                  <w:rFonts w:ascii="Cambria Math" w:hAnsi="Cambria Math"/>
                </w:rPr>
              </m:ctrlPr>
            </m:fPr>
            <m:num>
              <m:r>
                <w:rPr>
                  <w:rFonts w:ascii="Cambria Math" w:hAnsi="Cambria Math"/>
                </w:rPr>
                <m:t>60</m:t>
              </m:r>
            </m:num>
            <m:den>
              <m:r>
                <w:rPr>
                  <w:rFonts w:ascii="Cambria Math" w:hAnsi="Cambria Math"/>
                </w:rPr>
                <m:t>3600</m:t>
              </m:r>
            </m:den>
          </m:f>
          <m:r>
            <w:rPr>
              <w:rFonts w:ascii="Cambria Math" w:hAnsi="Cambria Math"/>
            </w:rPr>
            <m:t>≈0.0140</m:t>
          </m:r>
          <m:r>
            <m:rPr>
              <m:nor/>
            </m:rPr>
            <m:t xml:space="preserve"> Sv</m:t>
          </m:r>
          <m:r>
            <w:rPr>
              <w:rFonts w:ascii="Cambria Math" w:hAnsi="Cambria Math"/>
            </w:rPr>
            <m:t>≈14</m:t>
          </m:r>
          <m:r>
            <m:rPr>
              <m:nor/>
            </m:rPr>
            <m:t xml:space="preserve"> mSv</m:t>
          </m:r>
          <m:r>
            <m:rPr>
              <m:sty m:val="p"/>
            </m:rPr>
            <w:br/>
          </m:r>
        </m:oMath>
      </m:oMathPara>
    </w:p>
    <w:p w14:paraId="2A924625" w14:textId="77777777" w:rsidR="005958D5" w:rsidRPr="005958D5" w:rsidRDefault="005958D5" w:rsidP="005958D5">
      <w:r w:rsidRPr="005958D5">
        <w:t>Upper bound:</w:t>
      </w:r>
    </w:p>
    <w:p w14:paraId="4899B48F" w14:textId="58C1EB54" w:rsidR="005958D5" w:rsidRPr="005958D5" w:rsidRDefault="005958D5" w:rsidP="005958D5">
      <m:oMathPara>
        <m:oMath>
          <m:r>
            <w:rPr>
              <w:rFonts w:ascii="Cambria Math" w:hAnsi="Cambria Math"/>
            </w:rPr>
            <m:t>2.10×</m:t>
          </m:r>
          <m:f>
            <m:fPr>
              <m:ctrlPr>
                <w:rPr>
                  <w:rFonts w:ascii="Cambria Math" w:hAnsi="Cambria Math"/>
                </w:rPr>
              </m:ctrlPr>
            </m:fPr>
            <m:num>
              <m:r>
                <w:rPr>
                  <w:rFonts w:ascii="Cambria Math" w:hAnsi="Cambria Math"/>
                </w:rPr>
                <m:t>90</m:t>
              </m:r>
            </m:num>
            <m:den>
              <m:r>
                <w:rPr>
                  <w:rFonts w:ascii="Cambria Math" w:hAnsi="Cambria Math"/>
                </w:rPr>
                <m:t>3600</m:t>
              </m:r>
            </m:den>
          </m:f>
          <m:r>
            <w:rPr>
              <w:rFonts w:ascii="Cambria Math" w:hAnsi="Cambria Math"/>
            </w:rPr>
            <m:t>≈0.0525</m:t>
          </m:r>
          <m:r>
            <m:rPr>
              <m:nor/>
            </m:rPr>
            <m:t xml:space="preserve"> Sv</m:t>
          </m:r>
          <m:r>
            <w:rPr>
              <w:rFonts w:ascii="Cambria Math" w:hAnsi="Cambria Math"/>
            </w:rPr>
            <m:t>≈52.5</m:t>
          </m:r>
          <m:r>
            <m:rPr>
              <m:nor/>
            </m:rPr>
            <m:t xml:space="preserve"> mSv</m:t>
          </m:r>
          <m:r>
            <m:rPr>
              <m:sty m:val="p"/>
            </m:rPr>
            <w:br/>
          </m:r>
        </m:oMath>
      </m:oMathPara>
    </w:p>
    <w:p w14:paraId="4BB0B7DA" w14:textId="77777777" w:rsidR="005958D5" w:rsidRPr="005958D5" w:rsidRDefault="005958D5" w:rsidP="005958D5">
      <w:r w:rsidRPr="005958D5">
        <w:t xml:space="preserve">So a defensible contribution from this phase is about </w:t>
      </w:r>
      <w:r w:rsidRPr="005958D5">
        <w:rPr>
          <w:b/>
          <w:bCs/>
        </w:rPr>
        <w:t>14–53 mSv</w:t>
      </w:r>
      <w:r w:rsidRPr="005958D5">
        <w:t xml:space="preserve">, with a central value often somewhere in the </w:t>
      </w:r>
      <w:r w:rsidRPr="005958D5">
        <w:rPr>
          <w:b/>
          <w:bCs/>
        </w:rPr>
        <w:t>20–30 mSv</w:t>
      </w:r>
      <w:r w:rsidRPr="005958D5">
        <w:t xml:space="preserve"> region if moderate assumptions are chosen. This aligns with the current E draft solution.</w:t>
      </w:r>
    </w:p>
    <w:p w14:paraId="558A013B" w14:textId="77777777" w:rsidR="005958D5" w:rsidRPr="005958D5" w:rsidRDefault="005958D5" w:rsidP="005958D5">
      <w:pPr>
        <w:rPr>
          <w:b/>
          <w:bCs/>
        </w:rPr>
      </w:pPr>
      <w:r w:rsidRPr="005958D5">
        <w:rPr>
          <w:b/>
          <w:bCs/>
        </w:rPr>
        <w:t>2.5 Dose-rate during the direct inspection phase</w:t>
      </w:r>
    </w:p>
    <w:p w14:paraId="2A5E28E0" w14:textId="77777777" w:rsidR="005958D5" w:rsidRPr="005958D5" w:rsidRDefault="005958D5" w:rsidP="005958D5">
      <w:r w:rsidRPr="005958D5">
        <w:t>The reconstructed geometry gives:</w:t>
      </w:r>
    </w:p>
    <w:p w14:paraId="7952D730" w14:textId="77777777" w:rsidR="005958D5" w:rsidRPr="005958D5" w:rsidRDefault="005958D5" w:rsidP="005958D5">
      <w:pPr>
        <w:numPr>
          <w:ilvl w:val="0"/>
          <w:numId w:val="5"/>
        </w:numPr>
      </w:pPr>
      <w:r w:rsidRPr="005958D5">
        <w:t xml:space="preserve">distance ≈ 0.6 m, </w:t>
      </w:r>
    </w:p>
    <w:p w14:paraId="7A164704" w14:textId="77777777" w:rsidR="005958D5" w:rsidRPr="005958D5" w:rsidRDefault="005958D5" w:rsidP="005958D5">
      <w:pPr>
        <w:numPr>
          <w:ilvl w:val="0"/>
          <w:numId w:val="5"/>
        </w:numPr>
      </w:pPr>
      <w:r w:rsidRPr="005958D5">
        <w:t xml:space="preserve">duration ≈ 10–20 s, </w:t>
      </w:r>
    </w:p>
    <w:p w14:paraId="43AF6AF3" w14:textId="77777777" w:rsidR="005958D5" w:rsidRPr="005958D5" w:rsidRDefault="005958D5" w:rsidP="005958D5">
      <w:pPr>
        <w:numPr>
          <w:ilvl w:val="0"/>
          <w:numId w:val="5"/>
        </w:numPr>
      </w:pPr>
      <w:r w:rsidRPr="005958D5">
        <w:t xml:space="preserve">torso field ≈ 25–40% of the nominal unshielded field at that distance, </w:t>
      </w:r>
    </w:p>
    <w:p w14:paraId="3BA6C7EA" w14:textId="77777777" w:rsidR="005958D5" w:rsidRPr="005958D5" w:rsidRDefault="005958D5" w:rsidP="005958D5">
      <w:pPr>
        <w:numPr>
          <w:ilvl w:val="0"/>
          <w:numId w:val="5"/>
        </w:numPr>
      </w:pPr>
      <w:r w:rsidRPr="005958D5">
        <w:t xml:space="preserve">EPD worn on chest during this phase, </w:t>
      </w:r>
    </w:p>
    <w:p w14:paraId="08503B78" w14:textId="77777777" w:rsidR="005958D5" w:rsidRPr="005958D5" w:rsidRDefault="005958D5" w:rsidP="005958D5">
      <w:pPr>
        <w:numPr>
          <w:ilvl w:val="0"/>
          <w:numId w:val="5"/>
        </w:numPr>
      </w:pPr>
      <w:r w:rsidRPr="005958D5">
        <w:t xml:space="preserve">less obstructed line of sight into the partially exposed source region. </w:t>
      </w:r>
    </w:p>
    <w:p w14:paraId="09062DCF" w14:textId="77777777" w:rsidR="005958D5" w:rsidRPr="005958D5" w:rsidRDefault="005958D5" w:rsidP="005958D5">
      <w:r w:rsidRPr="005958D5">
        <w:t>Nominal field at 0.6 m by inverse square:</w:t>
      </w:r>
    </w:p>
    <w:p w14:paraId="4D180F0D" w14:textId="3FB775CF" w:rsidR="005958D5" w:rsidRPr="005958D5" w:rsidRDefault="00000000" w:rsidP="005958D5">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nominal</m:t>
              </m:r>
            </m:sub>
          </m:sSub>
          <m:r>
            <w:rPr>
              <w:rFonts w:ascii="Cambria Math" w:hAnsi="Cambria Math"/>
            </w:rPr>
            <m:t>(0.6</m:t>
          </m:r>
          <m:r>
            <m:rPr>
              <m:nor/>
            </m:rPr>
            <m:t xml:space="preserve"> m</m:t>
          </m:r>
          <m:r>
            <w:rPr>
              <w:rFonts w:ascii="Cambria Math" w:hAnsi="Cambria Math"/>
            </w:rPr>
            <m:t>)=</m:t>
          </m:r>
          <m:f>
            <m:fPr>
              <m:ctrlPr>
                <w:rPr>
                  <w:rFonts w:ascii="Cambria Math" w:hAnsi="Cambria Math"/>
                </w:rPr>
              </m:ctrlPr>
            </m:fPr>
            <m:num>
              <m:r>
                <w:rPr>
                  <w:rFonts w:ascii="Cambria Math" w:hAnsi="Cambria Math"/>
                </w:rPr>
                <m:t>8.38</m:t>
              </m:r>
            </m:num>
            <m:den>
              <m:sSup>
                <m:sSupPr>
                  <m:ctrlPr>
                    <w:rPr>
                      <w:rFonts w:ascii="Cambria Math" w:hAnsi="Cambria Math"/>
                    </w:rPr>
                  </m:ctrlPr>
                </m:sSupPr>
                <m:e>
                  <m:r>
                    <w:rPr>
                      <w:rFonts w:ascii="Cambria Math" w:hAnsi="Cambria Math"/>
                    </w:rPr>
                    <m:t>0.6</m:t>
                  </m:r>
                </m:e>
                <m:sup>
                  <m:r>
                    <w:rPr>
                      <w:rFonts w:ascii="Cambria Math" w:hAnsi="Cambria Math"/>
                    </w:rPr>
                    <m:t>2</m:t>
                  </m:r>
                </m:sup>
              </m:sSup>
            </m:den>
          </m:f>
          <m:r>
            <m:rPr>
              <m:sty m:val="p"/>
            </m:rPr>
            <w:br/>
          </m:r>
        </m:oMath>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nominal</m:t>
              </m:r>
            </m:sub>
          </m:sSub>
          <m:r>
            <w:rPr>
              <w:rFonts w:ascii="Cambria Math" w:hAnsi="Cambria Math"/>
            </w:rPr>
            <m:t>(0.6</m:t>
          </m:r>
          <m:r>
            <m:rPr>
              <m:nor/>
            </m:rPr>
            <m:t xml:space="preserve"> m</m:t>
          </m:r>
          <m:r>
            <w:rPr>
              <w:rFonts w:ascii="Cambria Math" w:hAnsi="Cambria Math"/>
            </w:rPr>
            <m:t>)=</m:t>
          </m:r>
          <m:f>
            <m:fPr>
              <m:ctrlPr>
                <w:rPr>
                  <w:rFonts w:ascii="Cambria Math" w:hAnsi="Cambria Math"/>
                </w:rPr>
              </m:ctrlPr>
            </m:fPr>
            <m:num>
              <m:r>
                <w:rPr>
                  <w:rFonts w:ascii="Cambria Math" w:hAnsi="Cambria Math"/>
                </w:rPr>
                <m:t>8.38</m:t>
              </m:r>
            </m:num>
            <m:den>
              <m:r>
                <w:rPr>
                  <w:rFonts w:ascii="Cambria Math" w:hAnsi="Cambria Math"/>
                </w:rPr>
                <m:t>0.36</m:t>
              </m:r>
            </m:den>
          </m:f>
          <m:r>
            <w:rPr>
              <w:rFonts w:ascii="Cambria Math" w:hAnsi="Cambria Math"/>
            </w:rPr>
            <m:t>≈23.3</m:t>
          </m:r>
          <m:sSup>
            <m:sSupPr>
              <m:ctrlPr>
                <w:rPr>
                  <w:rFonts w:ascii="Cambria Math" w:hAnsi="Cambria Math"/>
                </w:rPr>
              </m:ctrlPr>
            </m:sSupPr>
            <m:e>
              <m:r>
                <m:rPr>
                  <m:nor/>
                </m:rPr>
                <m:t xml:space="preserve"> Sv h</m:t>
              </m:r>
            </m:e>
            <m:sup>
              <m:r>
                <w:rPr>
                  <w:rFonts w:ascii="Cambria Math" w:hAnsi="Cambria Math"/>
                </w:rPr>
                <m:t>-1</m:t>
              </m:r>
            </m:sup>
          </m:sSup>
          <m:r>
            <m:rPr>
              <m:sty m:val="p"/>
            </m:rPr>
            <w:br/>
          </m:r>
        </m:oMath>
      </m:oMathPara>
    </w:p>
    <w:p w14:paraId="2F06500C" w14:textId="77777777" w:rsidR="005958D5" w:rsidRPr="005958D5" w:rsidRDefault="005958D5" w:rsidP="005958D5">
      <w:r w:rsidRPr="005958D5">
        <w:t>Apply 25–40%:</w:t>
      </w:r>
    </w:p>
    <w:p w14:paraId="2039AC89" w14:textId="58F208E6" w:rsidR="005958D5" w:rsidRPr="005958D5" w:rsidRDefault="00000000" w:rsidP="005958D5">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direct</m:t>
              </m:r>
            </m:sub>
          </m:sSub>
          <m:r>
            <w:rPr>
              <w:rFonts w:ascii="Cambria Math" w:hAnsi="Cambria Math"/>
            </w:rPr>
            <m:t>≈0.25×23.3</m:t>
          </m:r>
          <m:r>
            <m:rPr>
              <m:nor/>
            </m:rPr>
            <m:t xml:space="preserve"> to </m:t>
          </m:r>
          <m:r>
            <w:rPr>
              <w:rFonts w:ascii="Cambria Math" w:hAnsi="Cambria Math"/>
            </w:rPr>
            <m:t>0.40×23.3</m:t>
          </m:r>
          <m:r>
            <w:br/>
          </m:r>
        </m:oMath>
        <m:oMath>
          <m:sSub>
            <m:sSubPr>
              <m:ctrlPr>
                <w:rPr>
                  <w:rFonts w:ascii="Cambria Math" w:hAnsi="Cambria Math"/>
                </w:rPr>
              </m:ctrlPr>
            </m:sSubPr>
            <m:e>
              <m:acc>
                <m:accPr>
                  <m:chr m:val="̇"/>
                  <m:ctrlPr>
                    <w:rPr>
                      <w:rFonts w:ascii="Cambria Math" w:hAnsi="Cambria Math"/>
                    </w:rPr>
                  </m:ctrlPr>
                </m:accPr>
                <m:e>
                  <m:r>
                    <w:rPr>
                      <w:rFonts w:ascii="Cambria Math" w:hAnsi="Cambria Math"/>
                    </w:rPr>
                    <m:t>H</m:t>
                  </m:r>
                </m:e>
              </m:acc>
            </m:e>
            <m:sub>
              <m:r>
                <m:rPr>
                  <m:nor/>
                </m:rPr>
                <m:t>direct</m:t>
              </m:r>
            </m:sub>
          </m:sSub>
          <m:r>
            <w:rPr>
              <w:rFonts w:ascii="Cambria Math" w:hAnsi="Cambria Math"/>
            </w:rPr>
            <m:t>≈5.8</m:t>
          </m:r>
          <m:r>
            <m:rPr>
              <m:nor/>
            </m:rPr>
            <m:t xml:space="preserve"> to </m:t>
          </m:r>
          <m:r>
            <w:rPr>
              <w:rFonts w:ascii="Cambria Math" w:hAnsi="Cambria Math"/>
            </w:rPr>
            <m:t>9.3</m:t>
          </m:r>
          <m:sSup>
            <m:sSupPr>
              <m:ctrlPr>
                <w:rPr>
                  <w:rFonts w:ascii="Cambria Math" w:hAnsi="Cambria Math"/>
                </w:rPr>
              </m:ctrlPr>
            </m:sSupPr>
            <m:e>
              <m:r>
                <m:rPr>
                  <m:nor/>
                </m:rPr>
                <m:t xml:space="preserve"> Sv h</m:t>
              </m:r>
            </m:e>
            <m:sup>
              <m:r>
                <w:rPr>
                  <w:rFonts w:ascii="Cambria Math" w:hAnsi="Cambria Math"/>
                </w:rPr>
                <m:t>-1</m:t>
              </m:r>
            </m:sup>
          </m:sSup>
          <m:r>
            <m:rPr>
              <m:sty m:val="p"/>
            </m:rPr>
            <w:br/>
          </m:r>
        </m:oMath>
      </m:oMathPara>
    </w:p>
    <w:p w14:paraId="5F9CC4E1" w14:textId="77777777" w:rsidR="005958D5" w:rsidRPr="005958D5" w:rsidRDefault="005958D5" w:rsidP="005958D5">
      <w:r w:rsidRPr="005958D5">
        <w:t xml:space="preserve">So a defensible dose-rate band is about </w:t>
      </w:r>
      <w:r w:rsidRPr="005958D5">
        <w:rPr>
          <w:b/>
          <w:bCs/>
        </w:rPr>
        <w:t>5.8–9.3 Sv h^-1</w:t>
      </w:r>
      <w:r w:rsidRPr="005958D5">
        <w:t xml:space="preserve">, which may reasonably be rounded to </w:t>
      </w:r>
      <w:r w:rsidRPr="005958D5">
        <w:rPr>
          <w:b/>
          <w:bCs/>
        </w:rPr>
        <w:t>5–9 Sv h^-1</w:t>
      </w:r>
      <w:r w:rsidRPr="005958D5">
        <w:t xml:space="preserve"> in marker guidance.</w:t>
      </w:r>
    </w:p>
    <w:p w14:paraId="1C39E606" w14:textId="77777777" w:rsidR="005958D5" w:rsidRPr="005958D5" w:rsidRDefault="005958D5" w:rsidP="005958D5">
      <w:r w:rsidRPr="005958D5">
        <w:t>Dose contribution over 10–20 s:</w:t>
      </w:r>
    </w:p>
    <w:p w14:paraId="743A3870" w14:textId="77777777" w:rsidR="005958D5" w:rsidRPr="005958D5" w:rsidRDefault="005958D5" w:rsidP="005958D5">
      <w:r w:rsidRPr="005958D5">
        <w:t>Lower bound:</w:t>
      </w:r>
    </w:p>
    <w:p w14:paraId="78940CBB" w14:textId="6B22AD32" w:rsidR="005958D5" w:rsidRPr="005958D5" w:rsidRDefault="005958D5" w:rsidP="005958D5">
      <m:oMathPara>
        <m:oMath>
          <m:r>
            <w:rPr>
              <w:rFonts w:ascii="Cambria Math" w:hAnsi="Cambria Math"/>
            </w:rPr>
            <w:lastRenderedPageBreak/>
            <m:t>5.8×</m:t>
          </m:r>
          <m:f>
            <m:fPr>
              <m:ctrlPr>
                <w:rPr>
                  <w:rFonts w:ascii="Cambria Math" w:hAnsi="Cambria Math"/>
                </w:rPr>
              </m:ctrlPr>
            </m:fPr>
            <m:num>
              <m:r>
                <w:rPr>
                  <w:rFonts w:ascii="Cambria Math" w:hAnsi="Cambria Math"/>
                </w:rPr>
                <m:t>10</m:t>
              </m:r>
            </m:num>
            <m:den>
              <m:r>
                <w:rPr>
                  <w:rFonts w:ascii="Cambria Math" w:hAnsi="Cambria Math"/>
                </w:rPr>
                <m:t>3600</m:t>
              </m:r>
            </m:den>
          </m:f>
          <m:r>
            <w:rPr>
              <w:rFonts w:ascii="Cambria Math" w:hAnsi="Cambria Math"/>
            </w:rPr>
            <m:t>≈0.016</m:t>
          </m:r>
          <m:r>
            <m:rPr>
              <m:nor/>
            </m:rPr>
            <m:t xml:space="preserve"> Sv</m:t>
          </m:r>
          <m:r>
            <w:rPr>
              <w:rFonts w:ascii="Cambria Math" w:hAnsi="Cambria Math"/>
            </w:rPr>
            <m:t>≈16</m:t>
          </m:r>
          <m:r>
            <m:rPr>
              <m:nor/>
            </m:rPr>
            <m:t xml:space="preserve"> mSv</m:t>
          </m:r>
          <m:r>
            <m:rPr>
              <m:sty m:val="p"/>
            </m:rPr>
            <w:br/>
          </m:r>
        </m:oMath>
      </m:oMathPara>
    </w:p>
    <w:p w14:paraId="62B95F70" w14:textId="77777777" w:rsidR="005958D5" w:rsidRPr="005958D5" w:rsidRDefault="005958D5" w:rsidP="005958D5">
      <w:r w:rsidRPr="005958D5">
        <w:t>Upper bound:</w:t>
      </w:r>
    </w:p>
    <w:p w14:paraId="7C8F2F1D" w14:textId="22B4D51D" w:rsidR="005958D5" w:rsidRPr="005958D5" w:rsidRDefault="005958D5" w:rsidP="005958D5">
      <m:oMathPara>
        <m:oMath>
          <m:r>
            <w:rPr>
              <w:rFonts w:ascii="Cambria Math" w:hAnsi="Cambria Math"/>
            </w:rPr>
            <m:t>9.3×</m:t>
          </m:r>
          <m:f>
            <m:fPr>
              <m:ctrlPr>
                <w:rPr>
                  <w:rFonts w:ascii="Cambria Math" w:hAnsi="Cambria Math"/>
                </w:rPr>
              </m:ctrlPr>
            </m:fPr>
            <m:num>
              <m:r>
                <w:rPr>
                  <w:rFonts w:ascii="Cambria Math" w:hAnsi="Cambria Math"/>
                </w:rPr>
                <m:t>20</m:t>
              </m:r>
            </m:num>
            <m:den>
              <m:r>
                <w:rPr>
                  <w:rFonts w:ascii="Cambria Math" w:hAnsi="Cambria Math"/>
                </w:rPr>
                <m:t>3600</m:t>
              </m:r>
            </m:den>
          </m:f>
          <m:r>
            <w:rPr>
              <w:rFonts w:ascii="Cambria Math" w:hAnsi="Cambria Math"/>
            </w:rPr>
            <m:t>≈0.0517</m:t>
          </m:r>
          <m:r>
            <m:rPr>
              <m:nor/>
            </m:rPr>
            <m:t xml:space="preserve"> Sv</m:t>
          </m:r>
          <m:r>
            <w:rPr>
              <w:rFonts w:ascii="Cambria Math" w:hAnsi="Cambria Math"/>
            </w:rPr>
            <m:t>≈52</m:t>
          </m:r>
          <m:r>
            <m:rPr>
              <m:nor/>
            </m:rPr>
            <m:t xml:space="preserve"> mSv</m:t>
          </m:r>
          <m:r>
            <m:rPr>
              <m:sty m:val="p"/>
            </m:rPr>
            <w:br/>
          </m:r>
        </m:oMath>
      </m:oMathPara>
    </w:p>
    <w:p w14:paraId="1C0F6D2A" w14:textId="77777777" w:rsidR="005958D5" w:rsidRPr="005958D5" w:rsidRDefault="005958D5" w:rsidP="005958D5">
      <w:r w:rsidRPr="005958D5">
        <w:t xml:space="preserve">So a defensible contribution from this phase is about </w:t>
      </w:r>
      <w:r w:rsidRPr="005958D5">
        <w:rPr>
          <w:b/>
          <w:bCs/>
        </w:rPr>
        <w:t>16–52 mSv</w:t>
      </w:r>
      <w:r w:rsidRPr="005958D5">
        <w:t>, again consistent in order with the current E draft solution.</w:t>
      </w:r>
    </w:p>
    <w:p w14:paraId="16DBA107" w14:textId="77777777" w:rsidR="005958D5" w:rsidRPr="005958D5" w:rsidRDefault="005958D5" w:rsidP="005958D5">
      <w:pPr>
        <w:rPr>
          <w:b/>
          <w:bCs/>
        </w:rPr>
      </w:pPr>
      <w:r w:rsidRPr="005958D5">
        <w:rPr>
          <w:b/>
          <w:bCs/>
        </w:rPr>
        <w:t>2.6 Effective dose estimate</w:t>
      </w:r>
    </w:p>
    <w:p w14:paraId="02BD48F0" w14:textId="77777777" w:rsidR="005958D5" w:rsidRPr="005958D5" w:rsidRDefault="005958D5" w:rsidP="005958D5">
      <w:r w:rsidRPr="005958D5">
        <w:t>A useful central worked example is:</w:t>
      </w:r>
    </w:p>
    <w:p w14:paraId="32A3C5ED" w14:textId="77777777" w:rsidR="005958D5" w:rsidRPr="005958D5" w:rsidRDefault="005958D5" w:rsidP="005958D5">
      <w:pPr>
        <w:numPr>
          <w:ilvl w:val="0"/>
          <w:numId w:val="6"/>
        </w:numPr>
      </w:pPr>
      <w:r w:rsidRPr="005958D5">
        <w:t xml:space="preserve">initial investigation phase: 75 s at 1.3 Sv h^-1 </w:t>
      </w:r>
    </w:p>
    <w:p w14:paraId="4FECEB6B" w14:textId="77777777" w:rsidR="005958D5" w:rsidRPr="005958D5" w:rsidRDefault="005958D5" w:rsidP="005958D5">
      <w:pPr>
        <w:numPr>
          <w:ilvl w:val="0"/>
          <w:numId w:val="6"/>
        </w:numPr>
      </w:pPr>
      <w:r w:rsidRPr="005958D5">
        <w:t xml:space="preserve">direct inspection phase: 15 s at 6.8 Sv h^-1 </w:t>
      </w:r>
    </w:p>
    <w:p w14:paraId="4F103BF1" w14:textId="77777777" w:rsidR="005958D5" w:rsidRPr="005958D5" w:rsidRDefault="005958D5" w:rsidP="005958D5">
      <w:r w:rsidRPr="005958D5">
        <w:t>Initial phase dose:</w:t>
      </w:r>
    </w:p>
    <w:p w14:paraId="3CD85EBF" w14:textId="1D12F7CD" w:rsidR="005958D5" w:rsidRPr="005958D5" w:rsidRDefault="005958D5" w:rsidP="005958D5">
      <m:oMathPara>
        <m:oMath>
          <m:r>
            <w:rPr>
              <w:rFonts w:ascii="Cambria Math" w:hAnsi="Cambria Math"/>
            </w:rPr>
            <m:t>1.3×</m:t>
          </m:r>
          <m:f>
            <m:fPr>
              <m:ctrlPr>
                <w:rPr>
                  <w:rFonts w:ascii="Cambria Math" w:hAnsi="Cambria Math"/>
                </w:rPr>
              </m:ctrlPr>
            </m:fPr>
            <m:num>
              <m:r>
                <w:rPr>
                  <w:rFonts w:ascii="Cambria Math" w:hAnsi="Cambria Math"/>
                </w:rPr>
                <m:t>75</m:t>
              </m:r>
            </m:num>
            <m:den>
              <m:r>
                <w:rPr>
                  <w:rFonts w:ascii="Cambria Math" w:hAnsi="Cambria Math"/>
                </w:rPr>
                <m:t>3600</m:t>
              </m:r>
            </m:den>
          </m:f>
          <m:r>
            <w:rPr>
              <w:rFonts w:ascii="Cambria Math" w:hAnsi="Cambria Math"/>
            </w:rPr>
            <m:t>≈0.0271</m:t>
          </m:r>
          <m:r>
            <m:rPr>
              <m:nor/>
            </m:rPr>
            <m:t xml:space="preserve"> Sv</m:t>
          </m:r>
          <m:r>
            <w:rPr>
              <w:rFonts w:ascii="Cambria Math" w:hAnsi="Cambria Math"/>
            </w:rPr>
            <m:t>=27.1</m:t>
          </m:r>
          <m:r>
            <m:rPr>
              <m:nor/>
            </m:rPr>
            <m:t xml:space="preserve"> mSv</m:t>
          </m:r>
          <m:r>
            <m:rPr>
              <m:sty m:val="p"/>
            </m:rPr>
            <w:br/>
          </m:r>
        </m:oMath>
      </m:oMathPara>
    </w:p>
    <w:p w14:paraId="53B7A931" w14:textId="77777777" w:rsidR="005958D5" w:rsidRPr="005958D5" w:rsidRDefault="005958D5" w:rsidP="005958D5">
      <w:r w:rsidRPr="005958D5">
        <w:t>Direct phase dose:</w:t>
      </w:r>
    </w:p>
    <w:p w14:paraId="47E2948B" w14:textId="73FA7FA7" w:rsidR="005958D5" w:rsidRPr="005958D5" w:rsidRDefault="005958D5" w:rsidP="005958D5">
      <m:oMathPara>
        <m:oMath>
          <m:r>
            <w:rPr>
              <w:rFonts w:ascii="Cambria Math" w:hAnsi="Cambria Math"/>
            </w:rPr>
            <m:t>6.8×</m:t>
          </m:r>
          <m:f>
            <m:fPr>
              <m:ctrlPr>
                <w:rPr>
                  <w:rFonts w:ascii="Cambria Math" w:hAnsi="Cambria Math"/>
                </w:rPr>
              </m:ctrlPr>
            </m:fPr>
            <m:num>
              <m:r>
                <w:rPr>
                  <w:rFonts w:ascii="Cambria Math" w:hAnsi="Cambria Math"/>
                </w:rPr>
                <m:t>15</m:t>
              </m:r>
            </m:num>
            <m:den>
              <m:r>
                <w:rPr>
                  <w:rFonts w:ascii="Cambria Math" w:hAnsi="Cambria Math"/>
                </w:rPr>
                <m:t>3600</m:t>
              </m:r>
            </m:den>
          </m:f>
          <m:r>
            <w:rPr>
              <w:rFonts w:ascii="Cambria Math" w:hAnsi="Cambria Math"/>
            </w:rPr>
            <m:t>≈0.0283</m:t>
          </m:r>
          <m:r>
            <m:rPr>
              <m:nor/>
            </m:rPr>
            <m:t xml:space="preserve"> Sv</m:t>
          </m:r>
          <m:r>
            <w:rPr>
              <w:rFonts w:ascii="Cambria Math" w:hAnsi="Cambria Math"/>
            </w:rPr>
            <m:t>=28.3</m:t>
          </m:r>
          <m:r>
            <m:rPr>
              <m:nor/>
            </m:rPr>
            <m:t xml:space="preserve"> mSv</m:t>
          </m:r>
          <m:r>
            <m:rPr>
              <m:sty m:val="p"/>
            </m:rPr>
            <w:br/>
          </m:r>
        </m:oMath>
      </m:oMathPara>
    </w:p>
    <w:p w14:paraId="5A6966DF" w14:textId="77777777" w:rsidR="005958D5" w:rsidRPr="005958D5" w:rsidRDefault="005958D5" w:rsidP="005958D5">
      <w:r w:rsidRPr="005958D5">
        <w:t>Total:</w:t>
      </w:r>
    </w:p>
    <w:p w14:paraId="189C52B4" w14:textId="5CEBA66A" w:rsidR="005958D5" w:rsidRPr="005958D5" w:rsidRDefault="005958D5" w:rsidP="005958D5">
      <m:oMathPara>
        <m:oMath>
          <m:r>
            <w:rPr>
              <w:rFonts w:ascii="Cambria Math" w:hAnsi="Cambria Math"/>
            </w:rPr>
            <m:t>≈55.4</m:t>
          </m:r>
          <m:r>
            <m:rPr>
              <m:nor/>
            </m:rPr>
            <m:t xml:space="preserve"> mSv</m:t>
          </m:r>
          <m:r>
            <m:rPr>
              <m:sty m:val="p"/>
            </m:rPr>
            <w:br/>
          </m:r>
        </m:oMath>
      </m:oMathPara>
    </w:p>
    <w:p w14:paraId="401D8720" w14:textId="77777777" w:rsidR="005958D5" w:rsidRPr="005958D5" w:rsidRDefault="005958D5" w:rsidP="005958D5">
      <w:r w:rsidRPr="005958D5">
        <w:t>That is a slightly upper-central example. A more moderate central estimate, for example 70 s at 1.1 Sv h^-1 plus 12 s at 6.0 Sv h^-1, gives:</w:t>
      </w:r>
    </w:p>
    <w:p w14:paraId="47D5B842" w14:textId="21C7BD70" w:rsidR="005958D5" w:rsidRPr="005958D5" w:rsidRDefault="005958D5" w:rsidP="005958D5">
      <m:oMathPara>
        <m:oMath>
          <m:r>
            <w:rPr>
              <w:rFonts w:ascii="Cambria Math" w:hAnsi="Cambria Math"/>
            </w:rPr>
            <m:t>1.1×</m:t>
          </m:r>
          <m:f>
            <m:fPr>
              <m:ctrlPr>
                <w:rPr>
                  <w:rFonts w:ascii="Cambria Math" w:hAnsi="Cambria Math"/>
                </w:rPr>
              </m:ctrlPr>
            </m:fPr>
            <m:num>
              <m:r>
                <w:rPr>
                  <w:rFonts w:ascii="Cambria Math" w:hAnsi="Cambria Math"/>
                </w:rPr>
                <m:t>70</m:t>
              </m:r>
            </m:num>
            <m:den>
              <m:r>
                <w:rPr>
                  <w:rFonts w:ascii="Cambria Math" w:hAnsi="Cambria Math"/>
                </w:rPr>
                <m:t>3600</m:t>
              </m:r>
            </m:den>
          </m:f>
          <m:r>
            <w:rPr>
              <w:rFonts w:ascii="Cambria Math" w:hAnsi="Cambria Math"/>
            </w:rPr>
            <m:t>≈21.4</m:t>
          </m:r>
          <m:r>
            <m:rPr>
              <m:nor/>
            </m:rPr>
            <m:t xml:space="preserve"> mSv</m:t>
          </m:r>
          <m:r>
            <m:rPr>
              <m:sty m:val="p"/>
            </m:rPr>
            <w:br/>
          </m:r>
        </m:oMath>
        <m:oMath>
          <m:r>
            <w:rPr>
              <w:rFonts w:ascii="Cambria Math" w:hAnsi="Cambria Math"/>
            </w:rPr>
            <m:t>6.0×</m:t>
          </m:r>
          <m:f>
            <m:fPr>
              <m:ctrlPr>
                <w:rPr>
                  <w:rFonts w:ascii="Cambria Math" w:hAnsi="Cambria Math"/>
                </w:rPr>
              </m:ctrlPr>
            </m:fPr>
            <m:num>
              <m:r>
                <w:rPr>
                  <w:rFonts w:ascii="Cambria Math" w:hAnsi="Cambria Math"/>
                </w:rPr>
                <m:t>12</m:t>
              </m:r>
            </m:num>
            <m:den>
              <m:r>
                <w:rPr>
                  <w:rFonts w:ascii="Cambria Math" w:hAnsi="Cambria Math"/>
                </w:rPr>
                <m:t>3600</m:t>
              </m:r>
            </m:den>
          </m:f>
          <m:r>
            <w:rPr>
              <w:rFonts w:ascii="Cambria Math" w:hAnsi="Cambria Math"/>
            </w:rPr>
            <m:t>≈20.0</m:t>
          </m:r>
          <m:r>
            <m:rPr>
              <m:nor/>
            </m:rPr>
            <m:t xml:space="preserve"> mSv</m:t>
          </m:r>
          <m:r>
            <m:rPr>
              <m:sty m:val="p"/>
            </m:rPr>
            <w:br/>
          </m:r>
        </m:oMath>
        <m:oMath>
          <m:r>
            <m:rPr>
              <m:nor/>
            </m:rPr>
            <m:t>Total</m:t>
          </m:r>
          <m:r>
            <w:rPr>
              <w:rFonts w:ascii="Cambria Math" w:hAnsi="Cambria Math"/>
            </w:rPr>
            <m:t>≈41.4</m:t>
          </m:r>
          <m:r>
            <m:rPr>
              <m:nor/>
            </m:rPr>
            <m:t xml:space="preserve"> mSv</m:t>
          </m:r>
          <m:r>
            <m:rPr>
              <m:sty m:val="p"/>
            </m:rPr>
            <w:br/>
          </m:r>
        </m:oMath>
      </m:oMathPara>
    </w:p>
    <w:p w14:paraId="6D0A8973" w14:textId="77777777" w:rsidR="005958D5" w:rsidRPr="005958D5" w:rsidRDefault="005958D5" w:rsidP="005958D5">
      <w:r w:rsidRPr="005958D5">
        <w:t xml:space="preserve">That second example is especially useful because it lands very close to the recorded EPD dose. Indicative interpretation for markers: a good report will often land near </w:t>
      </w:r>
      <w:r w:rsidRPr="005958D5">
        <w:rPr>
          <w:b/>
          <w:bCs/>
        </w:rPr>
        <w:t>35–55 mSv</w:t>
      </w:r>
      <w:r w:rsidRPr="005958D5">
        <w:t xml:space="preserve">, while a broader range around </w:t>
      </w:r>
      <w:r w:rsidRPr="005958D5">
        <w:rPr>
          <w:b/>
          <w:bCs/>
        </w:rPr>
        <w:t>25–70 mSv</w:t>
      </w:r>
      <w:r w:rsidRPr="005958D5">
        <w:t xml:space="preserve"> can still be acceptable where assumptions are explicit and internally consistent. The draft E solution already supports those boundaries.</w:t>
      </w:r>
    </w:p>
    <w:p w14:paraId="4847F9F0" w14:textId="77777777" w:rsidR="005958D5" w:rsidRPr="005958D5" w:rsidRDefault="00000000" w:rsidP="005958D5">
      <w:r>
        <w:pict w14:anchorId="75EDA25F">
          <v:rect id="_x0000_i1028" style="width:0;height:1.5pt" o:hralign="center" o:hrstd="t" o:hr="t" fillcolor="#a0a0a0" stroked="f"/>
        </w:pict>
      </w:r>
    </w:p>
    <w:p w14:paraId="0C4C3B17" w14:textId="77777777" w:rsidR="005958D5" w:rsidRPr="005958D5" w:rsidRDefault="005958D5" w:rsidP="005958D5">
      <w:pPr>
        <w:rPr>
          <w:b/>
          <w:bCs/>
        </w:rPr>
      </w:pPr>
      <w:r w:rsidRPr="005958D5">
        <w:rPr>
          <w:b/>
          <w:bCs/>
        </w:rPr>
        <w:t>3. Comparison with recorded dosimetry</w:t>
      </w:r>
    </w:p>
    <w:p w14:paraId="63839F18" w14:textId="77777777" w:rsidR="005958D5" w:rsidRPr="005958D5" w:rsidRDefault="005958D5" w:rsidP="005958D5">
      <w:r w:rsidRPr="005958D5">
        <w:t>Recorded values are:</w:t>
      </w:r>
    </w:p>
    <w:p w14:paraId="4B7B4F55" w14:textId="77777777" w:rsidR="005958D5" w:rsidRPr="005958D5" w:rsidRDefault="005958D5" w:rsidP="005958D5">
      <w:pPr>
        <w:numPr>
          <w:ilvl w:val="0"/>
          <w:numId w:val="7"/>
        </w:numPr>
      </w:pPr>
      <w:r w:rsidRPr="005958D5">
        <w:lastRenderedPageBreak/>
        <w:t xml:space="preserve">EPD dose = 41.2 mSv </w:t>
      </w:r>
    </w:p>
    <w:p w14:paraId="549F5422" w14:textId="77777777" w:rsidR="005958D5" w:rsidRPr="005958D5" w:rsidRDefault="005958D5" w:rsidP="005958D5">
      <w:pPr>
        <w:numPr>
          <w:ilvl w:val="0"/>
          <w:numId w:val="7"/>
        </w:numPr>
      </w:pPr>
      <w:r w:rsidRPr="005958D5">
        <w:t xml:space="preserve">EPD peak dose-rate = 4.5 Sv h^-1 </w:t>
      </w:r>
    </w:p>
    <w:p w14:paraId="7F6B7789" w14:textId="77777777" w:rsidR="005958D5" w:rsidRPr="005958D5" w:rsidRDefault="005958D5" w:rsidP="005958D5">
      <w:pPr>
        <w:numPr>
          <w:ilvl w:val="0"/>
          <w:numId w:val="7"/>
        </w:numPr>
      </w:pPr>
      <w:r w:rsidRPr="005958D5">
        <w:t xml:space="preserve">TLD dose = 63.5 mSv. </w:t>
      </w:r>
    </w:p>
    <w:p w14:paraId="58D5C525" w14:textId="77777777" w:rsidR="005958D5" w:rsidRPr="005958D5" w:rsidRDefault="005958D5" w:rsidP="005958D5">
      <w:r w:rsidRPr="005958D5">
        <w:t xml:space="preserve">A student estimate close to the EPD value is entirely plausible. The TLD being larger than the EPD is not a problem; in fact, it is one of the most interesting aspects of the case and should be rewarded when discussed properly. A particularly important point here, stronger than in A, is that the operator </w:t>
      </w:r>
      <w:r w:rsidRPr="005958D5">
        <w:rPr>
          <w:b/>
          <w:bCs/>
        </w:rPr>
        <w:t>was not wearing the EPD during the initial 60–90 s investigation phase</w:t>
      </w:r>
      <w:r w:rsidRPr="005958D5">
        <w:t xml:space="preserve">. The TLD, however, was worn at waist level throughout. That alone strongly supports a larger integrated TLD dose than EPD dose. </w:t>
      </w:r>
    </w:p>
    <w:p w14:paraId="1BF8F862" w14:textId="77777777" w:rsidR="005958D5" w:rsidRPr="005958D5" w:rsidRDefault="005958D5" w:rsidP="005958D5">
      <w:r w:rsidRPr="005958D5">
        <w:t>Additional credit should be given for discussion of:</w:t>
      </w:r>
    </w:p>
    <w:p w14:paraId="395D7635" w14:textId="77777777" w:rsidR="005958D5" w:rsidRPr="005958D5" w:rsidRDefault="005958D5" w:rsidP="005958D5">
      <w:pPr>
        <w:numPr>
          <w:ilvl w:val="0"/>
          <w:numId w:val="8"/>
        </w:numPr>
      </w:pPr>
      <w:r w:rsidRPr="005958D5">
        <w:t xml:space="preserve">strong field non-uniformity, </w:t>
      </w:r>
    </w:p>
    <w:p w14:paraId="518CA858" w14:textId="77777777" w:rsidR="005958D5" w:rsidRPr="005958D5" w:rsidRDefault="005958D5" w:rsidP="005958D5">
      <w:pPr>
        <w:numPr>
          <w:ilvl w:val="0"/>
          <w:numId w:val="8"/>
        </w:numPr>
      </w:pPr>
      <w:r w:rsidRPr="005958D5">
        <w:t xml:space="preserve">differences between waist-level and chest-level dosimeter positions, </w:t>
      </w:r>
    </w:p>
    <w:p w14:paraId="1C2310B0" w14:textId="77777777" w:rsidR="005958D5" w:rsidRPr="005958D5" w:rsidRDefault="005958D5" w:rsidP="005958D5">
      <w:pPr>
        <w:numPr>
          <w:ilvl w:val="0"/>
          <w:numId w:val="8"/>
        </w:numPr>
      </w:pPr>
      <w:r w:rsidRPr="005958D5">
        <w:t xml:space="preserve">posture change as the operator leaned into a less obstructed line of sight, </w:t>
      </w:r>
    </w:p>
    <w:p w14:paraId="0843E5D1" w14:textId="77777777" w:rsidR="005958D5" w:rsidRPr="005958D5" w:rsidRDefault="005958D5" w:rsidP="005958D5">
      <w:pPr>
        <w:numPr>
          <w:ilvl w:val="0"/>
          <w:numId w:val="8"/>
        </w:numPr>
      </w:pPr>
      <w:r w:rsidRPr="005958D5">
        <w:t xml:space="preserve">attenuation by the drawer assembly and internal structures, </w:t>
      </w:r>
    </w:p>
    <w:p w14:paraId="2FD4270B" w14:textId="77777777" w:rsidR="005958D5" w:rsidRPr="005958D5" w:rsidRDefault="005958D5" w:rsidP="005958D5">
      <w:pPr>
        <w:numPr>
          <w:ilvl w:val="0"/>
          <w:numId w:val="8"/>
        </w:numPr>
      </w:pPr>
      <w:r w:rsidRPr="005958D5">
        <w:t xml:space="preserve">the fact that the chest EPD only sampled the later part of the exposure sequence, </w:t>
      </w:r>
    </w:p>
    <w:p w14:paraId="78EA9999" w14:textId="77777777" w:rsidR="005958D5" w:rsidRPr="005958D5" w:rsidRDefault="005958D5" w:rsidP="005958D5">
      <w:pPr>
        <w:numPr>
          <w:ilvl w:val="0"/>
          <w:numId w:val="8"/>
        </w:numPr>
      </w:pPr>
      <w:r w:rsidRPr="005958D5">
        <w:t xml:space="preserve">the possibility that a rapidly changing shine field may not be perfectly represented by a single dosimeter trace. </w:t>
      </w:r>
    </w:p>
    <w:p w14:paraId="5B138328" w14:textId="77777777" w:rsidR="005958D5" w:rsidRPr="005958D5" w:rsidRDefault="005958D5" w:rsidP="005958D5">
      <w:r w:rsidRPr="005958D5">
        <w:t>The best answers will explain discrepancy qualitatively rather than forcing exact numerical agreement. That is entirely consistent with the general marking philosophy used in A and in the rubric.</w:t>
      </w:r>
    </w:p>
    <w:p w14:paraId="169B8A0C" w14:textId="77777777" w:rsidR="005958D5" w:rsidRPr="005958D5" w:rsidRDefault="00000000" w:rsidP="005958D5">
      <w:r>
        <w:pict w14:anchorId="387B0E19">
          <v:rect id="_x0000_i1029" style="width:0;height:1.5pt" o:hralign="center" o:hrstd="t" o:hr="t" fillcolor="#a0a0a0" stroked="f"/>
        </w:pict>
      </w:r>
    </w:p>
    <w:p w14:paraId="680BB324" w14:textId="77777777" w:rsidR="005958D5" w:rsidRPr="005958D5" w:rsidRDefault="005958D5" w:rsidP="005958D5">
      <w:pPr>
        <w:rPr>
          <w:b/>
          <w:bCs/>
        </w:rPr>
      </w:pPr>
      <w:r w:rsidRPr="005958D5">
        <w:rPr>
          <w:b/>
          <w:bCs/>
        </w:rPr>
        <w:t>4. Health implications</w:t>
      </w:r>
    </w:p>
    <w:p w14:paraId="23E4628B" w14:textId="67C09377" w:rsidR="005958D5" w:rsidRDefault="005958D5" w:rsidP="005958D5">
      <w:r w:rsidRPr="005958D5">
        <w:t xml:space="preserve">An effective dose of a few tens of millisievert is well above normal occupational expectations and above the annual effective dose limit for most classified workers under routine conditions, so the event is radiologically significant and warrants formal investigation and occupational health follow-up. At the same time, whole-body doses in this range would </w:t>
      </w:r>
      <w:r w:rsidRPr="005958D5">
        <w:rPr>
          <w:b/>
          <w:bCs/>
        </w:rPr>
        <w:t>not normally be expected to cause acute radiation syndrome</w:t>
      </w:r>
      <w:r w:rsidRPr="005958D5">
        <w:t xml:space="preserve"> or prompt whole-body tissue reactions. Students should not overstate immediate medical injury.</w:t>
      </w:r>
    </w:p>
    <w:p w14:paraId="1599EDAF" w14:textId="6EF41582" w:rsidR="004305D7" w:rsidRPr="005958D5" w:rsidRDefault="004305D7" w:rsidP="005958D5">
      <w:r>
        <w:t xml:space="preserve">The absence of </w:t>
      </w:r>
      <w:r w:rsidR="00811BF8">
        <w:t xml:space="preserve">erythema indicates hand doses &lt;2 Gy. </w:t>
      </w:r>
    </w:p>
    <w:p w14:paraId="0BA528A5" w14:textId="77777777" w:rsidR="005958D5" w:rsidRPr="005958D5" w:rsidRDefault="005958D5" w:rsidP="005958D5">
      <w:r w:rsidRPr="005958D5">
        <w:t>The main radiological consequence is an increased stochastic risk, principally cancer risk, together with the operational, regulatory and organisational significance of the event. Reward balanced discussion: medically notable, but not a whole-body deterministic injury case. That tone matches the A benchmark and is appropriate to the E dose range.</w:t>
      </w:r>
    </w:p>
    <w:p w14:paraId="5A14F39E" w14:textId="77777777" w:rsidR="005958D5" w:rsidRPr="005958D5" w:rsidRDefault="00000000" w:rsidP="005958D5">
      <w:r>
        <w:pict w14:anchorId="63D8AB06">
          <v:rect id="_x0000_i1030" style="width:0;height:1.5pt" o:hralign="center" o:hrstd="t" o:hr="t" fillcolor="#a0a0a0" stroked="f"/>
        </w:pict>
      </w:r>
    </w:p>
    <w:p w14:paraId="70D2DEA5" w14:textId="77777777" w:rsidR="005958D5" w:rsidRPr="005958D5" w:rsidRDefault="005958D5" w:rsidP="005958D5">
      <w:pPr>
        <w:rPr>
          <w:b/>
          <w:bCs/>
        </w:rPr>
      </w:pPr>
      <w:r w:rsidRPr="005958D5">
        <w:rPr>
          <w:b/>
          <w:bCs/>
        </w:rPr>
        <w:t>5. IRR17 compliance issues likely to be discussed</w:t>
      </w:r>
    </w:p>
    <w:p w14:paraId="64B44F82" w14:textId="77777777" w:rsidR="005958D5" w:rsidRPr="005958D5" w:rsidRDefault="005958D5" w:rsidP="005958D5">
      <w:r w:rsidRPr="005958D5">
        <w:t>Likely issues include:</w:t>
      </w:r>
    </w:p>
    <w:p w14:paraId="745B19E5" w14:textId="77777777" w:rsidR="005958D5" w:rsidRPr="005958D5" w:rsidRDefault="005958D5" w:rsidP="005958D5">
      <w:pPr>
        <w:numPr>
          <w:ilvl w:val="0"/>
          <w:numId w:val="9"/>
        </w:numPr>
      </w:pPr>
      <w:r w:rsidRPr="005958D5">
        <w:lastRenderedPageBreak/>
        <w:t xml:space="preserve">Failure to maintain engineering controls and safety features in an efficient state, in efficient working order and in good repair, given the degraded shutter return spring, unreliable drawer position sensing and absence of formal maintenance intervention. </w:t>
      </w:r>
    </w:p>
    <w:p w14:paraId="65FD6711" w14:textId="77777777" w:rsidR="005958D5" w:rsidRPr="005958D5" w:rsidRDefault="005958D5" w:rsidP="005958D5">
      <w:pPr>
        <w:numPr>
          <w:ilvl w:val="0"/>
          <w:numId w:val="9"/>
        </w:numPr>
      </w:pPr>
      <w:r w:rsidRPr="005958D5">
        <w:t xml:space="preserve">Failure adequately to restrict exposure so far as reasonably practicable, because unsafe access was allowed under a degraded plant state. </w:t>
      </w:r>
    </w:p>
    <w:p w14:paraId="4567E133" w14:textId="77777777" w:rsidR="005958D5" w:rsidRPr="005958D5" w:rsidRDefault="005958D5" w:rsidP="005958D5">
      <w:pPr>
        <w:numPr>
          <w:ilvl w:val="0"/>
          <w:numId w:val="9"/>
        </w:numPr>
      </w:pPr>
      <w:r w:rsidRPr="005958D5">
        <w:t xml:space="preserve">Deficiencies in defect management, maintenance escalation and supervision, because informal operator workarounds were tolerated in place of proper engineering intervention. </w:t>
      </w:r>
    </w:p>
    <w:p w14:paraId="3D373C31" w14:textId="77777777" w:rsidR="005958D5" w:rsidRPr="005958D5" w:rsidRDefault="005958D5" w:rsidP="005958D5">
      <w:pPr>
        <w:numPr>
          <w:ilvl w:val="0"/>
          <w:numId w:val="9"/>
        </w:numPr>
      </w:pPr>
      <w:r w:rsidRPr="005958D5">
        <w:t xml:space="preserve">Likely weaknesses in local rules, written procedures and authorisation arrangements, particularly because the operator used informal fault-clearing behaviour and then re-entered the irradiation space after fetching an EPD. </w:t>
      </w:r>
    </w:p>
    <w:p w14:paraId="0B0CF567" w14:textId="77777777" w:rsidR="005958D5" w:rsidRPr="005958D5" w:rsidRDefault="005958D5" w:rsidP="005958D5">
      <w:pPr>
        <w:numPr>
          <w:ilvl w:val="0"/>
          <w:numId w:val="9"/>
        </w:numPr>
      </w:pPr>
      <w:r w:rsidRPr="005958D5">
        <w:t xml:space="preserve">Dose investigation and external notification were appropriate given the seriousness of the event and the ADS notification to HSE noted in the dossier. </w:t>
      </w:r>
    </w:p>
    <w:p w14:paraId="0B2F1C7B" w14:textId="77777777" w:rsidR="005958D5" w:rsidRPr="005958D5" w:rsidRDefault="005958D5" w:rsidP="005958D5">
      <w:r w:rsidRPr="005958D5">
        <w:t xml:space="preserve">Better answers will relate the legal discussion to the actual event rather than reproducing large quantities of legislation. That emphasis is also consistent with A. </w:t>
      </w:r>
    </w:p>
    <w:p w14:paraId="296446AB" w14:textId="77777777" w:rsidR="005958D5" w:rsidRPr="005958D5" w:rsidRDefault="00000000" w:rsidP="005958D5">
      <w:r>
        <w:pict w14:anchorId="0A25EC23">
          <v:rect id="_x0000_i1031" style="width:0;height:1.5pt" o:hralign="center" o:hrstd="t" o:hr="t" fillcolor="#a0a0a0" stroked="f"/>
        </w:pict>
      </w:r>
    </w:p>
    <w:p w14:paraId="06F7D981" w14:textId="77777777" w:rsidR="005958D5" w:rsidRPr="005958D5" w:rsidRDefault="005958D5" w:rsidP="005958D5">
      <w:pPr>
        <w:rPr>
          <w:b/>
          <w:bCs/>
        </w:rPr>
      </w:pPr>
      <w:r w:rsidRPr="005958D5">
        <w:rPr>
          <w:b/>
          <w:bCs/>
        </w:rPr>
        <w:t>6. ONR SAP evaluation – indicative points</w:t>
      </w:r>
    </w:p>
    <w:p w14:paraId="6D5FD2FF" w14:textId="77777777" w:rsidR="005958D5" w:rsidRPr="005958D5" w:rsidRDefault="005958D5" w:rsidP="005958D5">
      <w:r w:rsidRPr="005958D5">
        <w:t>Students are asked to evaluate the event against EKP.5 Defence in Depth and two other SAPs of their choice. Award according to the SAPs named in the separate guidance, but typical themes likely to be relevant are as follows.</w:t>
      </w:r>
    </w:p>
    <w:p w14:paraId="102E7621" w14:textId="77777777" w:rsidR="005958D5" w:rsidRPr="005958D5" w:rsidRDefault="005958D5" w:rsidP="005958D5">
      <w:pPr>
        <w:rPr>
          <w:b/>
          <w:bCs/>
        </w:rPr>
      </w:pPr>
      <w:r w:rsidRPr="005958D5">
        <w:rPr>
          <w:b/>
          <w:bCs/>
        </w:rPr>
        <w:t>EKP.5 Defence in Depth</w:t>
      </w:r>
    </w:p>
    <w:p w14:paraId="61767C45" w14:textId="77777777" w:rsidR="005958D5" w:rsidRPr="005958D5" w:rsidRDefault="005958D5" w:rsidP="005958D5">
      <w:r w:rsidRPr="005958D5">
        <w:t>Defence in depth was compromised because multiple layers failed or degraded together:</w:t>
      </w:r>
    </w:p>
    <w:p w14:paraId="198A4A52" w14:textId="77777777" w:rsidR="005958D5" w:rsidRPr="005958D5" w:rsidRDefault="005958D5" w:rsidP="005958D5">
      <w:pPr>
        <w:numPr>
          <w:ilvl w:val="0"/>
          <w:numId w:val="10"/>
        </w:numPr>
      </w:pPr>
      <w:r w:rsidRPr="005958D5">
        <w:t xml:space="preserve">unreliable drawer sensing, </w:t>
      </w:r>
    </w:p>
    <w:p w14:paraId="6951EACD" w14:textId="77777777" w:rsidR="005958D5" w:rsidRPr="005958D5" w:rsidRDefault="005958D5" w:rsidP="005958D5">
      <w:pPr>
        <w:numPr>
          <w:ilvl w:val="0"/>
          <w:numId w:val="10"/>
        </w:numPr>
      </w:pPr>
      <w:r w:rsidRPr="005958D5">
        <w:t xml:space="preserve">degraded shutter return performance, </w:t>
      </w:r>
    </w:p>
    <w:p w14:paraId="06A9B176" w14:textId="77777777" w:rsidR="005958D5" w:rsidRPr="005958D5" w:rsidRDefault="005958D5" w:rsidP="005958D5">
      <w:pPr>
        <w:numPr>
          <w:ilvl w:val="0"/>
          <w:numId w:val="10"/>
        </w:numPr>
      </w:pPr>
      <w:r w:rsidRPr="005958D5">
        <w:t xml:space="preserve">informal operator workaround culture, </w:t>
      </w:r>
    </w:p>
    <w:p w14:paraId="3709C06D" w14:textId="77777777" w:rsidR="005958D5" w:rsidRPr="005958D5" w:rsidRDefault="005958D5" w:rsidP="005958D5">
      <w:pPr>
        <w:numPr>
          <w:ilvl w:val="0"/>
          <w:numId w:val="10"/>
        </w:numPr>
      </w:pPr>
      <w:r w:rsidRPr="005958D5">
        <w:t xml:space="preserve">absence of timely maintenance intervention, </w:t>
      </w:r>
    </w:p>
    <w:p w14:paraId="0C27F728" w14:textId="77777777" w:rsidR="005958D5" w:rsidRPr="005958D5" w:rsidRDefault="005958D5" w:rsidP="005958D5">
      <w:pPr>
        <w:numPr>
          <w:ilvl w:val="0"/>
          <w:numId w:val="10"/>
        </w:numPr>
      </w:pPr>
      <w:r w:rsidRPr="005958D5">
        <w:t>and a control system indication that wrongly suggested safe access.</w:t>
      </w:r>
      <w:r w:rsidRPr="005958D5">
        <w:br/>
        <w:t xml:space="preserve">This is a classic layered-failure case rather than a single random fault. </w:t>
      </w:r>
    </w:p>
    <w:p w14:paraId="74418009" w14:textId="77777777" w:rsidR="005958D5" w:rsidRPr="005958D5" w:rsidRDefault="005958D5" w:rsidP="005958D5">
      <w:pPr>
        <w:rPr>
          <w:b/>
          <w:bCs/>
        </w:rPr>
      </w:pPr>
      <w:r w:rsidRPr="005958D5">
        <w:rPr>
          <w:b/>
          <w:bCs/>
        </w:rPr>
        <w:t>Possible second SAP: Engineering safety features / fault tolerance</w:t>
      </w:r>
    </w:p>
    <w:p w14:paraId="0FD9D68E" w14:textId="77777777" w:rsidR="005958D5" w:rsidRPr="005958D5" w:rsidRDefault="005958D5" w:rsidP="005958D5">
      <w:r w:rsidRPr="005958D5">
        <w:t xml:space="preserve">A good discussion would note that safety-related systems should fail safe and should not present an unsafe plant condition in a form readily mistaken for a normal or recoverable operating state. Here, inconsistent input signals and degraded shutter performance allowed a permissive condition to be inferred when the rotor was not safely indexed. </w:t>
      </w:r>
    </w:p>
    <w:p w14:paraId="3308ADAC" w14:textId="77777777" w:rsidR="005958D5" w:rsidRPr="005958D5" w:rsidRDefault="005958D5" w:rsidP="005958D5">
      <w:pPr>
        <w:rPr>
          <w:b/>
          <w:bCs/>
        </w:rPr>
      </w:pPr>
      <w:r w:rsidRPr="005958D5">
        <w:rPr>
          <w:b/>
          <w:bCs/>
        </w:rPr>
        <w:t>Possible third SAP: Maintenance, inspection and testing / human factors</w:t>
      </w:r>
    </w:p>
    <w:p w14:paraId="6EFB8024" w14:textId="77777777" w:rsidR="005958D5" w:rsidRPr="005958D5" w:rsidRDefault="005958D5" w:rsidP="005958D5">
      <w:r w:rsidRPr="005958D5">
        <w:t xml:space="preserve">A good answer may argue that maintenance and defect management were inadequate because repeated minor faults were normalised and no formal intervention was undertaken. Human factors are also central: operators had developed a local workaround culture, and the event </w:t>
      </w:r>
      <w:r w:rsidRPr="005958D5">
        <w:lastRenderedPageBreak/>
        <w:t>shows the danger of relying on repeated manual cycling and informal recovery behaviour in a system whose actual safety state is uncertain. The current E draft already points in this direction.</w:t>
      </w:r>
    </w:p>
    <w:p w14:paraId="416FCB0E" w14:textId="77777777" w:rsidR="005958D5" w:rsidRPr="005958D5" w:rsidRDefault="00000000" w:rsidP="005958D5">
      <w:r>
        <w:pict w14:anchorId="6BE09DDB">
          <v:rect id="_x0000_i1032" style="width:0;height:1.5pt" o:hralign="center" o:hrstd="t" o:hr="t" fillcolor="#a0a0a0" stroked="f"/>
        </w:pict>
      </w:r>
    </w:p>
    <w:p w14:paraId="78CDBA2A" w14:textId="77777777" w:rsidR="005958D5" w:rsidRPr="005958D5" w:rsidRDefault="005958D5" w:rsidP="005958D5">
      <w:pPr>
        <w:rPr>
          <w:b/>
          <w:bCs/>
        </w:rPr>
      </w:pPr>
      <w:r w:rsidRPr="005958D5">
        <w:rPr>
          <w:b/>
          <w:bCs/>
        </w:rPr>
        <w:t>7. Proportionate ALARP improvements</w:t>
      </w:r>
    </w:p>
    <w:p w14:paraId="076BD48C" w14:textId="77777777" w:rsidR="005958D5" w:rsidRPr="005958D5" w:rsidRDefault="005958D5" w:rsidP="005958D5">
      <w:r w:rsidRPr="005958D5">
        <w:t>Credit any proportionate, risk-reducing improvements justified in practical ALARP terms. Indicative points include:</w:t>
      </w:r>
    </w:p>
    <w:p w14:paraId="4EC5B8EE" w14:textId="77777777" w:rsidR="005958D5" w:rsidRPr="005958D5" w:rsidRDefault="005958D5" w:rsidP="005958D5">
      <w:pPr>
        <w:numPr>
          <w:ilvl w:val="0"/>
          <w:numId w:val="11"/>
        </w:numPr>
      </w:pPr>
      <w:r w:rsidRPr="005958D5">
        <w:t xml:space="preserve">Repair and functionally verify the shutter return mechanism and associated sensing so incomplete shielding cannot persist unnoticed. </w:t>
      </w:r>
    </w:p>
    <w:p w14:paraId="12545389" w14:textId="77777777" w:rsidR="005958D5" w:rsidRPr="005958D5" w:rsidRDefault="005958D5" w:rsidP="005958D5">
      <w:pPr>
        <w:numPr>
          <w:ilvl w:val="0"/>
          <w:numId w:val="11"/>
        </w:numPr>
      </w:pPr>
      <w:r w:rsidRPr="005958D5">
        <w:t xml:space="preserve">Replace or overhaul the unreliable drawer position sensing and validate interlock logic so inconsistent signals cannot produce a false safe condition. </w:t>
      </w:r>
    </w:p>
    <w:p w14:paraId="481576C7" w14:textId="77777777" w:rsidR="005958D5" w:rsidRPr="005958D5" w:rsidRDefault="005958D5" w:rsidP="005958D5">
      <w:pPr>
        <w:numPr>
          <w:ilvl w:val="0"/>
          <w:numId w:val="11"/>
        </w:numPr>
      </w:pPr>
      <w:r w:rsidRPr="005958D5">
        <w:t xml:space="preserve">Eliminate reliance on informal operator recovery actions such as repeated cycling of the drawer to clear faults. </w:t>
      </w:r>
    </w:p>
    <w:p w14:paraId="7A7A791F" w14:textId="77777777" w:rsidR="005958D5" w:rsidRPr="005958D5" w:rsidRDefault="005958D5" w:rsidP="005958D5">
      <w:pPr>
        <w:numPr>
          <w:ilvl w:val="0"/>
          <w:numId w:val="11"/>
        </w:numPr>
      </w:pPr>
      <w:r w:rsidRPr="005958D5">
        <w:t xml:space="preserve">Introduce stronger maintenance escalation: repeated minor faults should trigger engineering intervention, not routine workarounds. </w:t>
      </w:r>
    </w:p>
    <w:p w14:paraId="47858961" w14:textId="77777777" w:rsidR="005958D5" w:rsidRPr="005958D5" w:rsidRDefault="005958D5" w:rsidP="005958D5">
      <w:pPr>
        <w:numPr>
          <w:ilvl w:val="0"/>
          <w:numId w:val="11"/>
        </w:numPr>
      </w:pPr>
      <w:r w:rsidRPr="005958D5">
        <w:t xml:space="preserve">Improve fault-state indication so the operator receives clear information that distinguishes safe indexed status from degraded or uncertain plant states. </w:t>
      </w:r>
    </w:p>
    <w:p w14:paraId="68F43676" w14:textId="77777777" w:rsidR="005958D5" w:rsidRPr="005958D5" w:rsidRDefault="005958D5" w:rsidP="005958D5">
      <w:pPr>
        <w:numPr>
          <w:ilvl w:val="0"/>
          <w:numId w:val="11"/>
        </w:numPr>
      </w:pPr>
      <w:r w:rsidRPr="005958D5">
        <w:t xml:space="preserve">Review local rules and contingency procedures to require stop, survey and escalation under abnormal conditions before physical inspection. </w:t>
      </w:r>
    </w:p>
    <w:p w14:paraId="7BDA401B" w14:textId="77777777" w:rsidR="005958D5" w:rsidRPr="005958D5" w:rsidRDefault="005958D5" w:rsidP="005958D5">
      <w:pPr>
        <w:numPr>
          <w:ilvl w:val="0"/>
          <w:numId w:val="11"/>
        </w:numPr>
      </w:pPr>
      <w:r w:rsidRPr="005958D5">
        <w:t xml:space="preserve">Review personal dosimetry practice so fault investigation or degraded-state work cannot proceed without appropriate active monitoring. </w:t>
      </w:r>
    </w:p>
    <w:p w14:paraId="7EDA3395" w14:textId="77777777" w:rsidR="005958D5" w:rsidRPr="005958D5" w:rsidRDefault="005958D5" w:rsidP="005958D5">
      <w:pPr>
        <w:numPr>
          <w:ilvl w:val="0"/>
          <w:numId w:val="11"/>
        </w:numPr>
      </w:pPr>
      <w:r w:rsidRPr="005958D5">
        <w:t xml:space="preserve">Any proposed improvement should be justified in terms of meaningful risk reduction for modest engineering or administrative effort, consistent with ALARP. These themes are supported by the E draft and mirror the marker-facing logic used in A. </w:t>
      </w:r>
    </w:p>
    <w:p w14:paraId="13F9CB00" w14:textId="77777777" w:rsidR="005958D5" w:rsidRPr="005958D5" w:rsidRDefault="00000000" w:rsidP="005958D5">
      <w:r>
        <w:pict w14:anchorId="2314BBAB">
          <v:rect id="_x0000_i1033" style="width:0;height:1.5pt" o:hralign="center" o:hrstd="t" o:hr="t" fillcolor="#a0a0a0" stroked="f"/>
        </w:pict>
      </w:r>
    </w:p>
    <w:p w14:paraId="70ED79D1" w14:textId="77777777" w:rsidR="005958D5" w:rsidRPr="005958D5" w:rsidRDefault="005958D5" w:rsidP="005958D5">
      <w:pPr>
        <w:rPr>
          <w:b/>
          <w:bCs/>
        </w:rPr>
      </w:pPr>
      <w:r w:rsidRPr="005958D5">
        <w:rPr>
          <w:b/>
          <w:bCs/>
        </w:rPr>
        <w:t>8. Marker guidance on common errors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7"/>
        <w:gridCol w:w="5919"/>
      </w:tblGrid>
      <w:tr w:rsidR="005958D5" w:rsidRPr="005958D5" w14:paraId="62047BDA" w14:textId="77777777">
        <w:trPr>
          <w:tblHeader/>
          <w:tblCellSpacing w:w="15" w:type="dxa"/>
        </w:trPr>
        <w:tc>
          <w:tcPr>
            <w:tcW w:w="0" w:type="auto"/>
            <w:vAlign w:val="center"/>
            <w:hideMark/>
          </w:tcPr>
          <w:p w14:paraId="61673751" w14:textId="77777777" w:rsidR="005958D5" w:rsidRPr="005958D5" w:rsidRDefault="005958D5" w:rsidP="005958D5">
            <w:pPr>
              <w:rPr>
                <w:b/>
                <w:bCs/>
              </w:rPr>
            </w:pPr>
            <w:r w:rsidRPr="005958D5">
              <w:rPr>
                <w:b/>
                <w:bCs/>
              </w:rPr>
              <w:t>Common issue</w:t>
            </w:r>
          </w:p>
        </w:tc>
        <w:tc>
          <w:tcPr>
            <w:tcW w:w="0" w:type="auto"/>
            <w:vAlign w:val="center"/>
            <w:hideMark/>
          </w:tcPr>
          <w:p w14:paraId="4FC209F2" w14:textId="77777777" w:rsidR="005958D5" w:rsidRPr="005958D5" w:rsidRDefault="005958D5" w:rsidP="005958D5">
            <w:pPr>
              <w:rPr>
                <w:b/>
                <w:bCs/>
              </w:rPr>
            </w:pPr>
            <w:r w:rsidRPr="005958D5">
              <w:rPr>
                <w:b/>
                <w:bCs/>
              </w:rPr>
              <w:t>How to treat it</w:t>
            </w:r>
          </w:p>
        </w:tc>
      </w:tr>
      <w:tr w:rsidR="005958D5" w:rsidRPr="005958D5" w14:paraId="6F59E54B" w14:textId="77777777">
        <w:trPr>
          <w:tblCellSpacing w:w="15" w:type="dxa"/>
        </w:trPr>
        <w:tc>
          <w:tcPr>
            <w:tcW w:w="0" w:type="auto"/>
            <w:vAlign w:val="center"/>
            <w:hideMark/>
          </w:tcPr>
          <w:p w14:paraId="61104C76" w14:textId="77777777" w:rsidR="005958D5" w:rsidRPr="005958D5" w:rsidRDefault="005958D5" w:rsidP="005958D5">
            <w:r w:rsidRPr="005958D5">
              <w:t>Using TBq without converting to GBq</w:t>
            </w:r>
          </w:p>
        </w:tc>
        <w:tc>
          <w:tcPr>
            <w:tcW w:w="0" w:type="auto"/>
            <w:vAlign w:val="center"/>
            <w:hideMark/>
          </w:tcPr>
          <w:p w14:paraId="495224C8" w14:textId="77777777" w:rsidR="005958D5" w:rsidRPr="005958D5" w:rsidRDefault="005958D5" w:rsidP="005958D5">
            <w:r w:rsidRPr="005958D5">
              <w:t>Method should lose marks if units are mishandled, but credit the structure of the calculation where possible</w:t>
            </w:r>
          </w:p>
        </w:tc>
      </w:tr>
      <w:tr w:rsidR="005958D5" w:rsidRPr="005958D5" w14:paraId="78EFB093" w14:textId="77777777">
        <w:trPr>
          <w:tblCellSpacing w:w="15" w:type="dxa"/>
        </w:trPr>
        <w:tc>
          <w:tcPr>
            <w:tcW w:w="0" w:type="auto"/>
            <w:vAlign w:val="center"/>
            <w:hideMark/>
          </w:tcPr>
          <w:p w14:paraId="66BE69E0" w14:textId="77777777" w:rsidR="005958D5" w:rsidRPr="005958D5" w:rsidRDefault="005958D5" w:rsidP="005958D5">
            <w:r w:rsidRPr="005958D5">
              <w:t>Double-counting gamma yield</w:t>
            </w:r>
          </w:p>
        </w:tc>
        <w:tc>
          <w:tcPr>
            <w:tcW w:w="0" w:type="auto"/>
            <w:vAlign w:val="center"/>
            <w:hideMark/>
          </w:tcPr>
          <w:p w14:paraId="31F0AB7D" w14:textId="77777777" w:rsidR="005958D5" w:rsidRPr="005958D5" w:rsidRDefault="005958D5" w:rsidP="005958D5">
            <w:r w:rsidRPr="005958D5">
              <w:t>If the student uses a tabulated Cs-137 gamma constant, they should not additionally multiply by branching ratio</w:t>
            </w:r>
          </w:p>
        </w:tc>
      </w:tr>
      <w:tr w:rsidR="005958D5" w:rsidRPr="005958D5" w14:paraId="66D546C9" w14:textId="77777777">
        <w:trPr>
          <w:tblCellSpacing w:w="15" w:type="dxa"/>
        </w:trPr>
        <w:tc>
          <w:tcPr>
            <w:tcW w:w="0" w:type="auto"/>
            <w:vAlign w:val="center"/>
            <w:hideMark/>
          </w:tcPr>
          <w:p w14:paraId="1E55F343" w14:textId="77777777" w:rsidR="005958D5" w:rsidRPr="005958D5" w:rsidRDefault="005958D5" w:rsidP="005958D5">
            <w:r w:rsidRPr="005958D5">
              <w:t>Treating attenuation percentages as exact</w:t>
            </w:r>
          </w:p>
        </w:tc>
        <w:tc>
          <w:tcPr>
            <w:tcW w:w="0" w:type="auto"/>
            <w:vAlign w:val="center"/>
            <w:hideMark/>
          </w:tcPr>
          <w:p w14:paraId="62620E8E" w14:textId="77777777" w:rsidR="005958D5" w:rsidRPr="005958D5" w:rsidRDefault="005958D5" w:rsidP="005958D5">
            <w:r w:rsidRPr="005958D5">
              <w:t>Accept any justified representative value; do not over-penalise because the brief intentionally contains realistic uncertainty</w:t>
            </w:r>
          </w:p>
        </w:tc>
      </w:tr>
      <w:tr w:rsidR="005958D5" w:rsidRPr="005958D5" w14:paraId="5A97B24B" w14:textId="77777777">
        <w:trPr>
          <w:tblCellSpacing w:w="15" w:type="dxa"/>
        </w:trPr>
        <w:tc>
          <w:tcPr>
            <w:tcW w:w="0" w:type="auto"/>
            <w:vAlign w:val="center"/>
            <w:hideMark/>
          </w:tcPr>
          <w:p w14:paraId="1F0967C3" w14:textId="77777777" w:rsidR="005958D5" w:rsidRPr="005958D5" w:rsidRDefault="005958D5" w:rsidP="005958D5">
            <w:r w:rsidRPr="005958D5">
              <w:t>Ignoring the significance of the missing EPD in phase 1</w:t>
            </w:r>
          </w:p>
        </w:tc>
        <w:tc>
          <w:tcPr>
            <w:tcW w:w="0" w:type="auto"/>
            <w:vAlign w:val="center"/>
            <w:hideMark/>
          </w:tcPr>
          <w:p w14:paraId="46DE560B" w14:textId="77777777" w:rsidR="005958D5" w:rsidRPr="005958D5" w:rsidRDefault="005958D5" w:rsidP="005958D5">
            <w:r w:rsidRPr="005958D5">
              <w:t>This should lose judgement marks because it is central to explaining EPD/TLD discrepancy</w:t>
            </w:r>
          </w:p>
        </w:tc>
      </w:tr>
      <w:tr w:rsidR="005958D5" w:rsidRPr="005958D5" w14:paraId="2AECE18E" w14:textId="77777777">
        <w:trPr>
          <w:tblCellSpacing w:w="15" w:type="dxa"/>
        </w:trPr>
        <w:tc>
          <w:tcPr>
            <w:tcW w:w="0" w:type="auto"/>
            <w:vAlign w:val="center"/>
            <w:hideMark/>
          </w:tcPr>
          <w:p w14:paraId="089FE055" w14:textId="77777777" w:rsidR="005958D5" w:rsidRPr="005958D5" w:rsidRDefault="005958D5" w:rsidP="005958D5">
            <w:r w:rsidRPr="005958D5">
              <w:lastRenderedPageBreak/>
              <w:t>Unrealistic precision in dose reconstruction</w:t>
            </w:r>
          </w:p>
        </w:tc>
        <w:tc>
          <w:tcPr>
            <w:tcW w:w="0" w:type="auto"/>
            <w:vAlign w:val="center"/>
            <w:hideMark/>
          </w:tcPr>
          <w:p w14:paraId="786DE4BB" w14:textId="77777777" w:rsidR="005958D5" w:rsidRPr="005958D5" w:rsidRDefault="005958D5" w:rsidP="005958D5">
            <w:r w:rsidRPr="005958D5">
              <w:t>Encourage order-of-magnitude reasoning rather than false exactness</w:t>
            </w:r>
          </w:p>
        </w:tc>
      </w:tr>
      <w:tr w:rsidR="005958D5" w:rsidRPr="005958D5" w14:paraId="4921AE24" w14:textId="77777777">
        <w:trPr>
          <w:tblCellSpacing w:w="15" w:type="dxa"/>
        </w:trPr>
        <w:tc>
          <w:tcPr>
            <w:tcW w:w="0" w:type="auto"/>
            <w:vAlign w:val="center"/>
            <w:hideMark/>
          </w:tcPr>
          <w:p w14:paraId="5C95D5BB" w14:textId="77777777" w:rsidR="005958D5" w:rsidRPr="005958D5" w:rsidRDefault="005958D5" w:rsidP="005958D5">
            <w:r w:rsidRPr="005958D5">
              <w:t>Overclaiming deterministic whole-body injury</w:t>
            </w:r>
          </w:p>
        </w:tc>
        <w:tc>
          <w:tcPr>
            <w:tcW w:w="0" w:type="auto"/>
            <w:vAlign w:val="center"/>
            <w:hideMark/>
          </w:tcPr>
          <w:p w14:paraId="7B355C45" w14:textId="77777777" w:rsidR="005958D5" w:rsidRPr="005958D5" w:rsidRDefault="005958D5" w:rsidP="005958D5">
            <w:r w:rsidRPr="005958D5">
              <w:t>Reports asserting whole-body acute radiation syndrome at a few tens of millisievert should be corrected</w:t>
            </w:r>
          </w:p>
        </w:tc>
      </w:tr>
      <w:tr w:rsidR="005958D5" w:rsidRPr="005958D5" w14:paraId="1E7904A9" w14:textId="77777777">
        <w:trPr>
          <w:tblCellSpacing w:w="15" w:type="dxa"/>
        </w:trPr>
        <w:tc>
          <w:tcPr>
            <w:tcW w:w="0" w:type="auto"/>
            <w:vAlign w:val="center"/>
            <w:hideMark/>
          </w:tcPr>
          <w:p w14:paraId="2C226449" w14:textId="77777777" w:rsidR="005958D5" w:rsidRPr="005958D5" w:rsidRDefault="005958D5" w:rsidP="005958D5">
            <w:r w:rsidRPr="005958D5">
              <w:t>Excessive legal quotation</w:t>
            </w:r>
          </w:p>
        </w:tc>
        <w:tc>
          <w:tcPr>
            <w:tcW w:w="0" w:type="auto"/>
            <w:vAlign w:val="center"/>
            <w:hideMark/>
          </w:tcPr>
          <w:p w14:paraId="3E6E09C1" w14:textId="77777777" w:rsidR="005958D5" w:rsidRPr="005958D5" w:rsidRDefault="005958D5" w:rsidP="005958D5">
            <w:r w:rsidRPr="005958D5">
              <w:t>Reward application of IRR17 to the event more than reproduced regulation text</w:t>
            </w:r>
          </w:p>
        </w:tc>
      </w:tr>
    </w:tbl>
    <w:p w14:paraId="23B48F2E" w14:textId="77777777" w:rsidR="005958D5" w:rsidRPr="005958D5" w:rsidRDefault="005958D5" w:rsidP="005958D5">
      <w:r w:rsidRPr="005958D5">
        <w:t>These marker issues are drawn from the existing E draft and adapted to the fuller A-style marker framing.</w:t>
      </w:r>
    </w:p>
    <w:p w14:paraId="60E58BA2" w14:textId="77777777" w:rsidR="005958D5" w:rsidRPr="005958D5" w:rsidRDefault="00000000" w:rsidP="005958D5">
      <w:r>
        <w:pict w14:anchorId="6D70522E">
          <v:rect id="_x0000_i1034" style="width:0;height:1.5pt" o:hralign="center" o:hrstd="t" o:hr="t" fillcolor="#a0a0a0" stroked="f"/>
        </w:pict>
      </w:r>
    </w:p>
    <w:p w14:paraId="612AC155" w14:textId="77777777" w:rsidR="005958D5" w:rsidRPr="005958D5" w:rsidRDefault="005958D5" w:rsidP="005958D5">
      <w:pPr>
        <w:rPr>
          <w:b/>
          <w:bCs/>
        </w:rPr>
      </w:pPr>
      <w:r w:rsidRPr="005958D5">
        <w:rPr>
          <w:b/>
          <w:bCs/>
        </w:rPr>
        <w:t>9. Indicative concluding judgement</w:t>
      </w:r>
    </w:p>
    <w:p w14:paraId="4047C0E8" w14:textId="77777777" w:rsidR="005958D5" w:rsidRPr="005958D5" w:rsidRDefault="005958D5" w:rsidP="005958D5">
      <w:r w:rsidRPr="005958D5">
        <w:t>A strong student conclusion would state that the incident arose from a combination of unreliable drawer position sensing, degraded secondary shutter performance, absence of timely maintenance intervention, and informal operator recovery behaviour that had become normalised. The resulting exposure was significant and clearly above routine occupational expectations, but not expected to cause deterministic whole-body injury. Nevertheless, it represented a serious radiological protection failure and a substantial breakdown in the engineering, procedural and managerial controls that should have prevented access to an unsafe irradiator state. That conclusion is consistent with the brief, the reconstruction and the existing E solution direction.</w:t>
      </w:r>
    </w:p>
    <w:p w14:paraId="1BC487D2" w14:textId="77777777" w:rsidR="007B0F1F" w:rsidRDefault="007B0F1F"/>
    <w:sectPr w:rsidR="007B0F1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03455" w14:textId="77777777" w:rsidR="00B94343" w:rsidRDefault="00B94343" w:rsidP="00D73906">
      <w:pPr>
        <w:spacing w:after="0" w:line="240" w:lineRule="auto"/>
      </w:pPr>
      <w:r>
        <w:separator/>
      </w:r>
    </w:p>
  </w:endnote>
  <w:endnote w:type="continuationSeparator" w:id="0">
    <w:p w14:paraId="5DDAE83B" w14:textId="77777777" w:rsidR="00B94343" w:rsidRDefault="00B94343" w:rsidP="00D73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557868"/>
      <w:docPartObj>
        <w:docPartGallery w:val="Page Numbers (Bottom of Page)"/>
        <w:docPartUnique/>
      </w:docPartObj>
    </w:sdtPr>
    <w:sdtContent>
      <w:p w14:paraId="6F81A0D6" w14:textId="2920512E" w:rsidR="00381ACE" w:rsidRDefault="00381ACE">
        <w:pPr>
          <w:pStyle w:val="Footer"/>
          <w:jc w:val="center"/>
        </w:pPr>
        <w:r>
          <w:fldChar w:fldCharType="begin"/>
        </w:r>
        <w:r>
          <w:instrText>PAGE   \* MERGEFORMAT</w:instrText>
        </w:r>
        <w:r>
          <w:fldChar w:fldCharType="separate"/>
        </w:r>
        <w:r>
          <w:t>2</w:t>
        </w:r>
        <w:r>
          <w:fldChar w:fldCharType="end"/>
        </w:r>
      </w:p>
    </w:sdtContent>
  </w:sdt>
  <w:p w14:paraId="0B430B88" w14:textId="77777777" w:rsidR="00381ACE" w:rsidRDefault="00381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F64BD" w14:textId="77777777" w:rsidR="00B94343" w:rsidRDefault="00B94343" w:rsidP="00D73906">
      <w:pPr>
        <w:spacing w:after="0" w:line="240" w:lineRule="auto"/>
      </w:pPr>
      <w:r>
        <w:separator/>
      </w:r>
    </w:p>
  </w:footnote>
  <w:footnote w:type="continuationSeparator" w:id="0">
    <w:p w14:paraId="78DA03AD" w14:textId="77777777" w:rsidR="00B94343" w:rsidRDefault="00B94343" w:rsidP="00D73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261ED" w14:textId="050DED8C" w:rsidR="00D73906" w:rsidRPr="00D73906" w:rsidRDefault="00D73906" w:rsidP="00D73906">
    <w:pPr>
      <w:pStyle w:val="Header"/>
      <w:jc w:val="center"/>
      <w:rPr>
        <w:lang w:val="en-US"/>
      </w:rPr>
    </w:pPr>
    <w:r>
      <w:rPr>
        <w:lang w:val="en-US"/>
      </w:rP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0941"/>
    <w:multiLevelType w:val="multilevel"/>
    <w:tmpl w:val="75D4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326DA"/>
    <w:multiLevelType w:val="multilevel"/>
    <w:tmpl w:val="4E20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A0354"/>
    <w:multiLevelType w:val="multilevel"/>
    <w:tmpl w:val="9E42D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A838C3"/>
    <w:multiLevelType w:val="multilevel"/>
    <w:tmpl w:val="7BD642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52978"/>
    <w:multiLevelType w:val="multilevel"/>
    <w:tmpl w:val="5442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07BDB"/>
    <w:multiLevelType w:val="multilevel"/>
    <w:tmpl w:val="91FAC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781F6B"/>
    <w:multiLevelType w:val="multilevel"/>
    <w:tmpl w:val="FCEA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8B1F8E"/>
    <w:multiLevelType w:val="multilevel"/>
    <w:tmpl w:val="A888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CC2606"/>
    <w:multiLevelType w:val="multilevel"/>
    <w:tmpl w:val="C8E6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EE2DE0"/>
    <w:multiLevelType w:val="multilevel"/>
    <w:tmpl w:val="339E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6C42B4"/>
    <w:multiLevelType w:val="multilevel"/>
    <w:tmpl w:val="761A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7679964">
    <w:abstractNumId w:val="3"/>
  </w:num>
  <w:num w:numId="2" w16cid:durableId="964433941">
    <w:abstractNumId w:val="7"/>
  </w:num>
  <w:num w:numId="3" w16cid:durableId="564798050">
    <w:abstractNumId w:val="5"/>
  </w:num>
  <w:num w:numId="4" w16cid:durableId="383260545">
    <w:abstractNumId w:val="0"/>
  </w:num>
  <w:num w:numId="5" w16cid:durableId="492139060">
    <w:abstractNumId w:val="4"/>
  </w:num>
  <w:num w:numId="6" w16cid:durableId="595527328">
    <w:abstractNumId w:val="9"/>
  </w:num>
  <w:num w:numId="7" w16cid:durableId="601451552">
    <w:abstractNumId w:val="8"/>
  </w:num>
  <w:num w:numId="8" w16cid:durableId="2064940421">
    <w:abstractNumId w:val="10"/>
  </w:num>
  <w:num w:numId="9" w16cid:durableId="205801563">
    <w:abstractNumId w:val="6"/>
  </w:num>
  <w:num w:numId="10" w16cid:durableId="787164953">
    <w:abstractNumId w:val="2"/>
  </w:num>
  <w:num w:numId="11" w16cid:durableId="14917969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8D5"/>
    <w:rsid w:val="00273FE2"/>
    <w:rsid w:val="00381ACE"/>
    <w:rsid w:val="004305D7"/>
    <w:rsid w:val="005958D5"/>
    <w:rsid w:val="007B0F1F"/>
    <w:rsid w:val="00811BF8"/>
    <w:rsid w:val="00A6414C"/>
    <w:rsid w:val="00A657D2"/>
    <w:rsid w:val="00B42579"/>
    <w:rsid w:val="00B94343"/>
    <w:rsid w:val="00D35B34"/>
    <w:rsid w:val="00D73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5EF0"/>
  <w15:chartTrackingRefBased/>
  <w15:docId w15:val="{29C2C2E0-BB15-4D23-A27E-ECBBF2606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8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8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8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8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8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8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8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8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8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8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8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8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8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8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8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8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8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8D5"/>
    <w:rPr>
      <w:rFonts w:eastAsiaTheme="majorEastAsia" w:cstheme="majorBidi"/>
      <w:color w:val="272727" w:themeColor="text1" w:themeTint="D8"/>
    </w:rPr>
  </w:style>
  <w:style w:type="paragraph" w:styleId="Title">
    <w:name w:val="Title"/>
    <w:basedOn w:val="Normal"/>
    <w:next w:val="Normal"/>
    <w:link w:val="TitleChar"/>
    <w:uiPriority w:val="10"/>
    <w:qFormat/>
    <w:rsid w:val="005958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8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8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8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8D5"/>
    <w:pPr>
      <w:spacing w:before="160"/>
      <w:jc w:val="center"/>
    </w:pPr>
    <w:rPr>
      <w:i/>
      <w:iCs/>
      <w:color w:val="404040" w:themeColor="text1" w:themeTint="BF"/>
    </w:rPr>
  </w:style>
  <w:style w:type="character" w:customStyle="1" w:styleId="QuoteChar">
    <w:name w:val="Quote Char"/>
    <w:basedOn w:val="DefaultParagraphFont"/>
    <w:link w:val="Quote"/>
    <w:uiPriority w:val="29"/>
    <w:rsid w:val="005958D5"/>
    <w:rPr>
      <w:i/>
      <w:iCs/>
      <w:color w:val="404040" w:themeColor="text1" w:themeTint="BF"/>
    </w:rPr>
  </w:style>
  <w:style w:type="paragraph" w:styleId="ListParagraph">
    <w:name w:val="List Paragraph"/>
    <w:basedOn w:val="Normal"/>
    <w:uiPriority w:val="34"/>
    <w:qFormat/>
    <w:rsid w:val="005958D5"/>
    <w:pPr>
      <w:ind w:left="720"/>
      <w:contextualSpacing/>
    </w:pPr>
  </w:style>
  <w:style w:type="character" w:styleId="IntenseEmphasis">
    <w:name w:val="Intense Emphasis"/>
    <w:basedOn w:val="DefaultParagraphFont"/>
    <w:uiPriority w:val="21"/>
    <w:qFormat/>
    <w:rsid w:val="005958D5"/>
    <w:rPr>
      <w:i/>
      <w:iCs/>
      <w:color w:val="0F4761" w:themeColor="accent1" w:themeShade="BF"/>
    </w:rPr>
  </w:style>
  <w:style w:type="paragraph" w:styleId="IntenseQuote">
    <w:name w:val="Intense Quote"/>
    <w:basedOn w:val="Normal"/>
    <w:next w:val="Normal"/>
    <w:link w:val="IntenseQuoteChar"/>
    <w:uiPriority w:val="30"/>
    <w:qFormat/>
    <w:rsid w:val="005958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8D5"/>
    <w:rPr>
      <w:i/>
      <w:iCs/>
      <w:color w:val="0F4761" w:themeColor="accent1" w:themeShade="BF"/>
    </w:rPr>
  </w:style>
  <w:style w:type="character" w:styleId="IntenseReference">
    <w:name w:val="Intense Reference"/>
    <w:basedOn w:val="DefaultParagraphFont"/>
    <w:uiPriority w:val="32"/>
    <w:qFormat/>
    <w:rsid w:val="005958D5"/>
    <w:rPr>
      <w:b/>
      <w:bCs/>
      <w:smallCaps/>
      <w:color w:val="0F4761" w:themeColor="accent1" w:themeShade="BF"/>
      <w:spacing w:val="5"/>
    </w:rPr>
  </w:style>
  <w:style w:type="paragraph" w:styleId="Header">
    <w:name w:val="header"/>
    <w:basedOn w:val="Normal"/>
    <w:link w:val="HeaderChar"/>
    <w:uiPriority w:val="99"/>
    <w:unhideWhenUsed/>
    <w:rsid w:val="00D73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906"/>
  </w:style>
  <w:style w:type="paragraph" w:styleId="Footer">
    <w:name w:val="footer"/>
    <w:basedOn w:val="Normal"/>
    <w:link w:val="FooterChar"/>
    <w:uiPriority w:val="99"/>
    <w:unhideWhenUsed/>
    <w:rsid w:val="00D73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2431</Words>
  <Characters>13324</Characters>
  <Application>Microsoft Office Word</Application>
  <DocSecurity>0</DocSecurity>
  <Lines>341</Lines>
  <Paragraphs>271</Paragraphs>
  <ScaleCrop>false</ScaleCrop>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Holloway</dc:creator>
  <cp:keywords/>
  <dc:description/>
  <cp:lastModifiedBy>Holloway, Ian Dr (NAVY PEOPLE-NUC PHYS MGR)</cp:lastModifiedBy>
  <cp:revision>6</cp:revision>
  <dcterms:created xsi:type="dcterms:W3CDTF">2026-03-23T18:21:00Z</dcterms:created>
  <dcterms:modified xsi:type="dcterms:W3CDTF">2026-03-26T15:24:00Z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2026-03-26T15:20:18Z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5b4484f8-9063-4c11-b94b-dd2689afbc7d</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