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Pr="006B189C" w:rsidRDefault="006B189C" w:rsidP="006B189C">
      <w:pPr>
        <w:spacing w:line="360" w:lineRule="auto"/>
        <w:jc w:val="right"/>
        <w:rPr>
          <w:rFonts w:ascii="Arial" w:hAnsi="Arial" w:cs="Arial"/>
          <w:b/>
          <w:bCs/>
          <w:sz w:val="32"/>
          <w:szCs w:val="32"/>
        </w:rPr>
      </w:pPr>
    </w:p>
    <w:p w:rsidR="006B189C" w:rsidRPr="006B189C" w:rsidRDefault="006B189C" w:rsidP="006B189C">
      <w:pPr>
        <w:spacing w:line="360" w:lineRule="auto"/>
        <w:jc w:val="right"/>
        <w:rPr>
          <w:rFonts w:ascii="Arial" w:hAnsi="Arial" w:cs="Arial"/>
          <w:b/>
          <w:bCs/>
          <w:sz w:val="32"/>
          <w:szCs w:val="32"/>
        </w:rPr>
      </w:pPr>
      <w:r w:rsidRPr="006B189C">
        <w:rPr>
          <w:rFonts w:ascii="Arial" w:hAnsi="Arial" w:cs="Arial"/>
          <w:b/>
          <w:bCs/>
          <w:sz w:val="32"/>
          <w:szCs w:val="32"/>
        </w:rPr>
        <w:t>Certificate of Higher Education in Employability Skills</w:t>
      </w:r>
    </w:p>
    <w:p w:rsidR="006B189C" w:rsidRDefault="006B189C" w:rsidP="006B189C">
      <w:pPr>
        <w:spacing w:line="360" w:lineRule="auto"/>
        <w:jc w:val="right"/>
        <w:rPr>
          <w:rFonts w:ascii="Arial" w:hAnsi="Arial" w:cs="Arial"/>
          <w:b/>
          <w:bCs/>
          <w:sz w:val="32"/>
          <w:szCs w:val="32"/>
        </w:rPr>
      </w:pPr>
      <w:r w:rsidRPr="006B189C">
        <w:rPr>
          <w:rFonts w:ascii="Arial" w:hAnsi="Arial" w:cs="Arial"/>
          <w:b/>
          <w:bCs/>
          <w:sz w:val="32"/>
          <w:szCs w:val="32"/>
        </w:rPr>
        <w:t xml:space="preserve">LEVEL 4 </w:t>
      </w:r>
    </w:p>
    <w:p w:rsidR="006B189C" w:rsidRPr="006B189C" w:rsidRDefault="006B189C" w:rsidP="006B189C">
      <w:pPr>
        <w:spacing w:line="360" w:lineRule="auto"/>
        <w:rPr>
          <w:rFonts w:ascii="Arial" w:hAnsi="Arial" w:cs="Arial"/>
          <w:b/>
          <w:bCs/>
          <w:sz w:val="32"/>
          <w:szCs w:val="32"/>
        </w:rPr>
      </w:pPr>
    </w:p>
    <w:p w:rsidR="006B189C" w:rsidRDefault="006B189C" w:rsidP="006B189C">
      <w:pPr>
        <w:spacing w:line="360" w:lineRule="auto"/>
        <w:jc w:val="right"/>
        <w:rPr>
          <w:rFonts w:ascii="Arial" w:hAnsi="Arial" w:cs="Arial"/>
          <w:b/>
          <w:bCs/>
          <w:sz w:val="32"/>
          <w:szCs w:val="32"/>
        </w:rPr>
      </w:pPr>
      <w:r w:rsidRPr="006B189C">
        <w:rPr>
          <w:rFonts w:ascii="Arial" w:hAnsi="Arial" w:cs="Arial"/>
          <w:b/>
          <w:bCs/>
          <w:sz w:val="32"/>
          <w:szCs w:val="32"/>
        </w:rPr>
        <w:t xml:space="preserve">Problem Solving and Innovation (BMSW4014) </w:t>
      </w:r>
    </w:p>
    <w:p w:rsidR="006B189C" w:rsidRDefault="006B189C" w:rsidP="006B189C">
      <w:pPr>
        <w:spacing w:line="360" w:lineRule="auto"/>
        <w:jc w:val="right"/>
        <w:rPr>
          <w:rFonts w:ascii="Arial" w:hAnsi="Arial" w:cs="Arial"/>
          <w:b/>
          <w:bCs/>
          <w:sz w:val="32"/>
          <w:szCs w:val="32"/>
        </w:rPr>
      </w:pPr>
    </w:p>
    <w:p w:rsidR="006B189C" w:rsidRDefault="006B189C" w:rsidP="006B189C">
      <w:pPr>
        <w:spacing w:line="360" w:lineRule="auto"/>
        <w:jc w:val="right"/>
        <w:rPr>
          <w:rFonts w:ascii="Arial" w:hAnsi="Arial" w:cs="Arial"/>
          <w:b/>
          <w:bCs/>
          <w:sz w:val="32"/>
          <w:szCs w:val="32"/>
        </w:rPr>
      </w:pPr>
      <w:r>
        <w:fldChar w:fldCharType="begin"/>
      </w:r>
      <w:r>
        <w:instrText xml:space="preserve"> INCLUDEPICTURE "https://www.rio.ai/hs-fs/hubfs/Greenwashing.jpeg?width=2800&amp;height=1400&amp;name=Greenwashing.jpeg" \* MERGEFORMATINET </w:instrText>
      </w:r>
      <w:r>
        <w:fldChar w:fldCharType="separate"/>
      </w:r>
      <w:r>
        <w:rPr>
          <w:noProof/>
        </w:rPr>
        <w:drawing>
          <wp:inline distT="0" distB="0" distL="0" distR="0">
            <wp:extent cx="4521546" cy="2260773"/>
            <wp:effectExtent l="0" t="0" r="0" b="0"/>
            <wp:docPr id="2053091257" name="Picture 10" descr="UN Secretary-General has urged zero tolerance for net-zero ‘greenwas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UN Secretary-General has urged zero tolerance for net-zero ‘greenwashi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34938" cy="2267469"/>
                    </a:xfrm>
                    <a:prstGeom prst="rect">
                      <a:avLst/>
                    </a:prstGeom>
                    <a:noFill/>
                    <a:ln>
                      <a:noFill/>
                    </a:ln>
                  </pic:spPr>
                </pic:pic>
              </a:graphicData>
            </a:graphic>
          </wp:inline>
        </w:drawing>
      </w:r>
      <w:r>
        <w:fldChar w:fldCharType="end"/>
      </w:r>
      <w:r>
        <w:fldChar w:fldCharType="begin"/>
      </w:r>
      <w:r>
        <w:instrText xml:space="preserve"> INCLUDEPICTURE "/Users/ednamartins/Library/Group Containers/UBF8T346G9.ms/WebArchiveCopyPasteTempFiles/com.microsoft.Word/SujZlGUfrJWwt6fMy-k7lRgVwodGefZwwpOeZvQ4OWCDsjumxWam_sTQi_u-kAxHi7aBgepf2Zup2A5QJUig4pRQPBCcAnM7oKOVdvr4WKgssGoK8Ee9AaMlwIDxCpY715cdtWARMfzrAdeAt2jLb0o.jpg" \* MERGEFORMATINET </w:instrText>
      </w:r>
      <w:r>
        <w:fldChar w:fldCharType="separate"/>
      </w:r>
      <w:r>
        <w:rPr>
          <w:noProof/>
        </w:rPr>
        <mc:AlternateContent>
          <mc:Choice Requires="wps">
            <w:drawing>
              <wp:inline distT="0" distB="0" distL="0" distR="0">
                <wp:extent cx="304800" cy="304800"/>
                <wp:effectExtent l="0" t="0" r="0" b="0"/>
                <wp:docPr id="1381383623" name="Rectangle 9" descr="Image of a painter 'greenwashing' fossil fuel smokestacks.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77191F" id="Rectangle 9" o:spid="_x0000_s1026" alt="Image of a painter 'greenwashing' fossil fuel smokestacks.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p>
    <w:p w:rsidR="006B189C" w:rsidRDefault="006B189C" w:rsidP="006B189C">
      <w:pPr>
        <w:spacing w:line="360" w:lineRule="auto"/>
        <w:jc w:val="right"/>
        <w:rPr>
          <w:rFonts w:ascii="Arial" w:hAnsi="Arial" w:cs="Arial"/>
          <w:b/>
          <w:bCs/>
          <w:sz w:val="32"/>
          <w:szCs w:val="32"/>
        </w:rPr>
      </w:pPr>
    </w:p>
    <w:p w:rsidR="006B189C" w:rsidRDefault="006B189C" w:rsidP="006B189C">
      <w:pPr>
        <w:spacing w:line="360" w:lineRule="auto"/>
        <w:rPr>
          <w:rFonts w:ascii="Arial" w:hAnsi="Arial" w:cs="Arial"/>
          <w:b/>
          <w:bCs/>
          <w:sz w:val="32"/>
          <w:szCs w:val="32"/>
        </w:rPr>
      </w:pPr>
    </w:p>
    <w:p w:rsidR="006B189C" w:rsidRPr="006B189C" w:rsidRDefault="006B189C" w:rsidP="006B189C">
      <w:pPr>
        <w:spacing w:line="360" w:lineRule="auto"/>
        <w:rPr>
          <w:rFonts w:ascii="Arial" w:hAnsi="Arial" w:cs="Arial"/>
          <w:b/>
          <w:bCs/>
          <w:sz w:val="32"/>
          <w:szCs w:val="32"/>
        </w:rPr>
      </w:pPr>
    </w:p>
    <w:p w:rsidR="006B189C" w:rsidRDefault="006B189C" w:rsidP="006B189C">
      <w:pPr>
        <w:spacing w:line="360" w:lineRule="auto"/>
        <w:jc w:val="right"/>
        <w:rPr>
          <w:rFonts w:ascii="Arial" w:hAnsi="Arial" w:cs="Arial"/>
          <w:b/>
          <w:bCs/>
          <w:sz w:val="32"/>
          <w:szCs w:val="32"/>
        </w:rPr>
      </w:pPr>
      <w:r w:rsidRPr="006B189C">
        <w:rPr>
          <w:rFonts w:ascii="Arial" w:hAnsi="Arial" w:cs="Arial"/>
          <w:b/>
          <w:bCs/>
          <w:sz w:val="32"/>
          <w:szCs w:val="32"/>
        </w:rPr>
        <w:t xml:space="preserve">Module Lead: </w:t>
      </w:r>
      <w:proofErr w:type="spellStart"/>
      <w:r w:rsidRPr="006B189C">
        <w:rPr>
          <w:rFonts w:ascii="Arial" w:hAnsi="Arial" w:cs="Arial"/>
          <w:b/>
          <w:bCs/>
          <w:sz w:val="32"/>
          <w:szCs w:val="32"/>
        </w:rPr>
        <w:t>Jaliya</w:t>
      </w:r>
      <w:proofErr w:type="spellEnd"/>
      <w:r w:rsidRPr="006B189C">
        <w:rPr>
          <w:rFonts w:ascii="Arial" w:hAnsi="Arial" w:cs="Arial"/>
          <w:b/>
          <w:bCs/>
          <w:sz w:val="32"/>
          <w:szCs w:val="32"/>
        </w:rPr>
        <w:t xml:space="preserve"> de Silva </w:t>
      </w:r>
    </w:p>
    <w:p w:rsidR="006B189C" w:rsidRPr="006B189C" w:rsidRDefault="006B189C" w:rsidP="006B189C">
      <w:pPr>
        <w:spacing w:line="360" w:lineRule="auto"/>
        <w:jc w:val="right"/>
        <w:rPr>
          <w:rFonts w:ascii="Arial" w:hAnsi="Arial" w:cs="Arial"/>
          <w:b/>
          <w:bCs/>
          <w:sz w:val="32"/>
          <w:szCs w:val="32"/>
        </w:rPr>
      </w:pPr>
    </w:p>
    <w:p w:rsidR="006B189C" w:rsidRPr="006B189C" w:rsidRDefault="006B189C" w:rsidP="006B189C">
      <w:pPr>
        <w:spacing w:line="360" w:lineRule="auto"/>
        <w:jc w:val="right"/>
        <w:rPr>
          <w:rFonts w:ascii="Arial" w:hAnsi="Arial" w:cs="Arial"/>
          <w:b/>
          <w:bCs/>
          <w:sz w:val="32"/>
          <w:szCs w:val="32"/>
        </w:rPr>
      </w:pPr>
      <w:proofErr w:type="spellStart"/>
      <w:r w:rsidRPr="006B189C">
        <w:rPr>
          <w:rFonts w:ascii="Arial" w:hAnsi="Arial" w:cs="Arial"/>
          <w:b/>
          <w:bCs/>
          <w:sz w:val="32"/>
          <w:szCs w:val="32"/>
        </w:rPr>
        <w:t>Mirovaldo</w:t>
      </w:r>
      <w:proofErr w:type="spellEnd"/>
      <w:r w:rsidRPr="006B189C">
        <w:rPr>
          <w:rFonts w:ascii="Arial" w:hAnsi="Arial" w:cs="Arial"/>
          <w:b/>
          <w:bCs/>
          <w:sz w:val="32"/>
          <w:szCs w:val="32"/>
        </w:rPr>
        <w:t xml:space="preserve"> </w:t>
      </w:r>
      <w:proofErr w:type="spellStart"/>
      <w:r w:rsidRPr="006B189C">
        <w:rPr>
          <w:rFonts w:ascii="Arial" w:hAnsi="Arial" w:cs="Arial"/>
          <w:b/>
          <w:bCs/>
          <w:sz w:val="32"/>
          <w:szCs w:val="32"/>
        </w:rPr>
        <w:t>Danfa</w:t>
      </w:r>
      <w:proofErr w:type="spellEnd"/>
      <w:r w:rsidRPr="006B189C">
        <w:rPr>
          <w:rFonts w:ascii="Arial" w:hAnsi="Arial" w:cs="Arial"/>
          <w:b/>
          <w:bCs/>
          <w:sz w:val="32"/>
          <w:szCs w:val="32"/>
        </w:rPr>
        <w:t xml:space="preserve"> | 2435826</w:t>
      </w:r>
    </w:p>
    <w:p w:rsidR="006B189C" w:rsidRDefault="006B189C" w:rsidP="006B189C">
      <w:pPr>
        <w:rPr>
          <w:rFonts w:ascii="Arial" w:hAnsi="Arial" w:cs="Arial"/>
          <w:sz w:val="32"/>
          <w:szCs w:val="32"/>
        </w:rPr>
      </w:pPr>
    </w:p>
    <w:p w:rsidR="006B189C" w:rsidRPr="006B189C" w:rsidRDefault="006B189C" w:rsidP="006B189C">
      <w:pPr>
        <w:rPr>
          <w:rFonts w:ascii="Arial" w:hAnsi="Arial" w:cs="Arial"/>
          <w:sz w:val="32"/>
          <w:szCs w:val="32"/>
        </w:rPr>
      </w:pPr>
    </w:p>
    <w:p w:rsidR="006B189C" w:rsidRPr="006B189C" w:rsidRDefault="006B189C" w:rsidP="006B189C">
      <w:pPr>
        <w:spacing w:line="360" w:lineRule="auto"/>
        <w:jc w:val="right"/>
        <w:rPr>
          <w:rFonts w:ascii="Arial" w:hAnsi="Arial" w:cs="Arial"/>
          <w:b/>
          <w:bCs/>
          <w:sz w:val="32"/>
          <w:szCs w:val="32"/>
        </w:rPr>
      </w:pPr>
      <w:r w:rsidRPr="006B189C">
        <w:rPr>
          <w:rFonts w:ascii="Arial" w:hAnsi="Arial" w:cs="Arial"/>
          <w:b/>
          <w:bCs/>
          <w:sz w:val="32"/>
          <w:szCs w:val="32"/>
        </w:rPr>
        <w:t xml:space="preserve">2025-2026 </w:t>
      </w:r>
    </w:p>
    <w:p w:rsidR="006B189C" w:rsidRPr="006B189C" w:rsidRDefault="006B189C" w:rsidP="006B189C">
      <w:pPr>
        <w:rPr>
          <w:rFonts w:ascii="Arial" w:hAnsi="Arial" w:cs="Arial"/>
          <w:sz w:val="32"/>
          <w:szCs w:val="32"/>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sz w:val="32"/>
          <w:szCs w:val="32"/>
        </w:rPr>
      </w:pPr>
      <w:r w:rsidRPr="006B189C">
        <w:rPr>
          <w:rFonts w:ascii="Arial" w:hAnsi="Arial" w:cs="Arial"/>
          <w:sz w:val="32"/>
          <w:szCs w:val="32"/>
        </w:rPr>
        <w:lastRenderedPageBreak/>
        <w:t>Introduction </w:t>
      </w:r>
    </w:p>
    <w:p w:rsidR="006B189C" w:rsidRDefault="006B189C" w:rsidP="006B189C">
      <w:pPr>
        <w:rPr>
          <w:rFonts w:ascii="Arial" w:hAnsi="Arial" w:cs="Arial"/>
          <w:sz w:val="32"/>
          <w:szCs w:val="32"/>
        </w:rPr>
      </w:pPr>
    </w:p>
    <w:p w:rsidR="006B189C" w:rsidRDefault="006B189C" w:rsidP="006B189C">
      <w:pPr>
        <w:rPr>
          <w:rFonts w:ascii="Arial" w:hAnsi="Arial" w:cs="Arial"/>
        </w:rPr>
      </w:pPr>
      <w:r w:rsidRPr="006B189C">
        <w:rPr>
          <w:rFonts w:ascii="Arial" w:hAnsi="Arial" w:cs="Arial"/>
        </w:rPr>
        <w:br/>
      </w:r>
      <w:r w:rsidRPr="006B189C">
        <w:rPr>
          <w:rFonts w:ascii="Arial" w:hAnsi="Arial" w:cs="Arial"/>
        </w:rPr>
        <w:br/>
        <w:t>Due to climate change, increased consumer awareness, and tighter environmental standards around the world, the automobile industry is under tremendous pressure to become more sustainable. Numerous major automakers, such as BMW, have been promoting their dedication to lowering emissions and moving towards electric vehicles. The increasing need for sustainability, however, has also resulted in greenwashing, which is the practice of exaggerating or misrepresenting environmental claims in order to give the impression that a product is more environmentally friendly than it actually is. Greenwashing exposes businesses to legal and reputational risks in addition to eroding consumer confidence. It is necessary to comprehend how this occurrence impacts the car sector, especially BMW, in order to assess the reliability and efficacy of sustainability plans in the present global marketplace. </w:t>
      </w: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r w:rsidRPr="006B189C">
        <w:rPr>
          <w:rFonts w:ascii="Arial" w:hAnsi="Arial" w:cs="Arial"/>
        </w:rPr>
        <w:lastRenderedPageBreak/>
        <w:br/>
      </w:r>
      <w:r w:rsidRPr="006B189C">
        <w:rPr>
          <w:rFonts w:ascii="Arial" w:hAnsi="Arial" w:cs="Arial"/>
          <w:sz w:val="32"/>
          <w:szCs w:val="32"/>
        </w:rPr>
        <w:br/>
        <w:t>A Review of the Present State</w:t>
      </w:r>
      <w:r w:rsidRPr="006B189C">
        <w:rPr>
          <w:rFonts w:ascii="Arial" w:hAnsi="Arial" w:cs="Arial"/>
        </w:rPr>
        <w:t> </w:t>
      </w:r>
    </w:p>
    <w:p w:rsidR="006B189C" w:rsidRDefault="006B189C" w:rsidP="006B189C">
      <w:pPr>
        <w:rPr>
          <w:rFonts w:ascii="Arial" w:hAnsi="Arial" w:cs="Arial"/>
        </w:rPr>
      </w:pPr>
      <w:r w:rsidRPr="006B189C">
        <w:rPr>
          <w:rFonts w:ascii="Arial" w:hAnsi="Arial" w:cs="Arial"/>
        </w:rPr>
        <w:br/>
      </w:r>
      <w:r w:rsidRPr="006B189C">
        <w:rPr>
          <w:rFonts w:ascii="Arial" w:hAnsi="Arial" w:cs="Arial"/>
        </w:rPr>
        <w:br/>
        <w:t>With manufacturers making significant investments in electric vehicles (EVs), renewable energy integration, and carbon reduction strategies, the worldwide automobile industry is undergoing a sea change. With its series and ambitious sustainability targets, BMW has established itself as a leader in "sustainable premium mobility," with an emphasis on electrification, digitali</w:t>
      </w:r>
      <w:r>
        <w:rPr>
          <w:rFonts w:ascii="Arial" w:hAnsi="Arial" w:cs="Arial"/>
        </w:rPr>
        <w:t>s</w:t>
      </w:r>
      <w:r w:rsidRPr="006B189C">
        <w:rPr>
          <w:rFonts w:ascii="Arial" w:hAnsi="Arial" w:cs="Arial"/>
        </w:rPr>
        <w:t>ation, and circular economy concepts (BMW Group, 2024). </w:t>
      </w:r>
      <w:r w:rsidRPr="006B189C">
        <w:rPr>
          <w:rFonts w:ascii="Arial" w:hAnsi="Arial" w:cs="Arial"/>
        </w:rPr>
        <w:br/>
      </w:r>
      <w:r w:rsidRPr="006B189C">
        <w:rPr>
          <w:rFonts w:ascii="Arial" w:hAnsi="Arial" w:cs="Arial"/>
        </w:rPr>
        <w:br/>
        <w:t>Even with these measures, the industry is still experiencing growing suspicion. Several studies and watchdog organi</w:t>
      </w:r>
      <w:r>
        <w:rPr>
          <w:rFonts w:ascii="Arial" w:hAnsi="Arial" w:cs="Arial"/>
        </w:rPr>
        <w:t>s</w:t>
      </w:r>
      <w:r w:rsidRPr="006B189C">
        <w:rPr>
          <w:rFonts w:ascii="Arial" w:hAnsi="Arial" w:cs="Arial"/>
        </w:rPr>
        <w:t>ations, including Greenpeace (2023), have documented instances in which manufacturers have either overstated the environmental advantages of their vehicles or left out important information, such as the carbon footprint related to battery manufacture. Additionally, despite the rise in EV sales, internal combustion engine vehicles continue to account for a large percentage of BMW's worldwide sales, which contradicts its reputation as a leader in sustainability. Regulatory agencies in the EU and other areas have increased their inspection of green marketing claims, which has raised the compliance and reputational risks for automakers who don't offer clear, verifiable information. </w:t>
      </w:r>
      <w:r w:rsidRPr="006B189C">
        <w:rPr>
          <w:rFonts w:ascii="Arial" w:hAnsi="Arial" w:cs="Arial"/>
        </w:rPr>
        <w:br/>
      </w:r>
      <w:r w:rsidRPr="006B189C">
        <w:rPr>
          <w:rFonts w:ascii="Arial" w:hAnsi="Arial" w:cs="Arial"/>
        </w:rPr>
        <w:br/>
      </w:r>
      <w:r>
        <w:rPr>
          <w:rFonts w:ascii="Arial" w:hAnsi="Arial" w:cs="Arial"/>
        </w:rPr>
        <w:t>Except</w:t>
      </w:r>
      <w:r w:rsidRPr="006B189C">
        <w:rPr>
          <w:rFonts w:ascii="Arial" w:hAnsi="Arial" w:cs="Arial"/>
        </w:rPr>
        <w:t xml:space="preserve"> </w:t>
      </w:r>
      <w:r>
        <w:rPr>
          <w:rFonts w:ascii="Arial" w:hAnsi="Arial" w:cs="Arial"/>
        </w:rPr>
        <w:t>for</w:t>
      </w:r>
      <w:r w:rsidRPr="006B189C">
        <w:rPr>
          <w:rFonts w:ascii="Arial" w:hAnsi="Arial" w:cs="Arial"/>
        </w:rPr>
        <w:t> </w:t>
      </w:r>
      <w:r w:rsidRPr="006B189C">
        <w:rPr>
          <w:rFonts w:ascii="Arial" w:hAnsi="Arial" w:cs="Arial"/>
        </w:rPr>
        <w:br/>
      </w:r>
      <w:r w:rsidRPr="006B189C">
        <w:rPr>
          <w:rFonts w:ascii="Arial" w:hAnsi="Arial" w:cs="Arial"/>
        </w:rPr>
        <w:br/>
        <w:t>Analysis of the Root Cause </w:t>
      </w:r>
      <w:r w:rsidRPr="006B189C">
        <w:rPr>
          <w:rFonts w:ascii="Arial" w:hAnsi="Arial" w:cs="Arial"/>
        </w:rPr>
        <w:br/>
      </w:r>
      <w:r w:rsidRPr="006B189C">
        <w:rPr>
          <w:rFonts w:ascii="Arial" w:hAnsi="Arial" w:cs="Arial"/>
        </w:rPr>
        <w:br/>
        <w:t>The continued prevalence of greenwashing in the car industry can be attributed to a number of underlying factors. First, the complexity of supply chains makes it challenging for businesses to assess and manage environmental impacts throughout all stages of production, from raw material extraction to end-of-life recycling (Lyon and Montgomery, 2015). Secondly, companies are driven to differentiate their brands through sustainability stories due to competitive market pressures, which frequently results in the exaggeration of environmental accomplishments. Thirdly, regulatory discrepancies between nations allow manufacturers to take advantage of loopholes or provide data that is incomplete and may seem positive</w:t>
      </w:r>
      <w:r>
        <w:rPr>
          <w:rFonts w:ascii="Arial" w:hAnsi="Arial" w:cs="Arial"/>
        </w:rPr>
        <w:t>,</w:t>
      </w:r>
      <w:r w:rsidRPr="006B189C">
        <w:rPr>
          <w:rFonts w:ascii="Arial" w:hAnsi="Arial" w:cs="Arial"/>
        </w:rPr>
        <w:t xml:space="preserve"> but does not fully reveal all the facts. </w:t>
      </w:r>
      <w:r w:rsidRPr="006B189C">
        <w:rPr>
          <w:rFonts w:ascii="Arial" w:hAnsi="Arial" w:cs="Arial"/>
        </w:rPr>
        <w:br/>
      </w:r>
      <w:r w:rsidRPr="006B189C">
        <w:rPr>
          <w:rFonts w:ascii="Arial" w:hAnsi="Arial" w:cs="Arial"/>
        </w:rPr>
        <w:br/>
        <w:t>In BMW's instance, the necessity to preserve brand reputation and profitability coexists with the company's actual investments in electrification. This conflict between environmental goals and market constraints might unintentionally result in communication that exaggerates advancements while downplaying shortcomings. The problem frequently stems from the challenge of balancing environmental statements with commercial requirements, rather than deliberate misrepresentation. </w:t>
      </w:r>
      <w:r w:rsidRPr="006B189C">
        <w:rPr>
          <w:rFonts w:ascii="Arial" w:hAnsi="Arial" w:cs="Arial"/>
        </w:rPr>
        <w:br/>
      </w:r>
      <w:r w:rsidRPr="006B189C">
        <w:rPr>
          <w:rFonts w:ascii="Arial" w:hAnsi="Arial" w:cs="Arial"/>
        </w:rPr>
        <w:br/>
      </w:r>
    </w:p>
    <w:p w:rsidR="006B189C" w:rsidRDefault="006B189C" w:rsidP="006B189C">
      <w:pPr>
        <w:rPr>
          <w:rFonts w:ascii="Arial" w:hAnsi="Arial" w:cs="Arial"/>
        </w:rPr>
      </w:pPr>
      <w:r w:rsidRPr="006B189C">
        <w:rPr>
          <w:rFonts w:ascii="Arial" w:hAnsi="Arial" w:cs="Arial"/>
        </w:rPr>
        <w:br/>
      </w:r>
    </w:p>
    <w:p w:rsidR="006B189C" w:rsidRDefault="006B189C" w:rsidP="006B189C">
      <w:pPr>
        <w:rPr>
          <w:rFonts w:ascii="Arial" w:hAnsi="Arial" w:cs="Arial"/>
        </w:rPr>
      </w:pPr>
    </w:p>
    <w:p w:rsidR="006B189C" w:rsidRDefault="006B189C" w:rsidP="006B189C">
      <w:pPr>
        <w:rPr>
          <w:rFonts w:ascii="Arial" w:hAnsi="Arial" w:cs="Arial"/>
        </w:rPr>
      </w:pPr>
      <w:r w:rsidRPr="006B189C">
        <w:rPr>
          <w:rFonts w:ascii="Arial" w:hAnsi="Arial" w:cs="Arial"/>
          <w:sz w:val="32"/>
          <w:szCs w:val="32"/>
        </w:rPr>
        <w:lastRenderedPageBreak/>
        <w:br/>
        <w:t>In summary</w:t>
      </w:r>
      <w:r w:rsidRPr="006B189C">
        <w:rPr>
          <w:rFonts w:ascii="Arial" w:hAnsi="Arial" w:cs="Arial"/>
        </w:rPr>
        <w:t> </w:t>
      </w:r>
    </w:p>
    <w:p w:rsidR="006B189C" w:rsidRDefault="006B189C" w:rsidP="006B189C">
      <w:pPr>
        <w:rPr>
          <w:rFonts w:ascii="Arial" w:hAnsi="Arial" w:cs="Arial"/>
        </w:rPr>
      </w:pPr>
    </w:p>
    <w:p w:rsidR="006B189C" w:rsidRDefault="006B189C" w:rsidP="006B189C">
      <w:pPr>
        <w:rPr>
          <w:rFonts w:ascii="Arial" w:hAnsi="Arial" w:cs="Arial"/>
        </w:rPr>
      </w:pPr>
      <w:r w:rsidRPr="006B189C">
        <w:rPr>
          <w:rFonts w:ascii="Arial" w:hAnsi="Arial" w:cs="Arial"/>
        </w:rPr>
        <w:br/>
      </w:r>
      <w:r w:rsidRPr="006B189C">
        <w:rPr>
          <w:rFonts w:ascii="Arial" w:hAnsi="Arial" w:cs="Arial"/>
        </w:rPr>
        <w:br/>
        <w:t>The reputation and long-term viability of auto manufacturers are at risk from greenwashing. Maintaining data integrity, transparency, and third-party confirmation of sustainability claims will be essential for BMW in order to uphold regulatory compliance and consumer confidence. Going forward, businesses need to focus on quantifiable outcomes rather than marketing talk by implementing comprehensive life-cycle assessments, open data reporting, and more stringent internal auditing processes. A sincere and verifiable commitment to sustainability will not only safeguard BMW's reputation but will also make a significant contribution to worldwide environmental objectives.</w:t>
      </w: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Default="006B189C" w:rsidP="006B189C">
      <w:pPr>
        <w:rPr>
          <w:rFonts w:ascii="Arial" w:hAnsi="Arial" w:cs="Arial"/>
        </w:rPr>
      </w:pPr>
    </w:p>
    <w:p w:rsidR="006B189C" w:rsidRPr="006B189C" w:rsidRDefault="006B189C" w:rsidP="006B189C">
      <w:pPr>
        <w:rPr>
          <w:rFonts w:ascii="Arial" w:hAnsi="Arial" w:cs="Arial"/>
          <w:sz w:val="32"/>
          <w:szCs w:val="32"/>
        </w:rPr>
      </w:pPr>
      <w:r w:rsidRPr="006B189C">
        <w:rPr>
          <w:rFonts w:ascii="Arial" w:hAnsi="Arial" w:cs="Arial"/>
          <w:sz w:val="32"/>
          <w:szCs w:val="32"/>
        </w:rPr>
        <w:lastRenderedPageBreak/>
        <w:t>References</w:t>
      </w:r>
    </w:p>
    <w:p w:rsidR="006B189C" w:rsidRDefault="006B189C" w:rsidP="006B189C">
      <w:pPr>
        <w:rPr>
          <w:rFonts w:ascii="Arial" w:hAnsi="Arial" w:cs="Arial"/>
        </w:rPr>
      </w:pPr>
    </w:p>
    <w:p w:rsidR="006B189C" w:rsidRPr="006B189C" w:rsidRDefault="006B189C" w:rsidP="006B189C">
      <w:pPr>
        <w:rPr>
          <w:rFonts w:ascii="Arial" w:hAnsi="Arial" w:cs="Arial"/>
        </w:rPr>
      </w:pPr>
    </w:p>
    <w:p w:rsidR="006B189C" w:rsidRPr="006B189C" w:rsidRDefault="006B189C" w:rsidP="006B189C">
      <w:pPr>
        <w:rPr>
          <w:rFonts w:ascii="Arial" w:hAnsi="Arial" w:cs="Arial"/>
        </w:rPr>
      </w:pPr>
    </w:p>
    <w:p w:rsidR="006B189C" w:rsidRPr="006B189C" w:rsidRDefault="006B189C" w:rsidP="006B189C">
      <w:pPr>
        <w:rPr>
          <w:rFonts w:ascii="Arial" w:hAnsi="Arial" w:cs="Arial"/>
        </w:rPr>
      </w:pPr>
      <w:r w:rsidRPr="006B189C">
        <w:rPr>
          <w:rFonts w:ascii="Arial" w:hAnsi="Arial" w:cs="Arial"/>
        </w:rPr>
        <w:t>BMW Group, 2024. Sustainability Report 2024. Munich: BMW Group. [online] Available at: </w:t>
      </w:r>
      <w:hyperlink r:id="rId5" w:tooltip="https://emea01.safelinks.protection.outlook.com/?url=https%3A%2F%2Fwww.bmwgroup.com%2Fen%2Fresponsibility%2Fsustainability-report.html&amp;data=05%7C02%7C%7C383306c9b1a7484d833208de220ed6a9%7C84df9e7fe9f640afb435aaaaaaaaaaaa%7C1%7C0%7C638985644346341865%7CUnknown%7CTWFpbGZsb3d8eyJFbXB0eU1hcGkiOnRydWUsIlYiOiIwLjAuMDAwMCIsIlAiOiJXaW4zMiIsIkFOIjoiTWFpbCIsIldUIjoyfQ%3D%3D%7C0%7C%7C%7C&amp;sdata=Rx5pP8xTklEg3VWScctb6NqGYGTrfLy8M2eslO1VEFw%3D&amp;reserved=0" w:history="1">
        <w:r w:rsidRPr="006B189C">
          <w:rPr>
            <w:rStyle w:val="Hyperlink"/>
            <w:rFonts w:ascii="Arial" w:hAnsi="Arial" w:cs="Arial"/>
          </w:rPr>
          <w:t>https://www.bmwgroup.com/en/responsibility/sustainability-report.html</w:t>
        </w:r>
      </w:hyperlink>
      <w:r w:rsidRPr="006B189C">
        <w:rPr>
          <w:rFonts w:ascii="Arial" w:hAnsi="Arial" w:cs="Arial"/>
        </w:rPr>
        <w:fldChar w:fldCharType="begin"/>
      </w:r>
      <w:r w:rsidRPr="006B189C">
        <w:rPr>
          <w:rFonts w:ascii="Arial" w:hAnsi="Arial" w:cs="Arial"/>
        </w:rPr>
        <w:instrText xml:space="preserve"> INCLUDEPICTURE "content-blocker://" \* MERGEFORMATINET </w:instrText>
      </w:r>
      <w:r w:rsidRPr="006B189C">
        <w:rPr>
          <w:rFonts w:ascii="Arial" w:hAnsi="Arial" w:cs="Arial"/>
        </w:rPr>
        <w:fldChar w:fldCharType="separate"/>
      </w:r>
      <w:r w:rsidRPr="006B189C">
        <w:rPr>
          <w:rFonts w:ascii="Arial" w:hAnsi="Arial" w:cs="Arial"/>
        </w:rPr>
        <mc:AlternateContent>
          <mc:Choice Requires="wps">
            <w:drawing>
              <wp:inline distT="0" distB="0" distL="0" distR="0">
                <wp:extent cx="304800" cy="304800"/>
                <wp:effectExtent l="0" t="0" r="0" b="0"/>
                <wp:docPr id="1583528738"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893D21" id="Rectangl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6B189C">
        <w:rPr>
          <w:rFonts w:ascii="Arial" w:hAnsi="Arial" w:cs="Arial"/>
        </w:rPr>
        <w:fldChar w:fldCharType="end"/>
      </w:r>
      <w:r w:rsidRPr="006B189C">
        <w:rPr>
          <w:rFonts w:ascii="Arial" w:hAnsi="Arial" w:cs="Arial"/>
        </w:rPr>
        <w:t> [Accessed 12 Nov. 2025].</w:t>
      </w:r>
    </w:p>
    <w:p w:rsidR="006B189C" w:rsidRPr="006B189C" w:rsidRDefault="006B189C" w:rsidP="006B189C">
      <w:pPr>
        <w:rPr>
          <w:rFonts w:ascii="Arial" w:hAnsi="Arial" w:cs="Arial"/>
        </w:rPr>
      </w:pPr>
    </w:p>
    <w:p w:rsidR="006B189C" w:rsidRPr="006B189C" w:rsidRDefault="006B189C" w:rsidP="006B189C">
      <w:pPr>
        <w:rPr>
          <w:rFonts w:ascii="Arial" w:hAnsi="Arial" w:cs="Arial"/>
        </w:rPr>
      </w:pPr>
      <w:r w:rsidRPr="006B189C">
        <w:rPr>
          <w:rFonts w:ascii="Arial" w:hAnsi="Arial" w:cs="Arial"/>
        </w:rPr>
        <w:t xml:space="preserve">Delmas, M.A. and </w:t>
      </w:r>
      <w:proofErr w:type="spellStart"/>
      <w:r w:rsidRPr="006B189C">
        <w:rPr>
          <w:rFonts w:ascii="Arial" w:hAnsi="Arial" w:cs="Arial"/>
        </w:rPr>
        <w:t>Burbano</w:t>
      </w:r>
      <w:proofErr w:type="spellEnd"/>
      <w:r w:rsidRPr="006B189C">
        <w:rPr>
          <w:rFonts w:ascii="Arial" w:hAnsi="Arial" w:cs="Arial"/>
        </w:rPr>
        <w:t>, V.C., 2011. The Drivers of Greenwashing. California Management Review, 54(1), pp.64–87.</w:t>
      </w:r>
    </w:p>
    <w:p w:rsidR="006B189C" w:rsidRPr="006B189C" w:rsidRDefault="006B189C" w:rsidP="006B189C">
      <w:pPr>
        <w:rPr>
          <w:rFonts w:ascii="Arial" w:hAnsi="Arial" w:cs="Arial"/>
        </w:rPr>
      </w:pPr>
    </w:p>
    <w:p w:rsidR="006B189C" w:rsidRPr="006B189C" w:rsidRDefault="006B189C" w:rsidP="006B189C">
      <w:pPr>
        <w:rPr>
          <w:rFonts w:ascii="Arial" w:hAnsi="Arial" w:cs="Arial"/>
        </w:rPr>
      </w:pPr>
      <w:r w:rsidRPr="006B189C">
        <w:rPr>
          <w:rFonts w:ascii="Arial" w:hAnsi="Arial" w:cs="Arial"/>
        </w:rPr>
        <w:t>European Environment Agency, 2023. Electric Vehicles and Emissions: Trends in the EU. [online] Available at: </w:t>
      </w:r>
      <w:hyperlink r:id="rId6" w:tooltip="https://emea01.safelinks.protection.outlook.com/?url=https%3A%2F%2Fwww.eea.europa.eu%2Fhighlights%2Felectric-vehicles-and-emissions&amp;data=05%7C02%7C%7C383306c9b1a7484d833208de220ed6a9%7C84df9e7fe9f640afb435aaaaaaaaaaaa%7C1%7C0%7C638985644346383966%7CUnknown%7CTWFpbGZsb3d8eyJFbXB0eU1hcGkiOnRydWUsIlYiOiIwLjAuMDAwMCIsIlAiOiJXaW4zMiIsIkFOIjoiTWFpbCIsIldUIjoyfQ%3D%3D%7C0%7C%7C%7C&amp;sdata=VQ7ZfYnOKHW7h9n6%2BELzQEUzlkp%2FnV7jtP8fMq6SvEk%3D&amp;reserved=0" w:history="1">
        <w:r w:rsidRPr="006B189C">
          <w:rPr>
            <w:rStyle w:val="Hyperlink"/>
            <w:rFonts w:ascii="Arial" w:hAnsi="Arial" w:cs="Arial"/>
          </w:rPr>
          <w:t>https://www.eea.europa.eu/highlights/electric-vehicles-and-emissions</w:t>
        </w:r>
      </w:hyperlink>
      <w:r w:rsidRPr="006B189C">
        <w:rPr>
          <w:rFonts w:ascii="Arial" w:hAnsi="Arial" w:cs="Arial"/>
        </w:rPr>
        <w:fldChar w:fldCharType="begin"/>
      </w:r>
      <w:r w:rsidRPr="006B189C">
        <w:rPr>
          <w:rFonts w:ascii="Arial" w:hAnsi="Arial" w:cs="Arial"/>
        </w:rPr>
        <w:instrText xml:space="preserve"> INCLUDEPICTURE "content-blocker://" \* MERGEFORMATINET </w:instrText>
      </w:r>
      <w:r w:rsidRPr="006B189C">
        <w:rPr>
          <w:rFonts w:ascii="Arial" w:hAnsi="Arial" w:cs="Arial"/>
        </w:rPr>
        <w:fldChar w:fldCharType="separate"/>
      </w:r>
      <w:r w:rsidRPr="006B189C">
        <w:rPr>
          <w:rFonts w:ascii="Arial" w:hAnsi="Arial" w:cs="Arial"/>
        </w:rPr>
        <mc:AlternateContent>
          <mc:Choice Requires="wps">
            <w:drawing>
              <wp:inline distT="0" distB="0" distL="0" distR="0">
                <wp:extent cx="304800" cy="304800"/>
                <wp:effectExtent l="0" t="0" r="0" b="0"/>
                <wp:docPr id="615818432"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ED2560"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6B189C">
        <w:rPr>
          <w:rFonts w:ascii="Arial" w:hAnsi="Arial" w:cs="Arial"/>
        </w:rPr>
        <w:fldChar w:fldCharType="end"/>
      </w:r>
      <w:r w:rsidRPr="006B189C">
        <w:rPr>
          <w:rFonts w:ascii="Arial" w:hAnsi="Arial" w:cs="Arial"/>
        </w:rPr>
        <w:t> [Accessed 12 Nov. 2025].</w:t>
      </w:r>
    </w:p>
    <w:p w:rsidR="006B189C" w:rsidRPr="006B189C" w:rsidRDefault="006B189C" w:rsidP="006B189C">
      <w:pPr>
        <w:rPr>
          <w:rFonts w:ascii="Arial" w:hAnsi="Arial" w:cs="Arial"/>
        </w:rPr>
      </w:pPr>
    </w:p>
    <w:p w:rsidR="006B189C" w:rsidRPr="006B189C" w:rsidRDefault="006B189C" w:rsidP="006B189C">
      <w:pPr>
        <w:rPr>
          <w:rFonts w:ascii="Arial" w:hAnsi="Arial" w:cs="Arial"/>
        </w:rPr>
      </w:pPr>
      <w:r w:rsidRPr="006B189C">
        <w:rPr>
          <w:rFonts w:ascii="Arial" w:hAnsi="Arial" w:cs="Arial"/>
        </w:rPr>
        <w:t>Greenpeace, 2023. Greenwashing in the Automotive Industry: A Global Report. [online] Available at: </w:t>
      </w:r>
      <w:hyperlink r:id="rId7" w:tooltip="https://emea01.safelinks.protection.outlook.com/?url=https%3A%2F%2Fwww.greenpeace.org%2Finternational%2Fstory%2Fgreenwashing-in-automotive%2F&amp;data=05%7C02%7C%7C383306c9b1a7484d833208de220ed6a9%7C84df9e7fe9f640afb435aaaaaaaaaaaa%7C1%7C0%7C638985644346410074%7CUnknown%7CTWFpbGZsb3d8eyJFbXB0eU1hcGkiOnRydWUsIlYiOiIwLjAuMDAwMCIsIlAiOiJXaW4zMiIsIkFOIjoiTWFpbCIsIldUIjoyfQ%3D%3D%7C0%7C%7C%7C&amp;sdata=A4pidfL257bklzt5qbUdEAmmeQ2GZjmJHsGcrBu0fTQ%3D&amp;reserved=0" w:history="1">
        <w:r w:rsidRPr="006B189C">
          <w:rPr>
            <w:rStyle w:val="Hyperlink"/>
            <w:rFonts w:ascii="Arial" w:hAnsi="Arial" w:cs="Arial"/>
          </w:rPr>
          <w:t>https://www.greenpeace.org/international/story/greenwashing-in-automotive/</w:t>
        </w:r>
      </w:hyperlink>
      <w:r w:rsidRPr="006B189C">
        <w:rPr>
          <w:rFonts w:ascii="Arial" w:hAnsi="Arial" w:cs="Arial"/>
        </w:rPr>
        <w:fldChar w:fldCharType="begin"/>
      </w:r>
      <w:r w:rsidRPr="006B189C">
        <w:rPr>
          <w:rFonts w:ascii="Arial" w:hAnsi="Arial" w:cs="Arial"/>
        </w:rPr>
        <w:instrText xml:space="preserve"> INCLUDEPICTURE "content-blocker://" \* MERGEFORMATINET </w:instrText>
      </w:r>
      <w:r w:rsidRPr="006B189C">
        <w:rPr>
          <w:rFonts w:ascii="Arial" w:hAnsi="Arial" w:cs="Arial"/>
        </w:rPr>
        <w:fldChar w:fldCharType="separate"/>
      </w:r>
      <w:r w:rsidRPr="006B189C">
        <w:rPr>
          <w:rFonts w:ascii="Arial" w:hAnsi="Arial" w:cs="Arial"/>
        </w:rPr>
        <mc:AlternateContent>
          <mc:Choice Requires="wps">
            <w:drawing>
              <wp:inline distT="0" distB="0" distL="0" distR="0">
                <wp:extent cx="304800" cy="304800"/>
                <wp:effectExtent l="0" t="0" r="0" b="0"/>
                <wp:docPr id="92208919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342294"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6B189C">
        <w:rPr>
          <w:rFonts w:ascii="Arial" w:hAnsi="Arial" w:cs="Arial"/>
        </w:rPr>
        <w:fldChar w:fldCharType="end"/>
      </w:r>
      <w:r w:rsidRPr="006B189C">
        <w:rPr>
          <w:rFonts w:ascii="Arial" w:hAnsi="Arial" w:cs="Arial"/>
        </w:rPr>
        <w:t> [Accessed 12 Nov. 2025].</w:t>
      </w:r>
    </w:p>
    <w:p w:rsidR="006B189C" w:rsidRPr="006B189C" w:rsidRDefault="006B189C" w:rsidP="006B189C">
      <w:pPr>
        <w:rPr>
          <w:rFonts w:ascii="Arial" w:hAnsi="Arial" w:cs="Arial"/>
        </w:rPr>
      </w:pPr>
    </w:p>
    <w:p w:rsidR="006B189C" w:rsidRPr="006B189C" w:rsidRDefault="006B189C" w:rsidP="006B189C">
      <w:pPr>
        <w:rPr>
          <w:rFonts w:ascii="Arial" w:hAnsi="Arial" w:cs="Arial"/>
        </w:rPr>
      </w:pPr>
      <w:r w:rsidRPr="006B189C">
        <w:rPr>
          <w:rFonts w:ascii="Arial" w:hAnsi="Arial" w:cs="Arial"/>
        </w:rPr>
        <w:t>Lyon, T.P. and Montgomery, A.W., 2015. The Means and End of Greenwash. Organization &amp; Environment, 28(2), pp.223–249.</w:t>
      </w:r>
    </w:p>
    <w:p w:rsidR="006B189C" w:rsidRPr="006B189C" w:rsidRDefault="006B189C" w:rsidP="006B189C">
      <w:pPr>
        <w:rPr>
          <w:rFonts w:ascii="Arial" w:hAnsi="Arial" w:cs="Arial"/>
        </w:rPr>
      </w:pPr>
    </w:p>
    <w:p w:rsidR="006B189C" w:rsidRPr="006B189C" w:rsidRDefault="006B189C" w:rsidP="006B189C">
      <w:pPr>
        <w:rPr>
          <w:rFonts w:ascii="Arial" w:hAnsi="Arial" w:cs="Arial"/>
        </w:rPr>
      </w:pPr>
      <w:r w:rsidRPr="006B189C">
        <w:rPr>
          <w:rFonts w:ascii="Arial" w:hAnsi="Arial" w:cs="Arial"/>
        </w:rPr>
        <w:t>Kotler, P. and Keller, K.L., 2016. Marketing Management. 15th ed. Harlow: Pearson Education Limited.</w:t>
      </w:r>
    </w:p>
    <w:p w:rsidR="006B189C" w:rsidRPr="006B189C" w:rsidRDefault="006B189C" w:rsidP="006B189C">
      <w:pPr>
        <w:rPr>
          <w:rFonts w:ascii="Arial" w:hAnsi="Arial" w:cs="Arial"/>
        </w:rPr>
      </w:pPr>
    </w:p>
    <w:p w:rsidR="00337F3E" w:rsidRPr="006B189C" w:rsidRDefault="00337F3E">
      <w:pPr>
        <w:rPr>
          <w:rFonts w:ascii="Arial" w:hAnsi="Arial" w:cs="Arial"/>
        </w:rPr>
      </w:pPr>
    </w:p>
    <w:sectPr w:rsidR="00337F3E" w:rsidRPr="006B18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89C"/>
    <w:rsid w:val="0018662A"/>
    <w:rsid w:val="00337F3E"/>
    <w:rsid w:val="006B189C"/>
    <w:rsid w:val="00705300"/>
    <w:rsid w:val="007911D0"/>
    <w:rsid w:val="00931B09"/>
    <w:rsid w:val="00994309"/>
    <w:rsid w:val="00B72569"/>
    <w:rsid w:val="00D71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6F812"/>
  <w15:chartTrackingRefBased/>
  <w15:docId w15:val="{24158903-4EB0-A04E-AC64-241CA608F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189C"/>
    <w:rPr>
      <w:color w:val="0563C1" w:themeColor="hyperlink"/>
      <w:u w:val="single"/>
    </w:rPr>
  </w:style>
  <w:style w:type="character" w:styleId="UnresolvedMention">
    <w:name w:val="Unresolved Mention"/>
    <w:basedOn w:val="DefaultParagraphFont"/>
    <w:uiPriority w:val="99"/>
    <w:semiHidden/>
    <w:unhideWhenUsed/>
    <w:rsid w:val="006B18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9733954">
      <w:bodyDiv w:val="1"/>
      <w:marLeft w:val="0"/>
      <w:marRight w:val="0"/>
      <w:marTop w:val="0"/>
      <w:marBottom w:val="0"/>
      <w:divBdr>
        <w:top w:val="none" w:sz="0" w:space="0" w:color="auto"/>
        <w:left w:val="none" w:sz="0" w:space="0" w:color="auto"/>
        <w:bottom w:val="none" w:sz="0" w:space="0" w:color="auto"/>
        <w:right w:val="none" w:sz="0" w:space="0" w:color="auto"/>
      </w:divBdr>
      <w:divsChild>
        <w:div w:id="1854369295">
          <w:marLeft w:val="0"/>
          <w:marRight w:val="0"/>
          <w:marTop w:val="0"/>
          <w:marBottom w:val="0"/>
          <w:divBdr>
            <w:top w:val="none" w:sz="0" w:space="0" w:color="auto"/>
            <w:left w:val="none" w:sz="0" w:space="0" w:color="auto"/>
            <w:bottom w:val="none" w:sz="0" w:space="0" w:color="auto"/>
            <w:right w:val="none" w:sz="0" w:space="0" w:color="auto"/>
          </w:divBdr>
        </w:div>
        <w:div w:id="1462533958">
          <w:marLeft w:val="0"/>
          <w:marRight w:val="0"/>
          <w:marTop w:val="0"/>
          <w:marBottom w:val="0"/>
          <w:divBdr>
            <w:top w:val="none" w:sz="0" w:space="0" w:color="auto"/>
            <w:left w:val="none" w:sz="0" w:space="0" w:color="auto"/>
            <w:bottom w:val="none" w:sz="0" w:space="0" w:color="auto"/>
            <w:right w:val="none" w:sz="0" w:space="0" w:color="auto"/>
          </w:divBdr>
        </w:div>
        <w:div w:id="869955221">
          <w:marLeft w:val="0"/>
          <w:marRight w:val="0"/>
          <w:marTop w:val="0"/>
          <w:marBottom w:val="0"/>
          <w:divBdr>
            <w:top w:val="none" w:sz="0" w:space="0" w:color="auto"/>
            <w:left w:val="none" w:sz="0" w:space="0" w:color="auto"/>
            <w:bottom w:val="none" w:sz="0" w:space="0" w:color="auto"/>
            <w:right w:val="none" w:sz="0" w:space="0" w:color="auto"/>
          </w:divBdr>
          <w:divsChild>
            <w:div w:id="2085637514">
              <w:marLeft w:val="0"/>
              <w:marRight w:val="0"/>
              <w:marTop w:val="0"/>
              <w:marBottom w:val="0"/>
              <w:divBdr>
                <w:top w:val="none" w:sz="0" w:space="0" w:color="auto"/>
                <w:left w:val="none" w:sz="0" w:space="0" w:color="auto"/>
                <w:bottom w:val="none" w:sz="0" w:space="0" w:color="auto"/>
                <w:right w:val="none" w:sz="0" w:space="0" w:color="auto"/>
              </w:divBdr>
              <w:divsChild>
                <w:div w:id="125393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005022">
      <w:bodyDiv w:val="1"/>
      <w:marLeft w:val="0"/>
      <w:marRight w:val="0"/>
      <w:marTop w:val="0"/>
      <w:marBottom w:val="0"/>
      <w:divBdr>
        <w:top w:val="none" w:sz="0" w:space="0" w:color="auto"/>
        <w:left w:val="none" w:sz="0" w:space="0" w:color="auto"/>
        <w:bottom w:val="none" w:sz="0" w:space="0" w:color="auto"/>
        <w:right w:val="none" w:sz="0" w:space="0" w:color="auto"/>
      </w:divBdr>
      <w:divsChild>
        <w:div w:id="1797799123">
          <w:marLeft w:val="0"/>
          <w:marRight w:val="0"/>
          <w:marTop w:val="0"/>
          <w:marBottom w:val="0"/>
          <w:divBdr>
            <w:top w:val="none" w:sz="0" w:space="0" w:color="auto"/>
            <w:left w:val="none" w:sz="0" w:space="0" w:color="auto"/>
            <w:bottom w:val="none" w:sz="0" w:space="0" w:color="auto"/>
            <w:right w:val="none" w:sz="0" w:space="0" w:color="auto"/>
          </w:divBdr>
        </w:div>
        <w:div w:id="233858869">
          <w:marLeft w:val="0"/>
          <w:marRight w:val="0"/>
          <w:marTop w:val="0"/>
          <w:marBottom w:val="0"/>
          <w:divBdr>
            <w:top w:val="none" w:sz="0" w:space="0" w:color="auto"/>
            <w:left w:val="none" w:sz="0" w:space="0" w:color="auto"/>
            <w:bottom w:val="none" w:sz="0" w:space="0" w:color="auto"/>
            <w:right w:val="none" w:sz="0" w:space="0" w:color="auto"/>
          </w:divBdr>
        </w:div>
        <w:div w:id="1238319451">
          <w:marLeft w:val="0"/>
          <w:marRight w:val="0"/>
          <w:marTop w:val="0"/>
          <w:marBottom w:val="0"/>
          <w:divBdr>
            <w:top w:val="none" w:sz="0" w:space="0" w:color="auto"/>
            <w:left w:val="none" w:sz="0" w:space="0" w:color="auto"/>
            <w:bottom w:val="none" w:sz="0" w:space="0" w:color="auto"/>
            <w:right w:val="none" w:sz="0" w:space="0" w:color="auto"/>
          </w:divBdr>
          <w:divsChild>
            <w:div w:id="2074349394">
              <w:marLeft w:val="0"/>
              <w:marRight w:val="0"/>
              <w:marTop w:val="0"/>
              <w:marBottom w:val="0"/>
              <w:divBdr>
                <w:top w:val="none" w:sz="0" w:space="0" w:color="auto"/>
                <w:left w:val="none" w:sz="0" w:space="0" w:color="auto"/>
                <w:bottom w:val="none" w:sz="0" w:space="0" w:color="auto"/>
                <w:right w:val="none" w:sz="0" w:space="0" w:color="auto"/>
              </w:divBdr>
              <w:divsChild>
                <w:div w:id="30867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331798">
      <w:bodyDiv w:val="1"/>
      <w:marLeft w:val="0"/>
      <w:marRight w:val="0"/>
      <w:marTop w:val="0"/>
      <w:marBottom w:val="0"/>
      <w:divBdr>
        <w:top w:val="none" w:sz="0" w:space="0" w:color="auto"/>
        <w:left w:val="none" w:sz="0" w:space="0" w:color="auto"/>
        <w:bottom w:val="none" w:sz="0" w:space="0" w:color="auto"/>
        <w:right w:val="none" w:sz="0" w:space="0" w:color="auto"/>
      </w:divBdr>
      <w:divsChild>
        <w:div w:id="848561258">
          <w:marLeft w:val="0"/>
          <w:marRight w:val="0"/>
          <w:marTop w:val="0"/>
          <w:marBottom w:val="0"/>
          <w:divBdr>
            <w:top w:val="none" w:sz="0" w:space="0" w:color="auto"/>
            <w:left w:val="none" w:sz="0" w:space="0" w:color="auto"/>
            <w:bottom w:val="none" w:sz="0" w:space="0" w:color="auto"/>
            <w:right w:val="none" w:sz="0" w:space="0" w:color="auto"/>
          </w:divBdr>
          <w:divsChild>
            <w:div w:id="1470201531">
              <w:marLeft w:val="0"/>
              <w:marRight w:val="0"/>
              <w:marTop w:val="0"/>
              <w:marBottom w:val="0"/>
              <w:divBdr>
                <w:top w:val="none" w:sz="0" w:space="0" w:color="auto"/>
                <w:left w:val="none" w:sz="0" w:space="0" w:color="auto"/>
                <w:bottom w:val="none" w:sz="0" w:space="0" w:color="auto"/>
                <w:right w:val="none" w:sz="0" w:space="0" w:color="auto"/>
              </w:divBdr>
              <w:divsChild>
                <w:div w:id="233202934">
                  <w:marLeft w:val="0"/>
                  <w:marRight w:val="0"/>
                  <w:marTop w:val="0"/>
                  <w:marBottom w:val="0"/>
                  <w:divBdr>
                    <w:top w:val="none" w:sz="0" w:space="0" w:color="auto"/>
                    <w:left w:val="none" w:sz="0" w:space="0" w:color="auto"/>
                    <w:bottom w:val="none" w:sz="0" w:space="0" w:color="auto"/>
                    <w:right w:val="none" w:sz="0" w:space="0" w:color="auto"/>
                  </w:divBdr>
                </w:div>
              </w:divsChild>
            </w:div>
            <w:div w:id="1602567584">
              <w:marLeft w:val="0"/>
              <w:marRight w:val="0"/>
              <w:marTop w:val="0"/>
              <w:marBottom w:val="0"/>
              <w:divBdr>
                <w:top w:val="none" w:sz="0" w:space="0" w:color="auto"/>
                <w:left w:val="none" w:sz="0" w:space="0" w:color="auto"/>
                <w:bottom w:val="none" w:sz="0" w:space="0" w:color="auto"/>
                <w:right w:val="none" w:sz="0" w:space="0" w:color="auto"/>
              </w:divBdr>
              <w:divsChild>
                <w:div w:id="2950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889527">
      <w:bodyDiv w:val="1"/>
      <w:marLeft w:val="0"/>
      <w:marRight w:val="0"/>
      <w:marTop w:val="0"/>
      <w:marBottom w:val="0"/>
      <w:divBdr>
        <w:top w:val="none" w:sz="0" w:space="0" w:color="auto"/>
        <w:left w:val="none" w:sz="0" w:space="0" w:color="auto"/>
        <w:bottom w:val="none" w:sz="0" w:space="0" w:color="auto"/>
        <w:right w:val="none" w:sz="0" w:space="0" w:color="auto"/>
      </w:divBdr>
      <w:divsChild>
        <w:div w:id="523329392">
          <w:marLeft w:val="0"/>
          <w:marRight w:val="0"/>
          <w:marTop w:val="0"/>
          <w:marBottom w:val="0"/>
          <w:divBdr>
            <w:top w:val="none" w:sz="0" w:space="0" w:color="auto"/>
            <w:left w:val="none" w:sz="0" w:space="0" w:color="auto"/>
            <w:bottom w:val="none" w:sz="0" w:space="0" w:color="auto"/>
            <w:right w:val="none" w:sz="0" w:space="0" w:color="auto"/>
          </w:divBdr>
          <w:divsChild>
            <w:div w:id="2060785645">
              <w:marLeft w:val="0"/>
              <w:marRight w:val="0"/>
              <w:marTop w:val="0"/>
              <w:marBottom w:val="0"/>
              <w:divBdr>
                <w:top w:val="none" w:sz="0" w:space="0" w:color="auto"/>
                <w:left w:val="none" w:sz="0" w:space="0" w:color="auto"/>
                <w:bottom w:val="none" w:sz="0" w:space="0" w:color="auto"/>
                <w:right w:val="none" w:sz="0" w:space="0" w:color="auto"/>
              </w:divBdr>
              <w:divsChild>
                <w:div w:id="666633913">
                  <w:marLeft w:val="0"/>
                  <w:marRight w:val="0"/>
                  <w:marTop w:val="0"/>
                  <w:marBottom w:val="0"/>
                  <w:divBdr>
                    <w:top w:val="none" w:sz="0" w:space="0" w:color="auto"/>
                    <w:left w:val="none" w:sz="0" w:space="0" w:color="auto"/>
                    <w:bottom w:val="none" w:sz="0" w:space="0" w:color="auto"/>
                    <w:right w:val="none" w:sz="0" w:space="0" w:color="auto"/>
                  </w:divBdr>
                </w:div>
              </w:divsChild>
            </w:div>
            <w:div w:id="164982729">
              <w:marLeft w:val="0"/>
              <w:marRight w:val="0"/>
              <w:marTop w:val="0"/>
              <w:marBottom w:val="0"/>
              <w:divBdr>
                <w:top w:val="none" w:sz="0" w:space="0" w:color="auto"/>
                <w:left w:val="none" w:sz="0" w:space="0" w:color="auto"/>
                <w:bottom w:val="none" w:sz="0" w:space="0" w:color="auto"/>
                <w:right w:val="none" w:sz="0" w:space="0" w:color="auto"/>
              </w:divBdr>
              <w:divsChild>
                <w:div w:id="204806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mea01.safelinks.protection.outlook.com/?url=https%3A%2F%2Fwww.greenpeace.org%2Finternational%2Fstory%2Fgreenwashing-in-automotive%2F&amp;data=05%7C02%7C%7C383306c9b1a7484d833208de220ed6a9%7C84df9e7fe9f640afb435aaaaaaaaaaaa%7C1%7C0%7C638985644346410074%7CUnknown%7CTWFpbGZsb3d8eyJFbXB0eU1hcGkiOnRydWUsIlYiOiIwLjAuMDAwMCIsIlAiOiJXaW4zMiIsIkFOIjoiTWFpbCIsIldUIjoyfQ%3D%3D%7C0%7C%7C%7C&amp;sdata=A4pidfL257bklzt5qbUdEAmmeQ2GZjmJHsGcrBu0fTQ%3D&amp;reserve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mea01.safelinks.protection.outlook.com/?url=https%3A%2F%2Fwww.eea.europa.eu%2Fhighlights%2Felectric-vehicles-and-emissions&amp;data=05%7C02%7C%7C383306c9b1a7484d833208de220ed6a9%7C84df9e7fe9f640afb435aaaaaaaaaaaa%7C1%7C0%7C638985644346383966%7CUnknown%7CTWFpbGZsb3d8eyJFbXB0eU1hcGkiOnRydWUsIlYiOiIwLjAuMDAwMCIsIlAiOiJXaW4zMiIsIkFOIjoiTWFpbCIsIldUIjoyfQ%3D%3D%7C0%7C%7C%7C&amp;sdata=VQ7ZfYnOKHW7h9n6%2BELzQEUzlkp%2FnV7jtP8fMq6SvEk%3D&amp;reserved=0" TargetMode="External"/><Relationship Id="rId5" Type="http://schemas.openxmlformats.org/officeDocument/2006/relationships/hyperlink" Target="https://emea01.safelinks.protection.outlook.com/?url=https%3A%2F%2Fwww.bmwgroup.com%2Fen%2Fresponsibility%2Fsustainability-report.html&amp;data=05%7C02%7C%7C383306c9b1a7484d833208de220ed6a9%7C84df9e7fe9f640afb435aaaaaaaaaaaa%7C1%7C0%7C638985644346341865%7CUnknown%7CTWFpbGZsb3d8eyJFbXB0eU1hcGkiOnRydWUsIlYiOiIwLjAuMDAwMCIsIlAiOiJXaW4zMiIsIkFOIjoiTWFpbCIsIldUIjoyfQ%3D%3D%7C0%7C%7C%7C&amp;sdata=Rx5pP8xTklEg3VWScctb6NqGYGTrfLy8M2eslO1VEFw%3D&amp;reserved=0" TargetMode="Externa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5</Pages>
  <Words>1301</Words>
  <Characters>7419</Characters>
  <Application>Microsoft Office Word</Application>
  <DocSecurity>0</DocSecurity>
  <Lines>61</Lines>
  <Paragraphs>17</Paragraphs>
  <ScaleCrop>false</ScaleCrop>
  <Company/>
  <LinksUpToDate>false</LinksUpToDate>
  <CharactersWithSpaces>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1</cp:revision>
  <dcterms:created xsi:type="dcterms:W3CDTF">2025-11-14T11:25:00Z</dcterms:created>
  <dcterms:modified xsi:type="dcterms:W3CDTF">2025-11-14T11:53:00Z</dcterms:modified>
</cp:coreProperties>
</file>