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0771CE" w14:textId="77777777" w:rsidR="00B676D0" w:rsidRDefault="00B676D0" w:rsidP="00B676D0">
      <w:pPr>
        <w:jc w:val="center"/>
        <w:rPr>
          <w:rFonts w:ascii="Arial" w:hAnsi="Arial" w:cs="Arial"/>
          <w:sz w:val="56"/>
          <w:szCs w:val="56"/>
        </w:rPr>
      </w:pPr>
    </w:p>
    <w:p w14:paraId="523BBF6D" w14:textId="77777777" w:rsidR="00B676D0" w:rsidRDefault="00B676D0" w:rsidP="00B676D0">
      <w:pPr>
        <w:jc w:val="center"/>
        <w:rPr>
          <w:rFonts w:ascii="Arial" w:hAnsi="Arial" w:cs="Arial"/>
          <w:sz w:val="56"/>
          <w:szCs w:val="56"/>
        </w:rPr>
      </w:pPr>
    </w:p>
    <w:p w14:paraId="78C5B709" w14:textId="77777777" w:rsidR="00B676D0" w:rsidRDefault="00B676D0" w:rsidP="00B676D0">
      <w:pPr>
        <w:jc w:val="center"/>
        <w:rPr>
          <w:rFonts w:ascii="Arial" w:hAnsi="Arial" w:cs="Arial"/>
          <w:sz w:val="56"/>
          <w:szCs w:val="56"/>
        </w:rPr>
      </w:pPr>
    </w:p>
    <w:p w14:paraId="637C52F3" w14:textId="592B9A27" w:rsidR="00B676D0" w:rsidRDefault="00B676D0" w:rsidP="00B676D0">
      <w:pPr>
        <w:jc w:val="center"/>
        <w:rPr>
          <w:rFonts w:ascii="Arial" w:hAnsi="Arial" w:cs="Arial"/>
          <w:sz w:val="56"/>
          <w:szCs w:val="56"/>
        </w:rPr>
      </w:pPr>
      <w:proofErr w:type="spellStart"/>
      <w:r>
        <w:rPr>
          <w:rFonts w:ascii="Arial" w:hAnsi="Arial" w:cs="Arial"/>
          <w:sz w:val="56"/>
          <w:szCs w:val="56"/>
        </w:rPr>
        <w:t>Organisational</w:t>
      </w:r>
      <w:proofErr w:type="spellEnd"/>
      <w:r>
        <w:rPr>
          <w:rFonts w:ascii="Arial" w:hAnsi="Arial" w:cs="Arial"/>
          <w:sz w:val="56"/>
          <w:szCs w:val="56"/>
        </w:rPr>
        <w:t xml:space="preserve"> Report</w:t>
      </w:r>
    </w:p>
    <w:p w14:paraId="33872E09" w14:textId="77777777" w:rsidR="00B676D0" w:rsidRDefault="00B676D0" w:rsidP="00B676D0">
      <w:pPr>
        <w:jc w:val="center"/>
        <w:rPr>
          <w:rFonts w:ascii="Arial" w:hAnsi="Arial" w:cs="Arial"/>
          <w:sz w:val="56"/>
          <w:szCs w:val="56"/>
        </w:rPr>
      </w:pPr>
      <w:r>
        <w:rPr>
          <w:rFonts w:ascii="Arial" w:hAnsi="Arial" w:cs="Arial"/>
          <w:sz w:val="56"/>
          <w:szCs w:val="56"/>
        </w:rPr>
        <w:t>For Hilton Hotel Group</w:t>
      </w:r>
    </w:p>
    <w:p w14:paraId="63FDEF7A" w14:textId="77777777" w:rsidR="00B676D0" w:rsidRDefault="00B676D0" w:rsidP="00B676D0">
      <w:pPr>
        <w:jc w:val="center"/>
        <w:rPr>
          <w:rFonts w:ascii="Arial" w:hAnsi="Arial" w:cs="Arial"/>
          <w:sz w:val="52"/>
          <w:szCs w:val="52"/>
        </w:rPr>
      </w:pPr>
    </w:p>
    <w:p w14:paraId="1FD8FDDA" w14:textId="77777777" w:rsidR="00B676D0" w:rsidRDefault="00B676D0" w:rsidP="00B676D0">
      <w:pPr>
        <w:jc w:val="center"/>
        <w:rPr>
          <w:rFonts w:ascii="Arial" w:hAnsi="Arial" w:cs="Arial"/>
          <w:sz w:val="52"/>
          <w:szCs w:val="52"/>
        </w:rPr>
      </w:pPr>
    </w:p>
    <w:p w14:paraId="628F6890" w14:textId="77777777" w:rsidR="00B676D0" w:rsidRDefault="00B676D0" w:rsidP="00B676D0">
      <w:pPr>
        <w:jc w:val="center"/>
        <w:rPr>
          <w:rFonts w:ascii="Arial" w:hAnsi="Arial" w:cs="Arial"/>
          <w:sz w:val="52"/>
          <w:szCs w:val="52"/>
        </w:rPr>
      </w:pPr>
    </w:p>
    <w:p w14:paraId="32AB4A62" w14:textId="77777777" w:rsidR="00B676D0" w:rsidRDefault="00B676D0" w:rsidP="00B676D0">
      <w:pPr>
        <w:jc w:val="center"/>
        <w:rPr>
          <w:rFonts w:ascii="Arial" w:hAnsi="Arial" w:cs="Arial"/>
          <w:sz w:val="52"/>
          <w:szCs w:val="52"/>
        </w:rPr>
      </w:pPr>
    </w:p>
    <w:p w14:paraId="705164EB" w14:textId="77777777" w:rsidR="00B676D0" w:rsidRDefault="00B676D0" w:rsidP="00B676D0">
      <w:pPr>
        <w:spacing w:line="360" w:lineRule="auto"/>
        <w:ind w:left="-180" w:right="-630"/>
        <w:rPr>
          <w:rFonts w:ascii="Arial" w:hAnsi="Arial" w:cs="Arial"/>
          <w:sz w:val="32"/>
          <w:szCs w:val="32"/>
        </w:rPr>
      </w:pPr>
      <w:r>
        <w:rPr>
          <w:rFonts w:ascii="Arial" w:hAnsi="Arial" w:cs="Arial"/>
          <w:sz w:val="32"/>
          <w:szCs w:val="32"/>
        </w:rPr>
        <w:t>DATE: 31 May 2024</w:t>
      </w:r>
    </w:p>
    <w:p w14:paraId="7D998AF8" w14:textId="77777777" w:rsidR="00B676D0" w:rsidRDefault="00B676D0" w:rsidP="00B676D0">
      <w:pPr>
        <w:spacing w:line="360" w:lineRule="auto"/>
        <w:ind w:left="-180" w:right="-630"/>
        <w:rPr>
          <w:rFonts w:ascii="Arial" w:hAnsi="Arial" w:cs="Arial"/>
          <w:sz w:val="32"/>
          <w:szCs w:val="32"/>
        </w:rPr>
      </w:pPr>
      <w:r>
        <w:rPr>
          <w:rFonts w:ascii="Arial" w:hAnsi="Arial" w:cs="Arial"/>
          <w:sz w:val="32"/>
          <w:szCs w:val="32"/>
        </w:rPr>
        <w:t>WORD COUNT: 2103</w:t>
      </w:r>
    </w:p>
    <w:p w14:paraId="06755930" w14:textId="77777777" w:rsidR="00B676D0" w:rsidRDefault="00B676D0" w:rsidP="00B676D0">
      <w:pPr>
        <w:spacing w:line="360" w:lineRule="auto"/>
        <w:ind w:left="-180" w:right="-630"/>
        <w:rPr>
          <w:rFonts w:ascii="Arial" w:hAnsi="Arial" w:cs="Arial"/>
          <w:sz w:val="32"/>
          <w:szCs w:val="32"/>
        </w:rPr>
      </w:pPr>
      <w:r>
        <w:rPr>
          <w:rFonts w:ascii="Arial" w:hAnsi="Arial" w:cs="Arial"/>
          <w:sz w:val="32"/>
          <w:szCs w:val="32"/>
        </w:rPr>
        <w:t>STUDENT NAME/ ID NUMBER: Ovidiu-Mario Trasc/ 2206244</w:t>
      </w:r>
    </w:p>
    <w:p w14:paraId="5EEB3B1C" w14:textId="77777777" w:rsidR="00B676D0" w:rsidRDefault="00B676D0" w:rsidP="00B676D0">
      <w:pPr>
        <w:spacing w:line="360" w:lineRule="auto"/>
        <w:ind w:left="-180" w:right="-630"/>
        <w:rPr>
          <w:rFonts w:ascii="Arial" w:hAnsi="Arial" w:cs="Arial"/>
          <w:sz w:val="32"/>
          <w:szCs w:val="32"/>
        </w:rPr>
      </w:pPr>
      <w:r>
        <w:rPr>
          <w:rFonts w:ascii="Arial" w:hAnsi="Arial" w:cs="Arial"/>
          <w:sz w:val="32"/>
          <w:szCs w:val="32"/>
        </w:rPr>
        <w:t>MODULE TITLE/CODE:</w:t>
      </w:r>
      <w:r>
        <w:t xml:space="preserve"> </w:t>
      </w:r>
      <w:r>
        <w:rPr>
          <w:rFonts w:ascii="Arial" w:hAnsi="Arial" w:cs="Arial"/>
          <w:sz w:val="32"/>
          <w:szCs w:val="32"/>
        </w:rPr>
        <w:t xml:space="preserve">Management &amp; </w:t>
      </w:r>
      <w:proofErr w:type="spellStart"/>
      <w:r>
        <w:rPr>
          <w:rFonts w:ascii="Arial" w:hAnsi="Arial" w:cs="Arial"/>
          <w:sz w:val="32"/>
          <w:szCs w:val="32"/>
        </w:rPr>
        <w:t>Organisational</w:t>
      </w:r>
      <w:proofErr w:type="spellEnd"/>
      <w:r>
        <w:rPr>
          <w:rFonts w:ascii="Arial" w:hAnsi="Arial" w:cs="Arial"/>
          <w:sz w:val="32"/>
          <w:szCs w:val="32"/>
        </w:rPr>
        <w:t xml:space="preserve"> </w:t>
      </w:r>
      <w:proofErr w:type="spellStart"/>
      <w:r>
        <w:rPr>
          <w:rFonts w:ascii="Arial" w:hAnsi="Arial" w:cs="Arial"/>
          <w:sz w:val="32"/>
          <w:szCs w:val="32"/>
        </w:rPr>
        <w:t>Behaviour</w:t>
      </w:r>
      <w:proofErr w:type="spellEnd"/>
      <w:r>
        <w:rPr>
          <w:rFonts w:ascii="Arial" w:hAnsi="Arial" w:cs="Arial"/>
          <w:sz w:val="32"/>
          <w:szCs w:val="32"/>
        </w:rPr>
        <w:t xml:space="preserve"> / BMIH5004</w:t>
      </w:r>
    </w:p>
    <w:p w14:paraId="0147959D" w14:textId="77777777" w:rsidR="00B676D0" w:rsidRDefault="00B676D0" w:rsidP="00B676D0">
      <w:pPr>
        <w:spacing w:line="360" w:lineRule="auto"/>
        <w:ind w:left="-180" w:right="-630"/>
        <w:rPr>
          <w:rFonts w:ascii="Arial" w:hAnsi="Arial" w:cs="Arial"/>
          <w:sz w:val="32"/>
          <w:szCs w:val="32"/>
        </w:rPr>
      </w:pPr>
      <w:r>
        <w:rPr>
          <w:rFonts w:ascii="Arial" w:hAnsi="Arial" w:cs="Arial"/>
          <w:sz w:val="32"/>
          <w:szCs w:val="32"/>
        </w:rPr>
        <w:t>LECTURER NAME: Daniel Payne</w:t>
      </w:r>
    </w:p>
    <w:p w14:paraId="6472DCAC" w14:textId="77777777" w:rsidR="00B676D0" w:rsidRDefault="00B676D0" w:rsidP="00B676D0">
      <w:pPr>
        <w:spacing w:line="360" w:lineRule="auto"/>
        <w:ind w:left="-180" w:right="-630"/>
        <w:rPr>
          <w:rFonts w:ascii="Arial" w:hAnsi="Arial" w:cs="Arial"/>
          <w:sz w:val="32"/>
          <w:szCs w:val="32"/>
        </w:rPr>
      </w:pPr>
    </w:p>
    <w:p w14:paraId="0381B20F" w14:textId="77777777" w:rsidR="00B676D0" w:rsidRDefault="00B676D0" w:rsidP="00B676D0">
      <w:pPr>
        <w:spacing w:line="360" w:lineRule="auto"/>
        <w:ind w:left="-180" w:right="-630"/>
        <w:rPr>
          <w:rFonts w:ascii="Arial" w:hAnsi="Arial" w:cs="Arial"/>
          <w:sz w:val="32"/>
          <w:szCs w:val="32"/>
        </w:rPr>
      </w:pPr>
    </w:p>
    <w:p w14:paraId="324365DA" w14:textId="77777777" w:rsidR="00B676D0" w:rsidRDefault="00B676D0" w:rsidP="00B676D0">
      <w:pPr>
        <w:spacing w:line="360" w:lineRule="auto"/>
        <w:ind w:left="-180" w:right="-630"/>
        <w:rPr>
          <w:rFonts w:ascii="Arial" w:hAnsi="Arial" w:cs="Arial"/>
          <w:sz w:val="32"/>
          <w:szCs w:val="32"/>
        </w:rPr>
      </w:pPr>
    </w:p>
    <w:p w14:paraId="5EA7306A" w14:textId="77777777" w:rsidR="00B676D0" w:rsidRDefault="00B676D0" w:rsidP="00B676D0">
      <w:pPr>
        <w:spacing w:line="360" w:lineRule="auto"/>
        <w:ind w:right="-630"/>
        <w:jc w:val="both"/>
        <w:rPr>
          <w:rFonts w:ascii="Arial" w:hAnsi="Arial" w:cs="Arial"/>
        </w:rPr>
      </w:pPr>
      <w:r>
        <w:rPr>
          <w:rFonts w:ascii="Arial" w:hAnsi="Arial" w:cs="Arial"/>
        </w:rPr>
        <w:lastRenderedPageBreak/>
        <w:t>Executive summary</w:t>
      </w:r>
    </w:p>
    <w:p w14:paraId="4EF93E24" w14:textId="77777777" w:rsidR="00B676D0" w:rsidRDefault="00B676D0" w:rsidP="00B676D0">
      <w:pPr>
        <w:spacing w:line="360" w:lineRule="auto"/>
        <w:ind w:firstLine="720"/>
        <w:jc w:val="both"/>
        <w:rPr>
          <w:rFonts w:ascii="Arial" w:eastAsiaTheme="majorEastAsia" w:hAnsi="Arial" w:cs="Arial"/>
          <w:kern w:val="0"/>
          <w14:ligatures w14:val="none"/>
        </w:rPr>
      </w:pPr>
      <w:r>
        <w:rPr>
          <w:rFonts w:ascii="Arial" w:eastAsiaTheme="majorEastAsia" w:hAnsi="Arial" w:cs="Arial"/>
          <w:kern w:val="0"/>
          <w14:ligatures w14:val="none"/>
        </w:rPr>
        <w:t>This report will outline the primary types of organizational strategies in the hospitality industry and the key theories that underpin the development of these strategies. The case study focuses on the IHG hotel chain, examining its organizational strategy, culture, and goals. Additionally, the report will critically evaluate recent change initiatives at IHG, assessing their impact and management. The report concludes with insights into the current situation and future strategic directions.</w:t>
      </w:r>
    </w:p>
    <w:sdt>
      <w:sdtPr>
        <w:rPr>
          <w:rFonts w:asciiTheme="minorHAnsi" w:eastAsiaTheme="minorHAnsi" w:hAnsiTheme="minorHAnsi" w:cstheme="minorBidi"/>
          <w:color w:val="auto"/>
          <w:kern w:val="2"/>
          <w:sz w:val="24"/>
          <w:szCs w:val="24"/>
          <w14:ligatures w14:val="standardContextual"/>
        </w:rPr>
        <w:id w:val="857392441"/>
        <w:docPartObj>
          <w:docPartGallery w:val="Table of Contents"/>
          <w:docPartUnique/>
        </w:docPartObj>
      </w:sdtPr>
      <w:sdtContent>
        <w:p w14:paraId="4AD1D553" w14:textId="77777777" w:rsidR="00B676D0" w:rsidRDefault="00B676D0" w:rsidP="00B676D0">
          <w:pPr>
            <w:pStyle w:val="TOCHeading"/>
            <w:rPr>
              <w:rFonts w:ascii="Arial" w:hAnsi="Arial" w:cs="Arial"/>
              <w:color w:val="auto"/>
              <w:sz w:val="24"/>
              <w:szCs w:val="24"/>
            </w:rPr>
          </w:pPr>
          <w:r>
            <w:rPr>
              <w:rFonts w:ascii="Arial" w:hAnsi="Arial" w:cs="Arial"/>
              <w:color w:val="auto"/>
              <w:sz w:val="24"/>
              <w:szCs w:val="24"/>
            </w:rPr>
            <w:t>Contents</w:t>
          </w:r>
        </w:p>
        <w:p w14:paraId="6EF1C0B8" w14:textId="77777777" w:rsidR="00B676D0" w:rsidRDefault="00B676D0" w:rsidP="00B676D0"/>
        <w:p w14:paraId="4B7B3E71" w14:textId="440F3819" w:rsidR="00B676D0" w:rsidRPr="00B676D0" w:rsidRDefault="00B676D0" w:rsidP="00B676D0">
          <w:pPr>
            <w:pStyle w:val="TOC1"/>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1.</w:t>
          </w:r>
          <w:r w:rsidRPr="00B676D0">
            <w:rPr>
              <w:rFonts w:ascii="Arial" w:eastAsiaTheme="majorEastAsia" w:hAnsi="Arial" w:cs="Arial"/>
              <w:kern w:val="0"/>
              <w14:ligatures w14:val="none"/>
            </w:rPr>
            <w:fldChar w:fldCharType="begin"/>
          </w:r>
          <w:r w:rsidRPr="00B676D0">
            <w:rPr>
              <w:rFonts w:ascii="Arial" w:eastAsiaTheme="majorEastAsia" w:hAnsi="Arial" w:cs="Arial"/>
              <w:kern w:val="0"/>
              <w14:ligatures w14:val="none"/>
            </w:rPr>
            <w:instrText xml:space="preserve"> TOC \o "1-3" \h \z \u </w:instrText>
          </w:r>
          <w:r w:rsidRPr="00B676D0">
            <w:rPr>
              <w:rFonts w:ascii="Arial" w:eastAsiaTheme="majorEastAsia" w:hAnsi="Arial" w:cs="Arial"/>
              <w:kern w:val="0"/>
              <w14:ligatures w14:val="none"/>
            </w:rPr>
            <w:fldChar w:fldCharType="separate"/>
          </w:r>
          <w:hyperlink r:id="rId7" w:anchor="_Toc167483558" w:history="1">
            <w:r w:rsidRPr="00B676D0">
              <w:rPr>
                <w:rFonts w:ascii="Arial" w:eastAsiaTheme="majorEastAsia" w:hAnsi="Arial" w:cs="Arial"/>
                <w:kern w:val="0"/>
                <w14:ligatures w14:val="none"/>
              </w:rPr>
              <w:t>Purpose of the report</w:t>
            </w:r>
            <w:r w:rsidRPr="00B676D0">
              <w:rPr>
                <w:rFonts w:ascii="Arial" w:eastAsiaTheme="majorEastAsia" w:hAnsi="Arial" w:cs="Arial"/>
                <w:webHidden/>
                <w:kern w:val="0"/>
                <w14:ligatures w14:val="none"/>
              </w:rPr>
              <w:tab/>
              <w:t>3</w:t>
            </w:r>
          </w:hyperlink>
        </w:p>
        <w:p w14:paraId="52174898" w14:textId="77777777" w:rsidR="00B676D0" w:rsidRPr="00B676D0" w:rsidRDefault="00B676D0" w:rsidP="00B676D0">
          <w:pPr>
            <w:pStyle w:val="TOC1"/>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2.</w:t>
          </w:r>
          <w:hyperlink r:id="rId8" w:anchor="_Toc167483559" w:history="1">
            <w:r w:rsidRPr="00B676D0">
              <w:rPr>
                <w:rFonts w:ascii="Arial" w:eastAsiaTheme="majorEastAsia" w:hAnsi="Arial" w:cs="Arial"/>
                <w:kern w:val="0"/>
                <w14:ligatures w14:val="none"/>
              </w:rPr>
              <w:t>Organisational culture</w:t>
            </w:r>
            <w:r w:rsidRPr="00B676D0">
              <w:rPr>
                <w:rFonts w:ascii="Arial" w:eastAsiaTheme="majorEastAsia" w:hAnsi="Arial" w:cs="Arial"/>
                <w:webHidden/>
                <w:kern w:val="0"/>
                <w14:ligatures w14:val="none"/>
              </w:rPr>
              <w:tab/>
              <w:t>3</w:t>
            </w:r>
          </w:hyperlink>
        </w:p>
        <w:p w14:paraId="6248DD5D"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2.1 </w:t>
          </w:r>
          <w:hyperlink r:id="rId9" w:anchor="_Toc167483560" w:history="1">
            <w:r w:rsidRPr="00B676D0">
              <w:rPr>
                <w:rFonts w:ascii="Arial" w:eastAsiaTheme="majorEastAsia" w:hAnsi="Arial" w:cs="Arial"/>
                <w:kern w:val="0"/>
                <w14:ligatures w14:val="none"/>
              </w:rPr>
              <w:t>Organisation, types of organizational structures</w:t>
            </w:r>
            <w:r w:rsidRPr="00B676D0">
              <w:rPr>
                <w:rFonts w:ascii="Arial" w:eastAsiaTheme="majorEastAsia" w:hAnsi="Arial" w:cs="Arial"/>
                <w:webHidden/>
                <w:kern w:val="0"/>
                <w14:ligatures w14:val="none"/>
              </w:rPr>
              <w:tab/>
              <w:t>3</w:t>
            </w:r>
          </w:hyperlink>
        </w:p>
        <w:p w14:paraId="20611313"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2.2 </w:t>
          </w:r>
          <w:hyperlink r:id="rId10" w:anchor="_Toc167483561" w:history="1">
            <w:r w:rsidRPr="00B676D0">
              <w:rPr>
                <w:rFonts w:ascii="Arial" w:eastAsiaTheme="majorEastAsia" w:hAnsi="Arial" w:cs="Arial"/>
                <w:kern w:val="0"/>
                <w14:ligatures w14:val="none"/>
              </w:rPr>
              <w:t>Introduction to Hilton Hotel Group</w:t>
            </w:r>
            <w:r w:rsidRPr="00B676D0">
              <w:rPr>
                <w:rFonts w:ascii="Arial" w:eastAsiaTheme="majorEastAsia" w:hAnsi="Arial" w:cs="Arial"/>
                <w:webHidden/>
                <w:kern w:val="0"/>
                <w14:ligatures w14:val="none"/>
              </w:rPr>
              <w:tab/>
              <w:t>4</w:t>
            </w:r>
          </w:hyperlink>
        </w:p>
        <w:p w14:paraId="47259505"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2.3 </w:t>
          </w:r>
          <w:hyperlink r:id="rId11" w:anchor="_Toc167483562" w:history="1">
            <w:r w:rsidRPr="00B676D0">
              <w:rPr>
                <w:rFonts w:ascii="Arial" w:eastAsiaTheme="majorEastAsia" w:hAnsi="Arial" w:cs="Arial"/>
                <w:kern w:val="0"/>
                <w14:ligatures w14:val="none"/>
              </w:rPr>
              <w:t>Hilton’s organizational structure</w:t>
            </w:r>
            <w:r w:rsidRPr="00B676D0">
              <w:rPr>
                <w:rFonts w:ascii="Arial" w:eastAsiaTheme="majorEastAsia" w:hAnsi="Arial" w:cs="Arial"/>
                <w:webHidden/>
                <w:kern w:val="0"/>
                <w14:ligatures w14:val="none"/>
              </w:rPr>
              <w:tab/>
              <w:t>5</w:t>
            </w:r>
          </w:hyperlink>
        </w:p>
        <w:p w14:paraId="07D2C7D9" w14:textId="77777777" w:rsidR="00B676D0" w:rsidRPr="00B676D0" w:rsidRDefault="00000000" w:rsidP="00B676D0">
          <w:pPr>
            <w:pStyle w:val="TOC2"/>
            <w:tabs>
              <w:tab w:val="right" w:leader="dot" w:pos="9350"/>
            </w:tabs>
            <w:spacing w:line="360" w:lineRule="auto"/>
            <w:rPr>
              <w:rFonts w:ascii="Arial" w:eastAsiaTheme="majorEastAsia" w:hAnsi="Arial" w:cs="Arial"/>
              <w:kern w:val="0"/>
              <w14:ligatures w14:val="none"/>
            </w:rPr>
          </w:pPr>
          <w:hyperlink r:id="rId12" w:anchor="_Toc167483563" w:history="1">
            <w:r w:rsidR="00B676D0" w:rsidRPr="00B676D0">
              <w:rPr>
                <w:rFonts w:ascii="Arial" w:eastAsiaTheme="majorEastAsia" w:hAnsi="Arial" w:cs="Arial"/>
                <w:kern w:val="0"/>
                <w14:ligatures w14:val="none"/>
              </w:rPr>
              <w:t>2.4  Hilton’s culture</w:t>
            </w:r>
            <w:r w:rsidR="00B676D0" w:rsidRPr="00B676D0">
              <w:rPr>
                <w:rFonts w:ascii="Arial" w:eastAsiaTheme="majorEastAsia" w:hAnsi="Arial" w:cs="Arial"/>
                <w:webHidden/>
                <w:kern w:val="0"/>
                <w14:ligatures w14:val="none"/>
              </w:rPr>
              <w:tab/>
              <w:t>6</w:t>
            </w:r>
          </w:hyperlink>
        </w:p>
        <w:p w14:paraId="3C4979F1"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2.5 </w:t>
          </w:r>
          <w:hyperlink r:id="rId13" w:anchor="_Toc167483564" w:history="1">
            <w:r w:rsidRPr="00B676D0">
              <w:rPr>
                <w:rFonts w:ascii="Arial" w:eastAsiaTheme="majorEastAsia" w:hAnsi="Arial" w:cs="Arial"/>
                <w:kern w:val="0"/>
                <w14:ligatures w14:val="none"/>
              </w:rPr>
              <w:t>Main goals of Hilton Hotel Group</w:t>
            </w:r>
            <w:r w:rsidRPr="00B676D0">
              <w:rPr>
                <w:rFonts w:ascii="Arial" w:eastAsiaTheme="majorEastAsia" w:hAnsi="Arial" w:cs="Arial"/>
                <w:webHidden/>
                <w:kern w:val="0"/>
                <w14:ligatures w14:val="none"/>
              </w:rPr>
              <w:tab/>
              <w:t>7</w:t>
            </w:r>
          </w:hyperlink>
        </w:p>
        <w:p w14:paraId="69D7EF89"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2.6 </w:t>
          </w:r>
          <w:hyperlink r:id="rId14" w:anchor="_Toc167483565" w:history="1">
            <w:r w:rsidRPr="00B676D0">
              <w:rPr>
                <w:rFonts w:ascii="Arial" w:eastAsiaTheme="majorEastAsia" w:hAnsi="Arial" w:cs="Arial"/>
                <w:kern w:val="0"/>
                <w14:ligatures w14:val="none"/>
              </w:rPr>
              <w:t>Recent initiatives and their impact</w:t>
            </w:r>
            <w:r w:rsidRPr="00B676D0">
              <w:rPr>
                <w:rFonts w:ascii="Arial" w:eastAsiaTheme="majorEastAsia" w:hAnsi="Arial" w:cs="Arial"/>
                <w:webHidden/>
                <w:kern w:val="0"/>
                <w14:ligatures w14:val="none"/>
              </w:rPr>
              <w:tab/>
              <w:t>9</w:t>
            </w:r>
          </w:hyperlink>
        </w:p>
        <w:p w14:paraId="1C0D4492" w14:textId="77777777" w:rsidR="00B676D0" w:rsidRPr="00B676D0" w:rsidRDefault="00B676D0" w:rsidP="00B676D0">
          <w:pPr>
            <w:pStyle w:val="TOC2"/>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2.7 </w:t>
          </w:r>
          <w:hyperlink r:id="rId15" w:anchor="_Toc167483566" w:history="1">
            <w:r w:rsidRPr="00B676D0">
              <w:rPr>
                <w:rFonts w:ascii="Arial" w:eastAsiaTheme="majorEastAsia" w:hAnsi="Arial" w:cs="Arial"/>
                <w:kern w:val="0"/>
                <w14:ligatures w14:val="none"/>
              </w:rPr>
              <w:t>Future strategic direction</w:t>
            </w:r>
            <w:r w:rsidRPr="00B676D0">
              <w:rPr>
                <w:rFonts w:ascii="Arial" w:eastAsiaTheme="majorEastAsia" w:hAnsi="Arial" w:cs="Arial"/>
                <w:webHidden/>
                <w:kern w:val="0"/>
                <w14:ligatures w14:val="none"/>
              </w:rPr>
              <w:tab/>
              <w:t>10</w:t>
            </w:r>
          </w:hyperlink>
        </w:p>
        <w:p w14:paraId="440C5ACC" w14:textId="383CADEB" w:rsidR="00B676D0" w:rsidRPr="00B676D0" w:rsidRDefault="00B676D0" w:rsidP="00B676D0">
          <w:pPr>
            <w:pStyle w:val="TOC1"/>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3. </w:t>
          </w:r>
          <w:hyperlink r:id="rId16" w:anchor="_Toc167483567" w:history="1">
            <w:r w:rsidRPr="00B676D0">
              <w:rPr>
                <w:rFonts w:ascii="Arial" w:eastAsiaTheme="majorEastAsia" w:hAnsi="Arial" w:cs="Arial"/>
                <w:kern w:val="0"/>
                <w14:ligatures w14:val="none"/>
              </w:rPr>
              <w:t>Conclusions</w:t>
            </w:r>
            <w:r w:rsidRPr="00B676D0">
              <w:rPr>
                <w:rFonts w:ascii="Arial" w:eastAsiaTheme="majorEastAsia" w:hAnsi="Arial" w:cs="Arial"/>
                <w:webHidden/>
                <w:kern w:val="0"/>
                <w14:ligatures w14:val="none"/>
              </w:rPr>
              <w:tab/>
              <w:t>1</w:t>
            </w:r>
            <w:r>
              <w:rPr>
                <w:rFonts w:ascii="Arial" w:eastAsiaTheme="majorEastAsia" w:hAnsi="Arial" w:cs="Arial"/>
                <w:webHidden/>
                <w:kern w:val="0"/>
                <w14:ligatures w14:val="none"/>
              </w:rPr>
              <w:t>0</w:t>
            </w:r>
          </w:hyperlink>
        </w:p>
        <w:p w14:paraId="29042212" w14:textId="24CCC706" w:rsidR="00B676D0" w:rsidRPr="00B676D0" w:rsidRDefault="00B676D0" w:rsidP="00B676D0">
          <w:pPr>
            <w:pStyle w:val="TOC1"/>
            <w:tabs>
              <w:tab w:val="right" w:leader="dot" w:pos="9350"/>
            </w:tabs>
            <w:spacing w:line="360" w:lineRule="auto"/>
            <w:rPr>
              <w:rFonts w:ascii="Arial" w:eastAsiaTheme="majorEastAsia" w:hAnsi="Arial" w:cs="Arial"/>
              <w:kern w:val="0"/>
              <w14:ligatures w14:val="none"/>
            </w:rPr>
          </w:pPr>
          <w:r w:rsidRPr="00B676D0">
            <w:rPr>
              <w:rFonts w:ascii="Arial" w:eastAsiaTheme="majorEastAsia" w:hAnsi="Arial" w:cs="Arial"/>
              <w:kern w:val="0"/>
              <w14:ligatures w14:val="none"/>
            </w:rPr>
            <w:t xml:space="preserve">4. </w:t>
          </w:r>
          <w:hyperlink r:id="rId17" w:anchor="_Toc167483568" w:history="1">
            <w:r w:rsidRPr="00B676D0">
              <w:rPr>
                <w:rFonts w:ascii="Arial" w:eastAsiaTheme="majorEastAsia" w:hAnsi="Arial" w:cs="Arial"/>
                <w:kern w:val="0"/>
                <w14:ligatures w14:val="none"/>
              </w:rPr>
              <w:t>References</w:t>
            </w:r>
            <w:r w:rsidRPr="00B676D0">
              <w:rPr>
                <w:rFonts w:ascii="Arial" w:eastAsiaTheme="majorEastAsia" w:hAnsi="Arial" w:cs="Arial"/>
                <w:webHidden/>
                <w:kern w:val="0"/>
                <w14:ligatures w14:val="none"/>
              </w:rPr>
              <w:tab/>
              <w:t>1</w:t>
            </w:r>
            <w:r>
              <w:rPr>
                <w:rFonts w:ascii="Arial" w:eastAsiaTheme="majorEastAsia" w:hAnsi="Arial" w:cs="Arial"/>
                <w:webHidden/>
                <w:kern w:val="0"/>
                <w14:ligatures w14:val="none"/>
              </w:rPr>
              <w:t>1</w:t>
            </w:r>
          </w:hyperlink>
        </w:p>
        <w:p w14:paraId="1E9BDDD7" w14:textId="77777777" w:rsidR="00B676D0" w:rsidRDefault="00B676D0" w:rsidP="00B676D0">
          <w:pPr>
            <w:pStyle w:val="TOC1"/>
            <w:tabs>
              <w:tab w:val="right" w:leader="dot" w:pos="9350"/>
            </w:tabs>
            <w:spacing w:line="360" w:lineRule="auto"/>
          </w:pPr>
          <w:r w:rsidRPr="00B676D0">
            <w:rPr>
              <w:rFonts w:ascii="Arial" w:eastAsiaTheme="majorEastAsia" w:hAnsi="Arial" w:cs="Arial"/>
              <w:kern w:val="0"/>
              <w14:ligatures w14:val="none"/>
            </w:rPr>
            <w:fldChar w:fldCharType="end"/>
          </w:r>
        </w:p>
      </w:sdtContent>
    </w:sdt>
    <w:p w14:paraId="5C9A37A7" w14:textId="77777777" w:rsidR="00B676D0" w:rsidRDefault="00B676D0" w:rsidP="00B676D0"/>
    <w:p w14:paraId="2355E480" w14:textId="77777777" w:rsidR="00B676D0" w:rsidRDefault="00B676D0" w:rsidP="00B676D0">
      <w:pPr>
        <w:pStyle w:val="ListParagraph"/>
        <w:spacing w:line="360" w:lineRule="auto"/>
        <w:ind w:left="180" w:right="-630"/>
        <w:jc w:val="both"/>
        <w:rPr>
          <w:rFonts w:ascii="Arial" w:hAnsi="Arial" w:cs="Arial"/>
        </w:rPr>
      </w:pPr>
    </w:p>
    <w:p w14:paraId="312BCC61" w14:textId="77777777" w:rsidR="00B676D0" w:rsidRDefault="00B676D0" w:rsidP="00B676D0">
      <w:pPr>
        <w:pStyle w:val="ListParagraph"/>
        <w:spacing w:line="360" w:lineRule="auto"/>
        <w:ind w:left="180" w:right="-630"/>
        <w:jc w:val="both"/>
        <w:rPr>
          <w:rFonts w:ascii="Arial" w:hAnsi="Arial" w:cs="Arial"/>
        </w:rPr>
      </w:pPr>
    </w:p>
    <w:p w14:paraId="784C82D2" w14:textId="77777777" w:rsidR="00B676D0" w:rsidRDefault="00B676D0" w:rsidP="00B676D0">
      <w:pPr>
        <w:pStyle w:val="ListParagraph"/>
        <w:spacing w:line="360" w:lineRule="auto"/>
        <w:ind w:left="180" w:right="-630"/>
        <w:jc w:val="both"/>
        <w:rPr>
          <w:rFonts w:ascii="Arial" w:hAnsi="Arial" w:cs="Arial"/>
        </w:rPr>
      </w:pPr>
    </w:p>
    <w:p w14:paraId="2A43AD79" w14:textId="77777777" w:rsidR="00B676D0" w:rsidRDefault="00B676D0" w:rsidP="00B676D0">
      <w:pPr>
        <w:pStyle w:val="ListParagraph"/>
        <w:spacing w:line="360" w:lineRule="auto"/>
        <w:ind w:left="180" w:right="-630"/>
        <w:jc w:val="both"/>
        <w:rPr>
          <w:rFonts w:ascii="Arial" w:hAnsi="Arial" w:cs="Arial"/>
        </w:rPr>
      </w:pPr>
    </w:p>
    <w:p w14:paraId="0162C61D" w14:textId="77777777" w:rsidR="00B676D0" w:rsidRDefault="00B676D0" w:rsidP="00B676D0">
      <w:pPr>
        <w:pStyle w:val="ListParagraph"/>
        <w:spacing w:line="360" w:lineRule="auto"/>
        <w:ind w:left="180" w:right="-630"/>
        <w:jc w:val="both"/>
        <w:rPr>
          <w:rFonts w:ascii="Arial" w:hAnsi="Arial" w:cs="Arial"/>
        </w:rPr>
      </w:pPr>
    </w:p>
    <w:p w14:paraId="45570121" w14:textId="77777777" w:rsidR="00B676D0" w:rsidRDefault="00B676D0" w:rsidP="00B676D0"/>
    <w:p w14:paraId="35D32A7A" w14:textId="77777777" w:rsidR="00B676D0" w:rsidRDefault="00B676D0" w:rsidP="00B676D0"/>
    <w:p w14:paraId="0111674F" w14:textId="77777777" w:rsidR="00B676D0" w:rsidRDefault="00B676D0" w:rsidP="00B676D0">
      <w:pPr>
        <w:pStyle w:val="ListParagraph"/>
        <w:numPr>
          <w:ilvl w:val="0"/>
          <w:numId w:val="1"/>
        </w:numPr>
        <w:spacing w:line="360" w:lineRule="auto"/>
        <w:ind w:right="-630"/>
        <w:jc w:val="both"/>
        <w:rPr>
          <w:rFonts w:ascii="Arial" w:hAnsi="Arial" w:cs="Arial"/>
          <w:b/>
          <w:bCs/>
          <w:i/>
          <w:iCs/>
        </w:rPr>
      </w:pPr>
      <w:r>
        <w:rPr>
          <w:rFonts w:ascii="Arial" w:hAnsi="Arial" w:cs="Arial"/>
          <w:b/>
          <w:bCs/>
          <w:i/>
          <w:iCs/>
        </w:rPr>
        <w:lastRenderedPageBreak/>
        <w:t>Purpose of the report:</w:t>
      </w:r>
    </w:p>
    <w:p w14:paraId="13B50523" w14:textId="77777777" w:rsidR="00B676D0" w:rsidRDefault="00B676D0" w:rsidP="00B676D0">
      <w:pPr>
        <w:pStyle w:val="ListParagraph"/>
        <w:spacing w:line="360" w:lineRule="auto"/>
        <w:ind w:left="0" w:firstLine="720"/>
        <w:jc w:val="both"/>
        <w:rPr>
          <w:rFonts w:ascii="Arial" w:hAnsi="Arial" w:cs="Arial"/>
        </w:rPr>
      </w:pPr>
      <w:r>
        <w:rPr>
          <w:rFonts w:ascii="Arial" w:hAnsi="Arial" w:cs="Arial"/>
        </w:rPr>
        <w:t xml:space="preserve">This report will analyze </w:t>
      </w:r>
      <w:proofErr w:type="spellStart"/>
      <w:r>
        <w:rPr>
          <w:rFonts w:ascii="Arial" w:hAnsi="Arial" w:cs="Arial"/>
        </w:rPr>
        <w:t>organisation</w:t>
      </w:r>
      <w:proofErr w:type="spellEnd"/>
      <w:r>
        <w:rPr>
          <w:rFonts w:ascii="Arial" w:hAnsi="Arial" w:cs="Arial"/>
        </w:rPr>
        <w:t xml:space="preserve"> structure, culture and goals, as well as the recent change initiatives, their impact and how well these were managed and the </w:t>
      </w:r>
      <w:proofErr w:type="spellStart"/>
      <w:r>
        <w:rPr>
          <w:rFonts w:ascii="Arial" w:hAnsi="Arial" w:cs="Arial"/>
        </w:rPr>
        <w:t>organisation's</w:t>
      </w:r>
      <w:proofErr w:type="spellEnd"/>
      <w:r>
        <w:rPr>
          <w:rFonts w:ascii="Arial" w:hAnsi="Arial" w:cs="Arial"/>
        </w:rPr>
        <w:t xml:space="preserve"> strategic direction for the hotel chain Hilton Hotel Group.</w:t>
      </w:r>
    </w:p>
    <w:p w14:paraId="2292D57A" w14:textId="77777777" w:rsidR="00B676D0" w:rsidRDefault="00B676D0" w:rsidP="00B676D0">
      <w:pPr>
        <w:pStyle w:val="ListParagraph"/>
        <w:spacing w:line="360" w:lineRule="auto"/>
        <w:ind w:left="180" w:right="-630"/>
        <w:jc w:val="both"/>
        <w:rPr>
          <w:rFonts w:ascii="Arial" w:hAnsi="Arial" w:cs="Arial"/>
        </w:rPr>
      </w:pPr>
    </w:p>
    <w:p w14:paraId="76146C6A" w14:textId="77777777" w:rsidR="00B676D0" w:rsidRDefault="00B676D0" w:rsidP="00B676D0">
      <w:pPr>
        <w:pStyle w:val="ListParagraph"/>
        <w:numPr>
          <w:ilvl w:val="0"/>
          <w:numId w:val="1"/>
        </w:numPr>
        <w:spacing w:line="360" w:lineRule="auto"/>
        <w:ind w:right="-630"/>
        <w:jc w:val="both"/>
        <w:rPr>
          <w:rFonts w:ascii="Arial" w:hAnsi="Arial" w:cs="Arial"/>
          <w:b/>
          <w:bCs/>
          <w:i/>
          <w:iCs/>
        </w:rPr>
      </w:pPr>
      <w:proofErr w:type="spellStart"/>
      <w:r>
        <w:rPr>
          <w:rFonts w:ascii="Arial" w:hAnsi="Arial" w:cs="Arial"/>
          <w:b/>
          <w:bCs/>
          <w:i/>
          <w:iCs/>
        </w:rPr>
        <w:t>Organisational</w:t>
      </w:r>
      <w:proofErr w:type="spellEnd"/>
      <w:r>
        <w:rPr>
          <w:rFonts w:ascii="Arial" w:hAnsi="Arial" w:cs="Arial"/>
          <w:b/>
          <w:bCs/>
          <w:i/>
          <w:iCs/>
        </w:rPr>
        <w:t xml:space="preserve"> culture:</w:t>
      </w:r>
    </w:p>
    <w:p w14:paraId="089024D2" w14:textId="77777777" w:rsidR="00B676D0" w:rsidRDefault="00B676D0" w:rsidP="00B676D0">
      <w:pPr>
        <w:pStyle w:val="ListParagraph"/>
        <w:numPr>
          <w:ilvl w:val="1"/>
          <w:numId w:val="2"/>
        </w:numPr>
        <w:spacing w:line="360" w:lineRule="auto"/>
        <w:ind w:left="630" w:right="-630"/>
        <w:jc w:val="both"/>
        <w:rPr>
          <w:rFonts w:ascii="Arial" w:hAnsi="Arial" w:cs="Arial"/>
          <w:b/>
          <w:bCs/>
          <w:i/>
          <w:iCs/>
        </w:rPr>
      </w:pPr>
      <w:proofErr w:type="spellStart"/>
      <w:r>
        <w:rPr>
          <w:rFonts w:ascii="Arial" w:hAnsi="Arial" w:cs="Arial"/>
          <w:b/>
          <w:bCs/>
          <w:i/>
          <w:iCs/>
        </w:rPr>
        <w:t>Organisation</w:t>
      </w:r>
      <w:proofErr w:type="spellEnd"/>
      <w:r>
        <w:rPr>
          <w:rFonts w:ascii="Arial" w:hAnsi="Arial" w:cs="Arial"/>
          <w:b/>
          <w:bCs/>
          <w:i/>
          <w:iCs/>
        </w:rPr>
        <w:t>, types of organizational structures:</w:t>
      </w:r>
    </w:p>
    <w:p w14:paraId="1CE1435D" w14:textId="77777777" w:rsidR="00B676D0" w:rsidRDefault="00B676D0" w:rsidP="00B676D0">
      <w:pPr>
        <w:pStyle w:val="ListParagraph"/>
        <w:spacing w:line="360" w:lineRule="auto"/>
        <w:ind w:left="-90" w:firstLine="720"/>
        <w:jc w:val="both"/>
        <w:rPr>
          <w:rFonts w:ascii="Arial" w:hAnsi="Arial" w:cs="Arial"/>
        </w:rPr>
      </w:pPr>
      <w:r>
        <w:rPr>
          <w:rFonts w:ascii="Arial" w:hAnsi="Arial" w:cs="Arial"/>
        </w:rPr>
        <w:t>An organization is a structured group of individuals working together to achieve common goals and objectives. It involves a coordinated effort to use resources, manage tasks, and implement strategies effectively. Several factors influence the type and structure of an organization like: purpose and goals, size and scale, environment and market conditions, technology, culture and leadership style industry and sector. ( Mullins, L., 2023)</w:t>
      </w:r>
    </w:p>
    <w:p w14:paraId="08E20DAC"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Main relevant types of organizational structures from hospitality industry are:</w:t>
      </w:r>
    </w:p>
    <w:p w14:paraId="63332C84" w14:textId="77777777" w:rsidR="00B676D0" w:rsidRDefault="00B676D0" w:rsidP="00B676D0">
      <w:pPr>
        <w:pStyle w:val="ListParagraph"/>
        <w:numPr>
          <w:ilvl w:val="0"/>
          <w:numId w:val="3"/>
        </w:numPr>
        <w:spacing w:line="360" w:lineRule="auto"/>
        <w:ind w:left="0" w:firstLine="90"/>
        <w:jc w:val="both"/>
        <w:rPr>
          <w:rFonts w:ascii="Arial" w:hAnsi="Arial" w:cs="Arial"/>
        </w:rPr>
      </w:pPr>
      <w:r>
        <w:rPr>
          <w:rFonts w:ascii="Arial" w:hAnsi="Arial" w:cs="Arial"/>
        </w:rPr>
        <w:t>Functional Structure A functional organizational structure groups employees based on their roles or functions, such as marketing, housekeeping, front office, and food and beverage departments. This structure is common in hotels because it allows specialization and efficiency within each department. An example can be Marriott International operates with a functional structure where different departments (e.g., sales and marketing, finance, human resources) are headed by managers specialized in those areas, allowing for expertise-driven management and clear hierarchical pathways (Jones, 2007).</w:t>
      </w:r>
    </w:p>
    <w:p w14:paraId="3D3FA429" w14:textId="77777777" w:rsidR="00B676D0" w:rsidRDefault="00B676D0" w:rsidP="00B676D0">
      <w:pPr>
        <w:pStyle w:val="ListParagraph"/>
        <w:numPr>
          <w:ilvl w:val="0"/>
          <w:numId w:val="3"/>
        </w:numPr>
        <w:spacing w:line="360" w:lineRule="auto"/>
        <w:ind w:left="0" w:firstLine="90"/>
        <w:jc w:val="both"/>
        <w:rPr>
          <w:rFonts w:ascii="Arial" w:hAnsi="Arial" w:cs="Arial"/>
        </w:rPr>
      </w:pPr>
      <w:r>
        <w:rPr>
          <w:rFonts w:ascii="Arial" w:hAnsi="Arial" w:cs="Arial"/>
        </w:rPr>
        <w:t>Divisional Structure A divisional structure segments the organization based on geographic locations, products, or services. This structure allows each division to operate semi-autonomously, catering to local market needs or specific product lines. A good example can be Hilton Worldwide employs a divisional structure with different divisions for various regions (Americas, Europe, Middle East, and Africa) and hotel brands (e.g., Hilton Hotels &amp; Resorts, DoubleTree by Hilton), each with its management team tailored to regional and brand-specific strategies (Gannon et al., 2010).</w:t>
      </w:r>
    </w:p>
    <w:p w14:paraId="4D899B6D" w14:textId="77777777" w:rsidR="00B676D0" w:rsidRDefault="00B676D0" w:rsidP="00B676D0">
      <w:pPr>
        <w:pStyle w:val="ListParagraph"/>
        <w:numPr>
          <w:ilvl w:val="0"/>
          <w:numId w:val="3"/>
        </w:numPr>
        <w:spacing w:line="360" w:lineRule="auto"/>
        <w:ind w:left="0" w:firstLine="90"/>
        <w:jc w:val="both"/>
        <w:rPr>
          <w:rFonts w:ascii="Arial" w:hAnsi="Arial" w:cs="Arial"/>
        </w:rPr>
      </w:pPr>
      <w:r>
        <w:rPr>
          <w:rFonts w:ascii="Arial" w:hAnsi="Arial" w:cs="Arial"/>
        </w:rPr>
        <w:t xml:space="preserve">Matrix Structure The matrix organizational structure combines elements of both functional and divisional structures. Employees report to both a functional manager and a project or product manager. This structure is designed to improve flexibility and communication across departments. For example, AccorHotels utilizes a matrix </w:t>
      </w:r>
      <w:r>
        <w:rPr>
          <w:rFonts w:ascii="Arial" w:hAnsi="Arial" w:cs="Arial"/>
        </w:rPr>
        <w:lastRenderedPageBreak/>
        <w:t>structure to manage its diverse portfolio of brands and regions. Employees might report to a functional manager (e.g., for marketing) and a regional manager, facilitating cross-functional collaboration and resource sharing (Daft, 2016).</w:t>
      </w:r>
    </w:p>
    <w:p w14:paraId="331C78F8"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Organizational culture can be broadly understood and encompasses various interpretations. A commonly used and straightforward definition is: it is the customary way of doing things within an organization. The most common classifications of types of organizational culture are those by Handy that classifies them in power culture, role culture, task culture and person culture ( Harrison. R, 1972) and by Deal and Kennedy that classifies them in tough-guy, macho culture, work-hard/play-hard culture, bet-your-company culture and process culture. ( Deal, T. E. and Kennedy, A. A. (1982)</w:t>
      </w:r>
    </w:p>
    <w:p w14:paraId="665989CC" w14:textId="77777777" w:rsidR="00B676D0" w:rsidRDefault="00B676D0" w:rsidP="00B676D0">
      <w:pPr>
        <w:pStyle w:val="ListParagraph"/>
        <w:spacing w:line="360" w:lineRule="auto"/>
        <w:ind w:left="1350" w:right="-630"/>
        <w:jc w:val="both"/>
        <w:rPr>
          <w:rFonts w:ascii="Arial" w:hAnsi="Arial" w:cs="Arial"/>
        </w:rPr>
      </w:pPr>
    </w:p>
    <w:p w14:paraId="140850CC" w14:textId="77777777" w:rsidR="00B676D0" w:rsidRDefault="00B676D0" w:rsidP="00B676D0">
      <w:pPr>
        <w:pStyle w:val="ListParagraph"/>
        <w:numPr>
          <w:ilvl w:val="1"/>
          <w:numId w:val="2"/>
        </w:numPr>
        <w:spacing w:line="360" w:lineRule="auto"/>
        <w:ind w:left="630" w:right="-630"/>
        <w:jc w:val="both"/>
        <w:rPr>
          <w:rFonts w:ascii="Arial" w:hAnsi="Arial" w:cs="Arial"/>
          <w:b/>
          <w:bCs/>
          <w:i/>
          <w:iCs/>
        </w:rPr>
      </w:pPr>
      <w:r>
        <w:rPr>
          <w:rFonts w:ascii="Arial" w:hAnsi="Arial" w:cs="Arial"/>
          <w:b/>
          <w:bCs/>
          <w:i/>
          <w:iCs/>
        </w:rPr>
        <w:t>Introduction to Hilton Hotel Group:</w:t>
      </w:r>
    </w:p>
    <w:p w14:paraId="1E1054FD"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Hilton Hotel Group is a globally renowned hospitality company known for its diverse portfolio of brands, each offering unique experiences tailored to different guest preferences and travel occasions. With a legacy spanning nearly a century, Hilton has established itself as a leader in the hospitality industry, operating over 6,500 properties across 119 countries and territories. At the heart of Hilton's brand portfolio lies a commitment to providing exceptional hospitality and personalized service, ensuring that every guest feels welcomed and valued. From luxury resorts to economy hotels, Hilton offers a range of accommodations to suit diverse budgets and travel needs. Whether travelers are seeking luxury, convenience, or value, Hilton Hotel Group offers a brand to suit every preference and occasion, ensuring memorable stays and unforgettable experiences for guests worldwide. (Hilton, 2024)</w:t>
      </w:r>
    </w:p>
    <w:p w14:paraId="73992E32" w14:textId="57138C5F" w:rsidR="00B676D0" w:rsidRDefault="00B676D0" w:rsidP="00B676D0">
      <w:pPr>
        <w:pStyle w:val="ListParagraph"/>
        <w:spacing w:line="360" w:lineRule="auto"/>
        <w:ind w:left="0" w:firstLine="90"/>
        <w:jc w:val="both"/>
        <w:rPr>
          <w:rFonts w:ascii="Arial" w:hAnsi="Arial" w:cs="Arial"/>
        </w:rPr>
      </w:pPr>
      <w:r>
        <w:rPr>
          <w:rFonts w:ascii="Arial" w:hAnsi="Arial" w:cs="Arial"/>
          <w:noProof/>
        </w:rPr>
        <w:drawing>
          <wp:inline distT="0" distB="0" distL="0" distR="0" wp14:anchorId="5AF603FB" wp14:editId="672D7CA4">
            <wp:extent cx="5562600" cy="1828800"/>
            <wp:effectExtent l="0" t="0" r="0" b="0"/>
            <wp:docPr id="2112014542" name="Picture 4" descr="A group of logos of hot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oup of logos of hotel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2600" cy="1828800"/>
                    </a:xfrm>
                    <a:prstGeom prst="rect">
                      <a:avLst/>
                    </a:prstGeom>
                    <a:noFill/>
                    <a:ln>
                      <a:noFill/>
                    </a:ln>
                  </pic:spPr>
                </pic:pic>
              </a:graphicData>
            </a:graphic>
          </wp:inline>
        </w:drawing>
      </w:r>
    </w:p>
    <w:p w14:paraId="568E2E85" w14:textId="77777777" w:rsidR="00B676D0" w:rsidRDefault="00B676D0" w:rsidP="00B676D0">
      <w:pPr>
        <w:pStyle w:val="ListParagraph"/>
        <w:spacing w:line="360" w:lineRule="auto"/>
        <w:ind w:left="630" w:right="-630"/>
        <w:jc w:val="both"/>
        <w:rPr>
          <w:rFonts w:ascii="Arial" w:hAnsi="Arial" w:cs="Arial"/>
          <w:sz w:val="22"/>
          <w:szCs w:val="22"/>
        </w:rPr>
      </w:pPr>
      <w:r>
        <w:rPr>
          <w:rFonts w:ascii="Arial" w:hAnsi="Arial" w:cs="Arial"/>
          <w:sz w:val="22"/>
          <w:szCs w:val="22"/>
        </w:rPr>
        <w:t xml:space="preserve">                         Fig. 1 Hilton Hotel Group Brands (Hilton, 2024)</w:t>
      </w:r>
    </w:p>
    <w:p w14:paraId="358790D4" w14:textId="77777777" w:rsidR="005301FD" w:rsidRDefault="005301FD" w:rsidP="00B676D0">
      <w:pPr>
        <w:pStyle w:val="ListParagraph"/>
        <w:spacing w:line="360" w:lineRule="auto"/>
        <w:ind w:left="630" w:right="-630"/>
        <w:jc w:val="both"/>
        <w:rPr>
          <w:rFonts w:ascii="Arial" w:hAnsi="Arial" w:cs="Arial"/>
          <w:sz w:val="22"/>
          <w:szCs w:val="22"/>
        </w:rPr>
      </w:pPr>
    </w:p>
    <w:p w14:paraId="265ABBF3" w14:textId="77777777" w:rsidR="005301FD" w:rsidRDefault="005301FD" w:rsidP="00B676D0">
      <w:pPr>
        <w:pStyle w:val="ListParagraph"/>
        <w:spacing w:line="360" w:lineRule="auto"/>
        <w:ind w:left="630" w:right="-630"/>
        <w:jc w:val="both"/>
        <w:rPr>
          <w:rFonts w:ascii="Arial" w:hAnsi="Arial" w:cs="Arial"/>
          <w:sz w:val="22"/>
          <w:szCs w:val="22"/>
        </w:rPr>
      </w:pPr>
    </w:p>
    <w:p w14:paraId="279B95FC" w14:textId="77777777" w:rsidR="00B676D0" w:rsidRDefault="00B676D0" w:rsidP="00B676D0">
      <w:pPr>
        <w:pStyle w:val="ListParagraph"/>
        <w:spacing w:line="360" w:lineRule="auto"/>
        <w:ind w:left="630" w:right="-630"/>
        <w:jc w:val="both"/>
        <w:rPr>
          <w:rFonts w:ascii="Arial" w:hAnsi="Arial" w:cs="Arial"/>
          <w:sz w:val="22"/>
          <w:szCs w:val="22"/>
        </w:rPr>
      </w:pPr>
    </w:p>
    <w:p w14:paraId="16D5AD15" w14:textId="77777777" w:rsidR="00B676D0" w:rsidRDefault="00B676D0" w:rsidP="00B676D0">
      <w:pPr>
        <w:pStyle w:val="ListParagraph"/>
        <w:numPr>
          <w:ilvl w:val="1"/>
          <w:numId w:val="2"/>
        </w:numPr>
        <w:spacing w:line="360" w:lineRule="auto"/>
        <w:ind w:left="630" w:right="-630"/>
        <w:jc w:val="both"/>
        <w:rPr>
          <w:rFonts w:ascii="Arial" w:hAnsi="Arial" w:cs="Arial"/>
          <w:b/>
          <w:bCs/>
          <w:i/>
          <w:iCs/>
        </w:rPr>
      </w:pPr>
      <w:r>
        <w:rPr>
          <w:rFonts w:ascii="Arial" w:hAnsi="Arial" w:cs="Arial"/>
          <w:b/>
          <w:bCs/>
          <w:i/>
          <w:iCs/>
        </w:rPr>
        <w:lastRenderedPageBreak/>
        <w:t>Hilton’s organizational structure:</w:t>
      </w:r>
    </w:p>
    <w:p w14:paraId="1E5DAB83" w14:textId="77777777" w:rsidR="00B676D0" w:rsidRDefault="00B676D0" w:rsidP="00B676D0">
      <w:pPr>
        <w:pStyle w:val="ListParagraph"/>
        <w:tabs>
          <w:tab w:val="left" w:pos="0"/>
        </w:tabs>
        <w:spacing w:line="360" w:lineRule="auto"/>
        <w:ind w:left="0"/>
        <w:jc w:val="both"/>
        <w:rPr>
          <w:rFonts w:ascii="Arial" w:hAnsi="Arial" w:cs="Arial"/>
        </w:rPr>
      </w:pPr>
      <w:r>
        <w:rPr>
          <w:rFonts w:ascii="Arial" w:hAnsi="Arial" w:cs="Arial"/>
        </w:rPr>
        <w:tab/>
        <w:t>Hilton's organizational structure is hierarchical, facilitating efficient management and decision-making. At the apex is the Board of Directors, succeeded by the CEO and Executive Team, the Corporate Support Team, and finally, the Hotel Operations Team. This setup fosters transparent communication and accountability, enabling the company to operate with precision and effectiveness. Hilton Hotel Group's organizational structure typically follows a hierarchical model with various layers of management overseeing different aspects of the business. While the exact structure may vary based on factors like region and brand, Hilton generally has a corporate headquarters overseeing regional divisions, which in turn manage individual properties. (Hilton, 2024) This hierarchical structure allows Hilton to streamline decision-making processes and maintain control over its expansive global operations. It facilitates clear lines of communication and accountability, which are crucial for managing a company with over 7,600 properties worldwide. However, such a structure can also lead to potential challenges, including slower decision-making at lower levels due to the multiple layers of approval required. This can be mitigated by empowering regional managers and fostering a more decentralized approach where appropriate.</w:t>
      </w:r>
    </w:p>
    <w:p w14:paraId="0A8992DD"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At the top of Hilton's organizational structure is its corporate headquarters, responsible for setting overall strategy, policies, and standards for the entire organization. An example of Hilton’s corporate headquarters in McLean, Virginia which serves as the central hub for executive leadership, strategic planning, and global operations management.</w:t>
      </w:r>
    </w:p>
    <w:p w14:paraId="5AD3ECB2"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Hilton's regional divisions, such as Americas, Europe, Middle East, Africa (EMEA), and Asia-Pacific, oversee operations within their respective geographic areas. These divisions are responsible for implementing corporate strategies, managing regional budgets, and supporting individual properties.</w:t>
      </w:r>
    </w:p>
    <w:p w14:paraId="0F2C3C4A"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At the unit level, individual properties, such as hotels and resorts, operate under the supervision of general managers and their respective management teams. These properties adhere to Hilton's brand standards and guidelines while catering to the specific needs and preferences of their local markets. A good example can be the Hilton Hawaiian Village Waikiki Beach Resort in Honolulu that operates as a standalone property within Hilton's portfolio, with its own management team overseeing day-to-day operations and guest services. (Hilton, 2024)</w:t>
      </w:r>
    </w:p>
    <w:p w14:paraId="2F118B45" w14:textId="77777777" w:rsidR="00B676D0" w:rsidRDefault="00B676D0" w:rsidP="00B676D0">
      <w:pPr>
        <w:pStyle w:val="ListParagraph"/>
        <w:spacing w:line="360" w:lineRule="auto"/>
        <w:ind w:left="630"/>
        <w:jc w:val="both"/>
        <w:rPr>
          <w:rFonts w:ascii="Arial" w:hAnsi="Arial" w:cs="Arial"/>
        </w:rPr>
      </w:pPr>
    </w:p>
    <w:p w14:paraId="4F18AC3C" w14:textId="77777777" w:rsidR="00B676D0" w:rsidRDefault="00B676D0" w:rsidP="00B676D0">
      <w:pPr>
        <w:pStyle w:val="ListParagraph"/>
        <w:numPr>
          <w:ilvl w:val="1"/>
          <w:numId w:val="2"/>
        </w:numPr>
        <w:spacing w:line="360" w:lineRule="auto"/>
        <w:ind w:left="630"/>
        <w:jc w:val="both"/>
        <w:rPr>
          <w:rFonts w:ascii="Arial" w:hAnsi="Arial" w:cs="Arial"/>
          <w:b/>
          <w:bCs/>
          <w:i/>
          <w:iCs/>
        </w:rPr>
      </w:pPr>
      <w:r>
        <w:rPr>
          <w:rFonts w:ascii="Arial" w:hAnsi="Arial" w:cs="Arial"/>
          <w:b/>
          <w:bCs/>
          <w:i/>
          <w:iCs/>
        </w:rPr>
        <w:lastRenderedPageBreak/>
        <w:t>Hilton’s culture:</w:t>
      </w:r>
    </w:p>
    <w:p w14:paraId="00944F4B"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Hilton Hotel Group's culture is characterized by its strong emphasis on hospitality, customer service excellence, and employee empowerment. Some of the key elements of Hilton's culture are:</w:t>
      </w:r>
    </w:p>
    <w:p w14:paraId="54B2AD63"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Hospitality: is at the core of Hilton's culture. The company is committed to providing warm, welcoming, and personalized experiences to every guest, ensuring their comfort and satisfaction throughout their stay. (Hilton.com , 2022)</w:t>
      </w:r>
    </w:p>
    <w:p w14:paraId="65B29132"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Customer Service Excellence: Hilton places a high value on delivering exceptional customer service. Employees are trained to anticipate guests' needs, exceed their expectations, and resolve any issues promptly and courteously.</w:t>
      </w:r>
    </w:p>
    <w:p w14:paraId="0E79157E"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Employee Empowerment: Hilton empowers its employees to take ownership of their roles and make decisions that prioritize guest satisfaction. Employees are encouraged to be proactive, innovative, and resourceful in finding solutions to challenges. (Stories.hilton.com, 2024)</w:t>
      </w:r>
    </w:p>
    <w:p w14:paraId="563A2C95"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Diversity and Inclusion: Hilton promotes a culture of diversity and inclusion, recognizing the value of different perspectives and experiences. The company is committed to fostering a workplace where all employees feel respected, valued, and included. (Stories.hilton.com, 2024)</w:t>
      </w:r>
    </w:p>
    <w:p w14:paraId="10CD379C"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Continuous Improvement: Hilton is dedicated to continuous improvement and innovation. The company encourages feedback from guests and employees to identify areas for enhancement and implement new initiatives to enhance guest experiences and operational efficiency.</w:t>
      </w:r>
    </w:p>
    <w:p w14:paraId="2BDB093B"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Community Engagement: Hilton is actively involved in supporting the communities where it operates. Through initiatives such as volunteer programs, charitable partnerships, and sustainability efforts, Hilton strives to make a positive impact on society and the environment.</w:t>
      </w:r>
    </w:p>
    <w:p w14:paraId="0CFDE0B2" w14:textId="77777777" w:rsidR="00B676D0" w:rsidRDefault="00B676D0" w:rsidP="00B676D0">
      <w:pPr>
        <w:spacing w:line="360" w:lineRule="auto"/>
        <w:jc w:val="both"/>
        <w:rPr>
          <w:rFonts w:ascii="Arial" w:hAnsi="Arial" w:cs="Arial"/>
        </w:rPr>
      </w:pPr>
    </w:p>
    <w:p w14:paraId="02A1D25A" w14:textId="77777777" w:rsidR="00B676D0" w:rsidRDefault="00B676D0" w:rsidP="00B676D0">
      <w:pPr>
        <w:pStyle w:val="ListParagraph"/>
        <w:numPr>
          <w:ilvl w:val="1"/>
          <w:numId w:val="2"/>
        </w:numPr>
        <w:spacing w:line="360" w:lineRule="auto"/>
        <w:ind w:left="630"/>
        <w:jc w:val="both"/>
        <w:rPr>
          <w:rFonts w:ascii="Arial" w:hAnsi="Arial" w:cs="Arial"/>
          <w:b/>
          <w:bCs/>
          <w:i/>
          <w:iCs/>
        </w:rPr>
      </w:pPr>
      <w:r>
        <w:rPr>
          <w:rFonts w:ascii="Arial" w:hAnsi="Arial" w:cs="Arial"/>
          <w:b/>
          <w:bCs/>
          <w:i/>
          <w:iCs/>
        </w:rPr>
        <w:t>Main goals of Hilton Hotel Group:</w:t>
      </w:r>
    </w:p>
    <w:p w14:paraId="150F7754" w14:textId="77777777" w:rsidR="00B676D0" w:rsidRDefault="00B676D0" w:rsidP="00B676D0">
      <w:pPr>
        <w:pStyle w:val="ListParagraph"/>
        <w:spacing w:line="360" w:lineRule="auto"/>
        <w:ind w:left="0" w:firstLine="450"/>
        <w:jc w:val="both"/>
        <w:rPr>
          <w:rFonts w:ascii="Arial" w:hAnsi="Arial" w:cs="Arial"/>
        </w:rPr>
      </w:pPr>
      <w:r>
        <w:rPr>
          <w:rFonts w:ascii="Arial" w:hAnsi="Arial" w:cs="Arial"/>
        </w:rPr>
        <w:t>Laura Fuentes, EVP and Chief Human Resources Officer  declared the following: “Our goal at Hilton is to build a fully human experience at work, so our Team Members can be their best, most authentic selves, accelerate the impact of our business, and inspire the world with our hospitality.” (</w:t>
      </w:r>
      <w:r>
        <w:t>HILTON 2022 ESG REPORT, 2022)</w:t>
      </w:r>
    </w:p>
    <w:p w14:paraId="0D618094" w14:textId="77777777" w:rsidR="00B676D0" w:rsidRDefault="00B676D0" w:rsidP="00B676D0">
      <w:pPr>
        <w:spacing w:line="360" w:lineRule="auto"/>
        <w:ind w:firstLine="450"/>
        <w:jc w:val="both"/>
        <w:rPr>
          <w:rFonts w:ascii="Arial" w:hAnsi="Arial" w:cs="Arial"/>
        </w:rPr>
      </w:pPr>
      <w:r>
        <w:rPr>
          <w:rFonts w:ascii="Arial" w:hAnsi="Arial" w:cs="Arial"/>
        </w:rPr>
        <w:lastRenderedPageBreak/>
        <w:t>Hilton Hotel Group's goals typically encompass a combination of strategic objectives aimed at driving growth, enhancing guest experiences, promoting sustainability, and fostering a positive corporate culture. While specific goals may evolve over time in response to changing market conditions and business priorities, some common goals for Hilton Hotel Group remains consistent.</w:t>
      </w:r>
    </w:p>
    <w:p w14:paraId="708E5493" w14:textId="77777777" w:rsidR="00B676D0" w:rsidRDefault="00B676D0" w:rsidP="00B676D0">
      <w:pPr>
        <w:spacing w:line="360" w:lineRule="auto"/>
        <w:ind w:firstLine="450"/>
        <w:jc w:val="both"/>
        <w:rPr>
          <w:rFonts w:ascii="Arial" w:hAnsi="Arial" w:cs="Arial"/>
        </w:rPr>
      </w:pPr>
      <w:r>
        <w:rPr>
          <w:rFonts w:ascii="Arial" w:hAnsi="Arial" w:cs="Arial"/>
        </w:rPr>
        <w:t>In terms of inclusivity, Hilton’s goals of achieving gender parity and increasing ethnic diversity are ambitious and align with broader societal movements towards equality. These targets are not only ethical imperatives but also strategic ones, as diverse leadership can drive innovation and better decision-making.</w:t>
      </w:r>
    </w:p>
    <w:p w14:paraId="1F4F8F0E"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 xml:space="preserve">Delivering Exceptional Guest Experiences: Hilton aims to provide memorable and personalized experiences to guests across its diverse portfolio of brands and properties. This includes exceeding guest expectations, enhancing customer satisfaction, and fostering loyalty. </w:t>
      </w:r>
    </w:p>
    <w:p w14:paraId="4A2FC51B"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 xml:space="preserve">Driving Revenue Growth: Hilton seeks to maximize revenue and profitability through various channels, including room bookings, food and beverage sales, and ancillary services. The company focuses on optimizing pricing strategies, expanding market share, and capitalizing on emerging trends and opportunities. </w:t>
      </w:r>
    </w:p>
    <w:p w14:paraId="25A97F6B"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 xml:space="preserve">Promoting Sustainability: Hilton is committed to operating responsibly and minimizing its environmental footprint. The company sets goals related to reducing carbon emissions, conserving water and energy, and promoting sustainable sourcing and waste management practices. </w:t>
      </w:r>
    </w:p>
    <w:p w14:paraId="7289E0D8"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 xml:space="preserve">Fostering Employee Engagement: Hilton prioritizes creating a positive work environment where employees feel valued, empowered, and motivated to succeed. The company aims to attract and retain top talent, promote diversity and inclusion, and provide opportunities for professional development and career advancement. </w:t>
      </w:r>
    </w:p>
    <w:p w14:paraId="2E83A86B"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Expanding Global Footprint: Hilton aims to grow its presence in key markets around the world, including both established and emerging destinations. This may involve expanding its portfolio of brands and properties through organic growth, strategic partnerships, and acquisitions. ( Stories.hilton.com, 2024)</w:t>
      </w:r>
    </w:p>
    <w:p w14:paraId="0BE0E4B8" w14:textId="77777777" w:rsidR="00B676D0" w:rsidRDefault="00B676D0" w:rsidP="00B676D0">
      <w:pPr>
        <w:pStyle w:val="ListParagraph"/>
        <w:numPr>
          <w:ilvl w:val="0"/>
          <w:numId w:val="4"/>
        </w:numPr>
        <w:spacing w:line="360" w:lineRule="auto"/>
        <w:ind w:left="450" w:hanging="450"/>
        <w:jc w:val="both"/>
        <w:rPr>
          <w:rFonts w:ascii="Arial" w:hAnsi="Arial" w:cs="Arial"/>
        </w:rPr>
      </w:pPr>
      <w:r>
        <w:rPr>
          <w:rFonts w:ascii="Arial" w:hAnsi="Arial" w:cs="Arial"/>
        </w:rPr>
        <w:t xml:space="preserve">Enhancing Brand Differentiation: Hilton focuses on differentiating its brands through distinctive offerings, unique experiences, and targeted marketing </w:t>
      </w:r>
      <w:r>
        <w:rPr>
          <w:rFonts w:ascii="Arial" w:hAnsi="Arial" w:cs="Arial"/>
        </w:rPr>
        <w:lastRenderedPageBreak/>
        <w:t xml:space="preserve">strategies. The company aims to strengthen brand identity, increase brand loyalty, and maintain competitive advantage in the marketplace. </w:t>
      </w:r>
    </w:p>
    <w:p w14:paraId="4DB32422" w14:textId="77777777" w:rsidR="00B676D0" w:rsidRDefault="00B676D0" w:rsidP="00B676D0">
      <w:pPr>
        <w:pStyle w:val="ListParagraph"/>
        <w:spacing w:line="360" w:lineRule="auto"/>
        <w:ind w:left="90" w:firstLine="630"/>
        <w:jc w:val="both"/>
        <w:rPr>
          <w:rFonts w:ascii="Arial" w:hAnsi="Arial" w:cs="Arial"/>
        </w:rPr>
      </w:pPr>
      <w:r>
        <w:rPr>
          <w:rFonts w:ascii="Arial" w:hAnsi="Arial" w:cs="Arial"/>
        </w:rPr>
        <w:t>Hilton’s strategic goals are centered on sustainability, inclusivity, and growth. The "Travel with Purpose" initiative exemplifies their commitment to environmental and social governance (ESG) goals. By 2030, Hilton aims to cut its environmental footprint in half and double its social impact investments. (HILTON 2022 ESG REPORT, 2022)</w:t>
      </w:r>
    </w:p>
    <w:p w14:paraId="6C7E1C84"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Overall, Hilton Hotel Group's goals are aligned with its mission and vision, reflecting its commitment to delivering value for guests, employees, shareholders, and society as a whole. These goals guide the company's strategic decision-making and resource allocation, driving sustainable growth and success in the hospitality industry.</w:t>
      </w:r>
    </w:p>
    <w:p w14:paraId="3D18F0EF" w14:textId="634C5232" w:rsidR="00B676D0" w:rsidRDefault="00B676D0" w:rsidP="00B676D0">
      <w:pPr>
        <w:pStyle w:val="ListParagraph"/>
        <w:spacing w:line="360" w:lineRule="auto"/>
        <w:ind w:left="0" w:firstLine="1890"/>
        <w:jc w:val="both"/>
        <w:rPr>
          <w:rFonts w:ascii="Arial" w:hAnsi="Arial" w:cs="Arial"/>
        </w:rPr>
      </w:pPr>
      <w:r>
        <w:rPr>
          <w:rFonts w:ascii="Arial" w:hAnsi="Arial" w:cs="Arial"/>
          <w:noProof/>
        </w:rPr>
        <w:drawing>
          <wp:inline distT="0" distB="0" distL="0" distR="0" wp14:anchorId="2B039465" wp14:editId="40C1BBBE">
            <wp:extent cx="3368040" cy="3566160"/>
            <wp:effectExtent l="0" t="0" r="3810" b="0"/>
            <wp:docPr id="1902283036" name="Picture 3" descr="A circular diagram of different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of different peop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68040" cy="3566160"/>
                    </a:xfrm>
                    <a:prstGeom prst="rect">
                      <a:avLst/>
                    </a:prstGeom>
                    <a:noFill/>
                    <a:ln>
                      <a:noFill/>
                    </a:ln>
                  </pic:spPr>
                </pic:pic>
              </a:graphicData>
            </a:graphic>
          </wp:inline>
        </w:drawing>
      </w:r>
    </w:p>
    <w:p w14:paraId="00DFD9C5" w14:textId="77777777" w:rsidR="00B676D0" w:rsidRDefault="00B676D0" w:rsidP="00B676D0">
      <w:pPr>
        <w:spacing w:line="360" w:lineRule="auto"/>
        <w:jc w:val="both"/>
        <w:rPr>
          <w:rFonts w:ascii="Arial" w:hAnsi="Arial" w:cs="Arial"/>
          <w:sz w:val="22"/>
          <w:szCs w:val="22"/>
        </w:rPr>
      </w:pPr>
      <w:r>
        <w:rPr>
          <w:rFonts w:ascii="Arial" w:hAnsi="Arial" w:cs="Arial"/>
          <w:sz w:val="22"/>
          <w:szCs w:val="22"/>
        </w:rPr>
        <w:t xml:space="preserve">                                      Fig 2. Travel with Purpose ( </w:t>
      </w:r>
      <w:proofErr w:type="spellStart"/>
      <w:r>
        <w:rPr>
          <w:rFonts w:ascii="Arial" w:hAnsi="Arial" w:cs="Arial"/>
          <w:sz w:val="22"/>
          <w:szCs w:val="22"/>
        </w:rPr>
        <w:t>Esg.hilton</w:t>
      </w:r>
      <w:proofErr w:type="spellEnd"/>
      <w:r>
        <w:rPr>
          <w:rFonts w:ascii="Arial" w:hAnsi="Arial" w:cs="Arial"/>
          <w:sz w:val="22"/>
          <w:szCs w:val="22"/>
        </w:rPr>
        <w:t>, 2024)</w:t>
      </w:r>
    </w:p>
    <w:p w14:paraId="26B1FEFC" w14:textId="77777777" w:rsidR="00B676D0" w:rsidRDefault="00B676D0" w:rsidP="00B676D0">
      <w:pPr>
        <w:pStyle w:val="ListParagraph"/>
        <w:numPr>
          <w:ilvl w:val="1"/>
          <w:numId w:val="2"/>
        </w:numPr>
        <w:spacing w:line="360" w:lineRule="auto"/>
        <w:ind w:left="630"/>
        <w:jc w:val="both"/>
        <w:rPr>
          <w:rFonts w:ascii="Arial" w:hAnsi="Arial" w:cs="Arial"/>
          <w:b/>
          <w:bCs/>
          <w:i/>
          <w:iCs/>
        </w:rPr>
      </w:pPr>
      <w:r>
        <w:rPr>
          <w:rFonts w:ascii="Arial" w:hAnsi="Arial" w:cs="Arial"/>
          <w:b/>
          <w:bCs/>
          <w:i/>
          <w:iCs/>
        </w:rPr>
        <w:t>Recent initiatives and their impact:</w:t>
      </w:r>
    </w:p>
    <w:p w14:paraId="158FC7AB"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Further on, some of the most important recent change initiatives for Hilton Hotel Group and their impact are going to be analyzed.</w:t>
      </w:r>
    </w:p>
    <w:p w14:paraId="47EB99FD" w14:textId="77777777" w:rsidR="00B676D0" w:rsidRDefault="00B676D0" w:rsidP="00B676D0">
      <w:pPr>
        <w:pStyle w:val="ListParagraph"/>
        <w:numPr>
          <w:ilvl w:val="0"/>
          <w:numId w:val="5"/>
        </w:numPr>
        <w:spacing w:line="360" w:lineRule="auto"/>
        <w:ind w:left="540" w:hanging="540"/>
        <w:jc w:val="both"/>
        <w:rPr>
          <w:rFonts w:ascii="Segoe UI Historic" w:hAnsi="Segoe UI Historic" w:cs="Segoe UI Historic"/>
          <w:color w:val="050505"/>
          <w:sz w:val="23"/>
          <w:szCs w:val="23"/>
          <w:shd w:val="clear" w:color="auto" w:fill="F0F0F0"/>
        </w:rPr>
      </w:pPr>
      <w:r>
        <w:rPr>
          <w:rFonts w:ascii="Arial" w:hAnsi="Arial" w:cs="Arial"/>
        </w:rPr>
        <w:t xml:space="preserve">Digital Transformation: Initiative: Hilton has invested heavily in digital transformation initiatives, including mobile check-in/check-out, keyless entry, and personalized guest experiences through its Hilton Honors app. - Impact: These digital innovations have streamlined the guest experience, improved operational </w:t>
      </w:r>
      <w:r>
        <w:rPr>
          <w:rFonts w:ascii="Arial" w:hAnsi="Arial" w:cs="Arial"/>
        </w:rPr>
        <w:lastRenderedPageBreak/>
        <w:t xml:space="preserve">efficiency, and enhanced guest satisfaction by providing greater convenience and customization options. </w:t>
      </w:r>
    </w:p>
    <w:p w14:paraId="347F5D35" w14:textId="77777777" w:rsidR="00B676D0" w:rsidRDefault="00B676D0" w:rsidP="00B676D0">
      <w:pPr>
        <w:pStyle w:val="ListParagraph"/>
        <w:numPr>
          <w:ilvl w:val="0"/>
          <w:numId w:val="5"/>
        </w:numPr>
        <w:spacing w:line="360" w:lineRule="auto"/>
        <w:ind w:left="540" w:hanging="540"/>
        <w:jc w:val="both"/>
        <w:rPr>
          <w:rFonts w:ascii="Arial" w:hAnsi="Arial" w:cs="Arial"/>
        </w:rPr>
      </w:pPr>
      <w:r>
        <w:rPr>
          <w:rFonts w:ascii="Arial" w:hAnsi="Arial" w:cs="Arial"/>
        </w:rPr>
        <w:t xml:space="preserve">Sustainability Efforts: Initiative: Hilton has implemented various sustainability initiatives to reduce its environmental footprint, including energy and water conservation, waste reduction, and sustainable sourcing practices. - Impact: These efforts have not only reduced costs and enhanced operational efficiency but also strengthened Hilton's brand reputation as a responsible corporate citizen committed to environmental stewardship. </w:t>
      </w:r>
    </w:p>
    <w:p w14:paraId="152797C4" w14:textId="77777777" w:rsidR="00B676D0" w:rsidRDefault="00B676D0" w:rsidP="00B676D0">
      <w:pPr>
        <w:pStyle w:val="ListParagraph"/>
        <w:numPr>
          <w:ilvl w:val="0"/>
          <w:numId w:val="5"/>
        </w:numPr>
        <w:spacing w:line="360" w:lineRule="auto"/>
        <w:ind w:left="540" w:hanging="540"/>
        <w:jc w:val="both"/>
        <w:rPr>
          <w:rFonts w:ascii="Arial" w:hAnsi="Arial" w:cs="Arial"/>
        </w:rPr>
      </w:pPr>
      <w:r>
        <w:rPr>
          <w:rFonts w:ascii="Arial" w:hAnsi="Arial" w:cs="Arial"/>
        </w:rPr>
        <w:t xml:space="preserve">Employee Well-being Programs: Initiative: Hilton has introduced comprehensive employee well-being programs aimed at promoting physical health, mental wellness, work-life balance, and career development opportunities. - Impact: These initiatives have boosted employee morale, engagement, and retention, leading to higher levels of productivity, customer service excellence, and overall organizational performance. </w:t>
      </w:r>
    </w:p>
    <w:p w14:paraId="2AF6080E" w14:textId="77777777" w:rsidR="00B676D0" w:rsidRDefault="00B676D0" w:rsidP="00B676D0">
      <w:pPr>
        <w:pStyle w:val="ListParagraph"/>
        <w:numPr>
          <w:ilvl w:val="0"/>
          <w:numId w:val="5"/>
        </w:numPr>
        <w:spacing w:line="360" w:lineRule="auto"/>
        <w:ind w:left="540" w:hanging="540"/>
        <w:jc w:val="both"/>
        <w:rPr>
          <w:rFonts w:ascii="Arial" w:hAnsi="Arial" w:cs="Arial"/>
        </w:rPr>
      </w:pPr>
      <w:r>
        <w:rPr>
          <w:rFonts w:ascii="Arial" w:hAnsi="Arial" w:cs="Arial"/>
        </w:rPr>
        <w:t xml:space="preserve">Expansion into New Markets and Segments: Initiative: Hilton has pursued strategic expansion initiatives to enter new markets and segments, including luxury, lifestyle, and extended-stay accommodations. - Impact: These expansion efforts have diversified Hilton's revenue streams, increased market share, and strengthened its competitive position by catering to a broader range of guest preferences and travel needs. </w:t>
      </w:r>
    </w:p>
    <w:p w14:paraId="3B9FD05C" w14:textId="77777777" w:rsidR="00B676D0" w:rsidRDefault="00B676D0" w:rsidP="00B676D0">
      <w:pPr>
        <w:pStyle w:val="ListParagraph"/>
        <w:numPr>
          <w:ilvl w:val="0"/>
          <w:numId w:val="5"/>
        </w:numPr>
        <w:spacing w:line="360" w:lineRule="auto"/>
        <w:ind w:left="540" w:hanging="540"/>
        <w:jc w:val="both"/>
        <w:rPr>
          <w:rFonts w:ascii="Arial" w:hAnsi="Arial" w:cs="Arial"/>
        </w:rPr>
      </w:pPr>
      <w:r>
        <w:rPr>
          <w:rFonts w:ascii="Arial" w:hAnsi="Arial" w:cs="Arial"/>
        </w:rPr>
        <w:t>Enhanced Health and Safety Protocols: Initiative: In response to the COVID-19 pandemic, Hilton implemented enhanced health and safety protocols across its properties, including enhanced cleaning procedures, contactless services, and social distancing measures. - Impact: These measures have helped reassure guests and employees of their safety and well-being, restoring confidence in travel and driving demand for Hilton's properties as travel restrictions ease. Overall, these recent change initiatives have had a significant impact on Hilton Hotel Group, driving innovation, sustainability, employee engagement, market expansion, and guest satisfaction. By embracing change and adapting to evolving consumer preferences and market dynamics, Hilton continues to position itself for long-term success in the global hospitality industry.</w:t>
      </w:r>
    </w:p>
    <w:p w14:paraId="02D8A5ED" w14:textId="77777777" w:rsidR="00B676D0" w:rsidRDefault="00B676D0" w:rsidP="00B676D0">
      <w:pPr>
        <w:spacing w:line="360" w:lineRule="auto"/>
        <w:jc w:val="both"/>
        <w:rPr>
          <w:rFonts w:ascii="Arial" w:hAnsi="Arial" w:cs="Arial"/>
        </w:rPr>
      </w:pPr>
    </w:p>
    <w:p w14:paraId="54B15B49" w14:textId="77777777" w:rsidR="00B676D0" w:rsidRPr="00B676D0" w:rsidRDefault="00B676D0" w:rsidP="00B676D0">
      <w:pPr>
        <w:spacing w:line="360" w:lineRule="auto"/>
        <w:jc w:val="both"/>
        <w:rPr>
          <w:rFonts w:ascii="Arial" w:hAnsi="Arial" w:cs="Arial"/>
        </w:rPr>
      </w:pPr>
    </w:p>
    <w:p w14:paraId="059E011E" w14:textId="77777777" w:rsidR="00B676D0" w:rsidRDefault="00B676D0" w:rsidP="00B676D0">
      <w:pPr>
        <w:pStyle w:val="ListParagraph"/>
        <w:spacing w:line="360" w:lineRule="auto"/>
        <w:ind w:left="540"/>
        <w:jc w:val="both"/>
        <w:rPr>
          <w:rFonts w:ascii="Arial" w:hAnsi="Arial" w:cs="Arial"/>
        </w:rPr>
      </w:pPr>
    </w:p>
    <w:p w14:paraId="7D093A00" w14:textId="77777777" w:rsidR="00B676D0" w:rsidRDefault="00B676D0" w:rsidP="00B676D0">
      <w:pPr>
        <w:pStyle w:val="ListParagraph"/>
        <w:spacing w:line="360" w:lineRule="auto"/>
        <w:ind w:left="540"/>
        <w:jc w:val="both"/>
        <w:rPr>
          <w:rFonts w:ascii="Arial" w:hAnsi="Arial" w:cs="Arial"/>
        </w:rPr>
      </w:pPr>
    </w:p>
    <w:p w14:paraId="6603175F" w14:textId="77777777" w:rsidR="00B676D0" w:rsidRDefault="00B676D0" w:rsidP="00B676D0">
      <w:pPr>
        <w:pStyle w:val="ListParagraph"/>
        <w:numPr>
          <w:ilvl w:val="1"/>
          <w:numId w:val="2"/>
        </w:numPr>
        <w:spacing w:line="360" w:lineRule="auto"/>
        <w:ind w:left="630"/>
        <w:jc w:val="both"/>
        <w:rPr>
          <w:rFonts w:ascii="Arial" w:hAnsi="Arial" w:cs="Arial"/>
          <w:b/>
          <w:bCs/>
          <w:i/>
          <w:iCs/>
        </w:rPr>
      </w:pPr>
      <w:r>
        <w:rPr>
          <w:rFonts w:ascii="Arial" w:hAnsi="Arial" w:cs="Arial"/>
          <w:b/>
          <w:bCs/>
          <w:i/>
          <w:iCs/>
        </w:rPr>
        <w:t>Future strategic direction:</w:t>
      </w:r>
    </w:p>
    <w:p w14:paraId="1FA47DA4" w14:textId="77777777" w:rsidR="00B676D0" w:rsidRDefault="00B676D0" w:rsidP="00B676D0">
      <w:pPr>
        <w:pStyle w:val="ListParagraph"/>
        <w:spacing w:line="360" w:lineRule="auto"/>
        <w:ind w:left="0" w:firstLine="630"/>
        <w:jc w:val="both"/>
        <w:rPr>
          <w:rFonts w:ascii="Arial" w:hAnsi="Arial" w:cs="Arial"/>
        </w:rPr>
      </w:pPr>
      <w:r>
        <w:rPr>
          <w:rFonts w:ascii="Arial" w:hAnsi="Arial" w:cs="Arial"/>
        </w:rPr>
        <w:t>Hilton's ambitious goals for 2030 serve as a benchmark for tracking progress across their operations, supply chain, and communities. Through their "Travel with Purpose" initiative, Hilton's leaders are harnessing innovation and influence to create significant positive impacts in the destinations and communities they serve.</w:t>
      </w:r>
    </w:p>
    <w:p w14:paraId="0474C629" w14:textId="77777777" w:rsidR="00B676D0" w:rsidRDefault="00B676D0" w:rsidP="00B676D0">
      <w:pPr>
        <w:pStyle w:val="ListParagraph"/>
        <w:spacing w:line="360" w:lineRule="auto"/>
        <w:ind w:left="0" w:firstLine="630"/>
        <w:jc w:val="both"/>
        <w:rPr>
          <w:rFonts w:ascii="Arial" w:hAnsi="Arial" w:cs="Arial"/>
        </w:rPr>
      </w:pPr>
    </w:p>
    <w:p w14:paraId="0EE2D49C" w14:textId="44185B96" w:rsidR="00B676D0" w:rsidRDefault="00B676D0" w:rsidP="00B676D0">
      <w:pPr>
        <w:pStyle w:val="ListParagraph"/>
        <w:spacing w:line="360" w:lineRule="auto"/>
        <w:ind w:left="630"/>
        <w:jc w:val="both"/>
        <w:rPr>
          <w:noProof/>
        </w:rPr>
      </w:pPr>
      <w:r>
        <w:rPr>
          <w:rFonts w:ascii="Arial" w:hAnsi="Arial" w:cs="Arial"/>
          <w:noProof/>
        </w:rPr>
        <w:drawing>
          <wp:inline distT="0" distB="0" distL="0" distR="0" wp14:anchorId="4360A2DC" wp14:editId="5B404769">
            <wp:extent cx="2567940" cy="3500432"/>
            <wp:effectExtent l="0" t="0" r="3810" b="5080"/>
            <wp:docPr id="542429377"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ell phon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1524" cy="3505317"/>
                    </a:xfrm>
                    <a:prstGeom prst="rect">
                      <a:avLst/>
                    </a:prstGeom>
                    <a:noFill/>
                    <a:ln>
                      <a:noFill/>
                    </a:ln>
                  </pic:spPr>
                </pic:pic>
              </a:graphicData>
            </a:graphic>
          </wp:inline>
        </w:drawing>
      </w:r>
      <w:r>
        <w:rPr>
          <w:noProof/>
        </w:rPr>
        <w:t xml:space="preserve"> </w:t>
      </w:r>
      <w:r>
        <w:rPr>
          <w:rFonts w:ascii="Arial" w:hAnsi="Arial" w:cs="Arial"/>
          <w:noProof/>
        </w:rPr>
        <w:drawing>
          <wp:inline distT="0" distB="0" distL="0" distR="0" wp14:anchorId="6D54A64A" wp14:editId="58A8DC06">
            <wp:extent cx="2712720" cy="4015740"/>
            <wp:effectExtent l="0" t="0" r="0" b="3810"/>
            <wp:docPr id="431129287" name="Picture 1" descr="A blue and purpl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and purple text on a white backgrou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12720" cy="4015740"/>
                    </a:xfrm>
                    <a:prstGeom prst="rect">
                      <a:avLst/>
                    </a:prstGeom>
                    <a:noFill/>
                    <a:ln>
                      <a:noFill/>
                    </a:ln>
                  </pic:spPr>
                </pic:pic>
              </a:graphicData>
            </a:graphic>
          </wp:inline>
        </w:drawing>
      </w:r>
    </w:p>
    <w:p w14:paraId="2F03239D" w14:textId="77777777" w:rsidR="00B676D0" w:rsidRDefault="00B676D0" w:rsidP="00B676D0">
      <w:pPr>
        <w:pStyle w:val="ListParagraph"/>
        <w:spacing w:line="360" w:lineRule="auto"/>
        <w:ind w:left="630"/>
        <w:rPr>
          <w:rFonts w:ascii="Arial" w:hAnsi="Arial" w:cs="Arial"/>
          <w:sz w:val="22"/>
          <w:szCs w:val="22"/>
        </w:rPr>
      </w:pPr>
      <w:r>
        <w:rPr>
          <w:rFonts w:ascii="Arial" w:hAnsi="Arial" w:cs="Arial"/>
        </w:rPr>
        <w:t xml:space="preserve">                            </w:t>
      </w:r>
      <w:r>
        <w:rPr>
          <w:rFonts w:ascii="Arial" w:hAnsi="Arial" w:cs="Arial"/>
          <w:sz w:val="22"/>
          <w:szCs w:val="22"/>
        </w:rPr>
        <w:t>Fig.3 Hilton’s 2030 Goals (2030 Goal Tracking, 2024)</w:t>
      </w:r>
    </w:p>
    <w:p w14:paraId="267A07B1" w14:textId="77777777" w:rsidR="00B676D0" w:rsidRDefault="00B676D0" w:rsidP="00B676D0">
      <w:pPr>
        <w:pStyle w:val="ListParagraph"/>
        <w:spacing w:line="360" w:lineRule="auto"/>
        <w:ind w:left="630"/>
        <w:rPr>
          <w:rFonts w:ascii="Arial" w:hAnsi="Arial" w:cs="Arial"/>
          <w:noProof/>
        </w:rPr>
      </w:pPr>
    </w:p>
    <w:p w14:paraId="3285D9FB" w14:textId="77777777" w:rsidR="00B676D0" w:rsidRDefault="00B676D0" w:rsidP="00B676D0">
      <w:pPr>
        <w:pStyle w:val="ListParagraph"/>
        <w:numPr>
          <w:ilvl w:val="0"/>
          <w:numId w:val="1"/>
        </w:numPr>
        <w:spacing w:line="360" w:lineRule="auto"/>
        <w:ind w:left="1080"/>
        <w:jc w:val="both"/>
        <w:rPr>
          <w:rFonts w:ascii="Arial" w:hAnsi="Arial" w:cs="Arial"/>
          <w:b/>
          <w:bCs/>
          <w:i/>
          <w:iCs/>
        </w:rPr>
      </w:pPr>
      <w:r>
        <w:rPr>
          <w:rFonts w:ascii="Arial" w:hAnsi="Arial" w:cs="Arial"/>
          <w:b/>
          <w:bCs/>
          <w:i/>
          <w:iCs/>
        </w:rPr>
        <w:t>Conclusions:</w:t>
      </w:r>
    </w:p>
    <w:p w14:paraId="5408535D" w14:textId="77777777" w:rsidR="00B676D0" w:rsidRDefault="00B676D0" w:rsidP="00B676D0">
      <w:pPr>
        <w:pStyle w:val="ListParagraph"/>
        <w:spacing w:line="360" w:lineRule="auto"/>
        <w:ind w:left="0" w:firstLine="720"/>
        <w:jc w:val="both"/>
        <w:rPr>
          <w:rFonts w:ascii="Arial" w:hAnsi="Arial" w:cs="Arial"/>
          <w:noProof/>
        </w:rPr>
      </w:pPr>
      <w:r>
        <w:rPr>
          <w:rFonts w:ascii="Arial" w:hAnsi="Arial" w:cs="Arial"/>
          <w:noProof/>
        </w:rPr>
        <w:t>In conclusion, Hilton Hotel Group's structured approach to management, commitment to a positive corporate culture, and strategic focus on sustainability and inclusivity position it well for future growth and success. However, continuous adaptation and commitment will be necessary to address the inherent challenges of maintaining such a broad and ambitious set of goals.</w:t>
      </w:r>
    </w:p>
    <w:p w14:paraId="2F033BE9" w14:textId="77777777" w:rsidR="00B676D0" w:rsidRDefault="00B676D0" w:rsidP="00B676D0">
      <w:pPr>
        <w:pStyle w:val="ListParagraph"/>
        <w:spacing w:line="360" w:lineRule="auto"/>
        <w:ind w:left="0" w:firstLine="720"/>
        <w:jc w:val="both"/>
        <w:rPr>
          <w:rFonts w:ascii="Arial" w:hAnsi="Arial" w:cs="Arial"/>
          <w:noProof/>
        </w:rPr>
      </w:pPr>
    </w:p>
    <w:p w14:paraId="2A1E1B22" w14:textId="77777777" w:rsidR="00B676D0" w:rsidRDefault="00B676D0" w:rsidP="00B676D0">
      <w:pPr>
        <w:pStyle w:val="ListParagraph"/>
        <w:spacing w:line="360" w:lineRule="auto"/>
        <w:ind w:left="0" w:firstLine="720"/>
        <w:jc w:val="both"/>
        <w:rPr>
          <w:rFonts w:ascii="Arial" w:hAnsi="Arial" w:cs="Arial"/>
          <w:noProof/>
        </w:rPr>
      </w:pPr>
    </w:p>
    <w:bookmarkStart w:id="0" w:name="_Toc167483569" w:displacedByCustomXml="next"/>
    <w:sdt>
      <w:sdtPr>
        <w:rPr>
          <w:rFonts w:asciiTheme="minorHAnsi" w:eastAsiaTheme="minorHAnsi" w:hAnsiTheme="minorHAnsi" w:cstheme="minorBidi"/>
          <w:color w:val="auto"/>
          <w:sz w:val="24"/>
          <w:szCs w:val="24"/>
        </w:rPr>
        <w:id w:val="998075921"/>
        <w:docPartObj>
          <w:docPartGallery w:val="Bibliographies"/>
          <w:docPartUnique/>
        </w:docPartObj>
      </w:sdtPr>
      <w:sdtContent>
        <w:p w14:paraId="6003B7BF" w14:textId="77777777" w:rsidR="00B676D0" w:rsidRDefault="00B676D0" w:rsidP="00B676D0">
          <w:pPr>
            <w:pStyle w:val="Heading1"/>
          </w:pPr>
          <w:proofErr w:type="spellStart"/>
          <w:r>
            <w:t>Refereces</w:t>
          </w:r>
          <w:bookmarkEnd w:id="0"/>
          <w:proofErr w:type="spellEnd"/>
        </w:p>
        <w:p w14:paraId="09AD16C5" w14:textId="77777777" w:rsidR="00B676D0" w:rsidRDefault="00B676D0" w:rsidP="00B676D0">
          <w:pPr>
            <w:rPr>
              <w:rFonts w:ascii="Arial" w:hAnsi="Arial" w:cs="Arial"/>
            </w:rPr>
          </w:pPr>
          <w:r>
            <w:rPr>
              <w:rFonts w:ascii="Arial" w:hAnsi="Arial" w:cs="Arial"/>
            </w:rPr>
            <w:t xml:space="preserve">Daft, R. L. (2016). </w:t>
          </w:r>
          <w:r>
            <w:rPr>
              <w:rFonts w:ascii="Arial" w:hAnsi="Arial" w:cs="Arial"/>
              <w:i/>
              <w:iCs/>
            </w:rPr>
            <w:t>Organization Theory and Design.</w:t>
          </w:r>
          <w:r>
            <w:rPr>
              <w:rFonts w:ascii="Arial" w:hAnsi="Arial" w:cs="Arial"/>
            </w:rPr>
            <w:t xml:space="preserve"> Cengage Learning.</w:t>
          </w:r>
        </w:p>
        <w:p w14:paraId="504F4B1F" w14:textId="77777777" w:rsidR="00B676D0" w:rsidRDefault="00B676D0" w:rsidP="00B676D0">
          <w:pPr>
            <w:rPr>
              <w:rFonts w:ascii="Arial" w:hAnsi="Arial" w:cs="Arial"/>
            </w:rPr>
          </w:pPr>
          <w:r>
            <w:rPr>
              <w:rFonts w:ascii="Arial" w:hAnsi="Arial" w:cs="Arial"/>
            </w:rPr>
            <w:t>Deal, T.E and Kennedy, A.A. (1982)</w:t>
          </w:r>
          <w:r>
            <w:rPr>
              <w:rFonts w:ascii="Arial" w:hAnsi="Arial" w:cs="Arial"/>
              <w:i/>
              <w:iCs/>
            </w:rPr>
            <w:t xml:space="preserve"> Corporate Cultures: The Rites and Rituals of Corporate Life</w:t>
          </w:r>
          <w:r>
            <w:rPr>
              <w:rFonts w:ascii="Arial" w:hAnsi="Arial" w:cs="Arial"/>
            </w:rPr>
            <w:t>, Penguin.</w:t>
          </w:r>
        </w:p>
        <w:p w14:paraId="0D01D003" w14:textId="77777777" w:rsidR="00B676D0" w:rsidRDefault="00B676D0" w:rsidP="00B676D0">
          <w:pPr>
            <w:spacing w:line="360" w:lineRule="auto"/>
            <w:jc w:val="both"/>
            <w:rPr>
              <w:rFonts w:ascii="Arial" w:hAnsi="Arial" w:cs="Arial"/>
            </w:rPr>
          </w:pPr>
          <w:proofErr w:type="spellStart"/>
          <w:r>
            <w:rPr>
              <w:rFonts w:ascii="Arial" w:hAnsi="Arial" w:cs="Arial"/>
            </w:rPr>
            <w:t>Esg.hilton</w:t>
          </w:r>
          <w:proofErr w:type="spellEnd"/>
          <w:r>
            <w:rPr>
              <w:rFonts w:ascii="Arial" w:hAnsi="Arial" w:cs="Arial"/>
            </w:rPr>
            <w:t xml:space="preserve"> (2024) </w:t>
          </w:r>
          <w:r>
            <w:rPr>
              <w:rFonts w:ascii="Arial" w:hAnsi="Arial" w:cs="Arial"/>
              <w:i/>
              <w:iCs/>
            </w:rPr>
            <w:t xml:space="preserve">The Driving forces behind ESG. </w:t>
          </w:r>
          <w:r>
            <w:rPr>
              <w:rFonts w:ascii="Arial" w:hAnsi="Arial" w:cs="Arial"/>
            </w:rPr>
            <w:t xml:space="preserve">Available at: </w:t>
          </w:r>
          <w:hyperlink r:id="rId22" w:anchor="driving-forces" w:history="1">
            <w:r>
              <w:rPr>
                <w:rStyle w:val="Hyperlink"/>
                <w:rFonts w:ascii="Arial" w:hAnsi="Arial" w:cs="Arial"/>
              </w:rPr>
              <w:t>Our Approach to ESG | Travel with Purpose | Hilton ESG</w:t>
            </w:r>
          </w:hyperlink>
          <w:r>
            <w:rPr>
              <w:rFonts w:ascii="Arial" w:hAnsi="Arial" w:cs="Arial"/>
            </w:rPr>
            <w:t>. ( Accessed on: 21</w:t>
          </w:r>
          <w:r>
            <w:rPr>
              <w:rFonts w:ascii="Arial" w:hAnsi="Arial" w:cs="Arial"/>
              <w:vertAlign w:val="superscript"/>
            </w:rPr>
            <w:t>st</w:t>
          </w:r>
          <w:r>
            <w:rPr>
              <w:rFonts w:ascii="Arial" w:hAnsi="Arial" w:cs="Arial"/>
            </w:rPr>
            <w:t xml:space="preserve"> May 2024)</w:t>
          </w:r>
        </w:p>
        <w:p w14:paraId="1995BE36" w14:textId="77777777" w:rsidR="00B676D0" w:rsidRDefault="00B676D0" w:rsidP="00B676D0">
          <w:pPr>
            <w:spacing w:line="360" w:lineRule="auto"/>
            <w:jc w:val="both"/>
            <w:rPr>
              <w:rFonts w:ascii="Arial" w:hAnsi="Arial" w:cs="Arial"/>
            </w:rPr>
          </w:pPr>
          <w:proofErr w:type="spellStart"/>
          <w:r>
            <w:rPr>
              <w:rFonts w:ascii="Arial" w:hAnsi="Arial" w:cs="Arial"/>
            </w:rPr>
            <w:t>Esg.hilton</w:t>
          </w:r>
          <w:proofErr w:type="spellEnd"/>
          <w:r>
            <w:rPr>
              <w:rFonts w:ascii="Arial" w:hAnsi="Arial" w:cs="Arial"/>
            </w:rPr>
            <w:t xml:space="preserve"> (2024) </w:t>
          </w:r>
          <w:r>
            <w:rPr>
              <w:rFonts w:ascii="Arial" w:hAnsi="Arial" w:cs="Arial"/>
              <w:i/>
              <w:iCs/>
            </w:rPr>
            <w:t>Travel with purpose 2023.</w:t>
          </w:r>
          <w:r>
            <w:rPr>
              <w:rFonts w:ascii="Arial" w:hAnsi="Arial" w:cs="Arial"/>
            </w:rPr>
            <w:t xml:space="preserve"> Available at: </w:t>
          </w:r>
          <w:hyperlink r:id="rId23" w:history="1">
            <w:r>
              <w:rPr>
                <w:rStyle w:val="Hyperlink"/>
              </w:rPr>
              <w:t>2023 Hilton Travel with Purpose Report</w:t>
            </w:r>
          </w:hyperlink>
          <w:r>
            <w:t xml:space="preserve">. </w:t>
          </w:r>
          <w:r>
            <w:rPr>
              <w:rFonts w:ascii="Arial" w:hAnsi="Arial" w:cs="Arial"/>
            </w:rPr>
            <w:t>( Accessed on: 21</w:t>
          </w:r>
          <w:r>
            <w:rPr>
              <w:rFonts w:ascii="Arial" w:hAnsi="Arial" w:cs="Arial"/>
              <w:vertAlign w:val="superscript"/>
            </w:rPr>
            <w:t>st</w:t>
          </w:r>
          <w:r>
            <w:rPr>
              <w:rFonts w:ascii="Arial" w:hAnsi="Arial" w:cs="Arial"/>
            </w:rPr>
            <w:t xml:space="preserve"> May 2024).</w:t>
          </w:r>
        </w:p>
        <w:p w14:paraId="20AEDD29" w14:textId="77777777" w:rsidR="00B676D0" w:rsidRDefault="00B676D0" w:rsidP="00B676D0">
          <w:pPr>
            <w:spacing w:line="360" w:lineRule="auto"/>
            <w:jc w:val="both"/>
            <w:rPr>
              <w:rFonts w:ascii="Arial" w:hAnsi="Arial" w:cs="Arial"/>
            </w:rPr>
          </w:pPr>
          <w:r>
            <w:rPr>
              <w:rFonts w:ascii="Arial" w:hAnsi="Arial" w:cs="Arial"/>
            </w:rPr>
            <w:t xml:space="preserve">Gannon, J. M., Roper, A., &amp; Doherty, L. (2010). </w:t>
          </w:r>
          <w:r>
            <w:rPr>
              <w:rFonts w:ascii="Arial" w:hAnsi="Arial" w:cs="Arial"/>
              <w:i/>
              <w:iCs/>
            </w:rPr>
            <w:t>The impact of hotel management contracting on IHRM practices: Understanding the bricks and brains split.</w:t>
          </w:r>
          <w:r>
            <w:rPr>
              <w:rFonts w:ascii="Arial" w:hAnsi="Arial" w:cs="Arial"/>
            </w:rPr>
            <w:t xml:space="preserve"> International Journal of Contemporary Hospitality Management, 22(4), 638-658.</w:t>
          </w:r>
        </w:p>
        <w:p w14:paraId="6F672291" w14:textId="77777777" w:rsidR="00B676D0" w:rsidRDefault="00B676D0" w:rsidP="00B676D0">
          <w:pPr>
            <w:spacing w:line="360" w:lineRule="auto"/>
            <w:jc w:val="both"/>
            <w:rPr>
              <w:rFonts w:ascii="Arial" w:hAnsi="Arial" w:cs="Arial"/>
            </w:rPr>
          </w:pPr>
          <w:r>
            <w:rPr>
              <w:rFonts w:ascii="Arial" w:hAnsi="Arial" w:cs="Arial"/>
            </w:rPr>
            <w:t xml:space="preserve">Harrison, R. </w:t>
          </w:r>
          <w:r>
            <w:rPr>
              <w:rFonts w:ascii="Arial" w:hAnsi="Arial" w:cs="Arial"/>
              <w:i/>
              <w:iCs/>
            </w:rPr>
            <w:t>Understanding Your Organization’s Character</w:t>
          </w:r>
          <w:r>
            <w:rPr>
              <w:rFonts w:ascii="Arial" w:hAnsi="Arial" w:cs="Arial"/>
            </w:rPr>
            <w:t>. Harvard Business Review, vol.50.</w:t>
          </w:r>
        </w:p>
        <w:p w14:paraId="62A6091D" w14:textId="77777777" w:rsidR="00B676D0" w:rsidRDefault="00B676D0" w:rsidP="00B676D0">
          <w:pPr>
            <w:spacing w:line="360" w:lineRule="auto"/>
            <w:jc w:val="both"/>
            <w:rPr>
              <w:rFonts w:ascii="Arial" w:hAnsi="Arial" w:cs="Arial"/>
            </w:rPr>
          </w:pPr>
          <w:r>
            <w:rPr>
              <w:rFonts w:ascii="Arial" w:hAnsi="Arial" w:cs="Arial"/>
            </w:rPr>
            <w:t xml:space="preserve">Hilton (2022) </w:t>
          </w:r>
          <w:r>
            <w:rPr>
              <w:rFonts w:ascii="Arial" w:hAnsi="Arial" w:cs="Arial"/>
              <w:i/>
              <w:iCs/>
            </w:rPr>
            <w:t>2030 Goal Tracking</w:t>
          </w:r>
          <w:r>
            <w:rPr>
              <w:rFonts w:ascii="Arial" w:hAnsi="Arial" w:cs="Arial"/>
            </w:rPr>
            <w:t xml:space="preserve">. Available at: </w:t>
          </w:r>
          <w:hyperlink r:id="rId24" w:history="1">
            <w:r>
              <w:rPr>
                <w:rStyle w:val="Hyperlink"/>
                <w:rFonts w:ascii="Arial" w:hAnsi="Arial" w:cs="Arial"/>
              </w:rPr>
              <w:t>Hilton 2022 Environmental, Social and Governance Report</w:t>
            </w:r>
          </w:hyperlink>
          <w:r>
            <w:rPr>
              <w:rFonts w:ascii="Arial" w:hAnsi="Arial" w:cs="Arial"/>
            </w:rPr>
            <w:t>. ( Accessed on: 15</w:t>
          </w:r>
          <w:r>
            <w:rPr>
              <w:rFonts w:ascii="Arial" w:hAnsi="Arial" w:cs="Arial"/>
              <w:vertAlign w:val="superscript"/>
            </w:rPr>
            <w:t>th</w:t>
          </w:r>
          <w:r>
            <w:rPr>
              <w:rFonts w:ascii="Arial" w:hAnsi="Arial" w:cs="Arial"/>
            </w:rPr>
            <w:t xml:space="preserve">  May 2024)</w:t>
          </w:r>
        </w:p>
        <w:p w14:paraId="16B881DE" w14:textId="77777777" w:rsidR="00B676D0" w:rsidRDefault="00B676D0" w:rsidP="00B676D0">
          <w:pPr>
            <w:rPr>
              <w:rFonts w:ascii="Arial" w:hAnsi="Arial" w:cs="Arial"/>
            </w:rPr>
          </w:pPr>
          <w:r>
            <w:rPr>
              <w:rFonts w:ascii="Arial" w:hAnsi="Arial" w:cs="Arial"/>
            </w:rPr>
            <w:t xml:space="preserve">Hilton (2024) </w:t>
          </w:r>
          <w:r>
            <w:rPr>
              <w:rFonts w:ascii="Arial" w:hAnsi="Arial" w:cs="Arial"/>
              <w:i/>
              <w:iCs/>
            </w:rPr>
            <w:t>Fact Sheets</w:t>
          </w:r>
          <w:r>
            <w:rPr>
              <w:rFonts w:ascii="Arial" w:hAnsi="Arial" w:cs="Arial"/>
            </w:rPr>
            <w:t xml:space="preserve">. Available at: </w:t>
          </w:r>
          <w:hyperlink r:id="rId25" w:history="1">
            <w:r>
              <w:rPr>
                <w:rStyle w:val="Hyperlink"/>
                <w:rFonts w:ascii="Arial" w:hAnsi="Arial" w:cs="Arial"/>
              </w:rPr>
              <w:t>Fact Sheets | Stories From Hilton</w:t>
            </w:r>
          </w:hyperlink>
          <w:r>
            <w:rPr>
              <w:rFonts w:ascii="Arial" w:hAnsi="Arial" w:cs="Arial"/>
            </w:rPr>
            <w:t>. ( Accessed on: 15</w:t>
          </w:r>
          <w:r>
            <w:rPr>
              <w:rFonts w:ascii="Arial" w:hAnsi="Arial" w:cs="Arial"/>
              <w:vertAlign w:val="superscript"/>
            </w:rPr>
            <w:t>th</w:t>
          </w:r>
          <w:r>
            <w:rPr>
              <w:rFonts w:ascii="Arial" w:hAnsi="Arial" w:cs="Arial"/>
            </w:rPr>
            <w:t xml:space="preserve"> May 2024)</w:t>
          </w:r>
        </w:p>
        <w:p w14:paraId="3F5ADD71" w14:textId="77777777" w:rsidR="00B676D0" w:rsidRDefault="00B676D0" w:rsidP="00B676D0">
          <w:pPr>
            <w:spacing w:line="360" w:lineRule="auto"/>
            <w:jc w:val="both"/>
            <w:rPr>
              <w:rFonts w:ascii="Arial" w:hAnsi="Arial" w:cs="Arial"/>
            </w:rPr>
          </w:pPr>
          <w:r>
            <w:rPr>
              <w:rFonts w:ascii="Arial" w:hAnsi="Arial" w:cs="Arial"/>
            </w:rPr>
            <w:t xml:space="preserve">Hilton (2024) </w:t>
          </w:r>
          <w:r>
            <w:rPr>
              <w:rFonts w:ascii="Arial" w:hAnsi="Arial" w:cs="Arial"/>
              <w:i/>
              <w:iCs/>
            </w:rPr>
            <w:t>Succes Stories</w:t>
          </w:r>
          <w:r>
            <w:rPr>
              <w:rFonts w:ascii="Arial" w:hAnsi="Arial" w:cs="Arial"/>
            </w:rPr>
            <w:t xml:space="preserve">. Available at: </w:t>
          </w:r>
          <w:hyperlink r:id="rId26" w:history="1">
            <w:r>
              <w:rPr>
                <w:rStyle w:val="Hyperlink"/>
                <w:rFonts w:ascii="Arial" w:hAnsi="Arial" w:cs="Arial"/>
              </w:rPr>
              <w:t>Hilton Management Services | Our Shared Successes</w:t>
            </w:r>
          </w:hyperlink>
          <w:r>
            <w:rPr>
              <w:rFonts w:ascii="Arial" w:hAnsi="Arial" w:cs="Arial"/>
            </w:rPr>
            <w:t xml:space="preserve"> ( Accessed on: 16</w:t>
          </w:r>
          <w:r>
            <w:rPr>
              <w:rFonts w:ascii="Arial" w:hAnsi="Arial" w:cs="Arial"/>
              <w:vertAlign w:val="superscript"/>
            </w:rPr>
            <w:t>th</w:t>
          </w:r>
          <w:r>
            <w:rPr>
              <w:rFonts w:ascii="Arial" w:hAnsi="Arial" w:cs="Arial"/>
            </w:rPr>
            <w:t xml:space="preserve"> May 2024)</w:t>
          </w:r>
        </w:p>
        <w:p w14:paraId="1BEE0FF2" w14:textId="77777777" w:rsidR="00B676D0" w:rsidRDefault="00B676D0" w:rsidP="00B676D0">
          <w:pPr>
            <w:spacing w:line="360" w:lineRule="auto"/>
            <w:jc w:val="both"/>
            <w:rPr>
              <w:rFonts w:ascii="Arial" w:hAnsi="Arial" w:cs="Arial"/>
            </w:rPr>
          </w:pPr>
          <w:r>
            <w:rPr>
              <w:rFonts w:ascii="Arial" w:hAnsi="Arial" w:cs="Arial"/>
            </w:rPr>
            <w:t xml:space="preserve">Hilton (2022) </w:t>
          </w:r>
          <w:r>
            <w:rPr>
              <w:rFonts w:ascii="Arial" w:hAnsi="Arial" w:cs="Arial"/>
              <w:i/>
              <w:iCs/>
            </w:rPr>
            <w:t xml:space="preserve">Travel with Purpose. </w:t>
          </w:r>
          <w:r>
            <w:rPr>
              <w:rFonts w:ascii="Arial" w:hAnsi="Arial" w:cs="Arial"/>
            </w:rPr>
            <w:t xml:space="preserve">Available at: </w:t>
          </w:r>
          <w:hyperlink r:id="rId27" w:history="1">
            <w:r>
              <w:rPr>
                <w:rStyle w:val="Hyperlink"/>
                <w:rFonts w:ascii="Arial" w:hAnsi="Arial" w:cs="Arial"/>
              </w:rPr>
              <w:t>Hilton 2022 Environmental, Social and Governance Report</w:t>
            </w:r>
          </w:hyperlink>
          <w:r>
            <w:rPr>
              <w:rFonts w:ascii="Arial" w:hAnsi="Arial" w:cs="Arial"/>
            </w:rPr>
            <w:t xml:space="preserve"> ( Accessed on: 18</w:t>
          </w:r>
          <w:r>
            <w:rPr>
              <w:rFonts w:ascii="Arial" w:hAnsi="Arial" w:cs="Arial"/>
              <w:vertAlign w:val="superscript"/>
            </w:rPr>
            <w:t>th</w:t>
          </w:r>
          <w:r>
            <w:rPr>
              <w:rFonts w:ascii="Arial" w:hAnsi="Arial" w:cs="Arial"/>
            </w:rPr>
            <w:t xml:space="preserve"> May 2024)</w:t>
          </w:r>
        </w:p>
        <w:p w14:paraId="16E66CDE" w14:textId="77777777" w:rsidR="00B676D0" w:rsidRDefault="00B676D0" w:rsidP="00B676D0">
          <w:pPr>
            <w:spacing w:line="360" w:lineRule="auto"/>
            <w:jc w:val="both"/>
            <w:rPr>
              <w:rFonts w:ascii="Arial" w:hAnsi="Arial" w:cs="Arial"/>
            </w:rPr>
          </w:pPr>
          <w:r>
            <w:rPr>
              <w:rFonts w:ascii="Arial" w:hAnsi="Arial" w:cs="Arial"/>
            </w:rPr>
            <w:t xml:space="preserve">Hilton (2022) </w:t>
          </w:r>
          <w:r>
            <w:rPr>
              <w:rFonts w:ascii="Arial" w:hAnsi="Arial" w:cs="Arial"/>
              <w:i/>
              <w:iCs/>
            </w:rPr>
            <w:t>Our Culture a business of people serving people</w:t>
          </w:r>
          <w:r>
            <w:rPr>
              <w:rFonts w:ascii="Arial" w:hAnsi="Arial" w:cs="Arial"/>
            </w:rPr>
            <w:t xml:space="preserve">. Available at: </w:t>
          </w:r>
          <w:hyperlink r:id="rId28" w:history="1">
            <w:r>
              <w:rPr>
                <w:rStyle w:val="Hyperlink"/>
                <w:rFonts w:ascii="Arial" w:hAnsi="Arial" w:cs="Arial"/>
              </w:rPr>
              <w:t>Learn more about Hilton Culture</w:t>
            </w:r>
          </w:hyperlink>
          <w:r>
            <w:rPr>
              <w:rFonts w:ascii="Arial" w:hAnsi="Arial" w:cs="Arial"/>
            </w:rPr>
            <w:t>. ( Accessed on: 15</w:t>
          </w:r>
          <w:r>
            <w:rPr>
              <w:rFonts w:ascii="Arial" w:hAnsi="Arial" w:cs="Arial"/>
              <w:vertAlign w:val="superscript"/>
            </w:rPr>
            <w:t>th</w:t>
          </w:r>
          <w:r>
            <w:rPr>
              <w:rFonts w:ascii="Arial" w:hAnsi="Arial" w:cs="Arial"/>
            </w:rPr>
            <w:t xml:space="preserve"> May 2024)</w:t>
          </w:r>
        </w:p>
        <w:p w14:paraId="20EB2BBC" w14:textId="77777777" w:rsidR="00B676D0" w:rsidRDefault="00B676D0" w:rsidP="00B676D0">
          <w:pPr>
            <w:spacing w:line="360" w:lineRule="auto"/>
            <w:jc w:val="both"/>
            <w:rPr>
              <w:rFonts w:ascii="Arial" w:hAnsi="Arial" w:cs="Arial"/>
            </w:rPr>
          </w:pPr>
          <w:r>
            <w:rPr>
              <w:rFonts w:ascii="Arial" w:hAnsi="Arial" w:cs="Arial"/>
            </w:rPr>
            <w:t xml:space="preserve">Jones, P. (2007). </w:t>
          </w:r>
          <w:r>
            <w:rPr>
              <w:rFonts w:ascii="Arial" w:hAnsi="Arial" w:cs="Arial"/>
              <w:i/>
              <w:iCs/>
            </w:rPr>
            <w:t xml:space="preserve">Hospitality Management: An Introduction. </w:t>
          </w:r>
          <w:r>
            <w:rPr>
              <w:rFonts w:ascii="Arial" w:hAnsi="Arial" w:cs="Arial"/>
            </w:rPr>
            <w:t>Cengage Learning EMEA.</w:t>
          </w:r>
        </w:p>
        <w:p w14:paraId="78F98FC7" w14:textId="77777777" w:rsidR="00B676D0" w:rsidRDefault="00B676D0" w:rsidP="00B676D0">
          <w:pPr>
            <w:spacing w:line="360" w:lineRule="auto"/>
            <w:jc w:val="both"/>
            <w:rPr>
              <w:rFonts w:ascii="Arial" w:hAnsi="Arial" w:cs="Arial"/>
            </w:rPr>
          </w:pPr>
          <w:r>
            <w:rPr>
              <w:rFonts w:ascii="Arial" w:hAnsi="Arial" w:cs="Arial"/>
            </w:rPr>
            <w:t xml:space="preserve">Mullins, L. (2023) </w:t>
          </w:r>
          <w:r>
            <w:rPr>
              <w:rFonts w:ascii="Arial" w:hAnsi="Arial" w:cs="Arial"/>
              <w:i/>
              <w:iCs/>
            </w:rPr>
            <w:t xml:space="preserve">Management and </w:t>
          </w:r>
          <w:proofErr w:type="spellStart"/>
          <w:r>
            <w:rPr>
              <w:rFonts w:ascii="Arial" w:hAnsi="Arial" w:cs="Arial"/>
              <w:i/>
              <w:iCs/>
            </w:rPr>
            <w:t>Organisational</w:t>
          </w:r>
          <w:proofErr w:type="spellEnd"/>
          <w:r>
            <w:rPr>
              <w:rFonts w:ascii="Arial" w:hAnsi="Arial" w:cs="Arial"/>
              <w:i/>
              <w:iCs/>
            </w:rPr>
            <w:t xml:space="preserve"> </w:t>
          </w:r>
          <w:proofErr w:type="spellStart"/>
          <w:r>
            <w:rPr>
              <w:rFonts w:ascii="Arial" w:hAnsi="Arial" w:cs="Arial"/>
              <w:i/>
              <w:iCs/>
            </w:rPr>
            <w:t>Behaviour</w:t>
          </w:r>
          <w:proofErr w:type="spellEnd"/>
          <w:r>
            <w:rPr>
              <w:rFonts w:ascii="Arial" w:hAnsi="Arial" w:cs="Arial"/>
              <w:i/>
              <w:iCs/>
            </w:rPr>
            <w:t>.</w:t>
          </w:r>
          <w:r>
            <w:rPr>
              <w:rFonts w:ascii="Arial" w:hAnsi="Arial" w:cs="Arial"/>
            </w:rPr>
            <w:t xml:space="preserve"> (13th edition) Harlow: Pearson.</w:t>
          </w:r>
        </w:p>
        <w:p w14:paraId="190DC63F" w14:textId="77777777" w:rsidR="00B676D0" w:rsidRDefault="00B676D0" w:rsidP="00B676D0">
          <w:pPr>
            <w:spacing w:line="360" w:lineRule="auto"/>
            <w:jc w:val="both"/>
            <w:rPr>
              <w:rFonts w:ascii="Arial" w:hAnsi="Arial" w:cs="Arial"/>
            </w:rPr>
          </w:pPr>
          <w:r>
            <w:rPr>
              <w:rFonts w:ascii="Arial" w:hAnsi="Arial" w:cs="Arial"/>
            </w:rPr>
            <w:t xml:space="preserve">Mullins, L (2020) </w:t>
          </w:r>
          <w:proofErr w:type="spellStart"/>
          <w:r>
            <w:rPr>
              <w:rFonts w:ascii="Arial" w:hAnsi="Arial" w:cs="Arial"/>
              <w:i/>
              <w:iCs/>
            </w:rPr>
            <w:t>Organisational</w:t>
          </w:r>
          <w:proofErr w:type="spellEnd"/>
          <w:r>
            <w:rPr>
              <w:rFonts w:ascii="Arial" w:hAnsi="Arial" w:cs="Arial"/>
              <w:i/>
              <w:iCs/>
            </w:rPr>
            <w:t xml:space="preserve"> </w:t>
          </w:r>
          <w:proofErr w:type="spellStart"/>
          <w:r>
            <w:rPr>
              <w:rFonts w:ascii="Arial" w:hAnsi="Arial" w:cs="Arial"/>
              <w:i/>
              <w:iCs/>
            </w:rPr>
            <w:t>Behaviour</w:t>
          </w:r>
          <w:proofErr w:type="spellEnd"/>
          <w:r>
            <w:rPr>
              <w:rFonts w:ascii="Arial" w:hAnsi="Arial" w:cs="Arial"/>
              <w:i/>
              <w:iCs/>
            </w:rPr>
            <w:t xml:space="preserve"> in the Workplace</w:t>
          </w:r>
          <w:r>
            <w:rPr>
              <w:rFonts w:ascii="Arial" w:hAnsi="Arial" w:cs="Arial"/>
            </w:rPr>
            <w:t xml:space="preserve">. (12th edition) </w:t>
          </w:r>
          <w:proofErr w:type="spellStart"/>
          <w:r>
            <w:rPr>
              <w:rFonts w:ascii="Arial" w:hAnsi="Arial" w:cs="Arial"/>
            </w:rPr>
            <w:t>Harlow:Pearson</w:t>
          </w:r>
          <w:proofErr w:type="spellEnd"/>
        </w:p>
        <w:p w14:paraId="407B2997" w14:textId="77777777" w:rsidR="00B676D0" w:rsidRDefault="00B676D0" w:rsidP="00B676D0">
          <w:pPr>
            <w:spacing w:line="360" w:lineRule="auto"/>
            <w:jc w:val="both"/>
            <w:rPr>
              <w:rFonts w:ascii="Arial" w:hAnsi="Arial" w:cs="Arial"/>
            </w:rPr>
          </w:pPr>
          <w:proofErr w:type="spellStart"/>
          <w:r>
            <w:rPr>
              <w:rFonts w:ascii="Arial" w:hAnsi="Arial" w:cs="Arial"/>
            </w:rPr>
            <w:lastRenderedPageBreak/>
            <w:t>Stories.hilton</w:t>
          </w:r>
          <w:proofErr w:type="spellEnd"/>
          <w:r>
            <w:rPr>
              <w:rFonts w:ascii="Arial" w:hAnsi="Arial" w:cs="Arial"/>
            </w:rPr>
            <w:t xml:space="preserve"> (2024) </w:t>
          </w:r>
          <w:r>
            <w:rPr>
              <w:rFonts w:ascii="Arial" w:hAnsi="Arial" w:cs="Arial"/>
              <w:i/>
              <w:iCs/>
            </w:rPr>
            <w:t xml:space="preserve">Hilton Expands Its Global Footprint with Plans to Enter 5 New Markets in 2024. </w:t>
          </w:r>
          <w:r>
            <w:rPr>
              <w:rFonts w:ascii="Arial" w:hAnsi="Arial" w:cs="Arial"/>
            </w:rPr>
            <w:t xml:space="preserve">Available at: </w:t>
          </w:r>
          <w:hyperlink r:id="rId29" w:history="1">
            <w:r>
              <w:rPr>
                <w:rStyle w:val="Hyperlink"/>
                <w:rFonts w:ascii="Arial" w:hAnsi="Arial" w:cs="Arial"/>
              </w:rPr>
              <w:t>Hilton Expands Its Global Footprint with Plans to Enter 5 New Markets in 2024 | Stories From Hilton</w:t>
            </w:r>
          </w:hyperlink>
          <w:r>
            <w:rPr>
              <w:rFonts w:ascii="Arial" w:hAnsi="Arial" w:cs="Arial"/>
            </w:rPr>
            <w:t xml:space="preserve"> ( Accessed on: 16</w:t>
          </w:r>
          <w:r>
            <w:rPr>
              <w:rFonts w:ascii="Arial" w:hAnsi="Arial" w:cs="Arial"/>
              <w:vertAlign w:val="superscript"/>
            </w:rPr>
            <w:t>th</w:t>
          </w:r>
          <w:r>
            <w:rPr>
              <w:rFonts w:ascii="Arial" w:hAnsi="Arial" w:cs="Arial"/>
            </w:rPr>
            <w:t xml:space="preserve"> May 2024)</w:t>
          </w:r>
        </w:p>
        <w:p w14:paraId="4FF7635E" w14:textId="77777777" w:rsidR="00B676D0" w:rsidRDefault="00B676D0" w:rsidP="00B676D0">
          <w:pPr>
            <w:spacing w:line="360" w:lineRule="auto"/>
            <w:jc w:val="both"/>
            <w:rPr>
              <w:rFonts w:ascii="Arial" w:hAnsi="Arial" w:cs="Arial"/>
            </w:rPr>
          </w:pPr>
          <w:proofErr w:type="spellStart"/>
          <w:r>
            <w:rPr>
              <w:rFonts w:ascii="Arial" w:hAnsi="Arial" w:cs="Arial"/>
            </w:rPr>
            <w:t>Stories.hilton</w:t>
          </w:r>
          <w:proofErr w:type="spellEnd"/>
          <w:r>
            <w:rPr>
              <w:rFonts w:ascii="Arial" w:hAnsi="Arial" w:cs="Arial"/>
            </w:rPr>
            <w:t xml:space="preserve"> (2024)</w:t>
          </w:r>
          <w:r>
            <w:rPr>
              <w:rFonts w:ascii="Arial" w:hAnsi="Arial" w:cs="Arial"/>
              <w:i/>
              <w:iCs/>
            </w:rPr>
            <w:t xml:space="preserve"> Hilton Spotlights Food &amp; Beverage Team Member Stories for Hispanic Heritage Month. </w:t>
          </w:r>
          <w:r>
            <w:rPr>
              <w:rFonts w:ascii="Arial" w:hAnsi="Arial" w:cs="Arial"/>
            </w:rPr>
            <w:t xml:space="preserve">Available at: </w:t>
          </w:r>
          <w:hyperlink r:id="rId30" w:history="1">
            <w:r>
              <w:rPr>
                <w:rStyle w:val="Hyperlink"/>
                <w:rFonts w:ascii="Arial" w:hAnsi="Arial" w:cs="Arial"/>
              </w:rPr>
              <w:t>Hilton Spotlights Team Member Stories for Hispanic Heritage Month</w:t>
            </w:r>
          </w:hyperlink>
          <w:r>
            <w:rPr>
              <w:rFonts w:ascii="Arial" w:hAnsi="Arial" w:cs="Arial"/>
            </w:rPr>
            <w:t>. ( Accessed on: 26</w:t>
          </w:r>
          <w:r>
            <w:rPr>
              <w:rFonts w:ascii="Arial" w:hAnsi="Arial" w:cs="Arial"/>
              <w:vertAlign w:val="superscript"/>
            </w:rPr>
            <w:t>th</w:t>
          </w:r>
          <w:r>
            <w:rPr>
              <w:rFonts w:ascii="Arial" w:hAnsi="Arial" w:cs="Arial"/>
            </w:rPr>
            <w:t xml:space="preserve"> May 2024)</w:t>
          </w:r>
        </w:p>
        <w:p w14:paraId="60ABDAFF" w14:textId="77777777" w:rsidR="00B676D0" w:rsidRDefault="00B676D0" w:rsidP="00B676D0">
          <w:pPr>
            <w:spacing w:line="360" w:lineRule="auto"/>
            <w:jc w:val="both"/>
            <w:rPr>
              <w:rFonts w:ascii="Arial" w:hAnsi="Arial" w:cs="Arial"/>
            </w:rPr>
          </w:pPr>
        </w:p>
        <w:p w14:paraId="3BFD5E46" w14:textId="77777777" w:rsidR="00B676D0" w:rsidRDefault="00B676D0" w:rsidP="00B676D0">
          <w:pPr>
            <w:spacing w:line="360" w:lineRule="auto"/>
            <w:jc w:val="both"/>
            <w:rPr>
              <w:rFonts w:ascii="Arial" w:hAnsi="Arial" w:cs="Arial"/>
            </w:rPr>
          </w:pPr>
        </w:p>
        <w:p w14:paraId="02168404" w14:textId="77777777" w:rsidR="00B676D0" w:rsidRDefault="00000000" w:rsidP="00B676D0">
          <w:pPr>
            <w:spacing w:line="360" w:lineRule="auto"/>
            <w:jc w:val="both"/>
            <w:rPr>
              <w:rFonts w:ascii="Arial" w:hAnsi="Arial" w:cs="Arial"/>
            </w:rPr>
          </w:pPr>
        </w:p>
      </w:sdtContent>
    </w:sdt>
    <w:p w14:paraId="34D3461A" w14:textId="77777777" w:rsidR="00B676D0" w:rsidRDefault="00B676D0" w:rsidP="00B676D0">
      <w:pPr>
        <w:spacing w:line="360" w:lineRule="auto"/>
        <w:ind w:firstLine="720"/>
        <w:jc w:val="both"/>
        <w:rPr>
          <w:rFonts w:ascii="Arial" w:hAnsi="Arial" w:cs="Arial"/>
        </w:rPr>
      </w:pPr>
    </w:p>
    <w:p w14:paraId="1A3C1430" w14:textId="77777777" w:rsidR="008634DC" w:rsidRDefault="008634DC"/>
    <w:sectPr w:rsidR="008634DC" w:rsidSect="00B676D0">
      <w:footerReference w:type="default" r:id="rId31"/>
      <w:pgSz w:w="11906" w:h="16838"/>
      <w:pgMar w:top="1134"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F8B691" w14:textId="77777777" w:rsidR="00E225DE" w:rsidRDefault="00E225DE" w:rsidP="00B676D0">
      <w:pPr>
        <w:spacing w:after="0" w:line="240" w:lineRule="auto"/>
      </w:pPr>
      <w:r>
        <w:separator/>
      </w:r>
    </w:p>
  </w:endnote>
  <w:endnote w:type="continuationSeparator" w:id="0">
    <w:p w14:paraId="3B8FB7AC" w14:textId="77777777" w:rsidR="00E225DE" w:rsidRDefault="00E225DE" w:rsidP="00B67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8813768"/>
      <w:docPartObj>
        <w:docPartGallery w:val="Page Numbers (Bottom of Page)"/>
        <w:docPartUnique/>
      </w:docPartObj>
    </w:sdtPr>
    <w:sdtContent>
      <w:p w14:paraId="2199046F" w14:textId="211EA2D9" w:rsidR="00B676D0" w:rsidRDefault="00B676D0">
        <w:pPr>
          <w:pStyle w:val="Footer"/>
          <w:jc w:val="right"/>
        </w:pPr>
        <w:r>
          <w:fldChar w:fldCharType="begin"/>
        </w:r>
        <w:r>
          <w:instrText>PAGE   \* MERGEFORMAT</w:instrText>
        </w:r>
        <w:r>
          <w:fldChar w:fldCharType="separate"/>
        </w:r>
        <w:r>
          <w:rPr>
            <w:lang w:val="en-GB"/>
          </w:rPr>
          <w:t>2</w:t>
        </w:r>
        <w:r>
          <w:fldChar w:fldCharType="end"/>
        </w:r>
      </w:p>
    </w:sdtContent>
  </w:sdt>
  <w:p w14:paraId="48EB8755" w14:textId="77777777" w:rsidR="00B676D0" w:rsidRDefault="00B67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A6F61" w14:textId="77777777" w:rsidR="00E225DE" w:rsidRDefault="00E225DE" w:rsidP="00B676D0">
      <w:pPr>
        <w:spacing w:after="0" w:line="240" w:lineRule="auto"/>
      </w:pPr>
      <w:r>
        <w:separator/>
      </w:r>
    </w:p>
  </w:footnote>
  <w:footnote w:type="continuationSeparator" w:id="0">
    <w:p w14:paraId="3680E0A9" w14:textId="77777777" w:rsidR="00E225DE" w:rsidRDefault="00E225DE" w:rsidP="00B67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57094"/>
    <w:multiLevelType w:val="hybridMultilevel"/>
    <w:tmpl w:val="72A221E4"/>
    <w:lvl w:ilvl="0" w:tplc="C7104424">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430340E"/>
    <w:multiLevelType w:val="multilevel"/>
    <w:tmpl w:val="739A6A1A"/>
    <w:lvl w:ilvl="0">
      <w:start w:val="2"/>
      <w:numFmt w:val="decimal"/>
      <w:lvlText w:val="%1"/>
      <w:lvlJc w:val="left"/>
      <w:pPr>
        <w:ind w:left="360" w:hanging="360"/>
      </w:pPr>
    </w:lvl>
    <w:lvl w:ilvl="1">
      <w:start w:val="1"/>
      <w:numFmt w:val="decimal"/>
      <w:lvlText w:val="%1.%2"/>
      <w:lvlJc w:val="left"/>
      <w:pPr>
        <w:ind w:left="900" w:hanging="360"/>
      </w:pPr>
    </w:lvl>
    <w:lvl w:ilvl="2">
      <w:start w:val="1"/>
      <w:numFmt w:val="decimal"/>
      <w:lvlText w:val="%1.%2.%3"/>
      <w:lvlJc w:val="left"/>
      <w:pPr>
        <w:ind w:left="1800" w:hanging="720"/>
      </w:pPr>
    </w:lvl>
    <w:lvl w:ilvl="3">
      <w:start w:val="1"/>
      <w:numFmt w:val="decimal"/>
      <w:lvlText w:val="%1.%2.%3.%4"/>
      <w:lvlJc w:val="left"/>
      <w:pPr>
        <w:ind w:left="2700" w:hanging="1080"/>
      </w:pPr>
    </w:lvl>
    <w:lvl w:ilvl="4">
      <w:start w:val="1"/>
      <w:numFmt w:val="decimal"/>
      <w:lvlText w:val="%1.%2.%3.%4.%5"/>
      <w:lvlJc w:val="left"/>
      <w:pPr>
        <w:ind w:left="3240" w:hanging="1080"/>
      </w:pPr>
    </w:lvl>
    <w:lvl w:ilvl="5">
      <w:start w:val="1"/>
      <w:numFmt w:val="decimal"/>
      <w:lvlText w:val="%1.%2.%3.%4.%5.%6"/>
      <w:lvlJc w:val="left"/>
      <w:pPr>
        <w:ind w:left="4140" w:hanging="1440"/>
      </w:pPr>
    </w:lvl>
    <w:lvl w:ilvl="6">
      <w:start w:val="1"/>
      <w:numFmt w:val="decimal"/>
      <w:lvlText w:val="%1.%2.%3.%4.%5.%6.%7"/>
      <w:lvlJc w:val="left"/>
      <w:pPr>
        <w:ind w:left="4680" w:hanging="1440"/>
      </w:pPr>
    </w:lvl>
    <w:lvl w:ilvl="7">
      <w:start w:val="1"/>
      <w:numFmt w:val="decimal"/>
      <w:lvlText w:val="%1.%2.%3.%4.%5.%6.%7.%8"/>
      <w:lvlJc w:val="left"/>
      <w:pPr>
        <w:ind w:left="5580" w:hanging="1800"/>
      </w:pPr>
    </w:lvl>
    <w:lvl w:ilvl="8">
      <w:start w:val="1"/>
      <w:numFmt w:val="decimal"/>
      <w:lvlText w:val="%1.%2.%3.%4.%5.%6.%7.%8.%9"/>
      <w:lvlJc w:val="left"/>
      <w:pPr>
        <w:ind w:left="6120" w:hanging="1800"/>
      </w:pPr>
    </w:lvl>
  </w:abstractNum>
  <w:abstractNum w:abstractNumId="2" w15:restartNumberingAfterBreak="0">
    <w:nsid w:val="17CB76E1"/>
    <w:multiLevelType w:val="hybridMultilevel"/>
    <w:tmpl w:val="CB2C0348"/>
    <w:lvl w:ilvl="0" w:tplc="C7104424">
      <w:start w:val="1"/>
      <w:numFmt w:val="bullet"/>
      <w:lvlText w:val=""/>
      <w:lvlJc w:val="left"/>
      <w:pPr>
        <w:ind w:left="1350" w:hanging="360"/>
      </w:pPr>
      <w:rPr>
        <w:rFonts w:ascii="Symbol" w:hAnsi="Symbol" w:hint="default"/>
      </w:rPr>
    </w:lvl>
    <w:lvl w:ilvl="1" w:tplc="04090003">
      <w:start w:val="1"/>
      <w:numFmt w:val="bullet"/>
      <w:lvlText w:val="o"/>
      <w:lvlJc w:val="left"/>
      <w:pPr>
        <w:ind w:left="2070" w:hanging="360"/>
      </w:pPr>
      <w:rPr>
        <w:rFonts w:ascii="Courier New" w:hAnsi="Courier New" w:cs="Courier New" w:hint="default"/>
      </w:rPr>
    </w:lvl>
    <w:lvl w:ilvl="2" w:tplc="04090005">
      <w:start w:val="1"/>
      <w:numFmt w:val="bullet"/>
      <w:lvlText w:val=""/>
      <w:lvlJc w:val="left"/>
      <w:pPr>
        <w:ind w:left="2790" w:hanging="360"/>
      </w:pPr>
      <w:rPr>
        <w:rFonts w:ascii="Wingdings" w:hAnsi="Wingdings" w:hint="default"/>
      </w:rPr>
    </w:lvl>
    <w:lvl w:ilvl="3" w:tplc="04090001">
      <w:start w:val="1"/>
      <w:numFmt w:val="bullet"/>
      <w:lvlText w:val=""/>
      <w:lvlJc w:val="left"/>
      <w:pPr>
        <w:ind w:left="3510" w:hanging="360"/>
      </w:pPr>
      <w:rPr>
        <w:rFonts w:ascii="Symbol" w:hAnsi="Symbol" w:hint="default"/>
      </w:rPr>
    </w:lvl>
    <w:lvl w:ilvl="4" w:tplc="04090003">
      <w:start w:val="1"/>
      <w:numFmt w:val="bullet"/>
      <w:lvlText w:val="o"/>
      <w:lvlJc w:val="left"/>
      <w:pPr>
        <w:ind w:left="4230" w:hanging="360"/>
      </w:pPr>
      <w:rPr>
        <w:rFonts w:ascii="Courier New" w:hAnsi="Courier New" w:cs="Courier New" w:hint="default"/>
      </w:rPr>
    </w:lvl>
    <w:lvl w:ilvl="5" w:tplc="04090005">
      <w:start w:val="1"/>
      <w:numFmt w:val="bullet"/>
      <w:lvlText w:val=""/>
      <w:lvlJc w:val="left"/>
      <w:pPr>
        <w:ind w:left="4950" w:hanging="360"/>
      </w:pPr>
      <w:rPr>
        <w:rFonts w:ascii="Wingdings" w:hAnsi="Wingdings" w:hint="default"/>
      </w:rPr>
    </w:lvl>
    <w:lvl w:ilvl="6" w:tplc="04090001">
      <w:start w:val="1"/>
      <w:numFmt w:val="bullet"/>
      <w:lvlText w:val=""/>
      <w:lvlJc w:val="left"/>
      <w:pPr>
        <w:ind w:left="5670" w:hanging="360"/>
      </w:pPr>
      <w:rPr>
        <w:rFonts w:ascii="Symbol" w:hAnsi="Symbol" w:hint="default"/>
      </w:rPr>
    </w:lvl>
    <w:lvl w:ilvl="7" w:tplc="04090003">
      <w:start w:val="1"/>
      <w:numFmt w:val="bullet"/>
      <w:lvlText w:val="o"/>
      <w:lvlJc w:val="left"/>
      <w:pPr>
        <w:ind w:left="6390" w:hanging="360"/>
      </w:pPr>
      <w:rPr>
        <w:rFonts w:ascii="Courier New" w:hAnsi="Courier New" w:cs="Courier New" w:hint="default"/>
      </w:rPr>
    </w:lvl>
    <w:lvl w:ilvl="8" w:tplc="04090005">
      <w:start w:val="1"/>
      <w:numFmt w:val="bullet"/>
      <w:lvlText w:val=""/>
      <w:lvlJc w:val="left"/>
      <w:pPr>
        <w:ind w:left="7110" w:hanging="360"/>
      </w:pPr>
      <w:rPr>
        <w:rFonts w:ascii="Wingdings" w:hAnsi="Wingdings" w:hint="default"/>
      </w:rPr>
    </w:lvl>
  </w:abstractNum>
  <w:abstractNum w:abstractNumId="3" w15:restartNumberingAfterBreak="0">
    <w:nsid w:val="37503856"/>
    <w:multiLevelType w:val="hybridMultilevel"/>
    <w:tmpl w:val="04243638"/>
    <w:lvl w:ilvl="0" w:tplc="C7104424">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E4C57D2"/>
    <w:multiLevelType w:val="hybridMultilevel"/>
    <w:tmpl w:val="FB50BE26"/>
    <w:lvl w:ilvl="0" w:tplc="10E699A6">
      <w:start w:val="1"/>
      <w:numFmt w:val="decimal"/>
      <w:lvlText w:val="%1."/>
      <w:lvlJc w:val="left"/>
      <w:pPr>
        <w:ind w:left="180" w:hanging="360"/>
      </w:pPr>
    </w:lvl>
    <w:lvl w:ilvl="1" w:tplc="04090019">
      <w:start w:val="1"/>
      <w:numFmt w:val="lowerLetter"/>
      <w:lvlText w:val="%2."/>
      <w:lvlJc w:val="left"/>
      <w:pPr>
        <w:ind w:left="900" w:hanging="360"/>
      </w:pPr>
    </w:lvl>
    <w:lvl w:ilvl="2" w:tplc="0409001B">
      <w:start w:val="1"/>
      <w:numFmt w:val="lowerRoman"/>
      <w:lvlText w:val="%3."/>
      <w:lvlJc w:val="right"/>
      <w:pPr>
        <w:ind w:left="1620" w:hanging="180"/>
      </w:pPr>
    </w:lvl>
    <w:lvl w:ilvl="3" w:tplc="0409000F">
      <w:start w:val="1"/>
      <w:numFmt w:val="decimal"/>
      <w:lvlText w:val="%4."/>
      <w:lvlJc w:val="left"/>
      <w:pPr>
        <w:ind w:left="2340" w:hanging="360"/>
      </w:pPr>
    </w:lvl>
    <w:lvl w:ilvl="4" w:tplc="04090019">
      <w:start w:val="1"/>
      <w:numFmt w:val="lowerLetter"/>
      <w:lvlText w:val="%5."/>
      <w:lvlJc w:val="left"/>
      <w:pPr>
        <w:ind w:left="3060" w:hanging="360"/>
      </w:pPr>
    </w:lvl>
    <w:lvl w:ilvl="5" w:tplc="0409001B">
      <w:start w:val="1"/>
      <w:numFmt w:val="lowerRoman"/>
      <w:lvlText w:val="%6."/>
      <w:lvlJc w:val="right"/>
      <w:pPr>
        <w:ind w:left="3780" w:hanging="180"/>
      </w:pPr>
    </w:lvl>
    <w:lvl w:ilvl="6" w:tplc="0409000F">
      <w:start w:val="1"/>
      <w:numFmt w:val="decimal"/>
      <w:lvlText w:val="%7."/>
      <w:lvlJc w:val="left"/>
      <w:pPr>
        <w:ind w:left="4500" w:hanging="360"/>
      </w:pPr>
    </w:lvl>
    <w:lvl w:ilvl="7" w:tplc="04090019">
      <w:start w:val="1"/>
      <w:numFmt w:val="lowerLetter"/>
      <w:lvlText w:val="%8."/>
      <w:lvlJc w:val="left"/>
      <w:pPr>
        <w:ind w:left="5220" w:hanging="360"/>
      </w:pPr>
    </w:lvl>
    <w:lvl w:ilvl="8" w:tplc="0409001B">
      <w:start w:val="1"/>
      <w:numFmt w:val="lowerRoman"/>
      <w:lvlText w:val="%9."/>
      <w:lvlJc w:val="right"/>
      <w:pPr>
        <w:ind w:left="5940" w:hanging="180"/>
      </w:pPr>
    </w:lvl>
  </w:abstractNum>
  <w:num w:numId="1" w16cid:durableId="2318185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16107137">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29200688">
    <w:abstractNumId w:val="2"/>
  </w:num>
  <w:num w:numId="4" w16cid:durableId="83844305">
    <w:abstractNumId w:val="0"/>
  </w:num>
  <w:num w:numId="5" w16cid:durableId="9833153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4DC"/>
    <w:rsid w:val="005301FD"/>
    <w:rsid w:val="008634DC"/>
    <w:rsid w:val="00B676D0"/>
    <w:rsid w:val="00D94A4E"/>
    <w:rsid w:val="00E225DE"/>
    <w:rsid w:val="00F44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74B45"/>
  <w15:chartTrackingRefBased/>
  <w15:docId w15:val="{5CA119C1-1D2D-4145-830A-5C00737C9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D0"/>
    <w:pPr>
      <w:spacing w:line="276" w:lineRule="auto"/>
    </w:pPr>
    <w:rPr>
      <w:lang w:val="en-US"/>
    </w:rPr>
  </w:style>
  <w:style w:type="paragraph" w:styleId="Heading1">
    <w:name w:val="heading 1"/>
    <w:basedOn w:val="Normal"/>
    <w:next w:val="Normal"/>
    <w:link w:val="Heading1Char"/>
    <w:uiPriority w:val="9"/>
    <w:qFormat/>
    <w:rsid w:val="008634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4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4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4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4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4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4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4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4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4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4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4DC"/>
    <w:rPr>
      <w:rFonts w:eastAsiaTheme="majorEastAsia" w:cstheme="majorBidi"/>
      <w:color w:val="272727" w:themeColor="text1" w:themeTint="D8"/>
    </w:rPr>
  </w:style>
  <w:style w:type="paragraph" w:styleId="Title">
    <w:name w:val="Title"/>
    <w:basedOn w:val="Normal"/>
    <w:next w:val="Normal"/>
    <w:link w:val="TitleChar"/>
    <w:uiPriority w:val="10"/>
    <w:qFormat/>
    <w:rsid w:val="008634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4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4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4DC"/>
    <w:pPr>
      <w:spacing w:before="160"/>
      <w:jc w:val="center"/>
    </w:pPr>
    <w:rPr>
      <w:i/>
      <w:iCs/>
      <w:color w:val="404040" w:themeColor="text1" w:themeTint="BF"/>
    </w:rPr>
  </w:style>
  <w:style w:type="character" w:customStyle="1" w:styleId="QuoteChar">
    <w:name w:val="Quote Char"/>
    <w:basedOn w:val="DefaultParagraphFont"/>
    <w:link w:val="Quote"/>
    <w:uiPriority w:val="29"/>
    <w:rsid w:val="008634DC"/>
    <w:rPr>
      <w:i/>
      <w:iCs/>
      <w:color w:val="404040" w:themeColor="text1" w:themeTint="BF"/>
    </w:rPr>
  </w:style>
  <w:style w:type="paragraph" w:styleId="ListParagraph">
    <w:name w:val="List Paragraph"/>
    <w:basedOn w:val="Normal"/>
    <w:uiPriority w:val="34"/>
    <w:qFormat/>
    <w:rsid w:val="008634DC"/>
    <w:pPr>
      <w:ind w:left="720"/>
      <w:contextualSpacing/>
    </w:pPr>
  </w:style>
  <w:style w:type="character" w:styleId="IntenseEmphasis">
    <w:name w:val="Intense Emphasis"/>
    <w:basedOn w:val="DefaultParagraphFont"/>
    <w:uiPriority w:val="21"/>
    <w:qFormat/>
    <w:rsid w:val="008634DC"/>
    <w:rPr>
      <w:i/>
      <w:iCs/>
      <w:color w:val="0F4761" w:themeColor="accent1" w:themeShade="BF"/>
    </w:rPr>
  </w:style>
  <w:style w:type="paragraph" w:styleId="IntenseQuote">
    <w:name w:val="Intense Quote"/>
    <w:basedOn w:val="Normal"/>
    <w:next w:val="Normal"/>
    <w:link w:val="IntenseQuoteChar"/>
    <w:uiPriority w:val="30"/>
    <w:qFormat/>
    <w:rsid w:val="008634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4DC"/>
    <w:rPr>
      <w:i/>
      <w:iCs/>
      <w:color w:val="0F4761" w:themeColor="accent1" w:themeShade="BF"/>
    </w:rPr>
  </w:style>
  <w:style w:type="character" w:styleId="IntenseReference">
    <w:name w:val="Intense Reference"/>
    <w:basedOn w:val="DefaultParagraphFont"/>
    <w:uiPriority w:val="32"/>
    <w:qFormat/>
    <w:rsid w:val="008634DC"/>
    <w:rPr>
      <w:b/>
      <w:bCs/>
      <w:smallCaps/>
      <w:color w:val="0F4761" w:themeColor="accent1" w:themeShade="BF"/>
      <w:spacing w:val="5"/>
    </w:rPr>
  </w:style>
  <w:style w:type="character" w:styleId="Hyperlink">
    <w:name w:val="Hyperlink"/>
    <w:basedOn w:val="DefaultParagraphFont"/>
    <w:uiPriority w:val="99"/>
    <w:semiHidden/>
    <w:unhideWhenUsed/>
    <w:rsid w:val="00B676D0"/>
    <w:rPr>
      <w:color w:val="0000FF"/>
      <w:u w:val="single"/>
    </w:rPr>
  </w:style>
  <w:style w:type="paragraph" w:styleId="TOC1">
    <w:name w:val="toc 1"/>
    <w:basedOn w:val="Normal"/>
    <w:next w:val="Normal"/>
    <w:autoRedefine/>
    <w:uiPriority w:val="39"/>
    <w:semiHidden/>
    <w:unhideWhenUsed/>
    <w:rsid w:val="00B676D0"/>
    <w:pPr>
      <w:spacing w:after="100"/>
    </w:pPr>
  </w:style>
  <w:style w:type="paragraph" w:styleId="TOC2">
    <w:name w:val="toc 2"/>
    <w:basedOn w:val="Normal"/>
    <w:next w:val="Normal"/>
    <w:autoRedefine/>
    <w:uiPriority w:val="39"/>
    <w:semiHidden/>
    <w:unhideWhenUsed/>
    <w:rsid w:val="00B676D0"/>
    <w:pPr>
      <w:spacing w:after="100"/>
      <w:ind w:left="240"/>
    </w:pPr>
  </w:style>
  <w:style w:type="paragraph" w:styleId="TOCHeading">
    <w:name w:val="TOC Heading"/>
    <w:basedOn w:val="Heading1"/>
    <w:next w:val="Normal"/>
    <w:uiPriority w:val="39"/>
    <w:semiHidden/>
    <w:unhideWhenUsed/>
    <w:qFormat/>
    <w:rsid w:val="00B676D0"/>
    <w:pPr>
      <w:spacing w:before="240" w:after="0" w:line="256" w:lineRule="auto"/>
      <w:outlineLvl w:val="9"/>
    </w:pPr>
    <w:rPr>
      <w:kern w:val="0"/>
      <w:sz w:val="32"/>
      <w:szCs w:val="32"/>
      <w14:ligatures w14:val="none"/>
    </w:rPr>
  </w:style>
  <w:style w:type="paragraph" w:styleId="Header">
    <w:name w:val="header"/>
    <w:basedOn w:val="Normal"/>
    <w:link w:val="HeaderChar"/>
    <w:uiPriority w:val="99"/>
    <w:unhideWhenUsed/>
    <w:rsid w:val="00B67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6D0"/>
    <w:rPr>
      <w:lang w:val="en-US"/>
    </w:rPr>
  </w:style>
  <w:style w:type="paragraph" w:styleId="Footer">
    <w:name w:val="footer"/>
    <w:basedOn w:val="Normal"/>
    <w:link w:val="FooterChar"/>
    <w:uiPriority w:val="99"/>
    <w:unhideWhenUsed/>
    <w:rsid w:val="00B67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6D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618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ario\Downloads\MOB%20Assignment%202%20-%20Ovidiu-Mario%20Trasc%202206244.docx" TargetMode="External"/><Relationship Id="rId18" Type="http://schemas.openxmlformats.org/officeDocument/2006/relationships/image" Target="media/image1.png"/><Relationship Id="rId26" Type="http://schemas.openxmlformats.org/officeDocument/2006/relationships/hyperlink" Target="https://www.hilton.com/en/corporate/success-stories"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file:///C:\Users\mario\Downloads\MOB%20Assignment%202%20-%20Ovidiu-Mario%20Trasc%202206244.docx" TargetMode="External"/><Relationship Id="rId12" Type="http://schemas.openxmlformats.org/officeDocument/2006/relationships/hyperlink" Target="file:///C:\Users\mario\Downloads\MOB%20Assignment%202%20-%20Ovidiu-Mario%20Trasc%202206244.docx" TargetMode="External"/><Relationship Id="rId17" Type="http://schemas.openxmlformats.org/officeDocument/2006/relationships/hyperlink" Target="file:///C:\Users\mario\Downloads\MOB%20Assignment%202%20-%20Ovidiu-Mario%20Trasc%202206244.docx" TargetMode="External"/><Relationship Id="rId25" Type="http://schemas.openxmlformats.org/officeDocument/2006/relationships/hyperlink" Target="https://stories.hilton.com/fact-sheets?_gl=1*pb68dv*_gcl_au*MTk2NjQwNzM4LjE3MTU4MDIzOD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mario\Downloads\MOB%20Assignment%202%20-%20Ovidiu-Mario%20Trasc%202206244.docx" TargetMode="External"/><Relationship Id="rId20" Type="http://schemas.openxmlformats.org/officeDocument/2006/relationships/image" Target="media/image3.png"/><Relationship Id="rId29" Type="http://schemas.openxmlformats.org/officeDocument/2006/relationships/hyperlink" Target="https://stories.hilton.com/growth-development/global-footprint-expanded-2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ario\Downloads\MOB%20Assignment%202%20-%20Ovidiu-Mario%20Trasc%202206244.docx" TargetMode="External"/><Relationship Id="rId24" Type="http://schemas.openxmlformats.org/officeDocument/2006/relationships/hyperlink" Target="https://esg.hilton.com/wp-content/uploads/sites/4/2023/04/2022-Goal-Tracker.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mario\Downloads\MOB%20Assignment%202%20-%20Ovidiu-Mario%20Trasc%202206244.docx" TargetMode="External"/><Relationship Id="rId23" Type="http://schemas.openxmlformats.org/officeDocument/2006/relationships/hyperlink" Target="https://esg.hilton.com/wp-content/uploads/sites/4/2024/05/24-05-17_HLT009_P8h-ADA-d.pdf" TargetMode="External"/><Relationship Id="rId28" Type="http://schemas.openxmlformats.org/officeDocument/2006/relationships/hyperlink" Target="https://jobs.hilton.com/us/en/culture?_gl=1*1t3fp4p*_gcl_au*MTk2NjQwNzM4LjE3MTU4MDIzODA." TargetMode="External"/><Relationship Id="rId10" Type="http://schemas.openxmlformats.org/officeDocument/2006/relationships/hyperlink" Target="file:///C:\Users\mario\Downloads\MOB%20Assignment%202%20-%20Ovidiu-Mario%20Trasc%202206244.docx" TargetMode="Externa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mario\Downloads\MOB%20Assignment%202%20-%20Ovidiu-Mario%20Trasc%202206244.docx" TargetMode="External"/><Relationship Id="rId14" Type="http://schemas.openxmlformats.org/officeDocument/2006/relationships/hyperlink" Target="file:///C:\Users\mario\Downloads\MOB%20Assignment%202%20-%20Ovidiu-Mario%20Trasc%202206244.docx" TargetMode="External"/><Relationship Id="rId22" Type="http://schemas.openxmlformats.org/officeDocument/2006/relationships/hyperlink" Target="https://esg.hilton.com/our-approach/" TargetMode="External"/><Relationship Id="rId27" Type="http://schemas.openxmlformats.org/officeDocument/2006/relationships/hyperlink" Target="https://esg.hilton.com/wp-content/uploads/sites/4/2023/04/Hilton-2022-Environmental-Social-and-Governance-Report.pdf" TargetMode="External"/><Relationship Id="rId30" Type="http://schemas.openxmlformats.org/officeDocument/2006/relationships/hyperlink" Target="https://stories.hilton.com/dei/hilton-spotlights-food-beverage-team-member-stories-for-hispanic-heritage-month" TargetMode="External"/><Relationship Id="rId8" Type="http://schemas.openxmlformats.org/officeDocument/2006/relationships/hyperlink" Target="file:///C:\Users\mario\Downloads\MOB%20Assignment%202%20-%20Ovidiu-Mario%20Trasc%202206244.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3182</Words>
  <Characters>18140</Characters>
  <Application>Microsoft Office Word</Application>
  <DocSecurity>0</DocSecurity>
  <Lines>151</Lines>
  <Paragraphs>42</Paragraphs>
  <ScaleCrop>false</ScaleCrop>
  <Company/>
  <LinksUpToDate>false</LinksUpToDate>
  <CharactersWithSpaces>21280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trasc</dc:creator>
  <cp:keywords/>
  <dc:description/>
  <cp:lastModifiedBy>Mario trasc</cp:lastModifiedBy>
  <cp:revision>3</cp:revision>
  <dcterms:created xsi:type="dcterms:W3CDTF">2024-05-28T10:11:00Z</dcterms:created>
  <dcterms:modified xsi:type="dcterms:W3CDTF">2024-05-28T10:19:00Z</dcterms:modified>
</cp:coreProperties>
</file>