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545C9" w14:textId="77777777"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noProof/>
          <w:color w:val="000000"/>
          <w:sz w:val="28"/>
          <w:szCs w:val="28"/>
        </w:rPr>
        <w:drawing>
          <wp:inline distT="114300" distB="114300" distL="114300" distR="114300" wp14:anchorId="47B58074" wp14:editId="44260453">
            <wp:extent cx="3028950" cy="130222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31686" cy="1303400"/>
                    </a:xfrm>
                    <a:prstGeom prst="rect">
                      <a:avLst/>
                    </a:prstGeom>
                    <a:ln/>
                  </pic:spPr>
                </pic:pic>
              </a:graphicData>
            </a:graphic>
          </wp:inline>
        </w:drawing>
      </w:r>
    </w:p>
    <w:p w14:paraId="0963231D" w14:textId="77777777"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Programme of Study: Master of Business Administration</w:t>
      </w:r>
    </w:p>
    <w:p w14:paraId="3B46C303" w14:textId="77777777"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Module Code and Title: LCMB7024 Marketing Management</w:t>
      </w:r>
    </w:p>
    <w:p w14:paraId="24B41BC4" w14:textId="77777777"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Marketing Environment Analysis: Tata Steel</w:t>
      </w:r>
    </w:p>
    <w:p w14:paraId="1521675D" w14:textId="77777777" w:rsidR="00237724" w:rsidRPr="00237724" w:rsidRDefault="00486BA8" w:rsidP="00237724">
      <w:pPr>
        <w:pStyle w:val="Title"/>
        <w:spacing w:line="360" w:lineRule="auto"/>
        <w:jc w:val="center"/>
        <w:rPr>
          <w:rFonts w:ascii="Arial" w:eastAsia="Arial" w:hAnsi="Arial" w:cs="Arial"/>
          <w:color w:val="000000"/>
          <w:sz w:val="28"/>
          <w:szCs w:val="28"/>
        </w:rPr>
      </w:pPr>
      <w:r>
        <w:rPr>
          <w:rFonts w:ascii="Arial" w:eastAsia="Arial" w:hAnsi="Arial" w:cs="Arial"/>
          <w:color w:val="000000"/>
          <w:sz w:val="28"/>
          <w:szCs w:val="28"/>
        </w:rPr>
        <w:t>Student Name:</w:t>
      </w:r>
      <w:r w:rsidR="00237724">
        <w:rPr>
          <w:rFonts w:ascii="Arial" w:eastAsia="Arial" w:hAnsi="Arial" w:cs="Arial"/>
          <w:color w:val="000000"/>
          <w:sz w:val="28"/>
          <w:szCs w:val="28"/>
        </w:rPr>
        <w:t xml:space="preserve"> </w:t>
      </w:r>
      <w:r w:rsidR="00237724" w:rsidRPr="00237724">
        <w:rPr>
          <w:rFonts w:ascii="Arial" w:eastAsia="Arial" w:hAnsi="Arial" w:cs="Arial"/>
          <w:color w:val="000000"/>
          <w:sz w:val="28"/>
          <w:szCs w:val="28"/>
        </w:rPr>
        <w:t>Lakmi Singh</w:t>
      </w:r>
    </w:p>
    <w:p w14:paraId="266262A9" w14:textId="2F98F374" w:rsidR="00272E31" w:rsidRDefault="00486BA8" w:rsidP="00EC711D">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Student Id:</w:t>
      </w:r>
      <w:r w:rsidR="00237724">
        <w:rPr>
          <w:rFonts w:ascii="Arial" w:eastAsia="Arial" w:hAnsi="Arial" w:cs="Arial"/>
          <w:color w:val="000000"/>
          <w:sz w:val="28"/>
          <w:szCs w:val="28"/>
        </w:rPr>
        <w:t xml:space="preserve"> </w:t>
      </w:r>
      <w:r w:rsidR="00237724" w:rsidRPr="00237724">
        <w:rPr>
          <w:rFonts w:ascii="Arial" w:eastAsia="Arial" w:hAnsi="Arial" w:cs="Arial"/>
          <w:color w:val="000000"/>
          <w:sz w:val="28"/>
          <w:szCs w:val="28"/>
        </w:rPr>
        <w:t>2534405</w:t>
      </w:r>
    </w:p>
    <w:p w14:paraId="276FB926" w14:textId="08455304"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 xml:space="preserve">Words: </w:t>
      </w:r>
      <w:r w:rsidR="00760EB2">
        <w:rPr>
          <w:rFonts w:ascii="Arial" w:eastAsia="Arial" w:hAnsi="Arial" w:cs="Arial"/>
          <w:color w:val="000000"/>
          <w:sz w:val="28"/>
          <w:szCs w:val="28"/>
        </w:rPr>
        <w:t>2503</w:t>
      </w:r>
    </w:p>
    <w:p w14:paraId="041EB2C9" w14:textId="016938FE"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Lecturer:</w:t>
      </w:r>
      <w:r w:rsidR="00157706">
        <w:rPr>
          <w:rFonts w:ascii="Arial" w:eastAsia="Arial" w:hAnsi="Arial" w:cs="Arial"/>
          <w:color w:val="000000"/>
          <w:sz w:val="28"/>
          <w:szCs w:val="28"/>
        </w:rPr>
        <w:t xml:space="preserve"> T</w:t>
      </w:r>
      <w:r w:rsidR="00157706" w:rsidRPr="00157706">
        <w:rPr>
          <w:rFonts w:ascii="Arial" w:eastAsia="Arial" w:hAnsi="Arial" w:cs="Arial"/>
          <w:color w:val="000000"/>
          <w:sz w:val="28"/>
          <w:szCs w:val="28"/>
        </w:rPr>
        <w:t xml:space="preserve">aonga </w:t>
      </w:r>
      <w:r w:rsidR="00157706">
        <w:rPr>
          <w:rFonts w:ascii="Arial" w:eastAsia="Arial" w:hAnsi="Arial" w:cs="Arial"/>
          <w:color w:val="000000"/>
          <w:sz w:val="28"/>
          <w:szCs w:val="28"/>
        </w:rPr>
        <w:t>K</w:t>
      </w:r>
      <w:r w:rsidR="00157706" w:rsidRPr="00157706">
        <w:rPr>
          <w:rFonts w:ascii="Arial" w:eastAsia="Arial" w:hAnsi="Arial" w:cs="Arial"/>
          <w:color w:val="000000"/>
          <w:sz w:val="28"/>
          <w:szCs w:val="28"/>
        </w:rPr>
        <w:t xml:space="preserve">aonga </w:t>
      </w:r>
      <w:proofErr w:type="spellStart"/>
      <w:proofErr w:type="gramStart"/>
      <w:r w:rsidR="00157706">
        <w:rPr>
          <w:rFonts w:ascii="Arial" w:eastAsia="Arial" w:hAnsi="Arial" w:cs="Arial"/>
          <w:color w:val="000000"/>
          <w:sz w:val="28"/>
          <w:szCs w:val="28"/>
        </w:rPr>
        <w:t>S</w:t>
      </w:r>
      <w:r w:rsidR="00157706" w:rsidRPr="00157706">
        <w:rPr>
          <w:rFonts w:ascii="Arial" w:eastAsia="Arial" w:hAnsi="Arial" w:cs="Arial"/>
          <w:color w:val="000000"/>
          <w:sz w:val="28"/>
          <w:szCs w:val="28"/>
        </w:rPr>
        <w:t>obere</w:t>
      </w:r>
      <w:proofErr w:type="spellEnd"/>
      <w:r w:rsidR="00157706" w:rsidRPr="00157706">
        <w:rPr>
          <w:rFonts w:ascii="Arial" w:eastAsia="Arial" w:hAnsi="Arial" w:cs="Arial"/>
          <w:color w:val="000000"/>
          <w:sz w:val="28"/>
          <w:szCs w:val="28"/>
        </w:rPr>
        <w:t xml:space="preserve">  </w:t>
      </w:r>
      <w:proofErr w:type="spellStart"/>
      <w:r w:rsidR="00157706">
        <w:rPr>
          <w:rFonts w:ascii="Arial" w:eastAsia="Arial" w:hAnsi="Arial" w:cs="Arial"/>
          <w:color w:val="000000"/>
          <w:sz w:val="28"/>
          <w:szCs w:val="28"/>
        </w:rPr>
        <w:t>S</w:t>
      </w:r>
      <w:r w:rsidR="00157706" w:rsidRPr="00157706">
        <w:rPr>
          <w:rFonts w:ascii="Arial" w:eastAsia="Arial" w:hAnsi="Arial" w:cs="Arial"/>
          <w:color w:val="000000"/>
          <w:sz w:val="28"/>
          <w:szCs w:val="28"/>
        </w:rPr>
        <w:t>nithers</w:t>
      </w:r>
      <w:proofErr w:type="spellEnd"/>
      <w:proofErr w:type="gramEnd"/>
    </w:p>
    <w:p w14:paraId="28BD838A" w14:textId="77777777" w:rsidR="00272E31" w:rsidRDefault="00486BA8">
      <w:pPr>
        <w:pStyle w:val="Title"/>
        <w:spacing w:after="240" w:line="360" w:lineRule="auto"/>
        <w:jc w:val="center"/>
        <w:rPr>
          <w:rFonts w:ascii="Arial" w:eastAsia="Arial" w:hAnsi="Arial" w:cs="Arial"/>
          <w:color w:val="000000"/>
          <w:sz w:val="28"/>
          <w:szCs w:val="28"/>
        </w:rPr>
      </w:pPr>
      <w:r>
        <w:rPr>
          <w:rFonts w:ascii="Arial" w:eastAsia="Arial" w:hAnsi="Arial" w:cs="Arial"/>
          <w:color w:val="000000"/>
          <w:sz w:val="28"/>
          <w:szCs w:val="28"/>
        </w:rPr>
        <w:t>Submission Date: 26 June 2026</w:t>
      </w:r>
    </w:p>
    <w:p w14:paraId="096C19A8" w14:textId="77777777" w:rsidR="00272E31" w:rsidRDefault="00272E31">
      <w:pPr>
        <w:spacing w:line="360" w:lineRule="auto"/>
        <w:jc w:val="both"/>
        <w:rPr>
          <w:rFonts w:ascii="Arial" w:eastAsia="Arial" w:hAnsi="Arial" w:cs="Arial"/>
        </w:rPr>
      </w:pPr>
    </w:p>
    <w:p w14:paraId="1320F150" w14:textId="77777777" w:rsidR="00272E31" w:rsidRDefault="00272E31">
      <w:pPr>
        <w:spacing w:line="360" w:lineRule="auto"/>
        <w:jc w:val="both"/>
        <w:rPr>
          <w:rFonts w:ascii="Arial" w:eastAsia="Arial" w:hAnsi="Arial" w:cs="Arial"/>
        </w:rPr>
      </w:pPr>
    </w:p>
    <w:p w14:paraId="71D65523" w14:textId="77777777" w:rsidR="00272E31" w:rsidRDefault="00272E31">
      <w:pPr>
        <w:spacing w:line="360" w:lineRule="auto"/>
        <w:jc w:val="both"/>
        <w:rPr>
          <w:rFonts w:ascii="Arial" w:eastAsia="Arial" w:hAnsi="Arial" w:cs="Arial"/>
        </w:rPr>
      </w:pPr>
    </w:p>
    <w:p w14:paraId="468D2011" w14:textId="77777777" w:rsidR="00272E31" w:rsidRDefault="00272E31">
      <w:pPr>
        <w:spacing w:line="360" w:lineRule="auto"/>
        <w:jc w:val="both"/>
        <w:rPr>
          <w:rFonts w:ascii="Arial" w:eastAsia="Arial" w:hAnsi="Arial" w:cs="Arial"/>
        </w:rPr>
      </w:pPr>
    </w:p>
    <w:p w14:paraId="2F140BDC" w14:textId="77777777" w:rsidR="00272E31" w:rsidRDefault="00486BA8">
      <w:pPr>
        <w:spacing w:line="360" w:lineRule="auto"/>
        <w:jc w:val="both"/>
        <w:rPr>
          <w:rFonts w:ascii="Arial" w:eastAsia="Arial" w:hAnsi="Arial" w:cs="Arial"/>
          <w:b/>
          <w:bCs/>
          <w:color w:val="000000"/>
        </w:rPr>
      </w:pPr>
      <w:r>
        <w:br w:type="page"/>
      </w:r>
    </w:p>
    <w:p w14:paraId="2F17CF0A" w14:textId="77777777" w:rsidR="00272E31" w:rsidRPr="00CC0E0F" w:rsidRDefault="00486BA8">
      <w:pPr>
        <w:keepNext/>
        <w:keepLines/>
        <w:pBdr>
          <w:top w:val="nil"/>
          <w:left w:val="nil"/>
          <w:bottom w:val="nil"/>
          <w:right w:val="nil"/>
          <w:between w:val="nil"/>
        </w:pBdr>
        <w:spacing w:after="0" w:line="259" w:lineRule="auto"/>
        <w:rPr>
          <w:rFonts w:ascii="Arial" w:eastAsia="Arial" w:hAnsi="Arial" w:cs="Arial"/>
          <w:b/>
          <w:bCs/>
          <w:color w:val="000000" w:themeColor="text1"/>
        </w:rPr>
      </w:pPr>
      <w:r w:rsidRPr="00CC0E0F">
        <w:rPr>
          <w:rFonts w:ascii="Arial" w:eastAsia="Arial" w:hAnsi="Arial" w:cs="Arial"/>
          <w:b/>
          <w:bCs/>
          <w:color w:val="000000" w:themeColor="text1"/>
        </w:rPr>
        <w:lastRenderedPageBreak/>
        <w:t>Table of Contents</w:t>
      </w:r>
    </w:p>
    <w:sdt>
      <w:sdtPr>
        <w:rPr>
          <w:rFonts w:ascii="Times New Roman" w:eastAsia="Times New Roman" w:hAnsi="Times New Roman" w:cs="Times New Roman"/>
          <w:color w:val="auto"/>
          <w:sz w:val="24"/>
          <w:szCs w:val="24"/>
          <w:lang w:val="en-GB" w:eastAsia="en-IN" w:bidi="bn-IN"/>
        </w:rPr>
        <w:id w:val="1728031284"/>
        <w:docPartObj>
          <w:docPartGallery w:val="Table of Contents"/>
          <w:docPartUnique/>
        </w:docPartObj>
      </w:sdtPr>
      <w:sdtEndPr>
        <w:rPr>
          <w:b/>
          <w:bCs/>
          <w:noProof/>
        </w:rPr>
      </w:sdtEndPr>
      <w:sdtContent>
        <w:p w14:paraId="5DC993C9" w14:textId="45930052" w:rsidR="008B392B" w:rsidRDefault="008B392B">
          <w:pPr>
            <w:pStyle w:val="TOCHeading"/>
          </w:pPr>
          <w:r>
            <w:t>Table of Contents</w:t>
          </w:r>
        </w:p>
        <w:p w14:paraId="3841227B" w14:textId="79206C1F"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r>
            <w:fldChar w:fldCharType="begin"/>
          </w:r>
          <w:r>
            <w:instrText xml:space="preserve"> TOC \o "1-3" \h \z \u </w:instrText>
          </w:r>
          <w:r>
            <w:fldChar w:fldCharType="separate"/>
          </w:r>
          <w:hyperlink w:anchor="_Toc233302515" w:history="1">
            <w:r w:rsidRPr="0072395C">
              <w:rPr>
                <w:rStyle w:val="Hyperlink"/>
                <w:rFonts w:ascii="Arial" w:eastAsia="Arial" w:hAnsi="Arial" w:cs="Arial"/>
                <w:noProof/>
              </w:rPr>
              <w:t>Task 1: Marketing Environment Analysis</w:t>
            </w:r>
            <w:r>
              <w:rPr>
                <w:noProof/>
                <w:webHidden/>
              </w:rPr>
              <w:tab/>
            </w:r>
            <w:r>
              <w:rPr>
                <w:noProof/>
                <w:webHidden/>
              </w:rPr>
              <w:fldChar w:fldCharType="begin"/>
            </w:r>
            <w:r>
              <w:rPr>
                <w:noProof/>
                <w:webHidden/>
              </w:rPr>
              <w:instrText xml:space="preserve"> PAGEREF _Toc233302515 \h </w:instrText>
            </w:r>
            <w:r>
              <w:rPr>
                <w:noProof/>
                <w:webHidden/>
              </w:rPr>
            </w:r>
            <w:r>
              <w:rPr>
                <w:noProof/>
                <w:webHidden/>
              </w:rPr>
              <w:fldChar w:fldCharType="separate"/>
            </w:r>
            <w:r>
              <w:rPr>
                <w:noProof/>
                <w:webHidden/>
              </w:rPr>
              <w:t>3</w:t>
            </w:r>
            <w:r>
              <w:rPr>
                <w:noProof/>
                <w:webHidden/>
              </w:rPr>
              <w:fldChar w:fldCharType="end"/>
            </w:r>
          </w:hyperlink>
        </w:p>
        <w:p w14:paraId="35D4A958" w14:textId="2AA141B9"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16" w:history="1">
            <w:r w:rsidRPr="0072395C">
              <w:rPr>
                <w:rStyle w:val="Hyperlink"/>
                <w:rFonts w:ascii="Arial" w:eastAsia="Arial" w:hAnsi="Arial" w:cs="Arial"/>
                <w:noProof/>
              </w:rPr>
              <w:t>Natural Environment</w:t>
            </w:r>
            <w:r>
              <w:rPr>
                <w:noProof/>
                <w:webHidden/>
              </w:rPr>
              <w:tab/>
            </w:r>
            <w:r>
              <w:rPr>
                <w:noProof/>
                <w:webHidden/>
              </w:rPr>
              <w:fldChar w:fldCharType="begin"/>
            </w:r>
            <w:r>
              <w:rPr>
                <w:noProof/>
                <w:webHidden/>
              </w:rPr>
              <w:instrText xml:space="preserve"> PAGEREF _Toc233302516 \h </w:instrText>
            </w:r>
            <w:r>
              <w:rPr>
                <w:noProof/>
                <w:webHidden/>
              </w:rPr>
            </w:r>
            <w:r>
              <w:rPr>
                <w:noProof/>
                <w:webHidden/>
              </w:rPr>
              <w:fldChar w:fldCharType="separate"/>
            </w:r>
            <w:r>
              <w:rPr>
                <w:noProof/>
                <w:webHidden/>
              </w:rPr>
              <w:t>3</w:t>
            </w:r>
            <w:r>
              <w:rPr>
                <w:noProof/>
                <w:webHidden/>
              </w:rPr>
              <w:fldChar w:fldCharType="end"/>
            </w:r>
          </w:hyperlink>
        </w:p>
        <w:p w14:paraId="3A715495" w14:textId="0284D60E"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17" w:history="1">
            <w:r w:rsidRPr="0072395C">
              <w:rPr>
                <w:rStyle w:val="Hyperlink"/>
                <w:rFonts w:ascii="Arial" w:eastAsia="Arial" w:hAnsi="Arial" w:cs="Arial"/>
                <w:noProof/>
              </w:rPr>
              <w:t>Opportunity from circularity</w:t>
            </w:r>
            <w:r>
              <w:rPr>
                <w:noProof/>
                <w:webHidden/>
              </w:rPr>
              <w:tab/>
            </w:r>
            <w:r>
              <w:rPr>
                <w:noProof/>
                <w:webHidden/>
              </w:rPr>
              <w:fldChar w:fldCharType="begin"/>
            </w:r>
            <w:r>
              <w:rPr>
                <w:noProof/>
                <w:webHidden/>
              </w:rPr>
              <w:instrText xml:space="preserve"> PAGEREF _Toc233302517 \h </w:instrText>
            </w:r>
            <w:r>
              <w:rPr>
                <w:noProof/>
                <w:webHidden/>
              </w:rPr>
            </w:r>
            <w:r>
              <w:rPr>
                <w:noProof/>
                <w:webHidden/>
              </w:rPr>
              <w:fldChar w:fldCharType="separate"/>
            </w:r>
            <w:r>
              <w:rPr>
                <w:noProof/>
                <w:webHidden/>
              </w:rPr>
              <w:t>4</w:t>
            </w:r>
            <w:r>
              <w:rPr>
                <w:noProof/>
                <w:webHidden/>
              </w:rPr>
              <w:fldChar w:fldCharType="end"/>
            </w:r>
          </w:hyperlink>
        </w:p>
        <w:p w14:paraId="28C6BA23" w14:textId="560F1F44"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18" w:history="1">
            <w:r w:rsidRPr="0072395C">
              <w:rPr>
                <w:rStyle w:val="Hyperlink"/>
                <w:rFonts w:ascii="Arial" w:eastAsia="Arial" w:hAnsi="Arial" w:cs="Arial"/>
                <w:noProof/>
              </w:rPr>
              <w:t>Resource constraints</w:t>
            </w:r>
            <w:r>
              <w:rPr>
                <w:noProof/>
                <w:webHidden/>
              </w:rPr>
              <w:tab/>
            </w:r>
            <w:r>
              <w:rPr>
                <w:noProof/>
                <w:webHidden/>
              </w:rPr>
              <w:fldChar w:fldCharType="begin"/>
            </w:r>
            <w:r>
              <w:rPr>
                <w:noProof/>
                <w:webHidden/>
              </w:rPr>
              <w:instrText xml:space="preserve"> PAGEREF _Toc233302518 \h </w:instrText>
            </w:r>
            <w:r>
              <w:rPr>
                <w:noProof/>
                <w:webHidden/>
              </w:rPr>
            </w:r>
            <w:r>
              <w:rPr>
                <w:noProof/>
                <w:webHidden/>
              </w:rPr>
              <w:fldChar w:fldCharType="separate"/>
            </w:r>
            <w:r>
              <w:rPr>
                <w:noProof/>
                <w:webHidden/>
              </w:rPr>
              <w:t>4</w:t>
            </w:r>
            <w:r>
              <w:rPr>
                <w:noProof/>
                <w:webHidden/>
              </w:rPr>
              <w:fldChar w:fldCharType="end"/>
            </w:r>
          </w:hyperlink>
        </w:p>
        <w:p w14:paraId="6ADF9AAB" w14:textId="3A4E8436"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19" w:history="1">
            <w:r w:rsidRPr="0072395C">
              <w:rPr>
                <w:rStyle w:val="Hyperlink"/>
                <w:rFonts w:ascii="Arial" w:eastAsia="Arial" w:hAnsi="Arial" w:cs="Arial"/>
                <w:noProof/>
              </w:rPr>
              <w:t>Political, Regulatory and Stakeholder Environment</w:t>
            </w:r>
            <w:r>
              <w:rPr>
                <w:noProof/>
                <w:webHidden/>
              </w:rPr>
              <w:tab/>
            </w:r>
            <w:r>
              <w:rPr>
                <w:noProof/>
                <w:webHidden/>
              </w:rPr>
              <w:fldChar w:fldCharType="begin"/>
            </w:r>
            <w:r>
              <w:rPr>
                <w:noProof/>
                <w:webHidden/>
              </w:rPr>
              <w:instrText xml:space="preserve"> PAGEREF _Toc233302519 \h </w:instrText>
            </w:r>
            <w:r>
              <w:rPr>
                <w:noProof/>
                <w:webHidden/>
              </w:rPr>
            </w:r>
            <w:r>
              <w:rPr>
                <w:noProof/>
                <w:webHidden/>
              </w:rPr>
              <w:fldChar w:fldCharType="separate"/>
            </w:r>
            <w:r>
              <w:rPr>
                <w:noProof/>
                <w:webHidden/>
              </w:rPr>
              <w:t>5</w:t>
            </w:r>
            <w:r>
              <w:rPr>
                <w:noProof/>
                <w:webHidden/>
              </w:rPr>
              <w:fldChar w:fldCharType="end"/>
            </w:r>
          </w:hyperlink>
        </w:p>
        <w:p w14:paraId="1F3D76AD" w14:textId="499F1F68"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0" w:history="1">
            <w:r w:rsidRPr="0072395C">
              <w:rPr>
                <w:rStyle w:val="Hyperlink"/>
                <w:rFonts w:ascii="Arial" w:eastAsia="Arial" w:hAnsi="Arial" w:cs="Arial"/>
                <w:noProof/>
              </w:rPr>
              <w:t>Task 2: Strategic Growth and Competitive Positioning</w:t>
            </w:r>
            <w:r>
              <w:rPr>
                <w:noProof/>
                <w:webHidden/>
              </w:rPr>
              <w:tab/>
            </w:r>
            <w:r>
              <w:rPr>
                <w:noProof/>
                <w:webHidden/>
              </w:rPr>
              <w:fldChar w:fldCharType="begin"/>
            </w:r>
            <w:r>
              <w:rPr>
                <w:noProof/>
                <w:webHidden/>
              </w:rPr>
              <w:instrText xml:space="preserve"> PAGEREF _Toc233302520 \h </w:instrText>
            </w:r>
            <w:r>
              <w:rPr>
                <w:noProof/>
                <w:webHidden/>
              </w:rPr>
            </w:r>
            <w:r>
              <w:rPr>
                <w:noProof/>
                <w:webHidden/>
              </w:rPr>
              <w:fldChar w:fldCharType="separate"/>
            </w:r>
            <w:r>
              <w:rPr>
                <w:noProof/>
                <w:webHidden/>
              </w:rPr>
              <w:t>6</w:t>
            </w:r>
            <w:r>
              <w:rPr>
                <w:noProof/>
                <w:webHidden/>
              </w:rPr>
              <w:fldChar w:fldCharType="end"/>
            </w:r>
          </w:hyperlink>
        </w:p>
        <w:p w14:paraId="13FE9BB3" w14:textId="17018136"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1" w:history="1">
            <w:r w:rsidRPr="0072395C">
              <w:rPr>
                <w:rStyle w:val="Hyperlink"/>
                <w:rFonts w:ascii="Arial" w:eastAsia="Arial" w:hAnsi="Arial" w:cs="Arial"/>
                <w:noProof/>
              </w:rPr>
              <w:t>Ansoff Matrix Recommendation</w:t>
            </w:r>
            <w:r>
              <w:rPr>
                <w:noProof/>
                <w:webHidden/>
              </w:rPr>
              <w:tab/>
            </w:r>
            <w:r>
              <w:rPr>
                <w:noProof/>
                <w:webHidden/>
              </w:rPr>
              <w:fldChar w:fldCharType="begin"/>
            </w:r>
            <w:r>
              <w:rPr>
                <w:noProof/>
                <w:webHidden/>
              </w:rPr>
              <w:instrText xml:space="preserve"> PAGEREF _Toc233302521 \h </w:instrText>
            </w:r>
            <w:r>
              <w:rPr>
                <w:noProof/>
                <w:webHidden/>
              </w:rPr>
            </w:r>
            <w:r>
              <w:rPr>
                <w:noProof/>
                <w:webHidden/>
              </w:rPr>
              <w:fldChar w:fldCharType="separate"/>
            </w:r>
            <w:r>
              <w:rPr>
                <w:noProof/>
                <w:webHidden/>
              </w:rPr>
              <w:t>6</w:t>
            </w:r>
            <w:r>
              <w:rPr>
                <w:noProof/>
                <w:webHidden/>
              </w:rPr>
              <w:fldChar w:fldCharType="end"/>
            </w:r>
          </w:hyperlink>
        </w:p>
        <w:p w14:paraId="29A7D521" w14:textId="74286702"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2" w:history="1">
            <w:r w:rsidRPr="0072395C">
              <w:rPr>
                <w:rStyle w:val="Hyperlink"/>
                <w:rFonts w:ascii="Arial" w:eastAsia="Arial" w:hAnsi="Arial" w:cs="Arial"/>
                <w:noProof/>
              </w:rPr>
              <w:t>Competitive Advantage Using Porter’s Generic Strategies</w:t>
            </w:r>
            <w:r>
              <w:rPr>
                <w:noProof/>
                <w:webHidden/>
              </w:rPr>
              <w:tab/>
            </w:r>
            <w:r>
              <w:rPr>
                <w:noProof/>
                <w:webHidden/>
              </w:rPr>
              <w:fldChar w:fldCharType="begin"/>
            </w:r>
            <w:r>
              <w:rPr>
                <w:noProof/>
                <w:webHidden/>
              </w:rPr>
              <w:instrText xml:space="preserve"> PAGEREF _Toc233302522 \h </w:instrText>
            </w:r>
            <w:r>
              <w:rPr>
                <w:noProof/>
                <w:webHidden/>
              </w:rPr>
            </w:r>
            <w:r>
              <w:rPr>
                <w:noProof/>
                <w:webHidden/>
              </w:rPr>
              <w:fldChar w:fldCharType="separate"/>
            </w:r>
            <w:r>
              <w:rPr>
                <w:noProof/>
                <w:webHidden/>
              </w:rPr>
              <w:t>8</w:t>
            </w:r>
            <w:r>
              <w:rPr>
                <w:noProof/>
                <w:webHidden/>
              </w:rPr>
              <w:fldChar w:fldCharType="end"/>
            </w:r>
          </w:hyperlink>
        </w:p>
        <w:p w14:paraId="26A8282F" w14:textId="4664D5FD"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3" w:history="1">
            <w:r w:rsidRPr="0072395C">
              <w:rPr>
                <w:rStyle w:val="Hyperlink"/>
                <w:rFonts w:ascii="Arial" w:eastAsia="Arial" w:hAnsi="Arial" w:cs="Arial"/>
                <w:noProof/>
              </w:rPr>
              <w:t>Task 3: Critical Reflection on AI Usage</w:t>
            </w:r>
            <w:r>
              <w:rPr>
                <w:noProof/>
                <w:webHidden/>
              </w:rPr>
              <w:tab/>
            </w:r>
            <w:r>
              <w:rPr>
                <w:noProof/>
                <w:webHidden/>
              </w:rPr>
              <w:fldChar w:fldCharType="begin"/>
            </w:r>
            <w:r>
              <w:rPr>
                <w:noProof/>
                <w:webHidden/>
              </w:rPr>
              <w:instrText xml:space="preserve"> PAGEREF _Toc233302523 \h </w:instrText>
            </w:r>
            <w:r>
              <w:rPr>
                <w:noProof/>
                <w:webHidden/>
              </w:rPr>
            </w:r>
            <w:r>
              <w:rPr>
                <w:noProof/>
                <w:webHidden/>
              </w:rPr>
              <w:fldChar w:fldCharType="separate"/>
            </w:r>
            <w:r>
              <w:rPr>
                <w:noProof/>
                <w:webHidden/>
              </w:rPr>
              <w:t>10</w:t>
            </w:r>
            <w:r>
              <w:rPr>
                <w:noProof/>
                <w:webHidden/>
              </w:rPr>
              <w:fldChar w:fldCharType="end"/>
            </w:r>
          </w:hyperlink>
        </w:p>
        <w:p w14:paraId="1C1A5AB5" w14:textId="25749CE2"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4" w:history="1">
            <w:r w:rsidRPr="0072395C">
              <w:rPr>
                <w:rStyle w:val="Hyperlink"/>
                <w:rFonts w:ascii="Arial" w:eastAsia="Arial" w:hAnsi="Arial" w:cs="Arial"/>
                <w:noProof/>
              </w:rPr>
              <w:t>Tool Disclosure</w:t>
            </w:r>
            <w:r>
              <w:rPr>
                <w:noProof/>
                <w:webHidden/>
              </w:rPr>
              <w:tab/>
            </w:r>
            <w:r>
              <w:rPr>
                <w:noProof/>
                <w:webHidden/>
              </w:rPr>
              <w:fldChar w:fldCharType="begin"/>
            </w:r>
            <w:r>
              <w:rPr>
                <w:noProof/>
                <w:webHidden/>
              </w:rPr>
              <w:instrText xml:space="preserve"> PAGEREF _Toc233302524 \h </w:instrText>
            </w:r>
            <w:r>
              <w:rPr>
                <w:noProof/>
                <w:webHidden/>
              </w:rPr>
            </w:r>
            <w:r>
              <w:rPr>
                <w:noProof/>
                <w:webHidden/>
              </w:rPr>
              <w:fldChar w:fldCharType="separate"/>
            </w:r>
            <w:r>
              <w:rPr>
                <w:noProof/>
                <w:webHidden/>
              </w:rPr>
              <w:t>10</w:t>
            </w:r>
            <w:r>
              <w:rPr>
                <w:noProof/>
                <w:webHidden/>
              </w:rPr>
              <w:fldChar w:fldCharType="end"/>
            </w:r>
          </w:hyperlink>
        </w:p>
        <w:p w14:paraId="3A169E1B" w14:textId="4B1FA7FA"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5" w:history="1">
            <w:r w:rsidRPr="0072395C">
              <w:rPr>
                <w:rStyle w:val="Hyperlink"/>
                <w:rFonts w:ascii="Arial" w:eastAsia="Arial" w:hAnsi="Arial" w:cs="Arial"/>
                <w:noProof/>
              </w:rPr>
              <w:t>Critical Evaluation of AI Output</w:t>
            </w:r>
            <w:r>
              <w:rPr>
                <w:noProof/>
                <w:webHidden/>
              </w:rPr>
              <w:tab/>
            </w:r>
            <w:r>
              <w:rPr>
                <w:noProof/>
                <w:webHidden/>
              </w:rPr>
              <w:fldChar w:fldCharType="begin"/>
            </w:r>
            <w:r>
              <w:rPr>
                <w:noProof/>
                <w:webHidden/>
              </w:rPr>
              <w:instrText xml:space="preserve"> PAGEREF _Toc233302525 \h </w:instrText>
            </w:r>
            <w:r>
              <w:rPr>
                <w:noProof/>
                <w:webHidden/>
              </w:rPr>
            </w:r>
            <w:r>
              <w:rPr>
                <w:noProof/>
                <w:webHidden/>
              </w:rPr>
              <w:fldChar w:fldCharType="separate"/>
            </w:r>
            <w:r>
              <w:rPr>
                <w:noProof/>
                <w:webHidden/>
              </w:rPr>
              <w:t>10</w:t>
            </w:r>
            <w:r>
              <w:rPr>
                <w:noProof/>
                <w:webHidden/>
              </w:rPr>
              <w:fldChar w:fldCharType="end"/>
            </w:r>
          </w:hyperlink>
        </w:p>
        <w:p w14:paraId="10BC4F2C" w14:textId="6797B262"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6" w:history="1">
            <w:r w:rsidRPr="0072395C">
              <w:rPr>
                <w:rStyle w:val="Hyperlink"/>
                <w:rFonts w:ascii="Arial" w:eastAsia="Arial" w:hAnsi="Arial" w:cs="Arial"/>
                <w:noProof/>
              </w:rPr>
              <w:t>Contribution Analysis</w:t>
            </w:r>
            <w:r>
              <w:rPr>
                <w:noProof/>
                <w:webHidden/>
              </w:rPr>
              <w:tab/>
            </w:r>
            <w:r>
              <w:rPr>
                <w:noProof/>
                <w:webHidden/>
              </w:rPr>
              <w:fldChar w:fldCharType="begin"/>
            </w:r>
            <w:r>
              <w:rPr>
                <w:noProof/>
                <w:webHidden/>
              </w:rPr>
              <w:instrText xml:space="preserve"> PAGEREF _Toc233302526 \h </w:instrText>
            </w:r>
            <w:r>
              <w:rPr>
                <w:noProof/>
                <w:webHidden/>
              </w:rPr>
            </w:r>
            <w:r>
              <w:rPr>
                <w:noProof/>
                <w:webHidden/>
              </w:rPr>
              <w:fldChar w:fldCharType="separate"/>
            </w:r>
            <w:r>
              <w:rPr>
                <w:noProof/>
                <w:webHidden/>
              </w:rPr>
              <w:t>11</w:t>
            </w:r>
            <w:r>
              <w:rPr>
                <w:noProof/>
                <w:webHidden/>
              </w:rPr>
              <w:fldChar w:fldCharType="end"/>
            </w:r>
          </w:hyperlink>
        </w:p>
        <w:p w14:paraId="23360AE6" w14:textId="3060408A" w:rsidR="008B392B" w:rsidRDefault="008B392B">
          <w:pPr>
            <w:pStyle w:val="TOC2"/>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7" w:history="1">
            <w:r w:rsidRPr="0072395C">
              <w:rPr>
                <w:rStyle w:val="Hyperlink"/>
                <w:rFonts w:ascii="Arial" w:eastAsia="Arial" w:hAnsi="Arial" w:cs="Arial"/>
                <w:noProof/>
              </w:rPr>
              <w:t>Ethical and Professional Reflection</w:t>
            </w:r>
            <w:r>
              <w:rPr>
                <w:noProof/>
                <w:webHidden/>
              </w:rPr>
              <w:tab/>
            </w:r>
            <w:r>
              <w:rPr>
                <w:noProof/>
                <w:webHidden/>
              </w:rPr>
              <w:fldChar w:fldCharType="begin"/>
            </w:r>
            <w:r>
              <w:rPr>
                <w:noProof/>
                <w:webHidden/>
              </w:rPr>
              <w:instrText xml:space="preserve"> PAGEREF _Toc233302527 \h </w:instrText>
            </w:r>
            <w:r>
              <w:rPr>
                <w:noProof/>
                <w:webHidden/>
              </w:rPr>
            </w:r>
            <w:r>
              <w:rPr>
                <w:noProof/>
                <w:webHidden/>
              </w:rPr>
              <w:fldChar w:fldCharType="separate"/>
            </w:r>
            <w:r>
              <w:rPr>
                <w:noProof/>
                <w:webHidden/>
              </w:rPr>
              <w:t>11</w:t>
            </w:r>
            <w:r>
              <w:rPr>
                <w:noProof/>
                <w:webHidden/>
              </w:rPr>
              <w:fldChar w:fldCharType="end"/>
            </w:r>
          </w:hyperlink>
        </w:p>
        <w:p w14:paraId="6B4CF112" w14:textId="3803723F"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8" w:history="1">
            <w:r w:rsidRPr="0072395C">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_Toc233302528 \h </w:instrText>
            </w:r>
            <w:r>
              <w:rPr>
                <w:noProof/>
                <w:webHidden/>
              </w:rPr>
            </w:r>
            <w:r>
              <w:rPr>
                <w:noProof/>
                <w:webHidden/>
              </w:rPr>
              <w:fldChar w:fldCharType="separate"/>
            </w:r>
            <w:r>
              <w:rPr>
                <w:noProof/>
                <w:webHidden/>
              </w:rPr>
              <w:t>12</w:t>
            </w:r>
            <w:r>
              <w:rPr>
                <w:noProof/>
                <w:webHidden/>
              </w:rPr>
              <w:fldChar w:fldCharType="end"/>
            </w:r>
          </w:hyperlink>
        </w:p>
        <w:p w14:paraId="01C91F60" w14:textId="5413A124" w:rsidR="008B392B" w:rsidRDefault="008B392B">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hyperlink w:anchor="_Toc233302529" w:history="1">
            <w:r w:rsidRPr="0072395C">
              <w:rPr>
                <w:rStyle w:val="Hyperlink"/>
                <w:noProof/>
              </w:rPr>
              <w:t>Appendix</w:t>
            </w:r>
            <w:r>
              <w:rPr>
                <w:noProof/>
                <w:webHidden/>
              </w:rPr>
              <w:tab/>
            </w:r>
            <w:r>
              <w:rPr>
                <w:noProof/>
                <w:webHidden/>
              </w:rPr>
              <w:fldChar w:fldCharType="begin"/>
            </w:r>
            <w:r>
              <w:rPr>
                <w:noProof/>
                <w:webHidden/>
              </w:rPr>
              <w:instrText xml:space="preserve"> PAGEREF _Toc233302529 \h </w:instrText>
            </w:r>
            <w:r>
              <w:rPr>
                <w:noProof/>
                <w:webHidden/>
              </w:rPr>
            </w:r>
            <w:r>
              <w:rPr>
                <w:noProof/>
                <w:webHidden/>
              </w:rPr>
              <w:fldChar w:fldCharType="separate"/>
            </w:r>
            <w:r>
              <w:rPr>
                <w:noProof/>
                <w:webHidden/>
              </w:rPr>
              <w:t>16</w:t>
            </w:r>
            <w:r>
              <w:rPr>
                <w:noProof/>
                <w:webHidden/>
              </w:rPr>
              <w:fldChar w:fldCharType="end"/>
            </w:r>
          </w:hyperlink>
        </w:p>
        <w:p w14:paraId="19377E0F" w14:textId="1019B720" w:rsidR="008B392B" w:rsidRDefault="008B392B">
          <w:r>
            <w:rPr>
              <w:b/>
              <w:bCs/>
              <w:noProof/>
            </w:rPr>
            <w:fldChar w:fldCharType="end"/>
          </w:r>
        </w:p>
      </w:sdtContent>
    </w:sdt>
    <w:p w14:paraId="49AF404E" w14:textId="69B9C80F" w:rsidR="00272E31" w:rsidRPr="008B392B" w:rsidRDefault="00486BA8" w:rsidP="008B392B">
      <w:pPr>
        <w:spacing w:before="0" w:after="160" w:line="278" w:lineRule="auto"/>
        <w:rPr>
          <w:rFonts w:ascii="Arial" w:eastAsia="Arial" w:hAnsi="Arial" w:cs="Arial"/>
          <w:b/>
          <w:bCs/>
          <w:color w:val="000000"/>
        </w:rPr>
      </w:pPr>
      <w:r w:rsidRPr="008B392B">
        <w:rPr>
          <w:b/>
          <w:bCs/>
        </w:rPr>
        <w:br w:type="page"/>
      </w:r>
      <w:bookmarkStart w:id="0" w:name="_Toc233302515"/>
      <w:r w:rsidRPr="008B392B">
        <w:rPr>
          <w:rFonts w:ascii="Arial" w:eastAsia="Arial" w:hAnsi="Arial" w:cs="Arial"/>
          <w:b/>
          <w:bCs/>
        </w:rPr>
        <w:lastRenderedPageBreak/>
        <w:t>Task 1: Marketing Environment Analysis</w:t>
      </w:r>
      <w:bookmarkEnd w:id="0"/>
    </w:p>
    <w:p w14:paraId="4C0C64B8" w14:textId="7D17A377" w:rsidR="00C668F6" w:rsidRPr="00C668F6" w:rsidRDefault="00486BA8" w:rsidP="00C668F6">
      <w:pPr>
        <w:spacing w:line="360" w:lineRule="auto"/>
        <w:jc w:val="both"/>
        <w:rPr>
          <w:rFonts w:ascii="Arial" w:eastAsia="Arial" w:hAnsi="Arial" w:cs="Arial"/>
          <w:lang w:val="en-IN"/>
        </w:rPr>
      </w:pPr>
      <w:r>
        <w:rPr>
          <w:rFonts w:ascii="Arial" w:eastAsia="Arial" w:hAnsi="Arial" w:cs="Arial"/>
        </w:rPr>
        <w:t>Tata steel is a leading company in Still Industry. For a Steel company, marketing environment analysis is not an analysis of the macro environment; it's an examination of what can be achieved by making climate resilience, lower emissions and responsibility sourcing into customer trust, pricing power and supply security (Tata Steel, 2025a). From the analysis it is found that Natural environment and Political, regulatory and stakeholder environment are the two actors that have significant impact on sustainability strategy of company (Tata Steel, 2025b).</w:t>
      </w:r>
      <w:r w:rsidR="00C668F6">
        <w:rPr>
          <w:rFonts w:ascii="Arial" w:eastAsia="Arial" w:hAnsi="Arial" w:cs="Arial"/>
        </w:rPr>
        <w:t xml:space="preserve"> </w:t>
      </w:r>
      <w:r w:rsidR="00C668F6" w:rsidRPr="00C668F6">
        <w:rPr>
          <w:rFonts w:ascii="Arial" w:eastAsia="Arial" w:hAnsi="Arial" w:cs="Arial"/>
          <w:lang w:val="en-IN"/>
        </w:rPr>
        <w:t>Supporting materials, including the PESTEL analysis, Tata Steel product portfolio, sustainability performance data and competitor analysis, are presented in Appendices A–D.</w:t>
      </w:r>
      <w:r w:rsidR="004152D4">
        <w:rPr>
          <w:rFonts w:ascii="Arial" w:eastAsia="Arial" w:hAnsi="Arial" w:cs="Arial"/>
          <w:lang w:val="en-IN"/>
        </w:rPr>
        <w:t xml:space="preserve"> </w:t>
      </w:r>
      <w:r w:rsidR="004152D4" w:rsidRPr="004152D4">
        <w:rPr>
          <w:rFonts w:ascii="Arial" w:eastAsia="Arial" w:hAnsi="Arial" w:cs="Arial"/>
        </w:rPr>
        <w:t xml:space="preserve">The product portfolio </w:t>
      </w:r>
      <w:r w:rsidR="004152D4">
        <w:rPr>
          <w:rFonts w:ascii="Arial" w:eastAsia="Arial" w:hAnsi="Arial" w:cs="Arial"/>
        </w:rPr>
        <w:t>shown</w:t>
      </w:r>
      <w:r w:rsidR="004152D4" w:rsidRPr="004152D4">
        <w:rPr>
          <w:rFonts w:ascii="Arial" w:eastAsia="Arial" w:hAnsi="Arial" w:cs="Arial"/>
        </w:rPr>
        <w:t xml:space="preserve"> in Appendix B </w:t>
      </w:r>
      <w:r w:rsidR="004152D4">
        <w:rPr>
          <w:rFonts w:ascii="Arial" w:eastAsia="Arial" w:hAnsi="Arial" w:cs="Arial"/>
        </w:rPr>
        <w:t>shows</w:t>
      </w:r>
      <w:r w:rsidR="004152D4" w:rsidRPr="004152D4">
        <w:rPr>
          <w:rFonts w:ascii="Arial" w:eastAsia="Arial" w:hAnsi="Arial" w:cs="Arial"/>
        </w:rPr>
        <w:t xml:space="preserve"> Tata Steel's </w:t>
      </w:r>
      <w:r w:rsidR="004152D4">
        <w:rPr>
          <w:rFonts w:ascii="Arial" w:eastAsia="Arial" w:hAnsi="Arial" w:cs="Arial"/>
        </w:rPr>
        <w:t>different</w:t>
      </w:r>
      <w:r w:rsidR="004152D4" w:rsidRPr="004152D4">
        <w:rPr>
          <w:rFonts w:ascii="Arial" w:eastAsia="Arial" w:hAnsi="Arial" w:cs="Arial"/>
        </w:rPr>
        <w:t xml:space="preserve"> offerings across construction, infrastructure and industrial segments, supporting its market positioning strategy.</w:t>
      </w:r>
    </w:p>
    <w:p w14:paraId="1458B1C4" w14:textId="77777777" w:rsidR="00272E31" w:rsidRDefault="00486BA8">
      <w:pPr>
        <w:pStyle w:val="Heading1"/>
        <w:rPr>
          <w:rFonts w:ascii="Arial" w:eastAsia="Arial" w:hAnsi="Arial" w:cs="Arial"/>
        </w:rPr>
      </w:pPr>
      <w:bookmarkStart w:id="1" w:name="_Toc233302516"/>
      <w:r>
        <w:rPr>
          <w:rFonts w:ascii="Arial" w:eastAsia="Arial" w:hAnsi="Arial" w:cs="Arial"/>
        </w:rPr>
        <w:t>Natural Environment</w:t>
      </w:r>
      <w:bookmarkEnd w:id="1"/>
    </w:p>
    <w:p w14:paraId="29A856FD" w14:textId="77777777" w:rsidR="00272E31" w:rsidRDefault="00486BA8">
      <w:pPr>
        <w:spacing w:line="360" w:lineRule="auto"/>
        <w:jc w:val="both"/>
        <w:rPr>
          <w:rFonts w:ascii="Arial" w:eastAsia="Arial" w:hAnsi="Arial" w:cs="Arial"/>
        </w:rPr>
      </w:pPr>
      <w:r>
        <w:rPr>
          <w:rFonts w:ascii="Arial" w:eastAsia="Arial" w:hAnsi="Arial" w:cs="Arial"/>
        </w:rPr>
        <w:t xml:space="preserve">As steelmaking is a very energy and water demanding process, it is a direct hit of the natural environment on the marketing actor, which is the most predominant outside player. In the future, the steel industry will be more vulnerable to water scarcity, heat stress and physical climate disruption, and Tata Steel's sustainability disclosures highlight the fact that climate, water and nature have become a business risk for the company, rather than separate ESG issues (Open-access sector guidance notes, 2024; Tata Steel's sustainability disclosures, 2024). </w:t>
      </w:r>
    </w:p>
    <w:p w14:paraId="3A1DF6E3" w14:textId="77777777" w:rsidR="00272E31" w:rsidRDefault="00486BA8">
      <w:pPr>
        <w:spacing w:line="360" w:lineRule="auto"/>
        <w:jc w:val="both"/>
        <w:rPr>
          <w:rFonts w:ascii="Arial" w:eastAsia="Arial" w:hAnsi="Arial" w:cs="Arial"/>
        </w:rPr>
      </w:pPr>
      <w:r>
        <w:rPr>
          <w:rFonts w:ascii="Arial" w:eastAsia="Arial" w:hAnsi="Arial" w:cs="Arial"/>
        </w:rPr>
        <w:t>That is a strategic consideration because a customer purchasing steel for infrastructure, automotive or construction products is also purchasing continuity of supply – a water stressed situation, cooling limitations or shut down for climate-related reasons are therefore not just environmental externalities, but commercial defects (World Steel Association, 2023). This is reflected in Tata Steel's ESG disclosures which, in addition to ongoing pressure to further improve emissions intensity, also indicate that the firm is working to become more efficient in its use of all resources—including the natural environment—implying that natural-environment performance is becoming an integral part of the firm's market credibility, rather than just a compliance burden (Tata Steel, 2025b).</w:t>
      </w:r>
    </w:p>
    <w:p w14:paraId="2A95272D" w14:textId="77777777" w:rsidR="00272E31" w:rsidRDefault="00486BA8">
      <w:pPr>
        <w:pStyle w:val="Heading2"/>
        <w:spacing w:before="240" w:after="240" w:line="360" w:lineRule="auto"/>
        <w:jc w:val="both"/>
        <w:rPr>
          <w:rFonts w:ascii="Arial" w:eastAsia="Arial" w:hAnsi="Arial" w:cs="Arial"/>
        </w:rPr>
      </w:pPr>
      <w:bookmarkStart w:id="2" w:name="_Toc233302517"/>
      <w:r>
        <w:rPr>
          <w:rFonts w:ascii="Arial" w:eastAsia="Arial" w:hAnsi="Arial" w:cs="Arial"/>
        </w:rPr>
        <w:lastRenderedPageBreak/>
        <w:t>Opportunity from circularity</w:t>
      </w:r>
      <w:bookmarkEnd w:id="2"/>
    </w:p>
    <w:p w14:paraId="370CB27B" w14:textId="77777777" w:rsidR="00272E31" w:rsidRDefault="00486BA8">
      <w:pPr>
        <w:spacing w:line="360" w:lineRule="auto"/>
        <w:jc w:val="both"/>
        <w:rPr>
          <w:rFonts w:ascii="Arial" w:eastAsia="Arial" w:hAnsi="Arial" w:cs="Arial"/>
        </w:rPr>
      </w:pPr>
      <w:r>
        <w:rPr>
          <w:rFonts w:ascii="Arial" w:eastAsia="Arial" w:hAnsi="Arial" w:cs="Arial"/>
        </w:rPr>
        <w:t xml:space="preserve">This natural-environmental pressure also poses a growth opportunity for Tata Steel when it shifts its focus to lower emission steel products, which have higher customer acceptance, by using circularity. While IRENA also states that reducing the intensity of materials, using more scrap and introducing more resilient industrial ecosystems can be achieved through OECD circular-economy policies, the organisation also points to the need for alignment of scrap availability, clean electricity and industrial symbiosis for emissions to be reduced with the circular steel system (OECD, 2024a). </w:t>
      </w:r>
    </w:p>
    <w:p w14:paraId="7D27D6F2" w14:textId="77777777" w:rsidR="00272E31" w:rsidRDefault="00486BA8">
      <w:pPr>
        <w:spacing w:line="360" w:lineRule="auto"/>
        <w:jc w:val="both"/>
        <w:rPr>
          <w:rFonts w:ascii="Arial" w:eastAsia="Arial" w:hAnsi="Arial" w:cs="Arial"/>
        </w:rPr>
      </w:pPr>
      <w:r>
        <w:rPr>
          <w:rFonts w:ascii="Arial" w:eastAsia="Arial" w:hAnsi="Arial" w:cs="Arial"/>
        </w:rPr>
        <w:t>The value proposition is now starting to be commercially viable, as many of the surveyed buyers are willing to pay a premium for lower emission steel and concrete, particularly in instances where it is possible to be transparent about embodied carbon, and where procurement requirements are tightening (Climate Group and Ramboll, 2024). The message for Tata Steel is that environmental pressure is not just a cost of doing business – it's a segmentation and positioning variable that can help gain the trust of customers who are looking to be assured of decarbonisation progress in their own value chains (IRENA, 2023).</w:t>
      </w:r>
    </w:p>
    <w:p w14:paraId="7C6DFFF1" w14:textId="77777777" w:rsidR="00272E31" w:rsidRDefault="00486BA8">
      <w:pPr>
        <w:pStyle w:val="Heading2"/>
        <w:spacing w:before="240" w:after="240" w:line="360" w:lineRule="auto"/>
        <w:jc w:val="both"/>
        <w:rPr>
          <w:rFonts w:ascii="Arial" w:eastAsia="Arial" w:hAnsi="Arial" w:cs="Arial"/>
        </w:rPr>
      </w:pPr>
      <w:bookmarkStart w:id="3" w:name="_Toc233302518"/>
      <w:r>
        <w:rPr>
          <w:rFonts w:ascii="Arial" w:eastAsia="Arial" w:hAnsi="Arial" w:cs="Arial"/>
        </w:rPr>
        <w:t>Resource constraints</w:t>
      </w:r>
      <w:bookmarkEnd w:id="3"/>
    </w:p>
    <w:p w14:paraId="2300AE79" w14:textId="77777777" w:rsidR="00272E31" w:rsidRDefault="00486BA8">
      <w:pPr>
        <w:spacing w:line="360" w:lineRule="auto"/>
        <w:jc w:val="both"/>
        <w:rPr>
          <w:rFonts w:ascii="Arial" w:eastAsia="Arial" w:hAnsi="Arial" w:cs="Arial"/>
        </w:rPr>
      </w:pPr>
      <w:r>
        <w:rPr>
          <w:rFonts w:ascii="Arial" w:eastAsia="Arial" w:hAnsi="Arial" w:cs="Arial"/>
        </w:rPr>
        <w:t xml:space="preserve">However, the opportunity is limited by a physical reality: the transition to low-carbon steel is not an easy “replace this with that” process, but requires a mix of process innovation, electricity and scrap—the three ingredients that are not equally available. The current state of the supply and quality of scrap is cited as a major constraint to the decarbonisation of steelmaking on a global scale (Watari and McLellan, 2024), in particular for fast-growing economies where end-of-life scrap supply is still lower than primary steel demand. </w:t>
      </w:r>
    </w:p>
    <w:p w14:paraId="6C321D6A" w14:textId="77777777" w:rsidR="00272E31" w:rsidRDefault="00486BA8">
      <w:pPr>
        <w:spacing w:line="360" w:lineRule="auto"/>
        <w:jc w:val="both"/>
        <w:rPr>
          <w:rFonts w:ascii="Arial" w:eastAsia="Arial" w:hAnsi="Arial" w:cs="Arial"/>
        </w:rPr>
      </w:pPr>
      <w:r>
        <w:rPr>
          <w:rFonts w:ascii="Arial" w:eastAsia="Arial" w:hAnsi="Arial" w:cs="Arial"/>
        </w:rPr>
        <w:t>The OECD also highlights the importance of process feasibility alongside ambition when increasing circularity for steel, as the collection, sorting and demand for the material needs to be coordinated with policy and design (OECD, 2024a). To Tata Steel, this translates to the idea that if the company touts itself as “green steel,” it needs to back those claims with the ability to produce the steel as green as their claims, or else it risks overpromising on emissions performance and underdelivering on the industry's ability to produce steel (Tata Steel, 2025b).</w:t>
      </w:r>
    </w:p>
    <w:p w14:paraId="599F53F5" w14:textId="77777777" w:rsidR="00272E31" w:rsidRDefault="00486BA8">
      <w:pPr>
        <w:pStyle w:val="Heading1"/>
        <w:spacing w:before="240" w:after="240" w:line="360" w:lineRule="auto"/>
        <w:jc w:val="both"/>
        <w:rPr>
          <w:rFonts w:ascii="Arial" w:eastAsia="Arial" w:hAnsi="Arial" w:cs="Arial"/>
        </w:rPr>
      </w:pPr>
      <w:bookmarkStart w:id="4" w:name="_Toc233302519"/>
      <w:r>
        <w:rPr>
          <w:rFonts w:ascii="Arial" w:eastAsia="Arial" w:hAnsi="Arial" w:cs="Arial"/>
        </w:rPr>
        <w:lastRenderedPageBreak/>
        <w:t>Political, Regulatory and Stakeholder Environment</w:t>
      </w:r>
      <w:bookmarkEnd w:id="4"/>
    </w:p>
    <w:p w14:paraId="5064BFEF" w14:textId="58240088" w:rsidR="00272E31" w:rsidRDefault="00486BA8">
      <w:pPr>
        <w:spacing w:line="360" w:lineRule="auto"/>
        <w:jc w:val="both"/>
        <w:rPr>
          <w:rFonts w:ascii="Arial" w:eastAsia="Arial" w:hAnsi="Arial" w:cs="Arial"/>
        </w:rPr>
      </w:pPr>
      <w:r>
        <w:rPr>
          <w:rFonts w:ascii="Arial" w:eastAsia="Arial" w:hAnsi="Arial" w:cs="Arial"/>
        </w:rPr>
        <w:t xml:space="preserve">The other external influencing factors are the political, regulatory and stakeholder landscape, which is now influencing the economics of India's steel transition. Additionally, the </w:t>
      </w:r>
      <w:r w:rsidR="00E46F04">
        <w:rPr>
          <w:rFonts w:ascii="Arial" w:eastAsia="Arial" w:hAnsi="Arial" w:cs="Arial"/>
        </w:rPr>
        <w:t xml:space="preserve">India’s </w:t>
      </w:r>
      <w:r>
        <w:rPr>
          <w:rFonts w:ascii="Arial" w:eastAsia="Arial" w:hAnsi="Arial" w:cs="Arial"/>
        </w:rPr>
        <w:t xml:space="preserve">Ministry of Steel's 2025 roadmap clearly defines the greening as a sectoral transformation agenda and the Government's rules on reporting and incentives for greenhouse-gas reductions establish a more formal framework for the reporting process and emissions reduction incentives (Ministry of Steel, 2025). </w:t>
      </w:r>
    </w:p>
    <w:p w14:paraId="44241D2C" w14:textId="77777777" w:rsidR="00272E31" w:rsidRDefault="00486BA8">
      <w:pPr>
        <w:spacing w:line="360" w:lineRule="auto"/>
        <w:jc w:val="both"/>
        <w:rPr>
          <w:rFonts w:ascii="Arial" w:eastAsia="Arial" w:hAnsi="Arial" w:cs="Arial"/>
        </w:rPr>
      </w:pPr>
      <w:r>
        <w:rPr>
          <w:rFonts w:ascii="Arial" w:eastAsia="Arial" w:hAnsi="Arial" w:cs="Arial"/>
        </w:rPr>
        <w:t>This is important because the cost line of regulation is transforming, and regulation is now a market signal which encourages companies to seek ways to reduce their carbon footprint in production processes while penalising those that are unable to move beyond high-emission pathways (</w:t>
      </w:r>
      <w:proofErr w:type="spellStart"/>
      <w:r>
        <w:rPr>
          <w:rFonts w:ascii="Arial" w:eastAsia="Arial" w:hAnsi="Arial" w:cs="Arial"/>
        </w:rPr>
        <w:t>MoEFCC</w:t>
      </w:r>
      <w:proofErr w:type="spellEnd"/>
      <w:r>
        <w:rPr>
          <w:rFonts w:ascii="Arial" w:eastAsia="Arial" w:hAnsi="Arial" w:cs="Arial"/>
        </w:rPr>
        <w:t>, 2025). Policy design, therefore, impacts Tata Steel's choice of capital allocation given the risk that the cost of operation of a tonne of capacity created in a carbon-intensive configuration may become higher, the financing may become more challenging from an industrial buyer's perspective, and the same tonne may become less attractive over time (ICRIER, 2024).</w:t>
      </w:r>
    </w:p>
    <w:p w14:paraId="388009A9" w14:textId="15AAFFF7" w:rsidR="00272E31" w:rsidRDefault="00486BA8">
      <w:pPr>
        <w:spacing w:line="360" w:lineRule="auto"/>
        <w:jc w:val="both"/>
        <w:rPr>
          <w:rFonts w:ascii="Arial" w:eastAsia="Arial" w:hAnsi="Arial" w:cs="Arial"/>
        </w:rPr>
      </w:pPr>
      <w:r>
        <w:rPr>
          <w:rFonts w:ascii="Arial" w:eastAsia="Arial" w:hAnsi="Arial" w:cs="Arial"/>
        </w:rPr>
        <w:t>That policy logic is intensified by the pressure of the policy stakeholders. Tata Steel's involvement in global decarbonisation efforts demonstrates that investors, governments, and industrial customers are increasingly demanding credible transition plans, rather than merely a sustainability ‘</w:t>
      </w:r>
      <w:r w:rsidR="00F2546B">
        <w:rPr>
          <w:rFonts w:ascii="Arial" w:eastAsia="Arial" w:hAnsi="Arial" w:cs="Arial"/>
        </w:rPr>
        <w:t>speak’. This</w:t>
      </w:r>
      <w:r>
        <w:rPr>
          <w:rFonts w:ascii="Arial" w:eastAsia="Arial" w:hAnsi="Arial" w:cs="Arial"/>
        </w:rPr>
        <w:t xml:space="preserve"> demonstrates that investors, governments, and industrial customers are increasingly looking for credible transition plans, rather than simply a sustainability ‘speak' (Tata Steel, 2023a). The steel industry's decarbonisation journey will hinge on the pace at which companies integrate process innovation with the quality of disclosures and the credibility that their customers will place in their processes, especially as capital markets focus more on transition risk (CEEW, 2023). </w:t>
      </w:r>
    </w:p>
    <w:p w14:paraId="22FF68B8" w14:textId="77777777" w:rsidR="00272E31" w:rsidRDefault="00486BA8">
      <w:pPr>
        <w:spacing w:line="360" w:lineRule="auto"/>
        <w:jc w:val="both"/>
        <w:rPr>
          <w:rFonts w:ascii="Arial" w:eastAsia="Arial" w:hAnsi="Arial" w:cs="Arial"/>
        </w:rPr>
      </w:pPr>
      <w:r>
        <w:rPr>
          <w:rFonts w:ascii="Arial" w:eastAsia="Arial" w:hAnsi="Arial" w:cs="Arial"/>
        </w:rPr>
        <w:t>The demand from customers is also evolving as procurement research shows that many customers now consider data on embodied carbon as a part of their procurement criteria, particularly for export-based supply chains where low emission material can act as a complementary sustainability argument (WWF-India, 2024).</w:t>
      </w:r>
    </w:p>
    <w:p w14:paraId="3B6129E5" w14:textId="77777777" w:rsidR="00272E31" w:rsidRDefault="00486BA8">
      <w:pPr>
        <w:spacing w:line="360" w:lineRule="auto"/>
        <w:jc w:val="both"/>
        <w:rPr>
          <w:rFonts w:ascii="Arial" w:eastAsia="Arial" w:hAnsi="Arial" w:cs="Arial"/>
        </w:rPr>
      </w:pPr>
      <w:r>
        <w:br w:type="page"/>
      </w:r>
    </w:p>
    <w:p w14:paraId="199101DF" w14:textId="77777777" w:rsidR="00272E31" w:rsidRDefault="00486BA8">
      <w:pPr>
        <w:pStyle w:val="Heading1"/>
        <w:spacing w:before="240" w:after="240" w:line="360" w:lineRule="auto"/>
        <w:jc w:val="both"/>
        <w:rPr>
          <w:rFonts w:ascii="Arial" w:eastAsia="Arial" w:hAnsi="Arial" w:cs="Arial"/>
        </w:rPr>
      </w:pPr>
      <w:bookmarkStart w:id="5" w:name="_Toc233302520"/>
      <w:r>
        <w:rPr>
          <w:rFonts w:ascii="Arial" w:eastAsia="Arial" w:hAnsi="Arial" w:cs="Arial"/>
        </w:rPr>
        <w:lastRenderedPageBreak/>
        <w:t>Task 2: Strategic Growth and Competitive Positioning</w:t>
      </w:r>
      <w:bookmarkEnd w:id="5"/>
    </w:p>
    <w:p w14:paraId="6B018D05" w14:textId="77777777" w:rsidR="00272E31" w:rsidRDefault="00486BA8">
      <w:pPr>
        <w:pStyle w:val="Heading2"/>
        <w:spacing w:before="240" w:after="240" w:line="360" w:lineRule="auto"/>
        <w:jc w:val="both"/>
        <w:rPr>
          <w:rFonts w:ascii="Arial" w:eastAsia="Arial" w:hAnsi="Arial" w:cs="Arial"/>
        </w:rPr>
      </w:pPr>
      <w:bookmarkStart w:id="6" w:name="_Toc233302521"/>
      <w:r>
        <w:rPr>
          <w:rFonts w:ascii="Arial" w:eastAsia="Arial" w:hAnsi="Arial" w:cs="Arial"/>
        </w:rPr>
        <w:t>Ansoff Matrix Recommendation</w:t>
      </w:r>
      <w:bookmarkEnd w:id="6"/>
    </w:p>
    <w:p w14:paraId="358BDDD2" w14:textId="77777777" w:rsidR="00272E31" w:rsidRDefault="00486BA8">
      <w:pPr>
        <w:spacing w:line="360" w:lineRule="auto"/>
        <w:jc w:val="both"/>
        <w:rPr>
          <w:rFonts w:ascii="Arial" w:eastAsia="Arial" w:hAnsi="Arial" w:cs="Arial"/>
        </w:rPr>
      </w:pPr>
      <w:r>
        <w:rPr>
          <w:rFonts w:ascii="Arial" w:eastAsia="Arial" w:hAnsi="Arial" w:cs="Arial"/>
        </w:rPr>
        <w:t xml:space="preserve">The Ansoff Matrix is the right lens for growth because Tata Steel is not playing both sides – growth vs decarbonisation – but only looking at which side of the coin of growth can be made economically viable with decarbonisation. In the context of strategic growth theory, it is important to consider product development and market development rather than related diversification when capabilities are still valuable, but diversification is not occurring when the uncertainty is high (CFI, 2025). </w:t>
      </w:r>
    </w:p>
    <w:p w14:paraId="51C9956F" w14:textId="77777777" w:rsidR="00272E31" w:rsidRDefault="00486BA8">
      <w:pPr>
        <w:spacing w:line="360" w:lineRule="auto"/>
        <w:jc w:val="both"/>
        <w:rPr>
          <w:rFonts w:ascii="Arial" w:eastAsia="Arial" w:hAnsi="Arial" w:cs="Arial"/>
        </w:rPr>
      </w:pPr>
      <w:r>
        <w:rPr>
          <w:rFonts w:ascii="Arial" w:eastAsia="Arial" w:hAnsi="Arial" w:cs="Arial"/>
        </w:rPr>
        <w:t>That logic is particularly applicable here as there is the possibility, using AI-assisted drafting and uncritical reuse of templates, to produce a report which sounds coherent, but is factually or conceptually inaccurate, with recent studies into generative AI hallucination revealing that a fluent output can be factually or conceptually incorrect unless the analyst is disciplined to check the output explicitly (</w:t>
      </w:r>
      <w:proofErr w:type="spellStart"/>
      <w:r>
        <w:rPr>
          <w:rFonts w:ascii="Arial" w:eastAsia="Arial" w:hAnsi="Arial" w:cs="Arial"/>
        </w:rPr>
        <w:t>Puyt</w:t>
      </w:r>
      <w:proofErr w:type="spellEnd"/>
      <w:r>
        <w:rPr>
          <w:rFonts w:ascii="Arial" w:eastAsia="Arial" w:hAnsi="Arial" w:cs="Arial"/>
        </w:rPr>
        <w:t xml:space="preserve"> and Madsen, 2024). </w:t>
      </w:r>
    </w:p>
    <w:p w14:paraId="3D769C7D" w14:textId="77777777" w:rsidR="00272E31" w:rsidRDefault="00486BA8">
      <w:pPr>
        <w:spacing w:line="360" w:lineRule="auto"/>
        <w:jc w:val="both"/>
        <w:rPr>
          <w:rFonts w:ascii="Arial" w:eastAsia="Arial" w:hAnsi="Arial" w:cs="Arial"/>
        </w:rPr>
      </w:pPr>
      <w:r>
        <w:rPr>
          <w:rFonts w:ascii="Arial" w:eastAsia="Arial" w:hAnsi="Arial" w:cs="Arial"/>
        </w:rPr>
        <w:t>The lesson for Tata Steel is obvious: the organisation needs to expand on its existing metallurgical expertise, rather than into unpredictable, unconnected new enterprises that spread out management's attention and the use of capital.</w:t>
      </w:r>
    </w:p>
    <w:tbl>
      <w:tblPr>
        <w:tblStyle w:val="a"/>
        <w:tblW w:w="9016"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3004"/>
        <w:gridCol w:w="3006"/>
        <w:gridCol w:w="3006"/>
      </w:tblGrid>
      <w:tr w:rsidR="00272E31" w:rsidRPr="008B392B" w14:paraId="75FEF1AA" w14:textId="77777777" w:rsidTr="00272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4" w:type="dxa"/>
          </w:tcPr>
          <w:p w14:paraId="0A5E4719" w14:textId="77777777" w:rsidR="00272E31" w:rsidRPr="008B392B" w:rsidRDefault="00272E31">
            <w:pPr>
              <w:spacing w:line="360" w:lineRule="auto"/>
              <w:jc w:val="both"/>
              <w:rPr>
                <w:rFonts w:ascii="Arial" w:eastAsia="Arial" w:hAnsi="Arial" w:cs="Arial"/>
                <w:sz w:val="22"/>
                <w:szCs w:val="22"/>
              </w:rPr>
            </w:pPr>
          </w:p>
        </w:tc>
        <w:tc>
          <w:tcPr>
            <w:tcW w:w="3006" w:type="dxa"/>
          </w:tcPr>
          <w:p w14:paraId="5DDA3BD5" w14:textId="77777777" w:rsidR="00272E31" w:rsidRPr="008B392B" w:rsidRDefault="00486B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Existing markets</w:t>
            </w:r>
          </w:p>
        </w:tc>
        <w:tc>
          <w:tcPr>
            <w:tcW w:w="3006" w:type="dxa"/>
          </w:tcPr>
          <w:p w14:paraId="18364B99" w14:textId="77777777" w:rsidR="00272E31" w:rsidRPr="008B392B" w:rsidRDefault="00486B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New markets</w:t>
            </w:r>
          </w:p>
        </w:tc>
      </w:tr>
      <w:tr w:rsidR="00272E31" w:rsidRPr="008B392B" w14:paraId="76DB618C" w14:textId="77777777" w:rsidTr="00272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4" w:type="dxa"/>
          </w:tcPr>
          <w:p w14:paraId="5089F2BB" w14:textId="77777777" w:rsidR="00272E31" w:rsidRPr="008B392B" w:rsidRDefault="00486BA8">
            <w:pPr>
              <w:spacing w:line="360" w:lineRule="auto"/>
              <w:jc w:val="both"/>
              <w:rPr>
                <w:rFonts w:ascii="Arial" w:eastAsia="Arial" w:hAnsi="Arial" w:cs="Arial"/>
                <w:sz w:val="22"/>
                <w:szCs w:val="22"/>
              </w:rPr>
            </w:pPr>
            <w:r w:rsidRPr="008B392B">
              <w:rPr>
                <w:rFonts w:ascii="Arial" w:eastAsia="Arial" w:hAnsi="Arial" w:cs="Arial"/>
                <w:sz w:val="22"/>
                <w:szCs w:val="22"/>
              </w:rPr>
              <w:t>Existing products</w:t>
            </w:r>
          </w:p>
        </w:tc>
        <w:tc>
          <w:tcPr>
            <w:tcW w:w="3006" w:type="dxa"/>
          </w:tcPr>
          <w:p w14:paraId="5731C008" w14:textId="77777777" w:rsidR="00272E31" w:rsidRPr="008B392B" w:rsidRDefault="00486BA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Market penetration</w:t>
            </w:r>
            <w:r w:rsidRPr="008B392B">
              <w:rPr>
                <w:rFonts w:ascii="Arial" w:eastAsia="Arial" w:hAnsi="Arial" w:cs="Arial"/>
                <w:sz w:val="22"/>
                <w:szCs w:val="22"/>
              </w:rPr>
              <w:br/>
              <w:t>Improve share in current steel segments through lower-carbon credentials and process efficiency.</w:t>
            </w:r>
          </w:p>
        </w:tc>
        <w:tc>
          <w:tcPr>
            <w:tcW w:w="3006" w:type="dxa"/>
          </w:tcPr>
          <w:p w14:paraId="2AA0D36A" w14:textId="77777777" w:rsidR="00272E31" w:rsidRPr="008B392B" w:rsidRDefault="00486BA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Market development</w:t>
            </w:r>
            <w:r w:rsidRPr="008B392B">
              <w:rPr>
                <w:rFonts w:ascii="Arial" w:eastAsia="Arial" w:hAnsi="Arial" w:cs="Arial"/>
                <w:sz w:val="22"/>
                <w:szCs w:val="22"/>
              </w:rPr>
              <w:br/>
              <w:t>Sell certified lower-emission steel into new procurement-led segments and export markets.</w:t>
            </w:r>
          </w:p>
        </w:tc>
      </w:tr>
      <w:tr w:rsidR="00272E31" w:rsidRPr="008B392B" w14:paraId="1B81DC49" w14:textId="77777777" w:rsidTr="00272E31">
        <w:tc>
          <w:tcPr>
            <w:cnfStyle w:val="001000000000" w:firstRow="0" w:lastRow="0" w:firstColumn="1" w:lastColumn="0" w:oddVBand="0" w:evenVBand="0" w:oddHBand="0" w:evenHBand="0" w:firstRowFirstColumn="0" w:firstRowLastColumn="0" w:lastRowFirstColumn="0" w:lastRowLastColumn="0"/>
            <w:tcW w:w="3004" w:type="dxa"/>
          </w:tcPr>
          <w:p w14:paraId="593A221B" w14:textId="77777777" w:rsidR="00272E31" w:rsidRPr="008B392B" w:rsidRDefault="00486BA8">
            <w:pPr>
              <w:spacing w:line="360" w:lineRule="auto"/>
              <w:jc w:val="both"/>
              <w:rPr>
                <w:rFonts w:ascii="Arial" w:eastAsia="Arial" w:hAnsi="Arial" w:cs="Arial"/>
                <w:sz w:val="22"/>
                <w:szCs w:val="22"/>
              </w:rPr>
            </w:pPr>
            <w:r w:rsidRPr="008B392B">
              <w:rPr>
                <w:rFonts w:ascii="Arial" w:eastAsia="Arial" w:hAnsi="Arial" w:cs="Arial"/>
                <w:sz w:val="22"/>
                <w:szCs w:val="22"/>
              </w:rPr>
              <w:t>New products</w:t>
            </w:r>
          </w:p>
        </w:tc>
        <w:tc>
          <w:tcPr>
            <w:tcW w:w="3006" w:type="dxa"/>
          </w:tcPr>
          <w:p w14:paraId="263B5587" w14:textId="77777777" w:rsidR="00272E31" w:rsidRPr="008B392B" w:rsidRDefault="00486BA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Product development</w:t>
            </w:r>
            <w:r w:rsidRPr="008B392B">
              <w:rPr>
                <w:rFonts w:ascii="Arial" w:eastAsia="Arial" w:hAnsi="Arial" w:cs="Arial"/>
                <w:sz w:val="22"/>
                <w:szCs w:val="22"/>
              </w:rPr>
              <w:br/>
              <w:t>Commercialise scrap-based EAF, green steel grades and low-carbon downstream products.</w:t>
            </w:r>
          </w:p>
        </w:tc>
        <w:tc>
          <w:tcPr>
            <w:tcW w:w="3006" w:type="dxa"/>
          </w:tcPr>
          <w:p w14:paraId="4D4CEF36" w14:textId="77777777" w:rsidR="00272E31" w:rsidRPr="008B392B" w:rsidRDefault="00486BA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8B392B">
              <w:rPr>
                <w:rFonts w:ascii="Arial" w:eastAsia="Arial" w:hAnsi="Arial" w:cs="Arial"/>
                <w:sz w:val="22"/>
                <w:szCs w:val="22"/>
              </w:rPr>
              <w:t>Diversification</w:t>
            </w:r>
            <w:r w:rsidRPr="008B392B">
              <w:rPr>
                <w:rFonts w:ascii="Arial" w:eastAsia="Arial" w:hAnsi="Arial" w:cs="Arial"/>
                <w:sz w:val="22"/>
                <w:szCs w:val="22"/>
              </w:rPr>
              <w:br/>
              <w:t>Avoid as a primary growth route because it would dilute capital and transition focus.</w:t>
            </w:r>
          </w:p>
        </w:tc>
      </w:tr>
    </w:tbl>
    <w:p w14:paraId="1484B6F9" w14:textId="2095405D" w:rsidR="00272E31" w:rsidRDefault="00486BA8" w:rsidP="008B392B">
      <w:pPr>
        <w:spacing w:line="360" w:lineRule="auto"/>
        <w:jc w:val="center"/>
        <w:rPr>
          <w:rFonts w:ascii="Arial" w:eastAsia="Arial" w:hAnsi="Arial" w:cs="Arial"/>
        </w:rPr>
      </w:pPr>
      <w:r>
        <w:rPr>
          <w:rFonts w:ascii="Arial" w:eastAsia="Arial" w:hAnsi="Arial" w:cs="Arial"/>
        </w:rPr>
        <w:t>Figure 1: Ansoff Matrix</w:t>
      </w:r>
      <w:r w:rsidR="008B392B">
        <w:rPr>
          <w:rFonts w:ascii="Arial" w:eastAsia="Arial" w:hAnsi="Arial" w:cs="Arial"/>
        </w:rPr>
        <w:t xml:space="preserve"> </w:t>
      </w:r>
      <w:r>
        <w:rPr>
          <w:rFonts w:ascii="Arial" w:eastAsia="Arial" w:hAnsi="Arial" w:cs="Arial"/>
        </w:rPr>
        <w:t>(Source: Author)</w:t>
      </w:r>
    </w:p>
    <w:p w14:paraId="426C1A5D" w14:textId="77777777" w:rsidR="00272E31" w:rsidRDefault="00486BA8">
      <w:pPr>
        <w:spacing w:line="360" w:lineRule="auto"/>
        <w:jc w:val="both"/>
        <w:rPr>
          <w:rFonts w:ascii="Arial" w:eastAsia="Arial" w:hAnsi="Arial" w:cs="Arial"/>
        </w:rPr>
      </w:pPr>
      <w:r>
        <w:rPr>
          <w:rFonts w:ascii="Arial" w:eastAsia="Arial" w:hAnsi="Arial" w:cs="Arial"/>
        </w:rPr>
        <w:lastRenderedPageBreak/>
        <w:t>It shows that product development is the preferred growth strategy for Tata Steel, while market development is the preferred complementary growth strategy, and diversification is to be considered as a secondary growth strategy until the Tata Steel core low carbon platform is scaled up (CFI, 2025). That is very much in line with Tata Steel's own transition story, where lower carbon-based products and lines are first considered, with process innovation that comes before any significant drive for new, unrelated businesses (Tata Steel, 2025a).</w:t>
      </w:r>
    </w:p>
    <w:p w14:paraId="483C4C8F" w14:textId="77777777" w:rsidR="00272E31" w:rsidRDefault="00486BA8">
      <w:pPr>
        <w:rPr>
          <w:rFonts w:ascii="Arial" w:eastAsia="Arial" w:hAnsi="Arial" w:cs="Arial"/>
          <w:b/>
          <w:bCs/>
          <w:color w:val="000000"/>
        </w:rPr>
      </w:pPr>
      <w:r>
        <w:rPr>
          <w:rFonts w:ascii="Arial" w:eastAsia="Arial" w:hAnsi="Arial" w:cs="Arial"/>
          <w:b/>
          <w:bCs/>
          <w:color w:val="000000"/>
        </w:rPr>
        <w:t>Product development</w:t>
      </w:r>
    </w:p>
    <w:p w14:paraId="4C51DD92" w14:textId="77777777" w:rsidR="00272E31" w:rsidRDefault="00486BA8">
      <w:pPr>
        <w:spacing w:line="360" w:lineRule="auto"/>
        <w:jc w:val="both"/>
        <w:rPr>
          <w:rFonts w:ascii="Arial" w:eastAsia="Arial" w:hAnsi="Arial" w:cs="Arial"/>
        </w:rPr>
      </w:pPr>
      <w:r>
        <w:rPr>
          <w:rFonts w:ascii="Arial" w:eastAsia="Arial" w:hAnsi="Arial" w:cs="Arial"/>
        </w:rPr>
        <w:t xml:space="preserve">The most defensible first step is product development, since Tata Steel already has the industrial capacity to make a transition to a mix of products that will reduce its current carbon footprint while it maintains its core product. Its 2026 scrap-based electric arc furnace in Ludhiana is strategically important as it is built with 100 per cent of scrap and low carbon power integration, which will directly benefit the low emission steel proposition with domestic customers (Tata Steel, 2026a). </w:t>
      </w:r>
    </w:p>
    <w:p w14:paraId="7BADF8C9" w14:textId="77777777" w:rsidR="00272E31" w:rsidRDefault="00486BA8">
      <w:pPr>
        <w:spacing w:line="360" w:lineRule="auto"/>
        <w:jc w:val="both"/>
        <w:rPr>
          <w:rFonts w:ascii="Arial" w:eastAsia="Arial" w:hAnsi="Arial" w:cs="Arial"/>
        </w:rPr>
      </w:pPr>
      <w:r>
        <w:rPr>
          <w:rFonts w:ascii="Arial" w:eastAsia="Arial" w:hAnsi="Arial" w:cs="Arial"/>
        </w:rPr>
        <w:t>The partnership between the company and SMS group takes the next step by focusing on a process innovation pathway that has the potential to substantially decrease emissions intensity in primary steelmaking and not just based on incremental efficiencies (Tata Steel, 2026b). It is also in line with recent evidence that circular-economy strategies work best when they are translated into actual product redesigns, rather than mere marketing slogans, and when they are tied to tangible product measures, like embodied-carbon reduction or traceability (IRENA, 2023).</w:t>
      </w:r>
    </w:p>
    <w:p w14:paraId="5C2E338D" w14:textId="77777777" w:rsidR="00272E31" w:rsidRDefault="00486BA8">
      <w:pPr>
        <w:rPr>
          <w:rFonts w:ascii="Arial" w:eastAsia="Arial" w:hAnsi="Arial" w:cs="Arial"/>
          <w:b/>
          <w:bCs/>
        </w:rPr>
      </w:pPr>
      <w:r>
        <w:rPr>
          <w:rFonts w:ascii="Arial" w:eastAsia="Arial" w:hAnsi="Arial" w:cs="Arial"/>
          <w:b/>
          <w:bCs/>
        </w:rPr>
        <w:t>Market development</w:t>
      </w:r>
    </w:p>
    <w:p w14:paraId="737C7DDD" w14:textId="77777777" w:rsidR="00272E31" w:rsidRDefault="00486BA8">
      <w:pPr>
        <w:spacing w:line="360" w:lineRule="auto"/>
        <w:jc w:val="both"/>
        <w:rPr>
          <w:rFonts w:ascii="Arial" w:eastAsia="Arial" w:hAnsi="Arial" w:cs="Arial"/>
        </w:rPr>
      </w:pPr>
      <w:r>
        <w:rPr>
          <w:rFonts w:ascii="Arial" w:eastAsia="Arial" w:hAnsi="Arial" w:cs="Arial"/>
        </w:rPr>
        <w:t xml:space="preserve">Market development should follow product development, only in those market segments where low carbon differentiation is a credible strategy and not in market segments where it is the lowest cost, commodity supplier. The shift in Tata Steel product strategy towards premium lower carbon products suggests market expansion should be targeted at customers in the construction, auto, infrastructure and export supply chains where embodied carbon is a part of procurement logic (Tata Steel, 2025a). </w:t>
      </w:r>
    </w:p>
    <w:p w14:paraId="09F578BB" w14:textId="77777777" w:rsidR="00272E31" w:rsidRDefault="00486BA8">
      <w:pPr>
        <w:spacing w:line="360" w:lineRule="auto"/>
        <w:jc w:val="both"/>
        <w:rPr>
          <w:rFonts w:ascii="Arial" w:eastAsia="Arial" w:hAnsi="Arial" w:cs="Arial"/>
        </w:rPr>
      </w:pPr>
      <w:r>
        <w:rPr>
          <w:rFonts w:ascii="Arial" w:eastAsia="Arial" w:hAnsi="Arial" w:cs="Arial"/>
        </w:rPr>
        <w:lastRenderedPageBreak/>
        <w:t>A recent survey of buyers revealed that many organisations would pay a higher price for lower emission steel if it was certified and the procurement chain was trusted – indicating that there is the potential for price premiums when trust and certification exist (Climate Group and Ramboll, 2024). In fact, WWF's green steel demand work highlights this as, where procurement teams explicitly feel pressure to reduce carbon, and they feel confident they can justify supplier change on both environmental and operational considerations, demand will be growing the strongest (WWF, 2024).</w:t>
      </w:r>
    </w:p>
    <w:p w14:paraId="292551B6" w14:textId="77777777" w:rsidR="00272E31" w:rsidRDefault="00486BA8">
      <w:pPr>
        <w:pStyle w:val="Heading2"/>
        <w:spacing w:before="240" w:after="240" w:line="360" w:lineRule="auto"/>
        <w:jc w:val="both"/>
        <w:rPr>
          <w:rFonts w:ascii="Arial" w:eastAsia="Arial" w:hAnsi="Arial" w:cs="Arial"/>
        </w:rPr>
      </w:pPr>
      <w:bookmarkStart w:id="7" w:name="_Toc233302522"/>
      <w:r>
        <w:rPr>
          <w:rFonts w:ascii="Arial" w:eastAsia="Arial" w:hAnsi="Arial" w:cs="Arial"/>
        </w:rPr>
        <w:t>Competitive Advantage Using Porter’s Generic Strategies</w:t>
      </w:r>
      <w:bookmarkEnd w:id="7"/>
    </w:p>
    <w:p w14:paraId="17BC7A4D" w14:textId="77777777" w:rsidR="00272E31" w:rsidRDefault="00486BA8">
      <w:pPr>
        <w:spacing w:line="360" w:lineRule="auto"/>
        <w:jc w:val="both"/>
        <w:rPr>
          <w:rFonts w:ascii="Arial" w:eastAsia="Arial" w:hAnsi="Arial" w:cs="Arial"/>
        </w:rPr>
      </w:pPr>
      <w:r>
        <w:rPr>
          <w:rFonts w:ascii="Arial" w:eastAsia="Arial" w:hAnsi="Arial" w:cs="Arial"/>
        </w:rPr>
        <w:t xml:space="preserve">The differentiation strategy is recommended by Porter's framework as Tata Steel is not in a pure cost leadership market, where the unit cost is the main consideration, but the market of "lower-carbon steel" is also about credibility, performance and assurance. Empirical strategy research reveals that differentiation can generate more performance effects when customer value is associated with product quality, reputation/switching costs, and a review of international companies verifies that environmental positioning can constitute a long-term source of competitive advantage when backed by the capability of the processes and disclosure quality (Islami et al., 2020). </w:t>
      </w:r>
    </w:p>
    <w:p w14:paraId="4D5F77E7" w14:textId="27AC014F" w:rsidR="004152D4" w:rsidRDefault="00486BA8">
      <w:pPr>
        <w:spacing w:line="360" w:lineRule="auto"/>
        <w:jc w:val="both"/>
        <w:rPr>
          <w:rFonts w:ascii="Arial" w:eastAsia="Arial" w:hAnsi="Arial" w:cs="Arial"/>
        </w:rPr>
      </w:pPr>
      <w:r>
        <w:rPr>
          <w:rFonts w:ascii="Arial" w:eastAsia="Arial" w:hAnsi="Arial" w:cs="Arial"/>
        </w:rPr>
        <w:t>A more recent strategy review comes to the same conclusion: companies that combine sustainability, innovation and operational discipline are positioned better to ensure margins in a competitive market, compared with companies that take a volume or price-driven approach (Acar, 2024). Differentiation, then, should be based on Tata Steel's products as certified low-emission steel, on reliable deliveries, on transparency of the process and on co-development with the customer, in addition to making cost efficiency a supporting enabler</w:t>
      </w:r>
      <w:r w:rsidR="00061B7A">
        <w:rPr>
          <w:rFonts w:ascii="Arial" w:eastAsia="Arial" w:hAnsi="Arial" w:cs="Arial"/>
        </w:rPr>
        <w:t xml:space="preserve"> </w:t>
      </w:r>
      <w:r>
        <w:rPr>
          <w:rFonts w:ascii="Arial" w:eastAsia="Arial" w:hAnsi="Arial" w:cs="Arial"/>
        </w:rPr>
        <w:t>rather than the main message (Tata Steel, 2025a).</w:t>
      </w:r>
      <w:r w:rsidR="00061B7A">
        <w:rPr>
          <w:rFonts w:ascii="Arial" w:eastAsia="Arial" w:hAnsi="Arial" w:cs="Arial"/>
        </w:rPr>
        <w:t xml:space="preserve"> </w:t>
      </w:r>
      <w:r w:rsidR="004152D4" w:rsidRPr="004152D4">
        <w:rPr>
          <w:rFonts w:ascii="Arial" w:eastAsia="Arial" w:hAnsi="Arial" w:cs="Arial"/>
        </w:rPr>
        <w:t xml:space="preserve">Appendix D </w:t>
      </w:r>
      <w:r w:rsidR="00061B7A">
        <w:rPr>
          <w:rFonts w:ascii="Arial" w:eastAsia="Arial" w:hAnsi="Arial" w:cs="Arial"/>
        </w:rPr>
        <w:t>more</w:t>
      </w:r>
      <w:r w:rsidR="004152D4" w:rsidRPr="004152D4">
        <w:rPr>
          <w:rFonts w:ascii="Arial" w:eastAsia="Arial" w:hAnsi="Arial" w:cs="Arial"/>
        </w:rPr>
        <w:t xml:space="preserve"> demonstrates Tata Steel's competitive landscape</w:t>
      </w:r>
      <w:r w:rsidR="00061B7A">
        <w:rPr>
          <w:rFonts w:ascii="Arial" w:eastAsia="Arial" w:hAnsi="Arial" w:cs="Arial"/>
        </w:rPr>
        <w:t xml:space="preserve"> as</w:t>
      </w:r>
      <w:r w:rsidR="004152D4" w:rsidRPr="004152D4">
        <w:rPr>
          <w:rFonts w:ascii="Arial" w:eastAsia="Arial" w:hAnsi="Arial" w:cs="Arial"/>
        </w:rPr>
        <w:t xml:space="preserve"> showing that the company competes with both domestic firms such as JSW Steel and SAIL and global players including ArcelorMittal and Nippon Steel, reinforcing the need for a differentiation strategy.</w:t>
      </w:r>
    </w:p>
    <w:p w14:paraId="5E3E1B76" w14:textId="77777777" w:rsidR="00272E31" w:rsidRDefault="00486BA8">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3F4D59B8" wp14:editId="1577B074">
            <wp:extent cx="5731510" cy="345630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3456305"/>
                    </a:xfrm>
                    <a:prstGeom prst="rect">
                      <a:avLst/>
                    </a:prstGeom>
                    <a:ln/>
                  </pic:spPr>
                </pic:pic>
              </a:graphicData>
            </a:graphic>
          </wp:inline>
        </w:drawing>
      </w:r>
    </w:p>
    <w:p w14:paraId="0FB061E6" w14:textId="77777777" w:rsidR="00272E31" w:rsidRDefault="00486BA8">
      <w:pPr>
        <w:spacing w:line="360" w:lineRule="auto"/>
        <w:jc w:val="center"/>
        <w:rPr>
          <w:rFonts w:ascii="Arial" w:eastAsia="Arial" w:hAnsi="Arial" w:cs="Arial"/>
          <w:b/>
          <w:bCs/>
        </w:rPr>
      </w:pPr>
      <w:r>
        <w:rPr>
          <w:rFonts w:ascii="Arial" w:eastAsia="Arial" w:hAnsi="Arial" w:cs="Arial"/>
          <w:b/>
          <w:bCs/>
        </w:rPr>
        <w:t>Figure 2: Porter’s Generic strategy</w:t>
      </w:r>
    </w:p>
    <w:p w14:paraId="7CA87AD6" w14:textId="77777777" w:rsidR="00272E31" w:rsidRDefault="00486BA8">
      <w:pPr>
        <w:spacing w:line="360" w:lineRule="auto"/>
        <w:jc w:val="center"/>
        <w:rPr>
          <w:rFonts w:ascii="Arial" w:eastAsia="Arial" w:hAnsi="Arial" w:cs="Arial"/>
        </w:rPr>
      </w:pPr>
      <w:r>
        <w:rPr>
          <w:rFonts w:ascii="Arial" w:eastAsia="Arial" w:hAnsi="Arial" w:cs="Arial"/>
        </w:rPr>
        <w:t>(Source: Author)</w:t>
      </w:r>
    </w:p>
    <w:p w14:paraId="667D4C1E" w14:textId="77777777" w:rsidR="00272E31" w:rsidRDefault="00486BA8">
      <w:pPr>
        <w:rPr>
          <w:rFonts w:ascii="Arial" w:eastAsia="Arial" w:hAnsi="Arial" w:cs="Arial"/>
          <w:b/>
          <w:bCs/>
          <w:color w:val="000000"/>
        </w:rPr>
      </w:pPr>
      <w:r>
        <w:rPr>
          <w:rFonts w:ascii="Arial" w:eastAsia="Arial" w:hAnsi="Arial" w:cs="Arial"/>
          <w:b/>
          <w:bCs/>
          <w:color w:val="000000"/>
        </w:rPr>
        <w:t>Prioritised metrics and implementation</w:t>
      </w:r>
    </w:p>
    <w:p w14:paraId="6FDDF5C9" w14:textId="77777777" w:rsidR="00272E31" w:rsidRDefault="00486BA8">
      <w:pPr>
        <w:spacing w:line="360" w:lineRule="auto"/>
        <w:jc w:val="both"/>
        <w:rPr>
          <w:rFonts w:ascii="Arial" w:eastAsia="Arial" w:hAnsi="Arial" w:cs="Arial"/>
        </w:rPr>
      </w:pPr>
      <w:r>
        <w:rPr>
          <w:rFonts w:ascii="Arial" w:eastAsia="Arial" w:hAnsi="Arial" w:cs="Arial"/>
        </w:rPr>
        <w:t xml:space="preserve">A feasible implementation plan should have a limited number of board-level KPIs that connect the dots between how well the transition is going and commercial output. The disclosures made by Tata Steel already yield the basis for this kind of scorecard, such as for climate capex, for recycling of scrap, and for emissions reduction measures under Scope 1, 2 and 3, as it enables management to differentiate between structural transition and cyclical production gains (Tata Steel, 2025b). </w:t>
      </w:r>
    </w:p>
    <w:p w14:paraId="312B0686" w14:textId="43224547" w:rsidR="00272E31" w:rsidRDefault="00486BA8">
      <w:pPr>
        <w:spacing w:line="360" w:lineRule="auto"/>
        <w:jc w:val="both"/>
        <w:rPr>
          <w:rFonts w:ascii="Arial" w:eastAsia="Arial" w:hAnsi="Arial" w:cs="Arial"/>
        </w:rPr>
      </w:pPr>
      <w:r>
        <w:rPr>
          <w:rFonts w:ascii="Arial" w:eastAsia="Arial" w:hAnsi="Arial" w:cs="Arial"/>
        </w:rPr>
        <w:t>The priority metrics should thus include the carbon intensity per tonne of steel, portion of steel produced from scrap, percentage of renewable electric power, at constrained sites water intensity and percentage of margin from lower-carbon products, as these reflect both environmental and market outcomes (Tata Steel, 2025a). Research on sector decarbonisation also reveals that the companies should be tracking external factors like electricity access, availability of scrap and policy readiness along with internal productivity, otherwise, they can find themselves with a ‘paper’ picture of decarbonisation that does not match the reality of their operations (CEEW, 2023).</w:t>
      </w:r>
      <w:r w:rsidR="00061B7A">
        <w:rPr>
          <w:rFonts w:ascii="Arial" w:eastAsia="Arial" w:hAnsi="Arial" w:cs="Arial"/>
        </w:rPr>
        <w:t xml:space="preserve"> </w:t>
      </w:r>
      <w:r w:rsidR="00061B7A" w:rsidRPr="00061B7A">
        <w:rPr>
          <w:rFonts w:ascii="Arial" w:eastAsia="Arial" w:hAnsi="Arial" w:cs="Arial"/>
        </w:rPr>
        <w:t xml:space="preserve">The </w:t>
      </w:r>
      <w:r w:rsidR="00EC5175">
        <w:rPr>
          <w:rFonts w:ascii="Arial" w:eastAsia="Arial" w:hAnsi="Arial" w:cs="Arial"/>
        </w:rPr>
        <w:lastRenderedPageBreak/>
        <w:t>decreasing</w:t>
      </w:r>
      <w:r w:rsidR="00061B7A" w:rsidRPr="00061B7A">
        <w:rPr>
          <w:rFonts w:ascii="Arial" w:eastAsia="Arial" w:hAnsi="Arial" w:cs="Arial"/>
        </w:rPr>
        <w:t xml:space="preserve"> carbon emissions intensity trend </w:t>
      </w:r>
      <w:r w:rsidR="00EC5175">
        <w:rPr>
          <w:rFonts w:ascii="Arial" w:eastAsia="Arial" w:hAnsi="Arial" w:cs="Arial"/>
        </w:rPr>
        <w:t>shown</w:t>
      </w:r>
      <w:r w:rsidR="00061B7A" w:rsidRPr="00061B7A">
        <w:rPr>
          <w:rFonts w:ascii="Arial" w:eastAsia="Arial" w:hAnsi="Arial" w:cs="Arial"/>
        </w:rPr>
        <w:t xml:space="preserve"> in Appendix C also indicates Tata Steel's progress towards sustainability objectives and supports its lower-carbon market positioning.</w:t>
      </w:r>
    </w:p>
    <w:p w14:paraId="5AA608BD" w14:textId="77777777" w:rsidR="00272E31" w:rsidRDefault="00486BA8">
      <w:pPr>
        <w:pStyle w:val="Heading1"/>
        <w:spacing w:before="240" w:after="240" w:line="360" w:lineRule="auto"/>
        <w:jc w:val="both"/>
        <w:rPr>
          <w:rFonts w:ascii="Arial" w:eastAsia="Arial" w:hAnsi="Arial" w:cs="Arial"/>
        </w:rPr>
      </w:pPr>
      <w:bookmarkStart w:id="8" w:name="_Toc233302523"/>
      <w:r>
        <w:rPr>
          <w:rFonts w:ascii="Arial" w:eastAsia="Arial" w:hAnsi="Arial" w:cs="Arial"/>
        </w:rPr>
        <w:t>Task 3: Critical Reflection on AI Usage</w:t>
      </w:r>
      <w:bookmarkEnd w:id="8"/>
    </w:p>
    <w:p w14:paraId="2EAA0E22" w14:textId="77777777" w:rsidR="00272E31" w:rsidRDefault="00486BA8">
      <w:pPr>
        <w:pStyle w:val="Heading2"/>
        <w:spacing w:before="240" w:after="240" w:line="360" w:lineRule="auto"/>
        <w:jc w:val="both"/>
        <w:rPr>
          <w:rFonts w:ascii="Arial" w:eastAsia="Arial" w:hAnsi="Arial" w:cs="Arial"/>
        </w:rPr>
      </w:pPr>
      <w:bookmarkStart w:id="9" w:name="_Toc233302524"/>
      <w:r>
        <w:rPr>
          <w:rFonts w:ascii="Arial" w:eastAsia="Arial" w:hAnsi="Arial" w:cs="Arial"/>
        </w:rPr>
        <w:t>Tool Disclosure</w:t>
      </w:r>
      <w:bookmarkEnd w:id="9"/>
    </w:p>
    <w:p w14:paraId="4CECEF2A" w14:textId="77777777" w:rsidR="00272E31" w:rsidRDefault="00486BA8">
      <w:pPr>
        <w:spacing w:line="360" w:lineRule="auto"/>
        <w:jc w:val="both"/>
        <w:rPr>
          <w:rFonts w:ascii="Arial" w:eastAsia="Arial" w:hAnsi="Arial" w:cs="Arial"/>
        </w:rPr>
      </w:pPr>
      <w:r>
        <w:rPr>
          <w:rFonts w:ascii="Arial" w:eastAsia="Arial" w:hAnsi="Arial" w:cs="Arial"/>
        </w:rPr>
        <w:t xml:space="preserve">This report is not intended to be a fact or strategy guide, but rather an assistance tool for research and drafting, using artificial intelligence. Out of the various functions, the most beneficial were those that enabled the discovery of sources and the refinement of outlines and language tightening, consistent with AI's role in enhancing productivity through assisting in making decisions rather than replacing them (Khalifa and </w:t>
      </w:r>
      <w:proofErr w:type="spellStart"/>
      <w:r>
        <w:rPr>
          <w:rFonts w:ascii="Arial" w:eastAsia="Arial" w:hAnsi="Arial" w:cs="Arial"/>
        </w:rPr>
        <w:t>Albadawy</w:t>
      </w:r>
      <w:proofErr w:type="spellEnd"/>
      <w:r>
        <w:rPr>
          <w:rFonts w:ascii="Arial" w:eastAsia="Arial" w:hAnsi="Arial" w:cs="Arial"/>
        </w:rPr>
        <w:t>, 2024). This is significant because of the recent evidence that LLM's can generate fluent but incomplete and inaccurate answers, particularly when tasked to synthesize expert content quickly and at scale (Jamaluddin et al., 2023). Therefore, to ensure every substantive claim is accurate, each claim was also checked against both disclosures made by Tata Steel and open-access academic reports and documents by the relevant government ministries and departments (Shao, 2025).</w:t>
      </w:r>
    </w:p>
    <w:p w14:paraId="389FFCAB" w14:textId="77777777" w:rsidR="00272E31" w:rsidRDefault="00486BA8">
      <w:pPr>
        <w:pStyle w:val="Heading2"/>
        <w:spacing w:before="240" w:after="240" w:line="360" w:lineRule="auto"/>
        <w:jc w:val="both"/>
        <w:rPr>
          <w:rFonts w:ascii="Arial" w:eastAsia="Arial" w:hAnsi="Arial" w:cs="Arial"/>
        </w:rPr>
      </w:pPr>
      <w:bookmarkStart w:id="10" w:name="_Toc233302525"/>
      <w:r>
        <w:rPr>
          <w:rFonts w:ascii="Arial" w:eastAsia="Arial" w:hAnsi="Arial" w:cs="Arial"/>
        </w:rPr>
        <w:t>Critical Evaluation of AI Output</w:t>
      </w:r>
      <w:bookmarkEnd w:id="10"/>
    </w:p>
    <w:p w14:paraId="6CAD00DD" w14:textId="77777777" w:rsidR="00272E31" w:rsidRDefault="00486BA8">
      <w:pPr>
        <w:spacing w:line="360" w:lineRule="auto"/>
        <w:jc w:val="both"/>
        <w:rPr>
          <w:rFonts w:ascii="Arial" w:eastAsia="Arial" w:hAnsi="Arial" w:cs="Arial"/>
        </w:rPr>
      </w:pPr>
      <w:r>
        <w:rPr>
          <w:rFonts w:ascii="Arial" w:eastAsia="Arial" w:hAnsi="Arial" w:cs="Arial"/>
        </w:rPr>
        <w:t>The suggestions created by AI were checked against primary and open access sources, and the ones without supporting or to which there is no primary source were dropped if they couldn't be supported with the evidence available or if the logic went beyond the available data. The verification step was important, because historical and factual accuracy testing reveals that generative systems are able to confidently generate misleading associations, especially when asked to summarise an understanding of the frame or source context without a specific discipline (</w:t>
      </w:r>
      <w:proofErr w:type="spellStart"/>
      <w:r>
        <w:rPr>
          <w:rFonts w:ascii="Arial" w:eastAsia="Arial" w:hAnsi="Arial" w:cs="Arial"/>
        </w:rPr>
        <w:t>Puyt</w:t>
      </w:r>
      <w:proofErr w:type="spellEnd"/>
      <w:r>
        <w:rPr>
          <w:rFonts w:ascii="Arial" w:eastAsia="Arial" w:hAnsi="Arial" w:cs="Arial"/>
        </w:rPr>
        <w:t xml:space="preserve"> and Madsen, 2024). </w:t>
      </w:r>
    </w:p>
    <w:p w14:paraId="440708D5" w14:textId="77777777" w:rsidR="00272E31" w:rsidRDefault="00486BA8">
      <w:pPr>
        <w:spacing w:line="360" w:lineRule="auto"/>
        <w:jc w:val="both"/>
        <w:rPr>
          <w:rFonts w:ascii="Arial" w:eastAsia="Arial" w:hAnsi="Arial" w:cs="Arial"/>
        </w:rPr>
      </w:pPr>
      <w:r>
        <w:rPr>
          <w:rFonts w:ascii="Arial" w:eastAsia="Arial" w:hAnsi="Arial" w:cs="Arial"/>
        </w:rPr>
        <w:t>The practical approach in this assignment was to use AI to support the scaffolding of the assignment, and then validate all the facts, policy references and strategic claims against the source before the final facts, policy references and strategic claims are kept in the final draft (Jamaluddin et al., 2023).</w:t>
      </w:r>
    </w:p>
    <w:p w14:paraId="5CEAB89B" w14:textId="77777777" w:rsidR="00272E31" w:rsidRDefault="00486BA8">
      <w:pPr>
        <w:pStyle w:val="Heading2"/>
        <w:spacing w:before="240" w:after="240" w:line="360" w:lineRule="auto"/>
        <w:jc w:val="both"/>
        <w:rPr>
          <w:rFonts w:ascii="Arial" w:eastAsia="Arial" w:hAnsi="Arial" w:cs="Arial"/>
        </w:rPr>
      </w:pPr>
      <w:bookmarkStart w:id="11" w:name="_Toc233302526"/>
      <w:r>
        <w:rPr>
          <w:rFonts w:ascii="Arial" w:eastAsia="Arial" w:hAnsi="Arial" w:cs="Arial"/>
        </w:rPr>
        <w:lastRenderedPageBreak/>
        <w:t>Contribution Analysis</w:t>
      </w:r>
      <w:bookmarkEnd w:id="11"/>
    </w:p>
    <w:p w14:paraId="33B8FB5C" w14:textId="5D6EF22E" w:rsidR="00272E31" w:rsidRDefault="00486BA8">
      <w:pPr>
        <w:spacing w:line="360" w:lineRule="auto"/>
        <w:jc w:val="both"/>
        <w:rPr>
          <w:rFonts w:ascii="Arial" w:eastAsia="Arial" w:hAnsi="Arial" w:cs="Arial"/>
        </w:rPr>
      </w:pPr>
      <w:r>
        <w:rPr>
          <w:rFonts w:ascii="Arial" w:eastAsia="Arial" w:hAnsi="Arial" w:cs="Arial"/>
        </w:rPr>
        <w:t xml:space="preserve">The AI role was thus a "support" role, not an "ownership" role. The boundary is also in line with the growing academic perspective that AI alone cannot be relied upon to interpret, weight evidence, and make a strategic decision or a judgment about the methodology, since human interpretation, evidence weighting, and methodological judgment still play a crucial role in the process of interpreting and using AI-generated text (Khalifa and </w:t>
      </w:r>
      <w:proofErr w:type="spellStart"/>
      <w:r>
        <w:rPr>
          <w:rFonts w:ascii="Arial" w:eastAsia="Arial" w:hAnsi="Arial" w:cs="Arial"/>
        </w:rPr>
        <w:t>Albadawy</w:t>
      </w:r>
      <w:proofErr w:type="spellEnd"/>
      <w:r>
        <w:rPr>
          <w:rFonts w:ascii="Arial" w:eastAsia="Arial" w:hAnsi="Arial" w:cs="Arial"/>
        </w:rPr>
        <w:t xml:space="preserve">, 2024). In essence, AI was used as a drafting tool, and the critical thinking, comparison of alternatives and recommendations were all original work done by the student, </w:t>
      </w:r>
      <w:r w:rsidR="00136F9C">
        <w:rPr>
          <w:rFonts w:ascii="Arial" w:eastAsia="Arial" w:hAnsi="Arial" w:cs="Arial"/>
        </w:rPr>
        <w:t>analysing</w:t>
      </w:r>
      <w:r>
        <w:rPr>
          <w:rFonts w:ascii="Arial" w:eastAsia="Arial" w:hAnsi="Arial" w:cs="Arial"/>
        </w:rPr>
        <w:t xml:space="preserve"> the case and sources (Jamaluddin et al., 2023).</w:t>
      </w:r>
    </w:p>
    <w:p w14:paraId="5A8FC539" w14:textId="77777777" w:rsidR="00272E31" w:rsidRDefault="00486BA8">
      <w:pPr>
        <w:pStyle w:val="Heading2"/>
        <w:spacing w:before="240" w:after="240" w:line="360" w:lineRule="auto"/>
        <w:jc w:val="both"/>
        <w:rPr>
          <w:rFonts w:ascii="Arial" w:eastAsia="Arial" w:hAnsi="Arial" w:cs="Arial"/>
        </w:rPr>
      </w:pPr>
      <w:bookmarkStart w:id="12" w:name="_Toc233302527"/>
      <w:r>
        <w:rPr>
          <w:rFonts w:ascii="Arial" w:eastAsia="Arial" w:hAnsi="Arial" w:cs="Arial"/>
        </w:rPr>
        <w:t>Ethical and Professional Reflection</w:t>
      </w:r>
      <w:bookmarkEnd w:id="12"/>
    </w:p>
    <w:p w14:paraId="588DFC83" w14:textId="77777777" w:rsidR="00272E31" w:rsidRDefault="00486BA8">
      <w:pPr>
        <w:spacing w:line="360" w:lineRule="auto"/>
        <w:jc w:val="both"/>
        <w:rPr>
          <w:rFonts w:ascii="Arial" w:eastAsia="Arial" w:hAnsi="Arial" w:cs="Arial"/>
        </w:rPr>
      </w:pPr>
      <w:r>
        <w:rPr>
          <w:rFonts w:ascii="Arial" w:eastAsia="Arial" w:hAnsi="Arial" w:cs="Arial"/>
        </w:rPr>
        <w:t>What matters ethically shifts from if AI entered the picture to how it played a role. Instead of focusing on mere presence, attention turns toward application - specifically, transparency around where material comes from. Clarity grows when origin points are named and checked carefully. Separating computer-made sentences from human thought avoids misleading outcomes in scholarly settings. Accuracy holds steady only when boundaries stay visible. (Sun et al., 2024). Thus, the professional standard is to use AI as a tool to help you be more productive, but not replace the use of judgment, evaluation of evidence or ethical responsibility (Jamaluddin et al., 2023).</w:t>
      </w:r>
    </w:p>
    <w:p w14:paraId="5A1D2181" w14:textId="77777777" w:rsidR="00272E31" w:rsidRDefault="00486BA8">
      <w:pPr>
        <w:spacing w:before="0" w:after="160" w:line="278" w:lineRule="auto"/>
        <w:rPr>
          <w:rFonts w:ascii="Arial" w:eastAsia="Arial" w:hAnsi="Arial" w:cs="Arial"/>
          <w:b/>
          <w:bCs/>
        </w:rPr>
      </w:pPr>
      <w:r>
        <w:br w:type="page"/>
      </w:r>
    </w:p>
    <w:p w14:paraId="2A9B2BA1" w14:textId="77777777" w:rsidR="00272E31" w:rsidRDefault="00486BA8">
      <w:pPr>
        <w:pStyle w:val="Heading1"/>
        <w:spacing w:before="240" w:after="240" w:line="360" w:lineRule="auto"/>
        <w:jc w:val="both"/>
        <w:rPr>
          <w:rFonts w:ascii="Arial" w:eastAsia="Arial" w:hAnsi="Arial" w:cs="Arial"/>
        </w:rPr>
      </w:pPr>
      <w:bookmarkStart w:id="13" w:name="_Toc233302528"/>
      <w:r>
        <w:rPr>
          <w:rFonts w:ascii="Arial" w:eastAsia="Arial" w:hAnsi="Arial" w:cs="Arial"/>
        </w:rPr>
        <w:lastRenderedPageBreak/>
        <w:t>References</w:t>
      </w:r>
      <w:bookmarkEnd w:id="13"/>
    </w:p>
    <w:p w14:paraId="49D5E1E7" w14:textId="77777777" w:rsidR="00964893" w:rsidRDefault="00964893">
      <w:pPr>
        <w:spacing w:line="360" w:lineRule="auto"/>
        <w:jc w:val="both"/>
        <w:rPr>
          <w:rFonts w:ascii="Arial" w:eastAsia="Arial" w:hAnsi="Arial" w:cs="Arial"/>
        </w:rPr>
      </w:pPr>
      <w:r>
        <w:rPr>
          <w:rFonts w:ascii="Arial" w:eastAsia="Arial" w:hAnsi="Arial" w:cs="Arial"/>
        </w:rPr>
        <w:t xml:space="preserve">Acar, S., 2024. A review of Porter’s generic strategies: Strategy examples in international firms. International Social Sciences Studies Journal, 10(11), pp.1902-1918. Available at: </w:t>
      </w:r>
      <w:hyperlink r:id="rId9">
        <w:r>
          <w:rPr>
            <w:rFonts w:ascii="Arial" w:eastAsia="Arial" w:hAnsi="Arial" w:cs="Arial"/>
            <w:color w:val="467886"/>
            <w:u w:val="single"/>
          </w:rPr>
          <w:t>https://sssjournal.com/files/sssjournal/e5935340-8b65-4cf6-a1c1-cf266026257d.pdf</w:t>
        </w:r>
      </w:hyperlink>
      <w:r>
        <w:rPr>
          <w:rFonts w:ascii="Arial" w:eastAsia="Arial" w:hAnsi="Arial" w:cs="Arial"/>
        </w:rPr>
        <w:t xml:space="preserve"> [Accessed: 18 June 2026].</w:t>
      </w:r>
    </w:p>
    <w:p w14:paraId="2D48259F" w14:textId="77777777" w:rsidR="00964893" w:rsidRDefault="00964893">
      <w:pPr>
        <w:spacing w:line="360" w:lineRule="auto"/>
        <w:jc w:val="both"/>
        <w:rPr>
          <w:rFonts w:ascii="Arial" w:eastAsia="Arial" w:hAnsi="Arial" w:cs="Arial"/>
        </w:rPr>
      </w:pPr>
      <w:r>
        <w:rPr>
          <w:rFonts w:ascii="Arial" w:eastAsia="Arial" w:hAnsi="Arial" w:cs="Arial"/>
        </w:rPr>
        <w:t xml:space="preserve">CEEW., 2023. How Can India Decarbonise for Net Zero Sustainable Steel Production? Available at: </w:t>
      </w:r>
      <w:hyperlink r:id="rId10">
        <w:r>
          <w:rPr>
            <w:rFonts w:ascii="Arial" w:eastAsia="Arial" w:hAnsi="Arial" w:cs="Arial"/>
            <w:color w:val="467886"/>
            <w:u w:val="single"/>
          </w:rPr>
          <w:t>https://www.ceew.in/sites/default/files/How-Can-India-Decarbonise-For-Net-Zero-Sustainable-Steel-Production-Industry.pdf</w:t>
        </w:r>
      </w:hyperlink>
      <w:r>
        <w:rPr>
          <w:rFonts w:ascii="Arial" w:eastAsia="Arial" w:hAnsi="Arial" w:cs="Arial"/>
        </w:rPr>
        <w:t xml:space="preserve"> [Accessed: 18 June 2026].</w:t>
      </w:r>
    </w:p>
    <w:p w14:paraId="43D82246" w14:textId="77777777" w:rsidR="00964893" w:rsidRDefault="00964893">
      <w:pPr>
        <w:spacing w:line="360" w:lineRule="auto"/>
        <w:jc w:val="both"/>
        <w:rPr>
          <w:rFonts w:ascii="Arial" w:eastAsia="Arial" w:hAnsi="Arial" w:cs="Arial"/>
        </w:rPr>
      </w:pPr>
      <w:r>
        <w:rPr>
          <w:rFonts w:ascii="Arial" w:eastAsia="Arial" w:hAnsi="Arial" w:cs="Arial"/>
        </w:rPr>
        <w:t xml:space="preserve">CFI., 2025. Ansoff Matrix. Available at: </w:t>
      </w:r>
      <w:hyperlink r:id="rId11">
        <w:r>
          <w:rPr>
            <w:rFonts w:ascii="Arial" w:eastAsia="Arial" w:hAnsi="Arial" w:cs="Arial"/>
            <w:color w:val="467886"/>
            <w:u w:val="single"/>
          </w:rPr>
          <w:t>https://corporatefinanceinstitute.com/resources/management/ansoff-matrix/</w:t>
        </w:r>
      </w:hyperlink>
      <w:r>
        <w:rPr>
          <w:rFonts w:ascii="Arial" w:eastAsia="Arial" w:hAnsi="Arial" w:cs="Arial"/>
        </w:rPr>
        <w:t xml:space="preserve"> [Accessed: 18 June 2026].</w:t>
      </w:r>
    </w:p>
    <w:p w14:paraId="55A7A547" w14:textId="77777777" w:rsidR="00964893" w:rsidRDefault="00964893">
      <w:pPr>
        <w:spacing w:line="360" w:lineRule="auto"/>
        <w:jc w:val="both"/>
        <w:rPr>
          <w:rFonts w:ascii="Arial" w:eastAsia="Arial" w:hAnsi="Arial" w:cs="Arial"/>
        </w:rPr>
      </w:pPr>
      <w:r>
        <w:rPr>
          <w:rFonts w:ascii="Arial" w:eastAsia="Arial" w:hAnsi="Arial" w:cs="Arial"/>
        </w:rPr>
        <w:t xml:space="preserve">Climate Group and Ramboll., 2024. The Steel and Concrete Transformation: 2024 market outlook on lower emission steel and concrete. Available at: </w:t>
      </w:r>
      <w:hyperlink r:id="rId12">
        <w:r>
          <w:rPr>
            <w:rFonts w:ascii="Arial" w:eastAsia="Arial" w:hAnsi="Arial" w:cs="Arial"/>
            <w:color w:val="467886"/>
            <w:u w:val="single"/>
          </w:rPr>
          <w:t>https://www.theclimategroup.org/steelzero-publications</w:t>
        </w:r>
      </w:hyperlink>
      <w:r>
        <w:rPr>
          <w:rFonts w:ascii="Arial" w:eastAsia="Arial" w:hAnsi="Arial" w:cs="Arial"/>
        </w:rPr>
        <w:t xml:space="preserve"> [Accessed: 18 June 2026].</w:t>
      </w:r>
    </w:p>
    <w:p w14:paraId="1B7C8A6F" w14:textId="77777777" w:rsidR="00964893" w:rsidRDefault="00964893">
      <w:pPr>
        <w:spacing w:line="360" w:lineRule="auto"/>
        <w:jc w:val="both"/>
        <w:rPr>
          <w:rFonts w:ascii="Arial" w:eastAsia="Arial" w:hAnsi="Arial" w:cs="Arial"/>
        </w:rPr>
      </w:pPr>
      <w:r>
        <w:rPr>
          <w:rFonts w:ascii="Arial" w:eastAsia="Arial" w:hAnsi="Arial" w:cs="Arial"/>
        </w:rPr>
        <w:t xml:space="preserve">ICRIER., 2024. Policy Landscape for Transition Towards Carbon Neutral Steel. Available at: </w:t>
      </w:r>
      <w:hyperlink r:id="rId13">
        <w:r>
          <w:rPr>
            <w:rFonts w:ascii="Arial" w:eastAsia="Arial" w:hAnsi="Arial" w:cs="Arial"/>
            <w:color w:val="467886"/>
            <w:u w:val="single"/>
          </w:rPr>
          <w:t>https://www.icrier.org/pdf/pb-33-Green-Steel.pdf</w:t>
        </w:r>
      </w:hyperlink>
      <w:r>
        <w:rPr>
          <w:rFonts w:ascii="Arial" w:eastAsia="Arial" w:hAnsi="Arial" w:cs="Arial"/>
        </w:rPr>
        <w:t xml:space="preserve"> [Accessed: 18 June 2026].</w:t>
      </w:r>
    </w:p>
    <w:p w14:paraId="13D77E8C" w14:textId="77777777" w:rsidR="00964893" w:rsidRDefault="00964893">
      <w:pPr>
        <w:spacing w:line="360" w:lineRule="auto"/>
        <w:jc w:val="both"/>
        <w:rPr>
          <w:rFonts w:ascii="Arial" w:eastAsia="Arial" w:hAnsi="Arial" w:cs="Arial"/>
        </w:rPr>
      </w:pPr>
      <w:r>
        <w:rPr>
          <w:rFonts w:ascii="Arial" w:eastAsia="Arial" w:hAnsi="Arial" w:cs="Arial"/>
        </w:rPr>
        <w:t xml:space="preserve">IRENA., 2023. Towards a circular steel industry. Available at: </w:t>
      </w:r>
      <w:hyperlink r:id="rId14">
        <w:r>
          <w:rPr>
            <w:rFonts w:ascii="Arial" w:eastAsia="Arial" w:hAnsi="Arial" w:cs="Arial"/>
            <w:color w:val="467886"/>
            <w:u w:val="single"/>
          </w:rPr>
          <w:t>https://www.irena.org/-/media/Files/IRENA/Agency/Publication/2023/Jul/IRENA_G20_circular-steel_industry_2023.pdf</w:t>
        </w:r>
      </w:hyperlink>
      <w:r>
        <w:rPr>
          <w:rFonts w:ascii="Arial" w:eastAsia="Arial" w:hAnsi="Arial" w:cs="Arial"/>
        </w:rPr>
        <w:t xml:space="preserve"> [Accessed: 18 June 2026].</w:t>
      </w:r>
    </w:p>
    <w:p w14:paraId="4D1E7981" w14:textId="77777777" w:rsidR="00964893" w:rsidRDefault="00964893">
      <w:pPr>
        <w:spacing w:line="360" w:lineRule="auto"/>
        <w:jc w:val="both"/>
        <w:rPr>
          <w:rFonts w:ascii="Arial" w:eastAsia="Arial" w:hAnsi="Arial" w:cs="Arial"/>
        </w:rPr>
      </w:pPr>
      <w:r>
        <w:rPr>
          <w:rFonts w:ascii="Arial" w:eastAsia="Arial" w:hAnsi="Arial" w:cs="Arial"/>
        </w:rPr>
        <w:t xml:space="preserve">Islami, X., Mustafa, N. and </w:t>
      </w:r>
      <w:proofErr w:type="spellStart"/>
      <w:r>
        <w:rPr>
          <w:rFonts w:ascii="Arial" w:eastAsia="Arial" w:hAnsi="Arial" w:cs="Arial"/>
        </w:rPr>
        <w:t>Latkovikj</w:t>
      </w:r>
      <w:proofErr w:type="spellEnd"/>
      <w:r>
        <w:rPr>
          <w:rFonts w:ascii="Arial" w:eastAsia="Arial" w:hAnsi="Arial" w:cs="Arial"/>
        </w:rPr>
        <w:t xml:space="preserve">, M.T., 2020. Linking Porter’s generic strategies to firm performance. Future Business Journal, 6, 3. Available at: </w:t>
      </w:r>
      <w:hyperlink r:id="rId15">
        <w:r>
          <w:rPr>
            <w:rFonts w:ascii="Arial" w:eastAsia="Arial" w:hAnsi="Arial" w:cs="Arial"/>
            <w:color w:val="467886"/>
            <w:u w:val="single"/>
          </w:rPr>
          <w:t>https://link.springer.com/article/10.1186/s43093-020-0009-1</w:t>
        </w:r>
      </w:hyperlink>
      <w:r>
        <w:rPr>
          <w:rFonts w:ascii="Arial" w:eastAsia="Arial" w:hAnsi="Arial" w:cs="Arial"/>
        </w:rPr>
        <w:t xml:space="preserve"> [Accessed: 18 June 2026].</w:t>
      </w:r>
    </w:p>
    <w:p w14:paraId="25282FFE" w14:textId="77777777" w:rsidR="00964893" w:rsidRDefault="00964893">
      <w:pPr>
        <w:spacing w:line="360" w:lineRule="auto"/>
        <w:jc w:val="both"/>
        <w:rPr>
          <w:rFonts w:ascii="Arial" w:eastAsia="Arial" w:hAnsi="Arial" w:cs="Arial"/>
        </w:rPr>
      </w:pPr>
      <w:r>
        <w:rPr>
          <w:rFonts w:ascii="Arial" w:eastAsia="Arial" w:hAnsi="Arial" w:cs="Arial"/>
        </w:rPr>
        <w:t xml:space="preserve">Jamaluddin, J., Gaffar, N.A. and Din, N.S.S., 2023. Hallucination: A key challenge to artificial intelligence-generated writing. Malaysian Family Physician, 18(3), 68. Available at: </w:t>
      </w:r>
      <w:hyperlink r:id="rId16">
        <w:r>
          <w:rPr>
            <w:rFonts w:ascii="Arial" w:eastAsia="Arial" w:hAnsi="Arial" w:cs="Arial"/>
            <w:color w:val="467886"/>
            <w:u w:val="single"/>
          </w:rPr>
          <w:t>https://e-mfp.org/wp-content/uploads/18.68.pdf</w:t>
        </w:r>
      </w:hyperlink>
      <w:r>
        <w:rPr>
          <w:rFonts w:ascii="Arial" w:eastAsia="Arial" w:hAnsi="Arial" w:cs="Arial"/>
        </w:rPr>
        <w:t xml:space="preserve"> [Accessed: 18 June 2026].</w:t>
      </w:r>
    </w:p>
    <w:p w14:paraId="11C5ECDB" w14:textId="77777777" w:rsidR="00964893" w:rsidRDefault="00964893">
      <w:pPr>
        <w:spacing w:line="360" w:lineRule="auto"/>
        <w:jc w:val="both"/>
        <w:rPr>
          <w:rFonts w:ascii="Arial" w:eastAsia="Arial" w:hAnsi="Arial" w:cs="Arial"/>
        </w:rPr>
      </w:pPr>
      <w:r>
        <w:rPr>
          <w:rFonts w:ascii="Arial" w:eastAsia="Arial" w:hAnsi="Arial" w:cs="Arial"/>
        </w:rPr>
        <w:lastRenderedPageBreak/>
        <w:t xml:space="preserve">Khalifa, M. and </w:t>
      </w:r>
      <w:proofErr w:type="spellStart"/>
      <w:r>
        <w:rPr>
          <w:rFonts w:ascii="Arial" w:eastAsia="Arial" w:hAnsi="Arial" w:cs="Arial"/>
        </w:rPr>
        <w:t>Albadawy</w:t>
      </w:r>
      <w:proofErr w:type="spellEnd"/>
      <w:r>
        <w:rPr>
          <w:rFonts w:ascii="Arial" w:eastAsia="Arial" w:hAnsi="Arial" w:cs="Arial"/>
        </w:rPr>
        <w:t xml:space="preserve">, M., 2024. Using artificial intelligence in academic writing and research: An essential productivity tool. Computer Methods and Programs in Biomedicine Update, 5, 100145. Available at: </w:t>
      </w:r>
      <w:hyperlink r:id="rId17">
        <w:r>
          <w:rPr>
            <w:rFonts w:ascii="Arial" w:eastAsia="Arial" w:hAnsi="Arial" w:cs="Arial"/>
            <w:color w:val="467886"/>
            <w:u w:val="single"/>
          </w:rPr>
          <w:t>https://doi.org/10.1016/j.cmpbup.2024.100145</w:t>
        </w:r>
      </w:hyperlink>
      <w:r>
        <w:rPr>
          <w:rFonts w:ascii="Arial" w:eastAsia="Arial" w:hAnsi="Arial" w:cs="Arial"/>
        </w:rPr>
        <w:t xml:space="preserve"> [Accessed: 18 June 2026].</w:t>
      </w:r>
    </w:p>
    <w:p w14:paraId="711C4F45" w14:textId="77777777" w:rsidR="00964893" w:rsidRDefault="00964893">
      <w:pPr>
        <w:spacing w:line="360" w:lineRule="auto"/>
        <w:jc w:val="both"/>
        <w:rPr>
          <w:rFonts w:ascii="Arial" w:eastAsia="Arial" w:hAnsi="Arial" w:cs="Arial"/>
        </w:rPr>
      </w:pPr>
      <w:r>
        <w:rPr>
          <w:rFonts w:ascii="Arial" w:eastAsia="Arial" w:hAnsi="Arial" w:cs="Arial"/>
        </w:rPr>
        <w:t xml:space="preserve">Ministry of Environment, Forest and Climate Change., 2025. Greenhouse Gases Emission Intensity Target Rules, 2025. Available at: </w:t>
      </w:r>
      <w:hyperlink r:id="rId18">
        <w:r>
          <w:rPr>
            <w:rFonts w:ascii="Arial" w:eastAsia="Arial" w:hAnsi="Arial" w:cs="Arial"/>
            <w:color w:val="467886"/>
            <w:u w:val="single"/>
          </w:rPr>
          <w:t>https://moef.gov.in/storage/tender/1745395105.pdf</w:t>
        </w:r>
      </w:hyperlink>
      <w:r>
        <w:rPr>
          <w:rFonts w:ascii="Arial" w:eastAsia="Arial" w:hAnsi="Arial" w:cs="Arial"/>
        </w:rPr>
        <w:t xml:space="preserve"> [Accessed: 18 June 2026].</w:t>
      </w:r>
    </w:p>
    <w:p w14:paraId="6619EF5E" w14:textId="77777777" w:rsidR="00964893" w:rsidRDefault="00964893">
      <w:pPr>
        <w:spacing w:line="360" w:lineRule="auto"/>
        <w:jc w:val="both"/>
        <w:rPr>
          <w:rFonts w:ascii="Arial" w:eastAsia="Arial" w:hAnsi="Arial" w:cs="Arial"/>
        </w:rPr>
      </w:pPr>
      <w:r>
        <w:rPr>
          <w:rFonts w:ascii="Arial" w:eastAsia="Arial" w:hAnsi="Arial" w:cs="Arial"/>
        </w:rPr>
        <w:t xml:space="preserve">Ministry of Steel., 2025. Greening the Steel Sector in India: Roadmap and Action Plan. Available at: </w:t>
      </w:r>
      <w:hyperlink r:id="rId19">
        <w:r>
          <w:rPr>
            <w:rFonts w:ascii="Arial" w:eastAsia="Arial" w:hAnsi="Arial" w:cs="Arial"/>
            <w:color w:val="467886"/>
            <w:u w:val="single"/>
          </w:rPr>
          <w:t>https://steel.gov.in/sites/default/files/2025-03/GSI%20Report.pdf</w:t>
        </w:r>
      </w:hyperlink>
      <w:r>
        <w:rPr>
          <w:rFonts w:ascii="Arial" w:eastAsia="Arial" w:hAnsi="Arial" w:cs="Arial"/>
        </w:rPr>
        <w:t xml:space="preserve"> [Accessed: 18 June 2026].</w:t>
      </w:r>
    </w:p>
    <w:p w14:paraId="0C00D92B" w14:textId="77777777" w:rsidR="00964893" w:rsidRDefault="00964893">
      <w:pPr>
        <w:spacing w:line="360" w:lineRule="auto"/>
        <w:jc w:val="both"/>
        <w:rPr>
          <w:rFonts w:ascii="Arial" w:eastAsia="Arial" w:hAnsi="Arial" w:cs="Arial"/>
        </w:rPr>
      </w:pPr>
      <w:r>
        <w:rPr>
          <w:rFonts w:ascii="Arial" w:eastAsia="Arial" w:hAnsi="Arial" w:cs="Arial"/>
        </w:rPr>
        <w:t xml:space="preserve">OECD., 2024a. Circular economy policies for steel decarbonisation. Available at: </w:t>
      </w:r>
      <w:hyperlink r:id="rId20">
        <w:r>
          <w:rPr>
            <w:rFonts w:ascii="Arial" w:eastAsia="Arial" w:hAnsi="Arial" w:cs="Arial"/>
            <w:color w:val="467886"/>
            <w:u w:val="single"/>
          </w:rPr>
          <w:t>https://www.oecd.org/content/dam/oecd/en/publications/reports/2024/12/circular-economy-policies-for-steel-decarbonisation_80056a49/4cfb485d-en.pdf</w:t>
        </w:r>
      </w:hyperlink>
      <w:r>
        <w:rPr>
          <w:rFonts w:ascii="Arial" w:eastAsia="Arial" w:hAnsi="Arial" w:cs="Arial"/>
        </w:rPr>
        <w:t xml:space="preserve"> [Accessed: 18 June 2026].</w:t>
      </w:r>
    </w:p>
    <w:p w14:paraId="17980F4E" w14:textId="77777777" w:rsidR="00964893" w:rsidRDefault="00964893">
      <w:pPr>
        <w:spacing w:line="360" w:lineRule="auto"/>
        <w:jc w:val="both"/>
        <w:rPr>
          <w:rFonts w:ascii="Arial" w:eastAsia="Arial" w:hAnsi="Arial" w:cs="Arial"/>
        </w:rPr>
      </w:pPr>
      <w:r>
        <w:rPr>
          <w:rFonts w:ascii="Arial" w:eastAsia="Arial" w:hAnsi="Arial" w:cs="Arial"/>
        </w:rPr>
        <w:t xml:space="preserve">OECD., 2024b. Addressing steel decarbonisation challenges for industry and policy. Available at: </w:t>
      </w:r>
      <w:hyperlink r:id="rId21">
        <w:r>
          <w:rPr>
            <w:rFonts w:ascii="Arial" w:eastAsia="Arial" w:hAnsi="Arial" w:cs="Arial"/>
            <w:color w:val="467886"/>
            <w:u w:val="single"/>
          </w:rPr>
          <w:t>https://www.oecd.org/en/publications/addressing-steel-decarbonisation-challenges-for-industry-and-policy_e6cb2f3c-en.html</w:t>
        </w:r>
      </w:hyperlink>
      <w:r>
        <w:rPr>
          <w:rFonts w:ascii="Arial" w:eastAsia="Arial" w:hAnsi="Arial" w:cs="Arial"/>
        </w:rPr>
        <w:t xml:space="preserve"> [Accessed: 18 June 2026].</w:t>
      </w:r>
    </w:p>
    <w:p w14:paraId="3F8FDE28" w14:textId="77777777" w:rsidR="00964893" w:rsidRDefault="00964893">
      <w:pPr>
        <w:spacing w:line="360" w:lineRule="auto"/>
        <w:jc w:val="both"/>
        <w:rPr>
          <w:rFonts w:ascii="Arial" w:eastAsia="Arial" w:hAnsi="Arial" w:cs="Arial"/>
        </w:rPr>
      </w:pPr>
      <w:r>
        <w:rPr>
          <w:rFonts w:ascii="Arial" w:eastAsia="Arial" w:hAnsi="Arial" w:cs="Arial"/>
        </w:rPr>
        <w:t xml:space="preserve">Puyt, R.W.R. and Madsen, D.O., 2024. Evaluating ChatGPT-4’s historical accuracy: a case study on the origins of SWOT analysis. Frontiers in Artificial Intelligence, 7, 1402047. Available at: </w:t>
      </w:r>
      <w:hyperlink r:id="rId22">
        <w:r>
          <w:rPr>
            <w:rFonts w:ascii="Arial" w:eastAsia="Arial" w:hAnsi="Arial" w:cs="Arial"/>
            <w:color w:val="467886"/>
            <w:u w:val="single"/>
          </w:rPr>
          <w:t>https://www.frontiersin.org/journals/artificial-intelligence/articles/10.3389/frai.2024.1402047/full</w:t>
        </w:r>
      </w:hyperlink>
      <w:r>
        <w:rPr>
          <w:rFonts w:ascii="Arial" w:eastAsia="Arial" w:hAnsi="Arial" w:cs="Arial"/>
        </w:rPr>
        <w:t xml:space="preserve"> [Accessed: 18 June 2026].</w:t>
      </w:r>
    </w:p>
    <w:p w14:paraId="0D4A6E90" w14:textId="77777777" w:rsidR="00964893" w:rsidRDefault="00964893">
      <w:pPr>
        <w:spacing w:line="360" w:lineRule="auto"/>
        <w:jc w:val="both"/>
        <w:rPr>
          <w:rFonts w:ascii="Arial" w:eastAsia="Arial" w:hAnsi="Arial" w:cs="Arial"/>
        </w:rPr>
      </w:pPr>
      <w:r>
        <w:rPr>
          <w:rFonts w:ascii="Arial" w:eastAsia="Arial" w:hAnsi="Arial" w:cs="Arial"/>
        </w:rPr>
        <w:t xml:space="preserve">Shao, A., 2025. New sources of inaccuracy? A conceptual framework for studying AI hallucinations. Harvard Kennedy School Misinformation Review. Available at: </w:t>
      </w:r>
      <w:hyperlink r:id="rId23">
        <w:r>
          <w:rPr>
            <w:rFonts w:ascii="Arial" w:eastAsia="Arial" w:hAnsi="Arial" w:cs="Arial"/>
            <w:color w:val="467886"/>
            <w:u w:val="single"/>
          </w:rPr>
          <w:t>https://misinforeview.hks.harvard.edu/article/new-sources-of-inaccuracy-a-conceptual-framework-for-studying-ai-hallucinations/</w:t>
        </w:r>
      </w:hyperlink>
      <w:r>
        <w:rPr>
          <w:rFonts w:ascii="Arial" w:eastAsia="Arial" w:hAnsi="Arial" w:cs="Arial"/>
        </w:rPr>
        <w:t xml:space="preserve"> [Accessed: 18 June 2026].</w:t>
      </w:r>
    </w:p>
    <w:p w14:paraId="7B804F78" w14:textId="77777777" w:rsidR="00964893" w:rsidRDefault="00964893">
      <w:pPr>
        <w:spacing w:line="360" w:lineRule="auto"/>
        <w:jc w:val="both"/>
        <w:rPr>
          <w:rFonts w:ascii="Arial" w:eastAsia="Arial" w:hAnsi="Arial" w:cs="Arial"/>
        </w:rPr>
      </w:pPr>
      <w:r>
        <w:rPr>
          <w:rFonts w:ascii="Arial" w:eastAsia="Arial" w:hAnsi="Arial" w:cs="Arial"/>
        </w:rPr>
        <w:t xml:space="preserve">Tata Steel., 2023a. Tata Steel joins UN initiative </w:t>
      </w:r>
      <w:proofErr w:type="spellStart"/>
      <w:r>
        <w:rPr>
          <w:rFonts w:ascii="Arial" w:eastAsia="Arial" w:hAnsi="Arial" w:cs="Arial"/>
        </w:rPr>
        <w:t>LeadIT</w:t>
      </w:r>
      <w:proofErr w:type="spellEnd"/>
      <w:r>
        <w:rPr>
          <w:rFonts w:ascii="Arial" w:eastAsia="Arial" w:hAnsi="Arial" w:cs="Arial"/>
        </w:rPr>
        <w:t xml:space="preserve"> to drive net-zero emissions in heavy industry. Available at: </w:t>
      </w:r>
      <w:hyperlink r:id="rId24">
        <w:r>
          <w:rPr>
            <w:rFonts w:ascii="Arial" w:eastAsia="Arial" w:hAnsi="Arial" w:cs="Arial"/>
            <w:color w:val="467886"/>
            <w:u w:val="single"/>
          </w:rPr>
          <w:t>https://www.tatasteel.com/newsroom/press-releases/india/2023/tata-steel-joins-un-initiative-leadit-to-drive-net-zero-emissions-in-heavy-industry/</w:t>
        </w:r>
      </w:hyperlink>
      <w:r>
        <w:rPr>
          <w:rFonts w:ascii="Arial" w:eastAsia="Arial" w:hAnsi="Arial" w:cs="Arial"/>
        </w:rPr>
        <w:t xml:space="preserve"> [Accessed: 18 June 2026].</w:t>
      </w:r>
    </w:p>
    <w:p w14:paraId="0475A18A" w14:textId="77777777" w:rsidR="00964893" w:rsidRPr="00964893" w:rsidRDefault="00964893" w:rsidP="00964893">
      <w:pPr>
        <w:spacing w:line="360" w:lineRule="auto"/>
        <w:jc w:val="both"/>
        <w:rPr>
          <w:rFonts w:ascii="Arial" w:eastAsia="Arial" w:hAnsi="Arial" w:cs="Arial"/>
          <w:lang w:val="en-IN"/>
        </w:rPr>
      </w:pPr>
      <w:r w:rsidRPr="00964893">
        <w:rPr>
          <w:rFonts w:ascii="Arial" w:eastAsia="Arial" w:hAnsi="Arial" w:cs="Arial"/>
          <w:lang w:val="en-IN"/>
        </w:rPr>
        <w:lastRenderedPageBreak/>
        <w:t xml:space="preserve">Tata Steel., 2025. Tata </w:t>
      </w:r>
      <w:proofErr w:type="spellStart"/>
      <w:r w:rsidRPr="00964893">
        <w:rPr>
          <w:rFonts w:ascii="Arial" w:eastAsia="Arial" w:hAnsi="Arial" w:cs="Arial"/>
          <w:lang w:val="en-IN"/>
        </w:rPr>
        <w:t>Shaktee</w:t>
      </w:r>
      <w:proofErr w:type="spellEnd"/>
      <w:r w:rsidRPr="00964893">
        <w:rPr>
          <w:rFonts w:ascii="Arial" w:eastAsia="Arial" w:hAnsi="Arial" w:cs="Arial"/>
          <w:lang w:val="en-IN"/>
        </w:rPr>
        <w:t xml:space="preserve">. Available at: </w:t>
      </w:r>
      <w:hyperlink r:id="rId25" w:history="1">
        <w:r w:rsidRPr="00964893">
          <w:rPr>
            <w:rStyle w:val="Hyperlink"/>
            <w:rFonts w:ascii="Arial" w:eastAsia="Arial" w:hAnsi="Arial" w:cs="Arial"/>
            <w:lang w:val="en-IN"/>
          </w:rPr>
          <w:t>https://www.tatashaktee.com/</w:t>
        </w:r>
      </w:hyperlink>
      <w:r w:rsidRPr="00964893">
        <w:rPr>
          <w:rFonts w:ascii="Arial" w:eastAsia="Arial" w:hAnsi="Arial" w:cs="Arial"/>
          <w:lang w:val="en-IN"/>
        </w:rPr>
        <w:t xml:space="preserve"> [Accessed: 22 June 2026].</w:t>
      </w:r>
    </w:p>
    <w:p w14:paraId="2FC2D0D3" w14:textId="77777777" w:rsidR="00964893" w:rsidRPr="00964893" w:rsidRDefault="00964893" w:rsidP="00964893">
      <w:pPr>
        <w:spacing w:line="360" w:lineRule="auto"/>
        <w:jc w:val="both"/>
        <w:rPr>
          <w:rFonts w:ascii="Arial" w:eastAsia="Arial" w:hAnsi="Arial" w:cs="Arial"/>
          <w:lang w:val="en-IN"/>
        </w:rPr>
      </w:pPr>
      <w:r w:rsidRPr="00964893">
        <w:rPr>
          <w:rFonts w:ascii="Arial" w:eastAsia="Arial" w:hAnsi="Arial" w:cs="Arial"/>
          <w:lang w:val="en-IN"/>
        </w:rPr>
        <w:t xml:space="preserve">Tata Steel., 2025. Tata Structura. Available at: </w:t>
      </w:r>
      <w:hyperlink r:id="rId26" w:history="1">
        <w:r w:rsidRPr="00964893">
          <w:rPr>
            <w:rStyle w:val="Hyperlink"/>
            <w:rFonts w:ascii="Arial" w:eastAsia="Arial" w:hAnsi="Arial" w:cs="Arial"/>
            <w:lang w:val="en-IN"/>
          </w:rPr>
          <w:t>https://www.tatasteel.com/products-solutions/india/products/tata-structura-1/</w:t>
        </w:r>
      </w:hyperlink>
      <w:r w:rsidRPr="00964893">
        <w:rPr>
          <w:rFonts w:ascii="Arial" w:eastAsia="Arial" w:hAnsi="Arial" w:cs="Arial"/>
          <w:lang w:val="en-IN"/>
        </w:rPr>
        <w:t xml:space="preserve"> [Accessed: 22 June 2026].</w:t>
      </w:r>
    </w:p>
    <w:p w14:paraId="5FD1F023" w14:textId="77777777" w:rsidR="00964893" w:rsidRPr="00964893" w:rsidRDefault="00964893" w:rsidP="00964893">
      <w:pPr>
        <w:spacing w:line="360" w:lineRule="auto"/>
        <w:jc w:val="both"/>
        <w:rPr>
          <w:rFonts w:ascii="Arial" w:eastAsia="Arial" w:hAnsi="Arial" w:cs="Arial"/>
          <w:lang w:val="en-IN"/>
        </w:rPr>
      </w:pPr>
      <w:r w:rsidRPr="00964893">
        <w:rPr>
          <w:rFonts w:ascii="Arial" w:eastAsia="Arial" w:hAnsi="Arial" w:cs="Arial"/>
          <w:lang w:val="en-IN"/>
        </w:rPr>
        <w:t xml:space="preserve">Tata Steel., 2025. Tata Tiscon. Available at: </w:t>
      </w:r>
      <w:hyperlink r:id="rId27" w:history="1">
        <w:r w:rsidRPr="00964893">
          <w:rPr>
            <w:rStyle w:val="Hyperlink"/>
            <w:rFonts w:ascii="Arial" w:eastAsia="Arial" w:hAnsi="Arial" w:cs="Arial"/>
            <w:lang w:val="en-IN"/>
          </w:rPr>
          <w:t>https://www.tatasteel.com/products-solutions/india/products/tata-tiscon/</w:t>
        </w:r>
      </w:hyperlink>
      <w:r w:rsidRPr="00964893">
        <w:rPr>
          <w:rFonts w:ascii="Arial" w:eastAsia="Arial" w:hAnsi="Arial" w:cs="Arial"/>
          <w:lang w:val="en-IN"/>
        </w:rPr>
        <w:t xml:space="preserve"> [Accessed: 22 June 2026].</w:t>
      </w:r>
    </w:p>
    <w:p w14:paraId="13F6657B" w14:textId="77777777" w:rsidR="00964893" w:rsidRDefault="00964893">
      <w:pPr>
        <w:spacing w:line="360" w:lineRule="auto"/>
        <w:jc w:val="both"/>
        <w:rPr>
          <w:rFonts w:ascii="Arial" w:eastAsia="Arial" w:hAnsi="Arial" w:cs="Arial"/>
        </w:rPr>
      </w:pPr>
      <w:r>
        <w:rPr>
          <w:rFonts w:ascii="Arial" w:eastAsia="Arial" w:hAnsi="Arial" w:cs="Arial"/>
        </w:rPr>
        <w:t xml:space="preserve">Tata Steel., 2025a. Integrated Report &amp; Annual Accounts 2024-25 (118th year) and related documents. Available at: </w:t>
      </w:r>
      <w:hyperlink r:id="rId28">
        <w:r>
          <w:rPr>
            <w:rFonts w:ascii="Arial" w:eastAsia="Arial" w:hAnsi="Arial" w:cs="Arial"/>
            <w:color w:val="467886"/>
            <w:u w:val="single"/>
          </w:rPr>
          <w:t>https://www.tatasteel.com/media/23973/fy25-integratedreport.pdf</w:t>
        </w:r>
      </w:hyperlink>
      <w:r>
        <w:rPr>
          <w:rFonts w:ascii="Arial" w:eastAsia="Arial" w:hAnsi="Arial" w:cs="Arial"/>
        </w:rPr>
        <w:t xml:space="preserve"> [Accessed: 18 June 2026].</w:t>
      </w:r>
    </w:p>
    <w:p w14:paraId="6E9FCF56" w14:textId="77777777" w:rsidR="00964893" w:rsidRDefault="00964893">
      <w:pPr>
        <w:spacing w:line="360" w:lineRule="auto"/>
        <w:jc w:val="both"/>
        <w:rPr>
          <w:rFonts w:ascii="Arial" w:eastAsia="Arial" w:hAnsi="Arial" w:cs="Arial"/>
        </w:rPr>
      </w:pPr>
      <w:r>
        <w:rPr>
          <w:rFonts w:ascii="Arial" w:eastAsia="Arial" w:hAnsi="Arial" w:cs="Arial"/>
        </w:rPr>
        <w:t xml:space="preserve">Tata Steel., 2025b. ESG Indicators Factsheet. Available at: </w:t>
      </w:r>
      <w:hyperlink r:id="rId29">
        <w:r>
          <w:rPr>
            <w:rFonts w:ascii="Arial" w:eastAsia="Arial" w:hAnsi="Arial" w:cs="Arial"/>
            <w:color w:val="467886"/>
            <w:u w:val="single"/>
          </w:rPr>
          <w:t>https://www.tatasteel.com/sustainability/esg-indicators-factsheet/</w:t>
        </w:r>
      </w:hyperlink>
      <w:r>
        <w:rPr>
          <w:rFonts w:ascii="Arial" w:eastAsia="Arial" w:hAnsi="Arial" w:cs="Arial"/>
        </w:rPr>
        <w:t xml:space="preserve"> [Accessed: 18 June 2026].</w:t>
      </w:r>
    </w:p>
    <w:p w14:paraId="03E2042A" w14:textId="77777777" w:rsidR="00964893" w:rsidRDefault="00964893">
      <w:pPr>
        <w:spacing w:line="360" w:lineRule="auto"/>
        <w:jc w:val="both"/>
        <w:rPr>
          <w:rFonts w:ascii="Arial" w:eastAsia="Arial" w:hAnsi="Arial" w:cs="Arial"/>
        </w:rPr>
      </w:pPr>
      <w:r>
        <w:rPr>
          <w:rFonts w:ascii="Arial" w:eastAsia="Arial" w:hAnsi="Arial" w:cs="Arial"/>
        </w:rPr>
        <w:t xml:space="preserve">Tata Steel., 2026a. Tata Steel inaugurates its first scrap-based electric arc furnace in India. Available at: </w:t>
      </w:r>
      <w:hyperlink r:id="rId30">
        <w:r>
          <w:rPr>
            <w:rFonts w:ascii="Arial" w:eastAsia="Arial" w:hAnsi="Arial" w:cs="Arial"/>
            <w:color w:val="467886"/>
            <w:u w:val="single"/>
          </w:rPr>
          <w:t>https://www.tatasteel.com/newsroom/press-releases/india/2026/tata-steel-inaugurates-its-first-scrap-based-electric-arc-furnace-in-india/</w:t>
        </w:r>
      </w:hyperlink>
      <w:r>
        <w:rPr>
          <w:rFonts w:ascii="Arial" w:eastAsia="Arial" w:hAnsi="Arial" w:cs="Arial"/>
        </w:rPr>
        <w:t xml:space="preserve"> [Accessed: 18 June 2026].</w:t>
      </w:r>
    </w:p>
    <w:p w14:paraId="10C684B8" w14:textId="77777777" w:rsidR="00964893" w:rsidRDefault="00964893">
      <w:pPr>
        <w:spacing w:line="360" w:lineRule="auto"/>
        <w:jc w:val="both"/>
        <w:rPr>
          <w:rFonts w:ascii="Arial" w:eastAsia="Arial" w:hAnsi="Arial" w:cs="Arial"/>
        </w:rPr>
      </w:pPr>
      <w:r>
        <w:rPr>
          <w:rFonts w:ascii="Arial" w:eastAsia="Arial" w:hAnsi="Arial" w:cs="Arial"/>
        </w:rPr>
        <w:t xml:space="preserve">Tata Steel., 2026b. Tata Steel partners SMS Group to deploy world-first </w:t>
      </w:r>
      <w:proofErr w:type="spellStart"/>
      <w:r>
        <w:rPr>
          <w:rFonts w:ascii="Arial" w:eastAsia="Arial" w:hAnsi="Arial" w:cs="Arial"/>
        </w:rPr>
        <w:t>EASyMelt</w:t>
      </w:r>
      <w:proofErr w:type="spellEnd"/>
      <w:r>
        <w:rPr>
          <w:rFonts w:ascii="Arial" w:eastAsia="Arial" w:hAnsi="Arial" w:cs="Arial"/>
        </w:rPr>
        <w:t xml:space="preserve"> decarbonisation technology. Available at: </w:t>
      </w:r>
      <w:hyperlink r:id="rId31">
        <w:r>
          <w:rPr>
            <w:rFonts w:ascii="Arial" w:eastAsia="Arial" w:hAnsi="Arial" w:cs="Arial"/>
            <w:color w:val="467886"/>
            <w:u w:val="single"/>
          </w:rPr>
          <w:t>https://www.tatasteel.com/newsroom/press-releases/india/2026/tata-steel-partners-sms-group-to-deploy-world-first-easymelt-decarbonisation-technology/</w:t>
        </w:r>
      </w:hyperlink>
      <w:r>
        <w:rPr>
          <w:rFonts w:ascii="Arial" w:eastAsia="Arial" w:hAnsi="Arial" w:cs="Arial"/>
        </w:rPr>
        <w:t xml:space="preserve"> [Accessed: 18 June 2026].</w:t>
      </w:r>
    </w:p>
    <w:p w14:paraId="2ADE48EF" w14:textId="77777777" w:rsidR="00964893" w:rsidRDefault="00964893">
      <w:pPr>
        <w:spacing w:line="360" w:lineRule="auto"/>
        <w:jc w:val="both"/>
        <w:rPr>
          <w:rFonts w:ascii="Arial" w:eastAsia="Arial" w:hAnsi="Arial" w:cs="Arial"/>
        </w:rPr>
      </w:pPr>
      <w:r>
        <w:rPr>
          <w:rFonts w:ascii="Arial" w:eastAsia="Arial" w:hAnsi="Arial" w:cs="Arial"/>
        </w:rPr>
        <w:t xml:space="preserve">UNEPFI., 2024. Climate Risks in the Metals and Mining Sector. Available at: </w:t>
      </w:r>
      <w:hyperlink r:id="rId32">
        <w:r>
          <w:rPr>
            <w:rFonts w:ascii="Arial" w:eastAsia="Arial" w:hAnsi="Arial" w:cs="Arial"/>
            <w:color w:val="467886"/>
            <w:u w:val="single"/>
          </w:rPr>
          <w:t>https://www.unepfi.org/wordpress/wp-content/uploads/2024/05/Climate-Risks-in-the-Metals-and-Mining-Sector-1.pdf</w:t>
        </w:r>
      </w:hyperlink>
      <w:r>
        <w:rPr>
          <w:rFonts w:ascii="Arial" w:eastAsia="Arial" w:hAnsi="Arial" w:cs="Arial"/>
        </w:rPr>
        <w:t xml:space="preserve"> [Accessed: 18 June 2026].</w:t>
      </w:r>
    </w:p>
    <w:p w14:paraId="2CA0B43E" w14:textId="77777777" w:rsidR="00964893" w:rsidRDefault="00964893">
      <w:pPr>
        <w:spacing w:line="360" w:lineRule="auto"/>
        <w:jc w:val="both"/>
        <w:rPr>
          <w:rFonts w:ascii="Arial" w:eastAsia="Arial" w:hAnsi="Arial" w:cs="Arial"/>
        </w:rPr>
      </w:pPr>
      <w:r>
        <w:rPr>
          <w:rFonts w:ascii="Arial" w:eastAsia="Arial" w:hAnsi="Arial" w:cs="Arial"/>
        </w:rPr>
        <w:t xml:space="preserve">Watari, T. and McLellan, B.C., 2024. Decarbonizing the global steel industry in a resource-constrained future—a systems perspective. Philosophical Transactions of the Royal Society A. Available at: </w:t>
      </w:r>
      <w:hyperlink r:id="rId33">
        <w:r>
          <w:rPr>
            <w:rFonts w:ascii="Arial" w:eastAsia="Arial" w:hAnsi="Arial" w:cs="Arial"/>
            <w:color w:val="467886"/>
            <w:u w:val="single"/>
          </w:rPr>
          <w:t>https://royalsocietypublishing.org/rsta/article/382/2284/20230233/112690/Decarbonizing-the-global-steel-industry-in-a</w:t>
        </w:r>
      </w:hyperlink>
      <w:r>
        <w:rPr>
          <w:rFonts w:ascii="Arial" w:eastAsia="Arial" w:hAnsi="Arial" w:cs="Arial"/>
        </w:rPr>
        <w:t xml:space="preserve"> [Accessed: 18 June 2026].</w:t>
      </w:r>
    </w:p>
    <w:p w14:paraId="2C2F89F0" w14:textId="77777777" w:rsidR="00964893" w:rsidRDefault="00964893">
      <w:pPr>
        <w:spacing w:line="360" w:lineRule="auto"/>
        <w:jc w:val="both"/>
        <w:rPr>
          <w:rFonts w:ascii="Arial" w:eastAsia="Arial" w:hAnsi="Arial" w:cs="Arial"/>
        </w:rPr>
      </w:pPr>
      <w:r>
        <w:rPr>
          <w:rFonts w:ascii="Arial" w:eastAsia="Arial" w:hAnsi="Arial" w:cs="Arial"/>
        </w:rPr>
        <w:lastRenderedPageBreak/>
        <w:t xml:space="preserve">World Steel Association., 2020. Water management in the steel industry. Available at: </w:t>
      </w:r>
      <w:hyperlink r:id="rId34">
        <w:r>
          <w:rPr>
            <w:rFonts w:ascii="Arial" w:eastAsia="Arial" w:hAnsi="Arial" w:cs="Arial"/>
            <w:color w:val="467886"/>
            <w:u w:val="single"/>
          </w:rPr>
          <w:t>https://worldsteel.org/wp-content/uploads/Water-management-in-the-steel-industry.pdf</w:t>
        </w:r>
      </w:hyperlink>
      <w:r>
        <w:rPr>
          <w:rFonts w:ascii="Arial" w:eastAsia="Arial" w:hAnsi="Arial" w:cs="Arial"/>
        </w:rPr>
        <w:t xml:space="preserve"> [Accessed: 18 June 2026].</w:t>
      </w:r>
    </w:p>
    <w:p w14:paraId="36CB86BE" w14:textId="77777777" w:rsidR="00964893" w:rsidRDefault="00964893">
      <w:pPr>
        <w:spacing w:line="360" w:lineRule="auto"/>
        <w:jc w:val="both"/>
        <w:rPr>
          <w:rFonts w:ascii="Arial" w:eastAsia="Arial" w:hAnsi="Arial" w:cs="Arial"/>
        </w:rPr>
      </w:pPr>
      <w:r>
        <w:rPr>
          <w:rFonts w:ascii="Arial" w:eastAsia="Arial" w:hAnsi="Arial" w:cs="Arial"/>
        </w:rPr>
        <w:t xml:space="preserve">World Steel Association., 2022. Sustainability Indicators 2022 report. Available at: </w:t>
      </w:r>
      <w:hyperlink r:id="rId35">
        <w:r>
          <w:rPr>
            <w:rFonts w:ascii="Arial" w:eastAsia="Arial" w:hAnsi="Arial" w:cs="Arial"/>
            <w:color w:val="467886"/>
            <w:u w:val="single"/>
          </w:rPr>
          <w:t>https://worldsteel.org/wp-content/uploads/Sustainability-Indicators-2022-report.pdf</w:t>
        </w:r>
      </w:hyperlink>
      <w:r>
        <w:rPr>
          <w:rFonts w:ascii="Arial" w:eastAsia="Arial" w:hAnsi="Arial" w:cs="Arial"/>
        </w:rPr>
        <w:t xml:space="preserve"> [Accessed: 18 June 2026].</w:t>
      </w:r>
    </w:p>
    <w:p w14:paraId="38FCF699" w14:textId="77777777" w:rsidR="00964893" w:rsidRDefault="00964893">
      <w:pPr>
        <w:spacing w:line="360" w:lineRule="auto"/>
        <w:jc w:val="both"/>
        <w:rPr>
          <w:rFonts w:ascii="Arial" w:eastAsia="Arial" w:hAnsi="Arial" w:cs="Arial"/>
        </w:rPr>
      </w:pPr>
      <w:r>
        <w:rPr>
          <w:rFonts w:ascii="Arial" w:eastAsia="Arial" w:hAnsi="Arial" w:cs="Arial"/>
        </w:rPr>
        <w:t xml:space="preserve">World Steel Association., 2023. Sustainability Indicators 2023 report. Available at: </w:t>
      </w:r>
      <w:hyperlink r:id="rId36">
        <w:r>
          <w:rPr>
            <w:rFonts w:ascii="Arial" w:eastAsia="Arial" w:hAnsi="Arial" w:cs="Arial"/>
            <w:color w:val="467886"/>
            <w:u w:val="single"/>
          </w:rPr>
          <w:t>https://worldsteel.org/wp-content/uploads/Sustainability-indicators-report-2023.pdf</w:t>
        </w:r>
      </w:hyperlink>
      <w:r>
        <w:rPr>
          <w:rFonts w:ascii="Arial" w:eastAsia="Arial" w:hAnsi="Arial" w:cs="Arial"/>
        </w:rPr>
        <w:t xml:space="preserve"> [Accessed: 18 June 2026].</w:t>
      </w:r>
    </w:p>
    <w:p w14:paraId="5B8D21AC" w14:textId="77777777" w:rsidR="00964893" w:rsidRDefault="00964893">
      <w:pPr>
        <w:spacing w:line="360" w:lineRule="auto"/>
        <w:jc w:val="both"/>
        <w:rPr>
          <w:rFonts w:ascii="Arial" w:eastAsia="Arial" w:hAnsi="Arial" w:cs="Arial"/>
        </w:rPr>
      </w:pPr>
      <w:r>
        <w:rPr>
          <w:rFonts w:ascii="Arial" w:eastAsia="Arial" w:hAnsi="Arial" w:cs="Arial"/>
        </w:rPr>
        <w:t xml:space="preserve">WWF-India., 2024. Unlocking green steel demand. Available at: </w:t>
      </w:r>
      <w:hyperlink r:id="rId37">
        <w:r>
          <w:rPr>
            <w:rFonts w:ascii="Arial" w:eastAsia="Arial" w:hAnsi="Arial" w:cs="Arial"/>
            <w:color w:val="467886"/>
            <w:u w:val="single"/>
          </w:rPr>
          <w:t>https://www.wwfindia.org/wwf-india-updates/feature_stories/unlocking_green_steel_demand/</w:t>
        </w:r>
      </w:hyperlink>
      <w:r>
        <w:rPr>
          <w:rFonts w:ascii="Arial" w:eastAsia="Arial" w:hAnsi="Arial" w:cs="Arial"/>
        </w:rPr>
        <w:t xml:space="preserve"> [Accessed: 18 June 2026].</w:t>
      </w:r>
    </w:p>
    <w:p w14:paraId="6CD277A9" w14:textId="77777777" w:rsidR="00964893" w:rsidRDefault="00964893">
      <w:pPr>
        <w:spacing w:line="360" w:lineRule="auto"/>
        <w:jc w:val="both"/>
        <w:rPr>
          <w:rFonts w:ascii="Arial" w:eastAsia="Arial" w:hAnsi="Arial" w:cs="Arial"/>
        </w:rPr>
      </w:pPr>
    </w:p>
    <w:p w14:paraId="6F6C8983" w14:textId="26DC1C10" w:rsidR="00272E31" w:rsidRDefault="00486BA8">
      <w:pPr>
        <w:pStyle w:val="Heading1"/>
      </w:pPr>
      <w:r>
        <w:br w:type="column"/>
      </w:r>
      <w:bookmarkStart w:id="14" w:name="_Toc233302529"/>
      <w:r>
        <w:lastRenderedPageBreak/>
        <w:t>Appendix</w:t>
      </w:r>
      <w:bookmarkEnd w:id="14"/>
      <w:r w:rsidR="00662F95">
        <w:t xml:space="preserve"> </w:t>
      </w:r>
    </w:p>
    <w:p w14:paraId="3FC166B0" w14:textId="5BCF402C" w:rsidR="00691653" w:rsidRPr="00F92D73" w:rsidRDefault="00691653" w:rsidP="00691653">
      <w:pPr>
        <w:spacing w:line="360" w:lineRule="auto"/>
        <w:rPr>
          <w:rFonts w:eastAsia="Arial"/>
          <w:lang w:val="en-IN"/>
        </w:rPr>
      </w:pPr>
      <w:r w:rsidRPr="00F92D73">
        <w:rPr>
          <w:rFonts w:eastAsia="Arial"/>
          <w:b/>
          <w:bCs/>
          <w:lang w:val="en-IN"/>
        </w:rPr>
        <w:t xml:space="preserve">Appendix A: </w:t>
      </w:r>
      <w:r w:rsidR="00F92D73" w:rsidRPr="00F92D73">
        <w:rPr>
          <w:rFonts w:eastAsia="Arial"/>
          <w:b/>
          <w:bCs/>
        </w:rPr>
        <w:t>PESTEL Analysis</w:t>
      </w:r>
    </w:p>
    <w:tbl>
      <w:tblPr>
        <w:tblStyle w:val="a0"/>
        <w:tblW w:w="9759" w:type="dxa"/>
        <w:jc w:val="center"/>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1922"/>
        <w:gridCol w:w="7837"/>
      </w:tblGrid>
      <w:tr w:rsidR="00272E31" w:rsidRPr="008B392B" w14:paraId="3B4DE09F" w14:textId="77777777" w:rsidTr="00F2546B">
        <w:trPr>
          <w:cnfStyle w:val="100000000000" w:firstRow="1" w:lastRow="0" w:firstColumn="0" w:lastColumn="0" w:oddVBand="0" w:evenVBand="0" w:oddHBand="0" w:evenHBand="0" w:firstRowFirstColumn="0" w:firstRowLastColumn="0" w:lastRowFirstColumn="0" w:lastRowLastColumn="0"/>
          <w:trHeight w:val="546"/>
          <w:jc w:val="center"/>
        </w:trPr>
        <w:tc>
          <w:tcPr>
            <w:cnfStyle w:val="001000000000" w:firstRow="0" w:lastRow="0" w:firstColumn="1" w:lastColumn="0" w:oddVBand="0" w:evenVBand="0" w:oddHBand="0" w:evenHBand="0" w:firstRowFirstColumn="0" w:firstRowLastColumn="0" w:lastRowFirstColumn="0" w:lastRowLastColumn="0"/>
            <w:tcW w:w="1922" w:type="dxa"/>
          </w:tcPr>
          <w:p w14:paraId="31E45137"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PESTEL Factor</w:t>
            </w:r>
          </w:p>
        </w:tc>
        <w:tc>
          <w:tcPr>
            <w:tcW w:w="7837" w:type="dxa"/>
          </w:tcPr>
          <w:p w14:paraId="1F0C70BE" w14:textId="77777777" w:rsidR="00272E31" w:rsidRPr="008B392B" w:rsidRDefault="00486B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8B392B">
              <w:rPr>
                <w:rFonts w:ascii="Arial" w:eastAsia="Arial" w:hAnsi="Arial" w:cs="Arial"/>
              </w:rPr>
              <w:t>Impact on Tata Steel's Low-Carbon Transition</w:t>
            </w:r>
          </w:p>
        </w:tc>
      </w:tr>
      <w:tr w:rsidR="00272E31" w:rsidRPr="008B392B" w14:paraId="45DBC541" w14:textId="77777777" w:rsidTr="00F2546B">
        <w:trPr>
          <w:cnfStyle w:val="000000100000" w:firstRow="0" w:lastRow="0" w:firstColumn="0" w:lastColumn="0" w:oddVBand="0" w:evenVBand="0" w:oddHBand="1" w:evenHBand="0" w:firstRowFirstColumn="0" w:firstRowLastColumn="0" w:lastRowFirstColumn="0" w:lastRowLastColumn="0"/>
          <w:trHeight w:val="1391"/>
          <w:jc w:val="center"/>
        </w:trPr>
        <w:tc>
          <w:tcPr>
            <w:cnfStyle w:val="001000000000" w:firstRow="0" w:lastRow="0" w:firstColumn="1" w:lastColumn="0" w:oddVBand="0" w:evenVBand="0" w:oddHBand="0" w:evenHBand="0" w:firstRowFirstColumn="0" w:firstRowLastColumn="0" w:lastRowFirstColumn="0" w:lastRowLastColumn="0"/>
            <w:tcW w:w="1922" w:type="dxa"/>
          </w:tcPr>
          <w:p w14:paraId="35AF050F"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Political</w:t>
            </w:r>
          </w:p>
        </w:tc>
        <w:tc>
          <w:tcPr>
            <w:tcW w:w="7837" w:type="dxa"/>
          </w:tcPr>
          <w:p w14:paraId="1661ED5D" w14:textId="77777777" w:rsidR="00272E31" w:rsidRPr="008B392B" w:rsidRDefault="00486BA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8B392B">
              <w:rPr>
                <w:rFonts w:ascii="Arial" w:eastAsia="Arial" w:hAnsi="Arial" w:cs="Arial"/>
              </w:rPr>
              <w:t>Backed by moves like India’s push for green hydrogen, new rules are shaping how cash flows into cleaner ways of making steel. Policies aimed at cutting carbon have started shifting attention toward methods that pollute less during metal creation. In place of old norms, fresh approaches gain ground where climate goals meet industrial practice.</w:t>
            </w:r>
          </w:p>
        </w:tc>
      </w:tr>
      <w:tr w:rsidR="00272E31" w:rsidRPr="008B392B" w14:paraId="398AD93E" w14:textId="77777777" w:rsidTr="00F2546B">
        <w:trPr>
          <w:trHeight w:val="974"/>
          <w:jc w:val="center"/>
        </w:trPr>
        <w:tc>
          <w:tcPr>
            <w:cnfStyle w:val="001000000000" w:firstRow="0" w:lastRow="0" w:firstColumn="1" w:lastColumn="0" w:oddVBand="0" w:evenVBand="0" w:oddHBand="0" w:evenHBand="0" w:firstRowFirstColumn="0" w:firstRowLastColumn="0" w:lastRowFirstColumn="0" w:lastRowLastColumn="0"/>
            <w:tcW w:w="1922" w:type="dxa"/>
          </w:tcPr>
          <w:p w14:paraId="1B2B187F"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Economic</w:t>
            </w:r>
          </w:p>
        </w:tc>
        <w:tc>
          <w:tcPr>
            <w:tcW w:w="7837" w:type="dxa"/>
          </w:tcPr>
          <w:p w14:paraId="5F57775B" w14:textId="77777777" w:rsidR="00272E31" w:rsidRPr="008B392B" w:rsidRDefault="00486BA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8B392B">
              <w:rPr>
                <w:rFonts w:ascii="Arial" w:eastAsia="Arial" w:hAnsi="Arial" w:cs="Arial"/>
              </w:rPr>
              <w:t>Steel made cleanly sees more buyers now, yet cash outlay stays high to adopt green tech alongside power sources like wind or sun. What holds back speed? Big money needs moving into new systems just to keep up.</w:t>
            </w:r>
          </w:p>
        </w:tc>
      </w:tr>
      <w:tr w:rsidR="00272E31" w:rsidRPr="008B392B" w14:paraId="6BC7ED52" w14:textId="77777777" w:rsidTr="00F2546B">
        <w:trPr>
          <w:cnfStyle w:val="000000100000" w:firstRow="0" w:lastRow="0" w:firstColumn="0" w:lastColumn="0" w:oddVBand="0" w:evenVBand="0" w:oddHBand="1" w:evenHBand="0" w:firstRowFirstColumn="0" w:firstRowLastColumn="0" w:lastRowFirstColumn="0" w:lastRowLastColumn="0"/>
          <w:trHeight w:val="974"/>
          <w:jc w:val="center"/>
        </w:trPr>
        <w:tc>
          <w:tcPr>
            <w:cnfStyle w:val="001000000000" w:firstRow="0" w:lastRow="0" w:firstColumn="1" w:lastColumn="0" w:oddVBand="0" w:evenVBand="0" w:oddHBand="0" w:evenHBand="0" w:firstRowFirstColumn="0" w:firstRowLastColumn="0" w:lastRowFirstColumn="0" w:lastRowLastColumn="0"/>
            <w:tcW w:w="1922" w:type="dxa"/>
          </w:tcPr>
          <w:p w14:paraId="1EBCEAAE"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Social</w:t>
            </w:r>
          </w:p>
        </w:tc>
        <w:tc>
          <w:tcPr>
            <w:tcW w:w="7837" w:type="dxa"/>
          </w:tcPr>
          <w:p w14:paraId="5083CFCE" w14:textId="77777777" w:rsidR="00272E31" w:rsidRPr="008B392B" w:rsidRDefault="00486BA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8B392B">
              <w:rPr>
                <w:rFonts w:ascii="Arial" w:eastAsia="Arial" w:hAnsi="Arial" w:cs="Arial"/>
              </w:rPr>
              <w:t>Now more than ever, people who care about a company are watching how it handles its impact on nature. Expectations grow when leaders open up about their choices. Doing what's right today means building ways to last into tomorrow.</w:t>
            </w:r>
          </w:p>
        </w:tc>
      </w:tr>
      <w:tr w:rsidR="00272E31" w:rsidRPr="008B392B" w14:paraId="4559E284" w14:textId="77777777" w:rsidTr="00F2546B">
        <w:trPr>
          <w:trHeight w:val="1183"/>
          <w:jc w:val="center"/>
        </w:trPr>
        <w:tc>
          <w:tcPr>
            <w:cnfStyle w:val="001000000000" w:firstRow="0" w:lastRow="0" w:firstColumn="1" w:lastColumn="0" w:oddVBand="0" w:evenVBand="0" w:oddHBand="0" w:evenHBand="0" w:firstRowFirstColumn="0" w:firstRowLastColumn="0" w:lastRowFirstColumn="0" w:lastRowLastColumn="0"/>
            <w:tcW w:w="1922" w:type="dxa"/>
          </w:tcPr>
          <w:p w14:paraId="6FE85AAC"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Technological</w:t>
            </w:r>
          </w:p>
        </w:tc>
        <w:tc>
          <w:tcPr>
            <w:tcW w:w="7837" w:type="dxa"/>
          </w:tcPr>
          <w:p w14:paraId="3FEB6A4D" w14:textId="77777777" w:rsidR="00272E31" w:rsidRPr="008B392B" w:rsidRDefault="00486BA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8B392B">
              <w:rPr>
                <w:rFonts w:ascii="Arial" w:eastAsia="Arial" w:hAnsi="Arial" w:cs="Arial"/>
              </w:rPr>
              <w:t>Adva Fuelled by innovation, hydrogen-driven steel production is shifting how materials are made. Alongside it, tools that trap carbon emissions help cut pollution from heavy industry. Digital setups in factories bring smarter workflows, quietly boosting performance across sites.</w:t>
            </w:r>
          </w:p>
        </w:tc>
      </w:tr>
      <w:tr w:rsidR="00272E31" w:rsidRPr="008B392B" w14:paraId="05CB6FBF" w14:textId="77777777" w:rsidTr="00F2546B">
        <w:trPr>
          <w:cnfStyle w:val="000000100000" w:firstRow="0" w:lastRow="0" w:firstColumn="0" w:lastColumn="0" w:oddVBand="0" w:evenVBand="0" w:oddHBand="1" w:evenHBand="0" w:firstRowFirstColumn="0" w:firstRowLastColumn="0" w:lastRowFirstColumn="0" w:lastRowLastColumn="0"/>
          <w:trHeight w:val="1183"/>
          <w:jc w:val="center"/>
        </w:trPr>
        <w:tc>
          <w:tcPr>
            <w:cnfStyle w:val="001000000000" w:firstRow="0" w:lastRow="0" w:firstColumn="1" w:lastColumn="0" w:oddVBand="0" w:evenVBand="0" w:oddHBand="0" w:evenHBand="0" w:firstRowFirstColumn="0" w:firstRowLastColumn="0" w:lastRowFirstColumn="0" w:lastRowLastColumn="0"/>
            <w:tcW w:w="1922" w:type="dxa"/>
          </w:tcPr>
          <w:p w14:paraId="2453B3ED"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t>Environmental</w:t>
            </w:r>
          </w:p>
        </w:tc>
        <w:tc>
          <w:tcPr>
            <w:tcW w:w="7837" w:type="dxa"/>
          </w:tcPr>
          <w:p w14:paraId="3A2A59FF" w14:textId="77777777" w:rsidR="00272E31" w:rsidRPr="008B392B" w:rsidRDefault="00486BA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8B392B">
              <w:rPr>
                <w:rFonts w:ascii="Arial" w:eastAsia="Arial" w:hAnsi="Arial" w:cs="Arial"/>
              </w:rPr>
              <w:t>Facing climate shifts, tight carbon goals crowd in on Tata Steel’s operations. Resource limits add weight. Pressure builds toward cleaner ways of making steel. Shrinking supplies push change just as much as emission rules do. Every ton of CO2 counts more now. Methods once accepted start feeling outdated. Adjusting becomes unavoidable when both planet and policy demand less waste. Staying still is no longer an option.</w:t>
            </w:r>
          </w:p>
        </w:tc>
      </w:tr>
      <w:tr w:rsidR="00272E31" w:rsidRPr="008B392B" w14:paraId="79D272C2" w14:textId="77777777" w:rsidTr="00F2546B">
        <w:trPr>
          <w:trHeight w:val="65"/>
          <w:jc w:val="center"/>
        </w:trPr>
        <w:tc>
          <w:tcPr>
            <w:cnfStyle w:val="001000000000" w:firstRow="0" w:lastRow="0" w:firstColumn="1" w:lastColumn="0" w:oddVBand="0" w:evenVBand="0" w:oddHBand="0" w:evenHBand="0" w:firstRowFirstColumn="0" w:firstRowLastColumn="0" w:lastRowFirstColumn="0" w:lastRowLastColumn="0"/>
            <w:tcW w:w="1922" w:type="dxa"/>
          </w:tcPr>
          <w:p w14:paraId="688A9946" w14:textId="77777777" w:rsidR="00272E31" w:rsidRPr="008B392B" w:rsidRDefault="00486BA8">
            <w:pPr>
              <w:spacing w:line="360" w:lineRule="auto"/>
              <w:jc w:val="both"/>
              <w:rPr>
                <w:rFonts w:ascii="Arial" w:eastAsia="Arial" w:hAnsi="Arial" w:cs="Arial"/>
              </w:rPr>
            </w:pPr>
            <w:r w:rsidRPr="008B392B">
              <w:rPr>
                <w:rFonts w:ascii="Arial" w:eastAsia="Arial" w:hAnsi="Arial" w:cs="Arial"/>
              </w:rPr>
              <w:lastRenderedPageBreak/>
              <w:t>Legal</w:t>
            </w:r>
          </w:p>
        </w:tc>
        <w:tc>
          <w:tcPr>
            <w:tcW w:w="7837" w:type="dxa"/>
          </w:tcPr>
          <w:p w14:paraId="2826F6AF" w14:textId="77777777" w:rsidR="00272E31" w:rsidRPr="008B392B" w:rsidRDefault="00486BA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8B392B">
              <w:rPr>
                <w:rFonts w:ascii="Arial" w:eastAsia="Arial" w:hAnsi="Arial" w:cs="Arial"/>
              </w:rPr>
              <w:t>Facing tighter rules on pollution, companies must report their emissions more carefully - this pressure often sparks new ways of working. Global standards add another layer, pushing businesses to adapt just to stay allowed. Tougher demands don’t only mean more paperwork; they shape how ideas grow inside firms.</w:t>
            </w:r>
          </w:p>
        </w:tc>
      </w:tr>
    </w:tbl>
    <w:p w14:paraId="19897EDB" w14:textId="77777777" w:rsidR="00272E31" w:rsidRDefault="00486BA8">
      <w:pPr>
        <w:spacing w:line="360" w:lineRule="auto"/>
        <w:jc w:val="center"/>
        <w:rPr>
          <w:rFonts w:ascii="Arial" w:eastAsia="Arial" w:hAnsi="Arial" w:cs="Arial"/>
        </w:rPr>
      </w:pPr>
      <w:r>
        <w:rPr>
          <w:rFonts w:ascii="Arial" w:eastAsia="Arial" w:hAnsi="Arial" w:cs="Arial"/>
        </w:rPr>
        <w:t>Table 1: PESTEL Analysis</w:t>
      </w:r>
    </w:p>
    <w:p w14:paraId="4AD44D22" w14:textId="77777777" w:rsidR="00272E31" w:rsidRDefault="00486BA8">
      <w:pPr>
        <w:spacing w:line="360" w:lineRule="auto"/>
        <w:jc w:val="center"/>
        <w:rPr>
          <w:rFonts w:ascii="Arial" w:eastAsia="Arial" w:hAnsi="Arial" w:cs="Arial"/>
        </w:rPr>
      </w:pPr>
      <w:r>
        <w:rPr>
          <w:rFonts w:ascii="Arial" w:eastAsia="Arial" w:hAnsi="Arial" w:cs="Arial"/>
        </w:rPr>
        <w:t>(Source: Author)</w:t>
      </w:r>
    </w:p>
    <w:p w14:paraId="2EA83EC7" w14:textId="77777777" w:rsidR="008B392B" w:rsidRDefault="008B392B" w:rsidP="00964893">
      <w:pPr>
        <w:spacing w:line="360" w:lineRule="auto"/>
        <w:rPr>
          <w:rFonts w:eastAsia="Arial"/>
          <w:b/>
          <w:bCs/>
          <w:lang w:val="en-IN"/>
        </w:rPr>
      </w:pPr>
    </w:p>
    <w:p w14:paraId="65CE787E" w14:textId="77777777" w:rsidR="008B392B" w:rsidRDefault="008B392B" w:rsidP="00964893">
      <w:pPr>
        <w:spacing w:line="360" w:lineRule="auto"/>
        <w:rPr>
          <w:rFonts w:eastAsia="Arial"/>
          <w:b/>
          <w:bCs/>
          <w:lang w:val="en-IN"/>
        </w:rPr>
      </w:pPr>
    </w:p>
    <w:p w14:paraId="12BF6D16" w14:textId="77777777" w:rsidR="008B392B" w:rsidRDefault="008B392B" w:rsidP="00964893">
      <w:pPr>
        <w:spacing w:line="360" w:lineRule="auto"/>
        <w:rPr>
          <w:rFonts w:eastAsia="Arial"/>
          <w:b/>
          <w:bCs/>
          <w:lang w:val="en-IN"/>
        </w:rPr>
      </w:pPr>
    </w:p>
    <w:p w14:paraId="318AA2DE" w14:textId="77777777" w:rsidR="008B392B" w:rsidRDefault="008B392B" w:rsidP="00964893">
      <w:pPr>
        <w:spacing w:line="360" w:lineRule="auto"/>
        <w:rPr>
          <w:rFonts w:eastAsia="Arial"/>
          <w:b/>
          <w:bCs/>
          <w:lang w:val="en-IN"/>
        </w:rPr>
      </w:pPr>
    </w:p>
    <w:p w14:paraId="6D694BE1" w14:textId="77777777" w:rsidR="008B392B" w:rsidRDefault="008B392B" w:rsidP="00964893">
      <w:pPr>
        <w:spacing w:line="360" w:lineRule="auto"/>
        <w:rPr>
          <w:rFonts w:eastAsia="Arial"/>
          <w:b/>
          <w:bCs/>
          <w:lang w:val="en-IN"/>
        </w:rPr>
      </w:pPr>
    </w:p>
    <w:p w14:paraId="7EDAC148" w14:textId="77777777" w:rsidR="008B392B" w:rsidRDefault="008B392B" w:rsidP="00964893">
      <w:pPr>
        <w:spacing w:line="360" w:lineRule="auto"/>
        <w:rPr>
          <w:rFonts w:eastAsia="Arial"/>
          <w:b/>
          <w:bCs/>
          <w:lang w:val="en-IN"/>
        </w:rPr>
      </w:pPr>
    </w:p>
    <w:p w14:paraId="1604AEA2" w14:textId="77777777" w:rsidR="008B392B" w:rsidRDefault="008B392B" w:rsidP="00964893">
      <w:pPr>
        <w:spacing w:line="360" w:lineRule="auto"/>
        <w:rPr>
          <w:rFonts w:eastAsia="Arial"/>
          <w:b/>
          <w:bCs/>
          <w:lang w:val="en-IN"/>
        </w:rPr>
      </w:pPr>
    </w:p>
    <w:p w14:paraId="08560F32" w14:textId="77777777" w:rsidR="008B392B" w:rsidRDefault="008B392B" w:rsidP="00964893">
      <w:pPr>
        <w:spacing w:line="360" w:lineRule="auto"/>
        <w:rPr>
          <w:rFonts w:eastAsia="Arial"/>
          <w:b/>
          <w:bCs/>
          <w:lang w:val="en-IN"/>
        </w:rPr>
      </w:pPr>
    </w:p>
    <w:p w14:paraId="36071D85" w14:textId="77777777" w:rsidR="008B392B" w:rsidRDefault="008B392B" w:rsidP="00964893">
      <w:pPr>
        <w:spacing w:line="360" w:lineRule="auto"/>
        <w:rPr>
          <w:rFonts w:eastAsia="Arial"/>
          <w:b/>
          <w:bCs/>
          <w:lang w:val="en-IN"/>
        </w:rPr>
      </w:pPr>
    </w:p>
    <w:p w14:paraId="1FFB3C1D" w14:textId="77777777" w:rsidR="008B392B" w:rsidRDefault="008B392B" w:rsidP="00964893">
      <w:pPr>
        <w:spacing w:line="360" w:lineRule="auto"/>
        <w:rPr>
          <w:rFonts w:eastAsia="Arial"/>
          <w:b/>
          <w:bCs/>
          <w:lang w:val="en-IN"/>
        </w:rPr>
      </w:pPr>
    </w:p>
    <w:p w14:paraId="576330EB" w14:textId="77777777" w:rsidR="008B392B" w:rsidRDefault="008B392B" w:rsidP="00964893">
      <w:pPr>
        <w:spacing w:line="360" w:lineRule="auto"/>
        <w:rPr>
          <w:rFonts w:eastAsia="Arial"/>
          <w:b/>
          <w:bCs/>
          <w:lang w:val="en-IN"/>
        </w:rPr>
      </w:pPr>
    </w:p>
    <w:p w14:paraId="48AC0065" w14:textId="77777777" w:rsidR="008B392B" w:rsidRDefault="008B392B" w:rsidP="00964893">
      <w:pPr>
        <w:spacing w:line="360" w:lineRule="auto"/>
        <w:rPr>
          <w:rFonts w:eastAsia="Arial"/>
          <w:b/>
          <w:bCs/>
          <w:lang w:val="en-IN"/>
        </w:rPr>
      </w:pPr>
    </w:p>
    <w:p w14:paraId="6A063B2C" w14:textId="77777777" w:rsidR="008B392B" w:rsidRDefault="008B392B" w:rsidP="00964893">
      <w:pPr>
        <w:spacing w:line="360" w:lineRule="auto"/>
        <w:rPr>
          <w:rFonts w:eastAsia="Arial"/>
          <w:b/>
          <w:bCs/>
          <w:lang w:val="en-IN"/>
        </w:rPr>
      </w:pPr>
    </w:p>
    <w:p w14:paraId="29D75635" w14:textId="77777777" w:rsidR="00F2546B" w:rsidRDefault="00F2546B" w:rsidP="00964893">
      <w:pPr>
        <w:spacing w:line="360" w:lineRule="auto"/>
        <w:rPr>
          <w:rFonts w:eastAsia="Arial"/>
          <w:b/>
          <w:bCs/>
          <w:lang w:val="en-IN"/>
        </w:rPr>
      </w:pPr>
    </w:p>
    <w:p w14:paraId="03095528" w14:textId="77777777" w:rsidR="00F2546B" w:rsidRDefault="00F2546B" w:rsidP="00964893">
      <w:pPr>
        <w:spacing w:line="360" w:lineRule="auto"/>
        <w:rPr>
          <w:rFonts w:eastAsia="Arial"/>
          <w:b/>
          <w:bCs/>
          <w:lang w:val="en-IN"/>
        </w:rPr>
      </w:pPr>
    </w:p>
    <w:p w14:paraId="63A3E6CA" w14:textId="004173DB" w:rsidR="00964893" w:rsidRPr="008B392B" w:rsidRDefault="00964893" w:rsidP="00964893">
      <w:pPr>
        <w:spacing w:line="360" w:lineRule="auto"/>
        <w:rPr>
          <w:rFonts w:ascii="Arial" w:eastAsia="Arial" w:hAnsi="Arial" w:cs="Arial"/>
          <w:lang w:val="en-IN"/>
        </w:rPr>
      </w:pPr>
      <w:r w:rsidRPr="008B392B">
        <w:rPr>
          <w:rFonts w:ascii="Arial" w:eastAsia="Arial" w:hAnsi="Arial" w:cs="Arial"/>
          <w:b/>
          <w:bCs/>
          <w:lang w:val="en-IN"/>
        </w:rPr>
        <w:lastRenderedPageBreak/>
        <w:t xml:space="preserve">Appendix </w:t>
      </w:r>
      <w:r w:rsidR="00691653" w:rsidRPr="008B392B">
        <w:rPr>
          <w:rFonts w:ascii="Arial" w:eastAsia="Arial" w:hAnsi="Arial" w:cs="Arial"/>
          <w:b/>
          <w:bCs/>
          <w:lang w:val="en-IN"/>
        </w:rPr>
        <w:t>B</w:t>
      </w:r>
      <w:r w:rsidRPr="008B392B">
        <w:rPr>
          <w:rFonts w:ascii="Arial" w:eastAsia="Arial" w:hAnsi="Arial" w:cs="Arial"/>
          <w:b/>
          <w:bCs/>
          <w:lang w:val="en-IN"/>
        </w:rPr>
        <w:t>: Tata Steel Product Portfolio</w:t>
      </w:r>
    </w:p>
    <w:p w14:paraId="34B78AEF" w14:textId="0A7A490F" w:rsidR="00964893" w:rsidRDefault="00964893" w:rsidP="00451BFF">
      <w:pPr>
        <w:spacing w:line="360" w:lineRule="auto"/>
        <w:jc w:val="center"/>
        <w:rPr>
          <w:rFonts w:ascii="Arial" w:eastAsia="Arial" w:hAnsi="Arial" w:cs="Arial"/>
        </w:rPr>
      </w:pPr>
      <w:r>
        <w:rPr>
          <w:noProof/>
        </w:rPr>
        <w:drawing>
          <wp:inline distT="0" distB="0" distL="0" distR="0" wp14:anchorId="339D52B1" wp14:editId="42101DD3">
            <wp:extent cx="3643952" cy="3643952"/>
            <wp:effectExtent l="0" t="0" r="0" b="0"/>
            <wp:docPr id="175486550" name="Picture 1" descr="Buy TATA TISCON 8 mm Fe 500 TMT Bars 12 m ISI 1786 : 2008 online at best rates in India | L&amp;T-SuF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TATA TISCON 8 mm Fe 500 TMT Bars 12 m ISI 1786 : 2008 online at best rates in India | L&amp;T-SuFin"/>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44526" cy="3644526"/>
                    </a:xfrm>
                    <a:prstGeom prst="rect">
                      <a:avLst/>
                    </a:prstGeom>
                    <a:noFill/>
                    <a:ln>
                      <a:noFill/>
                    </a:ln>
                  </pic:spPr>
                </pic:pic>
              </a:graphicData>
            </a:graphic>
          </wp:inline>
        </w:drawing>
      </w:r>
    </w:p>
    <w:p w14:paraId="5ECDBBFA" w14:textId="15B145E2" w:rsidR="008B392B" w:rsidRPr="008B392B" w:rsidRDefault="00964893">
      <w:pPr>
        <w:rPr>
          <w:rFonts w:ascii="Arial" w:eastAsia="Arial" w:hAnsi="Arial" w:cs="Arial"/>
          <w:i/>
          <w:iCs/>
        </w:rPr>
      </w:pPr>
      <w:r w:rsidRPr="00964893">
        <w:rPr>
          <w:rFonts w:ascii="Arial" w:eastAsia="Arial" w:hAnsi="Arial" w:cs="Arial"/>
        </w:rPr>
        <w:t xml:space="preserve">Figure A1: Tata </w:t>
      </w:r>
      <w:proofErr w:type="spellStart"/>
      <w:r w:rsidRPr="00964893">
        <w:rPr>
          <w:rFonts w:ascii="Arial" w:eastAsia="Arial" w:hAnsi="Arial" w:cs="Arial"/>
        </w:rPr>
        <w:t>Tiscon</w:t>
      </w:r>
      <w:proofErr w:type="spellEnd"/>
      <w:r w:rsidRPr="00964893">
        <w:rPr>
          <w:rFonts w:ascii="Arial" w:eastAsia="Arial" w:hAnsi="Arial" w:cs="Arial"/>
        </w:rPr>
        <w:t xml:space="preserve"> Rebars (construction steel bars)</w:t>
      </w:r>
      <w:r w:rsidRPr="00964893">
        <w:rPr>
          <w:rFonts w:ascii="Arial" w:eastAsia="Arial" w:hAnsi="Arial" w:cs="Arial"/>
        </w:rPr>
        <w:br/>
      </w:r>
      <w:r w:rsidRPr="00964893">
        <w:rPr>
          <w:rFonts w:ascii="Arial" w:eastAsia="Arial" w:hAnsi="Arial" w:cs="Arial"/>
          <w:i/>
          <w:iCs/>
        </w:rPr>
        <w:t>Source: Tata Steel (2025a</w:t>
      </w:r>
      <w:r>
        <w:rPr>
          <w:rFonts w:ascii="Arial" w:eastAsia="Arial" w:hAnsi="Arial" w:cs="Arial"/>
        </w:rPr>
        <w:t>)</w:t>
      </w:r>
    </w:p>
    <w:p w14:paraId="4FCA172F" w14:textId="4CD29D55" w:rsidR="00964893" w:rsidRDefault="008B392B" w:rsidP="00451BFF">
      <w:pPr>
        <w:jc w:val="center"/>
        <w:rPr>
          <w:rFonts w:ascii="Arial" w:eastAsia="Arial" w:hAnsi="Arial" w:cs="Arial"/>
        </w:rPr>
      </w:pPr>
      <w:r>
        <w:rPr>
          <w:noProof/>
        </w:rPr>
        <w:drawing>
          <wp:inline distT="0" distB="0" distL="0" distR="0" wp14:anchorId="3E47354B" wp14:editId="7C724C52">
            <wp:extent cx="4380931" cy="2189495"/>
            <wp:effectExtent l="0" t="0" r="635" b="1270"/>
            <wp:docPr id="1003405463" name="Picture 2" descr="Tata Steel Tubes Division Crosses One Million Tonne Milestone in FY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ta Steel Tubes Division Crosses One Million Tonne Milestone in FY2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35075" cy="2216555"/>
                    </a:xfrm>
                    <a:prstGeom prst="rect">
                      <a:avLst/>
                    </a:prstGeom>
                    <a:noFill/>
                    <a:ln>
                      <a:noFill/>
                    </a:ln>
                  </pic:spPr>
                </pic:pic>
              </a:graphicData>
            </a:graphic>
          </wp:inline>
        </w:drawing>
      </w:r>
    </w:p>
    <w:p w14:paraId="0B709700" w14:textId="77777777" w:rsidR="00964893" w:rsidRDefault="00964893" w:rsidP="00964893">
      <w:pPr>
        <w:rPr>
          <w:rFonts w:ascii="Arial" w:eastAsia="Arial" w:hAnsi="Arial" w:cs="Arial"/>
          <w:lang w:val="en-IN"/>
        </w:rPr>
      </w:pPr>
      <w:r w:rsidRPr="00964893">
        <w:rPr>
          <w:rFonts w:ascii="Arial" w:eastAsia="Arial" w:hAnsi="Arial" w:cs="Arial"/>
          <w:lang w:val="en-IN"/>
        </w:rPr>
        <w:t xml:space="preserve">Figure A2: Tata </w:t>
      </w:r>
      <w:proofErr w:type="spellStart"/>
      <w:r w:rsidRPr="00964893">
        <w:rPr>
          <w:rFonts w:ascii="Arial" w:eastAsia="Arial" w:hAnsi="Arial" w:cs="Arial"/>
          <w:lang w:val="en-IN"/>
        </w:rPr>
        <w:t>Structura</w:t>
      </w:r>
      <w:proofErr w:type="spellEnd"/>
      <w:r w:rsidRPr="00964893">
        <w:rPr>
          <w:rFonts w:ascii="Arial" w:eastAsia="Arial" w:hAnsi="Arial" w:cs="Arial"/>
          <w:lang w:val="en-IN"/>
        </w:rPr>
        <w:t xml:space="preserve"> Hollow Steel Sections for Structural Applications.</w:t>
      </w:r>
      <w:r w:rsidRPr="00964893">
        <w:rPr>
          <w:rFonts w:ascii="Arial" w:eastAsia="Arial" w:hAnsi="Arial" w:cs="Arial"/>
          <w:lang w:val="en-IN"/>
        </w:rPr>
        <w:br/>
        <w:t>Source: Tata Steel (2025).</w:t>
      </w:r>
    </w:p>
    <w:p w14:paraId="1DB5F4E6" w14:textId="7DF39361" w:rsidR="00964893" w:rsidRDefault="00964893" w:rsidP="00451BFF">
      <w:pPr>
        <w:spacing w:line="360" w:lineRule="auto"/>
        <w:jc w:val="center"/>
        <w:rPr>
          <w:rFonts w:ascii="Arial" w:eastAsia="Arial" w:hAnsi="Arial" w:cs="Arial"/>
        </w:rPr>
      </w:pPr>
      <w:r w:rsidRPr="00964893">
        <w:rPr>
          <w:rFonts w:ascii="Arial" w:eastAsia="Arial" w:hAnsi="Arial" w:cs="Arial"/>
          <w:noProof/>
        </w:rPr>
        <w:lastRenderedPageBreak/>
        <w:drawing>
          <wp:inline distT="0" distB="0" distL="0" distR="0" wp14:anchorId="0469F65D" wp14:editId="701D06A7">
            <wp:extent cx="4362482" cy="3362350"/>
            <wp:effectExtent l="0" t="0" r="0" b="9525"/>
            <wp:docPr id="582394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94724" name=""/>
                    <pic:cNvPicPr/>
                  </pic:nvPicPr>
                  <pic:blipFill>
                    <a:blip r:embed="rId40"/>
                    <a:stretch>
                      <a:fillRect/>
                    </a:stretch>
                  </pic:blipFill>
                  <pic:spPr>
                    <a:xfrm>
                      <a:off x="0" y="0"/>
                      <a:ext cx="4362482" cy="3362350"/>
                    </a:xfrm>
                    <a:prstGeom prst="rect">
                      <a:avLst/>
                    </a:prstGeom>
                  </pic:spPr>
                </pic:pic>
              </a:graphicData>
            </a:graphic>
          </wp:inline>
        </w:drawing>
      </w:r>
    </w:p>
    <w:p w14:paraId="0A53C9C3" w14:textId="3068C2FE" w:rsidR="00964893" w:rsidRDefault="00964893" w:rsidP="00964893">
      <w:pPr>
        <w:spacing w:line="360" w:lineRule="auto"/>
        <w:rPr>
          <w:rFonts w:ascii="Arial" w:eastAsia="Arial" w:hAnsi="Arial" w:cs="Arial"/>
        </w:rPr>
      </w:pPr>
      <w:r w:rsidRPr="00964893">
        <w:rPr>
          <w:rFonts w:ascii="Arial" w:eastAsia="Arial" w:hAnsi="Arial" w:cs="Arial"/>
        </w:rPr>
        <w:t xml:space="preserve">Figure A3: Tata </w:t>
      </w:r>
      <w:proofErr w:type="spellStart"/>
      <w:r w:rsidRPr="00964893">
        <w:rPr>
          <w:rFonts w:ascii="Arial" w:eastAsia="Arial" w:hAnsi="Arial" w:cs="Arial"/>
        </w:rPr>
        <w:t>Shaktee</w:t>
      </w:r>
      <w:proofErr w:type="spellEnd"/>
      <w:r w:rsidRPr="00964893">
        <w:rPr>
          <w:rFonts w:ascii="Arial" w:eastAsia="Arial" w:hAnsi="Arial" w:cs="Arial"/>
        </w:rPr>
        <w:t xml:space="preserve"> Roofing Sheets.</w:t>
      </w:r>
      <w:r w:rsidRPr="00964893">
        <w:rPr>
          <w:rFonts w:ascii="Arial" w:eastAsia="Arial" w:hAnsi="Arial" w:cs="Arial"/>
        </w:rPr>
        <w:br/>
        <w:t>Source: Tata Steel (2025).</w:t>
      </w:r>
    </w:p>
    <w:p w14:paraId="046D68F9" w14:textId="2D22DC87" w:rsidR="00964893" w:rsidRDefault="00964893" w:rsidP="00451BFF">
      <w:pPr>
        <w:jc w:val="center"/>
        <w:rPr>
          <w:rFonts w:ascii="Arial" w:eastAsia="Arial" w:hAnsi="Arial" w:cs="Arial"/>
        </w:rPr>
      </w:pPr>
      <w:r>
        <w:rPr>
          <w:noProof/>
        </w:rPr>
        <w:drawing>
          <wp:inline distT="0" distB="0" distL="0" distR="0" wp14:anchorId="1DD722AF" wp14:editId="431408EB">
            <wp:extent cx="2593074" cy="3571382"/>
            <wp:effectExtent l="0" t="0" r="0" b="0"/>
            <wp:docPr id="149281411" name="Picture 5" descr="Tata Steelium | GK Ispat Private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ta Steelium | GK Ispat Private Limi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07758" cy="3591606"/>
                    </a:xfrm>
                    <a:prstGeom prst="rect">
                      <a:avLst/>
                    </a:prstGeom>
                    <a:noFill/>
                    <a:ln>
                      <a:noFill/>
                    </a:ln>
                  </pic:spPr>
                </pic:pic>
              </a:graphicData>
            </a:graphic>
          </wp:inline>
        </w:drawing>
      </w:r>
    </w:p>
    <w:p w14:paraId="46DFED8D" w14:textId="77777777" w:rsidR="00964893" w:rsidRDefault="00964893">
      <w:pPr>
        <w:spacing w:line="360" w:lineRule="auto"/>
        <w:jc w:val="both"/>
        <w:rPr>
          <w:rFonts w:ascii="Arial" w:eastAsia="Arial" w:hAnsi="Arial" w:cs="Arial"/>
        </w:rPr>
      </w:pPr>
      <w:r w:rsidRPr="00964893">
        <w:rPr>
          <w:rFonts w:ascii="Arial" w:eastAsia="Arial" w:hAnsi="Arial" w:cs="Arial"/>
        </w:rPr>
        <w:t xml:space="preserve">Figure A4: Tata </w:t>
      </w:r>
      <w:proofErr w:type="spellStart"/>
      <w:r w:rsidRPr="00964893">
        <w:rPr>
          <w:rFonts w:ascii="Arial" w:eastAsia="Arial" w:hAnsi="Arial" w:cs="Arial"/>
        </w:rPr>
        <w:t>Steelium</w:t>
      </w:r>
      <w:proofErr w:type="spellEnd"/>
      <w:r w:rsidRPr="00964893">
        <w:rPr>
          <w:rFonts w:ascii="Arial" w:eastAsia="Arial" w:hAnsi="Arial" w:cs="Arial"/>
        </w:rPr>
        <w:t xml:space="preserve"> Cold Rolled Steel Products.</w:t>
      </w:r>
    </w:p>
    <w:p w14:paraId="4D9FE652" w14:textId="592859BE" w:rsidR="00F92D73" w:rsidRDefault="00964893">
      <w:pPr>
        <w:spacing w:line="360" w:lineRule="auto"/>
        <w:jc w:val="both"/>
        <w:rPr>
          <w:rFonts w:ascii="Arial" w:eastAsia="Arial" w:hAnsi="Arial" w:cs="Arial"/>
        </w:rPr>
      </w:pPr>
      <w:r w:rsidRPr="00964893">
        <w:rPr>
          <w:rFonts w:ascii="Arial" w:eastAsia="Arial" w:hAnsi="Arial" w:cs="Arial"/>
        </w:rPr>
        <w:t>Source: Tata Steel (2025).</w:t>
      </w:r>
    </w:p>
    <w:p w14:paraId="41857474" w14:textId="72A70A37" w:rsidR="00246D37" w:rsidRPr="00451BFF" w:rsidRDefault="00F92D73" w:rsidP="00451BFF">
      <w:pPr>
        <w:rPr>
          <w:rFonts w:ascii="Arial" w:eastAsia="Arial" w:hAnsi="Arial" w:cs="Arial"/>
        </w:rPr>
      </w:pPr>
      <w:r>
        <w:rPr>
          <w:rFonts w:ascii="Arial" w:eastAsia="Arial" w:hAnsi="Arial" w:cs="Arial"/>
        </w:rPr>
        <w:br w:type="page"/>
      </w:r>
      <w:r w:rsidR="00246D37" w:rsidRPr="00964893">
        <w:rPr>
          <w:rFonts w:ascii="Arial" w:eastAsia="Arial" w:hAnsi="Arial" w:cs="Arial"/>
          <w:b/>
          <w:bCs/>
          <w:lang w:val="en-IN"/>
        </w:rPr>
        <w:lastRenderedPageBreak/>
        <w:t xml:space="preserve">Appendix </w:t>
      </w:r>
      <w:r w:rsidR="00246D37">
        <w:rPr>
          <w:rFonts w:ascii="Arial" w:eastAsia="Arial" w:hAnsi="Arial" w:cs="Arial"/>
          <w:b/>
          <w:bCs/>
          <w:lang w:val="en-IN"/>
        </w:rPr>
        <w:t>C</w:t>
      </w:r>
      <w:r w:rsidR="00246D37" w:rsidRPr="00964893">
        <w:rPr>
          <w:rFonts w:ascii="Arial" w:eastAsia="Arial" w:hAnsi="Arial" w:cs="Arial"/>
          <w:b/>
          <w:bCs/>
          <w:lang w:val="en-IN"/>
        </w:rPr>
        <w:t xml:space="preserve">: </w:t>
      </w:r>
      <w:r w:rsidR="00246D37" w:rsidRPr="00F92D73">
        <w:rPr>
          <w:rFonts w:ascii="Arial" w:eastAsia="Arial" w:hAnsi="Arial" w:cs="Arial"/>
          <w:b/>
          <w:bCs/>
        </w:rPr>
        <w:t>Tata Steel Carbon Emissions Intensity Trend (2021–2025)</w:t>
      </w:r>
    </w:p>
    <w:p w14:paraId="0564EDF3" w14:textId="77777777" w:rsidR="00691653" w:rsidRDefault="00691653" w:rsidP="00691653">
      <w:pPr>
        <w:keepNext/>
        <w:spacing w:line="360" w:lineRule="auto"/>
        <w:jc w:val="both"/>
      </w:pPr>
      <w:r>
        <w:rPr>
          <w:rFonts w:ascii="Arial" w:eastAsia="Arial" w:hAnsi="Arial" w:cs="Arial"/>
          <w:noProof/>
        </w:rPr>
        <w:drawing>
          <wp:inline distT="0" distB="0" distL="0" distR="0" wp14:anchorId="640E3ACF" wp14:editId="5271021D">
            <wp:extent cx="5486400" cy="3200400"/>
            <wp:effectExtent l="0" t="0" r="0" b="0"/>
            <wp:docPr id="128276283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0A53B0E2" w14:textId="1082BC16" w:rsidR="00272E31" w:rsidRDefault="00691653">
      <w:pPr>
        <w:spacing w:line="360" w:lineRule="auto"/>
        <w:jc w:val="both"/>
        <w:rPr>
          <w:rFonts w:ascii="Arial" w:eastAsia="Arial" w:hAnsi="Arial" w:cs="Arial"/>
        </w:rPr>
      </w:pPr>
      <w:r w:rsidRPr="00691653">
        <w:rPr>
          <w:rFonts w:ascii="Arial" w:eastAsia="Arial" w:hAnsi="Arial" w:cs="Arial"/>
        </w:rPr>
        <w:t>Figure A5: Trend in Tata Steel's Carbon Emissions Intensity (2021–2025)</w:t>
      </w:r>
    </w:p>
    <w:p w14:paraId="01A022ED" w14:textId="21C8A695" w:rsidR="00691653" w:rsidRDefault="00691653">
      <w:pPr>
        <w:spacing w:line="360" w:lineRule="auto"/>
        <w:jc w:val="both"/>
        <w:rPr>
          <w:rFonts w:ascii="Arial" w:eastAsia="Arial" w:hAnsi="Arial" w:cs="Arial"/>
        </w:rPr>
      </w:pPr>
      <w:r w:rsidRPr="00691653">
        <w:rPr>
          <w:rFonts w:ascii="Arial" w:eastAsia="Arial" w:hAnsi="Arial" w:cs="Arial"/>
        </w:rPr>
        <w:t>Source: Adapted from Tata Steel (2025b) ESG Indicators Factsheet.</w:t>
      </w:r>
    </w:p>
    <w:p w14:paraId="020CC420" w14:textId="77777777" w:rsidR="008B392B" w:rsidRDefault="008B392B" w:rsidP="00246D37">
      <w:pPr>
        <w:spacing w:line="360" w:lineRule="auto"/>
        <w:rPr>
          <w:rFonts w:ascii="Arial" w:eastAsia="Arial" w:hAnsi="Arial" w:cs="Arial"/>
          <w:b/>
          <w:bCs/>
          <w:lang w:val="en-IN"/>
        </w:rPr>
      </w:pPr>
    </w:p>
    <w:p w14:paraId="4CCC2BF5" w14:textId="77777777" w:rsidR="008B392B" w:rsidRDefault="008B392B" w:rsidP="00246D37">
      <w:pPr>
        <w:spacing w:line="360" w:lineRule="auto"/>
        <w:rPr>
          <w:rFonts w:ascii="Arial" w:eastAsia="Arial" w:hAnsi="Arial" w:cs="Arial"/>
          <w:b/>
          <w:bCs/>
          <w:lang w:val="en-IN"/>
        </w:rPr>
      </w:pPr>
    </w:p>
    <w:p w14:paraId="7513FDB5" w14:textId="77777777" w:rsidR="008B392B" w:rsidRDefault="008B392B" w:rsidP="00246D37">
      <w:pPr>
        <w:spacing w:line="360" w:lineRule="auto"/>
        <w:rPr>
          <w:rFonts w:ascii="Arial" w:eastAsia="Arial" w:hAnsi="Arial" w:cs="Arial"/>
          <w:b/>
          <w:bCs/>
          <w:lang w:val="en-IN"/>
        </w:rPr>
      </w:pPr>
    </w:p>
    <w:p w14:paraId="5BD71369" w14:textId="77777777" w:rsidR="008B392B" w:rsidRDefault="008B392B" w:rsidP="00246D37">
      <w:pPr>
        <w:spacing w:line="360" w:lineRule="auto"/>
        <w:rPr>
          <w:rFonts w:ascii="Arial" w:eastAsia="Arial" w:hAnsi="Arial" w:cs="Arial"/>
          <w:b/>
          <w:bCs/>
          <w:lang w:val="en-IN"/>
        </w:rPr>
      </w:pPr>
    </w:p>
    <w:p w14:paraId="445B43EF" w14:textId="77777777" w:rsidR="008B392B" w:rsidRDefault="008B392B" w:rsidP="00246D37">
      <w:pPr>
        <w:spacing w:line="360" w:lineRule="auto"/>
        <w:rPr>
          <w:rFonts w:ascii="Arial" w:eastAsia="Arial" w:hAnsi="Arial" w:cs="Arial"/>
          <w:b/>
          <w:bCs/>
          <w:lang w:val="en-IN"/>
        </w:rPr>
      </w:pPr>
    </w:p>
    <w:p w14:paraId="3F95F844" w14:textId="77777777" w:rsidR="008B392B" w:rsidRDefault="008B392B" w:rsidP="00246D37">
      <w:pPr>
        <w:spacing w:line="360" w:lineRule="auto"/>
        <w:rPr>
          <w:rFonts w:ascii="Arial" w:eastAsia="Arial" w:hAnsi="Arial" w:cs="Arial"/>
          <w:b/>
          <w:bCs/>
          <w:lang w:val="en-IN"/>
        </w:rPr>
      </w:pPr>
    </w:p>
    <w:p w14:paraId="08501D24" w14:textId="77777777" w:rsidR="008B392B" w:rsidRDefault="008B392B" w:rsidP="00246D37">
      <w:pPr>
        <w:spacing w:line="360" w:lineRule="auto"/>
        <w:rPr>
          <w:rFonts w:ascii="Arial" w:eastAsia="Arial" w:hAnsi="Arial" w:cs="Arial"/>
          <w:b/>
          <w:bCs/>
          <w:lang w:val="en-IN"/>
        </w:rPr>
      </w:pPr>
    </w:p>
    <w:p w14:paraId="6FE512A2" w14:textId="77777777" w:rsidR="008B392B" w:rsidRDefault="008B392B" w:rsidP="00246D37">
      <w:pPr>
        <w:spacing w:line="360" w:lineRule="auto"/>
        <w:rPr>
          <w:rFonts w:ascii="Arial" w:eastAsia="Arial" w:hAnsi="Arial" w:cs="Arial"/>
          <w:b/>
          <w:bCs/>
          <w:lang w:val="en-IN"/>
        </w:rPr>
      </w:pPr>
    </w:p>
    <w:p w14:paraId="672C1920" w14:textId="77777777" w:rsidR="008B392B" w:rsidRDefault="008B392B" w:rsidP="00246D37">
      <w:pPr>
        <w:spacing w:line="360" w:lineRule="auto"/>
        <w:rPr>
          <w:rFonts w:ascii="Arial" w:eastAsia="Arial" w:hAnsi="Arial" w:cs="Arial"/>
          <w:b/>
          <w:bCs/>
          <w:lang w:val="en-IN"/>
        </w:rPr>
      </w:pPr>
    </w:p>
    <w:p w14:paraId="478188BD" w14:textId="77777777" w:rsidR="008B392B" w:rsidRDefault="008B392B" w:rsidP="00246D37">
      <w:pPr>
        <w:spacing w:line="360" w:lineRule="auto"/>
        <w:rPr>
          <w:rFonts w:ascii="Arial" w:eastAsia="Arial" w:hAnsi="Arial" w:cs="Arial"/>
          <w:b/>
          <w:bCs/>
          <w:lang w:val="en-IN"/>
        </w:rPr>
      </w:pPr>
    </w:p>
    <w:p w14:paraId="23BA0A17" w14:textId="21CCC3D5" w:rsidR="00246D37" w:rsidRPr="00964893" w:rsidRDefault="00246D37" w:rsidP="00246D37">
      <w:pPr>
        <w:spacing w:line="360" w:lineRule="auto"/>
        <w:rPr>
          <w:rFonts w:ascii="Arial" w:eastAsia="Arial" w:hAnsi="Arial" w:cs="Arial"/>
          <w:lang w:val="en-IN"/>
        </w:rPr>
      </w:pPr>
      <w:r w:rsidRPr="00964893">
        <w:rPr>
          <w:rFonts w:ascii="Arial" w:eastAsia="Arial" w:hAnsi="Arial" w:cs="Arial"/>
          <w:b/>
          <w:bCs/>
          <w:lang w:val="en-IN"/>
        </w:rPr>
        <w:lastRenderedPageBreak/>
        <w:t xml:space="preserve">Appendix </w:t>
      </w:r>
      <w:r>
        <w:rPr>
          <w:rFonts w:ascii="Arial" w:eastAsia="Arial" w:hAnsi="Arial" w:cs="Arial"/>
          <w:b/>
          <w:bCs/>
          <w:lang w:val="en-IN"/>
        </w:rPr>
        <w:t>D</w:t>
      </w:r>
      <w:r w:rsidRPr="00964893">
        <w:rPr>
          <w:rFonts w:ascii="Arial" w:eastAsia="Arial" w:hAnsi="Arial" w:cs="Arial"/>
          <w:b/>
          <w:bCs/>
          <w:lang w:val="en-IN"/>
        </w:rPr>
        <w:t xml:space="preserve">: </w:t>
      </w:r>
      <w:r w:rsidRPr="00246D37">
        <w:rPr>
          <w:rFonts w:ascii="Arial" w:eastAsia="Arial" w:hAnsi="Arial" w:cs="Arial"/>
          <w:b/>
          <w:bCs/>
        </w:rPr>
        <w:t>Major Competitors of Tata Stee</w:t>
      </w:r>
      <w:r>
        <w:rPr>
          <w:rFonts w:ascii="Arial" w:eastAsia="Arial" w:hAnsi="Arial" w:cs="Arial"/>
          <w:b/>
          <w:bCs/>
        </w:rPr>
        <w:t>l</w:t>
      </w:r>
    </w:p>
    <w:p w14:paraId="224BAF73" w14:textId="77777777" w:rsidR="00246D37" w:rsidRPr="00246D37" w:rsidRDefault="00246D37" w:rsidP="00246D37">
      <w:pPr>
        <w:spacing w:line="360" w:lineRule="auto"/>
        <w:jc w:val="both"/>
        <w:rPr>
          <w:rFonts w:ascii="Arial" w:eastAsia="Arial" w:hAnsi="Arial" w:cs="Arial"/>
          <w:lang w:val="en-IN"/>
        </w:rPr>
      </w:pPr>
      <w:r w:rsidRPr="00246D37">
        <w:rPr>
          <w:rFonts w:ascii="Arial" w:eastAsia="Arial" w:hAnsi="Arial" w:cs="Arial"/>
          <w:lang w:val="en-IN"/>
        </w:rPr>
        <w:t>Table A2: Major Competitors of Tata Steel</w:t>
      </w:r>
    </w:p>
    <w:tbl>
      <w:tblPr>
        <w:tblStyle w:val="GridTable5Dark-Accent4"/>
        <w:tblW w:w="0" w:type="auto"/>
        <w:tblLook w:val="04A0" w:firstRow="1" w:lastRow="0" w:firstColumn="1" w:lastColumn="0" w:noHBand="0" w:noVBand="1"/>
      </w:tblPr>
      <w:tblGrid>
        <w:gridCol w:w="2531"/>
        <w:gridCol w:w="1551"/>
        <w:gridCol w:w="4934"/>
      </w:tblGrid>
      <w:tr w:rsidR="00246D37" w:rsidRPr="00246D37" w14:paraId="4A6F45FC" w14:textId="77777777" w:rsidTr="00246D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968ACB"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Competitor</w:t>
            </w:r>
          </w:p>
        </w:tc>
        <w:tc>
          <w:tcPr>
            <w:tcW w:w="0" w:type="auto"/>
            <w:hideMark/>
          </w:tcPr>
          <w:p w14:paraId="46577A8B" w14:textId="77777777" w:rsidR="00246D37" w:rsidRPr="00246D37" w:rsidRDefault="00246D37" w:rsidP="00246D37">
            <w:pPr>
              <w:spacing w:after="240"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Country</w:t>
            </w:r>
          </w:p>
        </w:tc>
        <w:tc>
          <w:tcPr>
            <w:tcW w:w="0" w:type="auto"/>
            <w:hideMark/>
          </w:tcPr>
          <w:p w14:paraId="2504F672" w14:textId="77777777" w:rsidR="00246D37" w:rsidRPr="00246D37" w:rsidRDefault="00246D37" w:rsidP="00246D37">
            <w:pPr>
              <w:spacing w:after="240"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Competitive Strength</w:t>
            </w:r>
          </w:p>
        </w:tc>
      </w:tr>
      <w:tr w:rsidR="00246D37" w:rsidRPr="00246D37" w14:paraId="0AF5ECFA" w14:textId="77777777" w:rsidTr="00246D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DCB4D5"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JSW Steel</w:t>
            </w:r>
          </w:p>
        </w:tc>
        <w:tc>
          <w:tcPr>
            <w:tcW w:w="0" w:type="auto"/>
            <w:hideMark/>
          </w:tcPr>
          <w:p w14:paraId="13121285"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India</w:t>
            </w:r>
          </w:p>
        </w:tc>
        <w:tc>
          <w:tcPr>
            <w:tcW w:w="0" w:type="auto"/>
            <w:hideMark/>
          </w:tcPr>
          <w:p w14:paraId="375D2234"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Large domestic steel producer</w:t>
            </w:r>
          </w:p>
        </w:tc>
      </w:tr>
      <w:tr w:rsidR="00246D37" w:rsidRPr="00246D37" w14:paraId="269F1FEA" w14:textId="77777777" w:rsidTr="00246D37">
        <w:tc>
          <w:tcPr>
            <w:cnfStyle w:val="001000000000" w:firstRow="0" w:lastRow="0" w:firstColumn="1" w:lastColumn="0" w:oddVBand="0" w:evenVBand="0" w:oddHBand="0" w:evenHBand="0" w:firstRowFirstColumn="0" w:firstRowLastColumn="0" w:lastRowFirstColumn="0" w:lastRowLastColumn="0"/>
            <w:tcW w:w="0" w:type="auto"/>
            <w:hideMark/>
          </w:tcPr>
          <w:p w14:paraId="1790DC42"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SAIL</w:t>
            </w:r>
          </w:p>
        </w:tc>
        <w:tc>
          <w:tcPr>
            <w:tcW w:w="0" w:type="auto"/>
            <w:hideMark/>
          </w:tcPr>
          <w:p w14:paraId="2B5E949D"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India</w:t>
            </w:r>
          </w:p>
        </w:tc>
        <w:tc>
          <w:tcPr>
            <w:tcW w:w="0" w:type="auto"/>
            <w:hideMark/>
          </w:tcPr>
          <w:p w14:paraId="66780D32"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Government-backed integrated steel producer</w:t>
            </w:r>
          </w:p>
        </w:tc>
      </w:tr>
      <w:tr w:rsidR="00246D37" w:rsidRPr="00246D37" w14:paraId="07B001F3" w14:textId="77777777" w:rsidTr="00246D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82B4D"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ArcelorMittal</w:t>
            </w:r>
          </w:p>
        </w:tc>
        <w:tc>
          <w:tcPr>
            <w:tcW w:w="0" w:type="auto"/>
            <w:hideMark/>
          </w:tcPr>
          <w:p w14:paraId="05C1F3E8"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Luxembourg</w:t>
            </w:r>
          </w:p>
        </w:tc>
        <w:tc>
          <w:tcPr>
            <w:tcW w:w="0" w:type="auto"/>
            <w:hideMark/>
          </w:tcPr>
          <w:p w14:paraId="7CB6B0F8"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Global market leadership</w:t>
            </w:r>
          </w:p>
        </w:tc>
      </w:tr>
      <w:tr w:rsidR="00246D37" w:rsidRPr="00246D37" w14:paraId="6D95904D" w14:textId="77777777" w:rsidTr="00246D37">
        <w:tc>
          <w:tcPr>
            <w:cnfStyle w:val="001000000000" w:firstRow="0" w:lastRow="0" w:firstColumn="1" w:lastColumn="0" w:oddVBand="0" w:evenVBand="0" w:oddHBand="0" w:evenHBand="0" w:firstRowFirstColumn="0" w:firstRowLastColumn="0" w:lastRowFirstColumn="0" w:lastRowLastColumn="0"/>
            <w:tcW w:w="0" w:type="auto"/>
            <w:hideMark/>
          </w:tcPr>
          <w:p w14:paraId="06477177"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Nippon Steel</w:t>
            </w:r>
          </w:p>
        </w:tc>
        <w:tc>
          <w:tcPr>
            <w:tcW w:w="0" w:type="auto"/>
            <w:hideMark/>
          </w:tcPr>
          <w:p w14:paraId="7DD89FD1"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Japan</w:t>
            </w:r>
          </w:p>
        </w:tc>
        <w:tc>
          <w:tcPr>
            <w:tcW w:w="0" w:type="auto"/>
            <w:hideMark/>
          </w:tcPr>
          <w:p w14:paraId="7A7820F7"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Advanced steel technologies</w:t>
            </w:r>
          </w:p>
        </w:tc>
      </w:tr>
      <w:tr w:rsidR="00246D37" w:rsidRPr="00246D37" w14:paraId="52CA9D3C" w14:textId="77777777" w:rsidTr="00246D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DBB75"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POSCO</w:t>
            </w:r>
          </w:p>
        </w:tc>
        <w:tc>
          <w:tcPr>
            <w:tcW w:w="0" w:type="auto"/>
            <w:hideMark/>
          </w:tcPr>
          <w:p w14:paraId="789D371D"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South Korea</w:t>
            </w:r>
          </w:p>
        </w:tc>
        <w:tc>
          <w:tcPr>
            <w:tcW w:w="0" w:type="auto"/>
            <w:hideMark/>
          </w:tcPr>
          <w:p w14:paraId="42585BE8" w14:textId="77777777" w:rsidR="00246D37" w:rsidRPr="00246D37" w:rsidRDefault="00246D37" w:rsidP="00246D37">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Strong green steel initiatives</w:t>
            </w:r>
          </w:p>
        </w:tc>
      </w:tr>
      <w:tr w:rsidR="00246D37" w:rsidRPr="00246D37" w14:paraId="61A0C3C7" w14:textId="77777777" w:rsidTr="00246D37">
        <w:tc>
          <w:tcPr>
            <w:cnfStyle w:val="001000000000" w:firstRow="0" w:lastRow="0" w:firstColumn="1" w:lastColumn="0" w:oddVBand="0" w:evenVBand="0" w:oddHBand="0" w:evenHBand="0" w:firstRowFirstColumn="0" w:firstRowLastColumn="0" w:lastRowFirstColumn="0" w:lastRowLastColumn="0"/>
            <w:tcW w:w="0" w:type="auto"/>
            <w:hideMark/>
          </w:tcPr>
          <w:p w14:paraId="41FEEB5A" w14:textId="77777777" w:rsidR="00246D37" w:rsidRPr="00246D37" w:rsidRDefault="00246D37" w:rsidP="00246D37">
            <w:pPr>
              <w:spacing w:after="240" w:line="360" w:lineRule="auto"/>
              <w:jc w:val="both"/>
              <w:rPr>
                <w:rFonts w:ascii="Arial" w:eastAsia="Arial" w:hAnsi="Arial" w:cs="Arial"/>
                <w:lang w:val="en-IN"/>
              </w:rPr>
            </w:pPr>
            <w:r w:rsidRPr="00246D37">
              <w:rPr>
                <w:rFonts w:ascii="Arial" w:eastAsia="Arial" w:hAnsi="Arial" w:cs="Arial"/>
                <w:lang w:val="en-IN"/>
              </w:rPr>
              <w:t>Jindal Steel &amp; Power</w:t>
            </w:r>
          </w:p>
        </w:tc>
        <w:tc>
          <w:tcPr>
            <w:tcW w:w="0" w:type="auto"/>
            <w:hideMark/>
          </w:tcPr>
          <w:p w14:paraId="6B97AC64"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India</w:t>
            </w:r>
          </w:p>
        </w:tc>
        <w:tc>
          <w:tcPr>
            <w:tcW w:w="0" w:type="auto"/>
            <w:hideMark/>
          </w:tcPr>
          <w:p w14:paraId="34BD6A38" w14:textId="77777777" w:rsidR="00246D37" w:rsidRPr="00246D37" w:rsidRDefault="00246D37" w:rsidP="00246D37">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lang w:val="en-IN"/>
              </w:rPr>
            </w:pPr>
            <w:r w:rsidRPr="00246D37">
              <w:rPr>
                <w:rFonts w:ascii="Arial" w:eastAsia="Arial" w:hAnsi="Arial" w:cs="Arial"/>
                <w:lang w:val="en-IN"/>
              </w:rPr>
              <w:t>Infrastructure and construction focus</w:t>
            </w:r>
          </w:p>
        </w:tc>
      </w:tr>
    </w:tbl>
    <w:p w14:paraId="6F839689" w14:textId="77777777" w:rsidR="00246D37" w:rsidRPr="00246D37" w:rsidRDefault="00246D37" w:rsidP="00246D37">
      <w:pPr>
        <w:spacing w:line="360" w:lineRule="auto"/>
        <w:jc w:val="both"/>
        <w:rPr>
          <w:rFonts w:ascii="Arial" w:eastAsia="Arial" w:hAnsi="Arial" w:cs="Arial"/>
          <w:lang w:val="en-IN"/>
        </w:rPr>
      </w:pPr>
      <w:r w:rsidRPr="00246D37">
        <w:rPr>
          <w:rFonts w:ascii="Arial" w:eastAsia="Arial" w:hAnsi="Arial" w:cs="Arial"/>
          <w:lang w:val="en-IN"/>
        </w:rPr>
        <w:t>Source: Author, based on company reports and industry analysis.</w:t>
      </w:r>
    </w:p>
    <w:p w14:paraId="25AFE1EF" w14:textId="77777777" w:rsidR="00246D37" w:rsidRDefault="00246D37">
      <w:pPr>
        <w:spacing w:line="360" w:lineRule="auto"/>
        <w:jc w:val="both"/>
        <w:rPr>
          <w:rFonts w:ascii="Arial" w:eastAsia="Arial" w:hAnsi="Arial" w:cs="Arial"/>
        </w:rPr>
      </w:pPr>
    </w:p>
    <w:p w14:paraId="66FDB7B0" w14:textId="77777777" w:rsidR="00691653" w:rsidRDefault="00691653">
      <w:pPr>
        <w:spacing w:line="360" w:lineRule="auto"/>
        <w:jc w:val="both"/>
        <w:rPr>
          <w:rFonts w:ascii="Arial" w:eastAsia="Arial" w:hAnsi="Arial" w:cs="Arial"/>
        </w:rPr>
      </w:pPr>
    </w:p>
    <w:sectPr w:rsidR="00691653" w:rsidSect="00394FE2">
      <w:footerReference w:type="default" r:id="rId43"/>
      <w:pgSz w:w="11906" w:h="16838"/>
      <w:pgMar w:top="1440" w:right="1440" w:bottom="1440" w:left="1440" w:header="708" w:footer="708"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D4495" w14:textId="77777777" w:rsidR="00603899" w:rsidRDefault="00603899">
      <w:pPr>
        <w:spacing w:before="0" w:after="0" w:line="240" w:lineRule="auto"/>
      </w:pPr>
      <w:r>
        <w:separator/>
      </w:r>
    </w:p>
  </w:endnote>
  <w:endnote w:type="continuationSeparator" w:id="0">
    <w:p w14:paraId="62F2A73B" w14:textId="77777777" w:rsidR="00603899" w:rsidRDefault="006038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2FFACE82-C270-4C17-97D1-AF954EAA73BE}"/>
    <w:embedItalic r:id="rId2" w:fontKey="{45599615-774D-4AAE-A211-3EE0B58DFAF4}"/>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476F822F-779F-44B4-8A02-7A385642B31A}"/>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7D145726-5ABE-4252-9821-95F228A4BB1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A6183" w14:textId="77777777" w:rsidR="00272E31" w:rsidRDefault="00486BA8">
    <w:pPr>
      <w:pBdr>
        <w:top w:val="nil"/>
        <w:left w:val="nil"/>
        <w:bottom w:val="nil"/>
        <w:right w:val="nil"/>
        <w:between w:val="nil"/>
      </w:pBdr>
      <w:tabs>
        <w:tab w:val="center" w:pos="4513"/>
        <w:tab w:val="right" w:pos="9026"/>
      </w:tabs>
      <w:spacing w:before="0" w:after="0" w:line="240" w:lineRule="auto"/>
      <w:jc w:val="right"/>
      <w:rPr>
        <w:rFonts w:ascii="Aptos" w:eastAsia="Aptos" w:hAnsi="Aptos" w:cs="Aptos"/>
        <w:color w:val="000000"/>
      </w:rPr>
    </w:pPr>
    <w:r>
      <w:rPr>
        <w:rFonts w:ascii="Aptos" w:eastAsia="Aptos" w:hAnsi="Aptos" w:cs="Aptos"/>
        <w:color w:val="000000"/>
      </w:rPr>
      <w:fldChar w:fldCharType="begin"/>
    </w:r>
    <w:r>
      <w:rPr>
        <w:rFonts w:ascii="Aptos" w:eastAsia="Aptos" w:hAnsi="Aptos" w:cs="Aptos"/>
        <w:color w:val="000000"/>
      </w:rPr>
      <w:instrText>PAGE</w:instrText>
    </w:r>
    <w:r>
      <w:rPr>
        <w:rFonts w:ascii="Aptos" w:eastAsia="Aptos" w:hAnsi="Aptos" w:cs="Aptos"/>
        <w:color w:val="000000"/>
      </w:rPr>
      <w:fldChar w:fldCharType="separate"/>
    </w:r>
    <w:r w:rsidR="00394FE2">
      <w:rPr>
        <w:rFonts w:ascii="Aptos" w:eastAsia="Aptos" w:hAnsi="Aptos" w:cs="Aptos"/>
        <w:noProof/>
        <w:color w:val="000000"/>
      </w:rPr>
      <w:t>1</w:t>
    </w:r>
    <w:r>
      <w:rPr>
        <w:rFonts w:ascii="Aptos" w:eastAsia="Aptos" w:hAnsi="Aptos" w:cs="Aptos"/>
        <w:color w:val="000000"/>
      </w:rPr>
      <w:fldChar w:fldCharType="end"/>
    </w:r>
  </w:p>
  <w:p w14:paraId="0DCBA986" w14:textId="77777777" w:rsidR="00272E31" w:rsidRDefault="00272E31">
    <w:pPr>
      <w:pBdr>
        <w:top w:val="nil"/>
        <w:left w:val="nil"/>
        <w:bottom w:val="nil"/>
        <w:right w:val="nil"/>
        <w:between w:val="nil"/>
      </w:pBdr>
      <w:tabs>
        <w:tab w:val="center" w:pos="4513"/>
        <w:tab w:val="right" w:pos="9026"/>
      </w:tabs>
      <w:spacing w:before="0" w:after="0" w:line="240" w:lineRule="auto"/>
      <w:rPr>
        <w:rFonts w:ascii="Aptos" w:eastAsia="Aptos" w:hAnsi="Aptos" w:cs="Aptos"/>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94055" w14:textId="77777777" w:rsidR="00603899" w:rsidRDefault="00603899">
      <w:pPr>
        <w:spacing w:before="0" w:after="0" w:line="240" w:lineRule="auto"/>
      </w:pPr>
      <w:r>
        <w:separator/>
      </w:r>
    </w:p>
  </w:footnote>
  <w:footnote w:type="continuationSeparator" w:id="0">
    <w:p w14:paraId="5A22FB08" w14:textId="77777777" w:rsidR="00603899" w:rsidRDefault="0060389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251A5"/>
    <w:multiLevelType w:val="multilevel"/>
    <w:tmpl w:val="FA6CA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8059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E31"/>
    <w:rsid w:val="00061B7A"/>
    <w:rsid w:val="000925B5"/>
    <w:rsid w:val="00092928"/>
    <w:rsid w:val="000C14E0"/>
    <w:rsid w:val="000D71BE"/>
    <w:rsid w:val="000E76E5"/>
    <w:rsid w:val="00136F9C"/>
    <w:rsid w:val="00157706"/>
    <w:rsid w:val="001E0DE9"/>
    <w:rsid w:val="00237724"/>
    <w:rsid w:val="00246D37"/>
    <w:rsid w:val="00272E31"/>
    <w:rsid w:val="00274A80"/>
    <w:rsid w:val="00394FE2"/>
    <w:rsid w:val="0041303B"/>
    <w:rsid w:val="00413EA1"/>
    <w:rsid w:val="004152D4"/>
    <w:rsid w:val="00451BFF"/>
    <w:rsid w:val="00486BA8"/>
    <w:rsid w:val="004F1437"/>
    <w:rsid w:val="00540385"/>
    <w:rsid w:val="00600387"/>
    <w:rsid w:val="00603899"/>
    <w:rsid w:val="00662F95"/>
    <w:rsid w:val="00691653"/>
    <w:rsid w:val="00696CA7"/>
    <w:rsid w:val="00760EB2"/>
    <w:rsid w:val="0079519B"/>
    <w:rsid w:val="008B392B"/>
    <w:rsid w:val="00940862"/>
    <w:rsid w:val="00964893"/>
    <w:rsid w:val="00994F56"/>
    <w:rsid w:val="00A07F5B"/>
    <w:rsid w:val="00C668F6"/>
    <w:rsid w:val="00CA6454"/>
    <w:rsid w:val="00CC0E0F"/>
    <w:rsid w:val="00CD0367"/>
    <w:rsid w:val="00D3005F"/>
    <w:rsid w:val="00DF52FE"/>
    <w:rsid w:val="00E0295E"/>
    <w:rsid w:val="00E46F04"/>
    <w:rsid w:val="00E76F72"/>
    <w:rsid w:val="00EC5175"/>
    <w:rsid w:val="00EC711D"/>
    <w:rsid w:val="00ED64EB"/>
    <w:rsid w:val="00F2546B"/>
    <w:rsid w:val="00F92D7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2B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bn-IN"/>
      </w:rPr>
    </w:rPrDefault>
    <w:pPrDefault>
      <w:pPr>
        <w:spacing w:before="24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653"/>
  </w:style>
  <w:style w:type="paragraph" w:styleId="Heading1">
    <w:name w:val="heading 1"/>
    <w:basedOn w:val="Normal"/>
    <w:next w:val="Normal"/>
    <w:uiPriority w:val="9"/>
    <w:qFormat/>
    <w:pPr>
      <w:keepNext/>
      <w:keepLines/>
      <w:spacing w:before="360" w:after="80" w:line="278" w:lineRule="auto"/>
      <w:outlineLvl w:val="0"/>
    </w:pPr>
    <w:rPr>
      <w:b/>
      <w:bCs/>
      <w:color w:val="000000"/>
    </w:rPr>
  </w:style>
  <w:style w:type="paragraph" w:styleId="Heading2">
    <w:name w:val="heading 2"/>
    <w:basedOn w:val="Normal"/>
    <w:next w:val="Normal"/>
    <w:uiPriority w:val="9"/>
    <w:unhideWhenUsed/>
    <w:qFormat/>
    <w:pPr>
      <w:keepNext/>
      <w:keepLines/>
      <w:spacing w:before="160" w:after="80" w:line="278" w:lineRule="auto"/>
      <w:outlineLvl w:val="1"/>
    </w:pPr>
    <w:rPr>
      <w:b/>
      <w:bCs/>
      <w:color w:val="000000"/>
    </w:rPr>
  </w:style>
  <w:style w:type="paragraph" w:styleId="Heading3">
    <w:name w:val="heading 3"/>
    <w:basedOn w:val="Normal"/>
    <w:next w:val="Normal"/>
    <w:uiPriority w:val="9"/>
    <w:semiHidden/>
    <w:unhideWhenUsed/>
    <w:qFormat/>
    <w:pPr>
      <w:keepNext/>
      <w:keepLines/>
      <w:spacing w:before="160" w:after="80" w:line="278" w:lineRule="auto"/>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line="278" w:lineRule="auto"/>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line="278" w:lineRule="auto"/>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line="278" w:lineRule="auto"/>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FAE2D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9713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9713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9713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97132"/>
      </w:tcPr>
    </w:tblStylePr>
    <w:tblStylePr w:type="band1Vert">
      <w:tblPr/>
      <w:tcPr>
        <w:shd w:val="clear" w:color="auto" w:fill="F6C6AC"/>
      </w:tcPr>
    </w:tblStylePr>
    <w:tblStylePr w:type="band1Horz">
      <w:tblPr/>
      <w:tcPr>
        <w:shd w:val="clear" w:color="auto" w:fill="F6C6AC"/>
      </w:tcPr>
    </w:tblStylePr>
  </w:style>
  <w:style w:type="table" w:customStyle="1" w:styleId="a0">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CAEDFB"/>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0F9E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0F9E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0F9E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0F9ED5"/>
      </w:tcPr>
    </w:tblStylePr>
    <w:tblStylePr w:type="band1Vert">
      <w:tblPr/>
      <w:tcPr>
        <w:shd w:val="clear" w:color="auto" w:fill="95DCF7"/>
      </w:tcPr>
    </w:tblStylePr>
    <w:tblStylePr w:type="band1Horz">
      <w:tblPr/>
      <w:tcPr>
        <w:shd w:val="clear" w:color="auto" w:fill="95DCF7"/>
      </w:tcPr>
    </w:tblStylePr>
  </w:style>
  <w:style w:type="paragraph" w:styleId="TOC1">
    <w:name w:val="toc 1"/>
    <w:basedOn w:val="Normal"/>
    <w:next w:val="Normal"/>
    <w:autoRedefine/>
    <w:uiPriority w:val="39"/>
    <w:unhideWhenUsed/>
    <w:rsid w:val="00994F56"/>
    <w:pPr>
      <w:spacing w:after="100"/>
    </w:pPr>
    <w:rPr>
      <w:szCs w:val="30"/>
    </w:rPr>
  </w:style>
  <w:style w:type="paragraph" w:styleId="TOC2">
    <w:name w:val="toc 2"/>
    <w:basedOn w:val="Normal"/>
    <w:next w:val="Normal"/>
    <w:autoRedefine/>
    <w:uiPriority w:val="39"/>
    <w:unhideWhenUsed/>
    <w:rsid w:val="00994F56"/>
    <w:pPr>
      <w:spacing w:after="100"/>
      <w:ind w:left="240"/>
    </w:pPr>
    <w:rPr>
      <w:szCs w:val="30"/>
    </w:rPr>
  </w:style>
  <w:style w:type="character" w:styleId="Hyperlink">
    <w:name w:val="Hyperlink"/>
    <w:basedOn w:val="DefaultParagraphFont"/>
    <w:uiPriority w:val="99"/>
    <w:unhideWhenUsed/>
    <w:rsid w:val="00994F56"/>
    <w:rPr>
      <w:color w:val="0000FF" w:themeColor="hyperlink"/>
      <w:u w:val="single"/>
    </w:rPr>
  </w:style>
  <w:style w:type="paragraph" w:styleId="Header">
    <w:name w:val="header"/>
    <w:basedOn w:val="Normal"/>
    <w:link w:val="HeaderChar"/>
    <w:uiPriority w:val="99"/>
    <w:unhideWhenUsed/>
    <w:rsid w:val="0079519B"/>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79519B"/>
    <w:rPr>
      <w:szCs w:val="30"/>
    </w:rPr>
  </w:style>
  <w:style w:type="paragraph" w:styleId="Footer">
    <w:name w:val="footer"/>
    <w:basedOn w:val="Normal"/>
    <w:link w:val="FooterChar"/>
    <w:uiPriority w:val="99"/>
    <w:unhideWhenUsed/>
    <w:rsid w:val="0079519B"/>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79519B"/>
    <w:rPr>
      <w:szCs w:val="30"/>
    </w:rPr>
  </w:style>
  <w:style w:type="character" w:styleId="UnresolvedMention">
    <w:name w:val="Unresolved Mention"/>
    <w:basedOn w:val="DefaultParagraphFont"/>
    <w:uiPriority w:val="99"/>
    <w:semiHidden/>
    <w:unhideWhenUsed/>
    <w:rsid w:val="00964893"/>
    <w:rPr>
      <w:color w:val="605E5C"/>
      <w:shd w:val="clear" w:color="auto" w:fill="E1DFDD"/>
    </w:rPr>
  </w:style>
  <w:style w:type="paragraph" w:styleId="Caption">
    <w:name w:val="caption"/>
    <w:basedOn w:val="Normal"/>
    <w:next w:val="Normal"/>
    <w:uiPriority w:val="35"/>
    <w:unhideWhenUsed/>
    <w:qFormat/>
    <w:rsid w:val="00691653"/>
    <w:pPr>
      <w:spacing w:before="0" w:after="200" w:line="240" w:lineRule="auto"/>
    </w:pPr>
    <w:rPr>
      <w:i/>
      <w:iCs/>
      <w:color w:val="1F497D" w:themeColor="text2"/>
      <w:sz w:val="18"/>
      <w:szCs w:val="22"/>
    </w:rPr>
  </w:style>
  <w:style w:type="table" w:styleId="GridTable5Dark-Accent4">
    <w:name w:val="Grid Table 5 Dark Accent 4"/>
    <w:basedOn w:val="TableNormal"/>
    <w:uiPriority w:val="50"/>
    <w:rsid w:val="00246D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NormalWeb">
    <w:name w:val="Normal (Web)"/>
    <w:basedOn w:val="Normal"/>
    <w:uiPriority w:val="99"/>
    <w:semiHidden/>
    <w:unhideWhenUsed/>
    <w:rsid w:val="00C668F6"/>
    <w:rPr>
      <w:szCs w:val="30"/>
    </w:rPr>
  </w:style>
  <w:style w:type="paragraph" w:styleId="TOCHeading">
    <w:name w:val="TOC Heading"/>
    <w:basedOn w:val="Heading1"/>
    <w:next w:val="Normal"/>
    <w:uiPriority w:val="39"/>
    <w:unhideWhenUsed/>
    <w:qFormat/>
    <w:rsid w:val="008B392B"/>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3">
    <w:name w:val="toc 3"/>
    <w:basedOn w:val="Normal"/>
    <w:next w:val="Normal"/>
    <w:autoRedefine/>
    <w:uiPriority w:val="39"/>
    <w:unhideWhenUsed/>
    <w:rsid w:val="008B392B"/>
    <w:pPr>
      <w:spacing w:before="0" w:after="100" w:line="259" w:lineRule="auto"/>
      <w:ind w:left="440"/>
    </w:pPr>
    <w:rPr>
      <w:rFonts w:asciiTheme="minorHAnsi" w:eastAsiaTheme="minorEastAsia" w:hAnsiTheme="minorHAnsi"/>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icrier.org/pdf/pb-33-Green-Steel.pdf" TargetMode="External"/><Relationship Id="rId18" Type="http://schemas.openxmlformats.org/officeDocument/2006/relationships/hyperlink" Target="https://moef.gov.in/storage/tender/1745395105.pdf" TargetMode="External"/><Relationship Id="rId26" Type="http://schemas.openxmlformats.org/officeDocument/2006/relationships/hyperlink" Target="https://www.tatasteel.com/products-solutions/india/products/tata-structura-1/" TargetMode="External"/><Relationship Id="rId39" Type="http://schemas.openxmlformats.org/officeDocument/2006/relationships/image" Target="media/image4.jpeg"/><Relationship Id="rId21" Type="http://schemas.openxmlformats.org/officeDocument/2006/relationships/hyperlink" Target="https://www.oecd.org/en/publications/addressing-steel-decarbonisation-challenges-for-industry-and-policy_e6cb2f3c-en.html" TargetMode="External"/><Relationship Id="rId34" Type="http://schemas.openxmlformats.org/officeDocument/2006/relationships/hyperlink" Target="https://worldsteel.org/wp-content/uploads/Water-management-in-the-steel-industry.pdf" TargetMode="External"/><Relationship Id="rId42" Type="http://schemas.openxmlformats.org/officeDocument/2006/relationships/chart" Target="charts/chart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mfp.org/wp-content/uploads/18.68.pdf" TargetMode="External"/><Relationship Id="rId29" Type="http://schemas.openxmlformats.org/officeDocument/2006/relationships/hyperlink" Target="https://www.tatasteel.com/sustainability/esg-indicator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resources/management/ansoff-matrix/" TargetMode="External"/><Relationship Id="rId24" Type="http://schemas.openxmlformats.org/officeDocument/2006/relationships/hyperlink" Target="https://www.tatasteel.com/newsroom/press-releases/india/2023/tata-steel-joins-un-initiative-leadit-to-drive-net-zero-emissions-in-heavy-industry/" TargetMode="External"/><Relationship Id="rId32" Type="http://schemas.openxmlformats.org/officeDocument/2006/relationships/hyperlink" Target="https://www.unepfi.org/wordpress/wp-content/uploads/2024/05/Climate-Risks-in-the-Metals-and-Mining-Sector-1.pdf" TargetMode="External"/><Relationship Id="rId37" Type="http://schemas.openxmlformats.org/officeDocument/2006/relationships/hyperlink" Target="https://www.wwfindia.org/wwf-india-updates/feature_stories/unlocking_green_steel_demand/" TargetMode="External"/><Relationship Id="rId40" Type="http://schemas.openxmlformats.org/officeDocument/2006/relationships/image" Target="media/image5.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article/10.1186/s43093-020-0009-1" TargetMode="External"/><Relationship Id="rId23" Type="http://schemas.openxmlformats.org/officeDocument/2006/relationships/hyperlink" Target="https://misinforeview.hks.harvard.edu/article/new-sources-of-inaccuracy-a-conceptual-framework-for-studying-ai-hallucinations/" TargetMode="External"/><Relationship Id="rId28" Type="http://schemas.openxmlformats.org/officeDocument/2006/relationships/hyperlink" Target="https://www.tatasteel.com/media/23973/fy25-integratedreport.pdf" TargetMode="External"/><Relationship Id="rId36" Type="http://schemas.openxmlformats.org/officeDocument/2006/relationships/hyperlink" Target="https://worldsteel.org/wp-content/uploads/Sustainability-indicators-report-2023.pdf" TargetMode="External"/><Relationship Id="rId10" Type="http://schemas.openxmlformats.org/officeDocument/2006/relationships/hyperlink" Target="https://www.ceew.in/sites/default/files/How-Can-India-Decarbonise-For-Net-Zero-Sustainable-Steel-Production-Industry.pdf" TargetMode="External"/><Relationship Id="rId19" Type="http://schemas.openxmlformats.org/officeDocument/2006/relationships/hyperlink" Target="https://steel.gov.in/sites/default/files/2025-03/GSI%20Report.pdf" TargetMode="External"/><Relationship Id="rId31" Type="http://schemas.openxmlformats.org/officeDocument/2006/relationships/hyperlink" Target="https://www.tatasteel.com/newsroom/press-releases/india/2026/tata-steel-partners-sms-group-to-deploy-world-first-easymelt-decarbonisation-technology/"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ssjournal.com/files/sssjournal/e5935340-8b65-4cf6-a1c1-cf266026257d.pdf" TargetMode="External"/><Relationship Id="rId14" Type="http://schemas.openxmlformats.org/officeDocument/2006/relationships/hyperlink" Target="https://www.irena.org/-/media/Files/IRENA/Agency/Publication/2023/Jul/IRENA_G20_circular-steel_industry_2023.pdf" TargetMode="External"/><Relationship Id="rId22" Type="http://schemas.openxmlformats.org/officeDocument/2006/relationships/hyperlink" Target="https://www.frontiersin.org/journals/artificial-intelligence/articles/10.3389/frai.2024.1402047/full" TargetMode="External"/><Relationship Id="rId27" Type="http://schemas.openxmlformats.org/officeDocument/2006/relationships/hyperlink" Target="https://www.tatasteel.com/products-solutions/india/products/tata-tiscon/" TargetMode="External"/><Relationship Id="rId30" Type="http://schemas.openxmlformats.org/officeDocument/2006/relationships/hyperlink" Target="https://www.tatasteel.com/newsroom/press-releases/india/2026/tata-steel-inaugurates-its-first-scrap-based-electric-arc-furnace-in-india/" TargetMode="External"/><Relationship Id="rId35" Type="http://schemas.openxmlformats.org/officeDocument/2006/relationships/hyperlink" Target="https://worldsteel.org/wp-content/uploads/Sustainability-Indicators-2022-report.pdf"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heclimategroup.org/steelzero-publications" TargetMode="External"/><Relationship Id="rId17" Type="http://schemas.openxmlformats.org/officeDocument/2006/relationships/hyperlink" Target="https://doi.org/10.1016/j.cmpbup.2024.100145" TargetMode="External"/><Relationship Id="rId25" Type="http://schemas.openxmlformats.org/officeDocument/2006/relationships/hyperlink" Target="https://www.tatashaktee.com/" TargetMode="External"/><Relationship Id="rId33" Type="http://schemas.openxmlformats.org/officeDocument/2006/relationships/hyperlink" Target="https://royalsocietypublishing.org/rsta/article/382/2284/20230233/112690/Decarbonizing-the-global-steel-industry-in-a" TargetMode="External"/><Relationship Id="rId38" Type="http://schemas.openxmlformats.org/officeDocument/2006/relationships/image" Target="media/image3.jpeg"/><Relationship Id="rId20" Type="http://schemas.openxmlformats.org/officeDocument/2006/relationships/hyperlink" Target="https://www.oecd.org/content/dam/oecd/en/publications/reports/2024/12/circular-economy-policies-for-steel-decarbonisation_80056a49/4cfb485d-en.pdf" TargetMode="External"/><Relationship Id="rId41" Type="http://schemas.openxmlformats.org/officeDocument/2006/relationships/image" Target="media/image6.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Carbon Emissions Intensity (tCO₂e per tonne of crude steel)</c:v>
                </c:pt>
              </c:strCache>
            </c:strRef>
          </c:tx>
          <c:spPr>
            <a:ln w="28575" cap="rnd">
              <a:solidFill>
                <a:schemeClr val="accent1"/>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Sheet1!$B$2:$B$6</c:f>
              <c:numCache>
                <c:formatCode>General</c:formatCode>
                <c:ptCount val="5"/>
                <c:pt idx="0">
                  <c:v>2.4500000000000002</c:v>
                </c:pt>
                <c:pt idx="1">
                  <c:v>2.38</c:v>
                </c:pt>
                <c:pt idx="2">
                  <c:v>2.29</c:v>
                </c:pt>
                <c:pt idx="3">
                  <c:v>2.1800000000000002</c:v>
                </c:pt>
                <c:pt idx="4">
                  <c:v>2.1</c:v>
                </c:pt>
              </c:numCache>
            </c:numRef>
          </c:val>
          <c:smooth val="0"/>
          <c:extLst>
            <c:ext xmlns:c16="http://schemas.microsoft.com/office/drawing/2014/chart" uri="{C3380CC4-5D6E-409C-BE32-E72D297353CC}">
              <c16:uniqueId val="{00000000-D75C-4E6E-83BD-E5A9C2F3EFDC}"/>
            </c:ext>
          </c:extLst>
        </c:ser>
        <c:dLbls>
          <c:showLegendKey val="0"/>
          <c:showVal val="0"/>
          <c:showCatName val="0"/>
          <c:showSerName val="0"/>
          <c:showPercent val="0"/>
          <c:showBubbleSize val="0"/>
        </c:dLbls>
        <c:smooth val="0"/>
        <c:axId val="1832319391"/>
        <c:axId val="1832321311"/>
      </c:lineChart>
      <c:catAx>
        <c:axId val="1832319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2321311"/>
        <c:crosses val="autoZero"/>
        <c:auto val="1"/>
        <c:lblAlgn val="ctr"/>
        <c:lblOffset val="100"/>
        <c:noMultiLvlLbl val="0"/>
      </c:catAx>
      <c:valAx>
        <c:axId val="1832321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2319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4834</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2026-06-25T16:05:00Z</dcterms:created>
  <dcterms:modified xsi:type="dcterms:W3CDTF">2026-06-25T16:27:00Z</dcterms:modified>
</cp:coreProperties>
</file>