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F54B73" w14:textId="77777777" w:rsidR="009005C0" w:rsidRDefault="009005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Programme; BSc Health and Social Care. </w:t>
      </w:r>
    </w:p>
    <w:p w14:paraId="417435B8" w14:textId="77777777" w:rsidR="009005C0" w:rsidRDefault="009005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Module; Protecting and Supporting Families in Health and Care;</w:t>
      </w:r>
    </w:p>
    <w:p w14:paraId="090292A3" w14:textId="77777777" w:rsidR="009005C0" w:rsidRDefault="009005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Module code; BMHP5021. </w:t>
      </w:r>
    </w:p>
    <w:p w14:paraId="5681B16E" w14:textId="77777777" w:rsidR="009005C0" w:rsidRDefault="009005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Lecture; Precious </w:t>
      </w:r>
      <w:proofErr w:type="spellStart"/>
      <w:r>
        <w:rPr>
          <w:rFonts w:ascii="Arial" w:hAnsi="Arial" w:cs="Arial"/>
          <w:sz w:val="22"/>
          <w:szCs w:val="22"/>
        </w:rPr>
        <w:t>Igbinite</w:t>
      </w:r>
      <w:proofErr w:type="spellEnd"/>
      <w:r>
        <w:rPr>
          <w:rFonts w:ascii="Arial" w:hAnsi="Arial" w:cs="Arial"/>
          <w:sz w:val="22"/>
          <w:szCs w:val="22"/>
        </w:rPr>
        <w:t xml:space="preserve">; </w:t>
      </w:r>
    </w:p>
    <w:p w14:paraId="444F1B6C" w14:textId="77777777" w:rsidR="009005C0" w:rsidRDefault="009005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Internal Verifier; Chloe Harries; </w:t>
      </w:r>
    </w:p>
    <w:p w14:paraId="334D9589" w14:textId="77777777" w:rsidR="009005C0" w:rsidRDefault="009005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Assignment Title. Component 1; Presentation (Round-The-Table Group Discussion).</w:t>
      </w:r>
    </w:p>
    <w:p w14:paraId="22BE018E" w14:textId="77777777" w:rsidR="009005C0" w:rsidRDefault="009005C0">
      <w:pPr>
        <w:rPr>
          <w:rFonts w:ascii="Arial" w:hAnsi="Arial" w:cs="Arial"/>
          <w:sz w:val="22"/>
          <w:szCs w:val="22"/>
        </w:rPr>
      </w:pPr>
    </w:p>
    <w:p w14:paraId="52104764" w14:textId="77777777" w:rsidR="009005C0" w:rsidRDefault="009005C0">
      <w:pPr>
        <w:rPr>
          <w:rFonts w:ascii="Arial" w:hAnsi="Arial" w:cs="Arial"/>
          <w:sz w:val="22"/>
          <w:szCs w:val="22"/>
        </w:rPr>
      </w:pPr>
    </w:p>
    <w:p w14:paraId="061A92C6" w14:textId="77777777" w:rsidR="009005C0" w:rsidRDefault="009005C0">
      <w:pPr>
        <w:rPr>
          <w:rFonts w:ascii="Arial" w:hAnsi="Arial" w:cs="Arial"/>
          <w:sz w:val="22"/>
          <w:szCs w:val="22"/>
        </w:rPr>
      </w:pPr>
    </w:p>
    <w:p w14:paraId="1B4440D1" w14:textId="77777777" w:rsidR="009005C0" w:rsidRDefault="009005C0">
      <w:pPr>
        <w:rPr>
          <w:rFonts w:ascii="Arial" w:hAnsi="Arial" w:cs="Arial"/>
          <w:sz w:val="22"/>
          <w:szCs w:val="22"/>
        </w:rPr>
      </w:pPr>
    </w:p>
    <w:p w14:paraId="1085BCE2" w14:textId="77777777" w:rsidR="009005C0" w:rsidRDefault="009005C0">
      <w:pPr>
        <w:rPr>
          <w:rFonts w:ascii="Arial" w:hAnsi="Arial" w:cs="Arial"/>
          <w:sz w:val="22"/>
          <w:szCs w:val="22"/>
        </w:rPr>
      </w:pPr>
    </w:p>
    <w:p w14:paraId="5F826FDD" w14:textId="77777777" w:rsidR="009005C0" w:rsidRDefault="009005C0">
      <w:pPr>
        <w:rPr>
          <w:rFonts w:ascii="Arial" w:hAnsi="Arial" w:cs="Arial"/>
          <w:sz w:val="22"/>
          <w:szCs w:val="22"/>
        </w:rPr>
      </w:pPr>
    </w:p>
    <w:p w14:paraId="3DF23840" w14:textId="2E3E3D22" w:rsidR="000B6042" w:rsidRDefault="00D516B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Group 4 </w:t>
      </w:r>
    </w:p>
    <w:p w14:paraId="27369518" w14:textId="1EE0E081" w:rsidR="000B6042" w:rsidRDefault="000B604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Local Child Safeguarding Practice Review Commissioned by The Bradford Partnership Concerning Child A. </w:t>
      </w:r>
    </w:p>
    <w:p w14:paraId="1FCD6A60" w14:textId="67231458" w:rsidR="000B6042" w:rsidRDefault="000B604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Role </w:t>
      </w:r>
      <w:r w:rsidR="00D516B5">
        <w:rPr>
          <w:rFonts w:ascii="Arial" w:hAnsi="Arial" w:cs="Arial"/>
          <w:sz w:val="22"/>
          <w:szCs w:val="22"/>
        </w:rPr>
        <w:t>(</w:t>
      </w:r>
      <w:r>
        <w:rPr>
          <w:rFonts w:ascii="Arial" w:hAnsi="Arial" w:cs="Arial"/>
          <w:sz w:val="22"/>
          <w:szCs w:val="22"/>
        </w:rPr>
        <w:t>Education Professiona</w:t>
      </w:r>
      <w:r w:rsidR="00D516B5">
        <w:rPr>
          <w:rFonts w:ascii="Arial" w:hAnsi="Arial" w:cs="Arial"/>
          <w:sz w:val="22"/>
          <w:szCs w:val="22"/>
        </w:rPr>
        <w:t>l)</w:t>
      </w:r>
      <w:r>
        <w:rPr>
          <w:rFonts w:ascii="Arial" w:hAnsi="Arial" w:cs="Arial"/>
          <w:sz w:val="22"/>
          <w:szCs w:val="22"/>
        </w:rPr>
        <w:t xml:space="preserve">. </w:t>
      </w:r>
    </w:p>
    <w:p w14:paraId="1F5FC398" w14:textId="77777777" w:rsidR="000B6042" w:rsidRDefault="000B6042">
      <w:pPr>
        <w:rPr>
          <w:rFonts w:ascii="Arial" w:hAnsi="Arial" w:cs="Arial"/>
          <w:sz w:val="22"/>
          <w:szCs w:val="22"/>
        </w:rPr>
      </w:pPr>
    </w:p>
    <w:p w14:paraId="0D9E67B8" w14:textId="77777777" w:rsidR="000B6042" w:rsidRDefault="000B6042">
      <w:pPr>
        <w:rPr>
          <w:rFonts w:ascii="Arial" w:hAnsi="Arial" w:cs="Arial"/>
          <w:sz w:val="22"/>
          <w:szCs w:val="22"/>
        </w:rPr>
      </w:pPr>
    </w:p>
    <w:p w14:paraId="6F6BA9C0" w14:textId="77777777" w:rsidR="000B6042" w:rsidRDefault="000B6042">
      <w:pPr>
        <w:rPr>
          <w:rFonts w:ascii="Arial" w:hAnsi="Arial" w:cs="Arial"/>
          <w:sz w:val="22"/>
          <w:szCs w:val="22"/>
        </w:rPr>
      </w:pPr>
    </w:p>
    <w:p w14:paraId="3B44A040" w14:textId="77777777" w:rsidR="000B6042" w:rsidRDefault="000B6042">
      <w:pPr>
        <w:rPr>
          <w:rFonts w:ascii="Arial" w:hAnsi="Arial" w:cs="Arial"/>
          <w:sz w:val="22"/>
          <w:szCs w:val="22"/>
        </w:rPr>
      </w:pPr>
    </w:p>
    <w:p w14:paraId="6A5873CE" w14:textId="105C2D5A" w:rsidR="009005C0" w:rsidRDefault="009005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Table of contents. </w:t>
      </w:r>
    </w:p>
    <w:p w14:paraId="513B1531" w14:textId="77777777" w:rsidR="009005C0" w:rsidRDefault="009005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Introduction. </w:t>
      </w:r>
    </w:p>
    <w:p w14:paraId="6AE9CF3E" w14:textId="77777777" w:rsidR="009005C0" w:rsidRDefault="009005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Section A, Perception of well-being.</w:t>
      </w:r>
    </w:p>
    <w:p w14:paraId="561F3CED" w14:textId="77777777" w:rsidR="009005C0" w:rsidRDefault="009005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Section B, Partnership working and communication. </w:t>
      </w:r>
    </w:p>
    <w:p w14:paraId="72250D2D" w14:textId="77777777" w:rsidR="009005C0" w:rsidRDefault="009005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Section C, Critical analysis.</w:t>
      </w:r>
    </w:p>
    <w:p w14:paraId="3B5598BD" w14:textId="77777777" w:rsidR="00063D69" w:rsidRDefault="00063D6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Section D, Policy and multidisciplinary roles. </w:t>
      </w:r>
    </w:p>
    <w:p w14:paraId="6C2C555A" w14:textId="77777777" w:rsidR="00063D69" w:rsidRDefault="00063D6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Section E, Recommendations.</w:t>
      </w:r>
    </w:p>
    <w:p w14:paraId="42C44088" w14:textId="35BE9A2E" w:rsidR="00063D69" w:rsidRDefault="00063D6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Conclusion.</w:t>
      </w:r>
    </w:p>
    <w:p w14:paraId="2ED26ECB" w14:textId="4DF2DDBA" w:rsidR="00063D69" w:rsidRDefault="00063D6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References. </w:t>
      </w:r>
    </w:p>
    <w:p w14:paraId="69A2FB61" w14:textId="77777777" w:rsidR="00063D69" w:rsidRDefault="00063D69">
      <w:pPr>
        <w:rPr>
          <w:rFonts w:ascii="Arial" w:hAnsi="Arial" w:cs="Arial"/>
          <w:sz w:val="22"/>
          <w:szCs w:val="22"/>
        </w:rPr>
      </w:pPr>
    </w:p>
    <w:p w14:paraId="17C92DC4" w14:textId="77777777" w:rsidR="000B6042" w:rsidRDefault="000B6042" w:rsidP="00063D69">
      <w:pPr>
        <w:rPr>
          <w:rFonts w:ascii="Arial" w:hAnsi="Arial" w:cs="Arial"/>
          <w:sz w:val="22"/>
          <w:szCs w:val="22"/>
        </w:rPr>
      </w:pPr>
    </w:p>
    <w:p w14:paraId="101EB1EA" w14:textId="7765CF28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lastRenderedPageBreak/>
        <w:t xml:space="preserve">REFERENCES </w:t>
      </w:r>
    </w:p>
    <w:p w14:paraId="049C0F64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Beddoe, L. and Cree, V. (2011) Becoming a Social Worker: Global Narratives. London: Routledge.</w:t>
      </w:r>
    </w:p>
    <w:p w14:paraId="72071756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Brandon, M., Sidebotham, P., Belderson, P., Cleaver, H., Dickens, J., Garstang, J., Harris, J., Sorensen, P. and Wate, R. (2020) Complexity and Challenge: A Triennial Analysis of SCRs 2014–2017. London: Department for Education.</w:t>
      </w:r>
    </w:p>
    <w:p w14:paraId="15173E4C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Children Act 1989. London: HMSO.</w:t>
      </w:r>
    </w:p>
    <w:p w14:paraId="37BDAD6C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Children Act 2004. London: HMSO.</w:t>
      </w:r>
    </w:p>
    <w:p w14:paraId="02B2CA7A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Children and Social Work Act 2017. London: HMSO.</w:t>
      </w:r>
    </w:p>
    <w:p w14:paraId="200E4D50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Doherty, J. (2023) Local Child Safeguarding Practice Review: Commissioned by The Bradford Partnership – Concerning Child A. Bradford: Bradford District Safeguarding Children Partnership.</w:t>
      </w:r>
    </w:p>
    <w:p w14:paraId="5FB8C93C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Felitti, V.J., Anda, R.F., Nordenberg, D., Williamson, D.F., Spitz, A.M., Edwards, V., Koss, M.P. and Marks, J.S. (1998) 'Relationship of childhood abuse and household dysfunction to many of the leading causes of death in adults', American Journal of Preventive Medicine, 14(4), pp. 245–258.</w:t>
      </w:r>
    </w:p>
    <w:p w14:paraId="4F0CE51A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HM Government (2023) Working Together to Safeguard Children. London: HM Government.</w:t>
      </w:r>
    </w:p>
    <w:p w14:paraId="3CBDFC46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Laming, Lord (2003) The Victoria Climbié Inquiry: Report of an Inquiry by Lord Laming. London: The Stationery Office.</w:t>
      </w:r>
    </w:p>
    <w:p w14:paraId="5F83DD7F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Morris, K. (2013) 'Troubled families: Vulnerable families' experiences of multiple service use', Child and Family Social Work, 18(2), pp. 198–206.</w:t>
      </w:r>
    </w:p>
    <w:p w14:paraId="60D549B2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Munro, E. (2011) The Munro Review of Child Protection: Final Report – A Child-Centred System. London: Department for Education.</w:t>
      </w:r>
    </w:p>
    <w:p w14:paraId="71791577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Ofsted (2022) Review of Sexual Abuse in Schools and Colleges. Manchester: Ofsted.</w:t>
      </w:r>
    </w:p>
    <w:p w14:paraId="4D397456" w14:textId="77777777" w:rsidR="00063D69" w:rsidRP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Public Health Wales (2015) Adverse Childhood Experiences and Their Impact on Health-Harming Behaviours in the Welsh Adult Population. Cardiff: Public Health Wales.</w:t>
      </w:r>
    </w:p>
    <w:p w14:paraId="337262C7" w14:textId="3030D5B2" w:rsidR="00063D69" w:rsidRDefault="00063D69" w:rsidP="00063D69">
      <w:pPr>
        <w:rPr>
          <w:rFonts w:ascii="Arial" w:hAnsi="Arial" w:cs="Arial"/>
          <w:sz w:val="22"/>
          <w:szCs w:val="22"/>
        </w:rPr>
      </w:pPr>
      <w:r w:rsidRPr="00063D69">
        <w:rPr>
          <w:rFonts w:ascii="Arial" w:hAnsi="Arial" w:cs="Arial"/>
          <w:sz w:val="22"/>
          <w:szCs w:val="22"/>
        </w:rPr>
        <w:t>United Nations (1989) Convention on the Rights of the Child. Geneva: United Nations.</w:t>
      </w:r>
    </w:p>
    <w:p w14:paraId="4741D3C8" w14:textId="73B00532" w:rsidR="00753216" w:rsidRPr="009005C0" w:rsidRDefault="009005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sectPr w:rsidR="00753216" w:rsidRPr="009005C0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A10A1E" w14:textId="77777777" w:rsidR="003D6D5F" w:rsidRDefault="003D6D5F" w:rsidP="009005C0">
      <w:pPr>
        <w:spacing w:after="0" w:line="240" w:lineRule="auto"/>
      </w:pPr>
      <w:r>
        <w:separator/>
      </w:r>
    </w:p>
  </w:endnote>
  <w:endnote w:type="continuationSeparator" w:id="0">
    <w:p w14:paraId="29B46FD1" w14:textId="77777777" w:rsidR="003D6D5F" w:rsidRDefault="003D6D5F" w:rsidP="009005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7DA16D" w14:textId="77777777" w:rsidR="003D6D5F" w:rsidRDefault="003D6D5F" w:rsidP="009005C0">
      <w:pPr>
        <w:spacing w:after="0" w:line="240" w:lineRule="auto"/>
      </w:pPr>
      <w:r>
        <w:separator/>
      </w:r>
    </w:p>
  </w:footnote>
  <w:footnote w:type="continuationSeparator" w:id="0">
    <w:p w14:paraId="6FCB490D" w14:textId="77777777" w:rsidR="003D6D5F" w:rsidRDefault="003D6D5F" w:rsidP="009005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3572102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41F38A6" w14:textId="140CB24B" w:rsidR="009005C0" w:rsidRDefault="009005C0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EE2F19" w14:textId="77777777" w:rsidR="009005C0" w:rsidRDefault="009005C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05C0"/>
    <w:rsid w:val="00063D69"/>
    <w:rsid w:val="000B0D47"/>
    <w:rsid w:val="000B6042"/>
    <w:rsid w:val="00320508"/>
    <w:rsid w:val="0036718E"/>
    <w:rsid w:val="003D6D5F"/>
    <w:rsid w:val="00462F42"/>
    <w:rsid w:val="0071796B"/>
    <w:rsid w:val="00753216"/>
    <w:rsid w:val="009005C0"/>
    <w:rsid w:val="009B171C"/>
    <w:rsid w:val="00D516B5"/>
    <w:rsid w:val="00E458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33AD2"/>
  <w15:chartTrackingRefBased/>
  <w15:docId w15:val="{5B3CCA71-8535-496A-A943-2D9C4B43D2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05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05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05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05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05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05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05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05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05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05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05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05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05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05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05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05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05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05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05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05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05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05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05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05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05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05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05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05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05C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005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05C0"/>
  </w:style>
  <w:style w:type="paragraph" w:styleId="Footer">
    <w:name w:val="footer"/>
    <w:basedOn w:val="Normal"/>
    <w:link w:val="FooterChar"/>
    <w:uiPriority w:val="99"/>
    <w:unhideWhenUsed/>
    <w:rsid w:val="009005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05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261d2892f15b40d7eeb84b2ad146cbcd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2ad51a59005074aa92aa2d9734734212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9312150F-6618-455D-A22E-FAD78F6578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F0DCA0-9BD5-4A8A-96D7-AE15F3F2B9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AC1D04-75E6-46D6-8A3D-CD5F037B6729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361</Words>
  <Characters>2060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Nageen Khan (2424667)</dc:creator>
  <cp:keywords/>
  <dc:description/>
  <cp:lastModifiedBy>Nageen Khan (2424667)</cp:lastModifiedBy>
  <cp:revision>3</cp:revision>
  <dcterms:created xsi:type="dcterms:W3CDTF">2026-05-23T08:21:00Z</dcterms:created>
  <dcterms:modified xsi:type="dcterms:W3CDTF">2026-06-13T21:24:00Z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