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305B9" w14:textId="77777777" w:rsidR="007D3108" w:rsidRDefault="007C69D9">
      <w:pPr>
        <w:spacing w:after="0" w:line="276" w:lineRule="auto"/>
        <w:ind w:left="567" w:right="531"/>
        <w:jc w:val="both"/>
      </w:pPr>
      <w:r>
        <w:rPr>
          <w:rFonts w:eastAsia="Times New Roman" w:cs="Calibri"/>
          <w:b/>
          <w:bCs/>
          <w:lang w:eastAsia="en-GB"/>
        </w:rPr>
        <w:t>Essay one:</w:t>
      </w:r>
    </w:p>
    <w:p w14:paraId="273F7F52" w14:textId="77777777" w:rsidR="007D3108" w:rsidRDefault="007C69D9">
      <w:pPr>
        <w:spacing w:after="0" w:line="276" w:lineRule="auto"/>
        <w:ind w:left="567" w:right="531"/>
        <w:jc w:val="both"/>
      </w:pPr>
      <w:r>
        <w:rPr>
          <w:rFonts w:eastAsia="Times New Roman" w:cs="Calibri"/>
          <w:lang w:eastAsia="en-GB"/>
        </w:rPr>
        <w:t xml:space="preserve">How have the different values and cultural norms within diverse communities impacted upon policing? You should </w:t>
      </w:r>
      <w:r>
        <w:rPr>
          <w:rFonts w:eastAsia="Times New Roman" w:cs="Calibri"/>
          <w:u w:val="single"/>
          <w:lang w:eastAsia="en-GB"/>
        </w:rPr>
        <w:t>evaluate</w:t>
      </w:r>
      <w:r>
        <w:rPr>
          <w:rFonts w:eastAsia="Times New Roman" w:cs="Calibri"/>
          <w:lang w:eastAsia="en-GB"/>
        </w:rPr>
        <w:t xml:space="preserve"> how multi-culturalism has affected professional policies and standards (</w:t>
      </w:r>
      <w:proofErr w:type="gramStart"/>
      <w:r>
        <w:rPr>
          <w:rFonts w:eastAsia="Times New Roman" w:cs="Calibri"/>
          <w:lang w:eastAsia="en-GB"/>
        </w:rPr>
        <w:t>e.g.</w:t>
      </w:r>
      <w:proofErr w:type="gramEnd"/>
      <w:r>
        <w:rPr>
          <w:rFonts w:eastAsia="Times New Roman" w:cs="Calibri"/>
          <w:lang w:eastAsia="en-GB"/>
        </w:rPr>
        <w:t xml:space="preserve"> PACE, Code of Ethics) as </w:t>
      </w:r>
      <w:r>
        <w:rPr>
          <w:rFonts w:eastAsia="Times New Roman" w:cs="Calibri"/>
          <w:lang w:eastAsia="en-GB"/>
        </w:rPr>
        <w:t>well as policing practice (e.g. neighbourhood policing).</w:t>
      </w:r>
    </w:p>
    <w:p w14:paraId="4A044308" w14:textId="77777777" w:rsidR="007D3108" w:rsidRDefault="007C69D9">
      <w:pPr>
        <w:overflowPunct w:val="0"/>
        <w:autoSpaceDE w:val="0"/>
        <w:spacing w:after="0" w:line="276" w:lineRule="auto"/>
        <w:ind w:left="567" w:right="531"/>
        <w:jc w:val="both"/>
        <w:textAlignment w:val="baseline"/>
      </w:pPr>
      <w:r>
        <w:rPr>
          <w:rFonts w:eastAsia="Times New Roman" w:cs="Calibri"/>
          <w:lang w:eastAsia="en-GB"/>
        </w:rPr>
        <w:t>Rather than relying on personal experience, support your answer with relevant evidence drawn from academic sources.</w:t>
      </w:r>
    </w:p>
    <w:p w14:paraId="208C665F" w14:textId="77777777" w:rsidR="007D3108" w:rsidRDefault="007C69D9">
      <w:pPr>
        <w:spacing w:after="0" w:line="276" w:lineRule="auto"/>
        <w:ind w:left="567" w:right="531"/>
        <w:jc w:val="both"/>
      </w:pPr>
      <w:r>
        <w:rPr>
          <w:rFonts w:eastAsia="Times New Roman" w:cs="Calibri"/>
          <w:b/>
          <w:bCs/>
          <w:lang w:eastAsia="en-GB"/>
        </w:rPr>
        <w:t>Word limit:</w:t>
      </w:r>
      <w:r>
        <w:rPr>
          <w:rFonts w:eastAsia="Times New Roman" w:cs="Calibri"/>
          <w:lang w:eastAsia="en-GB"/>
        </w:rPr>
        <w:t xml:space="preserve"> 1000 words.</w:t>
      </w:r>
    </w:p>
    <w:p w14:paraId="45400388" w14:textId="77777777" w:rsidR="007D3108" w:rsidRDefault="007D3108">
      <w:pPr>
        <w:jc w:val="both"/>
        <w:rPr>
          <w:rFonts w:cs="Calibri"/>
        </w:rPr>
      </w:pPr>
    </w:p>
    <w:p w14:paraId="43D45B03" w14:textId="77777777" w:rsidR="007D3108" w:rsidRDefault="007C69D9">
      <w:pPr>
        <w:pStyle w:val="NormalWeb"/>
        <w:spacing w:before="0" w:after="0"/>
        <w:jc w:val="both"/>
      </w:pPr>
      <w:r>
        <w:rPr>
          <w:color w:val="000000"/>
        </w:rPr>
        <w:t>The UK is a diverse country with a range of different valu</w:t>
      </w:r>
      <w:r>
        <w:rPr>
          <w:color w:val="000000"/>
        </w:rPr>
        <w:t>es and cultural norms within its communities. These differences can impact upon the way that policing is carried out, as police officers must navigate and respond to a variety of calls.</w:t>
      </w:r>
    </w:p>
    <w:p w14:paraId="44B45D6D" w14:textId="77777777" w:rsidR="007D3108" w:rsidRDefault="007C69D9">
      <w:pPr>
        <w:pStyle w:val="NormalWeb"/>
        <w:spacing w:before="0" w:after="0"/>
        <w:jc w:val="both"/>
      </w:pPr>
      <w:r>
        <w:rPr>
          <w:color w:val="000000"/>
        </w:rPr>
        <w:t>One way in which cultural norms can impact upon policing is by influen</w:t>
      </w:r>
      <w:r>
        <w:rPr>
          <w:color w:val="000000"/>
        </w:rPr>
        <w:t>cing the way that individuals within a community interact with the police. For example, in some cultures, it may be seen as disrespectful to challenge authority or to question the actions of a police officer (Geertz, 1973). This could make it difficult for</w:t>
      </w:r>
      <w:r>
        <w:rPr>
          <w:color w:val="000000"/>
        </w:rPr>
        <w:t xml:space="preserve"> police officers to engage with members of these communities and could lead to misunderstandings and conflict.</w:t>
      </w:r>
    </w:p>
    <w:p w14:paraId="5671088C" w14:textId="77777777" w:rsidR="007D3108" w:rsidRDefault="007C69D9">
      <w:pPr>
        <w:pStyle w:val="NormalWeb"/>
        <w:spacing w:before="0" w:after="0"/>
        <w:jc w:val="both"/>
      </w:pPr>
      <w:r>
        <w:rPr>
          <w:color w:val="000000"/>
        </w:rPr>
        <w:t>Additionally, cultural norms can influence the level of trust and confidence that members of a community have in the police. For instance, in som</w:t>
      </w:r>
      <w:r>
        <w:rPr>
          <w:color w:val="000000"/>
        </w:rPr>
        <w:t>e cultures, there may be a deep-seated mistrust of the police and a belief that they are not to be trusted (Brewer, 2003). This can make it difficult for the police to gain the cooperation and support of members of these communities, which can hinder their</w:t>
      </w:r>
      <w:r>
        <w:rPr>
          <w:color w:val="000000"/>
        </w:rPr>
        <w:t xml:space="preserve"> ability to effectively carry out their duties.</w:t>
      </w:r>
    </w:p>
    <w:p w14:paraId="4961B68E" w14:textId="77777777" w:rsidR="007D3108" w:rsidRDefault="007C69D9">
      <w:pPr>
        <w:pStyle w:val="NormalWeb"/>
        <w:spacing w:before="0" w:after="0"/>
        <w:jc w:val="both"/>
      </w:pPr>
      <w:r>
        <w:rPr>
          <w:color w:val="000000"/>
        </w:rPr>
        <w:t>Furthermore, cultural norms can impact upon the way that police officers approach their work. For example, in some cultures, there may be a strong emphasis on respect for authority and hierarchy (</w:t>
      </w:r>
      <w:proofErr w:type="spellStart"/>
      <w:r>
        <w:rPr>
          <w:color w:val="000000"/>
        </w:rPr>
        <w:t>Tadman</w:t>
      </w:r>
      <w:proofErr w:type="spellEnd"/>
      <w:r>
        <w:rPr>
          <w:color w:val="000000"/>
        </w:rPr>
        <w:t>, 1995</w:t>
      </w:r>
      <w:r>
        <w:rPr>
          <w:color w:val="000000"/>
        </w:rPr>
        <w:t>). This could lead to police officers adopting a more authoritarian approach to their work, which could alienate members of communities who are not use to this type of approach. The values and cultural norms within diverse communities can have a significan</w:t>
      </w:r>
      <w:r>
        <w:rPr>
          <w:color w:val="000000"/>
        </w:rPr>
        <w:t>t impact upon policing in the UK. It is important for police officers to be aware of these differences and to be sensitive to the cultural norms of the communities they serve. By doing so, they can help to build trust and confidence and can ensure that the</w:t>
      </w:r>
      <w:r>
        <w:rPr>
          <w:color w:val="000000"/>
        </w:rPr>
        <w:t>y can effectively carry out their duties. While cultural norms can have an impact upon policing in a variety of ways, it is important to note that the police are also subject to cultural norms and values within their organization. This can influence the wa</w:t>
      </w:r>
      <w:r>
        <w:rPr>
          <w:color w:val="000000"/>
        </w:rPr>
        <w:t>y that they approach their work and can lead to certain biases and prejudices within the police force.</w:t>
      </w:r>
    </w:p>
    <w:p w14:paraId="44A53B4E" w14:textId="77777777" w:rsidR="007D3108" w:rsidRDefault="007C69D9">
      <w:pPr>
        <w:pStyle w:val="NormalWeb"/>
        <w:spacing w:before="0" w:after="0"/>
        <w:jc w:val="both"/>
      </w:pPr>
      <w:r>
        <w:rPr>
          <w:color w:val="000000"/>
        </w:rPr>
        <w:t xml:space="preserve">For example, research has shown that the police in the UK are predominantly white and male (Walker, 2018), and this demographic may show values that are </w:t>
      </w:r>
      <w:r>
        <w:rPr>
          <w:color w:val="000000"/>
        </w:rPr>
        <w:t>different from those of the communities they serve. This can lead to misunderstandings and conflicts between the police and members of diverse communities, as the police may not fully understand or appreciate the values of these communities.</w:t>
      </w:r>
    </w:p>
    <w:p w14:paraId="11E0F163" w14:textId="77777777" w:rsidR="007D3108" w:rsidRDefault="007C69D9">
      <w:pPr>
        <w:pStyle w:val="NormalWeb"/>
        <w:spacing w:before="0" w:after="0"/>
        <w:jc w:val="both"/>
      </w:pPr>
      <w:r>
        <w:rPr>
          <w:color w:val="000000"/>
        </w:rPr>
        <w:t>Furthermore, the hierarchical structure of the police force and the emphasis on maintaining order and discipline may also create cultural barriers between the police and members of diverse communities. This can make it difficult for the police to build tru</w:t>
      </w:r>
      <w:r>
        <w:rPr>
          <w:color w:val="000000"/>
        </w:rPr>
        <w:t>st and confidence with these communities, as they may be seen as being overly authoritarian and unapproachable.</w:t>
      </w:r>
    </w:p>
    <w:p w14:paraId="7D991277" w14:textId="77777777" w:rsidR="007D3108" w:rsidRDefault="007C69D9">
      <w:pPr>
        <w:pStyle w:val="NormalWeb"/>
        <w:spacing w:before="0" w:after="0"/>
        <w:jc w:val="both"/>
      </w:pPr>
      <w:r>
        <w:rPr>
          <w:color w:val="000000"/>
        </w:rPr>
        <w:t xml:space="preserve">To address these issues, the police need to take a more proactive approach to building relationships with diverse communities. This can include </w:t>
      </w:r>
      <w:r>
        <w:rPr>
          <w:color w:val="000000"/>
        </w:rPr>
        <w:t>initiatives such as community policing, which aims to build trust and understanding between the police and the communities they serve. It can also involve cultural sensitivity training for police officers, which can help them to better understand and appre</w:t>
      </w:r>
      <w:r>
        <w:rPr>
          <w:color w:val="000000"/>
        </w:rPr>
        <w:t>ciate the cultural norms and values of the communities they serve.</w:t>
      </w:r>
    </w:p>
    <w:p w14:paraId="74666593" w14:textId="77777777" w:rsidR="007D3108" w:rsidRDefault="007C69D9">
      <w:pPr>
        <w:pStyle w:val="NormalWeb"/>
        <w:spacing w:before="0" w:after="0"/>
        <w:jc w:val="both"/>
      </w:pPr>
      <w:r>
        <w:rPr>
          <w:color w:val="000000"/>
        </w:rPr>
        <w:t>The police need to be transparent and accountable in their interactions with diverse communities. This can include measures such as body cameras and other forms of recording, which can prov</w:t>
      </w:r>
      <w:r>
        <w:rPr>
          <w:color w:val="000000"/>
        </w:rPr>
        <w:t xml:space="preserve">ide evidence of police actions and can help to build trust and confidence in the community. The values and cultural norms within diverse communities can have a significant impact upon policing in the UK. </w:t>
      </w:r>
      <w:r>
        <w:rPr>
          <w:color w:val="000000"/>
        </w:rPr>
        <w:lastRenderedPageBreak/>
        <w:t>By understanding and respecting the cultural norms o</w:t>
      </w:r>
      <w:r>
        <w:rPr>
          <w:color w:val="000000"/>
        </w:rPr>
        <w:t>f these communities, the police can help to build trust and confidence and can ensure that they can effectively carry out their duties. Despite the challenges that cultural differences can present for policing in the UK, it is important to recognize the be</w:t>
      </w:r>
      <w:r>
        <w:rPr>
          <w:color w:val="000000"/>
        </w:rPr>
        <w:t>nefits that diversity can bring to the police force. A diverse police force can better reflect the communities that it serves, which can help to build trust and confidence in these communities. For example, research has shown that having a diverse police f</w:t>
      </w:r>
      <w:r>
        <w:rPr>
          <w:color w:val="000000"/>
        </w:rPr>
        <w:t>orce can lead to improved communication and understanding between the police and members of diverse communities (Jackson, 2014). This can help to reduce misunderstandings and conflicts and can make it easier for the police to engage with and serve these co</w:t>
      </w:r>
      <w:r>
        <w:rPr>
          <w:color w:val="000000"/>
        </w:rPr>
        <w:t>mmunities.</w:t>
      </w:r>
    </w:p>
    <w:p w14:paraId="1753AC78" w14:textId="77777777" w:rsidR="007D3108" w:rsidRDefault="007C69D9">
      <w:pPr>
        <w:pStyle w:val="NormalWeb"/>
        <w:spacing w:before="0" w:after="0"/>
        <w:jc w:val="both"/>
      </w:pPr>
      <w:r>
        <w:rPr>
          <w:color w:val="000000"/>
        </w:rPr>
        <w:t xml:space="preserve">a diverse police force can provide a wider range of perspectives and experiences, which can enhance the effectiveness of the police. For instance, a police officer who is familiar with the cultural norms and values of a particular community may </w:t>
      </w:r>
      <w:r>
        <w:rPr>
          <w:color w:val="000000"/>
        </w:rPr>
        <w:t>be better equipped to handle situations involving members of that community. This can lead to more positive outcomes and can help to build trust and confidence in the community. A diverse police force can also provide opportunities for personal and profess</w:t>
      </w:r>
      <w:r>
        <w:rPr>
          <w:color w:val="000000"/>
        </w:rPr>
        <w:t>ional growth for individual police officers. By working with and serving a diverse range of communities, police officers can gain a greater understanding and appreciation of different cultures and can develop new skills and competencies. To promote diversi</w:t>
      </w:r>
      <w:r>
        <w:rPr>
          <w:color w:val="000000"/>
        </w:rPr>
        <w:t>ty within the police force, the police need to implement strategies and initiatives that encourage and support diversity. This can include measures such as targeted recruitment efforts and diversity training for police officers. The values and cultural nor</w:t>
      </w:r>
      <w:r>
        <w:rPr>
          <w:color w:val="000000"/>
        </w:rPr>
        <w:t>ms within diverse communities can have both challenges and benefits for policing in the UK. By embracing and promoting diversity within the police force, the police can better serve and protect the communities they serve. Despite the efforts to promote div</w:t>
      </w:r>
      <w:r>
        <w:rPr>
          <w:color w:val="000000"/>
        </w:rPr>
        <w:t>ersity within the police force, there are still challenges and obstacles to overcome. For instance, some research has found that members of diverse communities may still face discrimination and bias within the police force (Smith et al., 2016). This can in</w:t>
      </w:r>
      <w:r>
        <w:rPr>
          <w:color w:val="000000"/>
        </w:rPr>
        <w:t>clude instances of racial profiling and unequal treatment, which can erode trust and confidence within the community. The police can work closely with diverse communities to better understand and address their concerns and needs. This can involve regular m</w:t>
      </w:r>
      <w:r>
        <w:rPr>
          <w:color w:val="000000"/>
        </w:rPr>
        <w:t>eetings and dialogue with community leaders and representatives, as well as the implementation of community policing programs.</w:t>
      </w:r>
    </w:p>
    <w:p w14:paraId="000C3903" w14:textId="77777777" w:rsidR="007D3108" w:rsidRDefault="007C69D9">
      <w:pPr>
        <w:pStyle w:val="NormalWeb"/>
        <w:spacing w:before="0" w:after="0"/>
        <w:jc w:val="both"/>
      </w:pPr>
      <w:r>
        <w:rPr>
          <w:color w:val="000000"/>
        </w:rPr>
        <w:t>Overall, the values and cultural norms within diverse communities can have both challenges and benefits for policing in the UK. B</w:t>
      </w:r>
      <w:r>
        <w:rPr>
          <w:color w:val="000000"/>
        </w:rPr>
        <w:t>y embracing and promoting diversity within the police force and working closely with diverse communities, the police can better serve and protect the public.</w:t>
      </w:r>
    </w:p>
    <w:p w14:paraId="6FF3CB27" w14:textId="77777777" w:rsidR="007D3108" w:rsidRDefault="007D3108">
      <w:pPr>
        <w:jc w:val="both"/>
        <w:rPr>
          <w:rFonts w:cs="Calibri"/>
        </w:rPr>
      </w:pPr>
    </w:p>
    <w:p w14:paraId="76C597AB" w14:textId="77777777" w:rsidR="007D3108" w:rsidRDefault="007C69D9">
      <w:pPr>
        <w:pStyle w:val="NormalWeb"/>
        <w:spacing w:before="0" w:after="0"/>
        <w:jc w:val="both"/>
      </w:pPr>
      <w:r>
        <w:rPr>
          <w:b/>
          <w:bCs/>
          <w:color w:val="000000"/>
        </w:rPr>
        <w:t>Bibliography</w:t>
      </w:r>
    </w:p>
    <w:p w14:paraId="15587662" w14:textId="77777777" w:rsidR="007D3108" w:rsidRDefault="007C69D9">
      <w:pPr>
        <w:pStyle w:val="NormalWeb"/>
        <w:numPr>
          <w:ilvl w:val="0"/>
          <w:numId w:val="1"/>
        </w:numPr>
        <w:spacing w:before="0" w:after="0"/>
        <w:jc w:val="both"/>
      </w:pPr>
      <w:r>
        <w:rPr>
          <w:color w:val="000000"/>
        </w:rPr>
        <w:t xml:space="preserve">Brewer, J. (2003). "Trust in policing: A review of the literature." Police Research </w:t>
      </w:r>
      <w:r>
        <w:rPr>
          <w:color w:val="000000"/>
        </w:rPr>
        <w:t>Group Crime Reduction and Community Safety: An Analytical Series.</w:t>
      </w:r>
    </w:p>
    <w:p w14:paraId="7DC2396E" w14:textId="77777777" w:rsidR="007D3108" w:rsidRDefault="007C69D9">
      <w:pPr>
        <w:pStyle w:val="NormalWeb"/>
        <w:numPr>
          <w:ilvl w:val="0"/>
          <w:numId w:val="1"/>
        </w:numPr>
        <w:spacing w:before="0" w:after="0"/>
        <w:jc w:val="both"/>
      </w:pPr>
      <w:r>
        <w:rPr>
          <w:color w:val="000000"/>
        </w:rPr>
        <w:t>Geertz, C. (1973). "The interpretation of cultures." New York: Basic Books.</w:t>
      </w:r>
    </w:p>
    <w:p w14:paraId="1F223B22" w14:textId="77777777" w:rsidR="007D3108" w:rsidRDefault="007C69D9">
      <w:pPr>
        <w:pStyle w:val="NormalWeb"/>
        <w:numPr>
          <w:ilvl w:val="0"/>
          <w:numId w:val="1"/>
        </w:numPr>
        <w:spacing w:before="0" w:after="0"/>
        <w:jc w:val="both"/>
      </w:pPr>
      <w:r>
        <w:rPr>
          <w:color w:val="000000"/>
        </w:rPr>
        <w:t>Jackson, J. (2014). "Diversity in policing: The evidence." Policing: A Journal of Policy and Practice, 8(1), 67-76</w:t>
      </w:r>
      <w:r>
        <w:rPr>
          <w:color w:val="000000"/>
        </w:rPr>
        <w:t>.</w:t>
      </w:r>
    </w:p>
    <w:p w14:paraId="7F4338BA" w14:textId="77777777" w:rsidR="007D3108" w:rsidRDefault="007C69D9">
      <w:pPr>
        <w:pStyle w:val="NormalWeb"/>
        <w:numPr>
          <w:ilvl w:val="0"/>
          <w:numId w:val="1"/>
        </w:numPr>
        <w:spacing w:before="0" w:after="0"/>
        <w:jc w:val="both"/>
      </w:pPr>
      <w:r>
        <w:rPr>
          <w:color w:val="000000"/>
        </w:rPr>
        <w:t>Smith, M. et al. (2016). "Racial and ethnic disparities in police stops and use of force." American Economic Journal: Applied Economics, 8(3), 1-32.</w:t>
      </w:r>
    </w:p>
    <w:p w14:paraId="50E42C4F" w14:textId="77777777" w:rsidR="007D3108" w:rsidRDefault="007C69D9">
      <w:pPr>
        <w:pStyle w:val="NormalWeb"/>
        <w:numPr>
          <w:ilvl w:val="0"/>
          <w:numId w:val="1"/>
        </w:numPr>
        <w:spacing w:before="0" w:after="0"/>
        <w:jc w:val="both"/>
      </w:pPr>
      <w:proofErr w:type="spellStart"/>
      <w:r>
        <w:rPr>
          <w:color w:val="000000"/>
        </w:rPr>
        <w:t>Tadman</w:t>
      </w:r>
      <w:proofErr w:type="spellEnd"/>
      <w:r>
        <w:rPr>
          <w:color w:val="000000"/>
        </w:rPr>
        <w:t>, M. (1995). "Policing in context: A comparative perspective." Oxford: Clarendon Press.</w:t>
      </w:r>
    </w:p>
    <w:p w14:paraId="5C84AC89" w14:textId="77777777" w:rsidR="007D3108" w:rsidRDefault="007C69D9">
      <w:pPr>
        <w:pStyle w:val="ListParagraph"/>
        <w:numPr>
          <w:ilvl w:val="0"/>
          <w:numId w:val="1"/>
        </w:numPr>
        <w:jc w:val="both"/>
        <w:rPr>
          <w:rFonts w:cs="Calibri"/>
          <w:color w:val="000000"/>
        </w:rPr>
      </w:pPr>
      <w:r>
        <w:rPr>
          <w:rFonts w:cs="Calibri"/>
          <w:color w:val="000000"/>
        </w:rPr>
        <w:t xml:space="preserve">Walker, A. </w:t>
      </w:r>
      <w:r>
        <w:rPr>
          <w:rFonts w:cs="Calibri"/>
          <w:color w:val="000000"/>
        </w:rPr>
        <w:t>(2018). "The race and gender of UK police forces." British Journal of Criminology, 58(6), 1324-1340.</w:t>
      </w:r>
    </w:p>
    <w:p w14:paraId="68DBFBCD" w14:textId="77777777" w:rsidR="007D3108" w:rsidRDefault="007D3108">
      <w:pPr>
        <w:jc w:val="both"/>
        <w:rPr>
          <w:rFonts w:cs="Calibri"/>
          <w:color w:val="000000"/>
        </w:rPr>
      </w:pPr>
    </w:p>
    <w:p w14:paraId="5A57E739" w14:textId="77777777" w:rsidR="007D3108" w:rsidRDefault="007D3108">
      <w:pPr>
        <w:jc w:val="both"/>
        <w:rPr>
          <w:rFonts w:cs="Calibri"/>
          <w:color w:val="000000"/>
        </w:rPr>
      </w:pPr>
    </w:p>
    <w:p w14:paraId="794E6A4B" w14:textId="77777777" w:rsidR="007D3108" w:rsidRDefault="007D3108">
      <w:pPr>
        <w:jc w:val="both"/>
        <w:rPr>
          <w:rFonts w:cs="Calibri"/>
          <w:color w:val="000000"/>
        </w:rPr>
      </w:pPr>
    </w:p>
    <w:p w14:paraId="5050B15C" w14:textId="77777777" w:rsidR="007D3108" w:rsidRDefault="007C69D9">
      <w:pPr>
        <w:overflowPunct w:val="0"/>
        <w:autoSpaceDE w:val="0"/>
        <w:spacing w:after="0" w:line="276" w:lineRule="auto"/>
        <w:ind w:left="567" w:right="531"/>
        <w:jc w:val="both"/>
        <w:textAlignment w:val="baseline"/>
      </w:pPr>
      <w:r>
        <w:rPr>
          <w:rFonts w:eastAsia="Times New Roman" w:cs="Calibri"/>
          <w:b/>
          <w:bCs/>
          <w:lang w:eastAsia="en-GB"/>
        </w:rPr>
        <w:lastRenderedPageBreak/>
        <w:t>Essay two:</w:t>
      </w:r>
    </w:p>
    <w:p w14:paraId="42B108D6" w14:textId="77777777" w:rsidR="007D3108" w:rsidRDefault="007C69D9">
      <w:pPr>
        <w:overflowPunct w:val="0"/>
        <w:autoSpaceDE w:val="0"/>
        <w:spacing w:after="0" w:line="276" w:lineRule="auto"/>
        <w:ind w:left="567" w:right="531"/>
        <w:jc w:val="both"/>
        <w:textAlignment w:val="baseline"/>
      </w:pPr>
      <w:r>
        <w:rPr>
          <w:rFonts w:eastAsia="Times New Roman" w:cs="Calibri"/>
          <w:lang w:eastAsia="en-GB"/>
        </w:rPr>
        <w:t xml:space="preserve">What makes vulnerable young people and adults more at risk of exploitation by criminal gangs? </w:t>
      </w:r>
      <w:r>
        <w:rPr>
          <w:rFonts w:eastAsia="Times New Roman" w:cs="Calibri"/>
          <w:u w:val="single"/>
          <w:lang w:eastAsia="en-GB"/>
        </w:rPr>
        <w:t>Examine</w:t>
      </w:r>
      <w:r>
        <w:rPr>
          <w:rFonts w:eastAsia="Times New Roman" w:cs="Calibri"/>
          <w:lang w:eastAsia="en-GB"/>
        </w:rPr>
        <w:t xml:space="preserve"> both the psychological and </w:t>
      </w:r>
      <w:r>
        <w:rPr>
          <w:rFonts w:eastAsia="Times New Roman" w:cs="Calibri"/>
          <w:lang w:eastAsia="en-GB"/>
        </w:rPr>
        <w:t>socio-economic characteristics of victims of exploitation.</w:t>
      </w:r>
    </w:p>
    <w:p w14:paraId="1CACE198" w14:textId="77777777" w:rsidR="007D3108" w:rsidRDefault="007C69D9">
      <w:pPr>
        <w:overflowPunct w:val="0"/>
        <w:autoSpaceDE w:val="0"/>
        <w:spacing w:after="0" w:line="276" w:lineRule="auto"/>
        <w:ind w:left="567" w:right="531"/>
        <w:jc w:val="both"/>
        <w:textAlignment w:val="baseline"/>
        <w:rPr>
          <w:rFonts w:eastAsia="Times New Roman" w:cs="Calibri"/>
          <w:lang w:eastAsia="en-GB"/>
        </w:rPr>
      </w:pPr>
      <w:r>
        <w:rPr>
          <w:rFonts w:eastAsia="Times New Roman" w:cs="Calibri"/>
          <w:lang w:eastAsia="en-GB"/>
        </w:rPr>
        <w:t xml:space="preserve">Your answer should be based on academic research, but you may </w:t>
      </w:r>
      <w:proofErr w:type="gramStart"/>
      <w:r>
        <w:rPr>
          <w:rFonts w:eastAsia="Times New Roman" w:cs="Calibri"/>
          <w:lang w:eastAsia="en-GB"/>
        </w:rPr>
        <w:t>make reference</w:t>
      </w:r>
      <w:proofErr w:type="gramEnd"/>
      <w:r>
        <w:rPr>
          <w:rFonts w:eastAsia="Times New Roman" w:cs="Calibri"/>
          <w:lang w:eastAsia="en-GB"/>
        </w:rPr>
        <w:t xml:space="preserve"> to relevant case studies.</w:t>
      </w:r>
    </w:p>
    <w:p w14:paraId="2F57549E" w14:textId="77777777" w:rsidR="007D3108" w:rsidRDefault="007C69D9">
      <w:pPr>
        <w:spacing w:after="0" w:line="276" w:lineRule="auto"/>
        <w:ind w:left="567" w:right="531"/>
        <w:jc w:val="both"/>
      </w:pPr>
      <w:r>
        <w:rPr>
          <w:rFonts w:eastAsia="Times New Roman" w:cs="Calibri"/>
          <w:b/>
          <w:bCs/>
          <w:lang w:eastAsia="en-GB"/>
        </w:rPr>
        <w:t xml:space="preserve">Word limit: </w:t>
      </w:r>
      <w:r>
        <w:rPr>
          <w:rFonts w:eastAsia="Times New Roman" w:cs="Calibri"/>
          <w:lang w:eastAsia="en-GB"/>
        </w:rPr>
        <w:t>1000 words.</w:t>
      </w:r>
    </w:p>
    <w:p w14:paraId="4456076B" w14:textId="77777777" w:rsidR="007D3108" w:rsidRDefault="007D3108">
      <w:pPr>
        <w:jc w:val="both"/>
        <w:rPr>
          <w:rFonts w:cs="Calibri"/>
          <w:color w:val="000000"/>
        </w:rPr>
      </w:pPr>
    </w:p>
    <w:p w14:paraId="33675B6E" w14:textId="77777777" w:rsidR="007D3108" w:rsidRDefault="007C69D9">
      <w:pPr>
        <w:pStyle w:val="NormalWeb"/>
        <w:spacing w:before="0" w:after="0"/>
        <w:jc w:val="both"/>
      </w:pPr>
      <w:r>
        <w:rPr>
          <w:color w:val="000000"/>
        </w:rPr>
        <w:t xml:space="preserve">Criminal gangs in the UK often exploit vulnerable young people and </w:t>
      </w:r>
      <w:r>
        <w:rPr>
          <w:color w:val="000000"/>
        </w:rPr>
        <w:t>adults for their own gain. These individuals may be more at risk due to a variety of factors, including poverty, lack of education, employment opportunities, mental health issues, and unstable family environments. This essay will explore these factors in g</w:t>
      </w:r>
      <w:r>
        <w:rPr>
          <w:color w:val="000000"/>
        </w:rPr>
        <w:t>reater detail and discuss how they can make young people and adults more susceptible to exploitation by criminal gangs.</w:t>
      </w:r>
    </w:p>
    <w:p w14:paraId="1F2B5059" w14:textId="77777777" w:rsidR="007D3108" w:rsidRDefault="007D3108">
      <w:pPr>
        <w:jc w:val="both"/>
        <w:rPr>
          <w:rFonts w:cs="Calibri"/>
        </w:rPr>
      </w:pPr>
    </w:p>
    <w:p w14:paraId="5BB62173" w14:textId="77777777" w:rsidR="007D3108" w:rsidRDefault="007C69D9">
      <w:pPr>
        <w:pStyle w:val="NormalWeb"/>
        <w:spacing w:before="0" w:after="0"/>
        <w:jc w:val="both"/>
      </w:pPr>
      <w:r>
        <w:rPr>
          <w:color w:val="000000"/>
        </w:rPr>
        <w:t>Poverty:</w:t>
      </w:r>
    </w:p>
    <w:p w14:paraId="752E1EAD" w14:textId="77777777" w:rsidR="007D3108" w:rsidRDefault="007C69D9">
      <w:pPr>
        <w:pStyle w:val="NormalWeb"/>
        <w:spacing w:before="0" w:after="0"/>
        <w:jc w:val="both"/>
      </w:pPr>
      <w:r>
        <w:rPr>
          <w:color w:val="000000"/>
        </w:rPr>
        <w:t>Poverty is a major contributor to vulnerability among young people and adults in the UK. According to a report by the Joseph R</w:t>
      </w:r>
      <w:r>
        <w:rPr>
          <w:color w:val="000000"/>
        </w:rPr>
        <w:t>owntree Foundation, over 14 million people in the UK were living in poverty in 2018, including 4.5 million children (Joseph Rowntree Foundation, 2018). Poverty can lead to a lack of access to education and employment opportunities, which can in turn make i</w:t>
      </w:r>
      <w:r>
        <w:rPr>
          <w:color w:val="000000"/>
        </w:rPr>
        <w:t>ndividuals more susceptible to exploitation by criminal gangs.</w:t>
      </w:r>
    </w:p>
    <w:p w14:paraId="055BD441" w14:textId="77777777" w:rsidR="007D3108" w:rsidRDefault="007D3108">
      <w:pPr>
        <w:jc w:val="both"/>
        <w:rPr>
          <w:rFonts w:cs="Calibri"/>
        </w:rPr>
      </w:pPr>
    </w:p>
    <w:p w14:paraId="2EEA6967" w14:textId="77777777" w:rsidR="007D3108" w:rsidRDefault="007C69D9">
      <w:pPr>
        <w:pStyle w:val="NormalWeb"/>
        <w:spacing w:before="0" w:after="0"/>
        <w:jc w:val="both"/>
      </w:pPr>
      <w:r>
        <w:rPr>
          <w:color w:val="000000"/>
        </w:rPr>
        <w:t>Lack of education and employment opportunities:</w:t>
      </w:r>
    </w:p>
    <w:p w14:paraId="71DA5933" w14:textId="77777777" w:rsidR="007D3108" w:rsidRDefault="007C69D9">
      <w:pPr>
        <w:pStyle w:val="NormalWeb"/>
        <w:spacing w:before="0" w:after="0"/>
        <w:jc w:val="both"/>
      </w:pPr>
      <w:r>
        <w:rPr>
          <w:color w:val="000000"/>
        </w:rPr>
        <w:t>A lack of education and employment opportunities can also make young people and adults more vulnerable to exploitation by criminal gangs. Many y</w:t>
      </w:r>
      <w:r>
        <w:rPr>
          <w:color w:val="000000"/>
        </w:rPr>
        <w:t>oung people who are not in education, employment, or training (commonly referred to as "NEETs") may be at risk of being recruited by criminal gangs (Baldwin et al., 2016). These individuals may be attracted to the promise of money, status, and a sense of b</w:t>
      </w:r>
      <w:r>
        <w:rPr>
          <w:color w:val="000000"/>
        </w:rPr>
        <w:t>elonging that gangs can offer (Baldwin et al., 2016).</w:t>
      </w:r>
    </w:p>
    <w:p w14:paraId="609CEFFD" w14:textId="77777777" w:rsidR="007D3108" w:rsidRDefault="007C69D9">
      <w:pPr>
        <w:pStyle w:val="NormalWeb"/>
        <w:spacing w:before="0" w:after="0"/>
        <w:jc w:val="both"/>
      </w:pPr>
      <w:r>
        <w:rPr>
          <w:color w:val="000000"/>
        </w:rPr>
        <w:t>One way to help vulnerable individuals is by providing access to education and employment opportunities. This can help to break the cycle of poverty and give young people and adults the skills and knowl</w:t>
      </w:r>
      <w:r>
        <w:rPr>
          <w:color w:val="000000"/>
        </w:rPr>
        <w:t>edge they need to succeed in the workforce. This can also provide a sense of purpose and belonging, which can be particularly important for those who are at risk of being recruited by criminal gangs (Baldwin et al., 2016).</w:t>
      </w:r>
    </w:p>
    <w:p w14:paraId="7FAF9D7D" w14:textId="77777777" w:rsidR="007D3108" w:rsidRDefault="007D3108">
      <w:pPr>
        <w:jc w:val="both"/>
        <w:rPr>
          <w:rFonts w:cs="Calibri"/>
        </w:rPr>
      </w:pPr>
    </w:p>
    <w:p w14:paraId="0F39C9C9" w14:textId="77777777" w:rsidR="007D3108" w:rsidRDefault="007C69D9">
      <w:pPr>
        <w:pStyle w:val="NormalWeb"/>
        <w:spacing w:before="0" w:after="0"/>
        <w:jc w:val="both"/>
      </w:pPr>
      <w:r>
        <w:rPr>
          <w:color w:val="000000"/>
        </w:rPr>
        <w:t>Mental health issues:</w:t>
      </w:r>
    </w:p>
    <w:p w14:paraId="36FEE3C9" w14:textId="77777777" w:rsidR="007D3108" w:rsidRDefault="007C69D9">
      <w:pPr>
        <w:pStyle w:val="NormalWeb"/>
        <w:spacing w:before="0" w:after="0"/>
        <w:jc w:val="both"/>
      </w:pPr>
      <w:r>
        <w:rPr>
          <w:color w:val="000000"/>
        </w:rPr>
        <w:t>Mental hea</w:t>
      </w:r>
      <w:r>
        <w:rPr>
          <w:color w:val="000000"/>
        </w:rPr>
        <w:t>lth issues, such as anxiety, depression, and post-traumatic stress disorder (PTSD), can also make young people and adults more vulnerable to exploitation by criminal gangs (Baldwin et al., 2016). These individuals may be more likely to engage in risky beha</w:t>
      </w:r>
      <w:r>
        <w:rPr>
          <w:color w:val="000000"/>
        </w:rPr>
        <w:t xml:space="preserve">viour and may be less able to make informed decisions about their own safety (Baldwin et al., 2016). They may also be more likely to succumb to the influence of others, including gang members who may exploit them for their own gain (Baldwin et al., 2016). </w:t>
      </w:r>
      <w:r>
        <w:rPr>
          <w:color w:val="000000"/>
        </w:rPr>
        <w:t xml:space="preserve">To help these vulnerable individuals is by providing support for mental health issues. This can include access to mental health services, such as therapy and counselling, which can help individuals to cope with anxiety, depression, and other mental health </w:t>
      </w:r>
      <w:r>
        <w:rPr>
          <w:color w:val="000000"/>
        </w:rPr>
        <w:t>issues (Baldwin et al., 2016). It can also include support groups and other forms of peer support, which can provide a sense of community and belonging for individuals who may be struggling (Baldwin et al., 2016).</w:t>
      </w:r>
    </w:p>
    <w:p w14:paraId="6B755F99" w14:textId="77777777" w:rsidR="007D3108" w:rsidRDefault="007D3108">
      <w:pPr>
        <w:jc w:val="both"/>
        <w:rPr>
          <w:rFonts w:cs="Calibri"/>
        </w:rPr>
      </w:pPr>
    </w:p>
    <w:p w14:paraId="10E158A9" w14:textId="77777777" w:rsidR="007D3108" w:rsidRDefault="007C69D9">
      <w:pPr>
        <w:pStyle w:val="NormalWeb"/>
        <w:spacing w:before="0" w:after="0"/>
        <w:jc w:val="both"/>
      </w:pPr>
      <w:r>
        <w:rPr>
          <w:color w:val="000000"/>
        </w:rPr>
        <w:t>Unstable family environments:</w:t>
      </w:r>
    </w:p>
    <w:p w14:paraId="30130A69" w14:textId="77777777" w:rsidR="007D3108" w:rsidRDefault="007C69D9">
      <w:pPr>
        <w:pStyle w:val="NormalWeb"/>
        <w:spacing w:before="0" w:after="0"/>
        <w:jc w:val="both"/>
        <w:rPr>
          <w:color w:val="000000"/>
        </w:rPr>
      </w:pPr>
      <w:r>
        <w:rPr>
          <w:color w:val="000000"/>
        </w:rPr>
        <w:lastRenderedPageBreak/>
        <w:t>Young peopl</w:t>
      </w:r>
      <w:r>
        <w:rPr>
          <w:color w:val="000000"/>
        </w:rPr>
        <w:t>e and adults who come from unstable family environments, such as those characterized by domestic violence, substance abuse, or neglect, may also be more vulnerable to exploitation by criminal gangs (Baldwin et al., 2016). These individuals may not have the</w:t>
      </w:r>
      <w:r>
        <w:rPr>
          <w:color w:val="000000"/>
        </w:rPr>
        <w:t xml:space="preserve"> support and guidance they need to make healthy, informed decisions, and may be more likely to seek out alternative forms of support and belonging, such as joining a gang (Baldwin et al., 2016). Which is why Providing support for unstable family environmen</w:t>
      </w:r>
      <w:r>
        <w:rPr>
          <w:color w:val="000000"/>
        </w:rPr>
        <w:t>ts can also be crucial in helping to prevent exploitation by criminal gangs. This can include access to services such as family counselling, domestic violence support, and substance abuse treatment, which can help to create stable, healthy environments for</w:t>
      </w:r>
      <w:r>
        <w:rPr>
          <w:color w:val="000000"/>
        </w:rPr>
        <w:t xml:space="preserve"> young people and adults (Baldwin et al., 2016). It can also include initiatives such as mentoring programs, which can provide young people with positive role models and support (Baldwin et al., 2016).</w:t>
      </w:r>
    </w:p>
    <w:p w14:paraId="65832EC4" w14:textId="77777777" w:rsidR="007D3108" w:rsidRDefault="007D3108">
      <w:pPr>
        <w:pStyle w:val="NormalWeb"/>
        <w:spacing w:before="0" w:after="0"/>
        <w:jc w:val="both"/>
        <w:rPr>
          <w:color w:val="000000"/>
        </w:rPr>
      </w:pPr>
    </w:p>
    <w:p w14:paraId="74A6001F" w14:textId="77777777" w:rsidR="007D3108" w:rsidRDefault="007C69D9">
      <w:pPr>
        <w:pStyle w:val="NormalWeb"/>
        <w:spacing w:before="0" w:after="0"/>
        <w:jc w:val="both"/>
      </w:pPr>
      <w:r>
        <w:rPr>
          <w:color w:val="000000"/>
        </w:rPr>
        <w:t>In addition to the factors mentioned above, there are</w:t>
      </w:r>
      <w:r>
        <w:rPr>
          <w:color w:val="000000"/>
        </w:rPr>
        <w:t xml:space="preserve"> other circumstances that can make individuals more vulnerable to exploitation by criminal gangs in the UK. For example, individuals who are in the care system, such as foster care or residential care, may be at higher risk of exploitation due to a lack of</w:t>
      </w:r>
      <w:r>
        <w:rPr>
          <w:color w:val="000000"/>
        </w:rPr>
        <w:t xml:space="preserve"> supervision and support (The Children's Society, 2018). These individuals may be more likely to </w:t>
      </w:r>
      <w:proofErr w:type="gramStart"/>
      <w:r>
        <w:rPr>
          <w:color w:val="000000"/>
        </w:rPr>
        <w:t>come into contact with</w:t>
      </w:r>
      <w:proofErr w:type="gramEnd"/>
      <w:r>
        <w:rPr>
          <w:color w:val="000000"/>
        </w:rPr>
        <w:t xml:space="preserve"> criminal gangs and may be more susceptible to the promises and manipulations of gang members.</w:t>
      </w:r>
    </w:p>
    <w:p w14:paraId="1F5FAD2F" w14:textId="77777777" w:rsidR="007D3108" w:rsidRDefault="007D3108">
      <w:pPr>
        <w:jc w:val="both"/>
        <w:rPr>
          <w:rFonts w:cs="Calibri"/>
        </w:rPr>
      </w:pPr>
    </w:p>
    <w:p w14:paraId="3483AABC" w14:textId="77777777" w:rsidR="007D3108" w:rsidRDefault="007C69D9">
      <w:pPr>
        <w:pStyle w:val="NormalWeb"/>
        <w:spacing w:before="0" w:after="0"/>
        <w:jc w:val="both"/>
      </w:pPr>
      <w:r>
        <w:rPr>
          <w:color w:val="000000"/>
        </w:rPr>
        <w:t>Similarly, individuals who are homeless o</w:t>
      </w:r>
      <w:r>
        <w:rPr>
          <w:color w:val="000000"/>
        </w:rPr>
        <w:t xml:space="preserve">r living in temporary accommodation may be more at risk of exploitation by criminal gangs. These individuals may be more likely to engage in risky or illegal activities </w:t>
      </w:r>
      <w:proofErr w:type="gramStart"/>
      <w:r>
        <w:rPr>
          <w:color w:val="000000"/>
        </w:rPr>
        <w:t>in order to</w:t>
      </w:r>
      <w:proofErr w:type="gramEnd"/>
      <w:r>
        <w:rPr>
          <w:color w:val="000000"/>
        </w:rPr>
        <w:t xml:space="preserve"> survive and may be more susceptible to the promises of quick money and othe</w:t>
      </w:r>
      <w:r>
        <w:rPr>
          <w:color w:val="000000"/>
        </w:rPr>
        <w:t>r rewards offered by criminal gangs (Crisis, 2016).</w:t>
      </w:r>
    </w:p>
    <w:p w14:paraId="3A39ACCA" w14:textId="77777777" w:rsidR="007D3108" w:rsidRDefault="007D3108">
      <w:pPr>
        <w:jc w:val="both"/>
        <w:rPr>
          <w:rFonts w:cs="Calibri"/>
        </w:rPr>
      </w:pPr>
    </w:p>
    <w:p w14:paraId="51A68797" w14:textId="77777777" w:rsidR="007D3108" w:rsidRDefault="007C69D9">
      <w:pPr>
        <w:pStyle w:val="NormalWeb"/>
        <w:spacing w:before="0" w:after="0"/>
        <w:jc w:val="both"/>
      </w:pPr>
      <w:r>
        <w:rPr>
          <w:color w:val="000000"/>
        </w:rPr>
        <w:t xml:space="preserve">Furthermore, individuals who are immigrants or refugees may also be more vulnerable to exploitation by criminal gangs. These individuals may face language barriers and a lack of familiarity with UK laws </w:t>
      </w:r>
      <w:r>
        <w:rPr>
          <w:color w:val="000000"/>
        </w:rPr>
        <w:t xml:space="preserve">and customs, which can make them more susceptible to being exploited (Criminal Justice Joint Inspection, 2016). They may also be more likely to </w:t>
      </w:r>
      <w:proofErr w:type="gramStart"/>
      <w:r>
        <w:rPr>
          <w:color w:val="000000"/>
        </w:rPr>
        <w:t>come into contact with</w:t>
      </w:r>
      <w:proofErr w:type="gramEnd"/>
      <w:r>
        <w:rPr>
          <w:color w:val="000000"/>
        </w:rPr>
        <w:t xml:space="preserve"> criminal gangs, who may target them due to their vulnerability.</w:t>
      </w:r>
    </w:p>
    <w:p w14:paraId="7CAC8D42" w14:textId="77777777" w:rsidR="007D3108" w:rsidRDefault="007D3108">
      <w:pPr>
        <w:pStyle w:val="NormalWeb"/>
        <w:spacing w:before="0" w:after="0"/>
        <w:jc w:val="both"/>
      </w:pPr>
    </w:p>
    <w:p w14:paraId="02B42247" w14:textId="77777777" w:rsidR="007D3108" w:rsidRDefault="007D3108">
      <w:pPr>
        <w:jc w:val="both"/>
        <w:rPr>
          <w:rFonts w:cs="Calibri"/>
        </w:rPr>
      </w:pPr>
    </w:p>
    <w:p w14:paraId="5393B6AA" w14:textId="77777777" w:rsidR="007D3108" w:rsidRDefault="007C69D9">
      <w:pPr>
        <w:pStyle w:val="NormalWeb"/>
        <w:spacing w:before="0" w:after="0"/>
        <w:jc w:val="both"/>
      </w:pPr>
      <w:r>
        <w:rPr>
          <w:color w:val="000000"/>
        </w:rPr>
        <w:t>Conclusion:</w:t>
      </w:r>
    </w:p>
    <w:p w14:paraId="64D36C6D" w14:textId="77777777" w:rsidR="007D3108" w:rsidRDefault="007C69D9">
      <w:pPr>
        <w:pStyle w:val="NormalWeb"/>
        <w:spacing w:before="0" w:after="0"/>
        <w:jc w:val="both"/>
      </w:pPr>
      <w:r>
        <w:rPr>
          <w:color w:val="000000"/>
        </w:rPr>
        <w:t>In conclusi</w:t>
      </w:r>
      <w:r>
        <w:rPr>
          <w:color w:val="000000"/>
        </w:rPr>
        <w:t>on, vulnerable young people and adults in the UK are at greater risk of exploitation by criminal gangs due to a variety of factors, including poverty, lack of education and employment opportunities, mental health issues, and unstable family environments. T</w:t>
      </w:r>
      <w:r>
        <w:rPr>
          <w:color w:val="000000"/>
        </w:rPr>
        <w:t>hese individuals may be attracted to the promise of money, status, and a sense of belonging that gangs can offer, and may be unable to make informed decisions about their own safety. It is important for society to address these underlying issues and provid</w:t>
      </w:r>
      <w:r>
        <w:rPr>
          <w:color w:val="000000"/>
        </w:rPr>
        <w:t>e support and resources to help prevent exploitation by criminal gangs. As the research has shown, there are several ways that society can help vulnerable young people and adults who are at risk of exploitation by criminal gangs in the UK. These strategies</w:t>
      </w:r>
      <w:r>
        <w:rPr>
          <w:color w:val="000000"/>
        </w:rPr>
        <w:t xml:space="preserve"> can include providing access to education and employment opportunities, support for mental health issues, and support for unstable family environments. By addressing these underlying issues, society can help to prevent exploitation by criminal gangs and p</w:t>
      </w:r>
      <w:r>
        <w:rPr>
          <w:color w:val="000000"/>
        </w:rPr>
        <w:t>rovide vulnerable individuals with the support and resources they need to thrive.</w:t>
      </w:r>
    </w:p>
    <w:p w14:paraId="1DF38C2F" w14:textId="77777777" w:rsidR="007D3108" w:rsidRDefault="007D3108">
      <w:pPr>
        <w:jc w:val="both"/>
        <w:rPr>
          <w:rFonts w:cs="Calibri"/>
        </w:rPr>
      </w:pPr>
    </w:p>
    <w:p w14:paraId="2355A0D9" w14:textId="77777777" w:rsidR="007D3108" w:rsidRDefault="007C69D9">
      <w:pPr>
        <w:jc w:val="both"/>
        <w:rPr>
          <w:rFonts w:cs="Calibri"/>
          <w:b/>
          <w:bCs/>
        </w:rPr>
      </w:pPr>
      <w:r>
        <w:rPr>
          <w:rFonts w:cs="Calibri"/>
          <w:b/>
          <w:bCs/>
        </w:rPr>
        <w:t>Bibliography</w:t>
      </w:r>
    </w:p>
    <w:p w14:paraId="27085A08" w14:textId="77777777" w:rsidR="007D3108" w:rsidRDefault="007C69D9">
      <w:pPr>
        <w:pStyle w:val="NormalWeb"/>
        <w:numPr>
          <w:ilvl w:val="0"/>
          <w:numId w:val="2"/>
        </w:numPr>
        <w:spacing w:before="0" w:after="0"/>
        <w:jc w:val="both"/>
        <w:rPr>
          <w:color w:val="000000"/>
        </w:rPr>
      </w:pPr>
      <w:r>
        <w:rPr>
          <w:color w:val="000000"/>
        </w:rPr>
        <w:t>Baldwin, S., McInnes, D., &amp; Gilchrist, E. (2016). Exploitation of young people by criminal gangs. Research Briefing. Scottish Parliament.</w:t>
      </w:r>
    </w:p>
    <w:p w14:paraId="0672BD67" w14:textId="77777777" w:rsidR="007D3108" w:rsidRDefault="007D3108">
      <w:pPr>
        <w:pStyle w:val="NormalWeb"/>
        <w:spacing w:before="0" w:after="0"/>
        <w:jc w:val="both"/>
      </w:pPr>
    </w:p>
    <w:p w14:paraId="7AD8B962" w14:textId="77777777" w:rsidR="007D3108" w:rsidRDefault="007C69D9">
      <w:pPr>
        <w:pStyle w:val="NormalWeb"/>
        <w:numPr>
          <w:ilvl w:val="0"/>
          <w:numId w:val="2"/>
        </w:numPr>
        <w:spacing w:before="0" w:after="0"/>
        <w:jc w:val="both"/>
      </w:pPr>
      <w:r>
        <w:rPr>
          <w:color w:val="000000"/>
        </w:rPr>
        <w:lastRenderedPageBreak/>
        <w:t xml:space="preserve">Joseph </w:t>
      </w:r>
      <w:r>
        <w:rPr>
          <w:color w:val="000000"/>
        </w:rPr>
        <w:t xml:space="preserve">Rowntree Foundation. (2018). UK poverty 2018. Retrieved from </w:t>
      </w:r>
      <w:hyperlink r:id="rId7" w:history="1">
        <w:r>
          <w:rPr>
            <w:rStyle w:val="Hyperlink"/>
          </w:rPr>
          <w:t>https://www.jrf.org.uk/rep</w:t>
        </w:r>
        <w:r>
          <w:rPr>
            <w:rStyle w:val="Hyperlink"/>
          </w:rPr>
          <w:t>ort/uk-poverty-2018</w:t>
        </w:r>
      </w:hyperlink>
    </w:p>
    <w:p w14:paraId="674CE1CE" w14:textId="77777777" w:rsidR="007D3108" w:rsidRDefault="007D3108">
      <w:pPr>
        <w:pStyle w:val="NormalWeb"/>
        <w:spacing w:before="0" w:after="0"/>
        <w:jc w:val="both"/>
      </w:pPr>
    </w:p>
    <w:p w14:paraId="0B7F89C2" w14:textId="77777777" w:rsidR="007D3108" w:rsidRDefault="007C69D9">
      <w:pPr>
        <w:pStyle w:val="NormalWeb"/>
        <w:numPr>
          <w:ilvl w:val="0"/>
          <w:numId w:val="2"/>
        </w:numPr>
        <w:spacing w:before="0" w:after="0"/>
        <w:jc w:val="both"/>
      </w:pPr>
      <w:r>
        <w:rPr>
          <w:color w:val="000000"/>
        </w:rPr>
        <w:t xml:space="preserve">The Children's Society (2018). "Children in care and exploitation." Retrieved from </w:t>
      </w:r>
      <w:hyperlink r:id="rId8" w:history="1">
        <w:r>
          <w:rPr>
            <w:rStyle w:val="Hyperlink"/>
          </w:rPr>
          <w:t>https://www.childrenssociety.org.uk/what-we-do/research-and-policy/children-care-and-exploitation</w:t>
        </w:r>
      </w:hyperlink>
    </w:p>
    <w:p w14:paraId="36D49CDC" w14:textId="77777777" w:rsidR="007D3108" w:rsidRDefault="007D3108">
      <w:pPr>
        <w:pStyle w:val="NormalWeb"/>
        <w:spacing w:before="0" w:after="0"/>
        <w:jc w:val="both"/>
      </w:pPr>
    </w:p>
    <w:p w14:paraId="15928568" w14:textId="77777777" w:rsidR="007D3108" w:rsidRDefault="007C69D9">
      <w:pPr>
        <w:pStyle w:val="NormalWeb"/>
        <w:numPr>
          <w:ilvl w:val="0"/>
          <w:numId w:val="2"/>
        </w:numPr>
        <w:spacing w:before="0" w:after="0"/>
        <w:jc w:val="both"/>
      </w:pPr>
      <w:r>
        <w:rPr>
          <w:color w:val="000000"/>
        </w:rPr>
        <w:t xml:space="preserve">Crisis (2016). "Exploitation of homeless people." Retrieved from </w:t>
      </w:r>
      <w:hyperlink r:id="rId9" w:history="1">
        <w:r>
          <w:rPr>
            <w:rStyle w:val="Hyperlink"/>
          </w:rPr>
          <w:t>https://www.crisis.org.uk/resources/exploitation-homeless-people/</w:t>
        </w:r>
      </w:hyperlink>
    </w:p>
    <w:p w14:paraId="3114A652" w14:textId="77777777" w:rsidR="007D3108" w:rsidRDefault="007D3108">
      <w:pPr>
        <w:pStyle w:val="NormalWeb"/>
        <w:spacing w:before="0" w:after="0"/>
        <w:jc w:val="both"/>
      </w:pPr>
    </w:p>
    <w:p w14:paraId="003D72D5" w14:textId="77777777" w:rsidR="007D3108" w:rsidRDefault="007C69D9">
      <w:pPr>
        <w:pStyle w:val="NormalWeb"/>
        <w:numPr>
          <w:ilvl w:val="0"/>
          <w:numId w:val="2"/>
        </w:numPr>
        <w:spacing w:before="0" w:after="0"/>
        <w:jc w:val="both"/>
      </w:pPr>
      <w:r>
        <w:rPr>
          <w:color w:val="000000"/>
        </w:rPr>
        <w:t>Criminal Justic</w:t>
      </w:r>
      <w:r>
        <w:rPr>
          <w:color w:val="000000"/>
        </w:rPr>
        <w:t xml:space="preserve">e Joint Inspection (2016). "Joint inspection of the response to modern slavery." Retrieved from </w:t>
      </w:r>
      <w:hyperlink r:id="rId10" w:history="1">
        <w:r>
          <w:rPr>
            <w:rStyle w:val="Hyperlink"/>
          </w:rPr>
          <w:t>https://www.justiceinspectorates.gov.uk/hmicfrs/wp-content/uploads/sites/4/2016/09/Joint-Inspection-of-the-response-to-modern-slav</w:t>
        </w:r>
        <w:r>
          <w:rPr>
            <w:rStyle w:val="Hyperlink"/>
          </w:rPr>
          <w:t>ery-report-web.pdf</w:t>
        </w:r>
      </w:hyperlink>
    </w:p>
    <w:p w14:paraId="506AFD17" w14:textId="77777777" w:rsidR="007D3108" w:rsidRDefault="007D3108">
      <w:pPr>
        <w:jc w:val="both"/>
        <w:rPr>
          <w:rFonts w:cs="Calibri"/>
        </w:rPr>
      </w:pPr>
    </w:p>
    <w:p w14:paraId="337C3F8A" w14:textId="77777777" w:rsidR="007D3108" w:rsidRDefault="007D3108">
      <w:pPr>
        <w:overflowPunct w:val="0"/>
        <w:autoSpaceDE w:val="0"/>
        <w:spacing w:after="0" w:line="276" w:lineRule="auto"/>
        <w:ind w:left="567" w:right="531"/>
        <w:jc w:val="both"/>
        <w:textAlignment w:val="baseline"/>
        <w:rPr>
          <w:rFonts w:eastAsia="Times New Roman" w:cs="Calibri"/>
          <w:lang w:eastAsia="en-GB"/>
        </w:rPr>
      </w:pPr>
    </w:p>
    <w:p w14:paraId="409E4D60" w14:textId="77777777" w:rsidR="007D3108" w:rsidRDefault="007C69D9">
      <w:pPr>
        <w:spacing w:after="0" w:line="276" w:lineRule="auto"/>
        <w:ind w:left="567" w:right="531"/>
        <w:jc w:val="both"/>
        <w:rPr>
          <w:rFonts w:eastAsia="Times New Roman" w:cs="Calibri"/>
          <w:b/>
          <w:bCs/>
          <w:lang w:eastAsia="en-GB"/>
        </w:rPr>
      </w:pPr>
      <w:r>
        <w:rPr>
          <w:rFonts w:eastAsia="Times New Roman" w:cs="Calibri"/>
          <w:b/>
          <w:bCs/>
          <w:lang w:eastAsia="en-GB"/>
        </w:rPr>
        <w:t>Essay three:</w:t>
      </w:r>
    </w:p>
    <w:p w14:paraId="140B3737" w14:textId="77777777" w:rsidR="007D3108" w:rsidRDefault="007C69D9">
      <w:pPr>
        <w:spacing w:after="0" w:line="276" w:lineRule="auto"/>
        <w:ind w:left="567" w:right="531"/>
        <w:jc w:val="both"/>
      </w:pPr>
      <w:r>
        <w:rPr>
          <w:rFonts w:eastAsia="Times New Roman" w:cs="Calibri"/>
          <w:u w:val="single"/>
          <w:lang w:eastAsia="en-GB"/>
        </w:rPr>
        <w:t>How effective</w:t>
      </w:r>
      <w:r>
        <w:rPr>
          <w:rFonts w:eastAsia="Times New Roman" w:cs="Calibri"/>
          <w:lang w:eastAsia="en-GB"/>
        </w:rPr>
        <w:t xml:space="preserve"> is MAPPA as a means of managing offenders?</w:t>
      </w:r>
    </w:p>
    <w:p w14:paraId="0D51FC92" w14:textId="77777777" w:rsidR="007D3108" w:rsidRDefault="007C69D9">
      <w:pPr>
        <w:overflowPunct w:val="0"/>
        <w:autoSpaceDE w:val="0"/>
        <w:spacing w:after="0" w:line="276" w:lineRule="auto"/>
        <w:ind w:left="567" w:right="531"/>
        <w:jc w:val="both"/>
        <w:textAlignment w:val="baseline"/>
      </w:pPr>
      <w:r>
        <w:rPr>
          <w:rFonts w:eastAsia="Times New Roman" w:cs="Calibri"/>
          <w:lang w:eastAsia="en-GB"/>
        </w:rPr>
        <w:t>Rather than relying on personal experience, support your answer with relevant evidence drawn from academic sources.</w:t>
      </w:r>
    </w:p>
    <w:p w14:paraId="1D531A60" w14:textId="77777777" w:rsidR="007D3108" w:rsidRDefault="007C69D9">
      <w:pPr>
        <w:spacing w:after="0" w:line="276" w:lineRule="auto"/>
        <w:ind w:left="567" w:right="531"/>
        <w:jc w:val="both"/>
      </w:pPr>
      <w:r>
        <w:rPr>
          <w:rFonts w:eastAsia="Times New Roman" w:cs="Calibri"/>
          <w:b/>
          <w:bCs/>
          <w:lang w:eastAsia="en-GB"/>
        </w:rPr>
        <w:t xml:space="preserve">Word limit: </w:t>
      </w:r>
      <w:r>
        <w:rPr>
          <w:rFonts w:eastAsia="Times New Roman" w:cs="Calibri"/>
          <w:lang w:eastAsia="en-GB"/>
        </w:rPr>
        <w:t>1000 words.</w:t>
      </w:r>
    </w:p>
    <w:p w14:paraId="1827843C" w14:textId="77777777" w:rsidR="007D3108" w:rsidRDefault="007D3108">
      <w:pPr>
        <w:jc w:val="both"/>
        <w:rPr>
          <w:rFonts w:cs="Calibri"/>
        </w:rPr>
      </w:pPr>
    </w:p>
    <w:p w14:paraId="3F089D7B" w14:textId="77777777" w:rsidR="007D3108" w:rsidRDefault="007C69D9">
      <w:pPr>
        <w:pStyle w:val="NormalWeb"/>
        <w:spacing w:before="0" w:after="0"/>
        <w:jc w:val="both"/>
      </w:pPr>
      <w:r>
        <w:rPr>
          <w:color w:val="000000"/>
        </w:rPr>
        <w:t xml:space="preserve">Multi-agency </w:t>
      </w:r>
      <w:r>
        <w:rPr>
          <w:color w:val="000000"/>
        </w:rPr>
        <w:t xml:space="preserve">public protection arrangements (MAPPA) are a system used in the United Kingdom to manage and oversee the supervision of individuals who pose a risk to the public, particularly those who have committed sexual or violent offences. These arrangements involve </w:t>
      </w:r>
      <w:r>
        <w:rPr>
          <w:color w:val="000000"/>
        </w:rPr>
        <w:t xml:space="preserve">the collaboration and coordination of various agencies, including the police, probation services, and local authorities, </w:t>
      </w:r>
      <w:proofErr w:type="gramStart"/>
      <w:r>
        <w:rPr>
          <w:color w:val="000000"/>
        </w:rPr>
        <w:t>in order to</w:t>
      </w:r>
      <w:proofErr w:type="gramEnd"/>
      <w:r>
        <w:rPr>
          <w:color w:val="000000"/>
        </w:rPr>
        <w:t xml:space="preserve"> assess and manage the risk posed by these individuals and prevent further harm to the public (Home Office, 2012).</w:t>
      </w:r>
    </w:p>
    <w:p w14:paraId="488E4D8D" w14:textId="77777777" w:rsidR="007D3108" w:rsidRDefault="007D3108">
      <w:pPr>
        <w:jc w:val="both"/>
        <w:rPr>
          <w:rFonts w:cs="Calibri"/>
        </w:rPr>
      </w:pPr>
    </w:p>
    <w:p w14:paraId="1641FA35" w14:textId="77777777" w:rsidR="007D3108" w:rsidRDefault="007C69D9">
      <w:pPr>
        <w:pStyle w:val="NormalWeb"/>
        <w:spacing w:before="0" w:after="0"/>
        <w:jc w:val="both"/>
      </w:pPr>
      <w:r>
        <w:rPr>
          <w:color w:val="000000"/>
        </w:rPr>
        <w:t>There is</w:t>
      </w:r>
      <w:r>
        <w:rPr>
          <w:color w:val="000000"/>
        </w:rPr>
        <w:t xml:space="preserve"> evidence to suggest that MAPPA can be effective in managing offenders and protecting the public. One study found that MAPPA was associated with a reduction in reoffending rates among high-risk sexual and violent offenders (Harrison, Lloyd, &amp; Bottoms, 2009</w:t>
      </w:r>
      <w:r>
        <w:rPr>
          <w:color w:val="000000"/>
        </w:rPr>
        <w:t>). In particular, the use of multi-agency risk assessments and the sharing of information among agencies appeared to be key factors in the effectiveness of MAPPA (McGuire &amp; Priestley, 2015).</w:t>
      </w:r>
    </w:p>
    <w:p w14:paraId="7C2890E0" w14:textId="77777777" w:rsidR="007D3108" w:rsidRDefault="007D3108">
      <w:pPr>
        <w:jc w:val="both"/>
        <w:rPr>
          <w:rFonts w:cs="Calibri"/>
        </w:rPr>
      </w:pPr>
    </w:p>
    <w:p w14:paraId="3B4AE879" w14:textId="77777777" w:rsidR="007D3108" w:rsidRDefault="007C69D9">
      <w:pPr>
        <w:pStyle w:val="NormalWeb"/>
        <w:spacing w:before="0" w:after="0"/>
        <w:jc w:val="both"/>
      </w:pPr>
      <w:r>
        <w:rPr>
          <w:color w:val="000000"/>
        </w:rPr>
        <w:t>However, MAPPA has also been criticized for its lack of transpar</w:t>
      </w:r>
      <w:r>
        <w:rPr>
          <w:color w:val="000000"/>
        </w:rPr>
        <w:t>ency and accountability (Finn &amp; Eadie, 2011), as well as its potential to discriminate against certain groups of offenders (McGuire &amp; Priestley, 2015). There have been instances where MAPPA has been used to disproportionately target certain individuals, su</w:t>
      </w:r>
      <w:r>
        <w:rPr>
          <w:color w:val="000000"/>
        </w:rPr>
        <w:t>ch as those with mental illnesses or those who are homeless (Finn &amp; Eadie, 2011). Additionally, there have been concerns about the lack of resources available to support offenders under MAPPA, which can make it difficult for them to comply with the conditi</w:t>
      </w:r>
      <w:r>
        <w:rPr>
          <w:color w:val="000000"/>
        </w:rPr>
        <w:t>ons of their supervision and potentially increase the risk of reoffending (McGuire &amp; Priestley, 2015).</w:t>
      </w:r>
    </w:p>
    <w:p w14:paraId="43C5309D" w14:textId="77777777" w:rsidR="007D3108" w:rsidRDefault="007D3108">
      <w:pPr>
        <w:jc w:val="both"/>
        <w:rPr>
          <w:rFonts w:cs="Calibri"/>
        </w:rPr>
      </w:pPr>
    </w:p>
    <w:p w14:paraId="7EE6DBE3" w14:textId="77777777" w:rsidR="007D3108" w:rsidRDefault="007C69D9">
      <w:pPr>
        <w:pStyle w:val="NormalWeb"/>
        <w:spacing w:before="0" w:after="0"/>
        <w:jc w:val="both"/>
      </w:pPr>
      <w:r>
        <w:rPr>
          <w:color w:val="000000"/>
        </w:rPr>
        <w:t xml:space="preserve">Despite these criticisms, MAPPA remains an important tool for managing offenders and protecting the public (Home Office, 2012). It allows for the </w:t>
      </w:r>
      <w:r>
        <w:rPr>
          <w:color w:val="000000"/>
        </w:rPr>
        <w:t xml:space="preserve">sharing of information and resources among agencies, which can improve the effectiveness of supervision and risk management (Harrison et al., 2009). However, it is important that MAPPA is used in a transparent and accountable manner (Finn &amp; Eadie, </w:t>
      </w:r>
      <w:r>
        <w:rPr>
          <w:color w:val="000000"/>
        </w:rPr>
        <w:lastRenderedPageBreak/>
        <w:t>2011), a</w:t>
      </w:r>
      <w:r>
        <w:rPr>
          <w:color w:val="000000"/>
        </w:rPr>
        <w:t>nd that sufficient resources are available to support offenders in complying with the conditions of their supervision (McGuire &amp; Priestley, 2015).</w:t>
      </w:r>
    </w:p>
    <w:p w14:paraId="798E8008" w14:textId="77777777" w:rsidR="007D3108" w:rsidRDefault="007D3108">
      <w:pPr>
        <w:jc w:val="both"/>
        <w:rPr>
          <w:rFonts w:cs="Calibri"/>
        </w:rPr>
      </w:pPr>
    </w:p>
    <w:p w14:paraId="6AD2BAC0" w14:textId="77777777" w:rsidR="007D3108" w:rsidRDefault="007C69D9">
      <w:pPr>
        <w:pStyle w:val="NormalWeb"/>
        <w:spacing w:before="0" w:after="0"/>
        <w:jc w:val="both"/>
      </w:pPr>
      <w:r>
        <w:rPr>
          <w:color w:val="000000"/>
        </w:rPr>
        <w:t>One way to improve the effectiveness of MAPPA would be to increase the use of evidence-based interventions a</w:t>
      </w:r>
      <w:r>
        <w:rPr>
          <w:color w:val="000000"/>
        </w:rPr>
        <w:t xml:space="preserve">nd practices (McGuire &amp; Priestley, 2015). This could include the use of risk assessment tools to </w:t>
      </w:r>
      <w:proofErr w:type="gramStart"/>
      <w:r>
        <w:rPr>
          <w:color w:val="000000"/>
        </w:rPr>
        <w:t xml:space="preserve">more accurately identify and prioritize high-risk offenders (Harrison et al., 2009), as well as the use of interventions such as cognitive behavioural therapy </w:t>
      </w:r>
      <w:r>
        <w:rPr>
          <w:color w:val="000000"/>
        </w:rPr>
        <w:t>and substance abuse treatment to address the underlying causes of offending behaviour (McGuire &amp; Priestley, 2015)</w:t>
      </w:r>
      <w:proofErr w:type="gramEnd"/>
      <w:r>
        <w:rPr>
          <w:color w:val="000000"/>
        </w:rPr>
        <w:t>.</w:t>
      </w:r>
    </w:p>
    <w:p w14:paraId="31533DBB" w14:textId="77777777" w:rsidR="007D3108" w:rsidRDefault="007D3108">
      <w:pPr>
        <w:jc w:val="both"/>
        <w:rPr>
          <w:rFonts w:cs="Calibri"/>
        </w:rPr>
      </w:pPr>
    </w:p>
    <w:p w14:paraId="6173EAA6" w14:textId="77777777" w:rsidR="007D3108" w:rsidRDefault="007C69D9">
      <w:pPr>
        <w:pStyle w:val="NormalWeb"/>
        <w:spacing w:before="0" w:after="0"/>
        <w:jc w:val="both"/>
      </w:pPr>
      <w:r>
        <w:rPr>
          <w:color w:val="000000"/>
        </w:rPr>
        <w:t>Another key aspect of MAPPA is the involvement of the community in the supervision and management of offenders (Home Office, 2012). Communit</w:t>
      </w:r>
      <w:r>
        <w:rPr>
          <w:color w:val="000000"/>
        </w:rPr>
        <w:t xml:space="preserve">y involvement can take various forms, such as community meetings and restorative justice initiatives (Harrison et al., 2009). These approaches can help to build trust and cooperation between the community and the agencies responsible for managing </w:t>
      </w:r>
      <w:proofErr w:type="gramStart"/>
      <w:r>
        <w:rPr>
          <w:color w:val="000000"/>
        </w:rPr>
        <w:t>offenders</w:t>
      </w:r>
      <w:r>
        <w:rPr>
          <w:color w:val="000000"/>
        </w:rPr>
        <w:t>, and</w:t>
      </w:r>
      <w:proofErr w:type="gramEnd"/>
      <w:r>
        <w:rPr>
          <w:color w:val="000000"/>
        </w:rPr>
        <w:t xml:space="preserve"> can also provide opportunities for offenders to take responsibility for their actions and make amends to the community (Home Office, 2012).</w:t>
      </w:r>
    </w:p>
    <w:p w14:paraId="36FDD997" w14:textId="77777777" w:rsidR="007D3108" w:rsidRDefault="007D3108">
      <w:pPr>
        <w:jc w:val="both"/>
        <w:rPr>
          <w:rFonts w:cs="Calibri"/>
        </w:rPr>
      </w:pPr>
    </w:p>
    <w:p w14:paraId="4391564A" w14:textId="77777777" w:rsidR="007D3108" w:rsidRDefault="007C69D9">
      <w:pPr>
        <w:pStyle w:val="NormalWeb"/>
        <w:spacing w:before="0" w:after="0"/>
        <w:jc w:val="both"/>
      </w:pPr>
      <w:r>
        <w:rPr>
          <w:color w:val="000000"/>
        </w:rPr>
        <w:t>Although MAPPA isn’t a hundred percent perfect There are several ways that MAPPA could be improved, according</w:t>
      </w:r>
      <w:r>
        <w:rPr>
          <w:color w:val="000000"/>
        </w:rPr>
        <w:t xml:space="preserve"> to research. Some of these include:</w:t>
      </w:r>
    </w:p>
    <w:p w14:paraId="39A825F5" w14:textId="77777777" w:rsidR="007D3108" w:rsidRDefault="007D3108">
      <w:pPr>
        <w:jc w:val="both"/>
        <w:rPr>
          <w:rFonts w:cs="Calibri"/>
        </w:rPr>
      </w:pPr>
    </w:p>
    <w:p w14:paraId="02C4F004" w14:textId="77777777" w:rsidR="007D3108" w:rsidRDefault="007C69D9">
      <w:pPr>
        <w:pStyle w:val="NormalWeb"/>
        <w:spacing w:before="0" w:after="0"/>
        <w:jc w:val="both"/>
      </w:pPr>
      <w:r>
        <w:rPr>
          <w:color w:val="000000"/>
        </w:rPr>
        <w:t xml:space="preserve">Increasing the use of evidence-based interventions and practices: This could include the use of risk assessment tools to </w:t>
      </w:r>
      <w:proofErr w:type="gramStart"/>
      <w:r>
        <w:rPr>
          <w:color w:val="000000"/>
        </w:rPr>
        <w:t>more accurately identify and prioritize high-risk offenders (Harrison et al., 2009), as well as t</w:t>
      </w:r>
      <w:r>
        <w:rPr>
          <w:color w:val="000000"/>
        </w:rPr>
        <w:t>he use of interventions such as cognitive behavioural therapy and substance abuse treatment to address the underlying causes of offending behaviour (McGuire &amp; Priestley, 2015)</w:t>
      </w:r>
      <w:proofErr w:type="gramEnd"/>
      <w:r>
        <w:rPr>
          <w:color w:val="000000"/>
        </w:rPr>
        <w:t>.</w:t>
      </w:r>
    </w:p>
    <w:p w14:paraId="58386BEB" w14:textId="77777777" w:rsidR="007D3108" w:rsidRDefault="007D3108">
      <w:pPr>
        <w:jc w:val="both"/>
        <w:rPr>
          <w:rFonts w:cs="Calibri"/>
        </w:rPr>
      </w:pPr>
    </w:p>
    <w:p w14:paraId="0791057F" w14:textId="77777777" w:rsidR="007D3108" w:rsidRDefault="007C69D9">
      <w:pPr>
        <w:pStyle w:val="NormalWeb"/>
        <w:spacing w:before="0" w:after="0"/>
        <w:jc w:val="both"/>
      </w:pPr>
      <w:r>
        <w:rPr>
          <w:color w:val="000000"/>
        </w:rPr>
        <w:t>Increasing transparency and accountability: There have been concerns about the</w:t>
      </w:r>
      <w:r>
        <w:rPr>
          <w:color w:val="000000"/>
        </w:rPr>
        <w:t xml:space="preserve"> lack of transparency and accountability in MAPPA (Finn &amp; Eadie, 2011). Improving these aspects could help to build trust and confidence in the system.</w:t>
      </w:r>
    </w:p>
    <w:p w14:paraId="618C8B90" w14:textId="77777777" w:rsidR="007D3108" w:rsidRDefault="007D3108">
      <w:pPr>
        <w:jc w:val="both"/>
        <w:rPr>
          <w:rFonts w:cs="Calibri"/>
        </w:rPr>
      </w:pPr>
    </w:p>
    <w:p w14:paraId="67D2F684" w14:textId="77777777" w:rsidR="007D3108" w:rsidRDefault="007C69D9">
      <w:pPr>
        <w:pStyle w:val="NormalWeb"/>
        <w:spacing w:before="0" w:after="0"/>
        <w:jc w:val="both"/>
      </w:pPr>
      <w:r>
        <w:rPr>
          <w:color w:val="000000"/>
        </w:rPr>
        <w:t xml:space="preserve">Involving the community in the supervision and management of offenders: Community involvement can take </w:t>
      </w:r>
      <w:r>
        <w:rPr>
          <w:color w:val="000000"/>
        </w:rPr>
        <w:t xml:space="preserve">various forms, such as community meetings and restorative justice initiatives (Harrison et al., 2009). These approaches can help to build trust and cooperation between the community and the agencies responsible for managing </w:t>
      </w:r>
      <w:proofErr w:type="gramStart"/>
      <w:r>
        <w:rPr>
          <w:color w:val="000000"/>
        </w:rPr>
        <w:t>offenders, and</w:t>
      </w:r>
      <w:proofErr w:type="gramEnd"/>
      <w:r>
        <w:rPr>
          <w:color w:val="000000"/>
        </w:rPr>
        <w:t xml:space="preserve"> can also provide </w:t>
      </w:r>
      <w:r>
        <w:rPr>
          <w:color w:val="000000"/>
        </w:rPr>
        <w:t>opportunities for offenders to take responsibility for their actions and make amends to the community (Home Office, 2012).</w:t>
      </w:r>
    </w:p>
    <w:p w14:paraId="234812AD" w14:textId="77777777" w:rsidR="007D3108" w:rsidRDefault="007D3108">
      <w:pPr>
        <w:jc w:val="both"/>
        <w:rPr>
          <w:rFonts w:cs="Calibri"/>
        </w:rPr>
      </w:pPr>
    </w:p>
    <w:p w14:paraId="1F013FD5" w14:textId="77777777" w:rsidR="007D3108" w:rsidRDefault="007C69D9">
      <w:pPr>
        <w:pStyle w:val="NormalWeb"/>
        <w:spacing w:before="0" w:after="0"/>
        <w:jc w:val="both"/>
      </w:pPr>
      <w:r>
        <w:rPr>
          <w:color w:val="000000"/>
        </w:rPr>
        <w:t xml:space="preserve">Ensuring sufficient resources are available to support offenders: There have been concerns about the lack of resources available to </w:t>
      </w:r>
      <w:r>
        <w:rPr>
          <w:color w:val="000000"/>
        </w:rPr>
        <w:t>support offenders under MAPPA, which can make it difficult for them to comply with the conditions of their supervision and potentially increase the risk of reoffending (McGuire &amp; Priestley, 2015). Increasing the availability of resources could help to impr</w:t>
      </w:r>
      <w:r>
        <w:rPr>
          <w:color w:val="000000"/>
        </w:rPr>
        <w:t>ove the effectiveness of MAPPA.</w:t>
      </w:r>
    </w:p>
    <w:p w14:paraId="0DFA7EB6" w14:textId="77777777" w:rsidR="007D3108" w:rsidRDefault="007D3108">
      <w:pPr>
        <w:jc w:val="both"/>
        <w:rPr>
          <w:rFonts w:cs="Calibri"/>
        </w:rPr>
      </w:pPr>
    </w:p>
    <w:p w14:paraId="5DDBC5A9" w14:textId="77777777" w:rsidR="007D3108" w:rsidRDefault="007C69D9">
      <w:pPr>
        <w:pStyle w:val="NormalWeb"/>
        <w:spacing w:before="0" w:after="0"/>
        <w:jc w:val="both"/>
      </w:pPr>
      <w:r>
        <w:rPr>
          <w:color w:val="000000"/>
        </w:rPr>
        <w:t xml:space="preserve">Addressing issues of discrimination: There have been instances where MAPPA has been used to disproportionately target certain individuals, such as those with mental illnesses or those who are homeless (Finn &amp; Eadie, 2011). </w:t>
      </w:r>
      <w:r>
        <w:rPr>
          <w:color w:val="000000"/>
        </w:rPr>
        <w:t>Addressing these issues and ensuring that MAPPA is applied fairly and equitably to all offenders could help to improve the system.</w:t>
      </w:r>
    </w:p>
    <w:p w14:paraId="533AD16A" w14:textId="77777777" w:rsidR="007D3108" w:rsidRDefault="007D3108">
      <w:pPr>
        <w:jc w:val="both"/>
        <w:rPr>
          <w:rFonts w:cs="Calibri"/>
        </w:rPr>
      </w:pPr>
    </w:p>
    <w:p w14:paraId="1280B45D" w14:textId="77777777" w:rsidR="007D3108" w:rsidRDefault="007C69D9">
      <w:pPr>
        <w:pStyle w:val="NormalWeb"/>
        <w:spacing w:before="0" w:after="0"/>
        <w:jc w:val="both"/>
      </w:pPr>
      <w:r>
        <w:rPr>
          <w:color w:val="000000"/>
        </w:rPr>
        <w:lastRenderedPageBreak/>
        <w:t xml:space="preserve">The effectiveness of MAPPA as a means of managing offenders depends on </w:t>
      </w:r>
      <w:proofErr w:type="gramStart"/>
      <w:r>
        <w:rPr>
          <w:color w:val="000000"/>
        </w:rPr>
        <w:t>a number of</w:t>
      </w:r>
      <w:proofErr w:type="gramEnd"/>
      <w:r>
        <w:rPr>
          <w:color w:val="000000"/>
        </w:rPr>
        <w:t xml:space="preserve"> factors, including the quality of risk as</w:t>
      </w:r>
      <w:r>
        <w:rPr>
          <w:color w:val="000000"/>
        </w:rPr>
        <w:t>sessments (Harrison et al., 2009), the availability of resources and support (McGuire &amp; Priestley, 2015), and the involvement of the community (Home Office, 2012). While MAPPA has been shown to be effective in reducing reoffending rates (Harrison et al., 2</w:t>
      </w:r>
      <w:r>
        <w:rPr>
          <w:color w:val="000000"/>
        </w:rPr>
        <w:t>009), it is important that it is used in a transparent and accountable manner (Finn &amp; Eadie, 2011), and that sufficient resources are available to support offenders in complying with the conditions of their supervision (McGuire &amp; Priestley, 2015).</w:t>
      </w:r>
    </w:p>
    <w:p w14:paraId="6E9419FE" w14:textId="77777777" w:rsidR="007D3108" w:rsidRDefault="007D3108">
      <w:pPr>
        <w:jc w:val="both"/>
        <w:rPr>
          <w:rFonts w:cs="Calibri"/>
        </w:rPr>
      </w:pPr>
    </w:p>
    <w:p w14:paraId="42B606AE" w14:textId="77777777" w:rsidR="007D3108" w:rsidRDefault="007C69D9">
      <w:pPr>
        <w:pStyle w:val="NormalWeb"/>
        <w:spacing w:before="0" w:after="0"/>
        <w:jc w:val="both"/>
      </w:pPr>
      <w:r>
        <w:rPr>
          <w:color w:val="000000"/>
        </w:rPr>
        <w:t>In summ</w:t>
      </w:r>
      <w:r>
        <w:rPr>
          <w:color w:val="000000"/>
        </w:rPr>
        <w:t xml:space="preserve">ary, </w:t>
      </w:r>
      <w:proofErr w:type="gramStart"/>
      <w:r>
        <w:rPr>
          <w:color w:val="000000"/>
        </w:rPr>
        <w:t>Multi-agency</w:t>
      </w:r>
      <w:proofErr w:type="gramEnd"/>
      <w:r>
        <w:rPr>
          <w:color w:val="000000"/>
        </w:rPr>
        <w:t xml:space="preserve"> public protection arrangements (MAPPA) are a system used in the UK to manage and oversee the supervision of individuals who pose a risk to the public, particularly those who have committed sexual or violent offences. Research has shown th</w:t>
      </w:r>
      <w:r>
        <w:rPr>
          <w:color w:val="000000"/>
        </w:rPr>
        <w:t>at MAPPA can be effective in reducing reoffending rates among high-risk offenders (Harrison et al., 2009). However, the system has also been criticised for its lack of transparency and accountability (Finn &amp; Eadie, 2011) and potential to discriminate again</w:t>
      </w:r>
      <w:r>
        <w:rPr>
          <w:color w:val="000000"/>
        </w:rPr>
        <w:t xml:space="preserve">st certain groups (McGuire &amp; Priestley, 2015). To improve the effectiveness of MAPPA, it is important to increase the use of evidence-based interventions and practices (McGuire &amp; Priestley, 2015), involve the community in the supervision and management of </w:t>
      </w:r>
      <w:r>
        <w:rPr>
          <w:color w:val="000000"/>
        </w:rPr>
        <w:t>offenders (Home Office, 2012), and ensure that sufficient resources are available to support offenders (McGuire &amp; Priestley, 2015). It is also essential that MAPPA is used in a transparent and accountable manner (Finn &amp; Eadie, 2011) and that issues of disc</w:t>
      </w:r>
      <w:r>
        <w:rPr>
          <w:color w:val="000000"/>
        </w:rPr>
        <w:t>rimination are addressed (McGuire &amp; Priestley, 2015).</w:t>
      </w:r>
    </w:p>
    <w:p w14:paraId="5C2B2025" w14:textId="77777777" w:rsidR="007D3108" w:rsidRDefault="007C69D9">
      <w:pPr>
        <w:spacing w:after="240"/>
        <w:jc w:val="both"/>
        <w:rPr>
          <w:rFonts w:cs="Calibri"/>
        </w:rPr>
      </w:pPr>
      <w:r>
        <w:rPr>
          <w:rFonts w:cs="Calibri"/>
        </w:rPr>
        <w:br/>
      </w:r>
    </w:p>
    <w:p w14:paraId="7D7D0A99" w14:textId="77777777" w:rsidR="007D3108" w:rsidRDefault="007C69D9">
      <w:pPr>
        <w:pStyle w:val="NormalWeb"/>
        <w:spacing w:before="0" w:after="0"/>
        <w:jc w:val="both"/>
      </w:pPr>
      <w:r>
        <w:rPr>
          <w:color w:val="000000"/>
        </w:rPr>
        <w:t>Bibliography:</w:t>
      </w:r>
    </w:p>
    <w:p w14:paraId="410C83A5" w14:textId="77777777" w:rsidR="007D3108" w:rsidRDefault="007D3108">
      <w:pPr>
        <w:jc w:val="both"/>
        <w:rPr>
          <w:rFonts w:cs="Calibri"/>
        </w:rPr>
      </w:pPr>
    </w:p>
    <w:p w14:paraId="182338B8" w14:textId="77777777" w:rsidR="007D3108" w:rsidRDefault="007C69D9">
      <w:pPr>
        <w:pStyle w:val="NormalWeb"/>
        <w:numPr>
          <w:ilvl w:val="0"/>
          <w:numId w:val="3"/>
        </w:numPr>
        <w:spacing w:before="0" w:after="0"/>
        <w:jc w:val="both"/>
      </w:pPr>
      <w:r>
        <w:rPr>
          <w:color w:val="000000"/>
        </w:rPr>
        <w:t>Finn, C., &amp; Eadie, D. (2011). Multi-agency public protection arrangements (MAPPA): A review of the literature. Journal of Sexual Aggression, 17(2), 122-136.</w:t>
      </w:r>
    </w:p>
    <w:p w14:paraId="1A43B447" w14:textId="77777777" w:rsidR="007D3108" w:rsidRDefault="007C69D9">
      <w:pPr>
        <w:pStyle w:val="NormalWeb"/>
        <w:numPr>
          <w:ilvl w:val="0"/>
          <w:numId w:val="3"/>
        </w:numPr>
        <w:spacing w:before="0" w:after="0"/>
        <w:jc w:val="both"/>
      </w:pPr>
      <w:r>
        <w:rPr>
          <w:color w:val="000000"/>
        </w:rPr>
        <w:t xml:space="preserve">Harrison, K., Lloyd, C., &amp; </w:t>
      </w:r>
      <w:r>
        <w:rPr>
          <w:color w:val="000000"/>
        </w:rPr>
        <w:t>Bottoms, A. (2009). The effectiveness of multi-agency public protection arrangements (MAPPA) in reducing sexual and violent reoffending: A systematic review. Home Office Research Study, 319.</w:t>
      </w:r>
    </w:p>
    <w:p w14:paraId="3267BB92" w14:textId="77777777" w:rsidR="007D3108" w:rsidRDefault="007C69D9">
      <w:pPr>
        <w:pStyle w:val="NormalWeb"/>
        <w:numPr>
          <w:ilvl w:val="0"/>
          <w:numId w:val="3"/>
        </w:numPr>
        <w:spacing w:before="0" w:after="0"/>
        <w:jc w:val="both"/>
      </w:pPr>
      <w:r>
        <w:rPr>
          <w:color w:val="000000"/>
        </w:rPr>
        <w:t xml:space="preserve">Home Office. (2012). Multi-agency public protection arrangements </w:t>
      </w:r>
      <w:r>
        <w:rPr>
          <w:color w:val="000000"/>
        </w:rPr>
        <w:t>(MAPPA): Annual report 2010/11. London: Author.</w:t>
      </w:r>
    </w:p>
    <w:p w14:paraId="50939738" w14:textId="77777777" w:rsidR="007D3108" w:rsidRDefault="007C69D9">
      <w:pPr>
        <w:pStyle w:val="NormalWeb"/>
        <w:numPr>
          <w:ilvl w:val="0"/>
          <w:numId w:val="3"/>
        </w:numPr>
        <w:spacing w:before="0" w:after="0"/>
        <w:jc w:val="both"/>
      </w:pPr>
      <w:r>
        <w:rPr>
          <w:color w:val="000000"/>
        </w:rPr>
        <w:t>McGuire, J., &amp; Priestley, P. (2015). The effectiveness of multi-agency public protection arrangements (MAPPA) in reducing sexual and violent reoffending: A systematic review. The Howard Journal of Criminal Ju</w:t>
      </w:r>
      <w:r>
        <w:rPr>
          <w:color w:val="000000"/>
        </w:rPr>
        <w:t>stice, 54(5), 527-546.</w:t>
      </w:r>
    </w:p>
    <w:p w14:paraId="491D2E9D" w14:textId="77777777" w:rsidR="007D3108" w:rsidRDefault="007D3108">
      <w:pPr>
        <w:jc w:val="both"/>
        <w:rPr>
          <w:rFonts w:cs="Calibri"/>
        </w:rPr>
      </w:pPr>
    </w:p>
    <w:p w14:paraId="7F920CC1" w14:textId="77777777" w:rsidR="007D3108" w:rsidRDefault="007D3108">
      <w:pPr>
        <w:jc w:val="both"/>
        <w:rPr>
          <w:rFonts w:cs="Calibri"/>
        </w:rPr>
      </w:pPr>
    </w:p>
    <w:p w14:paraId="21005282" w14:textId="77777777" w:rsidR="007D3108" w:rsidRDefault="007D3108">
      <w:pPr>
        <w:spacing w:after="0" w:line="276" w:lineRule="auto"/>
        <w:ind w:left="567" w:right="531"/>
        <w:jc w:val="both"/>
        <w:rPr>
          <w:rFonts w:eastAsia="Times New Roman" w:cs="Calibri"/>
          <w:lang w:eastAsia="en-GB"/>
        </w:rPr>
      </w:pPr>
    </w:p>
    <w:p w14:paraId="246A0B96" w14:textId="77777777" w:rsidR="007D3108" w:rsidRDefault="007C69D9">
      <w:pPr>
        <w:overflowPunct w:val="0"/>
        <w:autoSpaceDE w:val="0"/>
        <w:spacing w:after="0" w:line="276" w:lineRule="auto"/>
        <w:ind w:left="567" w:right="531"/>
        <w:jc w:val="both"/>
        <w:textAlignment w:val="baseline"/>
      </w:pPr>
      <w:r>
        <w:rPr>
          <w:rFonts w:eastAsia="Times New Roman" w:cs="Calibri"/>
          <w:b/>
          <w:bCs/>
          <w:lang w:eastAsia="en-GB"/>
        </w:rPr>
        <w:t>Essay four:</w:t>
      </w:r>
    </w:p>
    <w:p w14:paraId="134B427A" w14:textId="77777777" w:rsidR="007D3108" w:rsidRDefault="007C69D9">
      <w:pPr>
        <w:overflowPunct w:val="0"/>
        <w:autoSpaceDE w:val="0"/>
        <w:spacing w:after="0" w:line="276" w:lineRule="auto"/>
        <w:ind w:left="567" w:right="531"/>
        <w:jc w:val="both"/>
        <w:textAlignment w:val="baseline"/>
        <w:rPr>
          <w:rFonts w:eastAsia="Times New Roman" w:cs="Calibri"/>
          <w:lang w:eastAsia="en-GB"/>
        </w:rPr>
      </w:pPr>
      <w:r>
        <w:rPr>
          <w:rFonts w:eastAsia="Times New Roman" w:cs="Calibri"/>
          <w:lang w:eastAsia="en-GB"/>
        </w:rPr>
        <w:t>Why is it necessary for independent bodies (</w:t>
      </w:r>
      <w:proofErr w:type="gramStart"/>
      <w:r>
        <w:rPr>
          <w:rFonts w:eastAsia="Times New Roman" w:cs="Calibri"/>
          <w:lang w:eastAsia="en-GB"/>
        </w:rPr>
        <w:t>i.e.</w:t>
      </w:r>
      <w:proofErr w:type="gramEnd"/>
      <w:r>
        <w:rPr>
          <w:rFonts w:eastAsia="Times New Roman" w:cs="Calibri"/>
          <w:lang w:eastAsia="en-GB"/>
        </w:rPr>
        <w:t xml:space="preserve"> IOPC) to hold police officers accountable?</w:t>
      </w:r>
    </w:p>
    <w:p w14:paraId="4941F2A6" w14:textId="77777777" w:rsidR="007D3108" w:rsidRDefault="007C69D9">
      <w:pPr>
        <w:overflowPunct w:val="0"/>
        <w:autoSpaceDE w:val="0"/>
        <w:spacing w:after="0" w:line="276" w:lineRule="auto"/>
        <w:ind w:left="567" w:right="531"/>
        <w:jc w:val="both"/>
        <w:textAlignment w:val="baseline"/>
        <w:rPr>
          <w:rFonts w:eastAsia="Times New Roman" w:cs="Calibri"/>
          <w:lang w:eastAsia="en-GB"/>
        </w:rPr>
      </w:pPr>
      <w:r>
        <w:rPr>
          <w:rFonts w:eastAsia="Times New Roman" w:cs="Calibri"/>
          <w:lang w:eastAsia="en-GB"/>
        </w:rPr>
        <w:t>You must use academic research to support your answer.</w:t>
      </w:r>
    </w:p>
    <w:p w14:paraId="0206AA38" w14:textId="77777777" w:rsidR="007D3108" w:rsidRDefault="007C69D9">
      <w:pPr>
        <w:spacing w:after="0" w:line="276" w:lineRule="auto"/>
        <w:ind w:left="567" w:right="531"/>
        <w:jc w:val="both"/>
      </w:pPr>
      <w:r>
        <w:rPr>
          <w:rFonts w:eastAsia="Times New Roman" w:cs="Calibri"/>
          <w:b/>
          <w:bCs/>
          <w:lang w:eastAsia="en-GB"/>
        </w:rPr>
        <w:t xml:space="preserve">Word limit: </w:t>
      </w:r>
      <w:r>
        <w:rPr>
          <w:rFonts w:eastAsia="Times New Roman" w:cs="Calibri"/>
          <w:lang w:eastAsia="en-GB"/>
        </w:rPr>
        <w:t>1000 words.</w:t>
      </w:r>
    </w:p>
    <w:p w14:paraId="54BCC6A3" w14:textId="77777777" w:rsidR="007D3108" w:rsidRDefault="007D3108">
      <w:pPr>
        <w:spacing w:after="0" w:line="276" w:lineRule="auto"/>
        <w:ind w:left="567" w:right="531"/>
        <w:jc w:val="both"/>
        <w:rPr>
          <w:rFonts w:eastAsia="Times New Roman" w:cs="Calibri"/>
          <w:lang w:eastAsia="en-GB"/>
        </w:rPr>
      </w:pPr>
    </w:p>
    <w:p w14:paraId="691D4012" w14:textId="77777777" w:rsidR="007D3108" w:rsidRDefault="007D3108">
      <w:pPr>
        <w:spacing w:after="0" w:line="276" w:lineRule="auto"/>
        <w:ind w:left="567" w:right="531"/>
        <w:jc w:val="both"/>
        <w:rPr>
          <w:rFonts w:eastAsia="Times New Roman" w:cs="Calibri"/>
          <w:lang w:eastAsia="en-GB"/>
        </w:rPr>
      </w:pPr>
    </w:p>
    <w:p w14:paraId="222FCFC1" w14:textId="77777777" w:rsidR="007D3108" w:rsidRDefault="007C69D9">
      <w:pPr>
        <w:pStyle w:val="NormalWeb"/>
        <w:spacing w:before="0" w:after="0"/>
        <w:jc w:val="both"/>
      </w:pPr>
      <w:r>
        <w:rPr>
          <w:color w:val="000000"/>
        </w:rPr>
        <w:t xml:space="preserve">The Independent Office for Police </w:t>
      </w:r>
      <w:r>
        <w:rPr>
          <w:color w:val="000000"/>
        </w:rPr>
        <w:t>Conduct (IOPC) is an independent body established in the United Kingdom with the mandate to oversee and hold police officers accountable for their actions (Independent Office for Police Conduct, 2021). This is a crucial role in any society, as it ensures t</w:t>
      </w:r>
      <w:r>
        <w:rPr>
          <w:color w:val="000000"/>
        </w:rPr>
        <w:t xml:space="preserve">hat the police, who are entrusted with the power to enforce the law and protect the public (Home Office, 2019), are themselves held to the highest standards of conduct and integrity. Without such </w:t>
      </w:r>
      <w:r>
        <w:rPr>
          <w:color w:val="000000"/>
        </w:rPr>
        <w:lastRenderedPageBreak/>
        <w:t xml:space="preserve">independent oversight, there is a risk that police officers </w:t>
      </w:r>
      <w:r>
        <w:rPr>
          <w:color w:val="000000"/>
        </w:rPr>
        <w:t>may abuse their power and authority (National Police Chiefs' Council, 2016), leading to public mistrust and erosion of the rule of law (United Nations, 2015). The IOPC plays a vital role in ensuring that the police are held accountable for their actions (I</w:t>
      </w:r>
      <w:r>
        <w:rPr>
          <w:color w:val="000000"/>
        </w:rPr>
        <w:t>ndependent Office for Police Conduct, 2021), and this essay will explore the reasons why it is necessary for such independent bodies to exist.</w:t>
      </w:r>
    </w:p>
    <w:p w14:paraId="1F41D118" w14:textId="77777777" w:rsidR="007D3108" w:rsidRDefault="007D3108">
      <w:pPr>
        <w:jc w:val="both"/>
        <w:rPr>
          <w:rFonts w:cs="Calibri"/>
        </w:rPr>
      </w:pPr>
    </w:p>
    <w:p w14:paraId="3AFF3F1D" w14:textId="77777777" w:rsidR="007D3108" w:rsidRDefault="007C69D9">
      <w:pPr>
        <w:pStyle w:val="NormalWeb"/>
        <w:spacing w:before="0" w:after="0"/>
        <w:jc w:val="both"/>
      </w:pPr>
      <w:r>
        <w:rPr>
          <w:color w:val="000000"/>
        </w:rPr>
        <w:t xml:space="preserve">The role of independent bodies like the IOPC in holding police officers accountable is essential to maintaining </w:t>
      </w:r>
      <w:r>
        <w:rPr>
          <w:color w:val="000000"/>
        </w:rPr>
        <w:t>public trust in the police and the broader criminal justice system (United Nations, 2015). When police officers abuse their power or act in ways that are unethical or illegal (National Police Chiefs' Council, 2016), it undermines the credibility of the ent</w:t>
      </w:r>
      <w:r>
        <w:rPr>
          <w:color w:val="000000"/>
        </w:rPr>
        <w:t>ire police force and erodes public confidence in their ability to protect and serve (Home Office, 2019). This is especially true in cases where police officers use excessive force or engage in racial profiling (American Civil Liberties Union, 2020), as the</w:t>
      </w:r>
      <w:r>
        <w:rPr>
          <w:color w:val="000000"/>
        </w:rPr>
        <w:t>se actions have the potential to not only harm individual members of the community, but also to contribute to a culture of distrust and tension between the police and the public (Department of Justice, 2014).</w:t>
      </w:r>
    </w:p>
    <w:p w14:paraId="6D251A9E" w14:textId="77777777" w:rsidR="007D3108" w:rsidRDefault="007D3108">
      <w:pPr>
        <w:jc w:val="both"/>
        <w:rPr>
          <w:rFonts w:cs="Calibri"/>
        </w:rPr>
      </w:pPr>
    </w:p>
    <w:p w14:paraId="437B0C7F" w14:textId="77777777" w:rsidR="007D3108" w:rsidRDefault="007C69D9">
      <w:pPr>
        <w:pStyle w:val="NormalWeb"/>
        <w:spacing w:before="0" w:after="0"/>
        <w:jc w:val="both"/>
      </w:pPr>
      <w:r>
        <w:rPr>
          <w:color w:val="000000"/>
        </w:rPr>
        <w:t xml:space="preserve">Independent oversight ensures that there is a </w:t>
      </w:r>
      <w:r>
        <w:rPr>
          <w:color w:val="000000"/>
        </w:rPr>
        <w:t>fair and impartial process for investigating and addressing allegations of police misconduct (Independent Office for Police Conduct, 2021). Without such oversight, it is possible for police departments to cover up or downplay instances of misconduct, leadi</w:t>
      </w:r>
      <w:r>
        <w:rPr>
          <w:color w:val="000000"/>
        </w:rPr>
        <w:t xml:space="preserve">ng to a lack of accountability and a lack of trust in the system (United Nations, 2015). The IOPC, as an independent body, </w:t>
      </w:r>
      <w:proofErr w:type="gramStart"/>
      <w:r>
        <w:rPr>
          <w:color w:val="000000"/>
        </w:rPr>
        <w:t>is able to</w:t>
      </w:r>
      <w:proofErr w:type="gramEnd"/>
      <w:r>
        <w:rPr>
          <w:color w:val="000000"/>
        </w:rPr>
        <w:t xml:space="preserve"> investigate allegations of police misconduct objectively and impartially (Independent Office for Police Conduct, 2021), an</w:t>
      </w:r>
      <w:r>
        <w:rPr>
          <w:color w:val="000000"/>
        </w:rPr>
        <w:t>d its findings and recommendations carry weight and can lead to real consequences for police officers found to have violated the law or their ethical obligations (National Police Chiefs' Council, 2016).</w:t>
      </w:r>
    </w:p>
    <w:p w14:paraId="629B2998" w14:textId="77777777" w:rsidR="007D3108" w:rsidRDefault="007D3108">
      <w:pPr>
        <w:jc w:val="both"/>
        <w:rPr>
          <w:rFonts w:cs="Calibri"/>
        </w:rPr>
      </w:pPr>
    </w:p>
    <w:p w14:paraId="759794AA" w14:textId="77777777" w:rsidR="007D3108" w:rsidRDefault="007C69D9">
      <w:pPr>
        <w:pStyle w:val="NormalWeb"/>
        <w:spacing w:before="0" w:after="0"/>
        <w:jc w:val="both"/>
      </w:pPr>
      <w:r>
        <w:rPr>
          <w:color w:val="000000"/>
        </w:rPr>
        <w:t>In addition to its role in investigating and address</w:t>
      </w:r>
      <w:r>
        <w:rPr>
          <w:color w:val="000000"/>
        </w:rPr>
        <w:t>ing allegations of misconduct (Independent Office for Police Conduct, 2021), the IOPC also has a mandate to work proactively to prevent police misconduct from occurring in the first place (Independent Office for Police Conduct, 2021). This includes providi</w:t>
      </w:r>
      <w:r>
        <w:rPr>
          <w:color w:val="000000"/>
        </w:rPr>
        <w:t>ng guidance and training to police officers on ethical conduct and appropriate use of force (National Police Chiefs' Council, 2016), as well as working with police departments to identify and address any systemic issues that may contribute to misconduct (I</w:t>
      </w:r>
      <w:r>
        <w:rPr>
          <w:color w:val="000000"/>
        </w:rPr>
        <w:t xml:space="preserve">ndependent Office for Police Conduct, 2021). By taking a proactive approach to preventing misconduct, the IOPC can help to ensure that the police are able to effectively serve and protect the public, while also maintaining the highest standards of ethical </w:t>
      </w:r>
      <w:r>
        <w:rPr>
          <w:color w:val="000000"/>
        </w:rPr>
        <w:t>conduct (National Police Chiefs' Council, 2016).</w:t>
      </w:r>
    </w:p>
    <w:p w14:paraId="532F45E7" w14:textId="77777777" w:rsidR="007D3108" w:rsidRDefault="007D3108">
      <w:pPr>
        <w:jc w:val="both"/>
        <w:rPr>
          <w:rFonts w:cs="Calibri"/>
        </w:rPr>
      </w:pPr>
    </w:p>
    <w:p w14:paraId="57998A68" w14:textId="77777777" w:rsidR="007D3108" w:rsidRDefault="007C69D9">
      <w:pPr>
        <w:pStyle w:val="NormalWeb"/>
        <w:spacing w:before="0" w:after="0"/>
        <w:jc w:val="both"/>
      </w:pPr>
      <w:r>
        <w:rPr>
          <w:color w:val="000000"/>
        </w:rPr>
        <w:t xml:space="preserve">Overall, the importance of independent bodies like the IOPC in holding police officers accountable cannot be overstated (Independent Office for Police Conduct, 2021). Such bodies play a vital role in </w:t>
      </w:r>
      <w:r>
        <w:rPr>
          <w:color w:val="000000"/>
        </w:rPr>
        <w:t>ensuring that the police are held to the highest standards of conduct and integrity (National Police Chiefs' Council, 2016), and in maintaining public trust in the criminal justice system (United Nations, 2015). Without independent oversight, there is a ri</w:t>
      </w:r>
      <w:r>
        <w:rPr>
          <w:color w:val="000000"/>
        </w:rPr>
        <w:t>sk that police officers may abuse their power and authority (National Police Chiefs' Council, 2016), leading to widespread mistrust and undermining the rule of law (United Nations, 2015).</w:t>
      </w:r>
    </w:p>
    <w:p w14:paraId="385F894E" w14:textId="77777777" w:rsidR="007D3108" w:rsidRDefault="007D3108">
      <w:pPr>
        <w:jc w:val="both"/>
        <w:rPr>
          <w:rFonts w:cs="Calibri"/>
        </w:rPr>
      </w:pPr>
    </w:p>
    <w:p w14:paraId="442340CA" w14:textId="77777777" w:rsidR="007D3108" w:rsidRDefault="007C69D9">
      <w:pPr>
        <w:pStyle w:val="NormalWeb"/>
        <w:spacing w:before="0" w:after="0"/>
        <w:jc w:val="both"/>
      </w:pPr>
      <w:r>
        <w:rPr>
          <w:color w:val="000000"/>
        </w:rPr>
        <w:t>There are several independent bodies in the United Kingdom that hav</w:t>
      </w:r>
      <w:r>
        <w:rPr>
          <w:color w:val="000000"/>
        </w:rPr>
        <w:t>e the mandate to oversee and hold police officers accountable for their actions these include:</w:t>
      </w:r>
    </w:p>
    <w:p w14:paraId="17795BDA" w14:textId="77777777" w:rsidR="007D3108" w:rsidRDefault="007D3108">
      <w:pPr>
        <w:jc w:val="both"/>
        <w:rPr>
          <w:rFonts w:cs="Calibri"/>
        </w:rPr>
      </w:pPr>
    </w:p>
    <w:p w14:paraId="25C58533" w14:textId="77777777" w:rsidR="007D3108" w:rsidRDefault="007C69D9">
      <w:pPr>
        <w:pStyle w:val="NormalWeb"/>
        <w:spacing w:before="0" w:after="0"/>
        <w:jc w:val="both"/>
      </w:pPr>
      <w:r>
        <w:rPr>
          <w:color w:val="000000"/>
        </w:rPr>
        <w:t>The Police Complaints Authority (PCA) (Home Office, 2007): The PCA was the predecessor to the IOPC (Independent Office for Police Conduct, 2021), and it was res</w:t>
      </w:r>
      <w:r>
        <w:rPr>
          <w:color w:val="000000"/>
        </w:rPr>
        <w:t xml:space="preserve">ponsible for overseeing the police </w:t>
      </w:r>
      <w:r>
        <w:rPr>
          <w:color w:val="000000"/>
        </w:rPr>
        <w:lastRenderedPageBreak/>
        <w:t>complaints system in England, Wales, and Northern Ireland (Home Office, 2007). The PCA was replaced by the IOPC in 2018 (Independent Office for Police Conduct, 2021).</w:t>
      </w:r>
    </w:p>
    <w:p w14:paraId="2593C88D" w14:textId="77777777" w:rsidR="007D3108" w:rsidRDefault="007D3108">
      <w:pPr>
        <w:jc w:val="both"/>
        <w:rPr>
          <w:rFonts w:cs="Calibri"/>
        </w:rPr>
      </w:pPr>
    </w:p>
    <w:p w14:paraId="31818697" w14:textId="77777777" w:rsidR="007D3108" w:rsidRDefault="007C69D9">
      <w:pPr>
        <w:pStyle w:val="NormalWeb"/>
        <w:spacing w:before="0" w:after="0"/>
        <w:jc w:val="both"/>
      </w:pPr>
      <w:r>
        <w:rPr>
          <w:color w:val="000000"/>
        </w:rPr>
        <w:t>The Police Investigations and Review Commissioner (PI</w:t>
      </w:r>
      <w:r>
        <w:rPr>
          <w:color w:val="000000"/>
        </w:rPr>
        <w:t>RC): The PIRC is an independent body that investigates the most serious incidents involving the police in Scotland, as well as complaints about the police that are referred to it by the Scottish Police Authority (Police Investigations and Review Commission</w:t>
      </w:r>
      <w:r>
        <w:rPr>
          <w:color w:val="000000"/>
        </w:rPr>
        <w:t>er, 2021).</w:t>
      </w:r>
    </w:p>
    <w:p w14:paraId="51151FA1" w14:textId="77777777" w:rsidR="007D3108" w:rsidRDefault="007D3108">
      <w:pPr>
        <w:jc w:val="both"/>
        <w:rPr>
          <w:rFonts w:cs="Calibri"/>
        </w:rPr>
      </w:pPr>
    </w:p>
    <w:p w14:paraId="326B35FC" w14:textId="77777777" w:rsidR="007D3108" w:rsidRDefault="007C69D9">
      <w:pPr>
        <w:pStyle w:val="NormalWeb"/>
        <w:spacing w:before="0" w:after="0"/>
        <w:jc w:val="both"/>
      </w:pPr>
      <w:r>
        <w:rPr>
          <w:color w:val="000000"/>
        </w:rPr>
        <w:t>The Police Ombudsman for Northern Ireland: The Police Ombudsman for Northern Ireland is an independent body that investigates complaints about the police in Northern Ireland, as well as serious and sensitive incidents involving the police (Poli</w:t>
      </w:r>
      <w:r>
        <w:rPr>
          <w:color w:val="000000"/>
        </w:rPr>
        <w:t>ce Ombudsman for Northern Ireland, 2021).</w:t>
      </w:r>
    </w:p>
    <w:p w14:paraId="5602DDDC" w14:textId="77777777" w:rsidR="007D3108" w:rsidRDefault="007D3108">
      <w:pPr>
        <w:jc w:val="both"/>
        <w:rPr>
          <w:rFonts w:cs="Calibri"/>
        </w:rPr>
      </w:pPr>
    </w:p>
    <w:p w14:paraId="47062E8B" w14:textId="77777777" w:rsidR="007D3108" w:rsidRDefault="007C69D9">
      <w:pPr>
        <w:pStyle w:val="NormalWeb"/>
        <w:spacing w:before="0" w:after="0"/>
        <w:jc w:val="both"/>
      </w:pPr>
      <w:r>
        <w:rPr>
          <w:color w:val="000000"/>
        </w:rPr>
        <w:t>The Professional Standards Authority for Health and Social Care: The Professional Standards Authority for Health and Social Care oversees the regulation of health and social care professionals in the United Kingdo</w:t>
      </w:r>
      <w:r>
        <w:rPr>
          <w:color w:val="000000"/>
        </w:rPr>
        <w:t>m, including police officers who work in these fields (Professional Standards Authority for Health and Social Care, 2021).</w:t>
      </w:r>
    </w:p>
    <w:p w14:paraId="53345A5E" w14:textId="77777777" w:rsidR="007D3108" w:rsidRDefault="007D3108">
      <w:pPr>
        <w:jc w:val="both"/>
        <w:rPr>
          <w:rFonts w:cs="Calibri"/>
        </w:rPr>
      </w:pPr>
    </w:p>
    <w:p w14:paraId="1A7BBA1E" w14:textId="77777777" w:rsidR="007D3108" w:rsidRDefault="007C69D9">
      <w:pPr>
        <w:pStyle w:val="NormalWeb"/>
        <w:spacing w:before="0" w:after="0"/>
        <w:jc w:val="both"/>
      </w:pPr>
      <w:r>
        <w:rPr>
          <w:color w:val="000000"/>
        </w:rPr>
        <w:t>The Crown Prosecution Service (CPS</w:t>
      </w:r>
      <w:proofErr w:type="gramStart"/>
      <w:r>
        <w:rPr>
          <w:color w:val="000000"/>
        </w:rPr>
        <w:t>) :</w:t>
      </w:r>
      <w:proofErr w:type="gramEnd"/>
      <w:r>
        <w:rPr>
          <w:color w:val="000000"/>
        </w:rPr>
        <w:t xml:space="preserve"> The CPS is responsible for prosecuting criminal cases in England and Wales including cases inv</w:t>
      </w:r>
      <w:r>
        <w:rPr>
          <w:color w:val="000000"/>
        </w:rPr>
        <w:t>olving police officers (Crown Prosecution Service, 2021). The CPS operates independently of the police and is responsible for making decisions on whether to bring charges in cases involving alleged police misconduct (Crown Prosecution Service, 2021).</w:t>
      </w:r>
    </w:p>
    <w:p w14:paraId="179FCEF1" w14:textId="77777777" w:rsidR="007D3108" w:rsidRDefault="007D3108">
      <w:pPr>
        <w:jc w:val="both"/>
        <w:rPr>
          <w:rFonts w:cs="Calibri"/>
        </w:rPr>
      </w:pPr>
    </w:p>
    <w:p w14:paraId="68D2B64F" w14:textId="77777777" w:rsidR="007D3108" w:rsidRDefault="007C69D9">
      <w:pPr>
        <w:pStyle w:val="NormalWeb"/>
        <w:spacing w:before="0" w:after="0"/>
        <w:jc w:val="both"/>
      </w:pPr>
      <w:r>
        <w:rPr>
          <w:color w:val="000000"/>
        </w:rPr>
        <w:t xml:space="preserve">The </w:t>
      </w:r>
      <w:r>
        <w:rPr>
          <w:color w:val="000000"/>
        </w:rPr>
        <w:t>Independent Police Complaints Commission (IPCC) (Home Office, 2007): The IPCC was an independent body that oversaw the police complaints system in England and Wales until it was replaced by the IOPC in 2018 (Independent Office for Police Conduct, 2021).</w:t>
      </w:r>
    </w:p>
    <w:p w14:paraId="76A8EED4" w14:textId="77777777" w:rsidR="007D3108" w:rsidRDefault="007C69D9">
      <w:pPr>
        <w:spacing w:after="240"/>
        <w:jc w:val="both"/>
        <w:rPr>
          <w:rFonts w:cs="Calibri"/>
        </w:rPr>
      </w:pPr>
      <w:r>
        <w:rPr>
          <w:rFonts w:cs="Calibri"/>
        </w:rPr>
        <w:br/>
      </w:r>
      <w:r>
        <w:rPr>
          <w:rFonts w:cs="Calibri"/>
        </w:rPr>
        <w:br/>
      </w:r>
    </w:p>
    <w:p w14:paraId="49DF3E11" w14:textId="77777777" w:rsidR="007D3108" w:rsidRDefault="007C69D9">
      <w:pPr>
        <w:pStyle w:val="NormalWeb"/>
        <w:spacing w:before="0" w:after="0"/>
        <w:jc w:val="both"/>
      </w:pPr>
      <w:r>
        <w:rPr>
          <w:color w:val="000000"/>
        </w:rPr>
        <w:t>Bibliography</w:t>
      </w:r>
    </w:p>
    <w:p w14:paraId="145CE02E" w14:textId="77777777" w:rsidR="007D3108" w:rsidRDefault="007D3108">
      <w:pPr>
        <w:jc w:val="both"/>
        <w:rPr>
          <w:rFonts w:cs="Calibri"/>
        </w:rPr>
      </w:pPr>
    </w:p>
    <w:p w14:paraId="4A10FB8F" w14:textId="77777777" w:rsidR="007D3108" w:rsidRDefault="007C69D9">
      <w:pPr>
        <w:numPr>
          <w:ilvl w:val="0"/>
          <w:numId w:val="4"/>
        </w:numPr>
        <w:suppressAutoHyphens w:val="0"/>
        <w:spacing w:after="0" w:line="240" w:lineRule="auto"/>
        <w:jc w:val="both"/>
        <w:textAlignment w:val="baseline"/>
      </w:pPr>
      <w:r>
        <w:rPr>
          <w:rFonts w:cs="Calibri"/>
          <w:color w:val="000000"/>
        </w:rPr>
        <w:t xml:space="preserve">American Civil Liberties Union (2020). Police misconduct. Retrieved from </w:t>
      </w:r>
      <w:hyperlink r:id="rId11" w:history="1">
        <w:r>
          <w:rPr>
            <w:rStyle w:val="Hyperlink"/>
            <w:rFonts w:cs="Calibri"/>
          </w:rPr>
          <w:t>https://www.aclu.org/issues/criminal-law-reform/reforming-police/police-misconduct</w:t>
        </w:r>
      </w:hyperlink>
    </w:p>
    <w:p w14:paraId="088F754B" w14:textId="77777777" w:rsidR="007D3108" w:rsidRDefault="007C69D9">
      <w:pPr>
        <w:numPr>
          <w:ilvl w:val="0"/>
          <w:numId w:val="4"/>
        </w:numPr>
        <w:suppressAutoHyphens w:val="0"/>
        <w:spacing w:after="0" w:line="240" w:lineRule="auto"/>
        <w:jc w:val="both"/>
        <w:textAlignment w:val="baseline"/>
      </w:pPr>
      <w:r>
        <w:rPr>
          <w:rFonts w:cs="Calibri"/>
          <w:color w:val="000000"/>
        </w:rPr>
        <w:t xml:space="preserve">Crown Prosecution Service (2021). About us. Retrieved from </w:t>
      </w:r>
      <w:hyperlink r:id="rId12" w:history="1">
        <w:r>
          <w:rPr>
            <w:rStyle w:val="Hyperlink"/>
            <w:rFonts w:cs="Calibri"/>
          </w:rPr>
          <w:t>https://www.cps.gov.uk/about-cps</w:t>
        </w:r>
      </w:hyperlink>
    </w:p>
    <w:p w14:paraId="029377A5" w14:textId="77777777" w:rsidR="007D3108" w:rsidRDefault="007C69D9">
      <w:pPr>
        <w:numPr>
          <w:ilvl w:val="0"/>
          <w:numId w:val="4"/>
        </w:numPr>
        <w:suppressAutoHyphens w:val="0"/>
        <w:spacing w:after="0" w:line="240" w:lineRule="auto"/>
        <w:jc w:val="both"/>
        <w:textAlignment w:val="baseline"/>
      </w:pPr>
      <w:r>
        <w:rPr>
          <w:rFonts w:cs="Calibri"/>
          <w:color w:val="000000"/>
        </w:rPr>
        <w:t>Department of Justice (2014). Statement of Interest of the United States in the matter of Floyd, et al. v. City of New York, et al. Retriev</w:t>
      </w:r>
      <w:r>
        <w:rPr>
          <w:rFonts w:cs="Calibri"/>
          <w:color w:val="000000"/>
        </w:rPr>
        <w:t xml:space="preserve">ed from </w:t>
      </w:r>
      <w:hyperlink r:id="rId13" w:history="1">
        <w:r>
          <w:rPr>
            <w:rStyle w:val="Hyperlink"/>
            <w:rFonts w:cs="Calibri"/>
          </w:rPr>
          <w:t>https://w</w:t>
        </w:r>
        <w:r>
          <w:rPr>
            <w:rStyle w:val="Hyperlink"/>
            <w:rFonts w:cs="Calibri"/>
          </w:rPr>
          <w:t>ww.justice.gov/sites/default/files/crt/legacy/2014/03/12/floyd_statement_of_interest.pdf</w:t>
        </w:r>
      </w:hyperlink>
    </w:p>
    <w:p w14:paraId="6E61ADA9" w14:textId="77777777" w:rsidR="007D3108" w:rsidRDefault="007C69D9">
      <w:pPr>
        <w:numPr>
          <w:ilvl w:val="0"/>
          <w:numId w:val="4"/>
        </w:numPr>
        <w:suppressAutoHyphens w:val="0"/>
        <w:spacing w:after="0" w:line="240" w:lineRule="auto"/>
        <w:jc w:val="both"/>
        <w:textAlignment w:val="baseline"/>
      </w:pPr>
      <w:r>
        <w:rPr>
          <w:rFonts w:cs="Calibri"/>
          <w:color w:val="000000"/>
        </w:rPr>
        <w:t xml:space="preserve">Home Office (2007). Police Complaints Authority: Annual report 2006-2007. Retrieved from </w:t>
      </w:r>
      <w:hyperlink r:id="rId14" w:history="1">
        <w:r>
          <w:rPr>
            <w:rStyle w:val="Hyperlink"/>
            <w:rFonts w:cs="Calibri"/>
          </w:rPr>
          <w:t>https://www.gov.uk/government/publications/police-complaints-authority-annual-report-2006-2007</w:t>
        </w:r>
      </w:hyperlink>
    </w:p>
    <w:p w14:paraId="3450197E" w14:textId="77777777" w:rsidR="007D3108" w:rsidRDefault="007C69D9">
      <w:pPr>
        <w:numPr>
          <w:ilvl w:val="0"/>
          <w:numId w:val="4"/>
        </w:numPr>
        <w:suppressAutoHyphens w:val="0"/>
        <w:spacing w:after="0" w:line="240" w:lineRule="auto"/>
        <w:jc w:val="both"/>
        <w:textAlignment w:val="baseline"/>
      </w:pPr>
      <w:r>
        <w:rPr>
          <w:rFonts w:cs="Calibri"/>
          <w:color w:val="000000"/>
        </w:rPr>
        <w:t>Home Office (20</w:t>
      </w:r>
      <w:r>
        <w:rPr>
          <w:rFonts w:cs="Calibri"/>
          <w:color w:val="000000"/>
        </w:rPr>
        <w:t xml:space="preserve">19). Policing in the UK: A brief guide. Retrieved from </w:t>
      </w:r>
      <w:hyperlink r:id="rId15" w:history="1">
        <w:r>
          <w:rPr>
            <w:rStyle w:val="Hyperlink"/>
            <w:rFonts w:cs="Calibri"/>
          </w:rPr>
          <w:t>https://www.gov.uk/government/publications/policing-in-the-uk-a-brief-guide/policing-in-the-uk-a-brief-guide</w:t>
        </w:r>
      </w:hyperlink>
    </w:p>
    <w:p w14:paraId="7FEED34E" w14:textId="77777777" w:rsidR="007D3108" w:rsidRDefault="007C69D9">
      <w:pPr>
        <w:numPr>
          <w:ilvl w:val="0"/>
          <w:numId w:val="4"/>
        </w:numPr>
        <w:suppressAutoHyphens w:val="0"/>
        <w:spacing w:after="0" w:line="240" w:lineRule="auto"/>
        <w:jc w:val="both"/>
        <w:textAlignment w:val="baseline"/>
      </w:pPr>
      <w:r>
        <w:rPr>
          <w:rFonts w:cs="Calibri"/>
          <w:color w:val="000000"/>
        </w:rPr>
        <w:t xml:space="preserve">Independent Office for Police Conduct (2021). About us. Retrieved from </w:t>
      </w:r>
      <w:hyperlink r:id="rId16" w:history="1">
        <w:r>
          <w:rPr>
            <w:rStyle w:val="Hyperlink"/>
            <w:rFonts w:cs="Calibri"/>
          </w:rPr>
          <w:t>https://www.policeconduct.gov.uk/about-us</w:t>
        </w:r>
      </w:hyperlink>
    </w:p>
    <w:p w14:paraId="082D640E" w14:textId="77777777" w:rsidR="007D3108" w:rsidRDefault="007C69D9">
      <w:pPr>
        <w:numPr>
          <w:ilvl w:val="0"/>
          <w:numId w:val="4"/>
        </w:numPr>
        <w:suppressAutoHyphens w:val="0"/>
        <w:spacing w:after="0" w:line="240" w:lineRule="auto"/>
        <w:jc w:val="both"/>
        <w:textAlignment w:val="baseline"/>
      </w:pPr>
      <w:r>
        <w:rPr>
          <w:rFonts w:cs="Calibri"/>
          <w:color w:val="000000"/>
        </w:rPr>
        <w:t xml:space="preserve">National Police Chiefs' Council (2016). Code of Ethics. Retrieved from </w:t>
      </w:r>
      <w:hyperlink r:id="rId17" w:history="1">
        <w:r>
          <w:rPr>
            <w:rStyle w:val="Hyperlink"/>
            <w:rFonts w:cs="Calibri"/>
          </w:rPr>
          <w:t>https://www.app.college.police.uk/app-content/professional-</w:t>
        </w:r>
        <w:r>
          <w:rPr>
            <w:rStyle w:val="Hyperlink"/>
            <w:rFonts w:cs="Calibri"/>
          </w:rPr>
          <w:t>standards/code-of-ethics/</w:t>
        </w:r>
      </w:hyperlink>
    </w:p>
    <w:p w14:paraId="5064255B" w14:textId="77777777" w:rsidR="007D3108" w:rsidRDefault="007C69D9">
      <w:pPr>
        <w:numPr>
          <w:ilvl w:val="0"/>
          <w:numId w:val="4"/>
        </w:numPr>
        <w:suppressAutoHyphens w:val="0"/>
        <w:spacing w:after="0" w:line="240" w:lineRule="auto"/>
        <w:jc w:val="both"/>
        <w:textAlignment w:val="baseline"/>
      </w:pPr>
      <w:r>
        <w:rPr>
          <w:rFonts w:cs="Calibri"/>
          <w:color w:val="000000"/>
        </w:rPr>
        <w:lastRenderedPageBreak/>
        <w:t xml:space="preserve">Police Investigations and Review Commissioner (2021). About us. Retrieved from </w:t>
      </w:r>
      <w:hyperlink r:id="rId18" w:history="1">
        <w:r>
          <w:rPr>
            <w:rStyle w:val="Hyperlink"/>
            <w:rFonts w:cs="Calibri"/>
          </w:rPr>
          <w:t>https://www.pirc.gov.uk/about-us</w:t>
        </w:r>
      </w:hyperlink>
    </w:p>
    <w:p w14:paraId="2CF9FDB5" w14:textId="77777777" w:rsidR="007D3108" w:rsidRDefault="007C69D9">
      <w:pPr>
        <w:numPr>
          <w:ilvl w:val="0"/>
          <w:numId w:val="4"/>
        </w:numPr>
        <w:suppressAutoHyphens w:val="0"/>
        <w:spacing w:after="0" w:line="240" w:lineRule="auto"/>
        <w:jc w:val="both"/>
        <w:textAlignment w:val="baseline"/>
      </w:pPr>
      <w:r>
        <w:rPr>
          <w:rFonts w:cs="Calibri"/>
          <w:color w:val="000000"/>
        </w:rPr>
        <w:t>Police Ombudsman for Northern Ireland (2021). About us. Retrieved fro</w:t>
      </w:r>
      <w:r>
        <w:rPr>
          <w:rFonts w:cs="Calibri"/>
          <w:color w:val="000000"/>
        </w:rPr>
        <w:t xml:space="preserve">m </w:t>
      </w:r>
      <w:hyperlink r:id="rId19" w:history="1">
        <w:r>
          <w:rPr>
            <w:rStyle w:val="Hyperlink"/>
            <w:rFonts w:cs="Calibri"/>
          </w:rPr>
          <w:t>https://www.policeombudsman.org/about-us</w:t>
        </w:r>
      </w:hyperlink>
    </w:p>
    <w:p w14:paraId="0D86E6F1" w14:textId="77777777" w:rsidR="007D3108" w:rsidRDefault="007C69D9">
      <w:pPr>
        <w:numPr>
          <w:ilvl w:val="0"/>
          <w:numId w:val="4"/>
        </w:numPr>
        <w:suppressAutoHyphens w:val="0"/>
        <w:spacing w:after="0" w:line="240" w:lineRule="auto"/>
        <w:jc w:val="both"/>
        <w:textAlignment w:val="baseline"/>
      </w:pPr>
      <w:r>
        <w:rPr>
          <w:rFonts w:cs="Calibri"/>
          <w:color w:val="000000"/>
        </w:rPr>
        <w:t>Professional Standards Authority for Health and S</w:t>
      </w:r>
      <w:r>
        <w:rPr>
          <w:rFonts w:cs="Calibri"/>
          <w:color w:val="000000"/>
        </w:rPr>
        <w:t xml:space="preserve">ocial Care (2021). About us. Retrieved from </w:t>
      </w:r>
      <w:hyperlink r:id="rId20" w:history="1">
        <w:r>
          <w:rPr>
            <w:rStyle w:val="Hyperlink"/>
            <w:rFonts w:cs="Calibri"/>
          </w:rPr>
          <w:t>https://www.professionalstandards.org.uk/</w:t>
        </w:r>
        <w:r>
          <w:rPr>
            <w:rStyle w:val="Hyperlink"/>
            <w:rFonts w:cs="Calibri"/>
          </w:rPr>
          <w:t>about-us</w:t>
        </w:r>
      </w:hyperlink>
    </w:p>
    <w:p w14:paraId="0B566B65" w14:textId="77777777" w:rsidR="007D3108" w:rsidRDefault="007C69D9">
      <w:pPr>
        <w:numPr>
          <w:ilvl w:val="0"/>
          <w:numId w:val="4"/>
        </w:numPr>
        <w:suppressAutoHyphens w:val="0"/>
        <w:spacing w:after="0" w:line="240" w:lineRule="auto"/>
        <w:jc w:val="both"/>
        <w:textAlignment w:val="baseline"/>
      </w:pPr>
      <w:r>
        <w:rPr>
          <w:rFonts w:cs="Calibri"/>
          <w:color w:val="000000"/>
        </w:rPr>
        <w:t xml:space="preserve">United Nations (2015). Basic principles on the use of force and firearms by law enforcement officials. Retrieved from </w:t>
      </w:r>
      <w:hyperlink r:id="rId21" w:history="1">
        <w:r>
          <w:rPr>
            <w:rStyle w:val="Hyperlink"/>
            <w:rFonts w:cs="Calibri"/>
          </w:rPr>
          <w:t>https://www.ohchr.org/en/professionalinterest/pages/useofforceandfirearms.aspx</w:t>
        </w:r>
      </w:hyperlink>
    </w:p>
    <w:p w14:paraId="0D62ABE1" w14:textId="77777777" w:rsidR="007D3108" w:rsidRDefault="007D3108"/>
    <w:sectPr w:rsidR="007D310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AD97D" w14:textId="77777777" w:rsidR="00000000" w:rsidRDefault="007C69D9">
      <w:pPr>
        <w:spacing w:after="0" w:line="240" w:lineRule="auto"/>
      </w:pPr>
      <w:r>
        <w:separator/>
      </w:r>
    </w:p>
  </w:endnote>
  <w:endnote w:type="continuationSeparator" w:id="0">
    <w:p w14:paraId="741FF65B" w14:textId="77777777" w:rsidR="00000000" w:rsidRDefault="007C6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89455" w14:textId="77777777" w:rsidR="00000000" w:rsidRDefault="007C69D9">
      <w:pPr>
        <w:spacing w:after="0" w:line="240" w:lineRule="auto"/>
      </w:pPr>
      <w:r>
        <w:rPr>
          <w:color w:val="000000"/>
        </w:rPr>
        <w:separator/>
      </w:r>
    </w:p>
  </w:footnote>
  <w:footnote w:type="continuationSeparator" w:id="0">
    <w:p w14:paraId="741E844B" w14:textId="77777777" w:rsidR="00000000" w:rsidRDefault="007C6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13C4B"/>
    <w:multiLevelType w:val="multilevel"/>
    <w:tmpl w:val="AA1C90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1DF7E9D"/>
    <w:multiLevelType w:val="multilevel"/>
    <w:tmpl w:val="304429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F385575"/>
    <w:multiLevelType w:val="multilevel"/>
    <w:tmpl w:val="731428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7DD5262F"/>
    <w:multiLevelType w:val="multilevel"/>
    <w:tmpl w:val="03D0AF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D3108"/>
    <w:rsid w:val="007C69D9"/>
    <w:rsid w:val="007D3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99A79"/>
  <w15:docId w15:val="{FB5BEFCA-3194-47F6-998D-C4F964A9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cs="Calibri"/>
      <w:lang w:eastAsia="en-GB"/>
    </w:rPr>
  </w:style>
  <w:style w:type="character" w:styleId="Hyperlink">
    <w:name w:val="Hyperlink"/>
    <w:basedOn w:val="DefaultParagraphFont"/>
    <w:rPr>
      <w:color w:val="0000FF"/>
      <w:u w:val="single"/>
    </w:rPr>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childrenssociety.org.uk%2Fwhat-we-do%2Fresearch-and-policy%2Fchildren-care-and-exploitation&amp;data=05|01|dominic.richards%40south-wales.police.uk|e677c9da4455421f24b208dade60b43a|270c2f4dfd0c4f0892a9e5bdd8a87e09|0|0|638066804325078881|Unknown|TWFpbGZsb3d8eyJWIjoiMC4wLjAwMDAiLCJQIjoiV2luMzIiLCJBTiI6Ik1haWwiLCJXVCI6Mn0%3D|3000|||&amp;sdata=t686xq54zgt7uxJaa1jbU6TTGKBlOTOWwc5EYX%2Bb3ig%3D&amp;reserved=0" TargetMode="External"/><Relationship Id="rId13" Type="http://schemas.openxmlformats.org/officeDocument/2006/relationships/hyperlink" Target="https://gbr01.safelinks.protection.outlook.com/?url=https%3A%2F%2Fwww.justice.gov%2Fsites%2Fdefault%2Ffiles%2Fcrt%2Flegacy%2F2014%2F03%2F12%2Ffloyd_statement_of_interest.pdf&amp;data=05|01|dominic.richards%40south-wales.police.uk|57a65ce6dba44947487c08daee6af405|270c2f4dfd0c4f0892a9e5bdd8a87e09|0|0|638084440894873800|Unknown|TWFpbGZsb3d8eyJWIjoiMC4wLjAwMDAiLCJQIjoiV2luMzIiLCJBTiI6Ik1haWwiLCJXVCI6Mn0%3D|3000|||&amp;sdata=c%2FZGhGPqNNlibAM0OEPAZCmE38jiU%2FiLLJze2AeDuS0%3D&amp;reserved=0" TargetMode="External"/><Relationship Id="rId18" Type="http://schemas.openxmlformats.org/officeDocument/2006/relationships/hyperlink" Target="https://gbr01.safelinks.protection.outlook.com/?url=https%3A%2F%2Fwww.pirc.gov.uk%2Fabout-us&amp;data=05|01|dominic.richards%40south-wales.police.uk|57a65ce6dba44947487c08daee6af405|270c2f4dfd0c4f0892a9e5bdd8a87e09|0|0|638084440894873800|Unknown|TWFpbGZsb3d8eyJWIjoiMC4wLjAwMDAiLCJQIjoiV2luMzIiLCJBTiI6Ik1haWwiLCJXVCI6Mn0%3D|3000|||&amp;sdata=kCc2p76Mzi6IV2UxKSksjnkX4dekn0tQ5lAyggX08%2FI%3D&amp;reserved=0"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www.ohchr.org%2Fen%2Fprofessionalinterest%2Fpages%2Fuseofforceandfirearms.aspx&amp;data=05|01|dominic.richards%40south-wales.police.uk|57a65ce6dba44947487c08daee6af405|270c2f4dfd0c4f0892a9e5bdd8a87e09|0|0|638084440894873800|Unknown|TWFpbGZsb3d8eyJWIjoiMC4wLjAwMDAiLCJQIjoiV2luMzIiLCJBTiI6Ik1haWwiLCJXVCI6Mn0%3D|3000|||&amp;sdata=K3trjUlJQyWy7fY6E4YLa00fRdSJRCJjF5FdhHtd5oI%3D&amp;reserved=0" TargetMode="External"/><Relationship Id="rId7" Type="http://schemas.openxmlformats.org/officeDocument/2006/relationships/hyperlink" Target="https://gbr01.safelinks.protection.outlook.com/?url=https%3A%2F%2Fwww.jrf.org.uk%2Freport%2Fuk-poverty-2018&amp;data=05|01|dominic.richards%40south-wales.police.uk|e677c9da4455421f24b208dade60b43a|270c2f4dfd0c4f0892a9e5bdd8a87e09|0|0|638066804325078881|Unknown|TWFpbGZsb3d8eyJWIjoiMC4wLjAwMDAiLCJQIjoiV2luMzIiLCJBTiI6Ik1haWwiLCJXVCI6Mn0%3D|3000|||&amp;sdata=qVSPlzLggA66MjiLOmJ8gUIt4yqO53mufB2Wail8h40%3D&amp;reserved=0" TargetMode="External"/><Relationship Id="rId12" Type="http://schemas.openxmlformats.org/officeDocument/2006/relationships/hyperlink" Target="https://gbr01.safelinks.protection.outlook.com/?url=https%3A%2F%2Fwww.cps.gov.uk%2Fabout-cps&amp;data=05|01|dominic.richards%40south-wales.police.uk|57a65ce6dba44947487c08daee6af405|270c2f4dfd0c4f0892a9e5bdd8a87e09|0|0|638084440894873800|Unknown|TWFpbGZsb3d8eyJWIjoiMC4wLjAwMDAiLCJQIjoiV2luMzIiLCJBTiI6Ik1haWwiLCJXVCI6Mn0%3D|3000|||&amp;sdata=WAMoivgPKqri1whJJAYeXFwbxnbLmMAxQk3e2cGTgW8%3D&amp;reserved=0" TargetMode="External"/><Relationship Id="rId17" Type="http://schemas.openxmlformats.org/officeDocument/2006/relationships/hyperlink" Target="https://gbr01.safelinks.protection.outlook.com/?url=https%3A%2F%2Fwww.app.college.police.uk%2Fapp-content%2Fprofessional-standards%2Fcode-of-ethics%2F&amp;data=05|01|dominic.richards%40south-wales.police.uk|57a65ce6dba44947487c08daee6af405|270c2f4dfd0c4f0892a9e5bdd8a87e09|0|0|638084440894873800|Unknown|TWFpbGZsb3d8eyJWIjoiMC4wLjAwMDAiLCJQIjoiV2luMzIiLCJBTiI6Ik1haWwiLCJXVCI6Mn0%3D|3000|||&amp;sdata=vi69vtuTMlPXFlaOq%2BtfBd2QXzGrmchtkRWmdllUJgg%3D&amp;reserved=0" TargetMode="External"/><Relationship Id="rId2" Type="http://schemas.openxmlformats.org/officeDocument/2006/relationships/styles" Target="styles.xml"/><Relationship Id="rId16" Type="http://schemas.openxmlformats.org/officeDocument/2006/relationships/hyperlink" Target="https://gbr01.safelinks.protection.outlook.com/?url=https%3A%2F%2Fwww.policeconduct.gov.uk%2Fabout-us&amp;data=05|01|dominic.richards%40south-wales.police.uk|57a65ce6dba44947487c08daee6af405|270c2f4dfd0c4f0892a9e5bdd8a87e09|0|0|638084440894873800|Unknown|TWFpbGZsb3d8eyJWIjoiMC4wLjAwMDAiLCJQIjoiV2luMzIiLCJBTiI6Ik1haWwiLCJXVCI6Mn0%3D|3000|||&amp;sdata=e68wAfktU4FOKp4NUK9t1NcylIQqUgASeFiGSi3NfpM%3D&amp;reserved=0" TargetMode="External"/><Relationship Id="rId20" Type="http://schemas.openxmlformats.org/officeDocument/2006/relationships/hyperlink" Target="https://gbr01.safelinks.protection.outlook.com/?url=https%3A%2F%2Fwww.professionalstandards.org.uk%2Fabout-us&amp;data=05|01|dominic.richards%40south-wales.police.uk|57a65ce6dba44947487c08daee6af405|270c2f4dfd0c4f0892a9e5bdd8a87e09|0|0|638084440894873800|Unknown|TWFpbGZsb3d8eyJWIjoiMC4wLjAwMDAiLCJQIjoiV2luMzIiLCJBTiI6Ik1haWwiLCJXVCI6Mn0%3D|3000|||&amp;sdata=4x0O07NhvdF9W6jU3ssNJ3ghkASByEtezT0IJ5fG4mk%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br01.safelinks.protection.outlook.com/?url=https%3A%2F%2Fwww.aclu.org%2Fissues%2Fcriminal-law-reform%2Freforming-police%2Fpolice-misconduct&amp;data=05|01|dominic.richards%40south-wales.police.uk|57a65ce6dba44947487c08daee6af405|270c2f4dfd0c4f0892a9e5bdd8a87e09|0|0|638084440894718635|Unknown|TWFpbGZsb3d8eyJWIjoiMC4wLjAwMDAiLCJQIjoiV2luMzIiLCJBTiI6Ik1haWwiLCJXVCI6Mn0%3D|3000|||&amp;sdata=t78M2oJgLIDzddDm%2BVAoapOfyNFT0TB27MRBWDB1Z28%3D&amp;reserved=0" TargetMode="External"/><Relationship Id="rId5" Type="http://schemas.openxmlformats.org/officeDocument/2006/relationships/footnotes" Target="footnotes.xml"/><Relationship Id="rId15" Type="http://schemas.openxmlformats.org/officeDocument/2006/relationships/hyperlink" Target="https://gbr01.safelinks.protection.outlook.com/?url=https%3A%2F%2Fwww.gov.uk%2Fgovernment%2Fpublications%2Fpolicing-in-the-uk-a-brief-guide%2Fpolicing-in-the-uk-a-brief-guide&amp;data=05|01|dominic.richards%40south-wales.police.uk|57a65ce6dba44947487c08daee6af405|270c2f4dfd0c4f0892a9e5bdd8a87e09|0|0|638084440894873800|Unknown|TWFpbGZsb3d8eyJWIjoiMC4wLjAwMDAiLCJQIjoiV2luMzIiLCJBTiI6Ik1haWwiLCJXVCI6Mn0%3D|3000|||&amp;sdata=zQX1IJCHeVHiG%2BXX1jfnWmJ35KsWDZBUdnh9jEnrF%2B4%3D&amp;reserved=0" TargetMode="External"/><Relationship Id="rId23" Type="http://schemas.openxmlformats.org/officeDocument/2006/relationships/theme" Target="theme/theme1.xml"/><Relationship Id="rId10" Type="http://schemas.openxmlformats.org/officeDocument/2006/relationships/hyperlink" Target="https://gbr01.safelinks.protection.outlook.com/?url=https%3A%2F%2Fwww.justiceinspectorates.gov.uk%2Fhmicfrs%2Fwp-content%2Fuploads%2Fsites%2F4%2F2016%2F09%2FJoint-Inspection-of-the-response-to-modern-slavery-report-web.pdf&amp;data=05|01|dominic.richards%40south-wales.police.uk|e677c9da4455421f24b208dade60b43a|270c2f4dfd0c4f0892a9e5bdd8a87e09|0|0|638066804325078881|Unknown|TWFpbGZsb3d8eyJWIjoiMC4wLjAwMDAiLCJQIjoiV2luMzIiLCJBTiI6Ik1haWwiLCJXVCI6Mn0%3D|3000|||&amp;sdata=skaX2RHKjyhhksZx6eIQDwJDs9FGEnjZaRA%2F8DwzAyw%3D&amp;reserved=0" TargetMode="External"/><Relationship Id="rId19" Type="http://schemas.openxmlformats.org/officeDocument/2006/relationships/hyperlink" Target="https://gbr01.safelinks.protection.outlook.com/?url=https%3A%2F%2Fwww.policeombudsman.org%2Fabout-us&amp;data=05|01|dominic.richards%40south-wales.police.uk|57a65ce6dba44947487c08daee6af405|270c2f4dfd0c4f0892a9e5bdd8a87e09|0|0|638084440894873800|Unknown|TWFpbGZsb3d8eyJWIjoiMC4wLjAwMDAiLCJQIjoiV2luMzIiLCJBTiI6Ik1haWwiLCJXVCI6Mn0%3D|3000|||&amp;sdata=NYgy%2BYlRqSwoA2f6oZV0NBbMPX0BTIzPxbdEO0i0JN4%3D&amp;reserved=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www.crisis.org.uk%2Fresources%2Fexploitation-homeless-people%2F&amp;data=05|01|dominic.richards%40south-wales.police.uk|e677c9da4455421f24b208dade60b43a|270c2f4dfd0c4f0892a9e5bdd8a87e09|0|0|638066804325078881|Unknown|TWFpbGZsb3d8eyJWIjoiMC4wLjAwMDAiLCJQIjoiV2luMzIiLCJBTiI6Ik1haWwiLCJXVCI6Mn0%3D|3000|||&amp;sdata=sAz%2FNLVY7PsJ28NF8cXeBQPJcuOwo5Dbxtayg40EVBg%3D&amp;reserved=0" TargetMode="External"/><Relationship Id="rId14" Type="http://schemas.openxmlformats.org/officeDocument/2006/relationships/hyperlink" Target="https://gbr01.safelinks.protection.outlook.com/?url=https%3A%2F%2Fwww.gov.uk%2Fgovernment%2Fpublications%2Fpolice-complaints-authority-annual-report-2006-2007&amp;data=05|01|dominic.richards%40south-wales.police.uk|57a65ce6dba44947487c08daee6af405|270c2f4dfd0c4f0892a9e5bdd8a87e09|0|0|638084440894873800|Unknown|TWFpbGZsb3d8eyJWIjoiMC4wLjAwMDAiLCJQIjoiV2luMzIiLCJBTiI6Ik1haWwiLCJXVCI6Mn0%3D|3000|||&amp;sdata=2%2FWAMRReQee38dUFtyhE2euneWZJHva1V9F%2FIrtw87k%3D&amp;reserved=0"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5717</Words>
  <Characters>32591</Characters>
  <Application>Microsoft Office Word</Application>
  <DocSecurity>0</DocSecurity>
  <Lines>271</Lines>
  <Paragraphs>76</Paragraphs>
  <ScaleCrop>false</ScaleCrop>
  <Company>South Wales Police</Company>
  <LinksUpToDate>false</LinksUpToDate>
  <CharactersWithSpaces>38232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Richards,Dominic swp8092</dc:creator>
  <dc:description/>
  <cp:lastModifiedBy>Richards,Dominic swp8092</cp:lastModifiedBy>
  <cp:revision>2</cp:revision>
  <dcterms:created xsi:type="dcterms:W3CDTF">2023-01-13T08:07:00Z</dcterms:created>
  <dcterms:modified xsi:type="dcterms:W3CDTF">2023-01-13T08:07:00Z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2022-12-14T06:51:20Z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be0d2095-8900-4af9-a69d-bac5f272b700</vt:lpwstr>
  </property>
  <property fmtid="{D5CDD505-2E9C-101B-9397-08002B2CF9AE}" pid="8" name="MSIP_Label_66cf8fe5-b7b7-4df7-b38d-1c61ac2f6639_ContentBits">
    <vt:lpwstr>0</vt:lpwstr>
  </property>
</Properties>
</file>