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D8C3C" w14:textId="77777777" w:rsidR="00D96DF8" w:rsidRDefault="00D96DF8" w:rsidP="00B84764">
      <w:pPr>
        <w:jc w:val="center"/>
        <w:rPr>
          <w:rFonts w:ascii="Arial" w:hAnsi="Arial" w:cs="Arial"/>
          <w:sz w:val="40"/>
          <w:szCs w:val="40"/>
          <w:lang w:val="en-US"/>
        </w:rPr>
      </w:pPr>
    </w:p>
    <w:p w14:paraId="4A00F315" w14:textId="18670A94" w:rsidR="00B84764" w:rsidRDefault="00B84764" w:rsidP="00B84764">
      <w:pPr>
        <w:jc w:val="center"/>
        <w:rPr>
          <w:rFonts w:ascii="Arial" w:hAnsi="Arial" w:cs="Arial"/>
          <w:sz w:val="40"/>
          <w:szCs w:val="40"/>
          <w:lang w:val="en-US"/>
        </w:rPr>
      </w:pPr>
      <w:r w:rsidRPr="00762D91">
        <w:rPr>
          <w:rFonts w:ascii="Arial" w:hAnsi="Arial" w:cs="Arial"/>
          <w:sz w:val="40"/>
          <w:szCs w:val="40"/>
          <w:lang w:val="en-US"/>
        </w:rPr>
        <w:t>Sustainable Hospitality &amp; Tourism Management (BMIH5006)</w:t>
      </w:r>
    </w:p>
    <w:p w14:paraId="217A38FC" w14:textId="77777777" w:rsidR="00B84764" w:rsidRDefault="00B84764" w:rsidP="00B84764">
      <w:pPr>
        <w:jc w:val="center"/>
        <w:rPr>
          <w:rFonts w:ascii="Arial" w:hAnsi="Arial" w:cs="Arial"/>
          <w:sz w:val="40"/>
          <w:szCs w:val="40"/>
          <w:lang w:val="en-US"/>
        </w:rPr>
      </w:pPr>
    </w:p>
    <w:p w14:paraId="68E8D28B" w14:textId="77777777" w:rsidR="00B84764" w:rsidRPr="00762D91" w:rsidRDefault="00B84764" w:rsidP="00B84764">
      <w:pPr>
        <w:jc w:val="center"/>
        <w:rPr>
          <w:rFonts w:ascii="Arial" w:hAnsi="Arial" w:cs="Arial"/>
          <w:sz w:val="40"/>
          <w:szCs w:val="40"/>
          <w:lang w:val="en-US"/>
        </w:rPr>
      </w:pPr>
    </w:p>
    <w:p w14:paraId="46E204C6" w14:textId="77777777" w:rsidR="00B84764" w:rsidRPr="00762D91" w:rsidRDefault="00B84764" w:rsidP="00B84764">
      <w:pPr>
        <w:jc w:val="center"/>
        <w:rPr>
          <w:rFonts w:ascii="Arial" w:hAnsi="Arial" w:cs="Arial"/>
          <w:sz w:val="40"/>
          <w:szCs w:val="40"/>
          <w:lang w:val="en-US"/>
        </w:rPr>
      </w:pPr>
      <w:r w:rsidRPr="00762D91">
        <w:rPr>
          <w:rFonts w:ascii="Arial" w:hAnsi="Arial" w:cs="Arial"/>
          <w:sz w:val="40"/>
          <w:szCs w:val="40"/>
          <w:lang w:val="en-US"/>
        </w:rPr>
        <w:t xml:space="preserve">The role of Corporate Social Responsibility (CSR) in promoting sustainability at Six Senses </w:t>
      </w:r>
      <w:proofErr w:type="spellStart"/>
      <w:r w:rsidRPr="00762D91">
        <w:rPr>
          <w:rFonts w:ascii="Arial" w:hAnsi="Arial" w:cs="Arial"/>
          <w:sz w:val="40"/>
          <w:szCs w:val="40"/>
          <w:lang w:val="en-US"/>
        </w:rPr>
        <w:t>Uluwatu</w:t>
      </w:r>
      <w:proofErr w:type="spellEnd"/>
      <w:r w:rsidRPr="00762D91">
        <w:rPr>
          <w:rFonts w:ascii="Arial" w:hAnsi="Arial" w:cs="Arial"/>
          <w:sz w:val="40"/>
          <w:szCs w:val="40"/>
          <w:lang w:val="en-US"/>
        </w:rPr>
        <w:t>, Bali</w:t>
      </w:r>
      <w:r>
        <w:rPr>
          <w:rFonts w:ascii="Arial" w:hAnsi="Arial" w:cs="Arial"/>
          <w:sz w:val="40"/>
          <w:szCs w:val="40"/>
          <w:lang w:val="en-US"/>
        </w:rPr>
        <w:t>.</w:t>
      </w:r>
    </w:p>
    <w:p w14:paraId="67DDF772" w14:textId="77777777" w:rsidR="00B84764" w:rsidRPr="00762D91" w:rsidRDefault="00B84764" w:rsidP="00B84764">
      <w:pPr>
        <w:rPr>
          <w:lang w:val="en-US"/>
        </w:rPr>
      </w:pPr>
    </w:p>
    <w:p w14:paraId="496AB03F" w14:textId="77777777" w:rsidR="00B84764" w:rsidRPr="00762D91" w:rsidRDefault="00B84764" w:rsidP="00B84764">
      <w:pPr>
        <w:rPr>
          <w:lang w:val="en-US"/>
        </w:rPr>
      </w:pPr>
    </w:p>
    <w:p w14:paraId="1CF846F1" w14:textId="77777777" w:rsidR="00B84764" w:rsidRPr="00762D91" w:rsidRDefault="00B84764" w:rsidP="00B84764">
      <w:pPr>
        <w:pStyle w:val="Subtitle"/>
        <w:rPr>
          <w:color w:val="auto"/>
          <w:lang w:val="en-US"/>
        </w:rPr>
      </w:pPr>
      <w:r w:rsidRPr="00762D91">
        <w:rPr>
          <w:color w:val="auto"/>
          <w:lang w:val="en-US"/>
        </w:rPr>
        <w:t>Student’s Name: VIOREL-CATALIN CIOBANU</w:t>
      </w:r>
    </w:p>
    <w:p w14:paraId="7BC64E29" w14:textId="77777777" w:rsidR="00B84764" w:rsidRPr="00762D91" w:rsidRDefault="00B84764" w:rsidP="00B84764">
      <w:pPr>
        <w:pStyle w:val="Subtitle"/>
        <w:rPr>
          <w:color w:val="auto"/>
          <w:lang w:val="en-US"/>
        </w:rPr>
      </w:pPr>
      <w:proofErr w:type="gramStart"/>
      <w:r w:rsidRPr="00762D91">
        <w:rPr>
          <w:color w:val="auto"/>
          <w:lang w:val="en-US"/>
        </w:rPr>
        <w:t>Student’s  ID</w:t>
      </w:r>
      <w:proofErr w:type="gramEnd"/>
      <w:r w:rsidRPr="00762D91">
        <w:rPr>
          <w:color w:val="auto"/>
          <w:lang w:val="en-US"/>
        </w:rPr>
        <w:t>: 2216877</w:t>
      </w:r>
    </w:p>
    <w:p w14:paraId="01B16718" w14:textId="114F5A99" w:rsidR="00B84764" w:rsidRPr="00762D91" w:rsidRDefault="00B84764" w:rsidP="00B84764">
      <w:pPr>
        <w:pStyle w:val="Subtitle"/>
        <w:rPr>
          <w:color w:val="auto"/>
          <w:lang w:val="en-US"/>
        </w:rPr>
      </w:pPr>
      <w:r w:rsidRPr="00762D91">
        <w:rPr>
          <w:color w:val="auto"/>
          <w:lang w:val="en-US"/>
        </w:rPr>
        <w:t xml:space="preserve">Word Count: </w:t>
      </w:r>
      <w:r>
        <w:rPr>
          <w:color w:val="auto"/>
          <w:lang w:val="en-US"/>
        </w:rPr>
        <w:t>20</w:t>
      </w:r>
      <w:r w:rsidR="00D96DF8">
        <w:rPr>
          <w:color w:val="auto"/>
          <w:lang w:val="en-US"/>
        </w:rPr>
        <w:t>52</w:t>
      </w:r>
    </w:p>
    <w:p w14:paraId="0DCCC24A" w14:textId="77777777" w:rsidR="00B84764" w:rsidRPr="00762D91" w:rsidRDefault="00B84764" w:rsidP="00B84764">
      <w:pPr>
        <w:pStyle w:val="Subtitle"/>
        <w:rPr>
          <w:color w:val="auto"/>
          <w:lang w:val="en-US"/>
        </w:rPr>
      </w:pPr>
      <w:r w:rsidRPr="00762D91">
        <w:rPr>
          <w:color w:val="auto"/>
          <w:lang w:val="en-US"/>
        </w:rPr>
        <w:t>Lecturer’s Name:</w:t>
      </w:r>
      <w:r>
        <w:rPr>
          <w:color w:val="auto"/>
          <w:lang w:val="en-US"/>
        </w:rPr>
        <w:t xml:space="preserve"> </w:t>
      </w:r>
      <w:r w:rsidRPr="00762D91">
        <w:rPr>
          <w:color w:val="auto"/>
          <w:lang w:val="en-US"/>
        </w:rPr>
        <w:t>Lisa-Marie Bassler</w:t>
      </w:r>
    </w:p>
    <w:p w14:paraId="034637B4" w14:textId="77777777" w:rsidR="00B84764" w:rsidRDefault="00B84764" w:rsidP="00B84764"/>
    <w:p w14:paraId="37D39BF4" w14:textId="77777777" w:rsidR="00B84764" w:rsidRDefault="00B84764" w:rsidP="00B84764"/>
    <w:p w14:paraId="4C12B5E3" w14:textId="77777777" w:rsidR="00B84764" w:rsidRDefault="00B84764" w:rsidP="00B84764"/>
    <w:p w14:paraId="04D89292" w14:textId="77777777" w:rsidR="00B84764" w:rsidRDefault="00B84764" w:rsidP="00B84764"/>
    <w:p w14:paraId="037B9AFF" w14:textId="77777777" w:rsidR="00B84764" w:rsidRDefault="00B84764" w:rsidP="00B84764"/>
    <w:p w14:paraId="37F5E5B4" w14:textId="77777777" w:rsidR="00B84764" w:rsidRDefault="00B84764" w:rsidP="00B84764"/>
    <w:p w14:paraId="18E788F4" w14:textId="77777777" w:rsidR="00B84764" w:rsidRDefault="00B84764" w:rsidP="00B84764">
      <w:pPr>
        <w:spacing w:line="360" w:lineRule="auto"/>
        <w:jc w:val="both"/>
        <w:rPr>
          <w:rFonts w:ascii="Arial" w:hAnsi="Arial" w:cs="Arial"/>
          <w:sz w:val="24"/>
          <w:szCs w:val="24"/>
        </w:rPr>
      </w:pPr>
    </w:p>
    <w:p w14:paraId="6F7A05A7" w14:textId="015E4772" w:rsidR="00B84764" w:rsidRDefault="00B84764" w:rsidP="00B84764">
      <w:pPr>
        <w:spacing w:line="360" w:lineRule="auto"/>
        <w:jc w:val="both"/>
        <w:rPr>
          <w:rFonts w:ascii="Arial" w:hAnsi="Arial" w:cs="Arial"/>
          <w:sz w:val="24"/>
          <w:szCs w:val="24"/>
        </w:rPr>
      </w:pPr>
      <w:r w:rsidRPr="00041473">
        <w:rPr>
          <w:rFonts w:ascii="Arial" w:hAnsi="Arial" w:cs="Arial"/>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9F0A589" w14:textId="77777777" w:rsidR="00B84764" w:rsidRDefault="00B84764" w:rsidP="00B84764">
      <w:pPr>
        <w:spacing w:line="360" w:lineRule="auto"/>
        <w:jc w:val="both"/>
        <w:rPr>
          <w:rFonts w:ascii="Arial" w:hAnsi="Arial" w:cs="Arial"/>
          <w:sz w:val="24"/>
          <w:szCs w:val="24"/>
        </w:rPr>
      </w:pPr>
    </w:p>
    <w:p w14:paraId="79C3E680" w14:textId="77777777" w:rsidR="00B84764" w:rsidRDefault="00B84764" w:rsidP="00B84764">
      <w:pPr>
        <w:spacing w:line="360" w:lineRule="auto"/>
        <w:jc w:val="both"/>
        <w:rPr>
          <w:rFonts w:ascii="Arial" w:hAnsi="Arial" w:cs="Arial"/>
          <w:sz w:val="24"/>
          <w:szCs w:val="24"/>
        </w:rPr>
      </w:pPr>
    </w:p>
    <w:p w14:paraId="125596A0" w14:textId="77777777" w:rsidR="00B84764" w:rsidRDefault="00B84764" w:rsidP="00B84764">
      <w:pPr>
        <w:spacing w:line="360" w:lineRule="auto"/>
        <w:jc w:val="both"/>
        <w:rPr>
          <w:rFonts w:ascii="Arial" w:hAnsi="Arial" w:cs="Arial"/>
          <w:sz w:val="24"/>
          <w:szCs w:val="24"/>
        </w:rPr>
      </w:pPr>
    </w:p>
    <w:p w14:paraId="669A15B0" w14:textId="77777777" w:rsidR="00B84764" w:rsidRDefault="00B84764" w:rsidP="00B84764">
      <w:pPr>
        <w:spacing w:line="360" w:lineRule="auto"/>
        <w:jc w:val="both"/>
        <w:rPr>
          <w:rFonts w:ascii="Arial" w:hAnsi="Arial" w:cs="Arial"/>
          <w:sz w:val="24"/>
          <w:szCs w:val="24"/>
        </w:rPr>
      </w:pPr>
    </w:p>
    <w:p w14:paraId="4758CA96" w14:textId="77777777" w:rsidR="00B84764" w:rsidRDefault="00B84764" w:rsidP="00B84764">
      <w:pPr>
        <w:spacing w:line="360" w:lineRule="auto"/>
        <w:jc w:val="both"/>
        <w:rPr>
          <w:rFonts w:ascii="Arial" w:hAnsi="Arial" w:cs="Arial"/>
          <w:sz w:val="24"/>
          <w:szCs w:val="24"/>
        </w:rPr>
      </w:pPr>
    </w:p>
    <w:p w14:paraId="7A938B54" w14:textId="77777777" w:rsidR="00B84764" w:rsidRDefault="00B84764" w:rsidP="00B84764">
      <w:pPr>
        <w:spacing w:line="360" w:lineRule="auto"/>
        <w:jc w:val="both"/>
        <w:rPr>
          <w:rFonts w:ascii="Arial" w:hAnsi="Arial" w:cs="Arial"/>
          <w:sz w:val="24"/>
          <w:szCs w:val="24"/>
        </w:rPr>
      </w:pPr>
    </w:p>
    <w:p w14:paraId="1D9FA314" w14:textId="77777777" w:rsidR="00B84764" w:rsidRDefault="00B84764" w:rsidP="00B84764">
      <w:pPr>
        <w:spacing w:line="360" w:lineRule="auto"/>
        <w:jc w:val="both"/>
        <w:rPr>
          <w:rFonts w:ascii="Arial" w:hAnsi="Arial" w:cs="Arial"/>
          <w:sz w:val="24"/>
          <w:szCs w:val="24"/>
        </w:rPr>
      </w:pPr>
    </w:p>
    <w:p w14:paraId="02C563DC" w14:textId="77777777" w:rsidR="00B84764" w:rsidRDefault="00B84764" w:rsidP="00B84764">
      <w:pPr>
        <w:spacing w:line="360" w:lineRule="auto"/>
        <w:jc w:val="both"/>
        <w:rPr>
          <w:rFonts w:ascii="Arial" w:hAnsi="Arial" w:cs="Arial"/>
          <w:sz w:val="24"/>
          <w:szCs w:val="24"/>
        </w:rPr>
      </w:pPr>
    </w:p>
    <w:p w14:paraId="03B1710E" w14:textId="77777777" w:rsidR="00B84764" w:rsidRDefault="00B84764" w:rsidP="00B84764">
      <w:pPr>
        <w:spacing w:line="360" w:lineRule="auto"/>
        <w:jc w:val="both"/>
        <w:rPr>
          <w:rFonts w:ascii="Arial" w:hAnsi="Arial" w:cs="Arial"/>
          <w:sz w:val="24"/>
          <w:szCs w:val="24"/>
        </w:rPr>
      </w:pPr>
    </w:p>
    <w:p w14:paraId="582FF37B" w14:textId="77777777" w:rsidR="00B84764" w:rsidRDefault="00B84764" w:rsidP="00B84764">
      <w:pPr>
        <w:spacing w:line="360" w:lineRule="auto"/>
        <w:jc w:val="both"/>
        <w:rPr>
          <w:rFonts w:ascii="Arial" w:hAnsi="Arial" w:cs="Arial"/>
          <w:sz w:val="24"/>
          <w:szCs w:val="24"/>
        </w:rPr>
      </w:pPr>
    </w:p>
    <w:p w14:paraId="0F96272D" w14:textId="77777777" w:rsidR="00B84764" w:rsidRDefault="00B84764" w:rsidP="00B84764">
      <w:pPr>
        <w:spacing w:line="360" w:lineRule="auto"/>
        <w:jc w:val="both"/>
        <w:rPr>
          <w:rFonts w:ascii="Arial" w:hAnsi="Arial" w:cs="Arial"/>
          <w:sz w:val="24"/>
          <w:szCs w:val="24"/>
        </w:rPr>
      </w:pPr>
    </w:p>
    <w:p w14:paraId="067847E5" w14:textId="77777777" w:rsidR="00B84764" w:rsidRDefault="00B84764" w:rsidP="00B84764">
      <w:pPr>
        <w:spacing w:line="360" w:lineRule="auto"/>
        <w:jc w:val="both"/>
        <w:rPr>
          <w:rFonts w:ascii="Arial" w:hAnsi="Arial" w:cs="Arial"/>
          <w:sz w:val="24"/>
          <w:szCs w:val="24"/>
        </w:rPr>
      </w:pPr>
    </w:p>
    <w:p w14:paraId="4FC4A3C2" w14:textId="77777777" w:rsidR="00B84764" w:rsidRDefault="00B84764" w:rsidP="00B84764">
      <w:pPr>
        <w:spacing w:line="360" w:lineRule="auto"/>
        <w:jc w:val="both"/>
        <w:rPr>
          <w:rFonts w:ascii="Arial" w:hAnsi="Arial" w:cs="Arial"/>
          <w:sz w:val="24"/>
          <w:szCs w:val="24"/>
        </w:rPr>
      </w:pPr>
    </w:p>
    <w:p w14:paraId="1DD46391" w14:textId="77777777" w:rsidR="00B84764" w:rsidRDefault="00B84764" w:rsidP="00B84764">
      <w:pPr>
        <w:spacing w:line="360" w:lineRule="auto"/>
        <w:jc w:val="both"/>
        <w:rPr>
          <w:rFonts w:ascii="Arial" w:hAnsi="Arial" w:cs="Arial"/>
          <w:sz w:val="24"/>
          <w:szCs w:val="24"/>
        </w:rPr>
      </w:pPr>
    </w:p>
    <w:p w14:paraId="282BE191" w14:textId="77777777" w:rsidR="00B84764" w:rsidRDefault="00B84764" w:rsidP="00B84764">
      <w:pPr>
        <w:spacing w:line="360" w:lineRule="auto"/>
        <w:jc w:val="both"/>
        <w:rPr>
          <w:rFonts w:ascii="Arial" w:hAnsi="Arial" w:cs="Arial"/>
          <w:sz w:val="24"/>
          <w:szCs w:val="24"/>
        </w:rPr>
      </w:pPr>
    </w:p>
    <w:p w14:paraId="64CC228F" w14:textId="77777777" w:rsidR="00B84764" w:rsidRDefault="00B84764" w:rsidP="00B84764">
      <w:pPr>
        <w:spacing w:line="360" w:lineRule="auto"/>
        <w:jc w:val="both"/>
        <w:rPr>
          <w:rFonts w:ascii="Arial" w:hAnsi="Arial" w:cs="Arial"/>
          <w:sz w:val="24"/>
          <w:szCs w:val="24"/>
        </w:rPr>
      </w:pPr>
    </w:p>
    <w:p w14:paraId="45A34761" w14:textId="77777777" w:rsidR="00B84764" w:rsidRDefault="00B84764" w:rsidP="00B84764">
      <w:pPr>
        <w:spacing w:line="360" w:lineRule="auto"/>
        <w:jc w:val="both"/>
        <w:rPr>
          <w:rFonts w:ascii="Arial" w:hAnsi="Arial" w:cs="Arial"/>
          <w:sz w:val="24"/>
          <w:szCs w:val="24"/>
        </w:rPr>
      </w:pPr>
    </w:p>
    <w:p w14:paraId="73A9EDDD" w14:textId="057DB663" w:rsidR="00B84764" w:rsidRDefault="00B84764" w:rsidP="00B84764">
      <w:pPr>
        <w:spacing w:line="360" w:lineRule="auto"/>
        <w:jc w:val="both"/>
        <w:rPr>
          <w:rFonts w:ascii="Arial" w:hAnsi="Arial" w:cs="Arial"/>
          <w:sz w:val="24"/>
          <w:szCs w:val="24"/>
        </w:rPr>
      </w:pPr>
    </w:p>
    <w:p w14:paraId="42CAA65B" w14:textId="77777777" w:rsidR="00B84764" w:rsidRDefault="00B84764" w:rsidP="00B84764">
      <w:pPr>
        <w:spacing w:line="360" w:lineRule="auto"/>
        <w:jc w:val="both"/>
        <w:rPr>
          <w:rFonts w:ascii="Arial" w:hAnsi="Arial" w:cs="Arial"/>
          <w:sz w:val="24"/>
          <w:szCs w:val="24"/>
        </w:rPr>
      </w:pPr>
    </w:p>
    <w:p w14:paraId="6BEEFA30" w14:textId="77777777" w:rsidR="00B84764" w:rsidRDefault="00B84764" w:rsidP="00B84764">
      <w:pPr>
        <w:spacing w:line="360" w:lineRule="auto"/>
        <w:jc w:val="both"/>
        <w:rPr>
          <w:rFonts w:ascii="Arial" w:hAnsi="Arial" w:cs="Arial"/>
          <w:sz w:val="24"/>
          <w:szCs w:val="24"/>
        </w:rPr>
      </w:pPr>
    </w:p>
    <w:p w14:paraId="486A7BF6" w14:textId="59173F94"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lastRenderedPageBreak/>
        <w:t>Corporate social responsibility has become an essential element of corporations in the twenty-first century. It has several benefits, such as promoting a positive and productive work environment, keeping employees engaged, and attracting investors as a sign of a moral corporate culture that reduces stakeholder investment risk. The increasing social consciousness of customers, who care about more than just their personal rights but also society and the environment as a whole, has made this a must for successful businesses. A recent Accenture Strategy global survey states that "57% of consumers think that a company's ethical values affect their purchase decisions" (Imnasangla Jamir, 2022).</w:t>
      </w:r>
    </w:p>
    <w:p w14:paraId="38225679" w14:textId="77777777"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The purpose of this essay is to give a summary of the sustainable development strategies that Six Senses Uluwatu in Bali used to transform into a green hotel. First ideas about sustainability were presented in the Brundtland Report. This document addressed the tension between humanity's quest for a better life and the limitations imposed by nature (Tom Kuhlman, 2010).</w:t>
      </w:r>
    </w:p>
    <w:p w14:paraId="23141073" w14:textId="70493BFA"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"Sustainable" refers to the triple bottom line—profit, planet, and people—which is widely recognized. Thus, sustainability promotes a robust economy and high level of life while honoring the need to protect the environment and conserve natural resources (Grecu, 2015). The hotel sector has a huge responsibility to adopt sustainable practices that benefit the environment, the economy, and social justice.</w:t>
      </w:r>
    </w:p>
    <w:p w14:paraId="34B8677B" w14:textId="7011A739"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The Green Building Council Indonesia awarded Six Senses Uluwatu, one of the hotels in Bali, the Greenship designation in 2019; the designation is currently in effect. Greenship aims to improve people's health and quality of life by utilizing industry best practices in the building sector to create high-quality environments in both new and existing buildings. However, Six Senses Uluwatu intends to maintain its green hotel classification as one of its brands that aligns with its core values of sustainability. With an emphasis on sustainability, Six Senses Uluwatu uses indigenous designers for its hotels, sourcing products locally and generating its own water—all while taking cues from local architects (Six Senses, 2019).</w:t>
      </w:r>
    </w:p>
    <w:p w14:paraId="78BD72FB" w14:textId="390AD81D"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 xml:space="preserve">Additionally, techniques for sustainable development were put into practice, such as trash reduction, recycling, reuse of solid waste, planting organic gardens, producing natural fertilizer for use in homes and on plants, and conserving energy and </w:t>
      </w:r>
      <w:r w:rsidRPr="00B84764">
        <w:rPr>
          <w:rFonts w:ascii="Arial" w:hAnsi="Arial" w:cs="Arial"/>
          <w:sz w:val="24"/>
          <w:szCs w:val="24"/>
        </w:rPr>
        <w:lastRenderedPageBreak/>
        <w:t>water. Certain protocols were put in place so that the facility may be used as a green hotel (Ni Nyoman Triyuni, 2022).</w:t>
      </w:r>
    </w:p>
    <w:p w14:paraId="3922425D" w14:textId="5A16D589"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Furthermore, techniques for sustainable development were put into practice, such as trash reduction, recycling, reuse of solid waste, planting organic gardens, producing natural fertilizer for use in homes and on plants, and conserving energy and water. Certain protocols were put in place so that the facility may be used as a green hotel (Ni Nyoman Triyuni, 2022).</w:t>
      </w:r>
    </w:p>
    <w:p w14:paraId="50A95611" w14:textId="45293D05"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The amount of waste generated in 2020 has increased in 2021, especially in Bali's Badung area, which is where Six Senses Uluwatu is located. This suggests an increase in the generation of rubbish. Waste is often seen as a useless commodity by industry and society alike. This myth is debunked when people understand and acknowledge that trash has a cost and can affect the environment. Climate change is well documented to have detrimental effects on soil and water growth, biodiversity, pollution, deforestation, and waste of materials and resources from productive applications, among other things (Nizar et al., 2018; Rojas et al., 2021). Improper disposal of the waste created could lead to unpleasant odors, degradation of the environment, and the establishment of disease vectors. This applies to the hotel industry as well, since they offer accommodation in addition to food and drink.</w:t>
      </w:r>
    </w:p>
    <w:p w14:paraId="3C363F62" w14:textId="7A5C6204"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The Six Senses Collaboration with third parties, especially the local community, is one of Uluwatu, Bali's current waste prevention measures. After being transformed into biodiesel, used cooking oil is one of the commodities that is sold again to other groups, like dealers and neighborhood associations. Dealers have a take-back program for chemical containers, space requirements, and bottles as a result. Interchange activities are another kind of action that happens within departments. Unwanted administrative paper is recycled, housekeeping's "out of order" (OO) linen is used as a tote bag, and coffee grounds from the Food &amp; Beverages and Spa departments are traded with internal departments for use as organic garden fertilizer (Amasuomo &amp; Baird, 2016; Bartl, 2014; Pakpahan, 2021).</w:t>
      </w:r>
    </w:p>
    <w:p w14:paraId="5FB9EF45" w14:textId="1E714478"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 xml:space="preserve">Additionally, the staff at Six Senses Uluwatu, Bali receives assistance in understanding and implementing the waste reduction approach. One of the actions taken in this regard, and the first step towards achieving Zero Waste in Six Senses Uluwatu, Bali operations, is providing training. The waste prevention training programs </w:t>
      </w:r>
      <w:r w:rsidRPr="00B84764">
        <w:rPr>
          <w:rFonts w:ascii="Arial" w:hAnsi="Arial" w:cs="Arial"/>
          <w:sz w:val="24"/>
          <w:szCs w:val="24"/>
        </w:rPr>
        <w:lastRenderedPageBreak/>
        <w:t>are divided into two categories: online and offline. To help its employees in the interim, the resort provides offline training that is completed on-site. This activity takes place on the first day of orientation for new staff members and hosts. Employees working in certain departments and hosts alike attend regular training sessions. If no new hosts sign up within the first six months, the training manager will typically schedule a refresher course at least every three months for hosts who have been with the resort for a long time—that is, the last two to three years. The processing of garbage from production to disposal is referred to as "waste management". To cut down on the quantity of waste produced, reuse, recycling, storage, treatment, and/or disposal should all be employed (Balwan, 2022; Piippo et al., 2014; A. U. Zaman, 2017).</w:t>
      </w:r>
    </w:p>
    <w:p w14:paraId="27DD36E6" w14:textId="6F2CA2DF"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Another highlight of the Six Senses Uluwatu in Bali is the Sustainability Department. Environmental management is the purview of this department, which answers to Admin &amp; General. The sustainability division of Six Senses Uluwatu, Bali, is staffed by a manager and an intern. The sustainability manager's responsibility is to evaluate and project the resort's present and future circumstances. He assesses the impact on the health of the surroundings, especially those in close proximity to the business (Ardhanaputra et al., 2019; A. U. Zaman, 2015).</w:t>
      </w:r>
    </w:p>
    <w:p w14:paraId="639E83E3" w14:textId="28195708"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Naturally, in order to lead by example for the sustainability division, other employees must also be aware of the need to preserve the environment. At Six Senses Uluwatu, Bali, one could argue that protecting and preserving the environment is everyone's responsibility. Sadly, there is currently no official policy or letter from Six Senses Uluwatu, Bali that includes a job description imposing duties and responsibilities for environmental protection on each and every employee. Because of this, Six Senses Uluwatu, Bali often arranges events—like plogging and occasionally group organic garden cleanup—that inspire all hosts to participate in environmental preservation (Vasarhelyi, 2017).</w:t>
      </w:r>
    </w:p>
    <w:p w14:paraId="6CC5F16B" w14:textId="3B4D85F8"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 xml:space="preserve">One of the actions Six Senses took in 2019 was to include "green capabilities" explicitly in the job offering. The ability to act with exceptional zeal and in a way that benefits one's immediate surroundings is known as "green competence." At Six Senses Uluwatu, Bali, a job profile is considered a requirement for a particular position. It should go without saying that being a sustainability manager requires having a strong understanding of sustainability issues and the environment. Among the </w:t>
      </w:r>
      <w:r w:rsidRPr="00B84764">
        <w:rPr>
          <w:rFonts w:ascii="Arial" w:hAnsi="Arial" w:cs="Arial"/>
          <w:sz w:val="24"/>
          <w:szCs w:val="24"/>
        </w:rPr>
        <w:lastRenderedPageBreak/>
        <w:t>numerous specialist abilities that comprise the job profile of a sustainability manager is the ability to quantify and analyze the fundamental sustainability indicators, which are waste, water, carbon, and energy. The manager's ability to succeed in their position depends on these abilities. The results of a study conducted by Tourism Business Management in Bali show that the Six Senses Uluwatu in Bali has 100% integrated the green workplace design and analysis function in accordance with the practice provided by Opatha &amp; Arulrajah (2014).</w:t>
      </w:r>
    </w:p>
    <w:p w14:paraId="19B711C7" w14:textId="7FF02878"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Six Senses devised a process called the Training requires Analysis, which looks at whether the company requires training and development programs to improve employee performance. Six Senses Uluwatu, Bali is a hotel that follows a sustainable approach, hence it has objectives and mandatory trainings. With the aid of the training needs analysis, the training manager can monitor the manner in which the trainings have been carried out thus far. To determine each employee's degree of training attendance, the training manager sends out a training requirements analysis every six months. Additionally, based on the analysis of training needs, employees can suggest or add to the list of training courses that should be delivered. Because of the training requirements analysis, the training manager is aware of the level of staff participation in the hotel's training programs. Six Senses Uluwatu, Bali, offers several training courses on culture and sustainability. By looking at the training demands, the training</w:t>
      </w:r>
      <w:r>
        <w:rPr>
          <w:rFonts w:ascii="Arial" w:hAnsi="Arial" w:cs="Arial"/>
          <w:sz w:val="24"/>
          <w:szCs w:val="24"/>
        </w:rPr>
        <w:t xml:space="preserve"> </w:t>
      </w:r>
      <w:r w:rsidRPr="00B84764">
        <w:rPr>
          <w:rFonts w:ascii="Arial" w:hAnsi="Arial" w:cs="Arial"/>
          <w:sz w:val="24"/>
          <w:szCs w:val="24"/>
        </w:rPr>
        <w:t>manager can decide whether or not the training is relevant to each employee's work within the confines of the workplace. Based on the study's findings, it can be concluded that Six Senses Uluwatu, Bali has so far completely embraced green training and development techniques in accordance with Opatha &amp; Arulrajah's (2014) recommendations. It suggests that Six Senses Uluwatu, Bali has begun implementing environmentally friendly training and development methods.</w:t>
      </w:r>
    </w:p>
    <w:p w14:paraId="5289D6E2" w14:textId="1D87BD06"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 xml:space="preserve">The requirement that the chemicals used in Six Senses comply to pre-approved products that were selected to decrease chemical exposure while in use is one example of this. These are products from Ecolab, InnuScience, and Diversey. Six Senses Uluwatu mentioned the Diversey brand as one of the used cleaning products. This action was taken to comply with the rules pertaining to the use of chemicals that require approval from Green Seal, Ecologo, and Greenguard. Thus, the brand is most suited for the environmentally conscious development that Six Senses Uluwatu sought </w:t>
      </w:r>
      <w:r w:rsidRPr="00B84764">
        <w:rPr>
          <w:rFonts w:ascii="Arial" w:hAnsi="Arial" w:cs="Arial"/>
          <w:sz w:val="24"/>
          <w:szCs w:val="24"/>
        </w:rPr>
        <w:lastRenderedPageBreak/>
        <w:t>to implement, which avoided harming ecosystems when using cleaning products on the grounds (Frleta &amp; Zupan, 2020; Khaw-ngern, 2021).</w:t>
      </w:r>
    </w:p>
    <w:p w14:paraId="26C811E6" w14:textId="448ED2D7"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Six Senses Water is another illustration. Any branded or imported drinking water must be swapped out at all Six Senses properties for a manufactured beverage known as Six Senses Water. Rainfall is collected and stored in the residences' water tanks. or from a RO desalination plant or the city's water supply. A reverse osmosis desalination plant, a bottle washer with a water heater and a supply of biodegradable cleaning agents, a carbonator, a mineralizer, UV lighting, a bottling machine (for still and carbonated water), a water tank, and a special water treatment system are all necessary components of Six Senses' drinking water system (Jarman-Walsh, 2019).</w:t>
      </w:r>
    </w:p>
    <w:p w14:paraId="525D3AC4" w14:textId="3B423F3D"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Long-term advantages of organic farming include improved human and environmental health. Because organic farming methods concentrate on building safe and clean water systems, eliminating diseases and pests without affecting the environment, boosting soil fertility over time, and providing wholesome food, they are significantly more sustainable than other agricultural practices. Water conservation could also be emphasized in organic farming. by employing both water from treated greywater and water that is readily available locally. According to Matete and Trois (2008), the property's utilized water, such as from sink and bathroom drains, is the source of the graywater.</w:t>
      </w:r>
    </w:p>
    <w:p w14:paraId="05A89699" w14:textId="7780DC33"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The Six Senses Uluwatu, Bali has started using green HRM, based on the findings of the investigation and debate of the topic. The hotel's attempts to enhance its environmental performance are bolstered by these findings. Although it is constantly being examined and improved, there is already a process in place for implementing green HRM. Green HR management requires assistance from other staff members in addition to the HR department in order to achieve its goals. Green HRM has helped Six Senses Uluwatu, Bali achieve better environmental performance, yet there is always potential for development.</w:t>
      </w:r>
    </w:p>
    <w:p w14:paraId="1501FD1B" w14:textId="258C96F3"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 xml:space="preserve">Every department of Six Senses Uluwatu, Bali, has adopted the zero-waste philosophy. To make the idea a reality, a few things must still be considered, such as plastic waste brought by visitors and hazardous material that cannot be disposed of on the land. Since the sustainability department is responsible for advising all other departments on how to integrate sustainability into their operations in accordance with </w:t>
      </w:r>
      <w:r w:rsidRPr="00B84764">
        <w:rPr>
          <w:rFonts w:ascii="Arial" w:hAnsi="Arial" w:cs="Arial"/>
          <w:sz w:val="24"/>
          <w:szCs w:val="24"/>
        </w:rPr>
        <w:lastRenderedPageBreak/>
        <w:t>corporate requirements, it has made the most progress in putting the zero-waste idea into practice. Waste management, water use, and energy consumption at Six Senses Uluwatu are all kept under control to the extent that a sustainable solution is discovered. by engaging with surrounding communities, supporting local company owners, and protecting cultural assets. Six Senses Uluwatu has completely incorporated each of the four key themes: sustainable management, social/economic, cultural heritage, and environmental, as well as the metrics related to each subject.</w:t>
      </w:r>
    </w:p>
    <w:p w14:paraId="0857A331" w14:textId="77777777" w:rsidR="00B84764" w:rsidRPr="00B84764" w:rsidRDefault="00B84764" w:rsidP="00D96DF8">
      <w:pPr>
        <w:spacing w:line="360" w:lineRule="auto"/>
        <w:ind w:firstLine="708"/>
        <w:jc w:val="both"/>
        <w:rPr>
          <w:rFonts w:ascii="Arial" w:hAnsi="Arial" w:cs="Arial"/>
          <w:sz w:val="24"/>
          <w:szCs w:val="24"/>
        </w:rPr>
      </w:pPr>
      <w:r w:rsidRPr="00B84764">
        <w:rPr>
          <w:rFonts w:ascii="Arial" w:hAnsi="Arial" w:cs="Arial"/>
          <w:sz w:val="24"/>
          <w:szCs w:val="24"/>
        </w:rPr>
        <w:t>It is safe to state that Six Senses Uluwatu, Bali qualifies for Green Globe Standard accreditation as a green hotel based on the implementation Six Senses Uluwatu has been performing since the beginning and the advancements made up to this point.</w:t>
      </w:r>
    </w:p>
    <w:p w14:paraId="251C52FD" w14:textId="77777777" w:rsidR="00B84764" w:rsidRPr="00B84764" w:rsidRDefault="00B84764" w:rsidP="00B84764">
      <w:pPr>
        <w:spacing w:line="360" w:lineRule="auto"/>
        <w:jc w:val="both"/>
        <w:rPr>
          <w:rFonts w:ascii="Arial" w:hAnsi="Arial" w:cs="Arial"/>
          <w:sz w:val="24"/>
          <w:szCs w:val="24"/>
        </w:rPr>
      </w:pPr>
    </w:p>
    <w:p w14:paraId="4AA872A0" w14:textId="77777777" w:rsidR="00B84764" w:rsidRPr="00B84764" w:rsidRDefault="00B84764" w:rsidP="00B84764">
      <w:pPr>
        <w:spacing w:line="360" w:lineRule="auto"/>
        <w:jc w:val="both"/>
        <w:rPr>
          <w:rFonts w:ascii="Arial" w:hAnsi="Arial" w:cs="Arial"/>
          <w:sz w:val="24"/>
          <w:szCs w:val="24"/>
        </w:rPr>
      </w:pPr>
    </w:p>
    <w:p w14:paraId="12A8C8E3" w14:textId="363B6709" w:rsidR="0032684F" w:rsidRDefault="0032684F" w:rsidP="00B84764">
      <w:pPr>
        <w:spacing w:line="360" w:lineRule="auto"/>
        <w:jc w:val="both"/>
        <w:rPr>
          <w:rFonts w:ascii="Arial" w:hAnsi="Arial" w:cs="Arial"/>
          <w:sz w:val="24"/>
          <w:szCs w:val="24"/>
        </w:rPr>
      </w:pPr>
    </w:p>
    <w:p w14:paraId="1FEC9173" w14:textId="51949FB3" w:rsidR="00B84764" w:rsidRDefault="00B84764" w:rsidP="00B84764">
      <w:pPr>
        <w:spacing w:line="360" w:lineRule="auto"/>
        <w:jc w:val="both"/>
        <w:rPr>
          <w:rFonts w:ascii="Arial" w:hAnsi="Arial" w:cs="Arial"/>
          <w:sz w:val="24"/>
          <w:szCs w:val="24"/>
        </w:rPr>
      </w:pPr>
    </w:p>
    <w:p w14:paraId="4DBF7556" w14:textId="45053FE1" w:rsidR="00B84764" w:rsidRDefault="00B84764" w:rsidP="00B84764">
      <w:pPr>
        <w:spacing w:line="360" w:lineRule="auto"/>
        <w:jc w:val="both"/>
        <w:rPr>
          <w:rFonts w:ascii="Arial" w:hAnsi="Arial" w:cs="Arial"/>
          <w:sz w:val="24"/>
          <w:szCs w:val="24"/>
        </w:rPr>
      </w:pPr>
    </w:p>
    <w:p w14:paraId="75707A32" w14:textId="770CB9BC" w:rsidR="00B84764" w:rsidRDefault="00B84764" w:rsidP="00B84764">
      <w:pPr>
        <w:spacing w:line="360" w:lineRule="auto"/>
        <w:jc w:val="both"/>
        <w:rPr>
          <w:rFonts w:ascii="Arial" w:hAnsi="Arial" w:cs="Arial"/>
          <w:sz w:val="24"/>
          <w:szCs w:val="24"/>
        </w:rPr>
      </w:pPr>
    </w:p>
    <w:p w14:paraId="3E3E5EF4" w14:textId="79CD81A4" w:rsidR="00B84764" w:rsidRDefault="00B84764" w:rsidP="00B84764">
      <w:pPr>
        <w:spacing w:line="360" w:lineRule="auto"/>
        <w:jc w:val="both"/>
        <w:rPr>
          <w:rFonts w:ascii="Arial" w:hAnsi="Arial" w:cs="Arial"/>
          <w:sz w:val="24"/>
          <w:szCs w:val="24"/>
        </w:rPr>
      </w:pPr>
    </w:p>
    <w:p w14:paraId="5BF369F6" w14:textId="2434E619" w:rsidR="00B84764" w:rsidRDefault="00B84764" w:rsidP="00B84764">
      <w:pPr>
        <w:spacing w:line="360" w:lineRule="auto"/>
        <w:jc w:val="both"/>
        <w:rPr>
          <w:rFonts w:ascii="Arial" w:hAnsi="Arial" w:cs="Arial"/>
          <w:sz w:val="24"/>
          <w:szCs w:val="24"/>
        </w:rPr>
      </w:pPr>
    </w:p>
    <w:p w14:paraId="1C6C1DDB" w14:textId="7AC22D0D" w:rsidR="00B84764" w:rsidRDefault="00B84764" w:rsidP="00B84764">
      <w:pPr>
        <w:spacing w:line="360" w:lineRule="auto"/>
        <w:jc w:val="both"/>
        <w:rPr>
          <w:rFonts w:ascii="Arial" w:hAnsi="Arial" w:cs="Arial"/>
          <w:sz w:val="24"/>
          <w:szCs w:val="24"/>
        </w:rPr>
      </w:pPr>
    </w:p>
    <w:p w14:paraId="06474B68" w14:textId="782475AC" w:rsidR="00B84764" w:rsidRDefault="00B84764" w:rsidP="00B84764">
      <w:pPr>
        <w:spacing w:line="360" w:lineRule="auto"/>
        <w:jc w:val="both"/>
        <w:rPr>
          <w:rFonts w:ascii="Arial" w:hAnsi="Arial" w:cs="Arial"/>
          <w:sz w:val="24"/>
          <w:szCs w:val="24"/>
        </w:rPr>
      </w:pPr>
    </w:p>
    <w:p w14:paraId="29C33DB9" w14:textId="4223ADF6" w:rsidR="00B84764" w:rsidRDefault="00B84764" w:rsidP="00B84764">
      <w:pPr>
        <w:spacing w:line="360" w:lineRule="auto"/>
        <w:jc w:val="both"/>
        <w:rPr>
          <w:rFonts w:ascii="Arial" w:hAnsi="Arial" w:cs="Arial"/>
          <w:sz w:val="24"/>
          <w:szCs w:val="24"/>
        </w:rPr>
      </w:pPr>
    </w:p>
    <w:p w14:paraId="6DD58258" w14:textId="32F64ADA" w:rsidR="00B84764" w:rsidRDefault="00B84764" w:rsidP="00B84764">
      <w:pPr>
        <w:spacing w:line="360" w:lineRule="auto"/>
        <w:jc w:val="both"/>
        <w:rPr>
          <w:rFonts w:ascii="Arial" w:hAnsi="Arial" w:cs="Arial"/>
          <w:sz w:val="24"/>
          <w:szCs w:val="24"/>
        </w:rPr>
      </w:pPr>
    </w:p>
    <w:p w14:paraId="2DA261CA" w14:textId="498E5EFE" w:rsidR="00B84764" w:rsidRDefault="00B84764" w:rsidP="00B84764">
      <w:pPr>
        <w:spacing w:line="360" w:lineRule="auto"/>
        <w:jc w:val="both"/>
        <w:rPr>
          <w:rFonts w:ascii="Arial" w:hAnsi="Arial" w:cs="Arial"/>
          <w:sz w:val="24"/>
          <w:szCs w:val="24"/>
        </w:rPr>
      </w:pPr>
    </w:p>
    <w:p w14:paraId="75DF2397" w14:textId="0C655896" w:rsidR="00B84764" w:rsidRDefault="00B84764" w:rsidP="00B84764">
      <w:pPr>
        <w:spacing w:line="360" w:lineRule="auto"/>
        <w:jc w:val="both"/>
        <w:rPr>
          <w:rFonts w:ascii="Arial" w:hAnsi="Arial" w:cs="Arial"/>
          <w:sz w:val="24"/>
          <w:szCs w:val="24"/>
        </w:rPr>
      </w:pPr>
    </w:p>
    <w:p w14:paraId="2704285E" w14:textId="658D68A0" w:rsidR="00B84764" w:rsidRDefault="00B84764" w:rsidP="00B84764">
      <w:pPr>
        <w:spacing w:line="360" w:lineRule="auto"/>
        <w:jc w:val="both"/>
        <w:rPr>
          <w:rFonts w:ascii="Arial" w:hAnsi="Arial" w:cs="Arial"/>
          <w:sz w:val="24"/>
          <w:szCs w:val="24"/>
        </w:rPr>
      </w:pPr>
    </w:p>
    <w:p w14:paraId="7CF3B117" w14:textId="2BDDBFEF" w:rsidR="00B84764" w:rsidRDefault="00B84764" w:rsidP="00B84764">
      <w:pPr>
        <w:spacing w:line="360" w:lineRule="auto"/>
        <w:jc w:val="both"/>
        <w:rPr>
          <w:rFonts w:ascii="Arial" w:hAnsi="Arial" w:cs="Arial"/>
          <w:sz w:val="24"/>
          <w:szCs w:val="24"/>
        </w:rPr>
      </w:pPr>
    </w:p>
    <w:p w14:paraId="751901F9" w14:textId="5B6D989A" w:rsidR="00B84764" w:rsidRDefault="00B84764" w:rsidP="00B84764">
      <w:pPr>
        <w:spacing w:line="360" w:lineRule="auto"/>
        <w:jc w:val="both"/>
        <w:rPr>
          <w:rFonts w:ascii="Arial" w:hAnsi="Arial" w:cs="Arial"/>
          <w:sz w:val="24"/>
          <w:szCs w:val="24"/>
        </w:rPr>
      </w:pPr>
    </w:p>
    <w:p w14:paraId="73826587"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 xml:space="preserve">Amasuomo, E., &amp; Baird, J. (2016). “The Concept of Waste and Waste Management”. Journal of Management and Sustainability, 6(4), 88. Available at: </w:t>
      </w:r>
      <w:hyperlink r:id="rId5" w:history="1">
        <w:r w:rsidRPr="00B91335">
          <w:rPr>
            <w:rStyle w:val="Hyperlink"/>
            <w:rFonts w:ascii="Arial" w:eastAsia="Times New Roman" w:hAnsi="Arial" w:cs="Arial"/>
            <w:sz w:val="24"/>
            <w:szCs w:val="24"/>
            <w:lang w:eastAsia="en-GB"/>
          </w:rPr>
          <w:t>https://doi.org/10.5539/jms.v6n4p88</w:t>
        </w:r>
      </w:hyperlink>
      <w:r w:rsidRPr="00B91335">
        <w:rPr>
          <w:rFonts w:ascii="Arial" w:eastAsia="Times New Roman" w:hAnsi="Arial" w:cs="Arial"/>
          <w:color w:val="222222"/>
          <w:sz w:val="24"/>
          <w:szCs w:val="24"/>
          <w:lang w:eastAsia="en-GB"/>
        </w:rPr>
        <w:t xml:space="preserve"> (Accessed: 15 October 2024).</w:t>
      </w:r>
    </w:p>
    <w:p w14:paraId="6C7DD70A"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proofErr w:type="spellStart"/>
      <w:r w:rsidRPr="00B91335">
        <w:rPr>
          <w:rFonts w:ascii="Arial" w:eastAsia="Times New Roman" w:hAnsi="Arial" w:cs="Arial"/>
          <w:color w:val="222222"/>
          <w:sz w:val="24"/>
          <w:szCs w:val="24"/>
          <w:lang w:eastAsia="en-GB"/>
        </w:rPr>
        <w:t>Ardhanaputra</w:t>
      </w:r>
      <w:proofErr w:type="spellEnd"/>
      <w:r w:rsidRPr="00B91335">
        <w:rPr>
          <w:rFonts w:ascii="Arial" w:eastAsia="Times New Roman" w:hAnsi="Arial" w:cs="Arial"/>
          <w:color w:val="222222"/>
          <w:sz w:val="24"/>
          <w:szCs w:val="24"/>
          <w:lang w:eastAsia="en-GB"/>
        </w:rPr>
        <w:t xml:space="preserve">, M. I., Ridwan, A. Y., &amp; Akbar, M. D. (2019). </w:t>
      </w:r>
      <w:proofErr w:type="spellStart"/>
      <w:r w:rsidRPr="00B91335">
        <w:rPr>
          <w:rFonts w:ascii="Arial" w:eastAsia="Times New Roman" w:hAnsi="Arial" w:cs="Arial"/>
          <w:color w:val="222222"/>
          <w:sz w:val="24"/>
          <w:szCs w:val="24"/>
          <w:lang w:eastAsia="en-GB"/>
        </w:rPr>
        <w:t>Pengembangan</w:t>
      </w:r>
      <w:proofErr w:type="spellEnd"/>
      <w:r w:rsidRPr="00B91335">
        <w:rPr>
          <w:rFonts w:ascii="Arial" w:eastAsia="Times New Roman" w:hAnsi="Arial" w:cs="Arial"/>
          <w:color w:val="222222"/>
          <w:sz w:val="24"/>
          <w:szCs w:val="24"/>
          <w:lang w:eastAsia="en-GB"/>
        </w:rPr>
        <w:t xml:space="preserve"> Sistem Monitoring </w:t>
      </w:r>
      <w:proofErr w:type="spellStart"/>
      <w:r w:rsidRPr="00B91335">
        <w:rPr>
          <w:rFonts w:ascii="Arial" w:eastAsia="Times New Roman" w:hAnsi="Arial" w:cs="Arial"/>
          <w:color w:val="222222"/>
          <w:sz w:val="24"/>
          <w:szCs w:val="24"/>
          <w:lang w:eastAsia="en-GB"/>
        </w:rPr>
        <w:t>Indikator</w:t>
      </w:r>
      <w:proofErr w:type="spellEnd"/>
      <w:r w:rsidRPr="00B91335">
        <w:rPr>
          <w:rFonts w:ascii="Arial" w:eastAsia="Times New Roman" w:hAnsi="Arial" w:cs="Arial"/>
          <w:color w:val="222222"/>
          <w:sz w:val="24"/>
          <w:szCs w:val="24"/>
          <w:lang w:eastAsia="en-GB"/>
        </w:rPr>
        <w:t xml:space="preserve"> Kinerja Sustainable Distribution </w:t>
      </w:r>
      <w:proofErr w:type="spellStart"/>
      <w:r w:rsidRPr="00B91335">
        <w:rPr>
          <w:rFonts w:ascii="Arial" w:eastAsia="Times New Roman" w:hAnsi="Arial" w:cs="Arial"/>
          <w:color w:val="222222"/>
          <w:sz w:val="24"/>
          <w:szCs w:val="24"/>
          <w:lang w:eastAsia="en-GB"/>
        </w:rPr>
        <w:t>Berbasis</w:t>
      </w:r>
      <w:proofErr w:type="spellEnd"/>
      <w:r w:rsidRPr="00B91335">
        <w:rPr>
          <w:rFonts w:ascii="Arial" w:eastAsia="Times New Roman" w:hAnsi="Arial" w:cs="Arial"/>
          <w:color w:val="222222"/>
          <w:sz w:val="24"/>
          <w:szCs w:val="24"/>
          <w:lang w:eastAsia="en-GB"/>
        </w:rPr>
        <w:t xml:space="preserve"> Model Scor Pada </w:t>
      </w:r>
      <w:proofErr w:type="spellStart"/>
      <w:r w:rsidRPr="00B91335">
        <w:rPr>
          <w:rFonts w:ascii="Arial" w:eastAsia="Times New Roman" w:hAnsi="Arial" w:cs="Arial"/>
          <w:color w:val="222222"/>
          <w:sz w:val="24"/>
          <w:szCs w:val="24"/>
          <w:lang w:eastAsia="en-GB"/>
        </w:rPr>
        <w:t>Industri</w:t>
      </w:r>
      <w:proofErr w:type="spellEnd"/>
      <w:r w:rsidRPr="00B91335">
        <w:rPr>
          <w:rFonts w:ascii="Arial" w:eastAsia="Times New Roman" w:hAnsi="Arial" w:cs="Arial"/>
          <w:color w:val="222222"/>
          <w:sz w:val="24"/>
          <w:szCs w:val="24"/>
          <w:lang w:eastAsia="en-GB"/>
        </w:rPr>
        <w:t xml:space="preserve"> Penyamakan </w:t>
      </w:r>
      <w:proofErr w:type="spellStart"/>
      <w:r w:rsidRPr="00B91335">
        <w:rPr>
          <w:rFonts w:ascii="Arial" w:eastAsia="Times New Roman" w:hAnsi="Arial" w:cs="Arial"/>
          <w:color w:val="222222"/>
          <w:sz w:val="24"/>
          <w:szCs w:val="24"/>
          <w:lang w:eastAsia="en-GB"/>
        </w:rPr>
        <w:t>Kulit</w:t>
      </w:r>
      <w:proofErr w:type="spellEnd"/>
      <w:r w:rsidRPr="00B91335">
        <w:rPr>
          <w:rFonts w:ascii="Arial" w:eastAsia="Times New Roman" w:hAnsi="Arial" w:cs="Arial"/>
          <w:color w:val="222222"/>
          <w:sz w:val="24"/>
          <w:szCs w:val="24"/>
          <w:lang w:eastAsia="en-GB"/>
        </w:rPr>
        <w:t>. JISI (</w:t>
      </w:r>
      <w:proofErr w:type="spellStart"/>
      <w:r w:rsidRPr="00B91335">
        <w:rPr>
          <w:rFonts w:ascii="Arial" w:eastAsia="Times New Roman" w:hAnsi="Arial" w:cs="Arial"/>
          <w:color w:val="222222"/>
          <w:sz w:val="24"/>
          <w:szCs w:val="24"/>
          <w:lang w:eastAsia="en-GB"/>
        </w:rPr>
        <w:t>Jurnal</w:t>
      </w:r>
      <w:proofErr w:type="spellEnd"/>
      <w:r w:rsidRPr="00B91335">
        <w:rPr>
          <w:rFonts w:ascii="Arial" w:eastAsia="Times New Roman" w:hAnsi="Arial" w:cs="Arial"/>
          <w:color w:val="222222"/>
          <w:sz w:val="24"/>
          <w:szCs w:val="24"/>
          <w:lang w:eastAsia="en-GB"/>
        </w:rPr>
        <w:t xml:space="preserve"> Integrasi Sistem </w:t>
      </w:r>
      <w:proofErr w:type="spellStart"/>
      <w:r w:rsidRPr="00B91335">
        <w:rPr>
          <w:rFonts w:ascii="Arial" w:eastAsia="Times New Roman" w:hAnsi="Arial" w:cs="Arial"/>
          <w:color w:val="222222"/>
          <w:sz w:val="24"/>
          <w:szCs w:val="24"/>
          <w:lang w:eastAsia="en-GB"/>
        </w:rPr>
        <w:t>Industri</w:t>
      </w:r>
      <w:proofErr w:type="spellEnd"/>
      <w:r w:rsidRPr="00B91335">
        <w:rPr>
          <w:rFonts w:ascii="Arial" w:eastAsia="Times New Roman" w:hAnsi="Arial" w:cs="Arial"/>
          <w:color w:val="222222"/>
          <w:sz w:val="24"/>
          <w:szCs w:val="24"/>
          <w:lang w:eastAsia="en-GB"/>
        </w:rPr>
        <w:t xml:space="preserve">), 6(1), 20–28. Available at: </w:t>
      </w:r>
      <w:hyperlink r:id="rId6" w:history="1">
        <w:r w:rsidRPr="00B91335">
          <w:rPr>
            <w:rStyle w:val="Hyperlink"/>
            <w:rFonts w:ascii="Arial" w:eastAsia="Times New Roman" w:hAnsi="Arial" w:cs="Arial"/>
            <w:sz w:val="24"/>
            <w:szCs w:val="24"/>
            <w:lang w:eastAsia="en-GB"/>
          </w:rPr>
          <w:t>https://doi.org/10.24853/jisi.6.1.19-28</w:t>
        </w:r>
      </w:hyperlink>
      <w:r w:rsidRPr="00B91335">
        <w:rPr>
          <w:rFonts w:ascii="Arial" w:eastAsia="Times New Roman" w:hAnsi="Arial" w:cs="Arial"/>
          <w:color w:val="222222"/>
          <w:sz w:val="24"/>
          <w:szCs w:val="24"/>
          <w:lang w:eastAsia="en-GB"/>
        </w:rPr>
        <w:t xml:space="preserve"> (Accessed: 15 October 2024).</w:t>
      </w:r>
    </w:p>
    <w:p w14:paraId="32AF8329"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Balwan, W. K. (2022). “5</w:t>
      </w:r>
      <w:proofErr w:type="gramStart"/>
      <w:r w:rsidRPr="00B91335">
        <w:rPr>
          <w:rFonts w:ascii="Arial" w:eastAsia="Times New Roman" w:hAnsi="Arial" w:cs="Arial"/>
          <w:color w:val="222222"/>
          <w:sz w:val="24"/>
          <w:szCs w:val="24"/>
          <w:lang w:eastAsia="en-GB"/>
        </w:rPr>
        <w:t>R ’</w:t>
      </w:r>
      <w:proofErr w:type="gramEnd"/>
      <w:r w:rsidRPr="00B91335">
        <w:rPr>
          <w:rFonts w:ascii="Arial" w:eastAsia="Times New Roman" w:hAnsi="Arial" w:cs="Arial"/>
          <w:color w:val="222222"/>
          <w:sz w:val="24"/>
          <w:szCs w:val="24"/>
          <w:lang w:eastAsia="en-GB"/>
        </w:rPr>
        <w:t xml:space="preserve"> s of Zero Waste Management to save our green planet : A Narrative review”.</w:t>
      </w:r>
    </w:p>
    <w:p w14:paraId="12477E5C"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 xml:space="preserve">Bartl, A. (2014). Moving from recycling to waste prevention: A review of barriers and enables | Enhanced Reader. Waste Management &amp; Research, 32(9). Available at: </w:t>
      </w:r>
      <w:hyperlink r:id="rId7" w:history="1">
        <w:r w:rsidRPr="00B91335">
          <w:rPr>
            <w:rStyle w:val="Hyperlink"/>
            <w:rFonts w:ascii="Arial" w:eastAsia="Times New Roman" w:hAnsi="Arial" w:cs="Arial"/>
            <w:sz w:val="24"/>
            <w:szCs w:val="24"/>
            <w:lang w:eastAsia="en-GB"/>
          </w:rPr>
          <w:t>https://doi.org/10.1177/0734242X14541986</w:t>
        </w:r>
      </w:hyperlink>
      <w:r w:rsidRPr="00B91335">
        <w:rPr>
          <w:rFonts w:ascii="Arial" w:eastAsia="Times New Roman" w:hAnsi="Arial" w:cs="Arial"/>
          <w:color w:val="222222"/>
          <w:sz w:val="24"/>
          <w:szCs w:val="24"/>
          <w:lang w:eastAsia="en-GB"/>
        </w:rPr>
        <w:t xml:space="preserve"> (Accessed: 15 October 2024).</w:t>
      </w:r>
    </w:p>
    <w:p w14:paraId="5BC74751"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proofErr w:type="spellStart"/>
      <w:r w:rsidRPr="00B91335">
        <w:rPr>
          <w:rFonts w:ascii="Arial" w:eastAsia="Times New Roman" w:hAnsi="Arial" w:cs="Arial"/>
          <w:color w:val="222222"/>
          <w:sz w:val="24"/>
          <w:szCs w:val="24"/>
          <w:lang w:eastAsia="en-GB"/>
        </w:rPr>
        <w:t>Frleta</w:t>
      </w:r>
      <w:proofErr w:type="spellEnd"/>
      <w:r w:rsidRPr="00B91335">
        <w:rPr>
          <w:rFonts w:ascii="Arial" w:eastAsia="Times New Roman" w:hAnsi="Arial" w:cs="Arial"/>
          <w:color w:val="222222"/>
          <w:sz w:val="24"/>
          <w:szCs w:val="24"/>
          <w:lang w:eastAsia="en-GB"/>
        </w:rPr>
        <w:t xml:space="preserve">, D. S., &amp; Zupan, D. (2020). “Zero Waste Concept in Tourism”. 51 St International Scientific Conference on Economic and Social Development </w:t>
      </w:r>
      <w:proofErr w:type="spellStart"/>
      <w:r w:rsidRPr="00B91335">
        <w:rPr>
          <w:rFonts w:ascii="Arial" w:eastAsia="Times New Roman" w:hAnsi="Arial" w:cs="Arial"/>
          <w:color w:val="222222"/>
          <w:sz w:val="24"/>
          <w:szCs w:val="24"/>
          <w:lang w:eastAsia="en-GB"/>
        </w:rPr>
        <w:t>Development</w:t>
      </w:r>
      <w:proofErr w:type="spellEnd"/>
      <w:r w:rsidRPr="00B91335">
        <w:rPr>
          <w:rFonts w:ascii="Arial" w:eastAsia="Times New Roman" w:hAnsi="Arial" w:cs="Arial"/>
          <w:color w:val="222222"/>
          <w:sz w:val="24"/>
          <w:szCs w:val="24"/>
          <w:lang w:eastAsia="en-GB"/>
        </w:rPr>
        <w:t>, 16, 157–167.</w:t>
      </w:r>
    </w:p>
    <w:p w14:paraId="0707DB9A"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 xml:space="preserve">Grecu, V. (2015). “The Sustainable University - A Model for the Sustainable </w:t>
      </w:r>
    </w:p>
    <w:p w14:paraId="53804902" w14:textId="77777777" w:rsidR="00B84764" w:rsidRPr="00B91335" w:rsidRDefault="00B84764" w:rsidP="00B84764">
      <w:pPr>
        <w:pStyle w:val="ListParagraph"/>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Organization”. Management of Sustainable Development Sibiu.</w:t>
      </w:r>
    </w:p>
    <w:p w14:paraId="7B7DB60D"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Jamir I. (2020) “</w:t>
      </w:r>
      <w:r w:rsidRPr="00B91335">
        <w:rPr>
          <w:rFonts w:ascii="Arial" w:eastAsia="Times New Roman" w:hAnsi="Arial" w:cs="Arial"/>
          <w:i/>
          <w:iCs/>
          <w:color w:val="222222"/>
          <w:sz w:val="24"/>
          <w:szCs w:val="24"/>
          <w:lang w:eastAsia="en-GB"/>
        </w:rPr>
        <w:t xml:space="preserve">CSR Practices </w:t>
      </w:r>
      <w:proofErr w:type="gramStart"/>
      <w:r w:rsidRPr="00B91335">
        <w:rPr>
          <w:rFonts w:ascii="Arial" w:eastAsia="Times New Roman" w:hAnsi="Arial" w:cs="Arial"/>
          <w:i/>
          <w:iCs/>
          <w:color w:val="222222"/>
          <w:sz w:val="24"/>
          <w:szCs w:val="24"/>
          <w:lang w:eastAsia="en-GB"/>
        </w:rPr>
        <w:t>In</w:t>
      </w:r>
      <w:proofErr w:type="gramEnd"/>
      <w:r w:rsidRPr="00B91335">
        <w:rPr>
          <w:rFonts w:ascii="Arial" w:eastAsia="Times New Roman" w:hAnsi="Arial" w:cs="Arial"/>
          <w:i/>
          <w:iCs/>
          <w:color w:val="222222"/>
          <w:sz w:val="24"/>
          <w:szCs w:val="24"/>
          <w:lang w:eastAsia="en-GB"/>
        </w:rPr>
        <w:t xml:space="preserve"> The Hospitality Industry</w:t>
      </w:r>
      <w:r w:rsidRPr="00B91335">
        <w:rPr>
          <w:rFonts w:ascii="Arial" w:eastAsia="Times New Roman" w:hAnsi="Arial" w:cs="Arial"/>
          <w:color w:val="222222"/>
          <w:sz w:val="24"/>
          <w:szCs w:val="24"/>
          <w:lang w:eastAsia="en-GB"/>
        </w:rPr>
        <w:t xml:space="preserve">” [blog]. 23 October. Available at: </w:t>
      </w:r>
      <w:hyperlink r:id="rId8" w:history="1">
        <w:r w:rsidRPr="00B91335">
          <w:rPr>
            <w:rStyle w:val="Hyperlink"/>
            <w:rFonts w:ascii="Arial" w:eastAsia="Times New Roman" w:hAnsi="Arial" w:cs="Arial"/>
            <w:sz w:val="24"/>
            <w:szCs w:val="24"/>
            <w:lang w:eastAsia="en-GB"/>
          </w:rPr>
          <w:t>https://ruralhandmade.com/blog/csr-practices-in-the-hospitality-industry</w:t>
        </w:r>
      </w:hyperlink>
      <w:r w:rsidRPr="00B91335">
        <w:rPr>
          <w:rFonts w:ascii="Arial" w:eastAsia="Times New Roman" w:hAnsi="Arial" w:cs="Arial"/>
          <w:color w:val="222222"/>
          <w:sz w:val="24"/>
          <w:szCs w:val="24"/>
          <w:lang w:eastAsia="en-GB"/>
        </w:rPr>
        <w:t xml:space="preserve"> (Accessed: 14 October 2024).</w:t>
      </w:r>
    </w:p>
    <w:p w14:paraId="20BE193F"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 xml:space="preserve">Jarman-Walsh, J. (2019). Foundations of Zero-Waste Lead to Sustainable Tourism Success: The Case of </w:t>
      </w:r>
      <w:proofErr w:type="spellStart"/>
      <w:r w:rsidRPr="00B91335">
        <w:rPr>
          <w:rFonts w:ascii="Arial" w:eastAsia="Times New Roman" w:hAnsi="Arial" w:cs="Arial"/>
          <w:color w:val="222222"/>
          <w:sz w:val="24"/>
          <w:szCs w:val="24"/>
          <w:lang w:eastAsia="en-GB"/>
        </w:rPr>
        <w:t>Kamikatsu</w:t>
      </w:r>
      <w:proofErr w:type="spellEnd"/>
      <w:r w:rsidRPr="00B91335">
        <w:rPr>
          <w:rFonts w:ascii="Arial" w:eastAsia="Times New Roman" w:hAnsi="Arial" w:cs="Arial"/>
          <w:color w:val="222222"/>
          <w:sz w:val="24"/>
          <w:szCs w:val="24"/>
          <w:lang w:eastAsia="en-GB"/>
        </w:rPr>
        <w:t xml:space="preserve">. Journal of Yasuda Women’s University, 47, 249–260. Available at: </w:t>
      </w:r>
      <w:hyperlink r:id="rId9" w:history="1">
        <w:r w:rsidRPr="00B91335">
          <w:rPr>
            <w:rStyle w:val="Hyperlink"/>
            <w:rFonts w:ascii="Arial" w:eastAsia="Times New Roman" w:hAnsi="Arial" w:cs="Arial"/>
            <w:sz w:val="24"/>
            <w:szCs w:val="24"/>
            <w:lang w:eastAsia="en-GB"/>
          </w:rPr>
          <w:t>https://yasuda-u.repo.nii.ac.jp/?action=pages_view_main&amp;active_action=repository_view_main_item_detail&amp;item_id=458&amp;item_no=1&amp;page_id=13&amp;block_id=35</w:t>
        </w:r>
      </w:hyperlink>
      <w:r w:rsidRPr="00B91335">
        <w:rPr>
          <w:rFonts w:ascii="Arial" w:eastAsia="Times New Roman" w:hAnsi="Arial" w:cs="Arial"/>
          <w:color w:val="222222"/>
          <w:sz w:val="24"/>
          <w:szCs w:val="24"/>
          <w:lang w:eastAsia="en-GB"/>
        </w:rPr>
        <w:t xml:space="preserve"> (Accessed: 14 October 2024).</w:t>
      </w:r>
    </w:p>
    <w:p w14:paraId="37DB3791"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Khaw-</w:t>
      </w:r>
      <w:proofErr w:type="spellStart"/>
      <w:r w:rsidRPr="00B91335">
        <w:rPr>
          <w:rFonts w:ascii="Arial" w:eastAsia="Times New Roman" w:hAnsi="Arial" w:cs="Arial"/>
          <w:color w:val="222222"/>
          <w:sz w:val="24"/>
          <w:szCs w:val="24"/>
          <w:lang w:eastAsia="en-GB"/>
        </w:rPr>
        <w:t>ngern</w:t>
      </w:r>
      <w:proofErr w:type="spellEnd"/>
      <w:r w:rsidRPr="00B91335">
        <w:rPr>
          <w:rFonts w:ascii="Arial" w:eastAsia="Times New Roman" w:hAnsi="Arial" w:cs="Arial"/>
          <w:color w:val="222222"/>
          <w:sz w:val="24"/>
          <w:szCs w:val="24"/>
          <w:lang w:eastAsia="en-GB"/>
        </w:rPr>
        <w:t xml:space="preserve">, C. (2021). Circular Economy: A milestone for Zero Waste Municipality. Psychology and Education Journal, 58(1), 1418–1424. Available at: </w:t>
      </w:r>
      <w:hyperlink r:id="rId10" w:history="1">
        <w:r w:rsidRPr="00B91335">
          <w:rPr>
            <w:rStyle w:val="Hyperlink"/>
            <w:rFonts w:ascii="Arial" w:eastAsia="Times New Roman" w:hAnsi="Arial" w:cs="Arial"/>
            <w:sz w:val="24"/>
            <w:szCs w:val="24"/>
            <w:lang w:eastAsia="en-GB"/>
          </w:rPr>
          <w:t>https://pdfs.semanticscholar.org/9e7d/799a3cfcb7ff0b7992818b99601e3016e3f8.pdf</w:t>
        </w:r>
      </w:hyperlink>
      <w:r w:rsidRPr="00B91335">
        <w:rPr>
          <w:rFonts w:ascii="Arial" w:eastAsia="Times New Roman" w:hAnsi="Arial" w:cs="Arial"/>
          <w:color w:val="222222"/>
          <w:sz w:val="24"/>
          <w:szCs w:val="24"/>
          <w:lang w:eastAsia="en-GB"/>
        </w:rPr>
        <w:t>. (Accessed: 15 October 2024).</w:t>
      </w:r>
    </w:p>
    <w:p w14:paraId="6FEF798F"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Kuhlman T.(2010) “</w:t>
      </w:r>
      <w:r w:rsidRPr="00B91335">
        <w:rPr>
          <w:rFonts w:ascii="Arial" w:eastAsia="Times New Roman" w:hAnsi="Arial" w:cs="Arial"/>
          <w:i/>
          <w:iCs/>
          <w:color w:val="222222"/>
          <w:sz w:val="24"/>
          <w:szCs w:val="24"/>
          <w:lang w:eastAsia="en-GB"/>
        </w:rPr>
        <w:t>What is Sustainability</w:t>
      </w:r>
      <w:r w:rsidRPr="00B91335">
        <w:rPr>
          <w:rFonts w:ascii="Arial" w:eastAsia="Times New Roman" w:hAnsi="Arial" w:cs="Arial"/>
          <w:color w:val="222222"/>
          <w:sz w:val="24"/>
          <w:szCs w:val="24"/>
          <w:lang w:eastAsia="en-GB"/>
        </w:rPr>
        <w:t>?” Sustainability. ISSN 2071-1050.</w:t>
      </w:r>
    </w:p>
    <w:p w14:paraId="51175284"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Khan, P. A., &amp; Johl, S. K. (2019). “Nexus of Comprehensive Green Innovation”, Environmental Management System-14001-2015 and Firm Performance. Cogent Business and Management, 6(1).</w:t>
      </w:r>
    </w:p>
    <w:p w14:paraId="06C57DA1"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Nizar, M., Munir, E., Munawar, E., &amp; Irvan, D. (2018). “Implementation of zero waste concept in waste” International JBHOST (Journal of Business on Hospitality and Tourism), Vol. 8, No. 2, 2022, pp. 345-352.</w:t>
      </w:r>
    </w:p>
    <w:p w14:paraId="61713DA3"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proofErr w:type="spellStart"/>
      <w:r w:rsidRPr="00B91335">
        <w:rPr>
          <w:rFonts w:ascii="Arial" w:eastAsia="Times New Roman" w:hAnsi="Arial" w:cs="Arial"/>
          <w:color w:val="222222"/>
          <w:sz w:val="24"/>
          <w:szCs w:val="24"/>
          <w:lang w:eastAsia="en-GB"/>
        </w:rPr>
        <w:t>Opatha</w:t>
      </w:r>
      <w:proofErr w:type="spellEnd"/>
      <w:r w:rsidRPr="00B91335">
        <w:rPr>
          <w:rFonts w:ascii="Arial" w:eastAsia="Times New Roman" w:hAnsi="Arial" w:cs="Arial"/>
          <w:color w:val="222222"/>
          <w:sz w:val="24"/>
          <w:szCs w:val="24"/>
          <w:lang w:eastAsia="en-GB"/>
        </w:rPr>
        <w:t xml:space="preserve">, H. H. D. N. P., &amp; </w:t>
      </w:r>
      <w:proofErr w:type="spellStart"/>
      <w:r w:rsidRPr="00B91335">
        <w:rPr>
          <w:rFonts w:ascii="Arial" w:eastAsia="Times New Roman" w:hAnsi="Arial" w:cs="Arial"/>
          <w:color w:val="222222"/>
          <w:sz w:val="24"/>
          <w:szCs w:val="24"/>
          <w:lang w:eastAsia="en-GB"/>
        </w:rPr>
        <w:t>Arulrajah</w:t>
      </w:r>
      <w:proofErr w:type="spellEnd"/>
      <w:r w:rsidRPr="00B91335">
        <w:rPr>
          <w:rFonts w:ascii="Arial" w:eastAsia="Times New Roman" w:hAnsi="Arial" w:cs="Arial"/>
          <w:color w:val="222222"/>
          <w:sz w:val="24"/>
          <w:szCs w:val="24"/>
          <w:lang w:eastAsia="en-GB"/>
        </w:rPr>
        <w:t xml:space="preserve">, A. A. (2014). “Green Human Resource Management: Simplified General Reflections”. International Business Research, 7(8). Available at: </w:t>
      </w:r>
      <w:hyperlink r:id="rId11" w:history="1">
        <w:r w:rsidRPr="00B91335">
          <w:rPr>
            <w:rStyle w:val="Hyperlink"/>
            <w:rFonts w:ascii="Arial" w:eastAsia="Times New Roman" w:hAnsi="Arial" w:cs="Arial"/>
            <w:sz w:val="24"/>
            <w:szCs w:val="24"/>
            <w:lang w:eastAsia="en-GB"/>
          </w:rPr>
          <w:t>https://doi.org/10.5539/ibr.v7n8p101</w:t>
        </w:r>
      </w:hyperlink>
      <w:r w:rsidRPr="00B91335">
        <w:rPr>
          <w:rFonts w:ascii="Arial" w:eastAsia="Times New Roman" w:hAnsi="Arial" w:cs="Arial"/>
          <w:color w:val="222222"/>
          <w:sz w:val="24"/>
          <w:szCs w:val="24"/>
          <w:lang w:eastAsia="en-GB"/>
        </w:rPr>
        <w:t xml:space="preserve"> (Accessed: 14 October 2024).</w:t>
      </w:r>
    </w:p>
    <w:p w14:paraId="5056803D"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proofErr w:type="spellStart"/>
      <w:r w:rsidRPr="00B91335">
        <w:rPr>
          <w:rFonts w:ascii="Arial" w:eastAsia="Times New Roman" w:hAnsi="Arial" w:cs="Arial"/>
          <w:color w:val="222222"/>
          <w:sz w:val="24"/>
          <w:szCs w:val="24"/>
          <w:lang w:eastAsia="en-GB"/>
        </w:rPr>
        <w:t>Pakpahan</w:t>
      </w:r>
      <w:proofErr w:type="spellEnd"/>
      <w:r w:rsidRPr="00B91335">
        <w:rPr>
          <w:rFonts w:ascii="Arial" w:eastAsia="Times New Roman" w:hAnsi="Arial" w:cs="Arial"/>
          <w:color w:val="222222"/>
          <w:sz w:val="24"/>
          <w:szCs w:val="24"/>
          <w:lang w:eastAsia="en-GB"/>
        </w:rPr>
        <w:t xml:space="preserve">, A. (2021). Best Practices of Sustainable Development Leading to Green Hotel in Six Senses </w:t>
      </w:r>
      <w:proofErr w:type="spellStart"/>
      <w:r w:rsidRPr="00B91335">
        <w:rPr>
          <w:rFonts w:ascii="Arial" w:eastAsia="Times New Roman" w:hAnsi="Arial" w:cs="Arial"/>
          <w:color w:val="222222"/>
          <w:sz w:val="24"/>
          <w:szCs w:val="24"/>
          <w:lang w:eastAsia="en-GB"/>
        </w:rPr>
        <w:t>Uluwatu</w:t>
      </w:r>
      <w:proofErr w:type="spellEnd"/>
      <w:r w:rsidRPr="00B91335">
        <w:rPr>
          <w:rFonts w:ascii="Arial" w:eastAsia="Times New Roman" w:hAnsi="Arial" w:cs="Arial"/>
          <w:color w:val="222222"/>
          <w:sz w:val="24"/>
          <w:szCs w:val="24"/>
          <w:lang w:eastAsia="en-GB"/>
        </w:rPr>
        <w:t xml:space="preserve">. Available at: </w:t>
      </w:r>
      <w:hyperlink r:id="rId12" w:history="1">
        <w:r w:rsidRPr="00B91335">
          <w:rPr>
            <w:rStyle w:val="Hyperlink"/>
            <w:rFonts w:ascii="Arial" w:eastAsia="Times New Roman" w:hAnsi="Arial" w:cs="Arial"/>
            <w:sz w:val="24"/>
            <w:szCs w:val="24"/>
            <w:lang w:eastAsia="en-GB"/>
          </w:rPr>
          <w:t>https://doi.org/10.51172/jbmb</w:t>
        </w:r>
      </w:hyperlink>
      <w:r w:rsidRPr="00B91335">
        <w:rPr>
          <w:rFonts w:ascii="Arial" w:eastAsia="Times New Roman" w:hAnsi="Arial" w:cs="Arial"/>
          <w:color w:val="222222"/>
          <w:sz w:val="24"/>
          <w:szCs w:val="24"/>
          <w:lang w:eastAsia="en-GB"/>
        </w:rPr>
        <w:t xml:space="preserve"> (Accessed: 15 October 2024).</w:t>
      </w:r>
    </w:p>
    <w:p w14:paraId="21827ED3"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 xml:space="preserve">Piippo, S., Juntunen, A., </w:t>
      </w:r>
      <w:proofErr w:type="spellStart"/>
      <w:r w:rsidRPr="00B91335">
        <w:rPr>
          <w:rFonts w:ascii="Arial" w:eastAsia="Times New Roman" w:hAnsi="Arial" w:cs="Arial"/>
          <w:color w:val="222222"/>
          <w:sz w:val="24"/>
          <w:szCs w:val="24"/>
          <w:lang w:eastAsia="en-GB"/>
        </w:rPr>
        <w:t>Kurppa</w:t>
      </w:r>
      <w:proofErr w:type="spellEnd"/>
      <w:r w:rsidRPr="00B91335">
        <w:rPr>
          <w:rFonts w:ascii="Arial" w:eastAsia="Times New Roman" w:hAnsi="Arial" w:cs="Arial"/>
          <w:color w:val="222222"/>
          <w:sz w:val="24"/>
          <w:szCs w:val="24"/>
          <w:lang w:eastAsia="en-GB"/>
        </w:rPr>
        <w:t xml:space="preserve">, S., &amp; Pongrácz, E. (2014). “The use of bio-waste to revegetate eroded land areas in </w:t>
      </w:r>
      <w:proofErr w:type="spellStart"/>
      <w:r w:rsidRPr="00B91335">
        <w:rPr>
          <w:rFonts w:ascii="Arial" w:eastAsia="Times New Roman" w:hAnsi="Arial" w:cs="Arial"/>
          <w:color w:val="222222"/>
          <w:sz w:val="24"/>
          <w:szCs w:val="24"/>
          <w:lang w:eastAsia="en-GB"/>
        </w:rPr>
        <w:t>Ylläs</w:t>
      </w:r>
      <w:proofErr w:type="spellEnd"/>
      <w:r w:rsidRPr="00B91335">
        <w:rPr>
          <w:rFonts w:ascii="Arial" w:eastAsia="Times New Roman" w:hAnsi="Arial" w:cs="Arial"/>
          <w:color w:val="222222"/>
          <w:sz w:val="24"/>
          <w:szCs w:val="24"/>
          <w:lang w:eastAsia="en-GB"/>
        </w:rPr>
        <w:t xml:space="preserve">, Northern Finland: Toward a zero-waste perspective of tourism in the Finnish Lapland”. Resources, Conservation and Recycling, 93, 9–22. Available at: </w:t>
      </w:r>
      <w:hyperlink r:id="rId13" w:history="1">
        <w:r w:rsidRPr="00B91335">
          <w:rPr>
            <w:rStyle w:val="Hyperlink"/>
            <w:rFonts w:ascii="Arial" w:eastAsia="Times New Roman" w:hAnsi="Arial" w:cs="Arial"/>
            <w:sz w:val="24"/>
            <w:szCs w:val="24"/>
            <w:lang w:eastAsia="en-GB"/>
          </w:rPr>
          <w:t>https://doi.org/10.1016/j.resconrec.2014.09.015</w:t>
        </w:r>
      </w:hyperlink>
      <w:r w:rsidRPr="00B91335">
        <w:rPr>
          <w:rFonts w:ascii="Arial" w:eastAsia="Times New Roman" w:hAnsi="Arial" w:cs="Arial"/>
          <w:color w:val="222222"/>
          <w:sz w:val="24"/>
          <w:szCs w:val="24"/>
          <w:lang w:eastAsia="en-GB"/>
        </w:rPr>
        <w:t xml:space="preserve"> (Accessed: 15 October 2024).</w:t>
      </w:r>
    </w:p>
    <w:p w14:paraId="26483640"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Rojas, L. F., Zapata, P., &amp; Ruiz-Tirado, L. (2021). “Agro-industrial waste enzymes: perspectives in circular economy”. Current Opinion in Green and Sustainable Chemistry, 100585.</w:t>
      </w:r>
    </w:p>
    <w:p w14:paraId="3B5607AC"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 xml:space="preserve">Six Senses (2019) “Sustainability” Available at: </w:t>
      </w:r>
      <w:hyperlink r:id="rId14" w:history="1">
        <w:r w:rsidRPr="00B91335">
          <w:rPr>
            <w:rStyle w:val="Hyperlink"/>
            <w:rFonts w:ascii="Arial" w:eastAsia="Times New Roman" w:hAnsi="Arial" w:cs="Arial"/>
            <w:sz w:val="24"/>
            <w:szCs w:val="24"/>
            <w:lang w:eastAsia="en-GB"/>
          </w:rPr>
          <w:t>https://www.sixsenses.com/en/hotels-resorts/asia-the-pacific/indonesia/uluwatu-bali/sustainability/</w:t>
        </w:r>
      </w:hyperlink>
      <w:r w:rsidRPr="00B91335">
        <w:rPr>
          <w:rFonts w:ascii="Arial" w:eastAsia="Times New Roman" w:hAnsi="Arial" w:cs="Arial"/>
          <w:color w:val="222222"/>
          <w:sz w:val="24"/>
          <w:szCs w:val="24"/>
          <w:lang w:eastAsia="en-GB"/>
        </w:rPr>
        <w:t xml:space="preserve"> (Accessed: 14 October 2024).</w:t>
      </w:r>
    </w:p>
    <w:p w14:paraId="6E7123D4"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proofErr w:type="spellStart"/>
      <w:r w:rsidRPr="00B91335">
        <w:rPr>
          <w:rFonts w:ascii="Arial" w:hAnsi="Arial" w:cs="Arial"/>
          <w:sz w:val="24"/>
          <w:szCs w:val="24"/>
          <w:lang w:val="en-US"/>
        </w:rPr>
        <w:t>Triyuni</w:t>
      </w:r>
      <w:proofErr w:type="spellEnd"/>
      <w:r w:rsidRPr="00B91335">
        <w:rPr>
          <w:rFonts w:ascii="Arial" w:hAnsi="Arial" w:cs="Arial"/>
          <w:sz w:val="24"/>
          <w:szCs w:val="24"/>
          <w:lang w:val="en-US"/>
        </w:rPr>
        <w:t xml:space="preserve"> N.N. (2022) “The  Implementation of  Zero  Waste  Concepts  in  Operational Six Senses </w:t>
      </w:r>
      <w:proofErr w:type="spellStart"/>
      <w:r w:rsidRPr="00B91335">
        <w:rPr>
          <w:rFonts w:ascii="Arial" w:hAnsi="Arial" w:cs="Arial"/>
          <w:sz w:val="24"/>
          <w:szCs w:val="24"/>
          <w:lang w:val="en-US"/>
        </w:rPr>
        <w:t>Uluwatu</w:t>
      </w:r>
      <w:proofErr w:type="spellEnd"/>
      <w:r w:rsidRPr="00B91335">
        <w:rPr>
          <w:rFonts w:ascii="Arial" w:hAnsi="Arial" w:cs="Arial"/>
          <w:sz w:val="24"/>
          <w:szCs w:val="24"/>
          <w:lang w:val="en-US"/>
        </w:rPr>
        <w:t xml:space="preserve">, Bali”, Journal of Business on Hospitality and Tourism. Available at: </w:t>
      </w:r>
      <w:hyperlink r:id="rId15" w:history="1">
        <w:r w:rsidRPr="00B91335">
          <w:rPr>
            <w:rStyle w:val="Hyperlink"/>
            <w:rFonts w:ascii="Arial" w:hAnsi="Arial" w:cs="Arial"/>
            <w:sz w:val="24"/>
            <w:szCs w:val="24"/>
            <w:lang w:val="en-US"/>
          </w:rPr>
          <w:t>https://jbhost.org/jbhost/index.php/jbhost/article/view/380</w:t>
        </w:r>
      </w:hyperlink>
      <w:r w:rsidRPr="00B91335">
        <w:rPr>
          <w:rFonts w:ascii="Arial" w:hAnsi="Arial" w:cs="Arial"/>
          <w:sz w:val="24"/>
          <w:szCs w:val="24"/>
          <w:lang w:val="en-US"/>
        </w:rPr>
        <w:t xml:space="preserve"> (Accessed 14 October 2024).</w:t>
      </w:r>
    </w:p>
    <w:p w14:paraId="05786DC3"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proofErr w:type="spellStart"/>
      <w:r w:rsidRPr="00B91335">
        <w:rPr>
          <w:rFonts w:ascii="Arial" w:eastAsia="Times New Roman" w:hAnsi="Arial" w:cs="Arial"/>
          <w:color w:val="222222"/>
          <w:sz w:val="24"/>
          <w:szCs w:val="24"/>
          <w:lang w:eastAsia="en-GB"/>
        </w:rPr>
        <w:lastRenderedPageBreak/>
        <w:t>Vasarhelyi</w:t>
      </w:r>
      <w:proofErr w:type="spellEnd"/>
      <w:r w:rsidRPr="00B91335">
        <w:rPr>
          <w:rFonts w:ascii="Arial" w:eastAsia="Times New Roman" w:hAnsi="Arial" w:cs="Arial"/>
          <w:color w:val="222222"/>
          <w:sz w:val="24"/>
          <w:szCs w:val="24"/>
          <w:lang w:eastAsia="en-GB"/>
        </w:rPr>
        <w:t xml:space="preserve">, L. Z. D. P. M. A. (2017). “Toward a New Business Reporting Model. Emerging Technologies in Accounting”, 14(2), 1–15. Available at: </w:t>
      </w:r>
      <w:hyperlink r:id="rId16" w:history="1">
        <w:r w:rsidRPr="00B91335">
          <w:rPr>
            <w:rStyle w:val="Hyperlink"/>
            <w:rFonts w:ascii="Arial" w:eastAsia="Times New Roman" w:hAnsi="Arial" w:cs="Arial"/>
            <w:sz w:val="24"/>
            <w:szCs w:val="24"/>
            <w:lang w:eastAsia="en-GB"/>
          </w:rPr>
          <w:t>https://doi.org/10.2308/jeta-10570</w:t>
        </w:r>
      </w:hyperlink>
      <w:r w:rsidRPr="00B91335">
        <w:rPr>
          <w:rFonts w:ascii="Arial" w:eastAsia="Times New Roman" w:hAnsi="Arial" w:cs="Arial"/>
          <w:color w:val="222222"/>
          <w:sz w:val="24"/>
          <w:szCs w:val="24"/>
          <w:lang w:eastAsia="en-GB"/>
        </w:rPr>
        <w:t xml:space="preserve"> (Accessed: 12 October 2024).</w:t>
      </w:r>
    </w:p>
    <w:p w14:paraId="78177B1F" w14:textId="77777777" w:rsidR="00B84764" w:rsidRPr="00B91335" w:rsidRDefault="00B84764" w:rsidP="00B84764">
      <w:pPr>
        <w:pStyle w:val="ListParagraph"/>
        <w:numPr>
          <w:ilvl w:val="0"/>
          <w:numId w:val="1"/>
        </w:numPr>
        <w:spacing w:line="360" w:lineRule="auto"/>
        <w:jc w:val="both"/>
        <w:rPr>
          <w:rFonts w:ascii="Arial" w:eastAsia="Times New Roman" w:hAnsi="Arial" w:cs="Arial"/>
          <w:color w:val="222222"/>
          <w:sz w:val="24"/>
          <w:szCs w:val="24"/>
          <w:lang w:eastAsia="en-GB"/>
        </w:rPr>
      </w:pPr>
      <w:r w:rsidRPr="00B91335">
        <w:rPr>
          <w:rFonts w:ascii="Arial" w:eastAsia="Times New Roman" w:hAnsi="Arial" w:cs="Arial"/>
          <w:color w:val="222222"/>
          <w:sz w:val="24"/>
          <w:szCs w:val="24"/>
          <w:lang w:eastAsia="en-GB"/>
        </w:rPr>
        <w:t xml:space="preserve">Zaman, A. U. (2015). A comprehensive review of the development of zero waste management: Lessons learned and guidelines. Journal of Cleaner Production, 91, 12–25. Available at: </w:t>
      </w:r>
      <w:hyperlink r:id="rId17" w:history="1">
        <w:r w:rsidRPr="00B91335">
          <w:rPr>
            <w:rStyle w:val="Hyperlink"/>
            <w:rFonts w:ascii="Arial" w:eastAsia="Times New Roman" w:hAnsi="Arial" w:cs="Arial"/>
            <w:sz w:val="24"/>
            <w:szCs w:val="24"/>
            <w:lang w:eastAsia="en-GB"/>
          </w:rPr>
          <w:t>https://doi.org/10.1016/J.JCLEPRO.2014.12.013</w:t>
        </w:r>
      </w:hyperlink>
      <w:r w:rsidRPr="00B91335">
        <w:rPr>
          <w:rFonts w:ascii="Arial" w:eastAsia="Times New Roman" w:hAnsi="Arial" w:cs="Arial"/>
          <w:color w:val="222222"/>
          <w:sz w:val="24"/>
          <w:szCs w:val="24"/>
          <w:lang w:eastAsia="en-GB"/>
        </w:rPr>
        <w:t xml:space="preserve"> (Accessed: 15 October 2024).</w:t>
      </w:r>
    </w:p>
    <w:p w14:paraId="1684428F" w14:textId="77777777" w:rsidR="00B84764" w:rsidRPr="00B84764" w:rsidRDefault="00B84764" w:rsidP="00B84764">
      <w:pPr>
        <w:spacing w:line="360" w:lineRule="auto"/>
        <w:jc w:val="both"/>
        <w:rPr>
          <w:rFonts w:ascii="Arial" w:hAnsi="Arial" w:cs="Arial"/>
          <w:sz w:val="24"/>
          <w:szCs w:val="24"/>
        </w:rPr>
      </w:pPr>
    </w:p>
    <w:sectPr w:rsidR="00B84764" w:rsidRPr="00B84764" w:rsidSect="003746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51C41"/>
    <w:multiLevelType w:val="hybridMultilevel"/>
    <w:tmpl w:val="64A8DE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7063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764"/>
    <w:rsid w:val="0032684F"/>
    <w:rsid w:val="003746C6"/>
    <w:rsid w:val="00B84764"/>
    <w:rsid w:val="00D96DF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B6B8BE"/>
  <w15:chartTrackingRefBased/>
  <w15:docId w15:val="{4FFA88A2-56C0-46BE-BEA1-5D7F6C98C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4764"/>
    <w:pPr>
      <w:spacing w:before="200" w:after="200" w:line="276" w:lineRule="auto"/>
      <w:ind w:left="720"/>
      <w:contextualSpacing/>
    </w:pPr>
    <w:rPr>
      <w:rFonts w:eastAsiaTheme="minorEastAsia"/>
      <w:sz w:val="20"/>
      <w:szCs w:val="20"/>
      <w:lang w:val="en-GB" w:eastAsia="zh-TW"/>
    </w:rPr>
  </w:style>
  <w:style w:type="character" w:styleId="Hyperlink">
    <w:name w:val="Hyperlink"/>
    <w:basedOn w:val="DefaultParagraphFont"/>
    <w:uiPriority w:val="99"/>
    <w:unhideWhenUsed/>
    <w:rsid w:val="00B84764"/>
    <w:rPr>
      <w:color w:val="0563C1" w:themeColor="hyperlink"/>
      <w:u w:val="single"/>
    </w:rPr>
  </w:style>
  <w:style w:type="paragraph" w:styleId="Subtitle">
    <w:name w:val="Subtitle"/>
    <w:basedOn w:val="Normal"/>
    <w:next w:val="Normal"/>
    <w:link w:val="SubtitleChar"/>
    <w:uiPriority w:val="11"/>
    <w:qFormat/>
    <w:rsid w:val="00B84764"/>
    <w:pPr>
      <w:spacing w:before="200" w:after="1000" w:line="240" w:lineRule="auto"/>
    </w:pPr>
    <w:rPr>
      <w:rFonts w:eastAsiaTheme="minorEastAsia"/>
      <w:caps/>
      <w:color w:val="595959" w:themeColor="text1" w:themeTint="A6"/>
      <w:spacing w:val="10"/>
      <w:sz w:val="24"/>
      <w:szCs w:val="24"/>
      <w:lang w:val="en-GB" w:eastAsia="zh-TW"/>
    </w:rPr>
  </w:style>
  <w:style w:type="character" w:customStyle="1" w:styleId="SubtitleChar">
    <w:name w:val="Subtitle Char"/>
    <w:basedOn w:val="DefaultParagraphFont"/>
    <w:link w:val="Subtitle"/>
    <w:uiPriority w:val="11"/>
    <w:rsid w:val="00B84764"/>
    <w:rPr>
      <w:rFonts w:eastAsiaTheme="minorEastAsia"/>
      <w:caps/>
      <w:color w:val="595959" w:themeColor="text1" w:themeTint="A6"/>
      <w:spacing w:val="10"/>
      <w:sz w:val="24"/>
      <w:szCs w:val="24"/>
      <w:lang w:val="en-GB"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459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ralhandmade.com/blog/csr-practices-in-the-hospitality-industry" TargetMode="External"/><Relationship Id="rId13" Type="http://schemas.openxmlformats.org/officeDocument/2006/relationships/hyperlink" Target="https://doi.org/10.1016/j.resconrec.2014.09.01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77/0734242X14541986" TargetMode="External"/><Relationship Id="rId12" Type="http://schemas.openxmlformats.org/officeDocument/2006/relationships/hyperlink" Target="https://doi.org/10.51172/jbmb" TargetMode="External"/><Relationship Id="rId17" Type="http://schemas.openxmlformats.org/officeDocument/2006/relationships/hyperlink" Target="https://doi.org/10.1016/J.JCLEPRO.2014.12.013" TargetMode="External"/><Relationship Id="rId2" Type="http://schemas.openxmlformats.org/officeDocument/2006/relationships/styles" Target="styles.xml"/><Relationship Id="rId16" Type="http://schemas.openxmlformats.org/officeDocument/2006/relationships/hyperlink" Target="https://doi.org/10.2308/jeta-10570" TargetMode="External"/><Relationship Id="rId1" Type="http://schemas.openxmlformats.org/officeDocument/2006/relationships/numbering" Target="numbering.xml"/><Relationship Id="rId6" Type="http://schemas.openxmlformats.org/officeDocument/2006/relationships/hyperlink" Target="https://doi.org/10.24853/jisi.6.1.19-28" TargetMode="External"/><Relationship Id="rId11" Type="http://schemas.openxmlformats.org/officeDocument/2006/relationships/hyperlink" Target="https://doi.org/10.5539/ibr.v7n8p101" TargetMode="External"/><Relationship Id="rId5" Type="http://schemas.openxmlformats.org/officeDocument/2006/relationships/hyperlink" Target="https://doi.org/10.5539/jms.v6n4p88" TargetMode="External"/><Relationship Id="rId15" Type="http://schemas.openxmlformats.org/officeDocument/2006/relationships/hyperlink" Target="https://jbhost.org/jbhost/index.php/jbhost/article/view/380" TargetMode="External"/><Relationship Id="rId10" Type="http://schemas.openxmlformats.org/officeDocument/2006/relationships/hyperlink" Target="https://pdfs.semanticscholar.org/9e7d/799a3cfcb7ff0b7992818b99601e3016e3f8.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yasuda-u.repo.nii.ac.jp/?action=pages_view_main&amp;active_action=repository_view_main_item_detail&amp;item_id=458&amp;item_no=1&amp;page_id=13&amp;block_id=35" TargetMode="External"/><Relationship Id="rId14" Type="http://schemas.openxmlformats.org/officeDocument/2006/relationships/hyperlink" Target="https://www.sixsenses.com/en/hotels-resorts/asia-the-pacific/indonesia/uluwatu-bali/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2825</Words>
  <Characters>16501</Characters>
  <Application>Microsoft Office Word</Application>
  <DocSecurity>0</DocSecurity>
  <Lines>323</Lines>
  <Paragraphs>57</Paragraphs>
  <ScaleCrop>false</ScaleCrop>
  <Company/>
  <LinksUpToDate>false</LinksUpToDate>
  <CharactersWithSpaces>19269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 Viorel Ciobanu</dc:creator>
  <cp:keywords/>
  <dc:description/>
  <cp:lastModifiedBy>Catalin Viorel Ciobanu</cp:lastModifiedBy>
  <cp:revision>2</cp:revision>
  <dcterms:created xsi:type="dcterms:W3CDTF">2024-10-21T13:08:00Z</dcterms:created>
  <dcterms:modified xsi:type="dcterms:W3CDTF">2024-10-21T13:18:00Z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96d6d77a-27ff-4429-a389-c61cd6855eb5</vt:lpwstr>
  </property>
</Properties>
</file>