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18CC" w:rsidRDefault="002827E1" w:rsidP="004418CC">
      <w:pPr>
        <w:pStyle w:val="BodyTextIndent"/>
        <w:ind w:left="0" w:firstLine="0"/>
      </w:pPr>
      <w:r>
        <w:rPr>
          <w:b/>
          <w:bCs/>
          <w:u w:val="single"/>
        </w:rPr>
        <w:t xml:space="preserve">EDWARDS </w:t>
      </w:r>
      <w:proofErr w:type="gramStart"/>
      <w:r>
        <w:rPr>
          <w:b/>
          <w:bCs/>
          <w:u w:val="single"/>
        </w:rPr>
        <w:t>LTD :</w:t>
      </w:r>
      <w:proofErr w:type="gramEnd"/>
      <w:r>
        <w:rPr>
          <w:b/>
          <w:bCs/>
          <w:u w:val="single"/>
        </w:rPr>
        <w:t xml:space="preserve"> </w:t>
      </w:r>
      <w:r w:rsidR="004418CC" w:rsidRPr="00FD1A9C">
        <w:rPr>
          <w:b/>
          <w:u w:val="single"/>
        </w:rPr>
        <w:t xml:space="preserve"> – Calculate relevant ratios solution</w:t>
      </w:r>
    </w:p>
    <w:p w:rsidR="004418CC" w:rsidRDefault="004418CC" w:rsidP="004418CC">
      <w:pPr>
        <w:pStyle w:val="BodyTextIndent"/>
        <w:ind w:left="0" w:firstLine="0"/>
      </w:pPr>
    </w:p>
    <w:p w:rsidR="004418CC" w:rsidRDefault="004418CC" w:rsidP="004418CC">
      <w:pPr>
        <w:pStyle w:val="BodyTextIndent"/>
        <w:ind w:left="0" w:firstLine="0"/>
        <w:rPr>
          <w:b/>
          <w:bCs/>
          <w:u w:val="single"/>
        </w:rPr>
      </w:pPr>
      <w:r>
        <w:rPr>
          <w:b/>
          <w:bCs/>
          <w:u w:val="single"/>
        </w:rPr>
        <w:t>Solution</w:t>
      </w:r>
    </w:p>
    <w:p w:rsidR="004418CC" w:rsidRDefault="004418CC" w:rsidP="004418CC">
      <w:pPr>
        <w:pStyle w:val="BodyTextIndent"/>
        <w:ind w:left="0" w:firstLine="0"/>
      </w:pPr>
    </w:p>
    <w:tbl>
      <w:tblPr>
        <w:tblW w:w="8897" w:type="dxa"/>
        <w:tblLook w:val="0000"/>
      </w:tblPr>
      <w:tblGrid>
        <w:gridCol w:w="3227"/>
        <w:gridCol w:w="2126"/>
        <w:gridCol w:w="3544"/>
      </w:tblGrid>
      <w:tr w:rsidR="004418CC" w:rsidTr="001F7761">
        <w:tc>
          <w:tcPr>
            <w:tcW w:w="3227" w:type="dxa"/>
          </w:tcPr>
          <w:p w:rsidR="004418CC" w:rsidRDefault="004418CC" w:rsidP="001F7761">
            <w:pPr>
              <w:pStyle w:val="BodyTextIndent"/>
              <w:ind w:left="0" w:firstLine="0"/>
            </w:pPr>
            <w:r>
              <w:t>Return on capital employed</w:t>
            </w:r>
          </w:p>
          <w:p w:rsidR="004418CC" w:rsidRDefault="004418CC" w:rsidP="001F7761">
            <w:pPr>
              <w:pStyle w:val="BodyTextIndent"/>
              <w:ind w:left="0" w:firstLine="0"/>
            </w:pPr>
          </w:p>
          <w:p w:rsidR="004418CC" w:rsidRDefault="00F2546C" w:rsidP="001F7761">
            <w:pPr>
              <w:pStyle w:val="BodyTextIndent"/>
              <w:ind w:left="0" w:firstLine="0"/>
            </w:pPr>
            <w:r>
              <w:t xml:space="preserve">Net </w:t>
            </w:r>
            <w:r w:rsidR="004418CC">
              <w:t>Profit margin</w:t>
            </w:r>
          </w:p>
          <w:p w:rsidR="004418CC" w:rsidRDefault="004418CC" w:rsidP="001F7761">
            <w:pPr>
              <w:pStyle w:val="BodyTextIndent"/>
              <w:ind w:left="0" w:firstLine="0"/>
            </w:pPr>
          </w:p>
          <w:p w:rsidR="004418CC" w:rsidRDefault="004418CC" w:rsidP="001F7761">
            <w:pPr>
              <w:pStyle w:val="BodyTextIndent"/>
              <w:ind w:left="0" w:firstLine="0"/>
            </w:pPr>
            <w:r>
              <w:t>Asset turnover</w:t>
            </w:r>
          </w:p>
          <w:p w:rsidR="004418CC" w:rsidRDefault="004418CC" w:rsidP="001F7761">
            <w:pPr>
              <w:pStyle w:val="BodyTextIndent"/>
              <w:ind w:left="0" w:firstLine="0"/>
            </w:pPr>
          </w:p>
          <w:p w:rsidR="004418CC" w:rsidRDefault="004418CC" w:rsidP="001F7761">
            <w:pPr>
              <w:pStyle w:val="BodyTextIndent"/>
              <w:ind w:left="0" w:firstLine="0"/>
            </w:pPr>
            <w:r>
              <w:t>Gross profit margin</w:t>
            </w:r>
          </w:p>
          <w:p w:rsidR="004418CC" w:rsidRDefault="004418CC" w:rsidP="001F7761">
            <w:pPr>
              <w:pStyle w:val="BodyTextIndent"/>
              <w:ind w:left="0" w:firstLine="0"/>
            </w:pPr>
          </w:p>
          <w:p w:rsidR="004418CC" w:rsidRDefault="004418CC" w:rsidP="001F7761">
            <w:pPr>
              <w:pStyle w:val="BodyTextIndent"/>
              <w:ind w:left="0" w:firstLine="0"/>
            </w:pPr>
            <w:r>
              <w:t>Return on owners’ equity</w:t>
            </w:r>
          </w:p>
          <w:p w:rsidR="004418CC" w:rsidRDefault="004418CC" w:rsidP="001F7761">
            <w:pPr>
              <w:pStyle w:val="BodyTextIndent"/>
              <w:ind w:left="0" w:firstLine="0"/>
            </w:pPr>
          </w:p>
          <w:p w:rsidR="004418CC" w:rsidRDefault="004418CC" w:rsidP="001F7761">
            <w:pPr>
              <w:pStyle w:val="BodyTextIndent"/>
              <w:ind w:left="0" w:firstLine="0"/>
            </w:pPr>
            <w:r>
              <w:t>Current ratio</w:t>
            </w:r>
          </w:p>
          <w:p w:rsidR="004418CC" w:rsidRDefault="004418CC" w:rsidP="001F7761">
            <w:pPr>
              <w:pStyle w:val="BodyTextIndent"/>
              <w:ind w:left="0" w:firstLine="0"/>
            </w:pPr>
          </w:p>
          <w:p w:rsidR="004418CC" w:rsidRDefault="004418CC" w:rsidP="001F7761">
            <w:pPr>
              <w:pStyle w:val="BodyTextIndent"/>
              <w:ind w:left="0" w:firstLine="0"/>
            </w:pPr>
            <w:r>
              <w:t>Acid test ratio</w:t>
            </w:r>
          </w:p>
          <w:p w:rsidR="004418CC" w:rsidRDefault="004418CC" w:rsidP="001F7761">
            <w:pPr>
              <w:pStyle w:val="BodyTextIndent"/>
              <w:ind w:left="0" w:firstLine="0"/>
            </w:pPr>
          </w:p>
          <w:p w:rsidR="004418CC" w:rsidRDefault="004418CC" w:rsidP="001F7761">
            <w:pPr>
              <w:pStyle w:val="BodyTextIndent"/>
              <w:ind w:left="0" w:firstLine="0"/>
            </w:pPr>
            <w:r>
              <w:t>Debtors (Receivables ) ratio</w:t>
            </w:r>
          </w:p>
          <w:p w:rsidR="004418CC" w:rsidRDefault="004418CC" w:rsidP="001F7761">
            <w:pPr>
              <w:pStyle w:val="BodyTextIndent"/>
              <w:ind w:left="0" w:firstLine="0"/>
            </w:pPr>
          </w:p>
          <w:p w:rsidR="004418CC" w:rsidRDefault="004418CC" w:rsidP="001F7761">
            <w:pPr>
              <w:pStyle w:val="BodyTextIndent"/>
              <w:ind w:left="0" w:firstLine="0"/>
            </w:pPr>
            <w:r>
              <w:t>Creditors ( Payables ) ratio</w:t>
            </w:r>
          </w:p>
          <w:p w:rsidR="004418CC" w:rsidRDefault="004418CC" w:rsidP="001F7761">
            <w:pPr>
              <w:pStyle w:val="BodyTextIndent"/>
              <w:ind w:left="0" w:firstLine="0"/>
            </w:pPr>
          </w:p>
          <w:p w:rsidR="004418CC" w:rsidRDefault="004418CC" w:rsidP="001F7761">
            <w:pPr>
              <w:pStyle w:val="BodyTextIndent"/>
              <w:ind w:left="0" w:firstLine="0"/>
            </w:pPr>
            <w:r>
              <w:t>Stock turnover</w:t>
            </w:r>
          </w:p>
          <w:p w:rsidR="004418CC" w:rsidRDefault="004418CC" w:rsidP="001F7761">
            <w:pPr>
              <w:pStyle w:val="BodyTextIndent"/>
              <w:ind w:left="0" w:firstLine="0"/>
            </w:pPr>
            <w:r>
              <w:t xml:space="preserve">    “          “                </w:t>
            </w:r>
          </w:p>
          <w:p w:rsidR="004418CC" w:rsidRDefault="004418CC" w:rsidP="001F7761">
            <w:pPr>
              <w:pStyle w:val="BodyTextIndent"/>
              <w:ind w:left="0" w:firstLine="0"/>
            </w:pPr>
          </w:p>
          <w:p w:rsidR="004418CC" w:rsidRDefault="004418CC" w:rsidP="001F7761">
            <w:pPr>
              <w:pStyle w:val="BodyTextIndent"/>
              <w:ind w:left="0" w:firstLine="0"/>
            </w:pPr>
            <w:r>
              <w:t>Earnings per share</w:t>
            </w:r>
          </w:p>
          <w:p w:rsidR="004418CC" w:rsidRDefault="004418CC" w:rsidP="001F7761">
            <w:pPr>
              <w:pStyle w:val="BodyTextIndent"/>
              <w:ind w:left="0" w:firstLine="0"/>
            </w:pPr>
          </w:p>
          <w:p w:rsidR="004418CC" w:rsidRDefault="004418CC" w:rsidP="001F7761">
            <w:pPr>
              <w:pStyle w:val="BodyTextIndent"/>
              <w:ind w:left="0" w:firstLine="0"/>
            </w:pPr>
            <w:r>
              <w:t>Dividend cover</w:t>
            </w:r>
          </w:p>
          <w:p w:rsidR="004418CC" w:rsidRDefault="004418CC" w:rsidP="001F7761">
            <w:pPr>
              <w:pStyle w:val="BodyTextIndent"/>
              <w:ind w:left="0" w:firstLine="0"/>
            </w:pPr>
          </w:p>
          <w:p w:rsidR="004418CC" w:rsidRDefault="004418CC" w:rsidP="001F7761">
            <w:pPr>
              <w:pStyle w:val="BodyTextIndent"/>
              <w:ind w:left="0" w:firstLine="0"/>
            </w:pPr>
            <w:r>
              <w:t>Gearing</w:t>
            </w:r>
            <w:r w:rsidR="00F2546C">
              <w:t xml:space="preserve"> ( Ratio 1)</w:t>
            </w:r>
          </w:p>
          <w:p w:rsidR="00F2546C" w:rsidRDefault="00F2546C" w:rsidP="001F7761">
            <w:pPr>
              <w:pStyle w:val="BodyTextIndent"/>
              <w:ind w:left="0" w:firstLine="0"/>
            </w:pPr>
          </w:p>
          <w:p w:rsidR="004418CC" w:rsidRDefault="00F2546C" w:rsidP="001F7761">
            <w:pPr>
              <w:pStyle w:val="BodyTextIndent"/>
              <w:ind w:left="0" w:firstLine="0"/>
            </w:pPr>
            <w:r>
              <w:t>Gearing ( Ratio 2)</w:t>
            </w:r>
          </w:p>
          <w:p w:rsidR="004418CC" w:rsidRDefault="004418CC" w:rsidP="001F7761">
            <w:pPr>
              <w:pStyle w:val="BodyTextIndent"/>
              <w:ind w:left="0" w:firstLine="0"/>
            </w:pPr>
          </w:p>
          <w:p w:rsidR="004418CC" w:rsidRDefault="004418CC" w:rsidP="001F7761">
            <w:pPr>
              <w:pStyle w:val="BodyTextIndent"/>
              <w:ind w:left="0" w:firstLine="0"/>
            </w:pPr>
            <w:r>
              <w:t>Interest cover</w:t>
            </w:r>
          </w:p>
        </w:tc>
        <w:tc>
          <w:tcPr>
            <w:tcW w:w="2126" w:type="dxa"/>
          </w:tcPr>
          <w:p w:rsidR="004418CC" w:rsidRDefault="004418CC" w:rsidP="001F7761">
            <w:pPr>
              <w:pStyle w:val="BodyTextIndent"/>
              <w:ind w:left="0" w:firstLine="0"/>
            </w:pPr>
            <w:r>
              <w:t>=</w:t>
            </w:r>
            <w:r>
              <w:tab/>
              <w:t>10%</w:t>
            </w:r>
          </w:p>
          <w:p w:rsidR="004418CC" w:rsidRDefault="004418CC" w:rsidP="001F7761">
            <w:pPr>
              <w:pStyle w:val="BodyTextIndent"/>
              <w:ind w:left="0" w:firstLine="0"/>
            </w:pPr>
          </w:p>
          <w:p w:rsidR="004418CC" w:rsidRDefault="004418CC" w:rsidP="001F7761">
            <w:pPr>
              <w:pStyle w:val="BodyTextIndent"/>
              <w:ind w:left="0" w:firstLine="0"/>
            </w:pPr>
            <w:r>
              <w:t>=</w:t>
            </w:r>
            <w:r>
              <w:tab/>
              <w:t>5.7%</w:t>
            </w:r>
          </w:p>
          <w:p w:rsidR="004418CC" w:rsidRDefault="004418CC" w:rsidP="001F7761">
            <w:pPr>
              <w:pStyle w:val="BodyTextIndent"/>
              <w:ind w:left="0" w:firstLine="0"/>
            </w:pPr>
          </w:p>
          <w:p w:rsidR="004418CC" w:rsidRDefault="004418CC" w:rsidP="001F7761">
            <w:pPr>
              <w:pStyle w:val="BodyTextIndent"/>
              <w:ind w:left="0" w:firstLine="0"/>
            </w:pPr>
            <w:r>
              <w:t>=</w:t>
            </w:r>
            <w:r>
              <w:tab/>
              <w:t>1.8 times</w:t>
            </w:r>
          </w:p>
          <w:p w:rsidR="004418CC" w:rsidRDefault="004418CC" w:rsidP="001F7761">
            <w:pPr>
              <w:pStyle w:val="BodyTextIndent"/>
              <w:ind w:left="0" w:firstLine="0"/>
            </w:pPr>
          </w:p>
          <w:p w:rsidR="004418CC" w:rsidRDefault="004418CC" w:rsidP="001F7761">
            <w:pPr>
              <w:pStyle w:val="BodyTextIndent"/>
              <w:ind w:left="0" w:firstLine="0"/>
            </w:pPr>
            <w:r>
              <w:t>=</w:t>
            </w:r>
            <w:r>
              <w:tab/>
              <w:t>25%</w:t>
            </w:r>
          </w:p>
          <w:p w:rsidR="004418CC" w:rsidRDefault="004418CC" w:rsidP="001F7761">
            <w:pPr>
              <w:pStyle w:val="BodyTextIndent"/>
              <w:ind w:left="0" w:firstLine="0"/>
            </w:pPr>
          </w:p>
          <w:p w:rsidR="004418CC" w:rsidRDefault="004418CC" w:rsidP="001F7761">
            <w:pPr>
              <w:pStyle w:val="BodyTextIndent"/>
              <w:ind w:left="0" w:firstLine="0"/>
            </w:pPr>
            <w:r>
              <w:t>=</w:t>
            </w:r>
            <w:r>
              <w:tab/>
              <w:t>8.9%</w:t>
            </w:r>
          </w:p>
          <w:p w:rsidR="004418CC" w:rsidRDefault="004418CC" w:rsidP="001F7761">
            <w:pPr>
              <w:pStyle w:val="BodyTextIndent"/>
              <w:ind w:left="0" w:firstLine="0"/>
            </w:pPr>
          </w:p>
          <w:p w:rsidR="004418CC" w:rsidRDefault="004418CC" w:rsidP="001F7761">
            <w:pPr>
              <w:pStyle w:val="BodyTextIndent"/>
              <w:ind w:left="0" w:firstLine="0"/>
            </w:pPr>
            <w:r>
              <w:t>=</w:t>
            </w:r>
            <w:r>
              <w:tab/>
              <w:t>2 times</w:t>
            </w:r>
          </w:p>
          <w:p w:rsidR="004418CC" w:rsidRDefault="004418CC" w:rsidP="001F7761">
            <w:pPr>
              <w:pStyle w:val="BodyTextIndent"/>
              <w:ind w:left="0" w:firstLine="0"/>
            </w:pPr>
          </w:p>
          <w:p w:rsidR="004418CC" w:rsidRDefault="004418CC" w:rsidP="001F7761">
            <w:pPr>
              <w:pStyle w:val="BodyTextIndent"/>
              <w:ind w:left="0" w:firstLine="0"/>
            </w:pPr>
            <w:r>
              <w:t>=</w:t>
            </w:r>
            <w:r>
              <w:tab/>
              <w:t>1.25 times</w:t>
            </w:r>
          </w:p>
          <w:p w:rsidR="004418CC" w:rsidRDefault="004418CC" w:rsidP="001F7761">
            <w:pPr>
              <w:pStyle w:val="BodyTextIndent"/>
              <w:ind w:left="0" w:firstLine="0"/>
            </w:pPr>
          </w:p>
          <w:p w:rsidR="004418CC" w:rsidRDefault="004418CC" w:rsidP="001F7761">
            <w:pPr>
              <w:pStyle w:val="BodyTextIndent"/>
              <w:ind w:left="0" w:firstLine="0"/>
            </w:pPr>
            <w:r>
              <w:t>=</w:t>
            </w:r>
            <w:r>
              <w:tab/>
              <w:t>55 days</w:t>
            </w:r>
          </w:p>
          <w:p w:rsidR="004418CC" w:rsidRDefault="004418CC" w:rsidP="001F7761">
            <w:pPr>
              <w:pStyle w:val="BodyTextIndent"/>
              <w:ind w:left="0" w:firstLine="0"/>
            </w:pPr>
          </w:p>
          <w:p w:rsidR="004418CC" w:rsidRDefault="004418CC" w:rsidP="001F7761">
            <w:pPr>
              <w:pStyle w:val="BodyTextIndent"/>
              <w:ind w:left="0" w:firstLine="0"/>
            </w:pPr>
            <w:r>
              <w:t>=</w:t>
            </w:r>
            <w:r>
              <w:tab/>
              <w:t>6</w:t>
            </w:r>
            <w:r w:rsidR="00F97BCA">
              <w:t>4</w:t>
            </w:r>
            <w:r>
              <w:t>.</w:t>
            </w:r>
            <w:r w:rsidR="00F97BCA">
              <w:t>9</w:t>
            </w:r>
            <w:r>
              <w:t xml:space="preserve"> days</w:t>
            </w:r>
          </w:p>
          <w:p w:rsidR="004418CC" w:rsidRDefault="004418CC" w:rsidP="001F7761">
            <w:pPr>
              <w:pStyle w:val="BodyTextIndent"/>
              <w:ind w:left="0" w:firstLine="0"/>
            </w:pPr>
          </w:p>
          <w:p w:rsidR="004418CC" w:rsidRDefault="004418CC" w:rsidP="001F7761">
            <w:pPr>
              <w:pStyle w:val="BodyTextIndent"/>
              <w:ind w:left="0" w:firstLine="0"/>
            </w:pPr>
            <w:r>
              <w:t>=</w:t>
            </w:r>
            <w:r>
              <w:tab/>
              <w:t>7.5 times</w:t>
            </w:r>
          </w:p>
          <w:p w:rsidR="004418CC" w:rsidRDefault="004418CC" w:rsidP="001F7761">
            <w:pPr>
              <w:pStyle w:val="BodyTextIndent"/>
              <w:ind w:left="0" w:firstLine="0"/>
            </w:pPr>
            <w:r>
              <w:t>=        48.7 days</w:t>
            </w:r>
          </w:p>
          <w:p w:rsidR="004418CC" w:rsidRDefault="004418CC" w:rsidP="001F7761">
            <w:pPr>
              <w:pStyle w:val="BodyTextIndent"/>
              <w:ind w:left="0" w:firstLine="0"/>
            </w:pPr>
          </w:p>
          <w:p w:rsidR="004418CC" w:rsidRDefault="004418CC" w:rsidP="001F7761">
            <w:pPr>
              <w:pStyle w:val="BodyTextIndent"/>
              <w:ind w:left="0" w:firstLine="0"/>
            </w:pPr>
            <w:r>
              <w:t>=</w:t>
            </w:r>
            <w:r>
              <w:tab/>
              <w:t>€0.16</w:t>
            </w:r>
          </w:p>
          <w:p w:rsidR="004418CC" w:rsidRDefault="004418CC" w:rsidP="001F7761">
            <w:pPr>
              <w:pStyle w:val="BodyTextIndent"/>
              <w:ind w:left="0" w:firstLine="0"/>
            </w:pPr>
          </w:p>
          <w:p w:rsidR="004418CC" w:rsidRDefault="004418CC" w:rsidP="001F7761">
            <w:pPr>
              <w:pStyle w:val="BodyTextIndent"/>
              <w:ind w:left="0" w:firstLine="0"/>
            </w:pPr>
            <w:r>
              <w:t>=</w:t>
            </w:r>
            <w:r>
              <w:tab/>
              <w:t>8 times</w:t>
            </w:r>
          </w:p>
          <w:p w:rsidR="004418CC" w:rsidRDefault="004418CC" w:rsidP="001F7761">
            <w:pPr>
              <w:pStyle w:val="BodyTextIndent"/>
              <w:ind w:left="0" w:firstLine="0"/>
            </w:pPr>
          </w:p>
          <w:p w:rsidR="004418CC" w:rsidRDefault="004418CC" w:rsidP="001F7761">
            <w:pPr>
              <w:pStyle w:val="BodyTextIndent"/>
              <w:ind w:left="0" w:firstLine="0"/>
            </w:pPr>
            <w:r>
              <w:t>=</w:t>
            </w:r>
            <w:r>
              <w:tab/>
              <w:t>47%</w:t>
            </w:r>
          </w:p>
          <w:p w:rsidR="00F2546C" w:rsidRDefault="00F2546C" w:rsidP="001F7761">
            <w:pPr>
              <w:pStyle w:val="BodyTextIndent"/>
              <w:ind w:left="0" w:firstLine="0"/>
            </w:pPr>
          </w:p>
          <w:p w:rsidR="004418CC" w:rsidRDefault="004418CC" w:rsidP="001F7761">
            <w:pPr>
              <w:pStyle w:val="BodyTextIndent"/>
              <w:ind w:left="0" w:firstLine="0"/>
            </w:pPr>
            <w:r>
              <w:t>=         89%</w:t>
            </w:r>
          </w:p>
          <w:p w:rsidR="004418CC" w:rsidRDefault="004418CC" w:rsidP="001F7761">
            <w:pPr>
              <w:pStyle w:val="BodyTextIndent"/>
              <w:ind w:left="0" w:firstLine="0"/>
            </w:pPr>
          </w:p>
          <w:p w:rsidR="004418CC" w:rsidRDefault="004418CC" w:rsidP="001F7761">
            <w:pPr>
              <w:pStyle w:val="BodyTextIndent"/>
              <w:ind w:left="0" w:firstLine="0"/>
            </w:pPr>
            <w:r>
              <w:t>=</w:t>
            </w:r>
            <w:r>
              <w:tab/>
              <w:t>4.6 times</w:t>
            </w:r>
          </w:p>
        </w:tc>
        <w:tc>
          <w:tcPr>
            <w:tcW w:w="3544" w:type="dxa"/>
          </w:tcPr>
          <w:p w:rsidR="004418CC" w:rsidRDefault="004418CC" w:rsidP="001F7761">
            <w:pPr>
              <w:pStyle w:val="BodyTextIndent"/>
              <w:ind w:left="0" w:firstLine="0"/>
            </w:pPr>
            <w:r>
              <w:t>340 / 3,400 x 100</w:t>
            </w:r>
          </w:p>
          <w:p w:rsidR="004418CC" w:rsidRDefault="004418CC" w:rsidP="001F7761">
            <w:pPr>
              <w:pStyle w:val="BodyTextIndent"/>
              <w:ind w:left="0" w:firstLine="0"/>
            </w:pPr>
          </w:p>
          <w:p w:rsidR="004418CC" w:rsidRDefault="004418CC" w:rsidP="001F7761">
            <w:pPr>
              <w:pStyle w:val="BodyTextIndent"/>
              <w:ind w:left="0" w:firstLine="0"/>
            </w:pPr>
            <w:r>
              <w:t>340 / 6,000 x 100</w:t>
            </w:r>
          </w:p>
          <w:p w:rsidR="004418CC" w:rsidRDefault="004418CC" w:rsidP="001F7761">
            <w:pPr>
              <w:pStyle w:val="BodyTextIndent"/>
              <w:ind w:left="0" w:firstLine="0"/>
            </w:pPr>
          </w:p>
          <w:p w:rsidR="004418CC" w:rsidRDefault="004418CC" w:rsidP="001F7761">
            <w:pPr>
              <w:pStyle w:val="BodyTextIndent"/>
              <w:ind w:left="0" w:firstLine="0"/>
            </w:pPr>
            <w:r>
              <w:t>6,000 / 3,400</w:t>
            </w:r>
          </w:p>
          <w:p w:rsidR="004418CC" w:rsidRDefault="004418CC" w:rsidP="001F7761">
            <w:pPr>
              <w:pStyle w:val="BodyTextIndent"/>
              <w:ind w:left="0" w:firstLine="0"/>
            </w:pPr>
          </w:p>
          <w:p w:rsidR="004418CC" w:rsidRDefault="004418CC" w:rsidP="001F7761">
            <w:pPr>
              <w:pStyle w:val="BodyTextIndent"/>
              <w:ind w:left="0" w:firstLine="0"/>
            </w:pPr>
            <w:r>
              <w:t>1,500 / 6,000 x 100</w:t>
            </w:r>
          </w:p>
          <w:p w:rsidR="004418CC" w:rsidRDefault="004418CC" w:rsidP="001F7761">
            <w:pPr>
              <w:pStyle w:val="BodyTextIndent"/>
              <w:ind w:left="0" w:firstLine="0"/>
            </w:pPr>
          </w:p>
          <w:p w:rsidR="004418CC" w:rsidRDefault="004418CC" w:rsidP="001F7761">
            <w:pPr>
              <w:pStyle w:val="BodyTextIndent"/>
              <w:ind w:left="0" w:firstLine="0"/>
            </w:pPr>
            <w:r>
              <w:t>(160 ) / (1,000 + 800) x 100</w:t>
            </w:r>
          </w:p>
          <w:p w:rsidR="004418CC" w:rsidRDefault="004418CC" w:rsidP="001F7761">
            <w:pPr>
              <w:pStyle w:val="BodyTextIndent"/>
              <w:ind w:left="0" w:firstLine="0"/>
            </w:pPr>
          </w:p>
          <w:p w:rsidR="004418CC" w:rsidRDefault="004418CC" w:rsidP="001F7761">
            <w:pPr>
              <w:pStyle w:val="BodyTextIndent"/>
              <w:ind w:left="0" w:firstLine="0"/>
            </w:pPr>
            <w:r>
              <w:t>1,600 / 800</w:t>
            </w:r>
          </w:p>
          <w:p w:rsidR="004418CC" w:rsidRDefault="004418CC" w:rsidP="001F7761">
            <w:pPr>
              <w:pStyle w:val="BodyTextIndent"/>
              <w:ind w:left="0" w:firstLine="0"/>
            </w:pPr>
          </w:p>
          <w:p w:rsidR="004418CC" w:rsidRDefault="004418CC" w:rsidP="001F7761">
            <w:pPr>
              <w:pStyle w:val="BodyTextIndent"/>
              <w:ind w:left="0" w:firstLine="0"/>
            </w:pPr>
            <w:r>
              <w:t>(900 + 100) / 800</w:t>
            </w:r>
          </w:p>
          <w:p w:rsidR="004418CC" w:rsidRDefault="004418CC" w:rsidP="001F7761">
            <w:pPr>
              <w:pStyle w:val="BodyTextIndent"/>
              <w:ind w:left="0" w:firstLine="0"/>
            </w:pPr>
          </w:p>
          <w:p w:rsidR="004418CC" w:rsidRDefault="004418CC" w:rsidP="001F7761">
            <w:pPr>
              <w:pStyle w:val="BodyTextIndent"/>
              <w:ind w:left="0" w:firstLine="0"/>
            </w:pPr>
            <w:r>
              <w:t>900 / 6,000 x 365</w:t>
            </w:r>
          </w:p>
          <w:p w:rsidR="004418CC" w:rsidRDefault="004418CC" w:rsidP="001F7761">
            <w:pPr>
              <w:pStyle w:val="BodyTextIndent"/>
              <w:ind w:left="0" w:firstLine="0"/>
            </w:pPr>
          </w:p>
          <w:p w:rsidR="004418CC" w:rsidRDefault="004418CC" w:rsidP="001F7761">
            <w:pPr>
              <w:pStyle w:val="BodyTextIndent"/>
              <w:ind w:left="0" w:firstLine="0"/>
            </w:pPr>
            <w:r>
              <w:t>800 / 4,500 x 365</w:t>
            </w:r>
          </w:p>
          <w:p w:rsidR="004418CC" w:rsidRDefault="004418CC" w:rsidP="001F7761">
            <w:pPr>
              <w:pStyle w:val="BodyTextIndent"/>
              <w:ind w:left="0" w:firstLine="0"/>
            </w:pPr>
          </w:p>
          <w:p w:rsidR="004418CC" w:rsidRDefault="004418CC" w:rsidP="001F7761">
            <w:pPr>
              <w:pStyle w:val="BodyTextIndent"/>
              <w:ind w:left="0" w:firstLine="0"/>
            </w:pPr>
            <w:r>
              <w:t>4,500 / 600</w:t>
            </w:r>
          </w:p>
          <w:p w:rsidR="004418CC" w:rsidRDefault="004418CC" w:rsidP="001F7761">
            <w:pPr>
              <w:pStyle w:val="BodyTextIndent"/>
              <w:ind w:left="0" w:firstLine="0"/>
            </w:pPr>
            <w:r>
              <w:t>600/4500 x 365</w:t>
            </w:r>
          </w:p>
          <w:p w:rsidR="004418CC" w:rsidRDefault="004418CC" w:rsidP="001F7761">
            <w:pPr>
              <w:pStyle w:val="BodyTextIndent"/>
              <w:ind w:left="0" w:firstLine="0"/>
            </w:pPr>
          </w:p>
          <w:p w:rsidR="004418CC" w:rsidRDefault="004418CC" w:rsidP="001F7761">
            <w:pPr>
              <w:pStyle w:val="BodyTextIndent"/>
              <w:ind w:left="0" w:firstLine="0"/>
            </w:pPr>
            <w:r>
              <w:t>160 / 1,000</w:t>
            </w:r>
          </w:p>
          <w:p w:rsidR="004418CC" w:rsidRDefault="004418CC" w:rsidP="001F7761">
            <w:pPr>
              <w:pStyle w:val="BodyTextIndent"/>
              <w:ind w:left="0" w:firstLine="0"/>
            </w:pPr>
          </w:p>
          <w:p w:rsidR="004418CC" w:rsidRDefault="004418CC" w:rsidP="001F7761">
            <w:pPr>
              <w:pStyle w:val="BodyTextIndent"/>
              <w:ind w:left="0" w:firstLine="0"/>
            </w:pPr>
            <w:r>
              <w:t>160 / 20</w:t>
            </w:r>
          </w:p>
          <w:p w:rsidR="004418CC" w:rsidRDefault="004418CC" w:rsidP="001F7761">
            <w:pPr>
              <w:pStyle w:val="BodyTextIndent"/>
              <w:ind w:left="0" w:firstLine="0"/>
            </w:pPr>
          </w:p>
          <w:p w:rsidR="004418CC" w:rsidRDefault="004418CC" w:rsidP="001F7761">
            <w:pPr>
              <w:pStyle w:val="BodyTextIndent"/>
              <w:ind w:left="0" w:firstLine="0"/>
            </w:pPr>
            <w:r>
              <w:t>(1,600) / 3,400 x 100%</w:t>
            </w:r>
          </w:p>
          <w:p w:rsidR="00F2546C" w:rsidRDefault="00F2546C" w:rsidP="001F7761">
            <w:pPr>
              <w:pStyle w:val="BodyTextIndent"/>
              <w:ind w:left="0" w:firstLine="0"/>
            </w:pPr>
          </w:p>
          <w:p w:rsidR="004418CC" w:rsidRDefault="004418CC" w:rsidP="001F7761">
            <w:pPr>
              <w:pStyle w:val="BodyTextIndent"/>
              <w:ind w:left="0" w:firstLine="0"/>
            </w:pPr>
            <w:r>
              <w:t>1600/1800  x  100%</w:t>
            </w:r>
          </w:p>
          <w:p w:rsidR="004418CC" w:rsidRDefault="004418CC" w:rsidP="001F7761">
            <w:pPr>
              <w:pStyle w:val="BodyTextIndent"/>
              <w:ind w:left="0" w:firstLine="0"/>
            </w:pPr>
          </w:p>
          <w:p w:rsidR="004418CC" w:rsidRDefault="004418CC" w:rsidP="001F7761">
            <w:pPr>
              <w:pStyle w:val="BodyTextIndent"/>
              <w:ind w:left="0" w:firstLine="0"/>
            </w:pPr>
            <w:r>
              <w:t>340/74</w:t>
            </w:r>
          </w:p>
        </w:tc>
      </w:tr>
    </w:tbl>
    <w:p w:rsidR="004418CC" w:rsidRDefault="004418CC" w:rsidP="004418CC">
      <w:pPr>
        <w:pStyle w:val="BodyTextIndent"/>
        <w:ind w:left="0" w:firstLine="0"/>
      </w:pPr>
    </w:p>
    <w:p w:rsidR="004418CC" w:rsidRDefault="004418CC" w:rsidP="004418CC">
      <w:pPr>
        <w:pStyle w:val="BodyTextIndent"/>
        <w:ind w:left="0" w:firstLine="0"/>
      </w:pPr>
    </w:p>
    <w:p w:rsidR="008B691B" w:rsidRDefault="008B691B">
      <w:pPr>
        <w:rPr>
          <w:rFonts w:ascii="Arial" w:hAnsi="Arial" w:cs="Arial"/>
        </w:rPr>
      </w:pPr>
      <w:r>
        <w:br w:type="page"/>
      </w:r>
    </w:p>
    <w:p w:rsidR="004418CC" w:rsidRDefault="004418CC" w:rsidP="004418CC">
      <w:pPr>
        <w:pStyle w:val="BodyTextIndent"/>
        <w:ind w:left="0" w:firstLine="0"/>
      </w:pPr>
    </w:p>
    <w:p w:rsidR="008B691B" w:rsidRPr="00FD1A9C" w:rsidRDefault="008B691B" w:rsidP="008B691B">
      <w:pPr>
        <w:pStyle w:val="BodyTextIndent"/>
        <w:ind w:left="0" w:firstLine="0"/>
        <w:rPr>
          <w:b/>
          <w:u w:val="single"/>
        </w:rPr>
      </w:pPr>
      <w:r w:rsidRPr="00FD1A9C">
        <w:rPr>
          <w:b/>
          <w:u w:val="single"/>
        </w:rPr>
        <w:t xml:space="preserve">Example – Calculate relevant ratios - </w:t>
      </w:r>
    </w:p>
    <w:p w:rsidR="008B691B" w:rsidRDefault="008B691B" w:rsidP="008B691B">
      <w:pPr>
        <w:pStyle w:val="BodyTextIndent"/>
        <w:ind w:left="0" w:firstLine="0"/>
      </w:pPr>
    </w:p>
    <w:p w:rsidR="008B691B" w:rsidRDefault="008B691B" w:rsidP="008B691B">
      <w:pPr>
        <w:pStyle w:val="BodyTextIndent"/>
        <w:ind w:left="0" w:firstLine="0"/>
        <w:rPr>
          <w:b/>
          <w:bCs/>
          <w:u w:val="single"/>
        </w:rPr>
      </w:pPr>
      <w:r>
        <w:rPr>
          <w:b/>
          <w:bCs/>
          <w:u w:val="single"/>
        </w:rPr>
        <w:t>Interpretation</w:t>
      </w:r>
    </w:p>
    <w:p w:rsidR="008B691B" w:rsidRDefault="008B691B" w:rsidP="008B691B">
      <w:pPr>
        <w:pStyle w:val="BodyTextIndent"/>
        <w:ind w:left="0" w:firstLine="0"/>
      </w:pPr>
    </w:p>
    <w:p w:rsidR="008B691B" w:rsidRDefault="008B691B" w:rsidP="008B691B">
      <w:pPr>
        <w:pStyle w:val="BodyTextIndent"/>
        <w:ind w:left="0" w:firstLine="0"/>
        <w:rPr>
          <w:b/>
          <w:bCs/>
        </w:rPr>
      </w:pPr>
      <w:r>
        <w:rPr>
          <w:b/>
          <w:bCs/>
        </w:rPr>
        <w:t>1.</w:t>
      </w:r>
      <w:r>
        <w:rPr>
          <w:b/>
          <w:bCs/>
        </w:rPr>
        <w:tab/>
      </w:r>
      <w:r w:rsidRPr="00FD7FC9">
        <w:rPr>
          <w:b/>
          <w:bCs/>
          <w:u w:val="single"/>
        </w:rPr>
        <w:t>Introduction</w:t>
      </w:r>
    </w:p>
    <w:p w:rsidR="008B691B" w:rsidRDefault="008B691B" w:rsidP="008B691B">
      <w:pPr>
        <w:pStyle w:val="BodyTextIndent"/>
        <w:ind w:left="0" w:firstLine="0"/>
        <w:jc w:val="both"/>
      </w:pPr>
    </w:p>
    <w:p w:rsidR="008B691B" w:rsidRDefault="008B691B" w:rsidP="008B691B">
      <w:pPr>
        <w:pStyle w:val="BodyTextIndent"/>
        <w:ind w:left="720" w:firstLine="0"/>
        <w:jc w:val="both"/>
      </w:pPr>
      <w:r>
        <w:t>The first stage of answering questions on interpretation is to calculate the ratios; the second is to draw conclusions about the company based on those ratios.  It is important to remember that there are limitations to the use of ratios, not the least of which is that a study of the trend of ratios for several years is desirable before drawing firm conclusions about many aspects of a company’s position.</w:t>
      </w:r>
    </w:p>
    <w:p w:rsidR="008B691B" w:rsidRDefault="008B691B" w:rsidP="008B691B">
      <w:pPr>
        <w:pStyle w:val="BodyTextIndent"/>
        <w:ind w:left="720" w:firstLine="0"/>
        <w:jc w:val="both"/>
      </w:pPr>
    </w:p>
    <w:p w:rsidR="008B691B" w:rsidRDefault="008B691B" w:rsidP="008B691B">
      <w:pPr>
        <w:pStyle w:val="BodyTextIndent"/>
        <w:ind w:left="720" w:firstLine="0"/>
        <w:jc w:val="both"/>
      </w:pPr>
      <w:r>
        <w:t>Let us consider what conclusions we may draw from the illustrative accounts above and the ratios derived from them.  It will be useful to consider four aspects:  profitability, liquidity, management efficiency and gearing (risk).</w:t>
      </w:r>
    </w:p>
    <w:p w:rsidR="008B691B" w:rsidRDefault="008B691B" w:rsidP="008B691B">
      <w:pPr>
        <w:pStyle w:val="BodyTextIndent"/>
        <w:ind w:left="0" w:firstLine="0"/>
        <w:jc w:val="both"/>
      </w:pPr>
    </w:p>
    <w:p w:rsidR="008B691B" w:rsidRDefault="008B691B" w:rsidP="008B691B">
      <w:pPr>
        <w:pStyle w:val="BodyTextIndent"/>
        <w:ind w:left="0" w:firstLine="0"/>
        <w:jc w:val="both"/>
        <w:rPr>
          <w:b/>
          <w:bCs/>
        </w:rPr>
      </w:pPr>
      <w:r>
        <w:rPr>
          <w:b/>
          <w:bCs/>
        </w:rPr>
        <w:t>2.</w:t>
      </w:r>
      <w:r>
        <w:rPr>
          <w:b/>
          <w:bCs/>
        </w:rPr>
        <w:tab/>
      </w:r>
      <w:r w:rsidRPr="00FD7FC9">
        <w:rPr>
          <w:b/>
          <w:bCs/>
          <w:u w:val="single"/>
        </w:rPr>
        <w:t>Profitability</w:t>
      </w:r>
    </w:p>
    <w:p w:rsidR="008B691B" w:rsidRDefault="008B691B" w:rsidP="008B691B">
      <w:pPr>
        <w:pStyle w:val="BodyTextIndent"/>
        <w:ind w:left="0" w:firstLine="0"/>
        <w:jc w:val="both"/>
      </w:pPr>
    </w:p>
    <w:p w:rsidR="008B691B" w:rsidRDefault="008B691B" w:rsidP="008B691B">
      <w:pPr>
        <w:pStyle w:val="BodyTextIndent"/>
        <w:ind w:left="720" w:firstLine="0"/>
        <w:jc w:val="both"/>
      </w:pPr>
      <w:r w:rsidRPr="0062069F">
        <w:rPr>
          <w:b/>
          <w:i/>
          <w:iCs/>
        </w:rPr>
        <w:t>Return on capital employed</w:t>
      </w:r>
      <w:r>
        <w:t xml:space="preserve"> – The company shows a return on total capital employed of 10%:  not dramatically good, but satisfactory.  Note that it exceeds the rate of interest being paid on the debentures (5.3%).  If this were not so, the company would be borrowing money by way of the debenture and investing it so that the income derived was less than the interest payable on it:  not a good deal.</w:t>
      </w:r>
    </w:p>
    <w:p w:rsidR="008B691B" w:rsidRDefault="008B691B" w:rsidP="008B691B">
      <w:pPr>
        <w:pStyle w:val="BodyTextIndent"/>
        <w:tabs>
          <w:tab w:val="left" w:pos="1965"/>
        </w:tabs>
        <w:ind w:left="720" w:firstLine="0"/>
        <w:jc w:val="both"/>
      </w:pPr>
      <w:r>
        <w:tab/>
      </w:r>
    </w:p>
    <w:p w:rsidR="008B691B" w:rsidRDefault="008B691B" w:rsidP="008B691B">
      <w:pPr>
        <w:pStyle w:val="BodyTextIndent"/>
        <w:ind w:left="720" w:firstLine="0"/>
        <w:jc w:val="both"/>
      </w:pPr>
      <w:r w:rsidRPr="0062069F">
        <w:rPr>
          <w:b/>
          <w:i/>
          <w:iCs/>
        </w:rPr>
        <w:t>Net profit as percentage of sales</w:t>
      </w:r>
      <w:r>
        <w:t xml:space="preserve"> – This is fairly low at 5.7%.  The net profit as a percentage of sales varies greatly from industry to industry:  more information is needed about the performance of other companies to draw useful conclusions about the level of this ratio.</w:t>
      </w:r>
    </w:p>
    <w:p w:rsidR="008B691B" w:rsidRDefault="008B691B" w:rsidP="008B691B">
      <w:pPr>
        <w:pStyle w:val="BodyTextIndent"/>
        <w:ind w:left="720" w:firstLine="0"/>
        <w:jc w:val="both"/>
      </w:pPr>
    </w:p>
    <w:p w:rsidR="008B691B" w:rsidRDefault="008B691B" w:rsidP="008B691B">
      <w:pPr>
        <w:pStyle w:val="BodyTextIndent"/>
        <w:ind w:left="720" w:firstLine="0"/>
        <w:jc w:val="both"/>
      </w:pPr>
      <w:r w:rsidRPr="0062069F">
        <w:rPr>
          <w:b/>
          <w:i/>
          <w:iCs/>
        </w:rPr>
        <w:t>Gross profit margin</w:t>
      </w:r>
      <w:r>
        <w:t xml:space="preserve"> – This is a more respectable 25% but again comparison to the industry average would indicate whether it is acceptable.</w:t>
      </w:r>
    </w:p>
    <w:p w:rsidR="008B691B" w:rsidRDefault="008B691B" w:rsidP="008B691B">
      <w:pPr>
        <w:pStyle w:val="BodyTextIndent"/>
        <w:ind w:left="720" w:firstLine="0"/>
        <w:jc w:val="both"/>
      </w:pPr>
    </w:p>
    <w:p w:rsidR="008B691B" w:rsidRDefault="008B691B" w:rsidP="008B691B">
      <w:pPr>
        <w:pStyle w:val="BodyTextIndent"/>
        <w:ind w:left="720" w:firstLine="0"/>
        <w:jc w:val="both"/>
      </w:pPr>
      <w:r w:rsidRPr="0062069F">
        <w:rPr>
          <w:b/>
          <w:i/>
          <w:iCs/>
        </w:rPr>
        <w:t>Return on owners’ equity</w:t>
      </w:r>
      <w:r>
        <w:t xml:space="preserve"> – The level of acceptability of 8.9% will depend on four things.</w:t>
      </w:r>
    </w:p>
    <w:p w:rsidR="008B691B" w:rsidRDefault="008B691B" w:rsidP="008B691B">
      <w:pPr>
        <w:pStyle w:val="BodyTextIndent"/>
        <w:ind w:left="720" w:firstLine="0"/>
        <w:jc w:val="both"/>
      </w:pPr>
    </w:p>
    <w:p w:rsidR="008B691B" w:rsidRDefault="008B691B" w:rsidP="008B691B">
      <w:pPr>
        <w:pStyle w:val="BodyTextIndent"/>
        <w:numPr>
          <w:ilvl w:val="0"/>
          <w:numId w:val="2"/>
        </w:numPr>
        <w:tabs>
          <w:tab w:val="clear" w:pos="720"/>
          <w:tab w:val="num" w:pos="1080"/>
        </w:tabs>
        <w:ind w:left="1080"/>
        <w:jc w:val="both"/>
      </w:pPr>
      <w:r>
        <w:t>The investors’ anticipated return and whether income or capital growth is more important.</w:t>
      </w:r>
    </w:p>
    <w:p w:rsidR="008B691B" w:rsidRDefault="008B691B" w:rsidP="008B691B">
      <w:pPr>
        <w:pStyle w:val="BodyTextIndent"/>
        <w:numPr>
          <w:ilvl w:val="0"/>
          <w:numId w:val="2"/>
        </w:numPr>
        <w:tabs>
          <w:tab w:val="clear" w:pos="720"/>
          <w:tab w:val="num" w:pos="1080"/>
        </w:tabs>
        <w:ind w:left="1080"/>
        <w:jc w:val="both"/>
      </w:pPr>
      <w:r>
        <w:t>The industry average or that of competitors.</w:t>
      </w:r>
    </w:p>
    <w:p w:rsidR="008B691B" w:rsidRDefault="008B691B" w:rsidP="008B691B">
      <w:pPr>
        <w:pStyle w:val="BodyTextIndent"/>
        <w:numPr>
          <w:ilvl w:val="0"/>
          <w:numId w:val="2"/>
        </w:numPr>
        <w:tabs>
          <w:tab w:val="clear" w:pos="720"/>
          <w:tab w:val="num" w:pos="1080"/>
        </w:tabs>
        <w:ind w:left="1080"/>
        <w:jc w:val="both"/>
      </w:pPr>
      <w:r>
        <w:t xml:space="preserve">The return available in other forms of investment, </w:t>
      </w:r>
      <w:proofErr w:type="spellStart"/>
      <w:r>
        <w:t>eg</w:t>
      </w:r>
      <w:proofErr w:type="spellEnd"/>
      <w:r>
        <w:t xml:space="preserve"> building society.</w:t>
      </w:r>
    </w:p>
    <w:p w:rsidR="008B691B" w:rsidRDefault="008B691B" w:rsidP="008B691B">
      <w:pPr>
        <w:pStyle w:val="BodyTextIndent"/>
        <w:numPr>
          <w:ilvl w:val="0"/>
          <w:numId w:val="2"/>
        </w:numPr>
        <w:tabs>
          <w:tab w:val="clear" w:pos="720"/>
          <w:tab w:val="num" w:pos="1080"/>
        </w:tabs>
        <w:ind w:left="1080"/>
        <w:jc w:val="both"/>
      </w:pPr>
      <w:r>
        <w:t xml:space="preserve">The level of capital growth, </w:t>
      </w:r>
      <w:proofErr w:type="spellStart"/>
      <w:r>
        <w:t>ie</w:t>
      </w:r>
      <w:proofErr w:type="spellEnd"/>
      <w:r>
        <w:t xml:space="preserve"> the increase in the value of the shares.</w:t>
      </w:r>
    </w:p>
    <w:p w:rsidR="008B691B" w:rsidRDefault="008B691B" w:rsidP="008B691B">
      <w:pPr>
        <w:pStyle w:val="BodyTextIndent"/>
        <w:ind w:left="360" w:firstLine="0"/>
        <w:jc w:val="both"/>
      </w:pPr>
    </w:p>
    <w:p w:rsidR="008B691B" w:rsidRDefault="008B691B" w:rsidP="008B691B">
      <w:pPr>
        <w:pStyle w:val="BodyTextIndent"/>
        <w:ind w:left="360" w:firstLine="0"/>
        <w:jc w:val="both"/>
      </w:pPr>
    </w:p>
    <w:p w:rsidR="008B691B" w:rsidRDefault="008B691B" w:rsidP="008B691B">
      <w:pPr>
        <w:pStyle w:val="BodyTextIndent"/>
        <w:ind w:left="360" w:firstLine="0"/>
        <w:jc w:val="both"/>
      </w:pPr>
    </w:p>
    <w:p w:rsidR="008B691B" w:rsidRDefault="008B691B" w:rsidP="008B691B">
      <w:pPr>
        <w:pStyle w:val="BodyTextIndent"/>
        <w:ind w:left="360" w:firstLine="0"/>
        <w:jc w:val="both"/>
      </w:pPr>
    </w:p>
    <w:p w:rsidR="008B691B" w:rsidRDefault="008B691B" w:rsidP="008B691B">
      <w:pPr>
        <w:pStyle w:val="BodyTextIndent"/>
        <w:ind w:left="360" w:firstLine="0"/>
        <w:jc w:val="both"/>
      </w:pPr>
    </w:p>
    <w:p w:rsidR="008B691B" w:rsidRDefault="008B691B" w:rsidP="008B691B">
      <w:pPr>
        <w:pStyle w:val="BodyTextIndent"/>
        <w:ind w:left="360" w:firstLine="0"/>
        <w:jc w:val="both"/>
      </w:pPr>
    </w:p>
    <w:p w:rsidR="008B691B" w:rsidRDefault="008B691B" w:rsidP="008B691B">
      <w:pPr>
        <w:pStyle w:val="BodyTextIndent"/>
        <w:ind w:left="0" w:firstLine="0"/>
        <w:jc w:val="both"/>
        <w:rPr>
          <w:b/>
          <w:bCs/>
        </w:rPr>
      </w:pPr>
      <w:r>
        <w:rPr>
          <w:b/>
          <w:bCs/>
        </w:rPr>
        <w:t>3.</w:t>
      </w:r>
      <w:r>
        <w:rPr>
          <w:b/>
          <w:bCs/>
        </w:rPr>
        <w:tab/>
      </w:r>
      <w:r w:rsidRPr="00FD7FC9">
        <w:rPr>
          <w:b/>
          <w:bCs/>
          <w:u w:val="single"/>
        </w:rPr>
        <w:t>Liquidity</w:t>
      </w:r>
    </w:p>
    <w:p w:rsidR="008B691B" w:rsidRDefault="008B691B" w:rsidP="008B691B">
      <w:pPr>
        <w:pStyle w:val="BodyTextIndent"/>
        <w:ind w:left="0" w:firstLine="0"/>
        <w:jc w:val="both"/>
      </w:pPr>
    </w:p>
    <w:p w:rsidR="008B691B" w:rsidRDefault="008B691B" w:rsidP="008B691B">
      <w:pPr>
        <w:pStyle w:val="BodyTextIndent"/>
        <w:ind w:left="720" w:firstLine="0"/>
        <w:jc w:val="both"/>
      </w:pPr>
      <w:r>
        <w:t>We measure liquidity by the use of two main ratios – the current ratio (current assets/current liabilities, here 2:1) and the quick ratio or acid test ratio (current assets – stock/current liabilities, here 1.25:1).</w:t>
      </w:r>
    </w:p>
    <w:p w:rsidR="008B691B" w:rsidRDefault="008B691B" w:rsidP="008B691B">
      <w:pPr>
        <w:pStyle w:val="BodyTextIndent"/>
        <w:ind w:left="720" w:firstLine="0"/>
        <w:jc w:val="both"/>
      </w:pPr>
    </w:p>
    <w:p w:rsidR="008B691B" w:rsidRDefault="008B691B" w:rsidP="008B691B">
      <w:pPr>
        <w:pStyle w:val="BodyTextIndent"/>
        <w:ind w:left="720" w:firstLine="0"/>
        <w:jc w:val="both"/>
      </w:pPr>
      <w:r>
        <w:t>A quick ratio of about 1:1 is normally regarded as indicating a reasonable level of liquidity.  The current ratio is often more variable, because of variations in a company’s need to hold stocks.  For example a retailer will normally hold less stock than a manufacturer, because no stocks of raw materials or work in progress will be required.  A ratio of perhaps 1.5:1 could be acceptable for the average manufacturing business.</w:t>
      </w:r>
    </w:p>
    <w:p w:rsidR="008B691B" w:rsidRDefault="008B691B" w:rsidP="008B691B">
      <w:pPr>
        <w:pStyle w:val="BodyTextIndent"/>
        <w:ind w:left="720" w:firstLine="0"/>
        <w:jc w:val="both"/>
      </w:pPr>
    </w:p>
    <w:p w:rsidR="008B691B" w:rsidRDefault="008B691B" w:rsidP="008B691B">
      <w:pPr>
        <w:pStyle w:val="BodyTextIndent"/>
        <w:ind w:left="720" w:firstLine="0"/>
        <w:jc w:val="both"/>
      </w:pPr>
      <w:r>
        <w:t>We may deduce either that the nature of this business is such that above-average stock levels are needed, or that its stock control procedures leave something to be desired.  More information is clearly needed.  The stock turnover ratio may throw more light on this aspect:  see ‘asset utilisation’ below.</w:t>
      </w:r>
    </w:p>
    <w:p w:rsidR="008B691B" w:rsidRDefault="008B691B" w:rsidP="008B691B">
      <w:pPr>
        <w:pStyle w:val="BodyTextIndent"/>
        <w:ind w:left="0" w:firstLine="0"/>
        <w:jc w:val="both"/>
      </w:pPr>
    </w:p>
    <w:p w:rsidR="008B691B" w:rsidRDefault="008B691B" w:rsidP="008B691B">
      <w:pPr>
        <w:pStyle w:val="BodyTextIndent"/>
        <w:ind w:left="0" w:firstLine="0"/>
        <w:jc w:val="both"/>
        <w:rPr>
          <w:b/>
          <w:bCs/>
        </w:rPr>
      </w:pPr>
      <w:r>
        <w:rPr>
          <w:b/>
          <w:bCs/>
        </w:rPr>
        <w:t>4.</w:t>
      </w:r>
      <w:r>
        <w:rPr>
          <w:b/>
          <w:bCs/>
        </w:rPr>
        <w:tab/>
      </w:r>
      <w:r w:rsidRPr="00FD7FC9">
        <w:rPr>
          <w:b/>
          <w:bCs/>
          <w:u w:val="single"/>
        </w:rPr>
        <w:t>Asset utilisation</w:t>
      </w:r>
      <w:r>
        <w:rPr>
          <w:b/>
          <w:bCs/>
          <w:u w:val="single"/>
        </w:rPr>
        <w:t xml:space="preserve"> </w:t>
      </w:r>
      <w:proofErr w:type="gramStart"/>
      <w:r>
        <w:rPr>
          <w:b/>
          <w:bCs/>
          <w:u w:val="single"/>
        </w:rPr>
        <w:t>( Efficiency</w:t>
      </w:r>
      <w:proofErr w:type="gramEnd"/>
      <w:r>
        <w:rPr>
          <w:b/>
          <w:bCs/>
          <w:u w:val="single"/>
        </w:rPr>
        <w:t>.)</w:t>
      </w:r>
    </w:p>
    <w:p w:rsidR="008B691B" w:rsidRDefault="008B691B" w:rsidP="008B691B">
      <w:pPr>
        <w:pStyle w:val="BodyTextIndent"/>
        <w:ind w:left="0" w:firstLine="0"/>
        <w:jc w:val="both"/>
      </w:pPr>
    </w:p>
    <w:p w:rsidR="008B691B" w:rsidRDefault="008B691B" w:rsidP="008B691B">
      <w:pPr>
        <w:pStyle w:val="BodyTextIndent"/>
        <w:ind w:left="720" w:firstLine="0"/>
        <w:jc w:val="both"/>
      </w:pPr>
      <w:r>
        <w:t>Several ratios give some idea of management efficiency.</w:t>
      </w:r>
    </w:p>
    <w:p w:rsidR="008B691B" w:rsidRDefault="008B691B" w:rsidP="008B691B">
      <w:pPr>
        <w:pStyle w:val="BodyTextIndent"/>
        <w:ind w:left="720" w:firstLine="0"/>
        <w:jc w:val="both"/>
      </w:pPr>
    </w:p>
    <w:p w:rsidR="008B691B" w:rsidRDefault="008B691B" w:rsidP="008B691B">
      <w:pPr>
        <w:pStyle w:val="BodyTextIndent"/>
        <w:ind w:left="720" w:firstLine="0"/>
        <w:jc w:val="both"/>
      </w:pPr>
      <w:r w:rsidRPr="0062069F">
        <w:rPr>
          <w:b/>
          <w:i/>
          <w:iCs/>
        </w:rPr>
        <w:t>Asset turnover ratio</w:t>
      </w:r>
      <w:r>
        <w:t xml:space="preserve"> – Unfortunately we can draw no conclusions whatsoever about the company and the efficiency of its management without more information to compare it with (the ratios for this business in past years and the ratios for other similar companies in the current year).  An increasing ratio compared with previous years for the same company or a ratio above that of other comparable companies may indicate better overall efficiency of operation.</w:t>
      </w:r>
    </w:p>
    <w:p w:rsidR="008B691B" w:rsidRDefault="008B691B" w:rsidP="008B691B">
      <w:pPr>
        <w:pStyle w:val="BodyTextIndent"/>
        <w:ind w:left="720" w:firstLine="0"/>
        <w:jc w:val="both"/>
      </w:pPr>
    </w:p>
    <w:p w:rsidR="008B691B" w:rsidRDefault="008B691B" w:rsidP="008B691B">
      <w:pPr>
        <w:pStyle w:val="BodyTextIndent"/>
        <w:ind w:left="720" w:firstLine="0"/>
        <w:jc w:val="both"/>
      </w:pPr>
      <w:r w:rsidRPr="0062069F">
        <w:rPr>
          <w:b/>
          <w:i/>
          <w:iCs/>
        </w:rPr>
        <w:t>Debtors</w:t>
      </w:r>
      <w:r>
        <w:rPr>
          <w:b/>
          <w:i/>
          <w:iCs/>
        </w:rPr>
        <w:t xml:space="preserve"> </w:t>
      </w:r>
      <w:proofErr w:type="gramStart"/>
      <w:r>
        <w:rPr>
          <w:b/>
          <w:i/>
          <w:iCs/>
        </w:rPr>
        <w:t>( Receivables</w:t>
      </w:r>
      <w:proofErr w:type="gramEnd"/>
      <w:r>
        <w:rPr>
          <w:b/>
          <w:i/>
          <w:iCs/>
        </w:rPr>
        <w:t xml:space="preserve"> )</w:t>
      </w:r>
      <w:r w:rsidRPr="0062069F">
        <w:rPr>
          <w:b/>
          <w:i/>
          <w:iCs/>
        </w:rPr>
        <w:t xml:space="preserve"> ratio</w:t>
      </w:r>
      <w:r>
        <w:rPr>
          <w:i/>
          <w:iCs/>
        </w:rPr>
        <w:t xml:space="preserve"> </w:t>
      </w:r>
      <w:r>
        <w:t>– A figure of 55 days is probably acceptable, since 60 days is often regarded as ‘par’ for a company offering normal credit terms of monthly settlement for all its sales.  Ideally we need to know whether there are substantial cash sales, or whether the business is seasonal, before making any firm statements about the efficiency of the company’s credit control.</w:t>
      </w:r>
    </w:p>
    <w:p w:rsidR="008B691B" w:rsidRDefault="008B691B" w:rsidP="008B691B">
      <w:pPr>
        <w:pStyle w:val="BodyTextIndent"/>
        <w:ind w:left="720" w:firstLine="0"/>
        <w:jc w:val="both"/>
      </w:pPr>
    </w:p>
    <w:p w:rsidR="008B691B" w:rsidRDefault="008B691B" w:rsidP="008B691B">
      <w:pPr>
        <w:pStyle w:val="BodyTextIndent"/>
        <w:ind w:left="720" w:firstLine="0"/>
        <w:jc w:val="both"/>
      </w:pPr>
      <w:r w:rsidRPr="0062069F">
        <w:rPr>
          <w:b/>
          <w:i/>
          <w:iCs/>
        </w:rPr>
        <w:t>Creditors</w:t>
      </w:r>
      <w:r>
        <w:rPr>
          <w:b/>
          <w:i/>
          <w:iCs/>
        </w:rPr>
        <w:t xml:space="preserve"> </w:t>
      </w:r>
      <w:proofErr w:type="gramStart"/>
      <w:r>
        <w:rPr>
          <w:b/>
          <w:i/>
          <w:iCs/>
        </w:rPr>
        <w:t>( Payables</w:t>
      </w:r>
      <w:proofErr w:type="gramEnd"/>
      <w:r>
        <w:rPr>
          <w:b/>
          <w:i/>
          <w:iCs/>
        </w:rPr>
        <w:t xml:space="preserve"> )</w:t>
      </w:r>
      <w:r w:rsidRPr="0062069F">
        <w:rPr>
          <w:b/>
          <w:i/>
          <w:iCs/>
        </w:rPr>
        <w:t xml:space="preserve"> ratio</w:t>
      </w:r>
      <w:r w:rsidRPr="0062069F">
        <w:rPr>
          <w:b/>
        </w:rPr>
        <w:t xml:space="preserve"> </w:t>
      </w:r>
      <w:r>
        <w:t>– This business is paying is creditors on average in 66 days.  This is after the period from which it collects its debtors (55 days) so it will help cash flow overall.  However, it must be careful not to antagonise suppliers especially if they are fundamental to the business.</w:t>
      </w:r>
    </w:p>
    <w:p w:rsidR="008B691B" w:rsidRDefault="008B691B" w:rsidP="008B691B">
      <w:pPr>
        <w:pStyle w:val="BodyTextIndent"/>
        <w:ind w:left="720" w:firstLine="0"/>
        <w:jc w:val="both"/>
      </w:pPr>
    </w:p>
    <w:p w:rsidR="008B691B" w:rsidRDefault="008B691B" w:rsidP="008B691B">
      <w:pPr>
        <w:pStyle w:val="BodyTextIndent"/>
        <w:ind w:left="720" w:firstLine="0"/>
        <w:jc w:val="both"/>
      </w:pPr>
      <w:r>
        <w:t>Ideally both debtors and creditors ratios would be compared to the industry average to see if credit terms for customers/suppliers are too harsh or too generous.</w:t>
      </w:r>
    </w:p>
    <w:p w:rsidR="008B691B" w:rsidRDefault="008B691B" w:rsidP="008B691B">
      <w:pPr>
        <w:pStyle w:val="BodyTextIndent"/>
        <w:ind w:left="720" w:firstLine="0"/>
        <w:jc w:val="both"/>
      </w:pPr>
    </w:p>
    <w:p w:rsidR="008B691B" w:rsidRDefault="008B691B" w:rsidP="008B691B">
      <w:pPr>
        <w:pStyle w:val="BodyTextIndent"/>
        <w:ind w:left="720" w:firstLine="0"/>
        <w:jc w:val="both"/>
      </w:pPr>
      <w:r w:rsidRPr="0062069F">
        <w:rPr>
          <w:b/>
          <w:i/>
          <w:iCs/>
        </w:rPr>
        <w:t>Stock turnover ratio</w:t>
      </w:r>
      <w:r>
        <w:t xml:space="preserve"> – This comes to 7.5 times.  It is again difficult to draw conclusions about this figure in isolation.  It needs to be compared with other years and with other companies.</w:t>
      </w:r>
    </w:p>
    <w:p w:rsidR="008B691B" w:rsidRDefault="008B691B" w:rsidP="008B691B">
      <w:pPr>
        <w:pStyle w:val="BodyTextIndent"/>
        <w:ind w:left="720" w:firstLine="0"/>
        <w:jc w:val="both"/>
      </w:pPr>
    </w:p>
    <w:p w:rsidR="008B691B" w:rsidRDefault="008B691B" w:rsidP="008B691B">
      <w:pPr>
        <w:pStyle w:val="BodyTextIndent"/>
        <w:ind w:left="720" w:firstLine="0"/>
        <w:jc w:val="both"/>
      </w:pPr>
    </w:p>
    <w:p w:rsidR="008B691B" w:rsidRDefault="008B691B" w:rsidP="008B691B">
      <w:pPr>
        <w:pStyle w:val="BodyTextIndent"/>
        <w:ind w:left="720" w:firstLine="0"/>
        <w:jc w:val="both"/>
      </w:pPr>
    </w:p>
    <w:p w:rsidR="008B691B" w:rsidRDefault="008B691B" w:rsidP="008B691B">
      <w:pPr>
        <w:pStyle w:val="BodyTextIndent"/>
        <w:ind w:left="720" w:firstLine="0"/>
        <w:jc w:val="both"/>
        <w:rPr>
          <w:b/>
          <w:bCs/>
        </w:rPr>
      </w:pPr>
      <w:r>
        <w:rPr>
          <w:b/>
          <w:bCs/>
        </w:rPr>
        <w:t xml:space="preserve">5.     </w:t>
      </w:r>
      <w:r w:rsidRPr="00FD7FC9">
        <w:rPr>
          <w:b/>
          <w:bCs/>
          <w:u w:val="single"/>
        </w:rPr>
        <w:t>Investor ratios</w:t>
      </w:r>
    </w:p>
    <w:p w:rsidR="008B691B" w:rsidRDefault="008B691B" w:rsidP="008B691B">
      <w:pPr>
        <w:pStyle w:val="BodyTextIndent"/>
        <w:ind w:left="720" w:firstLine="0"/>
        <w:jc w:val="both"/>
      </w:pPr>
    </w:p>
    <w:p w:rsidR="008B691B" w:rsidRDefault="008B691B" w:rsidP="008B691B">
      <w:pPr>
        <w:pStyle w:val="BodyTextIndent"/>
        <w:ind w:left="720" w:firstLine="0"/>
        <w:jc w:val="both"/>
      </w:pPr>
      <w:r w:rsidRPr="0062069F">
        <w:rPr>
          <w:b/>
          <w:i/>
          <w:iCs/>
        </w:rPr>
        <w:t>Earnings per share</w:t>
      </w:r>
      <w:r>
        <w:rPr>
          <w:i/>
          <w:iCs/>
        </w:rPr>
        <w:t xml:space="preserve"> – E</w:t>
      </w:r>
      <w:r w:rsidR="002827E1">
        <w:t>arnings per share is £</w:t>
      </w:r>
      <w:r>
        <w:t xml:space="preserve">0.16.  There are two issues here.  </w:t>
      </w:r>
    </w:p>
    <w:p w:rsidR="008B691B" w:rsidRDefault="008B691B" w:rsidP="008B691B">
      <w:pPr>
        <w:pStyle w:val="BodyTextIndent"/>
        <w:ind w:left="720" w:firstLine="0"/>
        <w:jc w:val="both"/>
      </w:pPr>
    </w:p>
    <w:p w:rsidR="008B691B" w:rsidRDefault="008B691B" w:rsidP="008B691B">
      <w:pPr>
        <w:pStyle w:val="BodyTextIndent"/>
        <w:numPr>
          <w:ilvl w:val="0"/>
          <w:numId w:val="1"/>
        </w:numPr>
        <w:tabs>
          <w:tab w:val="clear" w:pos="720"/>
          <w:tab w:val="num" w:pos="1440"/>
        </w:tabs>
        <w:ind w:left="1440"/>
        <w:jc w:val="both"/>
      </w:pPr>
      <w:r>
        <w:t>Shareholders’ expectation of the level of return on their investment.</w:t>
      </w:r>
    </w:p>
    <w:p w:rsidR="008B691B" w:rsidRDefault="008B691B" w:rsidP="008B691B">
      <w:pPr>
        <w:pStyle w:val="BodyTextIndent"/>
        <w:ind w:left="720" w:firstLine="0"/>
        <w:jc w:val="both"/>
      </w:pPr>
    </w:p>
    <w:p w:rsidR="008B691B" w:rsidRDefault="008B691B" w:rsidP="008B691B">
      <w:pPr>
        <w:pStyle w:val="BodyTextIndent"/>
        <w:numPr>
          <w:ilvl w:val="0"/>
          <w:numId w:val="1"/>
        </w:numPr>
        <w:tabs>
          <w:tab w:val="clear" w:pos="720"/>
          <w:tab w:val="num" w:pos="1440"/>
        </w:tabs>
        <w:ind w:left="1440"/>
        <w:jc w:val="both"/>
      </w:pPr>
      <w:r>
        <w:t>Industry average and competitors’ PE ratios. (Share Price : Earning’s)</w:t>
      </w:r>
    </w:p>
    <w:p w:rsidR="008B691B" w:rsidRDefault="008B691B" w:rsidP="008B691B">
      <w:pPr>
        <w:pStyle w:val="BodyTextIndent"/>
        <w:ind w:left="2138"/>
        <w:jc w:val="both"/>
      </w:pPr>
    </w:p>
    <w:p w:rsidR="008B691B" w:rsidRDefault="008B691B" w:rsidP="008B691B">
      <w:pPr>
        <w:pStyle w:val="BodyTextIndent"/>
        <w:ind w:left="720" w:firstLine="0"/>
        <w:jc w:val="both"/>
      </w:pPr>
      <w:r w:rsidRPr="0062069F">
        <w:rPr>
          <w:b/>
          <w:i/>
          <w:iCs/>
        </w:rPr>
        <w:t>Dividend cover</w:t>
      </w:r>
      <w:r>
        <w:rPr>
          <w:i/>
          <w:iCs/>
        </w:rPr>
        <w:t xml:space="preserve"> </w:t>
      </w:r>
      <w:r>
        <w:t>– This is eight times, a very secure profit to dividend ratio.  This business continues to trade in the same way then it should have no problems paying future dividends.</w:t>
      </w:r>
    </w:p>
    <w:p w:rsidR="008B691B" w:rsidRDefault="008B691B" w:rsidP="008B691B">
      <w:pPr>
        <w:pStyle w:val="BodyTextIndent"/>
        <w:ind w:left="0" w:firstLine="0"/>
        <w:jc w:val="both"/>
      </w:pPr>
    </w:p>
    <w:p w:rsidR="008B691B" w:rsidRDefault="008B691B" w:rsidP="008B691B">
      <w:pPr>
        <w:pStyle w:val="BodyTextIndent"/>
        <w:ind w:left="0" w:firstLine="0"/>
        <w:jc w:val="both"/>
      </w:pPr>
    </w:p>
    <w:p w:rsidR="008B691B" w:rsidRDefault="008B691B" w:rsidP="008B691B">
      <w:pPr>
        <w:pStyle w:val="BodyTextIndent"/>
        <w:ind w:left="0" w:firstLine="0"/>
        <w:jc w:val="both"/>
      </w:pPr>
    </w:p>
    <w:p w:rsidR="008B691B" w:rsidRPr="003C136E" w:rsidRDefault="008B691B" w:rsidP="008B691B">
      <w:pPr>
        <w:pStyle w:val="BodyTextIndent"/>
        <w:ind w:left="0" w:firstLine="0"/>
        <w:jc w:val="both"/>
        <w:rPr>
          <w:b/>
          <w:bCs/>
          <w:u w:val="single"/>
        </w:rPr>
      </w:pPr>
      <w:r>
        <w:rPr>
          <w:b/>
          <w:bCs/>
        </w:rPr>
        <w:t>6.</w:t>
      </w:r>
      <w:r>
        <w:rPr>
          <w:b/>
          <w:bCs/>
        </w:rPr>
        <w:tab/>
      </w:r>
      <w:r w:rsidRPr="003C136E">
        <w:rPr>
          <w:b/>
          <w:bCs/>
          <w:u w:val="single"/>
        </w:rPr>
        <w:t>Gearing (Risk)</w:t>
      </w:r>
    </w:p>
    <w:p w:rsidR="008B691B" w:rsidRDefault="008B691B" w:rsidP="008B691B">
      <w:pPr>
        <w:pStyle w:val="BodyTextIndent"/>
        <w:ind w:left="720" w:firstLine="0"/>
        <w:jc w:val="both"/>
      </w:pPr>
    </w:p>
    <w:p w:rsidR="008B691B" w:rsidRDefault="008B691B" w:rsidP="008B691B">
      <w:pPr>
        <w:pStyle w:val="BodyTextIndent"/>
        <w:ind w:left="720" w:firstLine="0"/>
        <w:jc w:val="both"/>
      </w:pPr>
      <w:r>
        <w:t>The gearing ratio tells us what proportion of the company’s long-term capital is provided by loans and preference shares.  The figure for this business is 47%.  Anything over 50% would probably be regarded as fairly high.  A useful basic principle is that a business with a high risk attaching to it should be low-geared:  that is, it should have the majority of the capital in the form of equity provided by ordinary shareholders.</w:t>
      </w:r>
    </w:p>
    <w:p w:rsidR="008B691B" w:rsidRDefault="008B691B" w:rsidP="008B691B">
      <w:pPr>
        <w:pStyle w:val="BodyTextIndent"/>
        <w:ind w:left="720" w:firstLine="0"/>
        <w:jc w:val="both"/>
      </w:pPr>
      <w:proofErr w:type="gramStart"/>
      <w:r>
        <w:t>( Note</w:t>
      </w:r>
      <w:proofErr w:type="gramEnd"/>
      <w:r>
        <w:t xml:space="preserve"> : the other gearing ratio was 89 %. )</w:t>
      </w:r>
    </w:p>
    <w:p w:rsidR="008B691B" w:rsidRDefault="008B691B" w:rsidP="008B691B">
      <w:pPr>
        <w:pStyle w:val="BodyTextIndent"/>
        <w:ind w:left="720" w:firstLine="0"/>
        <w:jc w:val="both"/>
      </w:pPr>
    </w:p>
    <w:p w:rsidR="008B691B" w:rsidRDefault="008B691B" w:rsidP="008B691B">
      <w:pPr>
        <w:pStyle w:val="BodyTextIndent"/>
        <w:ind w:left="720" w:firstLine="0"/>
        <w:jc w:val="both"/>
      </w:pPr>
      <w:r w:rsidRPr="0062069F">
        <w:rPr>
          <w:b/>
          <w:i/>
          <w:iCs/>
        </w:rPr>
        <w:t>Interest cover</w:t>
      </w:r>
      <w:r>
        <w:t xml:space="preserve"> – This is 4.6 times.  This may be considered reasonable until you compare it to other companies within the industry.</w:t>
      </w:r>
    </w:p>
    <w:p w:rsidR="008B691B" w:rsidRDefault="008B691B" w:rsidP="008B691B">
      <w:pPr>
        <w:pStyle w:val="BodyTextIndent"/>
        <w:ind w:left="720" w:firstLine="0"/>
        <w:jc w:val="both"/>
      </w:pPr>
    </w:p>
    <w:p w:rsidR="00EC166C" w:rsidRDefault="00EC166C" w:rsidP="004418CC"/>
    <w:sectPr w:rsidR="00EC166C" w:rsidSect="00EC166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36B65" w:rsidRDefault="00C36B65" w:rsidP="00F2546C">
      <w:r>
        <w:separator/>
      </w:r>
    </w:p>
  </w:endnote>
  <w:endnote w:type="continuationSeparator" w:id="0">
    <w:p w:rsidR="00C36B65" w:rsidRDefault="00C36B65" w:rsidP="00F2546C">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36B65" w:rsidRDefault="00C36B65" w:rsidP="00F2546C">
      <w:r>
        <w:separator/>
      </w:r>
    </w:p>
  </w:footnote>
  <w:footnote w:type="continuationSeparator" w:id="0">
    <w:p w:rsidR="00C36B65" w:rsidRDefault="00C36B65" w:rsidP="00F2546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11C75CD"/>
    <w:multiLevelType w:val="hybridMultilevel"/>
    <w:tmpl w:val="387A19FC"/>
    <w:lvl w:ilvl="0" w:tplc="94700FE2">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750468DA"/>
    <w:multiLevelType w:val="hybridMultilevel"/>
    <w:tmpl w:val="62829496"/>
    <w:lvl w:ilvl="0" w:tplc="94700FE2">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418CC"/>
    <w:rsid w:val="001F7761"/>
    <w:rsid w:val="002827E1"/>
    <w:rsid w:val="003D16B8"/>
    <w:rsid w:val="004418CC"/>
    <w:rsid w:val="00775652"/>
    <w:rsid w:val="007D043A"/>
    <w:rsid w:val="008B086E"/>
    <w:rsid w:val="008B691B"/>
    <w:rsid w:val="008E0B5D"/>
    <w:rsid w:val="00A84D54"/>
    <w:rsid w:val="00AB15A7"/>
    <w:rsid w:val="00C36B65"/>
    <w:rsid w:val="00D4758A"/>
    <w:rsid w:val="00EC166C"/>
    <w:rsid w:val="00F2546C"/>
    <w:rsid w:val="00F97BC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18CC"/>
    <w:rPr>
      <w:rFonts w:ascii="Times New Roman" w:eastAsia="Times New Roman" w:hAnsi="Times New Roman"/>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rsid w:val="004418CC"/>
    <w:pPr>
      <w:ind w:left="1418" w:hanging="1418"/>
    </w:pPr>
    <w:rPr>
      <w:rFonts w:ascii="Arial" w:hAnsi="Arial" w:cs="Arial"/>
    </w:rPr>
  </w:style>
  <w:style w:type="character" w:customStyle="1" w:styleId="BodyTextIndentChar">
    <w:name w:val="Body Text Indent Char"/>
    <w:link w:val="BodyTextIndent"/>
    <w:rsid w:val="004418CC"/>
    <w:rPr>
      <w:rFonts w:ascii="Arial" w:eastAsia="Times New Roman" w:hAnsi="Arial" w:cs="Arial"/>
      <w:sz w:val="24"/>
      <w:szCs w:val="24"/>
    </w:rPr>
  </w:style>
  <w:style w:type="paragraph" w:styleId="Header">
    <w:name w:val="header"/>
    <w:basedOn w:val="Normal"/>
    <w:link w:val="HeaderChar"/>
    <w:uiPriority w:val="99"/>
    <w:semiHidden/>
    <w:unhideWhenUsed/>
    <w:rsid w:val="00F2546C"/>
    <w:pPr>
      <w:tabs>
        <w:tab w:val="center" w:pos="4819"/>
        <w:tab w:val="right" w:pos="9638"/>
      </w:tabs>
    </w:pPr>
  </w:style>
  <w:style w:type="character" w:customStyle="1" w:styleId="HeaderChar">
    <w:name w:val="Header Char"/>
    <w:link w:val="Header"/>
    <w:uiPriority w:val="99"/>
    <w:semiHidden/>
    <w:rsid w:val="00F2546C"/>
    <w:rPr>
      <w:rFonts w:ascii="Times New Roman" w:eastAsia="Times New Roman" w:hAnsi="Times New Roman"/>
      <w:sz w:val="24"/>
      <w:szCs w:val="24"/>
      <w:lang w:val="en-GB" w:eastAsia="en-US"/>
    </w:rPr>
  </w:style>
  <w:style w:type="paragraph" w:styleId="Footer">
    <w:name w:val="footer"/>
    <w:basedOn w:val="Normal"/>
    <w:link w:val="FooterChar"/>
    <w:uiPriority w:val="99"/>
    <w:semiHidden/>
    <w:unhideWhenUsed/>
    <w:rsid w:val="00F2546C"/>
    <w:pPr>
      <w:tabs>
        <w:tab w:val="center" w:pos="4819"/>
        <w:tab w:val="right" w:pos="9638"/>
      </w:tabs>
    </w:pPr>
  </w:style>
  <w:style w:type="character" w:customStyle="1" w:styleId="FooterChar">
    <w:name w:val="Footer Char"/>
    <w:link w:val="Footer"/>
    <w:uiPriority w:val="99"/>
    <w:semiHidden/>
    <w:rsid w:val="00F2546C"/>
    <w:rPr>
      <w:rFonts w:ascii="Times New Roman" w:eastAsia="Times New Roman" w:hAnsi="Times New Roman"/>
      <w:sz w:val="24"/>
      <w:szCs w:val="24"/>
      <w:lang w:val="en-GB"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960</Words>
  <Characters>5476</Characters>
  <Application>Microsoft Office Word</Application>
  <DocSecurity>0</DocSecurity>
  <Lines>45</Lines>
  <Paragraphs>12</Paragraphs>
  <ScaleCrop>false</ScaleCrop>
  <HeadingPairs>
    <vt:vector size="4" baseType="variant">
      <vt:variant>
        <vt:lpstr>Title</vt:lpstr>
      </vt:variant>
      <vt:variant>
        <vt:i4>1</vt:i4>
      </vt:variant>
      <vt:variant>
        <vt:lpstr>Otsikko</vt:lpstr>
      </vt:variant>
      <vt:variant>
        <vt:i4>1</vt:i4>
      </vt:variant>
    </vt:vector>
  </HeadingPairs>
  <TitlesOfParts>
    <vt:vector size="2" baseType="lpstr">
      <vt:lpstr/>
      <vt:lpstr/>
    </vt:vector>
  </TitlesOfParts>
  <Company>Swansea Metropolitan University</Company>
  <LinksUpToDate>false</LinksUpToDate>
  <CharactersWithSpaces>6424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Owen lewis</dc:creator>
  <cp:lastModifiedBy>Administrator</cp:lastModifiedBy>
  <cp:revision>5</cp:revision>
  <dcterms:created xsi:type="dcterms:W3CDTF">2017-07-26T11:51:00Z</dcterms:created>
  <dcterms:modified xsi:type="dcterms:W3CDTF">2017-10-02T15:55:00Z</dcterms:modified>
</cp:coreProperties>
</file>