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506" w:rsidRPr="008B6506" w:rsidRDefault="008B6506" w:rsidP="008B650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8B6506">
        <w:rPr>
          <w:rFonts w:ascii="Times New Roman" w:eastAsia="Times New Roman" w:hAnsi="Times New Roman" w:cs="Times New Roman"/>
          <w:b/>
          <w:bCs/>
          <w:kern w:val="36"/>
          <w:sz w:val="48"/>
          <w:szCs w:val="48"/>
          <w:lang w:eastAsia="en-GB"/>
        </w:rPr>
        <w:t>State Responses to Pro-Palestine Civil Disobedience: A Comparative Analysis of the United Kingdom and Turkey</w:t>
      </w:r>
    </w:p>
    <w:p w:rsidR="008B6506" w:rsidRPr="008B6506" w:rsidRDefault="008B6506" w:rsidP="008B650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B6506">
        <w:rPr>
          <w:rFonts w:ascii="Times New Roman" w:eastAsia="Times New Roman" w:hAnsi="Times New Roman" w:cs="Times New Roman"/>
          <w:b/>
          <w:bCs/>
          <w:sz w:val="36"/>
          <w:szCs w:val="36"/>
          <w:lang w:eastAsia="en-GB"/>
        </w:rPr>
        <w:t>Introduction</w:t>
      </w:r>
    </w:p>
    <w:p w:rsidR="008B6506" w:rsidRDefault="004F4BAB" w:rsidP="00C96E33">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Following October 7</w:t>
      </w:r>
      <w:r w:rsidRPr="004F4BAB">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2023, and the resultant pro-Palestine protests that have consistently been taking place since th</w:t>
      </w:r>
      <w:r w:rsidR="00A77EA8">
        <w:rPr>
          <w:rFonts w:ascii="Times New Roman" w:eastAsia="Times New Roman" w:hAnsi="Times New Roman" w:cs="Times New Roman"/>
          <w:sz w:val="24"/>
          <w:szCs w:val="24"/>
          <w:lang w:eastAsia="en-GB"/>
        </w:rPr>
        <w:t>en, there has</w:t>
      </w:r>
      <w:r w:rsidR="00A56CC8">
        <w:rPr>
          <w:rFonts w:ascii="Times New Roman" w:eastAsia="Times New Roman" w:hAnsi="Times New Roman" w:cs="Times New Roman"/>
          <w:sz w:val="24"/>
          <w:szCs w:val="24"/>
          <w:lang w:eastAsia="en-GB"/>
        </w:rPr>
        <w:t xml:space="preserve"> been a </w:t>
      </w:r>
      <w:r w:rsidR="00A77EA8">
        <w:rPr>
          <w:rFonts w:ascii="Times New Roman" w:eastAsia="Times New Roman" w:hAnsi="Times New Roman" w:cs="Times New Roman"/>
          <w:sz w:val="24"/>
          <w:szCs w:val="24"/>
          <w:lang w:eastAsia="en-GB"/>
        </w:rPr>
        <w:t xml:space="preserve"> reigniting of</w:t>
      </w:r>
      <w:r>
        <w:rPr>
          <w:rFonts w:ascii="Times New Roman" w:eastAsia="Times New Roman" w:hAnsi="Times New Roman" w:cs="Times New Roman"/>
          <w:sz w:val="24"/>
          <w:szCs w:val="24"/>
          <w:lang w:eastAsia="en-GB"/>
        </w:rPr>
        <w:t xml:space="preserve"> scholarly debates on the topic regarding how and why st</w:t>
      </w:r>
      <w:r w:rsidR="00A56CC8">
        <w:rPr>
          <w:rFonts w:ascii="Times New Roman" w:eastAsia="Times New Roman" w:hAnsi="Times New Roman" w:cs="Times New Roman"/>
          <w:sz w:val="24"/>
          <w:szCs w:val="24"/>
          <w:lang w:eastAsia="en-GB"/>
        </w:rPr>
        <w:t>ates respond in the ways they respond</w:t>
      </w:r>
      <w:r>
        <w:rPr>
          <w:rFonts w:ascii="Times New Roman" w:eastAsia="Times New Roman" w:hAnsi="Times New Roman" w:cs="Times New Roman"/>
          <w:sz w:val="24"/>
          <w:szCs w:val="24"/>
          <w:lang w:eastAsia="en-GB"/>
        </w:rPr>
        <w:t xml:space="preserve"> to this form of civil disobedience, especially in</w:t>
      </w:r>
      <w:r w:rsidR="00BF1F2F">
        <w:rPr>
          <w:rFonts w:ascii="Times New Roman" w:eastAsia="Times New Roman" w:hAnsi="Times New Roman" w:cs="Times New Roman"/>
          <w:sz w:val="24"/>
          <w:szCs w:val="24"/>
          <w:lang w:eastAsia="en-GB"/>
        </w:rPr>
        <w:t xml:space="preserve"> place where it may appear increasingly as a political nuisance. States around the world have responded in a plethora of ways, </w:t>
      </w:r>
      <w:r w:rsidR="00A56CC8">
        <w:rPr>
          <w:rFonts w:ascii="Times New Roman" w:eastAsia="Times New Roman" w:hAnsi="Times New Roman" w:cs="Times New Roman"/>
          <w:sz w:val="24"/>
          <w:szCs w:val="24"/>
          <w:lang w:eastAsia="en-GB"/>
        </w:rPr>
        <w:t>with very few allowing free rei</w:t>
      </w:r>
      <w:r w:rsidR="00BF1F2F">
        <w:rPr>
          <w:rFonts w:ascii="Times New Roman" w:eastAsia="Times New Roman" w:hAnsi="Times New Roman" w:cs="Times New Roman"/>
          <w:sz w:val="24"/>
          <w:szCs w:val="24"/>
          <w:lang w:eastAsia="en-GB"/>
        </w:rPr>
        <w:t xml:space="preserve">n to civil disobedience protestors. The majority of countries have seen negative repercussions to these pro-Palestine protests the longer they have gone on, which has included legal action and repression but also shifts in the ways states behave. This raises an important question regarding in particular states that are formally democratic and how within these states, their treatment of protestors differs and how they see and treat dissent that may be legitimate and the threat perception it leads to. </w:t>
      </w:r>
    </w:p>
    <w:p w:rsidR="008B6506" w:rsidRDefault="00212067" w:rsidP="008B650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essay takes an informed look at the question using a comparative analysis methodological approach between the United Kingdom and Turkey, with a focus on their responses to pro-Palestine civil disobedience. Both Turkey and the UK are formally electoral democracies, both allow protest in principle, and both have due to t</w:t>
      </w:r>
      <w:r w:rsidR="00CD3512">
        <w:rPr>
          <w:rFonts w:ascii="Times New Roman" w:eastAsia="Times New Roman" w:hAnsi="Times New Roman" w:cs="Times New Roman"/>
          <w:sz w:val="24"/>
          <w:szCs w:val="24"/>
          <w:lang w:eastAsia="en-GB"/>
        </w:rPr>
        <w:t>heir large religiously</w:t>
      </w:r>
      <w:r>
        <w:rPr>
          <w:rFonts w:ascii="Times New Roman" w:eastAsia="Times New Roman" w:hAnsi="Times New Roman" w:cs="Times New Roman"/>
          <w:sz w:val="24"/>
          <w:szCs w:val="24"/>
          <w:lang w:eastAsia="en-GB"/>
        </w:rPr>
        <w:t xml:space="preserve"> diverse demographic backgrounds, seen mass protests in support of Palestine on a large scale reminiscent of the anti-Iraq war protests in 2003. However, they diverge significantly in how their governments and institutions are structured, in the behaviour of the regimes and </w:t>
      </w:r>
      <w:r w:rsidR="00F6035C">
        <w:rPr>
          <w:rFonts w:ascii="Times New Roman" w:eastAsia="Times New Roman" w:hAnsi="Times New Roman" w:cs="Times New Roman"/>
          <w:sz w:val="24"/>
          <w:szCs w:val="24"/>
          <w:lang w:eastAsia="en-GB"/>
        </w:rPr>
        <w:t>the approaches of their respective leaders</w:t>
      </w:r>
      <w:r>
        <w:rPr>
          <w:rFonts w:ascii="Times New Roman" w:eastAsia="Times New Roman" w:hAnsi="Times New Roman" w:cs="Times New Roman"/>
          <w:sz w:val="24"/>
          <w:szCs w:val="24"/>
          <w:lang w:eastAsia="en-GB"/>
        </w:rPr>
        <w:t xml:space="preserve">, and their limits as to what they permit as a form of legitimate protest. </w:t>
      </w:r>
    </w:p>
    <w:p w:rsidR="005D5435" w:rsidRDefault="005D5435" w:rsidP="008B650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political philosopher John Rawls describes civil disobediences as a ‘reasonable and prudent form of</w:t>
      </w:r>
      <w:r w:rsidR="00F6035C">
        <w:rPr>
          <w:rFonts w:ascii="Times New Roman" w:eastAsia="Times New Roman" w:hAnsi="Times New Roman" w:cs="Times New Roman"/>
          <w:sz w:val="24"/>
          <w:szCs w:val="24"/>
          <w:lang w:eastAsia="en-GB"/>
        </w:rPr>
        <w:t xml:space="preserve"> political dissent’ that aspires</w:t>
      </w:r>
      <w:r>
        <w:rPr>
          <w:rFonts w:ascii="Times New Roman" w:eastAsia="Times New Roman" w:hAnsi="Times New Roman" w:cs="Times New Roman"/>
          <w:sz w:val="24"/>
          <w:szCs w:val="24"/>
          <w:lang w:eastAsia="en-GB"/>
        </w:rPr>
        <w:t xml:space="preserve"> to appeal to ‘the sense of the justice of the majority.’</w:t>
      </w:r>
      <w:r>
        <w:rPr>
          <w:rStyle w:val="FootnoteReference"/>
          <w:rFonts w:ascii="Times New Roman" w:eastAsia="Times New Roman" w:hAnsi="Times New Roman" w:cs="Times New Roman"/>
          <w:sz w:val="24"/>
          <w:szCs w:val="24"/>
          <w:lang w:eastAsia="en-GB"/>
        </w:rPr>
        <w:footnoteReference w:id="1"/>
      </w:r>
      <w:r w:rsidR="007036C6">
        <w:rPr>
          <w:rFonts w:ascii="Times New Roman" w:eastAsia="Times New Roman" w:hAnsi="Times New Roman" w:cs="Times New Roman"/>
          <w:sz w:val="24"/>
          <w:szCs w:val="24"/>
          <w:lang w:eastAsia="en-GB"/>
        </w:rPr>
        <w:t xml:space="preserve"> It expects the society to be ‘nearly just’ and assumes that citizens largely accept the democratic nature and structure of the states they live in, but that they also seek through these </w:t>
      </w:r>
      <w:r w:rsidR="00272E4D">
        <w:rPr>
          <w:rFonts w:ascii="Times New Roman" w:eastAsia="Times New Roman" w:hAnsi="Times New Roman" w:cs="Times New Roman"/>
          <w:sz w:val="24"/>
          <w:szCs w:val="24"/>
          <w:lang w:eastAsia="en-GB"/>
        </w:rPr>
        <w:t>means</w:t>
      </w:r>
      <w:r w:rsidR="007036C6">
        <w:rPr>
          <w:rFonts w:ascii="Times New Roman" w:eastAsia="Times New Roman" w:hAnsi="Times New Roman" w:cs="Times New Roman"/>
          <w:sz w:val="24"/>
          <w:szCs w:val="24"/>
          <w:lang w:eastAsia="en-GB"/>
        </w:rPr>
        <w:t xml:space="preserve"> a form of justice and reform.</w:t>
      </w:r>
      <w:r w:rsidR="00272E4D">
        <w:rPr>
          <w:rStyle w:val="FootnoteReference"/>
          <w:rFonts w:ascii="Times New Roman" w:eastAsia="Times New Roman" w:hAnsi="Times New Roman" w:cs="Times New Roman"/>
          <w:sz w:val="24"/>
          <w:szCs w:val="24"/>
          <w:lang w:eastAsia="en-GB"/>
        </w:rPr>
        <w:footnoteReference w:id="2"/>
      </w:r>
      <w:r w:rsidR="007036C6">
        <w:rPr>
          <w:rFonts w:ascii="Times New Roman" w:eastAsia="Times New Roman" w:hAnsi="Times New Roman" w:cs="Times New Roman"/>
          <w:sz w:val="24"/>
          <w:szCs w:val="24"/>
          <w:lang w:eastAsia="en-GB"/>
        </w:rPr>
        <w:t xml:space="preserve"> </w:t>
      </w:r>
      <w:r w:rsidR="00C01C13">
        <w:rPr>
          <w:rFonts w:ascii="Times New Roman" w:eastAsia="Times New Roman" w:hAnsi="Times New Roman" w:cs="Times New Roman"/>
          <w:sz w:val="24"/>
          <w:szCs w:val="24"/>
          <w:lang w:eastAsia="en-GB"/>
        </w:rPr>
        <w:t xml:space="preserve">This normative framework serves </w:t>
      </w:r>
      <w:r w:rsidR="00F6035C">
        <w:rPr>
          <w:rFonts w:ascii="Times New Roman" w:eastAsia="Times New Roman" w:hAnsi="Times New Roman" w:cs="Times New Roman"/>
          <w:sz w:val="24"/>
          <w:szCs w:val="24"/>
          <w:lang w:eastAsia="en-GB"/>
        </w:rPr>
        <w:t xml:space="preserve">as </w:t>
      </w:r>
      <w:proofErr w:type="spellStart"/>
      <w:r w:rsidR="00F6035C">
        <w:rPr>
          <w:rFonts w:ascii="Times New Roman" w:eastAsia="Times New Roman" w:hAnsi="Times New Roman" w:cs="Times New Roman"/>
          <w:sz w:val="24"/>
          <w:szCs w:val="24"/>
          <w:lang w:eastAsia="en-GB"/>
        </w:rPr>
        <w:t>a</w:t>
      </w:r>
      <w:r w:rsidR="00C01C13">
        <w:rPr>
          <w:rFonts w:ascii="Times New Roman" w:eastAsia="Times New Roman" w:hAnsi="Times New Roman" w:cs="Times New Roman"/>
          <w:sz w:val="24"/>
          <w:szCs w:val="24"/>
          <w:lang w:eastAsia="en-GB"/>
        </w:rPr>
        <w:t>measuring</w:t>
      </w:r>
      <w:proofErr w:type="spellEnd"/>
      <w:r w:rsidR="00C01C13">
        <w:rPr>
          <w:rFonts w:ascii="Times New Roman" w:eastAsia="Times New Roman" w:hAnsi="Times New Roman" w:cs="Times New Roman"/>
          <w:sz w:val="24"/>
          <w:szCs w:val="24"/>
          <w:lang w:eastAsia="en-GB"/>
        </w:rPr>
        <w:t xml:space="preserve"> tool to assess and evaluate the responses of Turkey and the UK. </w:t>
      </w:r>
    </w:p>
    <w:p w:rsidR="000F7D3A" w:rsidRDefault="00312B3A" w:rsidP="003C74F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main or central argument for this essay is that while both these states formally allow protests in support of Palestine, threat perception as well as the difference in regime t</w:t>
      </w:r>
      <w:r w:rsidR="00540DEB">
        <w:rPr>
          <w:rFonts w:ascii="Times New Roman" w:eastAsia="Times New Roman" w:hAnsi="Times New Roman" w:cs="Times New Roman"/>
          <w:sz w:val="24"/>
          <w:szCs w:val="24"/>
          <w:lang w:eastAsia="en-GB"/>
        </w:rPr>
        <w:t xml:space="preserve">ype leads to divergent </w:t>
      </w:r>
      <w:r>
        <w:rPr>
          <w:rFonts w:ascii="Times New Roman" w:eastAsia="Times New Roman" w:hAnsi="Times New Roman" w:cs="Times New Roman"/>
          <w:sz w:val="24"/>
          <w:szCs w:val="24"/>
          <w:lang w:eastAsia="en-GB"/>
        </w:rPr>
        <w:t xml:space="preserve">state responses. </w:t>
      </w:r>
      <w:r w:rsidR="00540DEB">
        <w:rPr>
          <w:rFonts w:ascii="Times New Roman" w:eastAsia="Times New Roman" w:hAnsi="Times New Roman" w:cs="Times New Roman"/>
          <w:sz w:val="24"/>
          <w:szCs w:val="24"/>
          <w:lang w:eastAsia="en-GB"/>
        </w:rPr>
        <w:t>The</w:t>
      </w:r>
      <w:r w:rsidR="003C74F7">
        <w:rPr>
          <w:rFonts w:ascii="Times New Roman" w:eastAsia="Times New Roman" w:hAnsi="Times New Roman" w:cs="Times New Roman"/>
          <w:sz w:val="24"/>
          <w:szCs w:val="24"/>
          <w:lang w:eastAsia="en-GB"/>
        </w:rPr>
        <w:t xml:space="preserve"> UK responds to civil disobedient dissent through a legal route within a governing structure that allows opportunity, but on the other hand, Turkey which is a competitive authoritarian regime, more carefully and restrictively responds to protest so as to protect the executive power structure. However, this essay adds a supplementary and insi</w:t>
      </w:r>
      <w:r w:rsidR="00540DEB">
        <w:rPr>
          <w:rFonts w:ascii="Times New Roman" w:eastAsia="Times New Roman" w:hAnsi="Times New Roman" w:cs="Times New Roman"/>
          <w:sz w:val="24"/>
          <w:szCs w:val="24"/>
          <w:lang w:eastAsia="en-GB"/>
        </w:rPr>
        <w:t>ghtful analytical layer:</w:t>
      </w:r>
      <w:r w:rsidR="003C74F7">
        <w:rPr>
          <w:rFonts w:ascii="Times New Roman" w:eastAsia="Times New Roman" w:hAnsi="Times New Roman" w:cs="Times New Roman"/>
          <w:sz w:val="24"/>
          <w:szCs w:val="24"/>
          <w:lang w:eastAsia="en-GB"/>
        </w:rPr>
        <w:t xml:space="preserve"> within the UK, recently, state responses have targeted and repressed Muslim and ethnic minority communities with greater force and in a disproportionate way through state machinations. </w:t>
      </w:r>
    </w:p>
    <w:p w:rsidR="008B6506" w:rsidRPr="008B6506" w:rsidRDefault="008B6506" w:rsidP="003C74F7">
      <w:pPr>
        <w:spacing w:before="100" w:beforeAutospacing="1" w:after="100" w:afterAutospacing="1" w:line="240" w:lineRule="auto"/>
        <w:rPr>
          <w:rFonts w:ascii="Times New Roman" w:eastAsia="Times New Roman" w:hAnsi="Times New Roman" w:cs="Times New Roman"/>
          <w:sz w:val="24"/>
          <w:szCs w:val="24"/>
          <w:lang w:eastAsia="en-GB"/>
        </w:rPr>
      </w:pPr>
      <w:r w:rsidRPr="008B6506">
        <w:rPr>
          <w:rFonts w:ascii="Times New Roman" w:eastAsia="Times New Roman" w:hAnsi="Times New Roman" w:cs="Times New Roman"/>
          <w:b/>
          <w:bCs/>
          <w:sz w:val="36"/>
          <w:szCs w:val="36"/>
          <w:lang w:eastAsia="en-GB"/>
        </w:rPr>
        <w:lastRenderedPageBreak/>
        <w:t>Theoretical Framework</w:t>
      </w:r>
    </w:p>
    <w:p w:rsidR="008B6506" w:rsidRPr="008B6506" w:rsidRDefault="008B6506" w:rsidP="008B650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B6506">
        <w:rPr>
          <w:rFonts w:ascii="Times New Roman" w:eastAsia="Times New Roman" w:hAnsi="Times New Roman" w:cs="Times New Roman"/>
          <w:b/>
          <w:bCs/>
          <w:sz w:val="27"/>
          <w:szCs w:val="27"/>
          <w:lang w:eastAsia="en-GB"/>
        </w:rPr>
        <w:t>Civil disobedience and democratic legitimacy</w:t>
      </w:r>
    </w:p>
    <w:p w:rsidR="00E46044" w:rsidRDefault="00E46044" w:rsidP="008B650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Rawls sees or explains civil disobedience as a medium within societies that are democratic and that permit their citizenry to engage in actions that seek justice albeit while still respecting the law of the land.</w:t>
      </w:r>
      <w:r w:rsidR="001945CD">
        <w:rPr>
          <w:rStyle w:val="FootnoteReference"/>
          <w:rFonts w:ascii="Times New Roman" w:eastAsia="Times New Roman" w:hAnsi="Times New Roman" w:cs="Times New Roman"/>
          <w:sz w:val="24"/>
          <w:szCs w:val="24"/>
          <w:lang w:eastAsia="en-GB"/>
        </w:rPr>
        <w:footnoteReference w:id="3"/>
      </w:r>
      <w:r>
        <w:rPr>
          <w:rFonts w:ascii="Times New Roman" w:eastAsia="Times New Roman" w:hAnsi="Times New Roman" w:cs="Times New Roman"/>
          <w:sz w:val="24"/>
          <w:szCs w:val="24"/>
          <w:lang w:eastAsia="en-GB"/>
        </w:rPr>
        <w:t xml:space="preserve"> It functions to ‘address the sense of justice of the majority’ and to ‘correct departures from justice.’</w:t>
      </w:r>
      <w:r>
        <w:rPr>
          <w:rStyle w:val="FootnoteReference"/>
          <w:rFonts w:ascii="Times New Roman" w:eastAsia="Times New Roman" w:hAnsi="Times New Roman" w:cs="Times New Roman"/>
          <w:sz w:val="24"/>
          <w:szCs w:val="24"/>
          <w:lang w:eastAsia="en-GB"/>
        </w:rPr>
        <w:footnoteReference w:id="4"/>
      </w:r>
      <w:r w:rsidR="00D100C8">
        <w:rPr>
          <w:rFonts w:ascii="Times New Roman" w:eastAsia="Times New Roman" w:hAnsi="Times New Roman" w:cs="Times New Roman"/>
          <w:sz w:val="24"/>
          <w:szCs w:val="24"/>
          <w:lang w:eastAsia="en-GB"/>
        </w:rPr>
        <w:t xml:space="preserve"> This idea is based on the assumption that institutions are democratic and open to issues raised by citizens of a moral nature. However, this assumption becomes problematic when state responses include high securitisation of protests or unfairly apply the law to different people groups within the state, specifically different racial groups. </w:t>
      </w:r>
    </w:p>
    <w:p w:rsidR="00CF1744" w:rsidRPr="001A6672" w:rsidRDefault="008B6506" w:rsidP="001A667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B6506">
        <w:rPr>
          <w:rFonts w:ascii="Times New Roman" w:eastAsia="Times New Roman" w:hAnsi="Times New Roman" w:cs="Times New Roman"/>
          <w:b/>
          <w:bCs/>
          <w:sz w:val="27"/>
          <w:szCs w:val="27"/>
          <w:lang w:eastAsia="en-GB"/>
        </w:rPr>
        <w:t>Political opportunity structure (POS)</w:t>
      </w:r>
    </w:p>
    <w:p w:rsidR="001A6672" w:rsidRDefault="00CF1744" w:rsidP="008B650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Political opportunity structure theory refers to the i</w:t>
      </w:r>
      <w:r w:rsidR="00540DEB">
        <w:rPr>
          <w:rFonts w:ascii="Times New Roman" w:eastAsia="Times New Roman" w:hAnsi="Times New Roman" w:cs="Times New Roman"/>
          <w:sz w:val="24"/>
          <w:szCs w:val="24"/>
          <w:lang w:eastAsia="en-GB"/>
        </w:rPr>
        <w:t>nterplay between how open state</w:t>
      </w:r>
      <w:r>
        <w:rPr>
          <w:rFonts w:ascii="Times New Roman" w:eastAsia="Times New Roman" w:hAnsi="Times New Roman" w:cs="Times New Roman"/>
          <w:sz w:val="24"/>
          <w:szCs w:val="24"/>
          <w:lang w:eastAsia="en-GB"/>
        </w:rPr>
        <w:t xml:space="preserve"> institutions are and how they deal with political mobilisation. </w:t>
      </w:r>
      <w:proofErr w:type="spellStart"/>
      <w:r>
        <w:rPr>
          <w:rFonts w:ascii="Times New Roman" w:eastAsia="Times New Roman" w:hAnsi="Times New Roman" w:cs="Times New Roman"/>
          <w:sz w:val="24"/>
          <w:szCs w:val="24"/>
          <w:lang w:eastAsia="en-GB"/>
        </w:rPr>
        <w:t>Tarrow</w:t>
      </w:r>
      <w:proofErr w:type="spellEnd"/>
      <w:r>
        <w:rPr>
          <w:rFonts w:ascii="Times New Roman" w:eastAsia="Times New Roman" w:hAnsi="Times New Roman" w:cs="Times New Roman"/>
          <w:sz w:val="24"/>
          <w:szCs w:val="24"/>
          <w:lang w:eastAsia="en-GB"/>
        </w:rPr>
        <w:t xml:space="preserve"> argues that in ‘high-capacity democratic regimes, contention is continual, segmented, and decentralised.’</w:t>
      </w:r>
      <w:r>
        <w:rPr>
          <w:rStyle w:val="FootnoteReference"/>
          <w:rFonts w:ascii="Times New Roman" w:eastAsia="Times New Roman" w:hAnsi="Times New Roman" w:cs="Times New Roman"/>
          <w:sz w:val="24"/>
          <w:szCs w:val="24"/>
          <w:lang w:eastAsia="en-GB"/>
        </w:rPr>
        <w:footnoteReference w:id="5"/>
      </w:r>
      <w:r w:rsidR="00C80C10">
        <w:rPr>
          <w:rFonts w:ascii="Times New Roman" w:eastAsia="Times New Roman" w:hAnsi="Times New Roman" w:cs="Times New Roman"/>
          <w:sz w:val="24"/>
          <w:szCs w:val="24"/>
          <w:lang w:eastAsia="en-GB"/>
        </w:rPr>
        <w:t xml:space="preserve"> These systems provide stations of modes of access through for example the court system, media coverage and exposure, and safety nets through the legal system. </w:t>
      </w:r>
      <w:r w:rsidR="001A6672">
        <w:rPr>
          <w:rFonts w:ascii="Times New Roman" w:eastAsia="Times New Roman" w:hAnsi="Times New Roman" w:cs="Times New Roman"/>
          <w:sz w:val="24"/>
          <w:szCs w:val="24"/>
          <w:lang w:eastAsia="en-GB"/>
        </w:rPr>
        <w:t>Earl similarly notes that ‘authoritarian states have closed political opportunity structures,’ which have the effect of reducing the opportunity to mobilise.</w:t>
      </w:r>
      <w:r w:rsidR="001A6672">
        <w:rPr>
          <w:rStyle w:val="FootnoteReference"/>
          <w:rFonts w:ascii="Times New Roman" w:eastAsia="Times New Roman" w:hAnsi="Times New Roman" w:cs="Times New Roman"/>
          <w:sz w:val="24"/>
          <w:szCs w:val="24"/>
          <w:lang w:eastAsia="en-GB"/>
        </w:rPr>
        <w:footnoteReference w:id="6"/>
      </w:r>
      <w:r w:rsidR="001A6672">
        <w:rPr>
          <w:rFonts w:ascii="Times New Roman" w:eastAsia="Times New Roman" w:hAnsi="Times New Roman" w:cs="Times New Roman"/>
          <w:sz w:val="24"/>
          <w:szCs w:val="24"/>
          <w:lang w:eastAsia="en-GB"/>
        </w:rPr>
        <w:t xml:space="preserve"> </w:t>
      </w:r>
      <w:r w:rsidR="0047575A">
        <w:rPr>
          <w:rFonts w:ascii="Times New Roman" w:eastAsia="Times New Roman" w:hAnsi="Times New Roman" w:cs="Times New Roman"/>
          <w:sz w:val="24"/>
          <w:szCs w:val="24"/>
          <w:lang w:eastAsia="en-GB"/>
        </w:rPr>
        <w:t xml:space="preserve">It is important to mention, as </w:t>
      </w:r>
      <w:proofErr w:type="spellStart"/>
      <w:r w:rsidR="0047575A">
        <w:rPr>
          <w:rFonts w:ascii="Times New Roman" w:eastAsia="Times New Roman" w:hAnsi="Times New Roman" w:cs="Times New Roman"/>
          <w:sz w:val="24"/>
          <w:szCs w:val="24"/>
          <w:lang w:eastAsia="en-GB"/>
        </w:rPr>
        <w:t>Tarrow</w:t>
      </w:r>
      <w:proofErr w:type="spellEnd"/>
      <w:r w:rsidR="0047575A">
        <w:rPr>
          <w:rFonts w:ascii="Times New Roman" w:eastAsia="Times New Roman" w:hAnsi="Times New Roman" w:cs="Times New Roman"/>
          <w:sz w:val="24"/>
          <w:szCs w:val="24"/>
          <w:lang w:eastAsia="en-GB"/>
        </w:rPr>
        <w:t xml:space="preserve"> </w:t>
      </w:r>
      <w:r w:rsidR="00B0686B">
        <w:rPr>
          <w:rFonts w:ascii="Times New Roman" w:eastAsia="Times New Roman" w:hAnsi="Times New Roman" w:cs="Times New Roman"/>
          <w:sz w:val="24"/>
          <w:szCs w:val="24"/>
          <w:lang w:eastAsia="en-GB"/>
        </w:rPr>
        <w:t>notes that</w:t>
      </w:r>
      <w:r w:rsidR="0047575A">
        <w:rPr>
          <w:rFonts w:ascii="Times New Roman" w:eastAsia="Times New Roman" w:hAnsi="Times New Roman" w:cs="Times New Roman"/>
          <w:sz w:val="24"/>
          <w:szCs w:val="24"/>
          <w:lang w:eastAsia="en-GB"/>
        </w:rPr>
        <w:t xml:space="preserve"> POS theory specifies that the ability to mobilise is shaped by the interplay between threat perception and </w:t>
      </w:r>
      <w:r w:rsidR="0085172E">
        <w:rPr>
          <w:rFonts w:ascii="Times New Roman" w:eastAsia="Times New Roman" w:hAnsi="Times New Roman" w:cs="Times New Roman"/>
          <w:sz w:val="24"/>
          <w:szCs w:val="24"/>
          <w:lang w:eastAsia="en-GB"/>
        </w:rPr>
        <w:t>the</w:t>
      </w:r>
      <w:r w:rsidR="0047575A">
        <w:rPr>
          <w:rFonts w:ascii="Times New Roman" w:eastAsia="Times New Roman" w:hAnsi="Times New Roman" w:cs="Times New Roman"/>
          <w:sz w:val="24"/>
          <w:szCs w:val="24"/>
          <w:lang w:eastAsia="en-GB"/>
        </w:rPr>
        <w:t xml:space="preserve"> openness</w:t>
      </w:r>
      <w:r w:rsidR="0085172E">
        <w:rPr>
          <w:rFonts w:ascii="Times New Roman" w:eastAsia="Times New Roman" w:hAnsi="Times New Roman" w:cs="Times New Roman"/>
          <w:sz w:val="24"/>
          <w:szCs w:val="24"/>
          <w:lang w:eastAsia="en-GB"/>
        </w:rPr>
        <w:t xml:space="preserve"> of opportunity</w:t>
      </w:r>
      <w:r w:rsidR="00B0686B">
        <w:rPr>
          <w:rFonts w:ascii="Times New Roman" w:eastAsia="Times New Roman" w:hAnsi="Times New Roman" w:cs="Times New Roman"/>
          <w:sz w:val="24"/>
          <w:szCs w:val="24"/>
          <w:lang w:eastAsia="en-GB"/>
        </w:rPr>
        <w:t xml:space="preserve"> and not solely openness on its own.</w:t>
      </w:r>
      <w:r w:rsidR="00B0686B">
        <w:rPr>
          <w:rStyle w:val="FootnoteReference"/>
          <w:rFonts w:ascii="Times New Roman" w:eastAsia="Times New Roman" w:hAnsi="Times New Roman" w:cs="Times New Roman"/>
          <w:sz w:val="24"/>
          <w:szCs w:val="24"/>
          <w:lang w:eastAsia="en-GB"/>
        </w:rPr>
        <w:footnoteReference w:id="7"/>
      </w:r>
      <w:r w:rsidR="0047575A">
        <w:rPr>
          <w:rFonts w:ascii="Times New Roman" w:eastAsia="Times New Roman" w:hAnsi="Times New Roman" w:cs="Times New Roman"/>
          <w:sz w:val="24"/>
          <w:szCs w:val="24"/>
          <w:lang w:eastAsia="en-GB"/>
        </w:rPr>
        <w:t xml:space="preserve"> </w:t>
      </w:r>
    </w:p>
    <w:p w:rsidR="00DB2EBF" w:rsidRPr="00DB2EBF" w:rsidRDefault="008B6506" w:rsidP="00DB2EB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B6506">
        <w:rPr>
          <w:rFonts w:ascii="Times New Roman" w:eastAsia="Times New Roman" w:hAnsi="Times New Roman" w:cs="Times New Roman"/>
          <w:b/>
          <w:bCs/>
          <w:sz w:val="27"/>
          <w:szCs w:val="27"/>
          <w:lang w:eastAsia="en-GB"/>
        </w:rPr>
        <w:t>Repression–dissent nexus</w:t>
      </w:r>
    </w:p>
    <w:p w:rsidR="00BC2B57" w:rsidRDefault="008B6506" w:rsidP="00DB2EBF">
      <w:pPr>
        <w:spacing w:before="100" w:beforeAutospacing="1" w:after="100" w:afterAutospacing="1" w:line="240" w:lineRule="auto"/>
        <w:rPr>
          <w:rFonts w:ascii="Times New Roman" w:eastAsia="Times New Roman" w:hAnsi="Times New Roman" w:cs="Times New Roman"/>
          <w:sz w:val="24"/>
          <w:szCs w:val="24"/>
          <w:lang w:eastAsia="en-GB"/>
        </w:rPr>
      </w:pPr>
      <w:r w:rsidRPr="008B6506">
        <w:rPr>
          <w:rFonts w:ascii="Times New Roman" w:eastAsia="Times New Roman" w:hAnsi="Times New Roman" w:cs="Times New Roman"/>
          <w:sz w:val="24"/>
          <w:szCs w:val="24"/>
          <w:lang w:eastAsia="en-GB"/>
        </w:rPr>
        <w:t>D</w:t>
      </w:r>
      <w:r w:rsidR="00DB2EBF">
        <w:rPr>
          <w:rFonts w:ascii="Times New Roman" w:eastAsia="Times New Roman" w:hAnsi="Times New Roman" w:cs="Times New Roman"/>
          <w:sz w:val="24"/>
          <w:szCs w:val="24"/>
          <w:lang w:eastAsia="en-GB"/>
        </w:rPr>
        <w:t>avenport defines repression as ‘</w:t>
      </w:r>
      <w:r w:rsidRPr="008B6506">
        <w:rPr>
          <w:rFonts w:ascii="Times New Roman" w:eastAsia="Times New Roman" w:hAnsi="Times New Roman" w:cs="Times New Roman"/>
          <w:sz w:val="24"/>
          <w:szCs w:val="24"/>
          <w:lang w:eastAsia="en-GB"/>
        </w:rPr>
        <w:t>the actual or threatened use of physical sanctions… to deter activit</w:t>
      </w:r>
      <w:r w:rsidR="00DB2EBF">
        <w:rPr>
          <w:rFonts w:ascii="Times New Roman" w:eastAsia="Times New Roman" w:hAnsi="Times New Roman" w:cs="Times New Roman"/>
          <w:sz w:val="24"/>
          <w:szCs w:val="24"/>
          <w:lang w:eastAsia="en-GB"/>
        </w:rPr>
        <w:t>ies perceived to be challenging.’</w:t>
      </w:r>
      <w:r w:rsidR="00DB2EBF">
        <w:rPr>
          <w:rStyle w:val="FootnoteReference"/>
          <w:rFonts w:ascii="Times New Roman" w:eastAsia="Times New Roman" w:hAnsi="Times New Roman" w:cs="Times New Roman"/>
          <w:sz w:val="24"/>
          <w:szCs w:val="24"/>
          <w:lang w:eastAsia="en-GB"/>
        </w:rPr>
        <w:footnoteReference w:id="8"/>
      </w:r>
      <w:r w:rsidR="00DB2EBF">
        <w:rPr>
          <w:rFonts w:ascii="Times New Roman" w:eastAsia="Times New Roman" w:hAnsi="Times New Roman" w:cs="Times New Roman"/>
          <w:sz w:val="24"/>
          <w:szCs w:val="24"/>
          <w:lang w:eastAsia="en-GB"/>
        </w:rPr>
        <w:t xml:space="preserve"> Repression then is a result of threat perception and therefore is strategically executed by the state. It is not something that is applied in the same way to all types of dissenters and protestors. He emphasises the role of administrative control capacity in executing repression, ‘authorities respond to behavioural threats with repression.'</w:t>
      </w:r>
      <w:r w:rsidR="00AA4008">
        <w:rPr>
          <w:rStyle w:val="FootnoteReference"/>
          <w:rFonts w:ascii="Times New Roman" w:eastAsia="Times New Roman" w:hAnsi="Times New Roman" w:cs="Times New Roman"/>
          <w:sz w:val="24"/>
          <w:szCs w:val="24"/>
          <w:lang w:eastAsia="en-GB"/>
        </w:rPr>
        <w:footnoteReference w:id="9"/>
      </w:r>
      <w:r w:rsidR="00AA4008">
        <w:rPr>
          <w:rFonts w:ascii="Times New Roman" w:eastAsia="Times New Roman" w:hAnsi="Times New Roman" w:cs="Times New Roman"/>
          <w:sz w:val="24"/>
          <w:szCs w:val="24"/>
          <w:lang w:eastAsia="en-GB"/>
        </w:rPr>
        <w:t xml:space="preserve"> This is despite the reliance of democratic systems on repression that is not as directly harsh, such as surveillance etc. </w:t>
      </w:r>
      <w:r w:rsidR="00724D00">
        <w:rPr>
          <w:rFonts w:ascii="Times New Roman" w:eastAsia="Times New Roman" w:hAnsi="Times New Roman" w:cs="Times New Roman"/>
          <w:sz w:val="24"/>
          <w:szCs w:val="24"/>
          <w:lang w:eastAsia="en-GB"/>
        </w:rPr>
        <w:t>Earl corroborates this argument and takes it further by shedding light on the idea that repression in modern democracies is increasingly diffuse, noting that ‘a large share of the population is subjected to substantial control’ through surveillance systems.</w:t>
      </w:r>
      <w:r w:rsidR="00724D00">
        <w:rPr>
          <w:rStyle w:val="FootnoteReference"/>
          <w:rFonts w:ascii="Times New Roman" w:eastAsia="Times New Roman" w:hAnsi="Times New Roman" w:cs="Times New Roman"/>
          <w:sz w:val="24"/>
          <w:szCs w:val="24"/>
          <w:lang w:eastAsia="en-GB"/>
        </w:rPr>
        <w:footnoteReference w:id="10"/>
      </w:r>
    </w:p>
    <w:p w:rsidR="00B52C24" w:rsidRPr="0004155D" w:rsidRDefault="00B52C24" w:rsidP="00DB2EBF">
      <w:pPr>
        <w:spacing w:before="100" w:beforeAutospacing="1" w:after="100" w:afterAutospacing="1" w:line="240" w:lineRule="auto"/>
        <w:rPr>
          <w:rFonts w:ascii="Times New Roman" w:eastAsia="Times New Roman" w:hAnsi="Times New Roman" w:cs="Times New Roman"/>
          <w:sz w:val="24"/>
          <w:szCs w:val="24"/>
          <w:lang w:eastAsia="en-GB"/>
        </w:rPr>
      </w:pPr>
      <w:r w:rsidRPr="008B6506">
        <w:rPr>
          <w:rFonts w:ascii="Times New Roman" w:eastAsia="Times New Roman" w:hAnsi="Times New Roman" w:cs="Times New Roman"/>
          <w:b/>
          <w:bCs/>
          <w:sz w:val="27"/>
          <w:szCs w:val="27"/>
          <w:lang w:eastAsia="en-GB"/>
        </w:rPr>
        <w:lastRenderedPageBreak/>
        <w:t>Securitisation theory</w:t>
      </w:r>
    </w:p>
    <w:p w:rsidR="000F7D3A" w:rsidRPr="008B6506" w:rsidRDefault="00F20332" w:rsidP="008B650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Tarrow</w:t>
      </w:r>
      <w:proofErr w:type="spellEnd"/>
      <w:r>
        <w:rPr>
          <w:rFonts w:ascii="Times New Roman" w:eastAsia="Times New Roman" w:hAnsi="Times New Roman" w:cs="Times New Roman"/>
          <w:sz w:val="24"/>
          <w:szCs w:val="24"/>
          <w:lang w:eastAsia="en-GB"/>
        </w:rPr>
        <w:t xml:space="preserve"> defines securitisation as ‘the move that takes politics beyond established rules.’</w:t>
      </w:r>
      <w:r>
        <w:rPr>
          <w:rStyle w:val="FootnoteReference"/>
          <w:rFonts w:ascii="Times New Roman" w:eastAsia="Times New Roman" w:hAnsi="Times New Roman" w:cs="Times New Roman"/>
          <w:sz w:val="24"/>
          <w:szCs w:val="24"/>
          <w:lang w:eastAsia="en-GB"/>
        </w:rPr>
        <w:footnoteReference w:id="11"/>
      </w:r>
      <w:r w:rsidR="00981EE0">
        <w:rPr>
          <w:rFonts w:ascii="Times New Roman" w:eastAsia="Times New Roman" w:hAnsi="Times New Roman" w:cs="Times New Roman"/>
          <w:sz w:val="24"/>
          <w:szCs w:val="24"/>
          <w:lang w:eastAsia="en-GB"/>
        </w:rPr>
        <w:t xml:space="preserve"> </w:t>
      </w:r>
      <w:r w:rsidR="008B6506" w:rsidRPr="008B6506">
        <w:rPr>
          <w:rFonts w:ascii="Times New Roman" w:eastAsia="Times New Roman" w:hAnsi="Times New Roman" w:cs="Times New Roman"/>
          <w:sz w:val="24"/>
          <w:szCs w:val="24"/>
          <w:lang w:eastAsia="en-GB"/>
        </w:rPr>
        <w:t>Crucially, issues become security threats not due to objective danger but because they are framed as</w:t>
      </w:r>
      <w:r w:rsidR="0004155D">
        <w:rPr>
          <w:rFonts w:ascii="Times New Roman" w:eastAsia="Times New Roman" w:hAnsi="Times New Roman" w:cs="Times New Roman"/>
          <w:sz w:val="24"/>
          <w:szCs w:val="24"/>
          <w:lang w:eastAsia="en-GB"/>
        </w:rPr>
        <w:t xml:space="preserve"> existential risks</w:t>
      </w:r>
      <w:r w:rsidR="008B6506" w:rsidRPr="008B6506">
        <w:rPr>
          <w:rFonts w:ascii="Times New Roman" w:eastAsia="Times New Roman" w:hAnsi="Times New Roman" w:cs="Times New Roman"/>
          <w:sz w:val="24"/>
          <w:szCs w:val="24"/>
          <w:lang w:eastAsia="en-GB"/>
        </w:rPr>
        <w:t>.</w:t>
      </w:r>
      <w:r w:rsidR="004F48F9">
        <w:rPr>
          <w:rStyle w:val="FootnoteReference"/>
          <w:rFonts w:ascii="Times New Roman" w:eastAsia="Times New Roman" w:hAnsi="Times New Roman" w:cs="Times New Roman"/>
          <w:sz w:val="24"/>
          <w:szCs w:val="24"/>
          <w:lang w:eastAsia="en-GB"/>
        </w:rPr>
        <w:footnoteReference w:id="12"/>
      </w:r>
      <w:r w:rsidR="008B6506" w:rsidRPr="008B6506">
        <w:rPr>
          <w:rFonts w:ascii="Times New Roman" w:eastAsia="Times New Roman" w:hAnsi="Times New Roman" w:cs="Times New Roman"/>
          <w:sz w:val="24"/>
          <w:szCs w:val="24"/>
          <w:lang w:eastAsia="en-GB"/>
        </w:rPr>
        <w:t xml:space="preserve"> </w:t>
      </w:r>
      <w:r w:rsidR="00981EE0">
        <w:rPr>
          <w:rFonts w:ascii="Times New Roman" w:eastAsia="Times New Roman" w:hAnsi="Times New Roman" w:cs="Times New Roman"/>
          <w:sz w:val="24"/>
          <w:szCs w:val="24"/>
          <w:lang w:eastAsia="en-GB"/>
        </w:rPr>
        <w:t xml:space="preserve">This is what enables states to carry out extreme measures and to justify them as responses to civil disobedience protests. </w:t>
      </w:r>
    </w:p>
    <w:p w:rsidR="008B6506" w:rsidRPr="008B6506" w:rsidRDefault="008B6506" w:rsidP="008B650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B6506">
        <w:rPr>
          <w:rFonts w:ascii="Times New Roman" w:eastAsia="Times New Roman" w:hAnsi="Times New Roman" w:cs="Times New Roman"/>
          <w:b/>
          <w:bCs/>
          <w:sz w:val="27"/>
          <w:szCs w:val="27"/>
          <w:lang w:eastAsia="en-GB"/>
        </w:rPr>
        <w:t>Competitive authoritarianism</w:t>
      </w:r>
    </w:p>
    <w:p w:rsidR="008B6506" w:rsidRPr="008B6506" w:rsidRDefault="008B6506" w:rsidP="008B650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8B6506">
        <w:rPr>
          <w:rFonts w:ascii="Times New Roman" w:eastAsia="Times New Roman" w:hAnsi="Times New Roman" w:cs="Times New Roman"/>
          <w:sz w:val="24"/>
          <w:szCs w:val="24"/>
          <w:lang w:eastAsia="en-GB"/>
        </w:rPr>
        <w:t>Levitsky</w:t>
      </w:r>
      <w:proofErr w:type="spellEnd"/>
      <w:r w:rsidRPr="008B6506">
        <w:rPr>
          <w:rFonts w:ascii="Times New Roman" w:eastAsia="Times New Roman" w:hAnsi="Times New Roman" w:cs="Times New Roman"/>
          <w:sz w:val="24"/>
          <w:szCs w:val="24"/>
          <w:lang w:eastAsia="en-GB"/>
        </w:rPr>
        <w:t xml:space="preserve"> and Way define competitive authorit</w:t>
      </w:r>
      <w:r w:rsidR="00321DA7">
        <w:rPr>
          <w:rFonts w:ascii="Times New Roman" w:eastAsia="Times New Roman" w:hAnsi="Times New Roman" w:cs="Times New Roman"/>
          <w:sz w:val="24"/>
          <w:szCs w:val="24"/>
          <w:lang w:eastAsia="en-GB"/>
        </w:rPr>
        <w:t>arian regimes as systems where ‘</w:t>
      </w:r>
      <w:r w:rsidRPr="008B6506">
        <w:rPr>
          <w:rFonts w:ascii="Times New Roman" w:eastAsia="Times New Roman" w:hAnsi="Times New Roman" w:cs="Times New Roman"/>
          <w:sz w:val="24"/>
          <w:szCs w:val="24"/>
          <w:lang w:eastAsia="en-GB"/>
        </w:rPr>
        <w:t>formal democratic institutions exi</w:t>
      </w:r>
      <w:r w:rsidR="00321DA7">
        <w:rPr>
          <w:rFonts w:ascii="Times New Roman" w:eastAsia="Times New Roman" w:hAnsi="Times New Roman" w:cs="Times New Roman"/>
          <w:sz w:val="24"/>
          <w:szCs w:val="24"/>
          <w:lang w:eastAsia="en-GB"/>
        </w:rPr>
        <w:t>st… but incumbents violate them.’</w:t>
      </w:r>
      <w:r w:rsidR="00321DA7">
        <w:rPr>
          <w:rStyle w:val="FootnoteReference"/>
          <w:rFonts w:ascii="Times New Roman" w:eastAsia="Times New Roman" w:hAnsi="Times New Roman" w:cs="Times New Roman"/>
          <w:sz w:val="24"/>
          <w:szCs w:val="24"/>
          <w:lang w:eastAsia="en-GB"/>
        </w:rPr>
        <w:footnoteReference w:id="13"/>
      </w:r>
      <w:r w:rsidR="00321DA7">
        <w:rPr>
          <w:rFonts w:ascii="Times New Roman" w:eastAsia="Times New Roman" w:hAnsi="Times New Roman" w:cs="Times New Roman"/>
          <w:sz w:val="24"/>
          <w:szCs w:val="24"/>
          <w:lang w:eastAsia="en-GB"/>
        </w:rPr>
        <w:t xml:space="preserve"> These types of regimes retain the electoral process but manipulate the system in favour of themselves over their citizens.    </w:t>
      </w:r>
      <w:proofErr w:type="spellStart"/>
      <w:r w:rsidRPr="008B6506">
        <w:rPr>
          <w:rFonts w:ascii="Times New Roman" w:eastAsia="Times New Roman" w:hAnsi="Times New Roman" w:cs="Times New Roman"/>
          <w:sz w:val="24"/>
          <w:szCs w:val="24"/>
          <w:lang w:eastAsia="en-GB"/>
        </w:rPr>
        <w:t>Levitsky</w:t>
      </w:r>
      <w:proofErr w:type="spellEnd"/>
      <w:r w:rsidRPr="008B6506">
        <w:rPr>
          <w:rFonts w:ascii="Times New Roman" w:eastAsia="Times New Roman" w:hAnsi="Times New Roman" w:cs="Times New Roman"/>
          <w:sz w:val="24"/>
          <w:szCs w:val="24"/>
          <w:lang w:eastAsia="en-GB"/>
        </w:rPr>
        <w:t xml:space="preserve"> and </w:t>
      </w:r>
      <w:proofErr w:type="spellStart"/>
      <w:r w:rsidRPr="008B6506">
        <w:rPr>
          <w:rFonts w:ascii="Times New Roman" w:eastAsia="Times New Roman" w:hAnsi="Times New Roman" w:cs="Times New Roman"/>
          <w:sz w:val="24"/>
          <w:szCs w:val="24"/>
          <w:lang w:eastAsia="en-GB"/>
        </w:rPr>
        <w:t>Ziblatt</w:t>
      </w:r>
      <w:proofErr w:type="spellEnd"/>
      <w:r w:rsidRPr="008B6506">
        <w:rPr>
          <w:rFonts w:ascii="Times New Roman" w:eastAsia="Times New Roman" w:hAnsi="Times New Roman" w:cs="Times New Roman"/>
          <w:sz w:val="24"/>
          <w:szCs w:val="24"/>
          <w:lang w:eastAsia="en-GB"/>
        </w:rPr>
        <w:t xml:space="preserve"> further argue that</w:t>
      </w:r>
      <w:r w:rsidR="00321DA7">
        <w:rPr>
          <w:rFonts w:ascii="Times New Roman" w:eastAsia="Times New Roman" w:hAnsi="Times New Roman" w:cs="Times New Roman"/>
          <w:sz w:val="24"/>
          <w:szCs w:val="24"/>
          <w:lang w:eastAsia="en-GB"/>
        </w:rPr>
        <w:t xml:space="preserve"> democratic deterioration happens when governments use and </w:t>
      </w:r>
      <w:proofErr w:type="spellStart"/>
      <w:r w:rsidR="00321DA7">
        <w:rPr>
          <w:rFonts w:ascii="Times New Roman" w:eastAsia="Times New Roman" w:hAnsi="Times New Roman" w:cs="Times New Roman"/>
          <w:sz w:val="24"/>
          <w:szCs w:val="24"/>
          <w:lang w:eastAsia="en-GB"/>
        </w:rPr>
        <w:t>weaponise</w:t>
      </w:r>
      <w:proofErr w:type="spellEnd"/>
      <w:r w:rsidRPr="008B6506">
        <w:rPr>
          <w:rFonts w:ascii="Times New Roman" w:eastAsia="Times New Roman" w:hAnsi="Times New Roman" w:cs="Times New Roman"/>
          <w:sz w:val="24"/>
          <w:szCs w:val="24"/>
          <w:lang w:eastAsia="en-GB"/>
        </w:rPr>
        <w:t xml:space="preserve"> law and institutions, using them as </w:t>
      </w:r>
      <w:r w:rsidR="00321DA7">
        <w:rPr>
          <w:rFonts w:ascii="Times New Roman" w:eastAsia="Times New Roman" w:hAnsi="Times New Roman" w:cs="Times New Roman"/>
          <w:sz w:val="24"/>
          <w:szCs w:val="24"/>
          <w:lang w:eastAsia="en-GB"/>
        </w:rPr>
        <w:t>tools against opposition actors, ‘the referees of the democratic game were brought over to the government’s side, providing the incumbent with both a shield against constitutional challenges and a powerful and ‘legal’ weapon with which to assault it’s opponents.’</w:t>
      </w:r>
      <w:r w:rsidR="00321DA7">
        <w:rPr>
          <w:rStyle w:val="FootnoteReference"/>
          <w:rFonts w:ascii="Times New Roman" w:eastAsia="Times New Roman" w:hAnsi="Times New Roman" w:cs="Times New Roman"/>
          <w:sz w:val="24"/>
          <w:szCs w:val="24"/>
          <w:lang w:eastAsia="en-GB"/>
        </w:rPr>
        <w:footnoteReference w:id="14"/>
      </w:r>
      <w:r w:rsidR="00321DA7">
        <w:rPr>
          <w:rFonts w:ascii="Times New Roman" w:eastAsia="Times New Roman" w:hAnsi="Times New Roman" w:cs="Times New Roman"/>
          <w:sz w:val="24"/>
          <w:szCs w:val="24"/>
          <w:lang w:eastAsia="en-GB"/>
        </w:rPr>
        <w:t xml:space="preserve"> </w:t>
      </w:r>
    </w:p>
    <w:p w:rsidR="0004155D" w:rsidRPr="0004155D" w:rsidRDefault="0004155D" w:rsidP="0004155D">
      <w:pPr>
        <w:pStyle w:val="Heading2"/>
      </w:pPr>
      <w:r w:rsidRPr="0004155D">
        <w:t xml:space="preserve">The United Kingdom: Regulated Dissent and </w:t>
      </w:r>
      <w:proofErr w:type="spellStart"/>
      <w:r w:rsidRPr="0004155D">
        <w:t>Racialised</w:t>
      </w:r>
      <w:proofErr w:type="spellEnd"/>
      <w:r w:rsidRPr="0004155D">
        <w:t xml:space="preserve"> Securitisation</w:t>
      </w:r>
    </w:p>
    <w:p w:rsidR="00F05098" w:rsidRDefault="00F05098"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UK is best described as a high-capacity liberal democracy which has a political structure that is broadly open. People are allowed to protest and it is a protected right which is in line with </w:t>
      </w:r>
      <w:proofErr w:type="spellStart"/>
      <w:r>
        <w:rPr>
          <w:rFonts w:ascii="Times New Roman" w:eastAsia="Times New Roman" w:hAnsi="Times New Roman" w:cs="Times New Roman"/>
          <w:sz w:val="24"/>
          <w:szCs w:val="24"/>
          <w:lang w:eastAsia="en-GB"/>
        </w:rPr>
        <w:t>Tarrow’s</w:t>
      </w:r>
      <w:proofErr w:type="spellEnd"/>
      <w:r>
        <w:rPr>
          <w:rFonts w:ascii="Times New Roman" w:eastAsia="Times New Roman" w:hAnsi="Times New Roman" w:cs="Times New Roman"/>
          <w:sz w:val="24"/>
          <w:szCs w:val="24"/>
          <w:lang w:eastAsia="en-GB"/>
        </w:rPr>
        <w:t xml:space="preserve"> description decentralised contention in democratic states.</w:t>
      </w:r>
      <w:r>
        <w:rPr>
          <w:rStyle w:val="FootnoteReference"/>
          <w:rFonts w:ascii="Times New Roman" w:eastAsia="Times New Roman" w:hAnsi="Times New Roman" w:cs="Times New Roman"/>
          <w:sz w:val="24"/>
          <w:szCs w:val="24"/>
          <w:lang w:eastAsia="en-GB"/>
        </w:rPr>
        <w:footnoteReference w:id="15"/>
      </w:r>
      <w:r w:rsidR="00F73B9D">
        <w:rPr>
          <w:rFonts w:ascii="Times New Roman" w:eastAsia="Times New Roman" w:hAnsi="Times New Roman" w:cs="Times New Roman"/>
          <w:sz w:val="24"/>
          <w:szCs w:val="24"/>
          <w:lang w:eastAsia="en-GB"/>
        </w:rPr>
        <w:t xml:space="preserve"> The large scale pro-Palestine protests that have persisted in large cities such as London, suggest that people are still allowed formally to engage in protest. In this way, the UK is still described as being open to and conforming to political opportunity structure theory which allows mobilisation to continue, while certain laws still protect protestors from risks of participation. </w:t>
      </w:r>
    </w:p>
    <w:p w:rsidR="00A62EB1" w:rsidRDefault="00F73B9D"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However, this openness needs to be interrogated more critically</w:t>
      </w:r>
      <w:r w:rsidR="00540DE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It seems the UK’s political opportunity structure is becoming more regulated and controlled. </w:t>
      </w:r>
      <w:r w:rsidR="0004155D" w:rsidRPr="0004155D">
        <w:rPr>
          <w:rFonts w:ascii="Times New Roman" w:eastAsia="Times New Roman" w:hAnsi="Times New Roman" w:cs="Times New Roman"/>
          <w:sz w:val="24"/>
          <w:szCs w:val="24"/>
          <w:lang w:eastAsia="en-GB"/>
        </w:rPr>
        <w:t>Browne et al. argue that since the ear</w:t>
      </w:r>
      <w:r>
        <w:rPr>
          <w:rFonts w:ascii="Times New Roman" w:eastAsia="Times New Roman" w:hAnsi="Times New Roman" w:cs="Times New Roman"/>
          <w:sz w:val="24"/>
          <w:szCs w:val="24"/>
          <w:lang w:eastAsia="en-GB"/>
        </w:rPr>
        <w:t>ly 2000s, ‘</w:t>
      </w:r>
      <w:r w:rsidR="0004155D" w:rsidRPr="0004155D">
        <w:rPr>
          <w:rFonts w:ascii="Times New Roman" w:eastAsia="Times New Roman" w:hAnsi="Times New Roman" w:cs="Times New Roman"/>
          <w:sz w:val="24"/>
          <w:szCs w:val="24"/>
          <w:lang w:eastAsia="en-GB"/>
        </w:rPr>
        <w:t xml:space="preserve">anti-terrorism measures… targeted specifically </w:t>
      </w:r>
      <w:proofErr w:type="spellStart"/>
      <w:r w:rsidR="0004155D" w:rsidRPr="0004155D">
        <w:rPr>
          <w:rFonts w:ascii="Times New Roman" w:eastAsia="Times New Roman" w:hAnsi="Times New Roman" w:cs="Times New Roman"/>
          <w:sz w:val="24"/>
          <w:szCs w:val="24"/>
          <w:lang w:eastAsia="en-GB"/>
        </w:rPr>
        <w:t>racialised</w:t>
      </w:r>
      <w:proofErr w:type="spellEnd"/>
      <w:r w:rsidR="0004155D" w:rsidRPr="0004155D">
        <w:rPr>
          <w:rFonts w:ascii="Times New Roman" w:eastAsia="Times New Roman" w:hAnsi="Times New Roman" w:cs="Times New Roman"/>
          <w:sz w:val="24"/>
          <w:szCs w:val="24"/>
          <w:lang w:eastAsia="en-GB"/>
        </w:rPr>
        <w:t xml:space="preserve"> and </w:t>
      </w:r>
      <w:proofErr w:type="spellStart"/>
      <w:r w:rsidR="0004155D" w:rsidRPr="0004155D">
        <w:rPr>
          <w:rFonts w:ascii="Times New Roman" w:eastAsia="Times New Roman" w:hAnsi="Times New Roman" w:cs="Times New Roman"/>
          <w:sz w:val="24"/>
          <w:szCs w:val="24"/>
          <w:lang w:eastAsia="en-GB"/>
        </w:rPr>
        <w:t>minoritised</w:t>
      </w:r>
      <w:proofErr w:type="spellEnd"/>
      <w:r w:rsidR="0004155D" w:rsidRPr="0004155D">
        <w:rPr>
          <w:rFonts w:ascii="Times New Roman" w:eastAsia="Times New Roman" w:hAnsi="Times New Roman" w:cs="Times New Roman"/>
          <w:sz w:val="24"/>
          <w:szCs w:val="24"/>
          <w:lang w:eastAsia="en-GB"/>
        </w:rPr>
        <w:t xml:space="preserve"> communities, most notabl</w:t>
      </w:r>
      <w:r>
        <w:rPr>
          <w:rFonts w:ascii="Times New Roman" w:eastAsia="Times New Roman" w:hAnsi="Times New Roman" w:cs="Times New Roman"/>
          <w:sz w:val="24"/>
          <w:szCs w:val="24"/>
          <w:lang w:eastAsia="en-GB"/>
        </w:rPr>
        <w:t>y members of Muslim communities.’</w:t>
      </w:r>
      <w:r>
        <w:rPr>
          <w:rStyle w:val="FootnoteReference"/>
          <w:rFonts w:ascii="Times New Roman" w:eastAsia="Times New Roman" w:hAnsi="Times New Roman" w:cs="Times New Roman"/>
          <w:sz w:val="24"/>
          <w:szCs w:val="24"/>
          <w:lang w:eastAsia="en-GB"/>
        </w:rPr>
        <w:footnoteReference w:id="16"/>
      </w:r>
      <w:r w:rsidR="00A62EB1">
        <w:rPr>
          <w:rFonts w:ascii="Times New Roman" w:eastAsia="Times New Roman" w:hAnsi="Times New Roman" w:cs="Times New Roman"/>
          <w:sz w:val="24"/>
          <w:szCs w:val="24"/>
          <w:lang w:eastAsia="en-GB"/>
        </w:rPr>
        <w:t xml:space="preserve"> Th</w:t>
      </w:r>
      <w:r w:rsidR="00540DEB">
        <w:rPr>
          <w:rFonts w:ascii="Times New Roman" w:eastAsia="Times New Roman" w:hAnsi="Times New Roman" w:cs="Times New Roman"/>
          <w:sz w:val="24"/>
          <w:szCs w:val="24"/>
          <w:lang w:eastAsia="en-GB"/>
        </w:rPr>
        <w:t>is is not a historical phenomenon</w:t>
      </w:r>
      <w:r w:rsidR="00A62EB1">
        <w:rPr>
          <w:rFonts w:ascii="Times New Roman" w:eastAsia="Times New Roman" w:hAnsi="Times New Roman" w:cs="Times New Roman"/>
          <w:sz w:val="24"/>
          <w:szCs w:val="24"/>
          <w:lang w:eastAsia="en-GB"/>
        </w:rPr>
        <w:t xml:space="preserve"> but one that has crept into governa</w:t>
      </w:r>
      <w:r w:rsidR="00540DEB">
        <w:rPr>
          <w:rFonts w:ascii="Times New Roman" w:eastAsia="Times New Roman" w:hAnsi="Times New Roman" w:cs="Times New Roman"/>
          <w:sz w:val="24"/>
          <w:szCs w:val="24"/>
          <w:lang w:eastAsia="en-GB"/>
        </w:rPr>
        <w:t>nce structures recently as a by-</w:t>
      </w:r>
      <w:r w:rsidR="00A62EB1">
        <w:rPr>
          <w:rFonts w:ascii="Times New Roman" w:eastAsia="Times New Roman" w:hAnsi="Times New Roman" w:cs="Times New Roman"/>
          <w:sz w:val="24"/>
          <w:szCs w:val="24"/>
          <w:lang w:eastAsia="en-GB"/>
        </w:rPr>
        <w:t>product of ‘the war on terror’ but which has continue</w:t>
      </w:r>
      <w:r w:rsidR="00540DEB">
        <w:rPr>
          <w:rFonts w:ascii="Times New Roman" w:eastAsia="Times New Roman" w:hAnsi="Times New Roman" w:cs="Times New Roman"/>
          <w:sz w:val="24"/>
          <w:szCs w:val="24"/>
          <w:lang w:eastAsia="en-GB"/>
        </w:rPr>
        <w:t>d</w:t>
      </w:r>
      <w:r w:rsidR="00A62EB1">
        <w:rPr>
          <w:rFonts w:ascii="Times New Roman" w:eastAsia="Times New Roman" w:hAnsi="Times New Roman" w:cs="Times New Roman"/>
          <w:sz w:val="24"/>
          <w:szCs w:val="24"/>
          <w:lang w:eastAsia="en-GB"/>
        </w:rPr>
        <w:t xml:space="preserve"> to plague mostly Muslim people, and</w:t>
      </w:r>
      <w:r w:rsidR="00540DEB">
        <w:rPr>
          <w:rFonts w:ascii="Times New Roman" w:eastAsia="Times New Roman" w:hAnsi="Times New Roman" w:cs="Times New Roman"/>
          <w:sz w:val="24"/>
          <w:szCs w:val="24"/>
          <w:lang w:eastAsia="en-GB"/>
        </w:rPr>
        <w:t xml:space="preserve"> who</w:t>
      </w:r>
      <w:r w:rsidR="00A62EB1">
        <w:rPr>
          <w:rFonts w:ascii="Times New Roman" w:eastAsia="Times New Roman" w:hAnsi="Times New Roman" w:cs="Times New Roman"/>
          <w:sz w:val="24"/>
          <w:szCs w:val="24"/>
          <w:lang w:eastAsia="en-GB"/>
        </w:rPr>
        <w:t xml:space="preserve"> are increasingly viewed through the lens of suspicion. </w:t>
      </w:r>
    </w:p>
    <w:p w:rsidR="00707A56" w:rsidRDefault="00707A56"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w:t>
      </w:r>
      <w:r w:rsidR="004D23CB">
        <w:rPr>
          <w:rFonts w:ascii="Times New Roman" w:eastAsia="Times New Roman" w:hAnsi="Times New Roman" w:cs="Times New Roman"/>
          <w:sz w:val="24"/>
          <w:szCs w:val="24"/>
          <w:lang w:eastAsia="en-GB"/>
        </w:rPr>
        <w:t xml:space="preserve"> fr</w:t>
      </w:r>
      <w:r>
        <w:rPr>
          <w:rFonts w:ascii="Times New Roman" w:eastAsia="Times New Roman" w:hAnsi="Times New Roman" w:cs="Times New Roman"/>
          <w:sz w:val="24"/>
          <w:szCs w:val="24"/>
          <w:lang w:eastAsia="en-GB"/>
        </w:rPr>
        <w:t xml:space="preserve">om a securitisation perspective, </w:t>
      </w:r>
      <w:r w:rsidR="004D23CB">
        <w:rPr>
          <w:rFonts w:ascii="Times New Roman" w:eastAsia="Times New Roman" w:hAnsi="Times New Roman" w:cs="Times New Roman"/>
          <w:sz w:val="24"/>
          <w:szCs w:val="24"/>
          <w:lang w:eastAsia="en-GB"/>
        </w:rPr>
        <w:t xml:space="preserve">this </w:t>
      </w:r>
      <w:r>
        <w:rPr>
          <w:rFonts w:ascii="Times New Roman" w:eastAsia="Times New Roman" w:hAnsi="Times New Roman" w:cs="Times New Roman"/>
          <w:sz w:val="24"/>
          <w:szCs w:val="24"/>
          <w:lang w:eastAsia="en-GB"/>
        </w:rPr>
        <w:t xml:space="preserve">demonstrates how protest has become a security issue and not just ordinary politics. In the context of pro-Palestine activism, politicians and </w:t>
      </w:r>
      <w:r>
        <w:rPr>
          <w:rFonts w:ascii="Times New Roman" w:eastAsia="Times New Roman" w:hAnsi="Times New Roman" w:cs="Times New Roman"/>
          <w:sz w:val="24"/>
          <w:szCs w:val="24"/>
          <w:lang w:eastAsia="en-GB"/>
        </w:rPr>
        <w:lastRenderedPageBreak/>
        <w:t xml:space="preserve">the government as well as news media frame protests as an issue of national security and, public disorder and anti-Semitism. This is not just general rhetoric but actually </w:t>
      </w:r>
      <w:proofErr w:type="spellStart"/>
      <w:r>
        <w:rPr>
          <w:rFonts w:ascii="Times New Roman" w:eastAsia="Times New Roman" w:hAnsi="Times New Roman" w:cs="Times New Roman"/>
          <w:sz w:val="24"/>
          <w:szCs w:val="24"/>
          <w:lang w:eastAsia="en-GB"/>
        </w:rPr>
        <w:t>performative</w:t>
      </w:r>
      <w:proofErr w:type="spellEnd"/>
      <w:r>
        <w:rPr>
          <w:rFonts w:ascii="Times New Roman" w:eastAsia="Times New Roman" w:hAnsi="Times New Roman" w:cs="Times New Roman"/>
          <w:sz w:val="24"/>
          <w:szCs w:val="24"/>
          <w:lang w:eastAsia="en-GB"/>
        </w:rPr>
        <w:t xml:space="preserve">. It creates the environment and atmosphere which justifies further control.  As </w:t>
      </w:r>
      <w:proofErr w:type="spellStart"/>
      <w:r>
        <w:rPr>
          <w:rFonts w:ascii="Times New Roman" w:eastAsia="Times New Roman" w:hAnsi="Times New Roman" w:cs="Times New Roman"/>
          <w:sz w:val="24"/>
          <w:szCs w:val="24"/>
          <w:lang w:eastAsia="en-GB"/>
        </w:rPr>
        <w:t>Tarrow</w:t>
      </w:r>
      <w:proofErr w:type="spellEnd"/>
      <w:r>
        <w:rPr>
          <w:rFonts w:ascii="Times New Roman" w:eastAsia="Times New Roman" w:hAnsi="Times New Roman" w:cs="Times New Roman"/>
          <w:sz w:val="24"/>
          <w:szCs w:val="24"/>
          <w:lang w:eastAsia="en-GB"/>
        </w:rPr>
        <w:t xml:space="preserve"> suggests, ‘</w:t>
      </w:r>
      <w:r w:rsidR="0004155D" w:rsidRPr="0004155D">
        <w:rPr>
          <w:rFonts w:ascii="Times New Roman" w:eastAsia="Times New Roman" w:hAnsi="Times New Roman" w:cs="Times New Roman"/>
          <w:sz w:val="24"/>
          <w:szCs w:val="24"/>
          <w:lang w:eastAsia="en-GB"/>
        </w:rPr>
        <w:t>security is the move that takes politics beyond established rules,</w:t>
      </w:r>
      <w:r w:rsidR="000D21FB">
        <w:rPr>
          <w:rFonts w:ascii="Times New Roman" w:eastAsia="Times New Roman" w:hAnsi="Times New Roman" w:cs="Times New Roman"/>
          <w:sz w:val="24"/>
          <w:szCs w:val="24"/>
          <w:lang w:eastAsia="en-GB"/>
        </w:rPr>
        <w:t>’</w:t>
      </w:r>
      <w:r w:rsidR="0004155D" w:rsidRPr="0004155D">
        <w:rPr>
          <w:rFonts w:ascii="Times New Roman" w:eastAsia="Times New Roman" w:hAnsi="Times New Roman" w:cs="Times New Roman"/>
          <w:sz w:val="24"/>
          <w:szCs w:val="24"/>
          <w:lang w:eastAsia="en-GB"/>
        </w:rPr>
        <w:t xml:space="preserve"> and </w:t>
      </w:r>
      <w:r>
        <w:rPr>
          <w:rFonts w:ascii="Times New Roman" w:eastAsia="Times New Roman" w:hAnsi="Times New Roman" w:cs="Times New Roman"/>
          <w:sz w:val="24"/>
          <w:szCs w:val="24"/>
          <w:lang w:eastAsia="en-GB"/>
        </w:rPr>
        <w:t>thus this type of framing allows governments to adjust the system even if unethical.</w:t>
      </w:r>
      <w:r>
        <w:rPr>
          <w:rStyle w:val="FootnoteReference"/>
          <w:rFonts w:ascii="Times New Roman" w:eastAsia="Times New Roman" w:hAnsi="Times New Roman" w:cs="Times New Roman"/>
          <w:sz w:val="24"/>
          <w:szCs w:val="24"/>
          <w:lang w:eastAsia="en-GB"/>
        </w:rPr>
        <w:footnoteReference w:id="17"/>
      </w:r>
      <w:r>
        <w:rPr>
          <w:rFonts w:ascii="Times New Roman" w:eastAsia="Times New Roman" w:hAnsi="Times New Roman" w:cs="Times New Roman"/>
          <w:sz w:val="24"/>
          <w:szCs w:val="24"/>
          <w:lang w:eastAsia="en-GB"/>
        </w:rPr>
        <w:t xml:space="preserve"> </w:t>
      </w:r>
      <w:r w:rsidR="000D21FB">
        <w:rPr>
          <w:rFonts w:ascii="Times New Roman" w:eastAsia="Times New Roman" w:hAnsi="Times New Roman" w:cs="Times New Roman"/>
          <w:sz w:val="24"/>
          <w:szCs w:val="24"/>
          <w:lang w:eastAsia="en-GB"/>
        </w:rPr>
        <w:t xml:space="preserve">As </w:t>
      </w:r>
      <w:proofErr w:type="spellStart"/>
      <w:r w:rsidR="000D21FB">
        <w:rPr>
          <w:rFonts w:ascii="Times New Roman" w:eastAsia="Times New Roman" w:hAnsi="Times New Roman" w:cs="Times New Roman"/>
          <w:sz w:val="24"/>
          <w:szCs w:val="24"/>
          <w:lang w:eastAsia="en-GB"/>
        </w:rPr>
        <w:t>Tarrow</w:t>
      </w:r>
      <w:proofErr w:type="spellEnd"/>
      <w:r w:rsidR="000D21FB">
        <w:rPr>
          <w:rFonts w:ascii="Times New Roman" w:eastAsia="Times New Roman" w:hAnsi="Times New Roman" w:cs="Times New Roman"/>
          <w:sz w:val="24"/>
          <w:szCs w:val="24"/>
          <w:lang w:eastAsia="en-GB"/>
        </w:rPr>
        <w:t xml:space="preserve"> further posits, </w:t>
      </w:r>
      <w:r w:rsidR="002D1546">
        <w:rPr>
          <w:rFonts w:ascii="Times New Roman" w:eastAsia="Times New Roman" w:hAnsi="Times New Roman" w:cs="Times New Roman"/>
          <w:sz w:val="24"/>
          <w:szCs w:val="24"/>
          <w:lang w:eastAsia="en-GB"/>
        </w:rPr>
        <w:t>importantly, a real threat does not need to exist, but the issues becomes a security issue because they were frames to be security issues.</w:t>
      </w:r>
      <w:r w:rsidR="002D1546">
        <w:rPr>
          <w:rStyle w:val="FootnoteReference"/>
          <w:rFonts w:ascii="Times New Roman" w:eastAsia="Times New Roman" w:hAnsi="Times New Roman" w:cs="Times New Roman"/>
          <w:sz w:val="24"/>
          <w:szCs w:val="24"/>
          <w:lang w:eastAsia="en-GB"/>
        </w:rPr>
        <w:footnoteReference w:id="18"/>
      </w:r>
      <w:r w:rsidR="002D1546">
        <w:rPr>
          <w:rFonts w:ascii="Times New Roman" w:eastAsia="Times New Roman" w:hAnsi="Times New Roman" w:cs="Times New Roman"/>
          <w:sz w:val="24"/>
          <w:szCs w:val="24"/>
          <w:lang w:eastAsia="en-GB"/>
        </w:rPr>
        <w:t xml:space="preserve"> </w:t>
      </w:r>
    </w:p>
    <w:p w:rsidR="00AB3196" w:rsidRDefault="00AB3196"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highlights a key dynamic: in democratic contexts, repression and controls function through greater legal mechanisms and expansion. From a Davenport perspective, this links repression to strategy. The state gets involved not by using more violence, but through more careful interventions which aim to deter people from certain types of protest.</w:t>
      </w:r>
      <w:r>
        <w:rPr>
          <w:rStyle w:val="FootnoteReference"/>
          <w:rFonts w:ascii="Times New Roman" w:eastAsia="Times New Roman" w:hAnsi="Times New Roman" w:cs="Times New Roman"/>
          <w:sz w:val="24"/>
          <w:szCs w:val="24"/>
          <w:lang w:eastAsia="en-GB"/>
        </w:rPr>
        <w:footnoteReference w:id="19"/>
      </w:r>
      <w:r>
        <w:rPr>
          <w:rFonts w:ascii="Times New Roman" w:eastAsia="Times New Roman" w:hAnsi="Times New Roman" w:cs="Times New Roman"/>
          <w:sz w:val="24"/>
          <w:szCs w:val="24"/>
          <w:lang w:eastAsia="en-GB"/>
        </w:rPr>
        <w:t xml:space="preserve"> This takes various forms in the UK including arrests, bans of certain groups, and extension of counter-terrorism laws. </w:t>
      </w:r>
      <w:r w:rsidR="00BD7778">
        <w:rPr>
          <w:rFonts w:ascii="Times New Roman" w:eastAsia="Times New Roman" w:hAnsi="Times New Roman" w:cs="Times New Roman"/>
          <w:sz w:val="24"/>
          <w:szCs w:val="24"/>
          <w:lang w:eastAsia="en-GB"/>
        </w:rPr>
        <w:t xml:space="preserve">This suggests that the UK response is not solely one of controlled and managed dissent, but actually pre-emptive governance, whereby the government acts quickly before harsher measures are needed. </w:t>
      </w:r>
    </w:p>
    <w:p w:rsidR="0004155D" w:rsidRDefault="00BD7778"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 important manifestation of this in the UK which is not theorised </w:t>
      </w:r>
      <w:proofErr w:type="gramStart"/>
      <w:r>
        <w:rPr>
          <w:rFonts w:ascii="Times New Roman" w:eastAsia="Times New Roman" w:hAnsi="Times New Roman" w:cs="Times New Roman"/>
          <w:sz w:val="24"/>
          <w:szCs w:val="24"/>
          <w:lang w:eastAsia="en-GB"/>
        </w:rPr>
        <w:t>enough,</w:t>
      </w:r>
      <w:proofErr w:type="gramEnd"/>
      <w:r>
        <w:rPr>
          <w:rFonts w:ascii="Times New Roman" w:eastAsia="Times New Roman" w:hAnsi="Times New Roman" w:cs="Times New Roman"/>
          <w:sz w:val="24"/>
          <w:szCs w:val="24"/>
          <w:lang w:eastAsia="en-GB"/>
        </w:rPr>
        <w:t xml:space="preserve"> is the </w:t>
      </w:r>
      <w:proofErr w:type="spellStart"/>
      <w:r w:rsidR="004D23CB">
        <w:rPr>
          <w:rFonts w:ascii="Times New Roman" w:eastAsia="Times New Roman" w:hAnsi="Times New Roman" w:cs="Times New Roman"/>
          <w:sz w:val="24"/>
          <w:szCs w:val="24"/>
          <w:lang w:eastAsia="en-GB"/>
        </w:rPr>
        <w:t>ra</w:t>
      </w:r>
      <w:r>
        <w:rPr>
          <w:rFonts w:ascii="Times New Roman" w:eastAsia="Times New Roman" w:hAnsi="Times New Roman" w:cs="Times New Roman"/>
          <w:sz w:val="24"/>
          <w:szCs w:val="24"/>
          <w:lang w:eastAsia="en-GB"/>
        </w:rPr>
        <w:t>c</w:t>
      </w:r>
      <w:r w:rsidR="004D23CB">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alised</w:t>
      </w:r>
      <w:proofErr w:type="spellEnd"/>
      <w:r>
        <w:rPr>
          <w:rFonts w:ascii="Times New Roman" w:eastAsia="Times New Roman" w:hAnsi="Times New Roman" w:cs="Times New Roman"/>
          <w:sz w:val="24"/>
          <w:szCs w:val="24"/>
          <w:lang w:eastAsia="en-GB"/>
        </w:rPr>
        <w:t xml:space="preserve"> component. One only </w:t>
      </w:r>
      <w:proofErr w:type="gramStart"/>
      <w:r>
        <w:rPr>
          <w:rFonts w:ascii="Times New Roman" w:eastAsia="Times New Roman" w:hAnsi="Times New Roman" w:cs="Times New Roman"/>
          <w:sz w:val="24"/>
          <w:szCs w:val="24"/>
          <w:lang w:eastAsia="en-GB"/>
        </w:rPr>
        <w:t>needs</w:t>
      </w:r>
      <w:proofErr w:type="gramEnd"/>
      <w:r>
        <w:rPr>
          <w:rFonts w:ascii="Times New Roman" w:eastAsia="Times New Roman" w:hAnsi="Times New Roman" w:cs="Times New Roman"/>
          <w:sz w:val="24"/>
          <w:szCs w:val="24"/>
          <w:lang w:eastAsia="en-GB"/>
        </w:rPr>
        <w:t xml:space="preserve"> to watch the news to see that repression and controls are not proportionate and that Muslims, and to a lesser extent other ethnic minorities are the biggest victims of this approach, especially in the context of pro-Palestine protests. </w:t>
      </w:r>
      <w:r w:rsidR="0004155D" w:rsidRPr="0004155D">
        <w:rPr>
          <w:rFonts w:ascii="Times New Roman" w:eastAsia="Times New Roman" w:hAnsi="Times New Roman" w:cs="Times New Roman"/>
          <w:sz w:val="24"/>
          <w:szCs w:val="24"/>
          <w:lang w:eastAsia="en-GB"/>
        </w:rPr>
        <w:t>Browne et al.’s observation that Muslim communities</w:t>
      </w:r>
      <w:r>
        <w:rPr>
          <w:rFonts w:ascii="Times New Roman" w:eastAsia="Times New Roman" w:hAnsi="Times New Roman" w:cs="Times New Roman"/>
          <w:sz w:val="24"/>
          <w:szCs w:val="24"/>
          <w:lang w:eastAsia="en-GB"/>
        </w:rPr>
        <w:t xml:space="preserve"> are the biggest victims of greater surveillance and control measures highlights that current policing systems function within a </w:t>
      </w:r>
      <w:proofErr w:type="spellStart"/>
      <w:r>
        <w:rPr>
          <w:rFonts w:ascii="Times New Roman" w:eastAsia="Times New Roman" w:hAnsi="Times New Roman" w:cs="Times New Roman"/>
          <w:sz w:val="24"/>
          <w:szCs w:val="24"/>
          <w:lang w:eastAsia="en-GB"/>
        </w:rPr>
        <w:t>racialised</w:t>
      </w:r>
      <w:proofErr w:type="spellEnd"/>
      <w:r>
        <w:rPr>
          <w:rFonts w:ascii="Times New Roman" w:eastAsia="Times New Roman" w:hAnsi="Times New Roman" w:cs="Times New Roman"/>
          <w:sz w:val="24"/>
          <w:szCs w:val="24"/>
          <w:lang w:eastAsia="en-GB"/>
        </w:rPr>
        <w:t xml:space="preserve"> architecture of governance.</w:t>
      </w:r>
      <w:r>
        <w:rPr>
          <w:rStyle w:val="FootnoteReference"/>
          <w:rFonts w:ascii="Times New Roman" w:eastAsia="Times New Roman" w:hAnsi="Times New Roman" w:cs="Times New Roman"/>
          <w:sz w:val="24"/>
          <w:szCs w:val="24"/>
          <w:lang w:eastAsia="en-GB"/>
        </w:rPr>
        <w:footnoteReference w:id="20"/>
      </w:r>
      <w:r>
        <w:rPr>
          <w:rFonts w:ascii="Times New Roman" w:eastAsia="Times New Roman" w:hAnsi="Times New Roman" w:cs="Times New Roman"/>
          <w:sz w:val="24"/>
          <w:szCs w:val="24"/>
          <w:lang w:eastAsia="en-GB"/>
        </w:rPr>
        <w:t xml:space="preserve"> </w:t>
      </w:r>
    </w:p>
    <w:p w:rsidR="0004155D" w:rsidRPr="0004155D" w:rsidRDefault="00BD7778"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inequality </w:t>
      </w:r>
      <w:proofErr w:type="spellStart"/>
      <w:r>
        <w:rPr>
          <w:rFonts w:ascii="Times New Roman" w:eastAsia="Times New Roman" w:hAnsi="Times New Roman" w:cs="Times New Roman"/>
          <w:sz w:val="24"/>
          <w:szCs w:val="24"/>
          <w:lang w:eastAsia="en-GB"/>
        </w:rPr>
        <w:t>problematises</w:t>
      </w:r>
      <w:proofErr w:type="spellEnd"/>
      <w:r>
        <w:rPr>
          <w:rFonts w:ascii="Times New Roman" w:eastAsia="Times New Roman" w:hAnsi="Times New Roman" w:cs="Times New Roman"/>
          <w:sz w:val="24"/>
          <w:szCs w:val="24"/>
          <w:lang w:eastAsia="en-GB"/>
        </w:rPr>
        <w:t xml:space="preserve"> the </w:t>
      </w:r>
      <w:proofErr w:type="spellStart"/>
      <w:r>
        <w:rPr>
          <w:rFonts w:ascii="Times New Roman" w:eastAsia="Times New Roman" w:hAnsi="Times New Roman" w:cs="Times New Roman"/>
          <w:sz w:val="24"/>
          <w:szCs w:val="24"/>
          <w:lang w:eastAsia="en-GB"/>
        </w:rPr>
        <w:t>Rawlsian</w:t>
      </w:r>
      <w:proofErr w:type="spellEnd"/>
      <w:r>
        <w:rPr>
          <w:rFonts w:ascii="Times New Roman" w:eastAsia="Times New Roman" w:hAnsi="Times New Roman" w:cs="Times New Roman"/>
          <w:sz w:val="24"/>
          <w:szCs w:val="24"/>
          <w:lang w:eastAsia="en-GB"/>
        </w:rPr>
        <w:t xml:space="preserve"> perspective on civil </w:t>
      </w:r>
      <w:r w:rsidR="00D93DD2">
        <w:rPr>
          <w:rFonts w:ascii="Times New Roman" w:eastAsia="Times New Roman" w:hAnsi="Times New Roman" w:cs="Times New Roman"/>
          <w:sz w:val="24"/>
          <w:szCs w:val="24"/>
          <w:lang w:eastAsia="en-GB"/>
        </w:rPr>
        <w:t>disobedience since this level of unequal treatment of citizens undermines his idea of a ‘nearly just’ society.</w:t>
      </w:r>
      <w:r w:rsidR="00D93DD2">
        <w:rPr>
          <w:rStyle w:val="FootnoteReference"/>
          <w:rFonts w:ascii="Times New Roman" w:eastAsia="Times New Roman" w:hAnsi="Times New Roman" w:cs="Times New Roman"/>
          <w:sz w:val="24"/>
          <w:szCs w:val="24"/>
          <w:lang w:eastAsia="en-GB"/>
        </w:rPr>
        <w:footnoteReference w:id="21"/>
      </w:r>
      <w:r w:rsidR="00D93DD2">
        <w:rPr>
          <w:rFonts w:ascii="Times New Roman" w:eastAsia="Times New Roman" w:hAnsi="Times New Roman" w:cs="Times New Roman"/>
          <w:sz w:val="24"/>
          <w:szCs w:val="24"/>
          <w:lang w:eastAsia="en-GB"/>
        </w:rPr>
        <w:t xml:space="preserve"> This level of surveillance and securitisation and </w:t>
      </w:r>
      <w:proofErr w:type="spellStart"/>
      <w:r w:rsidR="00D93DD2">
        <w:rPr>
          <w:rFonts w:ascii="Times New Roman" w:eastAsia="Times New Roman" w:hAnsi="Times New Roman" w:cs="Times New Roman"/>
          <w:sz w:val="24"/>
          <w:szCs w:val="24"/>
          <w:lang w:eastAsia="en-GB"/>
        </w:rPr>
        <w:t>contol</w:t>
      </w:r>
      <w:proofErr w:type="spellEnd"/>
      <w:r w:rsidR="00D93DD2">
        <w:rPr>
          <w:rFonts w:ascii="Times New Roman" w:eastAsia="Times New Roman" w:hAnsi="Times New Roman" w:cs="Times New Roman"/>
          <w:sz w:val="24"/>
          <w:szCs w:val="24"/>
          <w:lang w:eastAsia="en-GB"/>
        </w:rPr>
        <w:t xml:space="preserve"> of certain groups within society seems to suggest the society is far from ‘nearly just,’ though his conception does on the flip side recognise that it will not be fully just, whatever shape or form that may take</w:t>
      </w:r>
      <w:r w:rsidR="0004155D" w:rsidRPr="0004155D">
        <w:rPr>
          <w:rFonts w:ascii="Times New Roman" w:eastAsia="Times New Roman" w:hAnsi="Times New Roman" w:cs="Times New Roman"/>
          <w:sz w:val="24"/>
          <w:szCs w:val="24"/>
          <w:lang w:eastAsia="en-GB"/>
        </w:rPr>
        <w:t>.</w:t>
      </w:r>
    </w:p>
    <w:p w:rsidR="00D93DD2" w:rsidRDefault="00D93DD2"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Arendt’s argument that ‘violence appears where power is in jeopardy’ provides a further layer or critique.</w:t>
      </w:r>
      <w:r>
        <w:rPr>
          <w:rStyle w:val="FootnoteReference"/>
          <w:rFonts w:ascii="Times New Roman" w:eastAsia="Times New Roman" w:hAnsi="Times New Roman" w:cs="Times New Roman"/>
          <w:sz w:val="24"/>
          <w:szCs w:val="24"/>
          <w:lang w:eastAsia="en-GB"/>
        </w:rPr>
        <w:footnoteReference w:id="22"/>
      </w:r>
      <w:r>
        <w:rPr>
          <w:rFonts w:ascii="Times New Roman" w:eastAsia="Times New Roman" w:hAnsi="Times New Roman" w:cs="Times New Roman"/>
          <w:sz w:val="24"/>
          <w:szCs w:val="24"/>
          <w:lang w:eastAsia="en-GB"/>
        </w:rPr>
        <w:t xml:space="preserve"> The increased levels of surveillance and securitisation may actually be signs of fragility and not contented power, within the democratic framework. </w:t>
      </w:r>
      <w:r w:rsidR="00D53B56">
        <w:rPr>
          <w:rFonts w:ascii="Times New Roman" w:eastAsia="Times New Roman" w:hAnsi="Times New Roman" w:cs="Times New Roman"/>
          <w:sz w:val="24"/>
          <w:szCs w:val="24"/>
          <w:lang w:eastAsia="en-GB"/>
        </w:rPr>
        <w:t xml:space="preserve">Here, the UK’s responses can also be seen as a reflection of their wider geopolitical interests which do not align with pro-Palestine protests. </w:t>
      </w:r>
      <w:r w:rsidR="00371780">
        <w:rPr>
          <w:rFonts w:ascii="Times New Roman" w:eastAsia="Times New Roman" w:hAnsi="Times New Roman" w:cs="Times New Roman"/>
          <w:sz w:val="24"/>
          <w:szCs w:val="24"/>
          <w:lang w:eastAsia="en-GB"/>
        </w:rPr>
        <w:t xml:space="preserve">Therefore, while there are still civil liberties and openness to political opportunities in the UK, the truth of the matter is much more complex and nuanced. While protests are allowed, legality and administrative controls try to shape the path of such protests which further reveals a tension within the heart of the UK’s liberal democracy. </w:t>
      </w:r>
    </w:p>
    <w:p w:rsidR="0004155D" w:rsidRPr="0004155D" w:rsidRDefault="0004155D" w:rsidP="0004155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4155D">
        <w:rPr>
          <w:rFonts w:ascii="Times New Roman" w:eastAsia="Times New Roman" w:hAnsi="Times New Roman" w:cs="Times New Roman"/>
          <w:b/>
          <w:bCs/>
          <w:sz w:val="36"/>
          <w:szCs w:val="36"/>
          <w:lang w:eastAsia="en-GB"/>
        </w:rPr>
        <w:lastRenderedPageBreak/>
        <w:t>Turkey: Conditional Openness and Selective Repression</w:t>
      </w:r>
    </w:p>
    <w:p w:rsidR="0004155D" w:rsidRDefault="00352CA6"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Turkey</w:t>
      </w:r>
      <w:r w:rsidR="004D23C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system is quite different. While on the face of it, it appears to be democratic with free and fair elections, exe</w:t>
      </w:r>
      <w:r w:rsidR="004D23CB">
        <w:rPr>
          <w:rFonts w:ascii="Times New Roman" w:eastAsia="Times New Roman" w:hAnsi="Times New Roman" w:cs="Times New Roman"/>
          <w:sz w:val="24"/>
          <w:szCs w:val="24"/>
          <w:lang w:eastAsia="en-GB"/>
        </w:rPr>
        <w:t>cutive power plays a powerful ro</w:t>
      </w:r>
      <w:r>
        <w:rPr>
          <w:rFonts w:ascii="Times New Roman" w:eastAsia="Times New Roman" w:hAnsi="Times New Roman" w:cs="Times New Roman"/>
          <w:sz w:val="24"/>
          <w:szCs w:val="24"/>
          <w:lang w:eastAsia="en-GB"/>
        </w:rPr>
        <w:t xml:space="preserve">le which limits these democratic opportunities and openness. As </w:t>
      </w:r>
      <w:proofErr w:type="spellStart"/>
      <w:r>
        <w:rPr>
          <w:rFonts w:ascii="Times New Roman" w:eastAsia="Times New Roman" w:hAnsi="Times New Roman" w:cs="Times New Roman"/>
          <w:sz w:val="24"/>
          <w:szCs w:val="24"/>
          <w:lang w:eastAsia="en-GB"/>
        </w:rPr>
        <w:t>Levitsky</w:t>
      </w:r>
      <w:proofErr w:type="spellEnd"/>
      <w:r>
        <w:rPr>
          <w:rFonts w:ascii="Times New Roman" w:eastAsia="Times New Roman" w:hAnsi="Times New Roman" w:cs="Times New Roman"/>
          <w:sz w:val="24"/>
          <w:szCs w:val="24"/>
          <w:lang w:eastAsia="en-GB"/>
        </w:rPr>
        <w:t xml:space="preserve"> and Way suggest, incumbents operate within democratic systems, while undermining and manipulating their true essence.</w:t>
      </w:r>
      <w:r>
        <w:rPr>
          <w:rStyle w:val="FootnoteReference"/>
          <w:rFonts w:ascii="Times New Roman" w:eastAsia="Times New Roman" w:hAnsi="Times New Roman" w:cs="Times New Roman"/>
          <w:sz w:val="24"/>
          <w:szCs w:val="24"/>
          <w:lang w:eastAsia="en-GB"/>
        </w:rPr>
        <w:footnoteReference w:id="23"/>
      </w:r>
      <w:r>
        <w:rPr>
          <w:rFonts w:ascii="Times New Roman" w:eastAsia="Times New Roman" w:hAnsi="Times New Roman" w:cs="Times New Roman"/>
          <w:sz w:val="24"/>
          <w:szCs w:val="24"/>
          <w:lang w:eastAsia="en-GB"/>
        </w:rPr>
        <w:t xml:space="preserve"> This type of system shapes the way the system is managed and opportunity controlled. </w:t>
      </w:r>
      <w:r w:rsidR="00FC6CAD">
        <w:rPr>
          <w:rFonts w:ascii="Times New Roman" w:eastAsia="Times New Roman" w:hAnsi="Times New Roman" w:cs="Times New Roman"/>
          <w:sz w:val="24"/>
          <w:szCs w:val="24"/>
          <w:lang w:eastAsia="en-GB"/>
        </w:rPr>
        <w:t xml:space="preserve">These opportunities are neither fully managed nor fully open. They are in fact conditional to the needs of the </w:t>
      </w:r>
      <w:r w:rsidR="00F61D5E">
        <w:rPr>
          <w:rFonts w:ascii="Times New Roman" w:eastAsia="Times New Roman" w:hAnsi="Times New Roman" w:cs="Times New Roman"/>
          <w:sz w:val="24"/>
          <w:szCs w:val="24"/>
          <w:lang w:eastAsia="en-GB"/>
        </w:rPr>
        <w:t xml:space="preserve">government. They allow protest but only if it is aligned with the regimes political interests. </w:t>
      </w:r>
      <w:proofErr w:type="spellStart"/>
      <w:r w:rsidR="00F61D5E">
        <w:rPr>
          <w:rFonts w:ascii="Times New Roman" w:eastAsia="Times New Roman" w:hAnsi="Times New Roman" w:cs="Times New Roman"/>
          <w:sz w:val="24"/>
          <w:szCs w:val="24"/>
          <w:lang w:eastAsia="en-GB"/>
        </w:rPr>
        <w:t>Tarrow</w:t>
      </w:r>
      <w:proofErr w:type="spellEnd"/>
      <w:r w:rsidR="00F61D5E">
        <w:rPr>
          <w:rFonts w:ascii="Times New Roman" w:eastAsia="Times New Roman" w:hAnsi="Times New Roman" w:cs="Times New Roman"/>
          <w:sz w:val="24"/>
          <w:szCs w:val="24"/>
          <w:lang w:eastAsia="en-GB"/>
        </w:rPr>
        <w:t xml:space="preserve"> best captures the essence of these hybrid regimes in which ‘rights are constrained’ and control levels increase and decrease at the regimes will.</w:t>
      </w:r>
      <w:r w:rsidR="00F61D5E">
        <w:rPr>
          <w:rStyle w:val="FootnoteReference"/>
          <w:rFonts w:ascii="Times New Roman" w:eastAsia="Times New Roman" w:hAnsi="Times New Roman" w:cs="Times New Roman"/>
          <w:sz w:val="24"/>
          <w:szCs w:val="24"/>
          <w:lang w:eastAsia="en-GB"/>
        </w:rPr>
        <w:footnoteReference w:id="24"/>
      </w:r>
      <w:r w:rsidR="00F61D5E">
        <w:rPr>
          <w:rFonts w:ascii="Times New Roman" w:eastAsia="Times New Roman" w:hAnsi="Times New Roman" w:cs="Times New Roman"/>
          <w:sz w:val="24"/>
          <w:szCs w:val="24"/>
          <w:lang w:eastAsia="en-GB"/>
        </w:rPr>
        <w:t xml:space="preserve"> </w:t>
      </w:r>
      <w:r w:rsidR="00CB7A64">
        <w:rPr>
          <w:rFonts w:ascii="Times New Roman" w:eastAsia="Times New Roman" w:hAnsi="Times New Roman" w:cs="Times New Roman"/>
          <w:sz w:val="24"/>
          <w:szCs w:val="24"/>
          <w:lang w:eastAsia="en-GB"/>
        </w:rPr>
        <w:t>This creates a system characterised by uncertainty where protestor are constantly on edge and calculating their moves. Davenport’s argument that ‘</w:t>
      </w:r>
      <w:r w:rsidR="0004155D" w:rsidRPr="0004155D">
        <w:rPr>
          <w:rFonts w:ascii="Times New Roman" w:eastAsia="Times New Roman" w:hAnsi="Times New Roman" w:cs="Times New Roman"/>
          <w:sz w:val="24"/>
          <w:szCs w:val="24"/>
          <w:lang w:eastAsia="en-GB"/>
        </w:rPr>
        <w:t>authorities respond to beha</w:t>
      </w:r>
      <w:r w:rsidR="00CB7A64">
        <w:rPr>
          <w:rFonts w:ascii="Times New Roman" w:eastAsia="Times New Roman" w:hAnsi="Times New Roman" w:cs="Times New Roman"/>
          <w:sz w:val="24"/>
          <w:szCs w:val="24"/>
          <w:lang w:eastAsia="en-GB"/>
        </w:rPr>
        <w:t>vioural threats with repression’</w:t>
      </w:r>
      <w:r w:rsidR="002E502B">
        <w:rPr>
          <w:rFonts w:ascii="Times New Roman" w:eastAsia="Times New Roman" w:hAnsi="Times New Roman" w:cs="Times New Roman"/>
          <w:sz w:val="24"/>
          <w:szCs w:val="24"/>
          <w:lang w:eastAsia="en-GB"/>
        </w:rPr>
        <w:t xml:space="preserve"> </w:t>
      </w:r>
      <w:r w:rsidR="0004155D" w:rsidRPr="0004155D">
        <w:rPr>
          <w:rFonts w:ascii="Times New Roman" w:eastAsia="Times New Roman" w:hAnsi="Times New Roman" w:cs="Times New Roman"/>
          <w:sz w:val="24"/>
          <w:szCs w:val="24"/>
          <w:lang w:eastAsia="en-GB"/>
        </w:rPr>
        <w:t xml:space="preserve">is </w:t>
      </w:r>
      <w:r w:rsidR="00CB7A64">
        <w:rPr>
          <w:rFonts w:ascii="Times New Roman" w:eastAsia="Times New Roman" w:hAnsi="Times New Roman" w:cs="Times New Roman"/>
          <w:sz w:val="24"/>
          <w:szCs w:val="24"/>
          <w:lang w:eastAsia="en-GB"/>
        </w:rPr>
        <w:t>particularly important here.</w:t>
      </w:r>
      <w:r w:rsidR="002E502B">
        <w:rPr>
          <w:rStyle w:val="FootnoteReference"/>
          <w:rFonts w:ascii="Times New Roman" w:eastAsia="Times New Roman" w:hAnsi="Times New Roman" w:cs="Times New Roman"/>
          <w:sz w:val="24"/>
          <w:szCs w:val="24"/>
          <w:lang w:eastAsia="en-GB"/>
        </w:rPr>
        <w:footnoteReference w:id="25"/>
      </w:r>
      <w:r w:rsidR="00CB7A64">
        <w:rPr>
          <w:rFonts w:ascii="Times New Roman" w:eastAsia="Times New Roman" w:hAnsi="Times New Roman" w:cs="Times New Roman"/>
          <w:sz w:val="24"/>
          <w:szCs w:val="24"/>
          <w:lang w:eastAsia="en-GB"/>
        </w:rPr>
        <w:t xml:space="preserve"> But what the government sees as a ‘threat’ differs from state to state. </w:t>
      </w:r>
    </w:p>
    <w:p w:rsidR="006B0E7F" w:rsidRDefault="00E50E4E"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Repression in Turkey is a lot more open than clear to see than in the UK. While legality still plays a part, laws are </w:t>
      </w:r>
      <w:proofErr w:type="spellStart"/>
      <w:r>
        <w:rPr>
          <w:rFonts w:ascii="Times New Roman" w:eastAsia="Times New Roman" w:hAnsi="Times New Roman" w:cs="Times New Roman"/>
          <w:sz w:val="24"/>
          <w:szCs w:val="24"/>
          <w:lang w:eastAsia="en-GB"/>
        </w:rPr>
        <w:t>instrumentalised</w:t>
      </w:r>
      <w:proofErr w:type="spellEnd"/>
      <w:r>
        <w:rPr>
          <w:rFonts w:ascii="Times New Roman" w:eastAsia="Times New Roman" w:hAnsi="Times New Roman" w:cs="Times New Roman"/>
          <w:sz w:val="24"/>
          <w:szCs w:val="24"/>
          <w:lang w:eastAsia="en-GB"/>
        </w:rPr>
        <w:t xml:space="preserve"> as a way to deepen control. </w:t>
      </w:r>
      <w:proofErr w:type="spellStart"/>
      <w:r w:rsidR="0004155D" w:rsidRPr="0004155D">
        <w:rPr>
          <w:rFonts w:ascii="Times New Roman" w:eastAsia="Times New Roman" w:hAnsi="Times New Roman" w:cs="Times New Roman"/>
          <w:sz w:val="24"/>
          <w:szCs w:val="24"/>
          <w:lang w:eastAsia="en-GB"/>
        </w:rPr>
        <w:t>Levitsky</w:t>
      </w:r>
      <w:proofErr w:type="spellEnd"/>
      <w:r w:rsidR="0004155D" w:rsidRPr="0004155D">
        <w:rPr>
          <w:rFonts w:ascii="Times New Roman" w:eastAsia="Times New Roman" w:hAnsi="Times New Roman" w:cs="Times New Roman"/>
          <w:sz w:val="24"/>
          <w:szCs w:val="24"/>
          <w:lang w:eastAsia="en-GB"/>
        </w:rPr>
        <w:t xml:space="preserve"> and </w:t>
      </w:r>
      <w:proofErr w:type="spellStart"/>
      <w:r w:rsidR="0004155D" w:rsidRPr="0004155D">
        <w:rPr>
          <w:rFonts w:ascii="Times New Roman" w:eastAsia="Times New Roman" w:hAnsi="Times New Roman" w:cs="Times New Roman"/>
          <w:sz w:val="24"/>
          <w:szCs w:val="24"/>
          <w:lang w:eastAsia="en-GB"/>
        </w:rPr>
        <w:t>Ziblatt’s</w:t>
      </w:r>
      <w:proofErr w:type="spellEnd"/>
      <w:r w:rsidR="0004155D" w:rsidRPr="0004155D">
        <w:rPr>
          <w:rFonts w:ascii="Times New Roman" w:eastAsia="Times New Roman" w:hAnsi="Times New Roman" w:cs="Times New Roman"/>
          <w:sz w:val="24"/>
          <w:szCs w:val="24"/>
          <w:lang w:eastAsia="en-GB"/>
        </w:rPr>
        <w:t xml:space="preserve"> observation that go</w:t>
      </w:r>
      <w:r>
        <w:rPr>
          <w:rFonts w:ascii="Times New Roman" w:eastAsia="Times New Roman" w:hAnsi="Times New Roman" w:cs="Times New Roman"/>
          <w:sz w:val="24"/>
          <w:szCs w:val="24"/>
          <w:lang w:eastAsia="en-GB"/>
        </w:rPr>
        <w:t>vernments may use the law as a ‘weapon… to assault opponents’</w:t>
      </w:r>
      <w:r w:rsidR="00792F0D">
        <w:rPr>
          <w:rFonts w:ascii="Times New Roman" w:eastAsia="Times New Roman" w:hAnsi="Times New Roman" w:cs="Times New Roman"/>
          <w:sz w:val="24"/>
          <w:szCs w:val="24"/>
          <w:lang w:eastAsia="en-GB"/>
        </w:rPr>
        <w:t xml:space="preserve"> </w:t>
      </w:r>
      <w:r w:rsidR="006B0E7F">
        <w:rPr>
          <w:rFonts w:ascii="Times New Roman" w:eastAsia="Times New Roman" w:hAnsi="Times New Roman" w:cs="Times New Roman"/>
          <w:sz w:val="24"/>
          <w:szCs w:val="24"/>
          <w:lang w:eastAsia="en-GB"/>
        </w:rPr>
        <w:t>is highly relevant</w:t>
      </w:r>
      <w:r w:rsidR="0004155D" w:rsidRPr="0004155D">
        <w:rPr>
          <w:rFonts w:ascii="Times New Roman" w:eastAsia="Times New Roman" w:hAnsi="Times New Roman" w:cs="Times New Roman"/>
          <w:sz w:val="24"/>
          <w:szCs w:val="24"/>
          <w:lang w:eastAsia="en-GB"/>
        </w:rPr>
        <w:t>.</w:t>
      </w:r>
      <w:r w:rsidR="00792F0D">
        <w:rPr>
          <w:rStyle w:val="FootnoteReference"/>
          <w:rFonts w:ascii="Times New Roman" w:eastAsia="Times New Roman" w:hAnsi="Times New Roman" w:cs="Times New Roman"/>
          <w:sz w:val="24"/>
          <w:szCs w:val="24"/>
          <w:lang w:eastAsia="en-GB"/>
        </w:rPr>
        <w:footnoteReference w:id="26"/>
      </w:r>
      <w:r w:rsidR="006B0E7F">
        <w:rPr>
          <w:rFonts w:ascii="Times New Roman" w:eastAsia="Times New Roman" w:hAnsi="Times New Roman" w:cs="Times New Roman"/>
          <w:sz w:val="24"/>
          <w:szCs w:val="24"/>
          <w:lang w:eastAsia="en-GB"/>
        </w:rPr>
        <w:t xml:space="preserve"> </w:t>
      </w:r>
      <w:proofErr w:type="spellStart"/>
      <w:r w:rsidR="006B0E7F">
        <w:rPr>
          <w:rFonts w:ascii="Times New Roman" w:eastAsia="Times New Roman" w:hAnsi="Times New Roman" w:cs="Times New Roman"/>
          <w:sz w:val="24"/>
          <w:szCs w:val="24"/>
          <w:lang w:eastAsia="en-GB"/>
        </w:rPr>
        <w:t>Institiutions</w:t>
      </w:r>
      <w:proofErr w:type="spellEnd"/>
      <w:r w:rsidR="006B0E7F">
        <w:rPr>
          <w:rFonts w:ascii="Times New Roman" w:eastAsia="Times New Roman" w:hAnsi="Times New Roman" w:cs="Times New Roman"/>
          <w:sz w:val="24"/>
          <w:szCs w:val="24"/>
          <w:lang w:eastAsia="en-GB"/>
        </w:rPr>
        <w:t xml:space="preserve"> don’t only regulate or control protests, they </w:t>
      </w:r>
      <w:r w:rsidR="00792F0D">
        <w:rPr>
          <w:rFonts w:ascii="Times New Roman" w:eastAsia="Times New Roman" w:hAnsi="Times New Roman" w:cs="Times New Roman"/>
          <w:sz w:val="24"/>
          <w:szCs w:val="24"/>
          <w:lang w:eastAsia="en-GB"/>
        </w:rPr>
        <w:t xml:space="preserve">manage the form they take but in a way that favours the regime. This is a key element of authoritarianism, where democratic structures are used in an authoritarian way and mostly produce outcomes that are undemocratic. </w:t>
      </w:r>
    </w:p>
    <w:p w:rsidR="00491AAB" w:rsidRDefault="00491AAB"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Securitisation, especially after the attempted coup, functions in a way that legitimises repression by using the threat perception level as the main justification. Protests are frames in a way that they undermine national unity and the stability of the state. As </w:t>
      </w:r>
      <w:proofErr w:type="spellStart"/>
      <w:r>
        <w:rPr>
          <w:rFonts w:ascii="Times New Roman" w:eastAsia="Times New Roman" w:hAnsi="Times New Roman" w:cs="Times New Roman"/>
          <w:sz w:val="24"/>
          <w:szCs w:val="24"/>
          <w:lang w:eastAsia="en-GB"/>
        </w:rPr>
        <w:t>Levitsky</w:t>
      </w:r>
      <w:proofErr w:type="spellEnd"/>
      <w:r>
        <w:rPr>
          <w:rFonts w:ascii="Times New Roman" w:eastAsia="Times New Roman" w:hAnsi="Times New Roman" w:cs="Times New Roman"/>
          <w:sz w:val="24"/>
          <w:szCs w:val="24"/>
          <w:lang w:eastAsia="en-GB"/>
        </w:rPr>
        <w:t xml:space="preserve"> and </w:t>
      </w:r>
      <w:proofErr w:type="spellStart"/>
      <w:r>
        <w:rPr>
          <w:rFonts w:ascii="Times New Roman" w:eastAsia="Times New Roman" w:hAnsi="Times New Roman" w:cs="Times New Roman"/>
          <w:sz w:val="24"/>
          <w:szCs w:val="24"/>
          <w:lang w:eastAsia="en-GB"/>
        </w:rPr>
        <w:t>Ziblatt</w:t>
      </w:r>
      <w:proofErr w:type="spellEnd"/>
      <w:r>
        <w:rPr>
          <w:rFonts w:ascii="Times New Roman" w:eastAsia="Times New Roman" w:hAnsi="Times New Roman" w:cs="Times New Roman"/>
          <w:sz w:val="24"/>
          <w:szCs w:val="24"/>
          <w:lang w:eastAsia="en-GB"/>
        </w:rPr>
        <w:t xml:space="preserve"> note, ‘</w:t>
      </w:r>
      <w:r w:rsidR="0004155D" w:rsidRPr="0004155D">
        <w:rPr>
          <w:rFonts w:ascii="Times New Roman" w:eastAsia="Times New Roman" w:hAnsi="Times New Roman" w:cs="Times New Roman"/>
          <w:sz w:val="24"/>
          <w:szCs w:val="24"/>
          <w:lang w:eastAsia="en-GB"/>
        </w:rPr>
        <w:t>security threats</w:t>
      </w:r>
      <w:r>
        <w:rPr>
          <w:rFonts w:ascii="Times New Roman" w:eastAsia="Times New Roman" w:hAnsi="Times New Roman" w:cs="Times New Roman"/>
          <w:sz w:val="24"/>
          <w:szCs w:val="24"/>
          <w:lang w:eastAsia="en-GB"/>
        </w:rPr>
        <w:t xml:space="preserve">’ </w:t>
      </w:r>
      <w:r w:rsidR="0004155D" w:rsidRPr="0004155D">
        <w:rPr>
          <w:rFonts w:ascii="Times New Roman" w:eastAsia="Times New Roman" w:hAnsi="Times New Roman" w:cs="Times New Roman"/>
          <w:sz w:val="24"/>
          <w:szCs w:val="24"/>
          <w:lang w:eastAsia="en-GB"/>
        </w:rPr>
        <w:t>are often invoked to justify antidemo</w:t>
      </w:r>
      <w:r>
        <w:rPr>
          <w:rFonts w:ascii="Times New Roman" w:eastAsia="Times New Roman" w:hAnsi="Times New Roman" w:cs="Times New Roman"/>
          <w:sz w:val="24"/>
          <w:szCs w:val="24"/>
          <w:lang w:eastAsia="en-GB"/>
        </w:rPr>
        <w:t xml:space="preserve">cratic </w:t>
      </w:r>
      <w:proofErr w:type="gramStart"/>
      <w:r>
        <w:rPr>
          <w:rFonts w:ascii="Times New Roman" w:eastAsia="Times New Roman" w:hAnsi="Times New Roman" w:cs="Times New Roman"/>
          <w:sz w:val="24"/>
          <w:szCs w:val="24"/>
          <w:lang w:eastAsia="en-GB"/>
        </w:rPr>
        <w:t xml:space="preserve">practices </w:t>
      </w:r>
      <w:r w:rsidR="0004155D" w:rsidRPr="0004155D">
        <w:rPr>
          <w:rFonts w:ascii="Times New Roman" w:eastAsia="Times New Roman" w:hAnsi="Times New Roman" w:cs="Times New Roman"/>
          <w:sz w:val="24"/>
          <w:szCs w:val="24"/>
          <w:lang w:eastAsia="en-GB"/>
        </w:rPr>
        <w:t>.</w:t>
      </w:r>
      <w:proofErr w:type="gramEnd"/>
      <w:r>
        <w:rPr>
          <w:rStyle w:val="FootnoteReference"/>
          <w:rFonts w:ascii="Times New Roman" w:eastAsia="Times New Roman" w:hAnsi="Times New Roman" w:cs="Times New Roman"/>
          <w:sz w:val="24"/>
          <w:szCs w:val="24"/>
          <w:lang w:eastAsia="en-GB"/>
        </w:rPr>
        <w:footnoteReference w:id="27"/>
      </w:r>
      <w:r w:rsidR="0004155D" w:rsidRPr="0004155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However, while in the UK, where securitisation in linked to </w:t>
      </w:r>
      <w:proofErr w:type="spellStart"/>
      <w:proofErr w:type="gramStart"/>
      <w:r>
        <w:rPr>
          <w:rFonts w:ascii="Times New Roman" w:eastAsia="Times New Roman" w:hAnsi="Times New Roman" w:cs="Times New Roman"/>
          <w:sz w:val="24"/>
          <w:szCs w:val="24"/>
          <w:lang w:eastAsia="en-GB"/>
        </w:rPr>
        <w:t>racialised</w:t>
      </w:r>
      <w:proofErr w:type="spellEnd"/>
      <w:proofErr w:type="gramEnd"/>
      <w:r>
        <w:rPr>
          <w:rFonts w:ascii="Times New Roman" w:eastAsia="Times New Roman" w:hAnsi="Times New Roman" w:cs="Times New Roman"/>
          <w:sz w:val="24"/>
          <w:szCs w:val="24"/>
          <w:lang w:eastAsia="en-GB"/>
        </w:rPr>
        <w:t xml:space="preserve"> policies, in turkey it</w:t>
      </w:r>
      <w:r w:rsidR="004D23CB">
        <w:rPr>
          <w:rFonts w:ascii="Times New Roman" w:eastAsia="Times New Roman" w:hAnsi="Times New Roman" w:cs="Times New Roman"/>
          <w:sz w:val="24"/>
          <w:szCs w:val="24"/>
          <w:lang w:eastAsia="en-GB"/>
        </w:rPr>
        <w:t xml:space="preserve"> is</w:t>
      </w:r>
      <w:r>
        <w:rPr>
          <w:rFonts w:ascii="Times New Roman" w:eastAsia="Times New Roman" w:hAnsi="Times New Roman" w:cs="Times New Roman"/>
          <w:sz w:val="24"/>
          <w:szCs w:val="24"/>
          <w:lang w:eastAsia="en-GB"/>
        </w:rPr>
        <w:t xml:space="preserve"> more about the survival of the ruling regime or executive power. </w:t>
      </w:r>
    </w:p>
    <w:p w:rsidR="00491AAB" w:rsidRDefault="00491AAB"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it is important to not understate the importance of the Palestine issue </w:t>
      </w:r>
      <w:r w:rsidR="00614E71">
        <w:rPr>
          <w:rFonts w:ascii="Times New Roman" w:eastAsia="Times New Roman" w:hAnsi="Times New Roman" w:cs="Times New Roman"/>
          <w:sz w:val="24"/>
          <w:szCs w:val="24"/>
          <w:lang w:eastAsia="en-GB"/>
        </w:rPr>
        <w:t>within</w:t>
      </w:r>
      <w:r>
        <w:rPr>
          <w:rFonts w:ascii="Times New Roman" w:eastAsia="Times New Roman" w:hAnsi="Times New Roman" w:cs="Times New Roman"/>
          <w:sz w:val="24"/>
          <w:szCs w:val="24"/>
          <w:lang w:eastAsia="en-GB"/>
        </w:rPr>
        <w:t xml:space="preserve"> Turkey which is a majority Muslim nation. Turkey ruled over the Palestine region when it was the Ottoman </w:t>
      </w:r>
      <w:r w:rsidR="00614E71">
        <w:rPr>
          <w:rFonts w:ascii="Times New Roman" w:eastAsia="Times New Roman" w:hAnsi="Times New Roman" w:cs="Times New Roman"/>
          <w:sz w:val="24"/>
          <w:szCs w:val="24"/>
          <w:lang w:eastAsia="en-GB"/>
        </w:rPr>
        <w:t>Empire</w:t>
      </w:r>
      <w:r>
        <w:rPr>
          <w:rFonts w:ascii="Times New Roman" w:eastAsia="Times New Roman" w:hAnsi="Times New Roman" w:cs="Times New Roman"/>
          <w:sz w:val="24"/>
          <w:szCs w:val="24"/>
          <w:lang w:eastAsia="en-GB"/>
        </w:rPr>
        <w:t xml:space="preserve"> and a large part of the population holds dearly the holy cities and their nostalgic memories of the past. Therefore, people are deeply invested in the Palestine cause but the nature of the government </w:t>
      </w:r>
      <w:r w:rsidR="00614E71">
        <w:rPr>
          <w:rFonts w:ascii="Times New Roman" w:eastAsia="Times New Roman" w:hAnsi="Times New Roman" w:cs="Times New Roman"/>
          <w:sz w:val="24"/>
          <w:szCs w:val="24"/>
          <w:lang w:eastAsia="en-GB"/>
        </w:rPr>
        <w:t xml:space="preserve">undermines the level of support they can show. The Turkish president to satisfy the masses and to project geopolitical power amongst Muslim nations talks in support of Palestine at time during certain political rallies, but also in a way that will not ruin his ties to Israel which is a major player in the middle east and a trading partner. </w:t>
      </w:r>
    </w:p>
    <w:p w:rsidR="0004155D" w:rsidRPr="0004155D" w:rsidRDefault="00614E71" w:rsidP="006B0E7F">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Therefore, while Turkey formally allows protests, this permission or allowance is conditional and influenced by the politics and outlook of the regime. This turns into a system where </w:t>
      </w:r>
      <w:r>
        <w:rPr>
          <w:rFonts w:ascii="Times New Roman" w:eastAsia="Times New Roman" w:hAnsi="Times New Roman" w:cs="Times New Roman"/>
          <w:sz w:val="24"/>
          <w:szCs w:val="24"/>
          <w:lang w:eastAsia="en-GB"/>
        </w:rPr>
        <w:lastRenderedPageBreak/>
        <w:t xml:space="preserve">dissent is not completely crushed, managed in a strategic way, repressed at times, and reflects the authoritarian nature of the country. </w:t>
      </w:r>
      <w:r w:rsidR="0004155D" w:rsidRPr="0004155D">
        <w:rPr>
          <w:rFonts w:ascii="Times New Roman" w:eastAsia="Times New Roman" w:hAnsi="Times New Roman" w:cs="Times New Roman"/>
          <w:sz w:val="24"/>
          <w:szCs w:val="24"/>
          <w:lang w:eastAsia="en-GB"/>
        </w:rPr>
        <w:t>.</w:t>
      </w:r>
    </w:p>
    <w:p w:rsidR="0004155D" w:rsidRPr="0004155D" w:rsidRDefault="0004155D" w:rsidP="0004155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4155D">
        <w:rPr>
          <w:rFonts w:ascii="Times New Roman" w:eastAsia="Times New Roman" w:hAnsi="Times New Roman" w:cs="Times New Roman"/>
          <w:b/>
          <w:bCs/>
          <w:sz w:val="36"/>
          <w:szCs w:val="36"/>
          <w:lang w:eastAsia="en-GB"/>
        </w:rPr>
        <w:t>Comparative Analysis</w:t>
      </w:r>
    </w:p>
    <w:p w:rsidR="00E50E4E" w:rsidRDefault="00E50E4E"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Both the United Kingdom and Turkey formally allow pro-Palestine protests, but their paths diverge significantly. In both countries, state responses are impacted by their threat perception of protests and that shapes their level of democratic values they stick to and manipulate for their ends. Securitisation theory which is supported by Davenport’s argument that repression is used as a strategy is evident in both countries. </w:t>
      </w:r>
    </w:p>
    <w:p w:rsidR="00E50E4E" w:rsidRDefault="00E50E4E"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However, the form, intensity and type of repression </w:t>
      </w:r>
      <w:proofErr w:type="gramStart"/>
      <w:r>
        <w:rPr>
          <w:rFonts w:ascii="Times New Roman" w:eastAsia="Times New Roman" w:hAnsi="Times New Roman" w:cs="Times New Roman"/>
          <w:sz w:val="24"/>
          <w:szCs w:val="24"/>
          <w:lang w:eastAsia="en-GB"/>
        </w:rPr>
        <w:t>is</w:t>
      </w:r>
      <w:proofErr w:type="gramEnd"/>
      <w:r>
        <w:rPr>
          <w:rFonts w:ascii="Times New Roman" w:eastAsia="Times New Roman" w:hAnsi="Times New Roman" w:cs="Times New Roman"/>
          <w:sz w:val="24"/>
          <w:szCs w:val="24"/>
          <w:lang w:eastAsia="en-GB"/>
        </w:rPr>
        <w:t xml:space="preserve"> significantly different in each country. In the UK, it is mainly legalistic, with high regulation but at the same time operating in a system that allows open opportunity structures though they are increasingly being controlled and manipulated too. </w:t>
      </w:r>
      <w:r w:rsidR="00DF5B57">
        <w:rPr>
          <w:rFonts w:ascii="Times New Roman" w:eastAsia="Times New Roman" w:hAnsi="Times New Roman" w:cs="Times New Roman"/>
          <w:sz w:val="24"/>
          <w:szCs w:val="24"/>
          <w:lang w:eastAsia="en-GB"/>
        </w:rPr>
        <w:t xml:space="preserve">It manages protest instead of repressing it too much. It acts quickly. However, this repression is unevenly distributed, with ethnic minorities and Muslim populations bearing the brunt of state responses. </w:t>
      </w:r>
    </w:p>
    <w:p w:rsidR="00DF5B57" w:rsidRDefault="00DF5B57"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Turkey, on the other hand, repression is more open, controlled and operates within the structures and dynamics of a competitive authoritarian system, which is meant to be democratic, but where a hybrid form is apparent. Opportunities for protest are conditional and have to align with the states outlook and interests. Forceful action and repression is more widespread in Turkey too. </w:t>
      </w:r>
    </w:p>
    <w:p w:rsidR="00DF5B57" w:rsidRDefault="00DF5B57"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main analytical difference therefore is not simply in what type of regime it is, but the reasons behind their actions. This comparison shows that the difference or distinction between democratic and hybridized authoritarian-democratic system should not be viewed as a binary distinction. Both systems are concerned first and foremost with what suits them strategically, and what the structure of the systems permits before they go too far. </w:t>
      </w:r>
    </w:p>
    <w:p w:rsidR="0004155D" w:rsidRPr="0004155D" w:rsidRDefault="0004155D" w:rsidP="0004155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4155D">
        <w:rPr>
          <w:rFonts w:ascii="Times New Roman" w:eastAsia="Times New Roman" w:hAnsi="Times New Roman" w:cs="Times New Roman"/>
          <w:b/>
          <w:bCs/>
          <w:sz w:val="36"/>
          <w:szCs w:val="36"/>
          <w:lang w:eastAsia="en-GB"/>
        </w:rPr>
        <w:t>Conclusion</w:t>
      </w:r>
    </w:p>
    <w:p w:rsidR="004D23CB" w:rsidRDefault="004D23CB"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essay has demonstrated that while the United Kingdom and Turkey </w:t>
      </w:r>
      <w:r w:rsidR="006F4A6D">
        <w:rPr>
          <w:rFonts w:ascii="Times New Roman" w:eastAsia="Times New Roman" w:hAnsi="Times New Roman" w:cs="Times New Roman"/>
          <w:sz w:val="24"/>
          <w:szCs w:val="24"/>
          <w:lang w:eastAsia="en-GB"/>
        </w:rPr>
        <w:t>formally permit pro-</w:t>
      </w:r>
      <w:proofErr w:type="spellStart"/>
      <w:r w:rsidR="006F4A6D">
        <w:rPr>
          <w:rFonts w:ascii="Times New Roman" w:eastAsia="Times New Roman" w:hAnsi="Times New Roman" w:cs="Times New Roman"/>
          <w:sz w:val="24"/>
          <w:szCs w:val="24"/>
          <w:lang w:eastAsia="en-GB"/>
        </w:rPr>
        <w:t>palestine</w:t>
      </w:r>
      <w:proofErr w:type="spellEnd"/>
      <w:r w:rsidR="006F4A6D">
        <w:rPr>
          <w:rFonts w:ascii="Times New Roman" w:eastAsia="Times New Roman" w:hAnsi="Times New Roman" w:cs="Times New Roman"/>
          <w:sz w:val="24"/>
          <w:szCs w:val="24"/>
          <w:lang w:eastAsia="en-GB"/>
        </w:rPr>
        <w:t xml:space="preserve"> civil disobedience, their responses are very different and take divergent paths when we look for example at the structure, types of justification, and unique positions they hold. This is because their threat perceptions are different, and based on different issues. Their reasons for securitisation are also different. This comparative assessment carried out in this essay has shown that both countries manage dissent in different ways and do so for strategic reason. </w:t>
      </w:r>
    </w:p>
    <w:p w:rsidR="006F4A6D" w:rsidRDefault="00B9093E"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UK has adopted a structure that manages dissent within a formally open system that is legally protects and allows political opportunities for citizens with issues they want to raise concern for, in this case, pro-Palestine activism. However, this openness is, especially since 2001, more and more securitised and manipulated. Protests, especially those carried out by members of ethnic minority groups or minority religious groups are singled out more and are policed in a disproportionate way to other citizens of the country. Especially after 2001, new frameworks or lenses which involved viewing citizens of these communities as greater threats has persisted and since October 7</w:t>
      </w:r>
      <w:r w:rsidRPr="00B9093E">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and the onset of pro-Palestine protests, has taken an even more </w:t>
      </w:r>
      <w:r w:rsidR="00A72A4D">
        <w:rPr>
          <w:rFonts w:ascii="Times New Roman" w:eastAsia="Times New Roman" w:hAnsi="Times New Roman" w:cs="Times New Roman"/>
          <w:sz w:val="24"/>
          <w:szCs w:val="24"/>
          <w:lang w:eastAsia="en-GB"/>
        </w:rPr>
        <w:t xml:space="preserve">controlled form. This is highlighted by the study carried out by Browne et al as </w:t>
      </w:r>
      <w:r w:rsidR="00A72A4D">
        <w:rPr>
          <w:rFonts w:ascii="Times New Roman" w:eastAsia="Times New Roman" w:hAnsi="Times New Roman" w:cs="Times New Roman"/>
          <w:sz w:val="24"/>
          <w:szCs w:val="24"/>
          <w:lang w:eastAsia="en-GB"/>
        </w:rPr>
        <w:lastRenderedPageBreak/>
        <w:t xml:space="preserve">mentioned above which looks into this deeply and provides a well researches analysis that supports this argument. </w:t>
      </w:r>
    </w:p>
    <w:p w:rsidR="00A72A4D" w:rsidRDefault="00A72A4D"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contrast, Turkey operates within a competitive authoritarian framework in which political opportunity and the permission to protest is linked to and dependent on the outlook of the regime in power. If it does not align with its foreign policy interests or if it poses a challenge to the regimes power or executive authority, the government clamps down and either outlaws or manages protest in a way that seems more overt and open. This is possible because the system is a hybrid for which weds democratic practices and values with an authoritarian style or governance and leadership. </w:t>
      </w:r>
    </w:p>
    <w:p w:rsidR="00CD5BF3" w:rsidRDefault="00A72A4D"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Taken together, this comparison highlights </w:t>
      </w:r>
      <w:proofErr w:type="gramStart"/>
      <w:r>
        <w:rPr>
          <w:rFonts w:ascii="Times New Roman" w:eastAsia="Times New Roman" w:hAnsi="Times New Roman" w:cs="Times New Roman"/>
          <w:sz w:val="24"/>
          <w:szCs w:val="24"/>
          <w:lang w:eastAsia="en-GB"/>
        </w:rPr>
        <w:t>a key insights</w:t>
      </w:r>
      <w:proofErr w:type="gramEnd"/>
      <w:r>
        <w:rPr>
          <w:rFonts w:ascii="Times New Roman" w:eastAsia="Times New Roman" w:hAnsi="Times New Roman" w:cs="Times New Roman"/>
          <w:sz w:val="24"/>
          <w:szCs w:val="24"/>
          <w:lang w:eastAsia="en-GB"/>
        </w:rPr>
        <w:t xml:space="preserve"> that repression of dissent and protestors is not linked solely to authoritarianism, but is actually a strategic undertaking which is dependent on multiple variables amongst which context and interest play a big part. While both countries differ in their methods and levels of control, both highlight a critical insight that interests have currency in this day and age and therefore take precedence over the needs and wants of populations, but also that these needs and wants of the populations need to also be addressed and dealt with before dissent becomes rebellion and potentially can turn into regime change which is always a fear of the le</w:t>
      </w:r>
      <w:r w:rsidR="00447AE4">
        <w:rPr>
          <w:rFonts w:ascii="Times New Roman" w:eastAsia="Times New Roman" w:hAnsi="Times New Roman" w:cs="Times New Roman"/>
          <w:sz w:val="24"/>
          <w:szCs w:val="24"/>
          <w:lang w:eastAsia="en-GB"/>
        </w:rPr>
        <w:t>adership of both countries but m</w:t>
      </w:r>
      <w:r>
        <w:rPr>
          <w:rFonts w:ascii="Times New Roman" w:eastAsia="Times New Roman" w:hAnsi="Times New Roman" w:cs="Times New Roman"/>
          <w:sz w:val="24"/>
          <w:szCs w:val="24"/>
          <w:lang w:eastAsia="en-GB"/>
        </w:rPr>
        <w:t xml:space="preserve">ore so Turkey and the authoritarian style of governance it adhered to. </w:t>
      </w:r>
    </w:p>
    <w:p w:rsidR="00E10749" w:rsidRPr="005D2972" w:rsidRDefault="005D2972" w:rsidP="0004155D">
      <w:pPr>
        <w:spacing w:before="100" w:beforeAutospacing="1" w:after="100" w:afterAutospacing="1" w:line="240" w:lineRule="auto"/>
        <w:rPr>
          <w:rFonts w:ascii="Times New Roman" w:eastAsia="Times New Roman" w:hAnsi="Times New Roman" w:cs="Times New Roman"/>
          <w:sz w:val="24"/>
          <w:szCs w:val="24"/>
          <w:lang w:eastAsia="en-GB"/>
        </w:rPr>
      </w:pPr>
      <w:r w:rsidRPr="005D2972">
        <w:rPr>
          <w:sz w:val="24"/>
          <w:szCs w:val="24"/>
        </w:rPr>
        <w:t>In the end, to understand how states respond to pro-Palestine protests, we need to look at it from a few different angles, including political opportunity, repression, and securitisation. This shows that protest is not just about people expressing their democratic rights, but is also a space where power, legitimacy, and identity are constantly being worked out. Comparing the United Kingdom and Turkey helps highlight not only how their responses differ, but also the deeper tensions in how both democratic and more authoritarian systems deal with dissent.</w:t>
      </w: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5D2972" w:rsidRDefault="005D2972"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5D2972" w:rsidRDefault="005D2972"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5D2972" w:rsidRDefault="005D2972"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5D2972" w:rsidRDefault="005D2972"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E10749"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p>
    <w:p w:rsidR="0004155D" w:rsidRPr="0004155D" w:rsidRDefault="00E10749" w:rsidP="0004155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Bibliography</w:t>
      </w:r>
    </w:p>
    <w:p w:rsidR="00E10749" w:rsidRDefault="00E10749" w:rsidP="00E10749">
      <w:pPr>
        <w:pStyle w:val="NormalWeb"/>
      </w:pPr>
      <w:r>
        <w:t xml:space="preserve">Arendt, Hannah, </w:t>
      </w:r>
      <w:r>
        <w:rPr>
          <w:rStyle w:val="Emphasis"/>
        </w:rPr>
        <w:t>On Violence</w:t>
      </w:r>
      <w:r>
        <w:t xml:space="preserve"> (New York: Harcourt, 1970)</w:t>
      </w:r>
    </w:p>
    <w:p w:rsidR="00E10749" w:rsidRDefault="00E10749" w:rsidP="00E10749">
      <w:pPr>
        <w:pStyle w:val="NormalWeb"/>
      </w:pPr>
      <w:r>
        <w:t xml:space="preserve">Browne, Brendan </w:t>
      </w:r>
      <w:proofErr w:type="spellStart"/>
      <w:r>
        <w:t>Ciarán</w:t>
      </w:r>
      <w:proofErr w:type="spellEnd"/>
      <w:r>
        <w:t xml:space="preserve">, Elian </w:t>
      </w:r>
      <w:proofErr w:type="spellStart"/>
      <w:r>
        <w:t>Weizman</w:t>
      </w:r>
      <w:proofErr w:type="spellEnd"/>
      <w:r>
        <w:t xml:space="preserve">, and Jennifer </w:t>
      </w:r>
      <w:proofErr w:type="spellStart"/>
      <w:r>
        <w:t>Matchain</w:t>
      </w:r>
      <w:proofErr w:type="spellEnd"/>
      <w:r>
        <w:t>, ‘Unpacking the Crackdown on Palestine Solidarity Activism in the UK in a Post-7 October Reality’</w:t>
      </w:r>
    </w:p>
    <w:p w:rsidR="00E10749" w:rsidRDefault="00E10749" w:rsidP="00E10749">
      <w:pPr>
        <w:pStyle w:val="NormalWeb"/>
      </w:pPr>
      <w:r>
        <w:t xml:space="preserve">Davenport, Christian, </w:t>
      </w:r>
      <w:r>
        <w:rPr>
          <w:rStyle w:val="Emphasis"/>
        </w:rPr>
        <w:t>State Repression and Political Order</w:t>
      </w:r>
      <w:r>
        <w:t xml:space="preserve"> (Cambridge: Cambridge University Press, 2007)</w:t>
      </w:r>
    </w:p>
    <w:p w:rsidR="00E10749" w:rsidRDefault="00E10749" w:rsidP="00E10749">
      <w:pPr>
        <w:pStyle w:val="NormalWeb"/>
      </w:pPr>
      <w:r>
        <w:t xml:space="preserve">Earl, Jennifer, ‘Political Repression: Iron Fists, Velvet Gloves, and Diffuse Control’, </w:t>
      </w:r>
      <w:r>
        <w:rPr>
          <w:rStyle w:val="Emphasis"/>
        </w:rPr>
        <w:t>Annual Review of Sociology</w:t>
      </w:r>
      <w:r>
        <w:t>, 37 (2011), pp. 261–284</w:t>
      </w:r>
    </w:p>
    <w:p w:rsidR="00E10749" w:rsidRDefault="00E10749" w:rsidP="00E10749">
      <w:pPr>
        <w:pStyle w:val="NormalWeb"/>
      </w:pPr>
      <w:proofErr w:type="spellStart"/>
      <w:r>
        <w:t>Levitsky</w:t>
      </w:r>
      <w:proofErr w:type="spellEnd"/>
      <w:r>
        <w:t xml:space="preserve">, Steven, and Daniel </w:t>
      </w:r>
      <w:proofErr w:type="spellStart"/>
      <w:r>
        <w:t>Ziblatt</w:t>
      </w:r>
      <w:proofErr w:type="spellEnd"/>
      <w:r>
        <w:t xml:space="preserve">, </w:t>
      </w:r>
      <w:r>
        <w:rPr>
          <w:rStyle w:val="Emphasis"/>
        </w:rPr>
        <w:t>How Democracies Die</w:t>
      </w:r>
      <w:r>
        <w:t xml:space="preserve"> (New York: Crown, 2018)</w:t>
      </w:r>
    </w:p>
    <w:p w:rsidR="00E10749" w:rsidRDefault="00E10749" w:rsidP="00E10749">
      <w:pPr>
        <w:pStyle w:val="NormalWeb"/>
      </w:pPr>
      <w:proofErr w:type="spellStart"/>
      <w:r>
        <w:t>Levitsky</w:t>
      </w:r>
      <w:proofErr w:type="spellEnd"/>
      <w:r>
        <w:t xml:space="preserve">, Steven, and Lucan A. Way, </w:t>
      </w:r>
      <w:r>
        <w:rPr>
          <w:rStyle w:val="Emphasis"/>
        </w:rPr>
        <w:t>Competitive Authoritarianism: Hybrid Regimes after the Cold War</w:t>
      </w:r>
      <w:r>
        <w:t xml:space="preserve"> (Cambridge: Cambridge University Press, 2010)</w:t>
      </w:r>
    </w:p>
    <w:p w:rsidR="00E10749" w:rsidRDefault="00E10749" w:rsidP="00E10749">
      <w:pPr>
        <w:pStyle w:val="NormalWeb"/>
      </w:pPr>
      <w:proofErr w:type="spellStart"/>
      <w:r>
        <w:t>McAdam</w:t>
      </w:r>
      <w:proofErr w:type="spellEnd"/>
      <w:r>
        <w:t xml:space="preserve">, Doug, </w:t>
      </w:r>
      <w:r>
        <w:rPr>
          <w:rStyle w:val="Emphasis"/>
        </w:rPr>
        <w:t>Political Process and the Development of Black Insurgency, 1930–1970</w:t>
      </w:r>
      <w:r>
        <w:t xml:space="preserve"> (Chicago: University of Chicago Press, 1982)</w:t>
      </w:r>
    </w:p>
    <w:p w:rsidR="00E10749" w:rsidRDefault="00E10749" w:rsidP="00E10749">
      <w:pPr>
        <w:pStyle w:val="NormalWeb"/>
      </w:pPr>
      <w:r>
        <w:t xml:space="preserve">Rawls, John, </w:t>
      </w:r>
      <w:proofErr w:type="gramStart"/>
      <w:r>
        <w:rPr>
          <w:rStyle w:val="Emphasis"/>
        </w:rPr>
        <w:t>A</w:t>
      </w:r>
      <w:proofErr w:type="gramEnd"/>
      <w:r>
        <w:rPr>
          <w:rStyle w:val="Emphasis"/>
        </w:rPr>
        <w:t xml:space="preserve"> Theory of Justice</w:t>
      </w:r>
      <w:r>
        <w:t xml:space="preserve"> (Cambridge, MA: Harvard University Press, 1971)</w:t>
      </w:r>
    </w:p>
    <w:p w:rsidR="00E10749" w:rsidRDefault="00E10749" w:rsidP="00E10749">
      <w:pPr>
        <w:pStyle w:val="NormalWeb"/>
      </w:pPr>
      <w:proofErr w:type="spellStart"/>
      <w:r>
        <w:t>Tarrow</w:t>
      </w:r>
      <w:proofErr w:type="spellEnd"/>
      <w:r>
        <w:t xml:space="preserve">, Sidney, </w:t>
      </w:r>
      <w:r>
        <w:rPr>
          <w:rStyle w:val="Emphasis"/>
        </w:rPr>
        <w:t>Power in Movement: Social Movements and Contentious Politics</w:t>
      </w:r>
      <w:r>
        <w:t xml:space="preserve">, 3rd </w:t>
      </w:r>
      <w:proofErr w:type="spellStart"/>
      <w:r>
        <w:t>edn</w:t>
      </w:r>
      <w:proofErr w:type="spellEnd"/>
      <w:r>
        <w:t xml:space="preserve"> (Cambridge: Cambridge University Press, 2011)</w:t>
      </w:r>
    </w:p>
    <w:p w:rsidR="00E10749" w:rsidRDefault="00E10749" w:rsidP="00E10749">
      <w:pPr>
        <w:pStyle w:val="NormalWeb"/>
      </w:pPr>
      <w:proofErr w:type="spellStart"/>
      <w:r>
        <w:t>Tilly</w:t>
      </w:r>
      <w:proofErr w:type="spellEnd"/>
      <w:r>
        <w:t xml:space="preserve">, Charles, </w:t>
      </w:r>
      <w:r>
        <w:rPr>
          <w:rStyle w:val="Emphasis"/>
        </w:rPr>
        <w:t xml:space="preserve">Social Movements, </w:t>
      </w:r>
      <w:proofErr w:type="gramStart"/>
      <w:r>
        <w:rPr>
          <w:rStyle w:val="Emphasis"/>
        </w:rPr>
        <w:t>1768</w:t>
      </w:r>
      <w:proofErr w:type="gramEnd"/>
      <w:r>
        <w:rPr>
          <w:rStyle w:val="Emphasis"/>
        </w:rPr>
        <w:t>–2004</w:t>
      </w:r>
      <w:r>
        <w:t xml:space="preserve"> (Boulder, CO: Paradigm Publishers, 2004)</w:t>
      </w:r>
    </w:p>
    <w:p w:rsidR="008B6506" w:rsidRPr="008B6506" w:rsidRDefault="008B6506" w:rsidP="008B6506">
      <w:pPr>
        <w:spacing w:before="100" w:beforeAutospacing="1" w:after="100" w:afterAutospacing="1" w:line="240" w:lineRule="auto"/>
        <w:rPr>
          <w:rFonts w:ascii="Times New Roman" w:eastAsia="Times New Roman" w:hAnsi="Times New Roman" w:cs="Times New Roman"/>
          <w:sz w:val="24"/>
          <w:szCs w:val="24"/>
          <w:lang w:eastAsia="en-GB"/>
        </w:rPr>
      </w:pPr>
    </w:p>
    <w:p w:rsidR="008F4518" w:rsidRDefault="008F4518"/>
    <w:sectPr w:rsidR="008F4518" w:rsidSect="008F45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140" w:rsidRDefault="00317140" w:rsidP="005D5435">
      <w:pPr>
        <w:spacing w:after="0" w:line="240" w:lineRule="auto"/>
      </w:pPr>
      <w:r>
        <w:separator/>
      </w:r>
    </w:p>
  </w:endnote>
  <w:endnote w:type="continuationSeparator" w:id="0">
    <w:p w:rsidR="00317140" w:rsidRDefault="00317140" w:rsidP="005D54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140" w:rsidRDefault="00317140" w:rsidP="005D5435">
      <w:pPr>
        <w:spacing w:after="0" w:line="240" w:lineRule="auto"/>
      </w:pPr>
      <w:r>
        <w:separator/>
      </w:r>
    </w:p>
  </w:footnote>
  <w:footnote w:type="continuationSeparator" w:id="0">
    <w:p w:rsidR="00317140" w:rsidRDefault="00317140" w:rsidP="005D5435">
      <w:pPr>
        <w:spacing w:after="0" w:line="240" w:lineRule="auto"/>
      </w:pPr>
      <w:r>
        <w:continuationSeparator/>
      </w:r>
    </w:p>
  </w:footnote>
  <w:footnote w:id="1">
    <w:p w:rsidR="005D5435" w:rsidRDefault="005D5435">
      <w:pPr>
        <w:pStyle w:val="FootnoteText"/>
      </w:pPr>
      <w:r>
        <w:rPr>
          <w:rStyle w:val="FootnoteReference"/>
        </w:rPr>
        <w:footnoteRef/>
      </w:r>
      <w:r w:rsidR="00C66C56">
        <w:t xml:space="preserve"> John Rawls, </w:t>
      </w:r>
      <w:r w:rsidR="00C66C56">
        <w:rPr>
          <w:rStyle w:val="Emphasis"/>
        </w:rPr>
        <w:t>A Theory of Justice</w:t>
      </w:r>
      <w:r w:rsidR="00C66C56">
        <w:t xml:space="preserve"> (Cambridge, MA: Harvard University Press, 1971), p314-316</w:t>
      </w:r>
    </w:p>
  </w:footnote>
  <w:footnote w:id="2">
    <w:p w:rsidR="00272E4D" w:rsidRDefault="00272E4D">
      <w:pPr>
        <w:pStyle w:val="FootnoteText"/>
      </w:pPr>
      <w:r>
        <w:rPr>
          <w:rStyle w:val="FootnoteReference"/>
        </w:rPr>
        <w:footnoteRef/>
      </w:r>
      <w:r>
        <w:t xml:space="preserve"> Ibid., p314-316</w:t>
      </w:r>
    </w:p>
  </w:footnote>
  <w:footnote w:id="3">
    <w:p w:rsidR="001945CD" w:rsidRDefault="001945CD">
      <w:pPr>
        <w:pStyle w:val="FootnoteText"/>
      </w:pPr>
      <w:r>
        <w:rPr>
          <w:rStyle w:val="FootnoteReference"/>
        </w:rPr>
        <w:footnoteRef/>
      </w:r>
      <w:r>
        <w:t xml:space="preserve"> </w:t>
      </w:r>
      <w:r w:rsidR="00417D25">
        <w:t xml:space="preserve">John Rawls, </w:t>
      </w:r>
      <w:r w:rsidR="00417D25">
        <w:rPr>
          <w:rStyle w:val="Emphasis"/>
        </w:rPr>
        <w:t>A Theory of Justice</w:t>
      </w:r>
      <w:r w:rsidR="00417D25">
        <w:t xml:space="preserve"> (Cambridge, MA: Harvard University Press, 1971), p314-316</w:t>
      </w:r>
    </w:p>
  </w:footnote>
  <w:footnote w:id="4">
    <w:p w:rsidR="00E46044" w:rsidRDefault="00E46044">
      <w:pPr>
        <w:pStyle w:val="FootnoteText"/>
      </w:pPr>
      <w:r>
        <w:rPr>
          <w:rStyle w:val="FootnoteReference"/>
        </w:rPr>
        <w:footnoteRef/>
      </w:r>
      <w:r>
        <w:t xml:space="preserve"> </w:t>
      </w:r>
      <w:proofErr w:type="gramStart"/>
      <w:r w:rsidR="001945CD">
        <w:t>Ibid.,</w:t>
      </w:r>
      <w:proofErr w:type="gramEnd"/>
      <w:r w:rsidR="001945CD">
        <w:t xml:space="preserve"> pp.314-316.</w:t>
      </w:r>
    </w:p>
  </w:footnote>
  <w:footnote w:id="5">
    <w:p w:rsidR="00CF1744" w:rsidRDefault="00CF1744">
      <w:pPr>
        <w:pStyle w:val="FootnoteText"/>
      </w:pPr>
      <w:r>
        <w:rPr>
          <w:rStyle w:val="FootnoteReference"/>
        </w:rPr>
        <w:footnoteRef/>
      </w:r>
      <w:r w:rsidR="00417D25">
        <w:t xml:space="preserve"> Sidney </w:t>
      </w:r>
      <w:proofErr w:type="spellStart"/>
      <w:r w:rsidR="00417D25">
        <w:t>Tarrow</w:t>
      </w:r>
      <w:proofErr w:type="spellEnd"/>
      <w:r w:rsidR="00417D25">
        <w:t xml:space="preserve">, </w:t>
      </w:r>
      <w:r w:rsidR="00417D25">
        <w:rPr>
          <w:rStyle w:val="Emphasis"/>
        </w:rPr>
        <w:t>Power in Movement: Social Movements and Contentious Politics</w:t>
      </w:r>
      <w:r w:rsidR="00417D25">
        <w:t xml:space="preserve">, 3rd </w:t>
      </w:r>
      <w:proofErr w:type="spellStart"/>
      <w:r w:rsidR="00417D25">
        <w:t>edn</w:t>
      </w:r>
      <w:proofErr w:type="spellEnd"/>
      <w:r w:rsidR="00417D25">
        <w:t xml:space="preserve"> (Cambridge: Cambridge University Press, 2011), p142</w:t>
      </w:r>
    </w:p>
  </w:footnote>
  <w:footnote w:id="6">
    <w:p w:rsidR="001A6672" w:rsidRDefault="001A6672">
      <w:pPr>
        <w:pStyle w:val="FootnoteText"/>
      </w:pPr>
      <w:r>
        <w:rPr>
          <w:rStyle w:val="FootnoteReference"/>
        </w:rPr>
        <w:footnoteRef/>
      </w:r>
      <w:r w:rsidR="00417D25">
        <w:t xml:space="preserve"> Jennifer Earl, ‘Political Repression: Iron Fists, Velvet Gloves, and Diffuse Control’, </w:t>
      </w:r>
      <w:r w:rsidR="00417D25">
        <w:rPr>
          <w:rStyle w:val="Emphasis"/>
        </w:rPr>
        <w:t>Annual Review of Sociology</w:t>
      </w:r>
      <w:r w:rsidR="00417D25">
        <w:t>, 37 (2011), p263</w:t>
      </w:r>
    </w:p>
  </w:footnote>
  <w:footnote w:id="7">
    <w:p w:rsidR="00B0686B" w:rsidRDefault="00B0686B">
      <w:pPr>
        <w:pStyle w:val="FootnoteText"/>
      </w:pPr>
      <w:r>
        <w:rPr>
          <w:rStyle w:val="FootnoteReference"/>
        </w:rPr>
        <w:footnoteRef/>
      </w:r>
      <w:r w:rsidR="00BC2B57">
        <w:t xml:space="preserve"> Sidney </w:t>
      </w:r>
      <w:proofErr w:type="spellStart"/>
      <w:r w:rsidR="00BC2B57">
        <w:t>Tarrow</w:t>
      </w:r>
      <w:proofErr w:type="spellEnd"/>
      <w:r w:rsidR="00BC2B57">
        <w:t xml:space="preserve">, </w:t>
      </w:r>
      <w:r w:rsidR="00BC2B57">
        <w:rPr>
          <w:rStyle w:val="Emphasis"/>
        </w:rPr>
        <w:t>Power in Movement: Social Movements and Contentious Politics</w:t>
      </w:r>
      <w:r w:rsidR="00BC2B57">
        <w:t xml:space="preserve">, 3rd </w:t>
      </w:r>
      <w:proofErr w:type="spellStart"/>
      <w:r w:rsidR="00BC2B57">
        <w:t>edn</w:t>
      </w:r>
      <w:proofErr w:type="spellEnd"/>
      <w:r w:rsidR="00BC2B57">
        <w:t xml:space="preserve"> (Cambridge: Cambridge University Press, 2011),</w:t>
      </w:r>
      <w:r>
        <w:t xml:space="preserve"> p143</w:t>
      </w:r>
    </w:p>
  </w:footnote>
  <w:footnote w:id="8">
    <w:p w:rsidR="00DB2EBF" w:rsidRDefault="00DB2EBF">
      <w:pPr>
        <w:pStyle w:val="FootnoteText"/>
      </w:pPr>
      <w:r>
        <w:rPr>
          <w:rStyle w:val="FootnoteReference"/>
        </w:rPr>
        <w:footnoteRef/>
      </w:r>
      <w:r w:rsidR="00BC2B57">
        <w:t xml:space="preserve"> Christian Davenport, </w:t>
      </w:r>
      <w:r w:rsidR="00BC2B57">
        <w:rPr>
          <w:rStyle w:val="Emphasis"/>
        </w:rPr>
        <w:t>State Repression and Political Order</w:t>
      </w:r>
      <w:r w:rsidR="00BC2B57">
        <w:t xml:space="preserve"> (Cambridge: Cambridge University Press, 2007), p2</w:t>
      </w:r>
    </w:p>
  </w:footnote>
  <w:footnote w:id="9">
    <w:p w:rsidR="00AA4008" w:rsidRDefault="00AA4008">
      <w:pPr>
        <w:pStyle w:val="FootnoteText"/>
      </w:pPr>
      <w:r>
        <w:rPr>
          <w:rStyle w:val="FootnoteReference"/>
        </w:rPr>
        <w:footnoteRef/>
      </w:r>
      <w:r>
        <w:t xml:space="preserve"> Ibid., p8</w:t>
      </w:r>
    </w:p>
  </w:footnote>
  <w:footnote w:id="10">
    <w:p w:rsidR="00724D00" w:rsidRDefault="00724D00" w:rsidP="00724D00">
      <w:pPr>
        <w:pStyle w:val="FootnoteText"/>
      </w:pPr>
      <w:r>
        <w:rPr>
          <w:rStyle w:val="FootnoteReference"/>
        </w:rPr>
        <w:footnoteRef/>
      </w:r>
      <w:r>
        <w:t xml:space="preserve"> </w:t>
      </w:r>
      <w:r w:rsidR="00BC2B57">
        <w:t xml:space="preserve">Jennifer Earl, ‘Political Repression: Iron Fists, Velvet Gloves, and Diffuse Control’, </w:t>
      </w:r>
      <w:r w:rsidR="00BC2B57">
        <w:rPr>
          <w:rStyle w:val="Emphasis"/>
        </w:rPr>
        <w:t>Annual Review of Sociology</w:t>
      </w:r>
      <w:r w:rsidR="00BC2B57">
        <w:t xml:space="preserve">, 37 (2011), </w:t>
      </w:r>
      <w:r>
        <w:t>p275</w:t>
      </w:r>
    </w:p>
    <w:p w:rsidR="00724D00" w:rsidRDefault="00724D00">
      <w:pPr>
        <w:pStyle w:val="FootnoteText"/>
      </w:pPr>
    </w:p>
  </w:footnote>
  <w:footnote w:id="11">
    <w:p w:rsidR="00F20332" w:rsidRDefault="00F20332">
      <w:pPr>
        <w:pStyle w:val="FootnoteText"/>
      </w:pPr>
      <w:r>
        <w:rPr>
          <w:rStyle w:val="FootnoteReference"/>
        </w:rPr>
        <w:footnoteRef/>
      </w:r>
      <w:r w:rsidR="00BC2B57">
        <w:t xml:space="preserve"> Sidney </w:t>
      </w:r>
      <w:proofErr w:type="spellStart"/>
      <w:r w:rsidR="00BC2B57">
        <w:t>Tarrow</w:t>
      </w:r>
      <w:proofErr w:type="spellEnd"/>
      <w:r w:rsidR="00BC2B57">
        <w:t xml:space="preserve">, </w:t>
      </w:r>
      <w:r w:rsidR="00BC2B57">
        <w:rPr>
          <w:rStyle w:val="Emphasis"/>
        </w:rPr>
        <w:t>Power in Movement: Social Movements and Contentious Politics</w:t>
      </w:r>
      <w:r w:rsidR="00BC2B57">
        <w:t xml:space="preserve">, 3rd </w:t>
      </w:r>
      <w:proofErr w:type="spellStart"/>
      <w:r w:rsidR="00BC2B57">
        <w:t>edn</w:t>
      </w:r>
      <w:proofErr w:type="spellEnd"/>
      <w:r w:rsidR="00BC2B57">
        <w:t xml:space="preserve"> (Cambridge: Cambridge University Press, 2011), p23</w:t>
      </w:r>
    </w:p>
  </w:footnote>
  <w:footnote w:id="12">
    <w:p w:rsidR="004F48F9" w:rsidRDefault="004F48F9">
      <w:pPr>
        <w:pStyle w:val="FootnoteText"/>
      </w:pPr>
      <w:r>
        <w:rPr>
          <w:rStyle w:val="FootnoteReference"/>
        </w:rPr>
        <w:footnoteRef/>
      </w:r>
      <w:r>
        <w:t xml:space="preserve"> Ibid., p24</w:t>
      </w:r>
    </w:p>
  </w:footnote>
  <w:footnote w:id="13">
    <w:p w:rsidR="00321DA7" w:rsidRDefault="00321DA7">
      <w:pPr>
        <w:pStyle w:val="FootnoteText"/>
      </w:pPr>
      <w:r>
        <w:rPr>
          <w:rStyle w:val="FootnoteReference"/>
        </w:rPr>
        <w:footnoteRef/>
      </w:r>
      <w:r>
        <w:t xml:space="preserve"> </w:t>
      </w:r>
      <w:r w:rsidR="00BC2B57">
        <w:t xml:space="preserve">Steven </w:t>
      </w:r>
      <w:proofErr w:type="spellStart"/>
      <w:r w:rsidR="00BC2B57">
        <w:t>Levitsky</w:t>
      </w:r>
      <w:proofErr w:type="spellEnd"/>
      <w:r w:rsidR="00BC2B57">
        <w:t xml:space="preserve"> and Lucan A. Way, </w:t>
      </w:r>
      <w:r w:rsidR="00BC2B57">
        <w:rPr>
          <w:rStyle w:val="Emphasis"/>
        </w:rPr>
        <w:t>Competitive Authoritarianism: Hybrid Regimes after the Cold War</w:t>
      </w:r>
      <w:r w:rsidR="00BC2B57">
        <w:t xml:space="preserve"> (Cambridge: Cambridge University Press, 2010), p5</w:t>
      </w:r>
    </w:p>
  </w:footnote>
  <w:footnote w:id="14">
    <w:p w:rsidR="00321DA7" w:rsidRDefault="00321DA7">
      <w:pPr>
        <w:pStyle w:val="FootnoteText"/>
      </w:pPr>
      <w:r>
        <w:rPr>
          <w:rStyle w:val="FootnoteReference"/>
        </w:rPr>
        <w:footnoteRef/>
      </w:r>
      <w:r w:rsidR="00BC2B57">
        <w:t xml:space="preserve"> Steven </w:t>
      </w:r>
      <w:proofErr w:type="spellStart"/>
      <w:r w:rsidR="00BC2B57">
        <w:t>Levitsky</w:t>
      </w:r>
      <w:proofErr w:type="spellEnd"/>
      <w:r w:rsidR="00BC2B57">
        <w:t xml:space="preserve"> and Daniel </w:t>
      </w:r>
      <w:proofErr w:type="spellStart"/>
      <w:r w:rsidR="00BC2B57">
        <w:t>Ziblatt</w:t>
      </w:r>
      <w:proofErr w:type="spellEnd"/>
      <w:r w:rsidR="00BC2B57">
        <w:t xml:space="preserve">, </w:t>
      </w:r>
      <w:r w:rsidR="00BC2B57">
        <w:rPr>
          <w:rStyle w:val="Emphasis"/>
        </w:rPr>
        <w:t>How Democracies Die</w:t>
      </w:r>
      <w:r w:rsidR="00BC2B57">
        <w:t xml:space="preserve"> (New York: Crown, 2018), p91</w:t>
      </w:r>
    </w:p>
  </w:footnote>
  <w:footnote w:id="15">
    <w:p w:rsidR="00F05098" w:rsidRDefault="00F05098">
      <w:pPr>
        <w:pStyle w:val="FootnoteText"/>
      </w:pPr>
      <w:r>
        <w:rPr>
          <w:rStyle w:val="FootnoteReference"/>
        </w:rPr>
        <w:footnoteRef/>
      </w:r>
      <w:r w:rsidR="00BC2B57">
        <w:t xml:space="preserve"> Sidney </w:t>
      </w:r>
      <w:proofErr w:type="spellStart"/>
      <w:r w:rsidR="00BC2B57">
        <w:t>Tarrow</w:t>
      </w:r>
      <w:proofErr w:type="spellEnd"/>
      <w:r w:rsidR="00BC2B57">
        <w:t xml:space="preserve">, </w:t>
      </w:r>
      <w:r w:rsidR="00BC2B57">
        <w:rPr>
          <w:rStyle w:val="Emphasis"/>
        </w:rPr>
        <w:t>Power in Movement: Social Movements and Contentious Politics</w:t>
      </w:r>
      <w:r w:rsidR="00BC2B57">
        <w:t xml:space="preserve">, 3rd </w:t>
      </w:r>
      <w:proofErr w:type="spellStart"/>
      <w:r w:rsidR="00BC2B57">
        <w:t>edn</w:t>
      </w:r>
      <w:proofErr w:type="spellEnd"/>
      <w:r w:rsidR="00BC2B57">
        <w:t xml:space="preserve"> (Cambridge: Cambridge University Press, 2011), p142</w:t>
      </w:r>
    </w:p>
  </w:footnote>
  <w:footnote w:id="16">
    <w:p w:rsidR="00F73B9D" w:rsidRDefault="00F73B9D">
      <w:pPr>
        <w:pStyle w:val="FootnoteText"/>
      </w:pPr>
      <w:r>
        <w:rPr>
          <w:rStyle w:val="FootnoteReference"/>
        </w:rPr>
        <w:footnoteRef/>
      </w:r>
      <w:r>
        <w:t xml:space="preserve"> </w:t>
      </w:r>
      <w:r w:rsidR="00BC2B57">
        <w:t xml:space="preserve">Brendan </w:t>
      </w:r>
      <w:proofErr w:type="spellStart"/>
      <w:r w:rsidR="00BC2B57">
        <w:t>Ciarán</w:t>
      </w:r>
      <w:proofErr w:type="spellEnd"/>
      <w:r w:rsidR="00BC2B57">
        <w:t xml:space="preserve"> Browne, Elian </w:t>
      </w:r>
      <w:proofErr w:type="spellStart"/>
      <w:r w:rsidR="00BC2B57">
        <w:t>Weizman</w:t>
      </w:r>
      <w:proofErr w:type="spellEnd"/>
      <w:r w:rsidR="00BC2B57">
        <w:t xml:space="preserve">, and Jennifer </w:t>
      </w:r>
      <w:proofErr w:type="spellStart"/>
      <w:r w:rsidR="00BC2B57">
        <w:t>Matchain</w:t>
      </w:r>
      <w:proofErr w:type="spellEnd"/>
      <w:r w:rsidR="00BC2B57">
        <w:t>, ‘Unpacking the Crackdown on Palestine Solidarity Activism in the UK in a Post-7 October Reality’, p5</w:t>
      </w:r>
    </w:p>
  </w:footnote>
  <w:footnote w:id="17">
    <w:p w:rsidR="00707A56" w:rsidRDefault="00707A56">
      <w:pPr>
        <w:pStyle w:val="FootnoteText"/>
      </w:pPr>
      <w:r>
        <w:rPr>
          <w:rStyle w:val="FootnoteReference"/>
        </w:rPr>
        <w:footnoteRef/>
      </w:r>
      <w:r w:rsidR="00BC2B57">
        <w:t xml:space="preserve"> Sidney </w:t>
      </w:r>
      <w:proofErr w:type="spellStart"/>
      <w:r w:rsidR="00BC2B57">
        <w:t>Tarrow</w:t>
      </w:r>
      <w:proofErr w:type="spellEnd"/>
      <w:r w:rsidR="00BC2B57">
        <w:t xml:space="preserve">, </w:t>
      </w:r>
      <w:r w:rsidR="00BC2B57">
        <w:rPr>
          <w:rStyle w:val="Emphasis"/>
        </w:rPr>
        <w:t>Power in Movement: Social Movements and Contentious Politics</w:t>
      </w:r>
      <w:r w:rsidR="00BC2B57">
        <w:t xml:space="preserve">, 3rd </w:t>
      </w:r>
      <w:proofErr w:type="spellStart"/>
      <w:r w:rsidR="00BC2B57">
        <w:t>edn</w:t>
      </w:r>
      <w:proofErr w:type="spellEnd"/>
      <w:r w:rsidR="00BC2B57">
        <w:t xml:space="preserve"> (Cambridge: Cambridge University Press, 2011), p23</w:t>
      </w:r>
    </w:p>
  </w:footnote>
  <w:footnote w:id="18">
    <w:p w:rsidR="002D1546" w:rsidRDefault="002D1546">
      <w:pPr>
        <w:pStyle w:val="FootnoteText"/>
      </w:pPr>
      <w:r>
        <w:rPr>
          <w:rStyle w:val="FootnoteReference"/>
        </w:rPr>
        <w:footnoteRef/>
      </w:r>
      <w:r>
        <w:t xml:space="preserve"> Ibid., p24</w:t>
      </w:r>
    </w:p>
  </w:footnote>
  <w:footnote w:id="19">
    <w:p w:rsidR="00AB3196" w:rsidRDefault="00AB3196">
      <w:pPr>
        <w:pStyle w:val="FootnoteText"/>
      </w:pPr>
      <w:r>
        <w:rPr>
          <w:rStyle w:val="FootnoteReference"/>
        </w:rPr>
        <w:footnoteRef/>
      </w:r>
      <w:r w:rsidR="00BC2B57">
        <w:t xml:space="preserve"> Christian Davenport, </w:t>
      </w:r>
      <w:r w:rsidR="00BC2B57">
        <w:rPr>
          <w:rStyle w:val="Emphasis"/>
        </w:rPr>
        <w:t>State Repression and Political Order</w:t>
      </w:r>
      <w:r w:rsidR="00BC2B57">
        <w:t xml:space="preserve"> (Cambridge: Cambridge University Press, 2007), p2-8</w:t>
      </w:r>
    </w:p>
  </w:footnote>
  <w:footnote w:id="20">
    <w:p w:rsidR="00BD7778" w:rsidRDefault="00BD7778">
      <w:pPr>
        <w:pStyle w:val="FootnoteText"/>
      </w:pPr>
      <w:r>
        <w:rPr>
          <w:rStyle w:val="FootnoteReference"/>
        </w:rPr>
        <w:footnoteRef/>
      </w:r>
      <w:r w:rsidR="00BC2B57">
        <w:t xml:space="preserve"> Brendan </w:t>
      </w:r>
      <w:proofErr w:type="spellStart"/>
      <w:r w:rsidR="00BC2B57">
        <w:t>Ciarán</w:t>
      </w:r>
      <w:proofErr w:type="spellEnd"/>
      <w:r w:rsidR="00BC2B57">
        <w:t xml:space="preserve"> Browne, Elian </w:t>
      </w:r>
      <w:proofErr w:type="spellStart"/>
      <w:r w:rsidR="00BC2B57">
        <w:t>Weizman</w:t>
      </w:r>
      <w:proofErr w:type="spellEnd"/>
      <w:r w:rsidR="00BC2B57">
        <w:t xml:space="preserve">, and Jennifer </w:t>
      </w:r>
      <w:proofErr w:type="spellStart"/>
      <w:r w:rsidR="00BC2B57">
        <w:t>Matchain</w:t>
      </w:r>
      <w:proofErr w:type="spellEnd"/>
      <w:r w:rsidR="00BC2B57">
        <w:t>, ‘Unpacking the Crackdown on Palestine Solidarity Activism in the UK in a Post-7 October Reality’, p5</w:t>
      </w:r>
    </w:p>
  </w:footnote>
  <w:footnote w:id="21">
    <w:p w:rsidR="00D93DD2" w:rsidRDefault="00D93DD2">
      <w:pPr>
        <w:pStyle w:val="FootnoteText"/>
      </w:pPr>
      <w:r>
        <w:rPr>
          <w:rStyle w:val="FootnoteReference"/>
        </w:rPr>
        <w:footnoteRef/>
      </w:r>
      <w:r>
        <w:rPr>
          <w:rStyle w:val="FootnoteReference"/>
        </w:rPr>
        <w:t xml:space="preserve"> </w:t>
      </w:r>
      <w:r>
        <w:t>Rawls, p314-316</w:t>
      </w:r>
      <w:r w:rsidR="00BC2B57">
        <w:t xml:space="preserve">John Rawls, </w:t>
      </w:r>
      <w:r w:rsidR="00BC2B57">
        <w:rPr>
          <w:rStyle w:val="Emphasis"/>
        </w:rPr>
        <w:t>A Theory of Justice</w:t>
      </w:r>
      <w:r w:rsidR="00BC2B57">
        <w:t xml:space="preserve"> (Cambridge, MA: Harvard University Press, 1971), p314-316</w:t>
      </w:r>
    </w:p>
  </w:footnote>
  <w:footnote w:id="22">
    <w:p w:rsidR="00D93DD2" w:rsidRDefault="00D93DD2">
      <w:pPr>
        <w:pStyle w:val="FootnoteText"/>
      </w:pPr>
      <w:r>
        <w:rPr>
          <w:rStyle w:val="FootnoteReference"/>
        </w:rPr>
        <w:footnoteRef/>
      </w:r>
      <w:r w:rsidR="00BC2B57">
        <w:t xml:space="preserve"> Hannah Arendt, </w:t>
      </w:r>
      <w:r w:rsidR="00BC2B57">
        <w:rPr>
          <w:rStyle w:val="Emphasis"/>
        </w:rPr>
        <w:t>On Violence</w:t>
      </w:r>
      <w:r w:rsidR="00BC2B57">
        <w:t xml:space="preserve"> (New York: Harcourt, 1970), p56</w:t>
      </w:r>
    </w:p>
  </w:footnote>
  <w:footnote w:id="23">
    <w:p w:rsidR="00F61D5E" w:rsidRDefault="00352CA6">
      <w:pPr>
        <w:pStyle w:val="FootnoteText"/>
      </w:pPr>
      <w:r>
        <w:rPr>
          <w:rStyle w:val="FootnoteReference"/>
        </w:rPr>
        <w:footnoteRef/>
      </w:r>
      <w:r>
        <w:t xml:space="preserve"> Steven </w:t>
      </w:r>
      <w:proofErr w:type="spellStart"/>
      <w:r>
        <w:t>Levitsky</w:t>
      </w:r>
      <w:proofErr w:type="spellEnd"/>
      <w:r>
        <w:t xml:space="preserve"> and Lucan Way, Competitive Authoritarianism (2010), p5</w:t>
      </w:r>
    </w:p>
  </w:footnote>
  <w:footnote w:id="24">
    <w:p w:rsidR="00F61D5E" w:rsidRDefault="00F61D5E">
      <w:pPr>
        <w:pStyle w:val="FootnoteText"/>
      </w:pPr>
      <w:r>
        <w:rPr>
          <w:rStyle w:val="FootnoteReference"/>
        </w:rPr>
        <w:footnoteRef/>
      </w:r>
      <w:r>
        <w:t xml:space="preserve"> Sidney </w:t>
      </w:r>
      <w:proofErr w:type="spellStart"/>
      <w:r>
        <w:t>tarrow</w:t>
      </w:r>
      <w:proofErr w:type="spellEnd"/>
      <w:r>
        <w:t>, power in movement, p142</w:t>
      </w:r>
    </w:p>
  </w:footnote>
  <w:footnote w:id="25">
    <w:p w:rsidR="002E502B" w:rsidRDefault="002E502B">
      <w:pPr>
        <w:pStyle w:val="FootnoteText"/>
      </w:pPr>
      <w:r>
        <w:rPr>
          <w:rStyle w:val="FootnoteReference"/>
        </w:rPr>
        <w:footnoteRef/>
      </w:r>
      <w:r>
        <w:t xml:space="preserve"> Davenport, p8</w:t>
      </w:r>
    </w:p>
  </w:footnote>
  <w:footnote w:id="26">
    <w:p w:rsidR="00792F0D" w:rsidRDefault="00792F0D">
      <w:pPr>
        <w:pStyle w:val="FootnoteText"/>
      </w:pPr>
      <w:r>
        <w:rPr>
          <w:rStyle w:val="FootnoteReference"/>
        </w:rPr>
        <w:footnoteRef/>
      </w:r>
      <w:r>
        <w:t xml:space="preserve"> </w:t>
      </w:r>
      <w:r w:rsidR="00E10749">
        <w:t xml:space="preserve">Steven </w:t>
      </w:r>
      <w:proofErr w:type="spellStart"/>
      <w:r w:rsidR="00E10749">
        <w:t>Levitsky</w:t>
      </w:r>
      <w:proofErr w:type="spellEnd"/>
      <w:r w:rsidR="00E10749">
        <w:t xml:space="preserve"> and Daniel </w:t>
      </w:r>
      <w:proofErr w:type="spellStart"/>
      <w:r w:rsidR="00E10749">
        <w:t>Ziblatt</w:t>
      </w:r>
      <w:proofErr w:type="spellEnd"/>
      <w:r w:rsidR="00E10749">
        <w:t xml:space="preserve">, </w:t>
      </w:r>
      <w:r w:rsidR="00E10749">
        <w:rPr>
          <w:rStyle w:val="Emphasis"/>
        </w:rPr>
        <w:t>How Democracies Die</w:t>
      </w:r>
      <w:r w:rsidR="00E10749">
        <w:t xml:space="preserve"> (New York: Crown, 2018, p91</w:t>
      </w:r>
    </w:p>
  </w:footnote>
  <w:footnote w:id="27">
    <w:p w:rsidR="00491AAB" w:rsidRDefault="00491AAB">
      <w:pPr>
        <w:pStyle w:val="FootnoteText"/>
      </w:pPr>
      <w:r>
        <w:rPr>
          <w:rStyle w:val="FootnoteReference"/>
        </w:rPr>
        <w:footnoteRef/>
      </w:r>
      <w:r w:rsidR="00E10749">
        <w:t xml:space="preserve"> Ibid., p92-93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8B6506"/>
    <w:rsid w:val="0004155D"/>
    <w:rsid w:val="000D21FB"/>
    <w:rsid w:val="000F7D3A"/>
    <w:rsid w:val="001945CD"/>
    <w:rsid w:val="001A6672"/>
    <w:rsid w:val="00212067"/>
    <w:rsid w:val="00272E4D"/>
    <w:rsid w:val="002D1546"/>
    <w:rsid w:val="002E502B"/>
    <w:rsid w:val="00312B3A"/>
    <w:rsid w:val="00317140"/>
    <w:rsid w:val="00321DA7"/>
    <w:rsid w:val="00352CA6"/>
    <w:rsid w:val="00371780"/>
    <w:rsid w:val="003952C9"/>
    <w:rsid w:val="003C74F7"/>
    <w:rsid w:val="00417D25"/>
    <w:rsid w:val="00447AE4"/>
    <w:rsid w:val="0047575A"/>
    <w:rsid w:val="00491AAB"/>
    <w:rsid w:val="004D23CB"/>
    <w:rsid w:val="004F48F9"/>
    <w:rsid w:val="004F4BAB"/>
    <w:rsid w:val="00536953"/>
    <w:rsid w:val="00540DEB"/>
    <w:rsid w:val="005D2972"/>
    <w:rsid w:val="005D5435"/>
    <w:rsid w:val="00614E71"/>
    <w:rsid w:val="006B0E7F"/>
    <w:rsid w:val="006F4A6D"/>
    <w:rsid w:val="007036C6"/>
    <w:rsid w:val="00707A56"/>
    <w:rsid w:val="0071164F"/>
    <w:rsid w:val="00724D00"/>
    <w:rsid w:val="00792F0D"/>
    <w:rsid w:val="0085172E"/>
    <w:rsid w:val="008B6506"/>
    <w:rsid w:val="008E0C0C"/>
    <w:rsid w:val="008F4518"/>
    <w:rsid w:val="00981EE0"/>
    <w:rsid w:val="00A56CC8"/>
    <w:rsid w:val="00A62EB1"/>
    <w:rsid w:val="00A72A4D"/>
    <w:rsid w:val="00A77EA8"/>
    <w:rsid w:val="00AA4008"/>
    <w:rsid w:val="00AB3196"/>
    <w:rsid w:val="00B0686B"/>
    <w:rsid w:val="00B52C24"/>
    <w:rsid w:val="00B9093E"/>
    <w:rsid w:val="00BC2B57"/>
    <w:rsid w:val="00BD7778"/>
    <w:rsid w:val="00BF1F2F"/>
    <w:rsid w:val="00C01C13"/>
    <w:rsid w:val="00C66C56"/>
    <w:rsid w:val="00C80C10"/>
    <w:rsid w:val="00C96E33"/>
    <w:rsid w:val="00CB7A64"/>
    <w:rsid w:val="00CC621F"/>
    <w:rsid w:val="00CD3512"/>
    <w:rsid w:val="00CD446A"/>
    <w:rsid w:val="00CD5BF3"/>
    <w:rsid w:val="00CF1744"/>
    <w:rsid w:val="00D100C8"/>
    <w:rsid w:val="00D53B56"/>
    <w:rsid w:val="00D93DD2"/>
    <w:rsid w:val="00DB2EBF"/>
    <w:rsid w:val="00DF5B57"/>
    <w:rsid w:val="00E10749"/>
    <w:rsid w:val="00E46044"/>
    <w:rsid w:val="00E50E4E"/>
    <w:rsid w:val="00F05098"/>
    <w:rsid w:val="00F20332"/>
    <w:rsid w:val="00F6035C"/>
    <w:rsid w:val="00F61D5E"/>
    <w:rsid w:val="00F73B9D"/>
    <w:rsid w:val="00FC6CA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518"/>
  </w:style>
  <w:style w:type="paragraph" w:styleId="Heading1">
    <w:name w:val="heading 1"/>
    <w:basedOn w:val="Normal"/>
    <w:link w:val="Heading1Char"/>
    <w:uiPriority w:val="9"/>
    <w:qFormat/>
    <w:rsid w:val="008B65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B650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B65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50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B650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B650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B6506"/>
    <w:rPr>
      <w:b/>
      <w:bCs/>
    </w:rPr>
  </w:style>
  <w:style w:type="paragraph" w:styleId="NormalWeb">
    <w:name w:val="Normal (Web)"/>
    <w:basedOn w:val="Normal"/>
    <w:uiPriority w:val="99"/>
    <w:semiHidden/>
    <w:unhideWhenUsed/>
    <w:rsid w:val="008B65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D54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435"/>
    <w:rPr>
      <w:sz w:val="20"/>
      <w:szCs w:val="20"/>
    </w:rPr>
  </w:style>
  <w:style w:type="character" w:styleId="FootnoteReference">
    <w:name w:val="footnote reference"/>
    <w:basedOn w:val="DefaultParagraphFont"/>
    <w:uiPriority w:val="99"/>
    <w:semiHidden/>
    <w:unhideWhenUsed/>
    <w:rsid w:val="005D5435"/>
    <w:rPr>
      <w:vertAlign w:val="superscript"/>
    </w:rPr>
  </w:style>
  <w:style w:type="paragraph" w:styleId="Header">
    <w:name w:val="header"/>
    <w:basedOn w:val="Normal"/>
    <w:link w:val="HeaderChar"/>
    <w:uiPriority w:val="99"/>
    <w:semiHidden/>
    <w:unhideWhenUsed/>
    <w:rsid w:val="001945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945CD"/>
  </w:style>
  <w:style w:type="paragraph" w:styleId="Footer">
    <w:name w:val="footer"/>
    <w:basedOn w:val="Normal"/>
    <w:link w:val="FooterChar"/>
    <w:uiPriority w:val="99"/>
    <w:semiHidden/>
    <w:unhideWhenUsed/>
    <w:rsid w:val="001945C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945CD"/>
  </w:style>
  <w:style w:type="character" w:styleId="Emphasis">
    <w:name w:val="Emphasis"/>
    <w:basedOn w:val="DefaultParagraphFont"/>
    <w:uiPriority w:val="20"/>
    <w:qFormat/>
    <w:rsid w:val="00E10749"/>
    <w:rPr>
      <w:i/>
      <w:iCs/>
    </w:rPr>
  </w:style>
</w:styles>
</file>

<file path=word/webSettings.xml><?xml version="1.0" encoding="utf-8"?>
<w:webSettings xmlns:r="http://schemas.openxmlformats.org/officeDocument/2006/relationships" xmlns:w="http://schemas.openxmlformats.org/wordprocessingml/2006/main">
  <w:divs>
    <w:div w:id="71975479">
      <w:bodyDiv w:val="1"/>
      <w:marLeft w:val="0"/>
      <w:marRight w:val="0"/>
      <w:marTop w:val="0"/>
      <w:marBottom w:val="0"/>
      <w:divBdr>
        <w:top w:val="none" w:sz="0" w:space="0" w:color="auto"/>
        <w:left w:val="none" w:sz="0" w:space="0" w:color="auto"/>
        <w:bottom w:val="none" w:sz="0" w:space="0" w:color="auto"/>
        <w:right w:val="none" w:sz="0" w:space="0" w:color="auto"/>
      </w:divBdr>
    </w:div>
    <w:div w:id="1575043581">
      <w:bodyDiv w:val="1"/>
      <w:marLeft w:val="0"/>
      <w:marRight w:val="0"/>
      <w:marTop w:val="0"/>
      <w:marBottom w:val="0"/>
      <w:divBdr>
        <w:top w:val="none" w:sz="0" w:space="0" w:color="auto"/>
        <w:left w:val="none" w:sz="0" w:space="0" w:color="auto"/>
        <w:bottom w:val="none" w:sz="0" w:space="0" w:color="auto"/>
        <w:right w:val="none" w:sz="0" w:space="0" w:color="auto"/>
      </w:divBdr>
    </w:div>
    <w:div w:id="1699890318">
      <w:bodyDiv w:val="1"/>
      <w:marLeft w:val="0"/>
      <w:marRight w:val="0"/>
      <w:marTop w:val="0"/>
      <w:marBottom w:val="0"/>
      <w:divBdr>
        <w:top w:val="none" w:sz="0" w:space="0" w:color="auto"/>
        <w:left w:val="none" w:sz="0" w:space="0" w:color="auto"/>
        <w:bottom w:val="none" w:sz="0" w:space="0" w:color="auto"/>
        <w:right w:val="none" w:sz="0" w:space="0" w:color="auto"/>
      </w:divBdr>
    </w:div>
    <w:div w:id="17362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ED45C-EA19-4DB9-B65A-40E02370B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8</Pages>
  <Words>2951</Words>
  <Characters>17977</Characters>
  <Application>Microsoft Office Word</Application>
  <DocSecurity>0</DocSecurity>
  <Lines>260</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87</cp:revision>
  <dcterms:created xsi:type="dcterms:W3CDTF">2026-04-10T16:52:00Z</dcterms:created>
  <dcterms:modified xsi:type="dcterms:W3CDTF">2026-04-10T22:57:00Z</dcterms:modified>
</cp:coreProperties>
</file>