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DF8EE"/>
  <w:body>
    <w:p w14:paraId="1D2DE80D" w14:textId="77777777" w:rsidR="0064141D" w:rsidRDefault="0064141D" w:rsidP="0064141D">
      <w:r>
        <w:rPr>
          <w:noProof/>
        </w:rPr>
        <mc:AlternateContent>
          <mc:Choice Requires="wps">
            <w:drawing>
              <wp:anchor distT="45720" distB="45720" distL="114300" distR="114300" simplePos="0" relativeHeight="251688960" behindDoc="0" locked="0" layoutInCell="1" allowOverlap="1" wp14:anchorId="1F513EC4" wp14:editId="0AE1B54E">
                <wp:simplePos x="0" y="0"/>
                <wp:positionH relativeFrom="page">
                  <wp:posOffset>289560</wp:posOffset>
                </wp:positionH>
                <wp:positionV relativeFrom="paragraph">
                  <wp:posOffset>381000</wp:posOffset>
                </wp:positionV>
                <wp:extent cx="1912620" cy="708660"/>
                <wp:effectExtent l="0" t="0" r="0" b="0"/>
                <wp:wrapSquare wrapText="bothSides"/>
                <wp:docPr id="20197289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2620" cy="708660"/>
                        </a:xfrm>
                        <a:prstGeom prst="rect">
                          <a:avLst/>
                        </a:prstGeom>
                        <a:noFill/>
                        <a:ln w="9525">
                          <a:noFill/>
                          <a:miter lim="800000"/>
                          <a:headEnd/>
                          <a:tailEnd/>
                        </a:ln>
                      </wps:spPr>
                      <wps:txbx>
                        <w:txbxContent>
                          <w:p w14:paraId="3B50081D" w14:textId="77777777" w:rsidR="0064141D" w:rsidRDefault="0064141D" w:rsidP="0064141D">
                            <w:r>
                              <w:t xml:space="preserve">Aleisha Johnson- </w:t>
                            </w:r>
                            <w:proofErr w:type="gramStart"/>
                            <w:r>
                              <w:t>2200646                        word</w:t>
                            </w:r>
                            <w:proofErr w:type="gramEnd"/>
                            <w:r>
                              <w:t xml:space="preserve"> count- 928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513EC4" id="_x0000_t202" coordsize="21600,21600" o:spt="202" path="m,l,21600r21600,l21600,xe">
                <v:stroke joinstyle="miter"/>
                <v:path gradientshapeok="t" o:connecttype="rect"/>
              </v:shapetype>
              <v:shape id="Text Box 2" o:spid="_x0000_s1026" type="#_x0000_t202" style="position:absolute;margin-left:22.8pt;margin-top:30pt;width:150.6pt;height:55.8pt;z-index:2516889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" filled="f" stroked="f">
                <v:textbox>
                  <w:txbxContent>
                    <w:p w14:paraId="3B50081D" w14:textId="77777777" w:rsidR="0064141D" w:rsidRDefault="0064141D" w:rsidP="0064141D">
                      <w:r>
                        <w:t xml:space="preserve">Aleisha Johnson- </w:t>
                      </w:r>
                      <w:proofErr w:type="gramStart"/>
                      <w:r>
                        <w:t>2200646                        word</w:t>
                      </w:r>
                      <w:proofErr w:type="gramEnd"/>
                      <w:r>
                        <w:t xml:space="preserve"> count- 928</w:t>
                      </w:r>
                    </w:p>
                  </w:txbxContent>
                </v:textbox>
                <w10:wrap type="square" anchorx="page"/>
              </v:shape>
            </w:pict>
          </mc:Fallback>
        </mc:AlternateContent>
      </w:r>
      <w:r>
        <w:rPr>
          <w:noProof/>
        </w:rPr>
        <mc:AlternateContent>
          <mc:Choice Requires="wps">
            <w:drawing>
              <wp:anchor distT="45720" distB="45720" distL="114300" distR="114300" simplePos="0" relativeHeight="251685888" behindDoc="0" locked="0" layoutInCell="1" allowOverlap="1" wp14:anchorId="0FF52B7C" wp14:editId="4B91E5B9">
                <wp:simplePos x="0" y="0"/>
                <wp:positionH relativeFrom="column">
                  <wp:posOffset>2202180</wp:posOffset>
                </wp:positionH>
                <wp:positionV relativeFrom="paragraph">
                  <wp:posOffset>922020</wp:posOffset>
                </wp:positionV>
                <wp:extent cx="2590800" cy="2926080"/>
                <wp:effectExtent l="0" t="0" r="0" b="0"/>
                <wp:wrapSquare wrapText="bothSides"/>
                <wp:docPr id="1704681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926080"/>
                        </a:xfrm>
                        <a:prstGeom prst="rect">
                          <a:avLst/>
                        </a:prstGeom>
                        <a:noFill/>
                        <a:ln w="9525">
                          <a:noFill/>
                          <a:miter lim="800000"/>
                          <a:headEnd/>
                          <a:tailEnd/>
                        </a:ln>
                      </wps:spPr>
                      <wps:txbx>
                        <w:txbxContent>
                          <w:p w14:paraId="1EB838B6" w14:textId="77777777" w:rsidR="0064141D" w:rsidRPr="00F32F72" w:rsidRDefault="0064141D" w:rsidP="0064141D">
                            <w:pPr>
                              <w:rPr>
                                <w:sz w:val="16"/>
                                <w:szCs w:val="16"/>
                              </w:rPr>
                            </w:pPr>
                            <w:r w:rsidRPr="00F32F72">
                              <w:rPr>
                                <w:sz w:val="16"/>
                                <w:szCs w:val="16"/>
                              </w:rPr>
                              <w:t xml:space="preserve"> They are detailed and consider academic, language, and cognitive aspects, but can be costly and time-consuming, sometimes causing delays in diagnosis and treatment. Observation is a key component of dyslexia evaluation, offering contextual information about learning behaviour in various settings (Elliott, 2014). It helps identify patterns that standardized exams might miss and informs focused treatments (Daniel, 2023). Individualized intervention plans, based on evaluation findings, should include specific strategies and adjustments to support learning and development (Estyn, 2020). Examples of interventions for dyslexia include phonics training, multisensory learning methods, and specialised reading programs (Jensen, 2024). Assistive technology, such as audiobooks and text-to-speech software, can also benefit dyslexic individuals. Regular monitoring and adjustments to intervention plans ensure continued effectiveness and responsiveness to changing needs.</w:t>
                            </w:r>
                          </w:p>
                          <w:p w14:paraId="1C64648D" w14:textId="77777777" w:rsidR="0064141D" w:rsidRDefault="0064141D" w:rsidP="006414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F52B7C" id="_x0000_s1027" type="#_x0000_t202" style="position:absolute;margin-left:173.4pt;margin-top:72.6pt;width:204pt;height:230.4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" filled="f" stroked="f">
                <v:textbox>
                  <w:txbxContent>
                    <w:p w14:paraId="1EB838B6" w14:textId="77777777" w:rsidR="0064141D" w:rsidRPr="00F32F72" w:rsidRDefault="0064141D" w:rsidP="0064141D">
                      <w:pPr>
                        <w:rPr>
                          <w:sz w:val="16"/>
                          <w:szCs w:val="16"/>
                        </w:rPr>
                      </w:pPr>
                      <w:r w:rsidRPr="00F32F72">
                        <w:rPr>
                          <w:sz w:val="16"/>
                          <w:szCs w:val="16"/>
                        </w:rPr>
                        <w:t xml:space="preserve"> They are detailed and consider academic, language, and cognitive aspects, but can be costly and time-consuming, sometimes causing delays in diagnosis and treatment. Observation is a key component of dyslexia evaluation, offering contextual information about learning behaviour in various settings (Elliott, 2014). It helps identify patterns that standardized exams might miss and informs focused treatments (Daniel, 2023). Individualized intervention plans, based on evaluation findings, should include specific strategies and adjustments to support learning and development (Estyn, 2020). Examples of interventions for dyslexia include phonics training, multisensory learning methods, and specialised reading programs (Jensen, 2024). Assistive technology, such as audiobooks and text-to-speech software, can also benefit dyslexic individuals. Regular monitoring and adjustments to intervention plans ensure continued effectiveness and responsiveness to changing needs.</w:t>
                      </w:r>
                    </w:p>
                    <w:p w14:paraId="1C64648D" w14:textId="77777777" w:rsidR="0064141D" w:rsidRDefault="0064141D" w:rsidP="0064141D"/>
                  </w:txbxContent>
                </v:textbox>
                <w10:wrap type="square"/>
              </v:shape>
            </w:pict>
          </mc:Fallback>
        </mc:AlternateContent>
      </w:r>
      <w:r>
        <w:rPr>
          <w:noProof/>
        </w:rPr>
        <mc:AlternateContent>
          <mc:Choice Requires="wps">
            <w:drawing>
              <wp:anchor distT="0" distB="0" distL="114300" distR="114300" simplePos="0" relativeHeight="251684864" behindDoc="0" locked="0" layoutInCell="1" allowOverlap="1" wp14:anchorId="3726D475" wp14:editId="67B155B5">
                <wp:simplePos x="0" y="0"/>
                <wp:positionH relativeFrom="margin">
                  <wp:posOffset>4747260</wp:posOffset>
                </wp:positionH>
                <wp:positionV relativeFrom="paragraph">
                  <wp:posOffset>891540</wp:posOffset>
                </wp:positionV>
                <wp:extent cx="2202180" cy="2811780"/>
                <wp:effectExtent l="0" t="0" r="7620" b="7620"/>
                <wp:wrapNone/>
                <wp:docPr id="41752589" name="Text Box 1"/>
                <wp:cNvGraphicFramePr/>
                <a:graphic xmlns:a="http://schemas.openxmlformats.org/drawingml/2006/main">
                  <a:graphicData uri="http://schemas.microsoft.com/office/word/2010/wordprocessingShape">
                    <wps:wsp>
                      <wps:cNvSpPr txBox="1"/>
                      <wps:spPr>
                        <a:xfrm>
                          <a:off x="0" y="0"/>
                          <a:ext cx="2202180" cy="2811780"/>
                        </a:xfrm>
                        <a:prstGeom prst="rect">
                          <a:avLst/>
                        </a:prstGeom>
                        <a:solidFill>
                          <a:srgbClr val="F5D7CF"/>
                        </a:solidFill>
                        <a:ln w="6350">
                          <a:noFill/>
                        </a:ln>
                      </wps:spPr>
                      <wps:txbx>
                        <w:txbxContent>
                          <w:p w14:paraId="04D47B8F" w14:textId="77777777" w:rsidR="0064141D" w:rsidRPr="005841E3" w:rsidRDefault="0064141D" w:rsidP="0064141D">
                            <w:pPr>
                              <w:rPr>
                                <w:sz w:val="17"/>
                                <w:szCs w:val="17"/>
                              </w:rPr>
                            </w:pPr>
                            <w:r w:rsidRPr="005841E3">
                              <w:rPr>
                                <w:sz w:val="17"/>
                                <w:szCs w:val="17"/>
                              </w:rPr>
                              <w:t>Comprehensive training helps educators recognize dyslexia at an early age, understand its implications, and implement effective teaching strategies tailored to the needs of dyslexic students. This approach not only aids in early detection and intervention but also fosters an inclusive educational environment. By equipping teachers with the necessary knowledge and skills, they can provide timely support, prevent frustration, and enhance the academic performance and self-esteem of dyslexic students. Ultimately, comprehensive training for teachers is essential in creating a supportive and inclusive learning environment where all students, including those with dyslexia, can thrive.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6D475" id="Text Box 1" o:spid="_x0000_s1028" type="#_x0000_t202" style="position:absolute;margin-left:373.8pt;margin-top:70.2pt;width:173.4pt;height:221.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" fillcolor="#f5d7cf" stroked="f" strokeweight=".5pt">
                <v:textbox>
                  <w:txbxContent>
                    <w:p w14:paraId="04D47B8F" w14:textId="77777777" w:rsidR="0064141D" w:rsidRPr="005841E3" w:rsidRDefault="0064141D" w:rsidP="0064141D">
                      <w:pPr>
                        <w:rPr>
                          <w:sz w:val="17"/>
                          <w:szCs w:val="17"/>
                        </w:rPr>
                      </w:pPr>
                      <w:r w:rsidRPr="005841E3">
                        <w:rPr>
                          <w:sz w:val="17"/>
                          <w:szCs w:val="17"/>
                        </w:rPr>
                        <w:t>Comprehensive training helps educators recognize dyslexia at an early age, understand its implications, and implement effective teaching strategies tailored to the needs of dyslexic students. This approach not only aids in early detection and intervention but also fosters an inclusive educational environment. By equipping teachers with the necessary knowledge and skills, they can provide timely support, prevent frustration, and enhance the academic performance and self-esteem of dyslexic students. Ultimately, comprehensive training for teachers is essential in creating a supportive and inclusive learning environment where all students, including those with dyslexia, can thrive.</w:t>
                      </w:r>
                    </w:p>
                  </w:txbxContent>
                </v:textbox>
                <w10:wrap anchorx="margin"/>
              </v:shape>
            </w:pict>
          </mc:Fallback>
        </mc:AlternateContent>
      </w:r>
      <w:r>
        <w:rPr>
          <w:noProof/>
        </w:rPr>
        <mc:AlternateContent>
          <mc:Choice Requires="wps">
            <w:drawing>
              <wp:anchor distT="45720" distB="45720" distL="114300" distR="114300" simplePos="0" relativeHeight="251683840" behindDoc="0" locked="0" layoutInCell="1" allowOverlap="1" wp14:anchorId="1931EC5B" wp14:editId="2B450C3E">
                <wp:simplePos x="0" y="0"/>
                <wp:positionH relativeFrom="column">
                  <wp:posOffset>-320040</wp:posOffset>
                </wp:positionH>
                <wp:positionV relativeFrom="paragraph">
                  <wp:posOffset>853440</wp:posOffset>
                </wp:positionV>
                <wp:extent cx="2438400" cy="1851660"/>
                <wp:effectExtent l="0" t="0" r="0" b="0"/>
                <wp:wrapSquare wrapText="bothSides"/>
                <wp:docPr id="20408229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851660"/>
                        </a:xfrm>
                        <a:prstGeom prst="rect">
                          <a:avLst/>
                        </a:prstGeom>
                        <a:solidFill>
                          <a:srgbClr val="C3ECDE"/>
                        </a:solidFill>
                        <a:ln w="9525">
                          <a:noFill/>
                          <a:miter lim="800000"/>
                          <a:headEnd/>
                          <a:tailEnd/>
                        </a:ln>
                      </wps:spPr>
                      <wps:txbx>
                        <w:txbxContent>
                          <w:p w14:paraId="7703EC25" w14:textId="77777777" w:rsidR="0064141D" w:rsidRPr="00F32F72" w:rsidRDefault="0064141D" w:rsidP="0064141D">
                            <w:pPr>
                              <w:jc w:val="center"/>
                              <w:rPr>
                                <w:b/>
                                <w:bCs/>
                              </w:rPr>
                            </w:pPr>
                            <w:r w:rsidRPr="00F32F72">
                              <w:rPr>
                                <w:b/>
                                <w:bCs/>
                              </w:rPr>
                              <w:t xml:space="preserve">what </w:t>
                            </w:r>
                            <w:proofErr w:type="gramStart"/>
                            <w:r w:rsidRPr="00F32F72">
                              <w:rPr>
                                <w:b/>
                                <w:bCs/>
                              </w:rPr>
                              <w:t>is</w:t>
                            </w:r>
                            <w:proofErr w:type="gramEnd"/>
                            <w:r w:rsidRPr="00F32F72">
                              <w:rPr>
                                <w:b/>
                                <w:bCs/>
                              </w:rPr>
                              <w:t xml:space="preserve"> dyslexia?</w:t>
                            </w:r>
                          </w:p>
                          <w:p w14:paraId="6C873E0D" w14:textId="77777777" w:rsidR="0064141D" w:rsidRPr="00F32F72" w:rsidRDefault="0064141D" w:rsidP="0064141D">
                            <w:r w:rsidRPr="00F32F72">
                              <w:t xml:space="preserve"> </w:t>
                            </w:r>
                            <w:r w:rsidRPr="00F32F72">
                              <w:rPr>
                                <w:sz w:val="16"/>
                                <w:szCs w:val="16"/>
                              </w:rPr>
                              <w:t xml:space="preserve">Dyslexia is one of the most common learning difficulties, affecting approximately 10% of the population. It primarily impacts reading, spelling, and writing skills, and is often misunderstood as a condition linked to intelligence. However, dyslexia </w:t>
                            </w:r>
                            <w:proofErr w:type="gramStart"/>
                            <w:r w:rsidRPr="00F32F72">
                              <w:rPr>
                                <w:sz w:val="16"/>
                                <w:szCs w:val="16"/>
                              </w:rPr>
                              <w:t>is</w:t>
                            </w:r>
                            <w:proofErr w:type="gramEnd"/>
                            <w:r w:rsidRPr="00F32F72">
                              <w:rPr>
                                <w:sz w:val="16"/>
                                <w:szCs w:val="16"/>
                              </w:rPr>
                              <w:t xml:space="preserve"> a specific learning difficulty that requires a fine approach to identification and support. By understanding dyslexia better, we can create more inclusive and supportive environments for those affected.</w:t>
                            </w:r>
                          </w:p>
                          <w:p w14:paraId="1B64673F" w14:textId="77777777" w:rsidR="0064141D" w:rsidRDefault="0064141D" w:rsidP="006414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1EC5B" id="_x0000_s1029" type="#_x0000_t202" style="position:absolute;margin-left:-25.2pt;margin-top:67.2pt;width:192pt;height:145.8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" fillcolor="#c3ecde" stroked="f">
                <v:textbox>
                  <w:txbxContent>
                    <w:p w14:paraId="7703EC25" w14:textId="77777777" w:rsidR="0064141D" w:rsidRPr="00F32F72" w:rsidRDefault="0064141D" w:rsidP="0064141D">
                      <w:pPr>
                        <w:jc w:val="center"/>
                        <w:rPr>
                          <w:b/>
                          <w:bCs/>
                        </w:rPr>
                      </w:pPr>
                      <w:r w:rsidRPr="00F32F72">
                        <w:rPr>
                          <w:b/>
                          <w:bCs/>
                        </w:rPr>
                        <w:t xml:space="preserve">what </w:t>
                      </w:r>
                      <w:proofErr w:type="gramStart"/>
                      <w:r w:rsidRPr="00F32F72">
                        <w:rPr>
                          <w:b/>
                          <w:bCs/>
                        </w:rPr>
                        <w:t>is</w:t>
                      </w:r>
                      <w:proofErr w:type="gramEnd"/>
                      <w:r w:rsidRPr="00F32F72">
                        <w:rPr>
                          <w:b/>
                          <w:bCs/>
                        </w:rPr>
                        <w:t xml:space="preserve"> dyslexia?</w:t>
                      </w:r>
                    </w:p>
                    <w:p w14:paraId="6C873E0D" w14:textId="77777777" w:rsidR="0064141D" w:rsidRPr="00F32F72" w:rsidRDefault="0064141D" w:rsidP="0064141D">
                      <w:r w:rsidRPr="00F32F72">
                        <w:t xml:space="preserve"> </w:t>
                      </w:r>
                      <w:r w:rsidRPr="00F32F72">
                        <w:rPr>
                          <w:sz w:val="16"/>
                          <w:szCs w:val="16"/>
                        </w:rPr>
                        <w:t xml:space="preserve">Dyslexia is one of the most common learning difficulties, affecting approximately 10% of the population. It primarily impacts reading, spelling, and writing skills, and is often misunderstood as a condition linked to intelligence. However, dyslexia </w:t>
                      </w:r>
                      <w:proofErr w:type="gramStart"/>
                      <w:r w:rsidRPr="00F32F72">
                        <w:rPr>
                          <w:sz w:val="16"/>
                          <w:szCs w:val="16"/>
                        </w:rPr>
                        <w:t>is</w:t>
                      </w:r>
                      <w:proofErr w:type="gramEnd"/>
                      <w:r w:rsidRPr="00F32F72">
                        <w:rPr>
                          <w:sz w:val="16"/>
                          <w:szCs w:val="16"/>
                        </w:rPr>
                        <w:t xml:space="preserve"> a specific learning difficulty that requires a fine approach to identification and support. By understanding dyslexia better, we can create more inclusive and supportive environments for those affected.</w:t>
                      </w:r>
                    </w:p>
                    <w:p w14:paraId="1B64673F" w14:textId="77777777" w:rsidR="0064141D" w:rsidRDefault="0064141D" w:rsidP="0064141D"/>
                  </w:txbxContent>
                </v:textbox>
                <w10:wrap type="square"/>
              </v:shape>
            </w:pict>
          </mc:Fallback>
        </mc:AlternateContent>
      </w:r>
      <w:r>
        <w:rPr>
          <w:noProof/>
        </w:rPr>
        <mc:AlternateContent>
          <mc:Choice Requires="wps">
            <w:drawing>
              <wp:anchor distT="45720" distB="45720" distL="114300" distR="114300" simplePos="0" relativeHeight="251681792" behindDoc="0" locked="0" layoutInCell="1" allowOverlap="1" wp14:anchorId="12F36E4F" wp14:editId="1FDB80A0">
                <wp:simplePos x="0" y="0"/>
                <wp:positionH relativeFrom="margin">
                  <wp:align>center</wp:align>
                </wp:positionH>
                <wp:positionV relativeFrom="paragraph">
                  <wp:posOffset>0</wp:posOffset>
                </wp:positionV>
                <wp:extent cx="7056120" cy="1404620"/>
                <wp:effectExtent l="0" t="0" r="11430" b="14605"/>
                <wp:wrapSquare wrapText="bothSides"/>
                <wp:docPr id="2546319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1404620"/>
                        </a:xfrm>
                        <a:prstGeom prst="rect">
                          <a:avLst/>
                        </a:prstGeom>
                        <a:solidFill>
                          <a:srgbClr val="E69925"/>
                        </a:solidFill>
                        <a:ln w="9525">
                          <a:solidFill>
                            <a:schemeClr val="bg1"/>
                          </a:solidFill>
                          <a:miter lim="800000"/>
                          <a:headEnd/>
                          <a:tailEnd/>
                        </a:ln>
                      </wps:spPr>
                      <wps:txbx>
                        <w:txbxContent>
                          <w:p w14:paraId="35EAB9A2" w14:textId="77777777" w:rsidR="0064141D" w:rsidRPr="00120C4F" w:rsidRDefault="0064141D" w:rsidP="0064141D">
                            <w:pPr>
                              <w:jc w:val="center"/>
                              <w:rPr>
                                <w:color w:val="FFFFFF" w:themeColor="background1"/>
                                <w:sz w:val="48"/>
                                <w:szCs w:val="48"/>
                              </w:rPr>
                            </w:pPr>
                            <w:r w:rsidRPr="00120C4F">
                              <w:rPr>
                                <w:b/>
                                <w:bCs/>
                                <w:color w:val="FFFFFF" w:themeColor="background1"/>
                                <w:sz w:val="48"/>
                                <w:szCs w:val="48"/>
                              </w:rPr>
                              <w:t>Dyslexia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F36E4F" id="_x0000_s1030" type="#_x0000_t202" style="position:absolute;margin-left:0;margin-top:0;width:555.6pt;height:110.6pt;z-index:2516817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" fillcolor="#e69925" strokecolor="white [3212]">
                <v:textbox style="mso-fit-shape-to-text:t">
                  <w:txbxContent>
                    <w:p w14:paraId="35EAB9A2" w14:textId="77777777" w:rsidR="0064141D" w:rsidRPr="00120C4F" w:rsidRDefault="0064141D" w:rsidP="0064141D">
                      <w:pPr>
                        <w:jc w:val="center"/>
                        <w:rPr>
                          <w:color w:val="FFFFFF" w:themeColor="background1"/>
                          <w:sz w:val="48"/>
                          <w:szCs w:val="48"/>
                        </w:rPr>
                      </w:pPr>
                      <w:r w:rsidRPr="00120C4F">
                        <w:rPr>
                          <w:b/>
                          <w:bCs/>
                          <w:color w:val="FFFFFF" w:themeColor="background1"/>
                          <w:sz w:val="48"/>
                          <w:szCs w:val="48"/>
                        </w:rPr>
                        <w:t>Dyslexia</w:t>
                      </w:r>
                    </w:p>
                  </w:txbxContent>
                </v:textbox>
                <w10:wrap type="square" anchorx="margin"/>
              </v:shape>
            </w:pict>
          </mc:Fallback>
        </mc:AlternateContent>
      </w:r>
      <w:r>
        <w:rPr>
          <w:noProof/>
        </w:rPr>
        <mc:AlternateContent>
          <mc:Choice Requires="wps">
            <w:drawing>
              <wp:anchor distT="0" distB="0" distL="114300" distR="114300" simplePos="0" relativeHeight="251682816" behindDoc="0" locked="0" layoutInCell="1" allowOverlap="1" wp14:anchorId="42E24F3E" wp14:editId="7F06E48C">
                <wp:simplePos x="0" y="0"/>
                <wp:positionH relativeFrom="column">
                  <wp:posOffset>-190500</wp:posOffset>
                </wp:positionH>
                <wp:positionV relativeFrom="paragraph">
                  <wp:posOffset>800100</wp:posOffset>
                </wp:positionV>
                <wp:extent cx="6865620" cy="15240"/>
                <wp:effectExtent l="0" t="0" r="30480" b="22860"/>
                <wp:wrapNone/>
                <wp:docPr id="55447370" name="Straight Connector 1"/>
                <wp:cNvGraphicFramePr/>
                <a:graphic xmlns:a="http://schemas.openxmlformats.org/drawingml/2006/main">
                  <a:graphicData uri="http://schemas.microsoft.com/office/word/2010/wordprocessingShape">
                    <wps:wsp>
                      <wps:cNvCnPr/>
                      <wps:spPr>
                        <a:xfrm>
                          <a:off x="0" y="0"/>
                          <a:ext cx="6865620" cy="1524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084947" id="Straight Connector 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63pt" to="525.6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" strokecolor="black [3200]" strokeweight=".5pt">
                <v:stroke joinstyle="miter"/>
              </v:line>
            </w:pict>
          </mc:Fallback>
        </mc:AlternateContent>
      </w:r>
    </w:p>
    <w:p w14:paraId="052BF1A6" w14:textId="77777777" w:rsidR="0064141D" w:rsidRPr="00F32F72" w:rsidRDefault="0064141D" w:rsidP="0064141D"/>
    <w:p w14:paraId="01E22641" w14:textId="77777777" w:rsidR="0064141D" w:rsidRPr="00F32F72" w:rsidRDefault="0064141D" w:rsidP="0064141D"/>
    <w:p w14:paraId="5BE240E3" w14:textId="77777777" w:rsidR="0064141D" w:rsidRPr="00F32F72" w:rsidRDefault="0064141D" w:rsidP="0064141D"/>
    <w:p w14:paraId="11E023EE" w14:textId="77777777" w:rsidR="0064141D" w:rsidRPr="00F32F72" w:rsidRDefault="0064141D" w:rsidP="0064141D"/>
    <w:p w14:paraId="5ECF154F" w14:textId="77777777" w:rsidR="0064141D" w:rsidRDefault="0064141D" w:rsidP="0064141D"/>
    <w:p w14:paraId="49716C36" w14:textId="77777777" w:rsidR="0064141D" w:rsidRDefault="0064141D" w:rsidP="0064141D">
      <w:r>
        <w:rPr>
          <w:noProof/>
        </w:rPr>
        <w:drawing>
          <wp:anchor distT="0" distB="0" distL="114300" distR="114300" simplePos="0" relativeHeight="251687936" behindDoc="1" locked="0" layoutInCell="1" allowOverlap="1" wp14:anchorId="467AC5B2" wp14:editId="62889D42">
            <wp:simplePos x="0" y="0"/>
            <wp:positionH relativeFrom="column">
              <wp:posOffset>1028700</wp:posOffset>
            </wp:positionH>
            <wp:positionV relativeFrom="paragraph">
              <wp:posOffset>170180</wp:posOffset>
            </wp:positionV>
            <wp:extent cx="1066800" cy="889000"/>
            <wp:effectExtent l="0" t="0" r="0" b="6350"/>
            <wp:wrapTight wrapText="bothSides">
              <wp:wrapPolygon edited="0">
                <wp:start x="0" y="0"/>
                <wp:lineTo x="0" y="21291"/>
                <wp:lineTo x="21214" y="21291"/>
                <wp:lineTo x="21214" y="0"/>
                <wp:lineTo x="0" y="0"/>
              </wp:wrapPolygon>
            </wp:wrapTight>
            <wp:docPr id="668818361" name="Picture 9" descr="What is Dyslexia | Gokkusagi Kole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Dyslexia | Gokkusagi Kolej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889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1" locked="0" layoutInCell="1" allowOverlap="1" wp14:anchorId="4BB3FBD8" wp14:editId="52D1717F">
            <wp:simplePos x="0" y="0"/>
            <wp:positionH relativeFrom="column">
              <wp:posOffset>-281940</wp:posOffset>
            </wp:positionH>
            <wp:positionV relativeFrom="paragraph">
              <wp:posOffset>200660</wp:posOffset>
            </wp:positionV>
            <wp:extent cx="1210310" cy="830580"/>
            <wp:effectExtent l="0" t="0" r="8890" b="7620"/>
            <wp:wrapTight wrapText="bothSides">
              <wp:wrapPolygon edited="0">
                <wp:start x="0" y="0"/>
                <wp:lineTo x="0" y="21303"/>
                <wp:lineTo x="21419" y="21303"/>
                <wp:lineTo x="21419" y="0"/>
                <wp:lineTo x="0" y="0"/>
              </wp:wrapPolygon>
            </wp:wrapTight>
            <wp:docPr id="1507906070" name="Picture 6" descr="Image result for dyslex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yslex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0310" cy="830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F72D0F" w14:textId="77777777" w:rsidR="0064141D" w:rsidRPr="00F32F72" w:rsidRDefault="0064141D" w:rsidP="0064141D">
      <w:r>
        <w:rPr>
          <w:noProof/>
        </w:rPr>
        <mc:AlternateContent>
          <mc:Choice Requires="wps">
            <w:drawing>
              <wp:anchor distT="0" distB="0" distL="114300" distR="114300" simplePos="0" relativeHeight="251679744" behindDoc="0" locked="0" layoutInCell="1" allowOverlap="1" wp14:anchorId="4C886C72" wp14:editId="28B51CA5">
                <wp:simplePos x="0" y="0"/>
                <wp:positionH relativeFrom="column">
                  <wp:posOffset>4716780</wp:posOffset>
                </wp:positionH>
                <wp:positionV relativeFrom="paragraph">
                  <wp:posOffset>988695</wp:posOffset>
                </wp:positionV>
                <wp:extent cx="2293620" cy="6172200"/>
                <wp:effectExtent l="0" t="0" r="0" b="0"/>
                <wp:wrapNone/>
                <wp:docPr id="1845385304" name="Text Box 2"/>
                <wp:cNvGraphicFramePr/>
                <a:graphic xmlns:a="http://schemas.openxmlformats.org/drawingml/2006/main">
                  <a:graphicData uri="http://schemas.microsoft.com/office/word/2010/wordprocessingShape">
                    <wps:wsp>
                      <wps:cNvSpPr txBox="1"/>
                      <wps:spPr>
                        <a:xfrm>
                          <a:off x="0" y="0"/>
                          <a:ext cx="2293620" cy="6172200"/>
                        </a:xfrm>
                        <a:prstGeom prst="rect">
                          <a:avLst/>
                        </a:prstGeom>
                        <a:solidFill>
                          <a:srgbClr val="E5D8DF"/>
                        </a:solidFill>
                        <a:ln w="6350">
                          <a:noFill/>
                        </a:ln>
                      </wps:spPr>
                      <wps:txbx>
                        <w:txbxContent>
                          <w:p w14:paraId="4E83A7EC" w14:textId="77777777" w:rsidR="0064141D" w:rsidRPr="005841E3" w:rsidRDefault="0064141D" w:rsidP="0064141D">
                            <w:pPr>
                              <w:jc w:val="center"/>
                              <w:rPr>
                                <w:b/>
                                <w:bCs/>
                                <w:sz w:val="18"/>
                                <w:szCs w:val="18"/>
                              </w:rPr>
                            </w:pPr>
                            <w:r w:rsidRPr="005841E3">
                              <w:rPr>
                                <w:b/>
                                <w:bCs/>
                                <w:sz w:val="18"/>
                                <w:szCs w:val="18"/>
                              </w:rPr>
                              <w:t xml:space="preserve">Strategies </w:t>
                            </w:r>
                          </w:p>
                          <w:p w14:paraId="2BCDF90E" w14:textId="77777777" w:rsidR="0064141D" w:rsidRPr="005841E3" w:rsidRDefault="0064141D" w:rsidP="0064141D">
                            <w:pPr>
                              <w:rPr>
                                <w:sz w:val="17"/>
                                <w:szCs w:val="17"/>
                              </w:rPr>
                            </w:pPr>
                            <w:r w:rsidRPr="005841E3">
                              <w:rPr>
                                <w:sz w:val="17"/>
                                <w:szCs w:val="17"/>
                              </w:rPr>
                              <w:t>Farrell (2022) highlights that multisensory approaches are key to the Structured Literacy Approach for dyslexic pupils, engaging visual, auditory, kinaesthetic, and tactile senses to enhance learning and memory retention. Brennan (2023) notes that visual learning helps dyslexic children see connections between letters, sounds, and words through charts, diagrams, and colour-coded materials. Auditory exercises develop phonological processing, using activities like phonemic awareness games and listening to recordings. Explore Psychology (2024) emphasizes kinaesthetic learning, involving physical activities like air writing and body movements, while tactile learning uses textured materials to feel letter shapes. Multimodal approaches improve memory retention and phonological awareness by engaging multiple senses (Kelly, 2011).</w:t>
                            </w:r>
                          </w:p>
                          <w:p w14:paraId="17D84C47" w14:textId="77777777" w:rsidR="0064141D" w:rsidRPr="005841E3" w:rsidRDefault="0064141D" w:rsidP="0064141D">
                            <w:pPr>
                              <w:rPr>
                                <w:sz w:val="17"/>
                                <w:szCs w:val="17"/>
                              </w:rPr>
                            </w:pPr>
                            <w:r w:rsidRPr="005841E3">
                              <w:rPr>
                                <w:sz w:val="17"/>
                                <w:szCs w:val="17"/>
                              </w:rPr>
                              <w:t xml:space="preserve">Harvey (2024) adds that these interactive methods boost student motivation and reduce frustration. Multisensory approaches can be tailored to individual needs, requiring proper teacher preparation and resources. Teachers need professional development and access to multimodal tools to apply these strategies effectively. Literacy specialists offer additional guidance. </w:t>
                            </w:r>
                            <w:proofErr w:type="spellStart"/>
                            <w:r w:rsidRPr="005841E3">
                              <w:rPr>
                                <w:sz w:val="17"/>
                                <w:szCs w:val="17"/>
                              </w:rPr>
                              <w:t>Olwan</w:t>
                            </w:r>
                            <w:proofErr w:type="spellEnd"/>
                            <w:r w:rsidRPr="005841E3">
                              <w:rPr>
                                <w:sz w:val="17"/>
                                <w:szCs w:val="17"/>
                              </w:rPr>
                              <w:t xml:space="preserve"> (2024) states that multisensory methods create supportive learning environments, enhancing memory retention, phonological awareness, motivation, and engagement. They help dyslexic students improve reading, writing, and spelling skills, boosting self-esteem and fostering a love of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86C72" id="_x0000_s1031" type="#_x0000_t202" style="position:absolute;margin-left:371.4pt;margin-top:77.85pt;width:180.6pt;height:4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" fillcolor="#e5d8df" stroked="f" strokeweight=".5pt">
                <v:textbox>
                  <w:txbxContent>
                    <w:p w14:paraId="4E83A7EC" w14:textId="77777777" w:rsidR="0064141D" w:rsidRPr="005841E3" w:rsidRDefault="0064141D" w:rsidP="0064141D">
                      <w:pPr>
                        <w:jc w:val="center"/>
                        <w:rPr>
                          <w:b/>
                          <w:bCs/>
                          <w:sz w:val="18"/>
                          <w:szCs w:val="18"/>
                        </w:rPr>
                      </w:pPr>
                      <w:r w:rsidRPr="005841E3">
                        <w:rPr>
                          <w:b/>
                          <w:bCs/>
                          <w:sz w:val="18"/>
                          <w:szCs w:val="18"/>
                        </w:rPr>
                        <w:t xml:space="preserve">Strategies </w:t>
                      </w:r>
                    </w:p>
                    <w:p w14:paraId="2BCDF90E" w14:textId="77777777" w:rsidR="0064141D" w:rsidRPr="005841E3" w:rsidRDefault="0064141D" w:rsidP="0064141D">
                      <w:pPr>
                        <w:rPr>
                          <w:sz w:val="17"/>
                          <w:szCs w:val="17"/>
                        </w:rPr>
                      </w:pPr>
                      <w:r w:rsidRPr="005841E3">
                        <w:rPr>
                          <w:sz w:val="17"/>
                          <w:szCs w:val="17"/>
                        </w:rPr>
                        <w:t>Farrell (2022) highlights that multisensory approaches are key to the Structured Literacy Approach for dyslexic pupils, engaging visual, auditory, kinaesthetic, and tactile senses to enhance learning and memory retention. Brennan (2023) notes that visual learning helps dyslexic children see connections between letters, sounds, and words through charts, diagrams, and colour-coded materials. Auditory exercises develop phonological processing, using activities like phonemic awareness games and listening to recordings. Explore Psychology (2024) emphasizes kinaesthetic learning, involving physical activities like air writing and body movements, while tactile learning uses textured materials to feel letter shapes. Multimodal approaches improve memory retention and phonological awareness by engaging multiple senses (Kelly, 2011).</w:t>
                      </w:r>
                    </w:p>
                    <w:p w14:paraId="17D84C47" w14:textId="77777777" w:rsidR="0064141D" w:rsidRPr="005841E3" w:rsidRDefault="0064141D" w:rsidP="0064141D">
                      <w:pPr>
                        <w:rPr>
                          <w:sz w:val="17"/>
                          <w:szCs w:val="17"/>
                        </w:rPr>
                      </w:pPr>
                      <w:r w:rsidRPr="005841E3">
                        <w:rPr>
                          <w:sz w:val="17"/>
                          <w:szCs w:val="17"/>
                        </w:rPr>
                        <w:t xml:space="preserve">Harvey (2024) adds that these interactive methods boost student motivation and reduce frustration. Multisensory approaches can be tailored to individual needs, requiring proper teacher preparation and resources. Teachers need professional development and access to multimodal tools to apply these strategies effectively. Literacy specialists offer additional guidance. </w:t>
                      </w:r>
                      <w:proofErr w:type="spellStart"/>
                      <w:r w:rsidRPr="005841E3">
                        <w:rPr>
                          <w:sz w:val="17"/>
                          <w:szCs w:val="17"/>
                        </w:rPr>
                        <w:t>Olwan</w:t>
                      </w:r>
                      <w:proofErr w:type="spellEnd"/>
                      <w:r w:rsidRPr="005841E3">
                        <w:rPr>
                          <w:sz w:val="17"/>
                          <w:szCs w:val="17"/>
                        </w:rPr>
                        <w:t xml:space="preserve"> (2024) states that multisensory methods create supportive learning environments, enhancing memory retention, phonological awareness, motivation, and engagement. They help dyslexic students improve reading, writing, and spelling skills, boosting self-esteem and fostering a love of learning.</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4718A781" wp14:editId="17DED73C">
                <wp:simplePos x="0" y="0"/>
                <wp:positionH relativeFrom="column">
                  <wp:posOffset>2286000</wp:posOffset>
                </wp:positionH>
                <wp:positionV relativeFrom="paragraph">
                  <wp:posOffset>988695</wp:posOffset>
                </wp:positionV>
                <wp:extent cx="2293620" cy="6202680"/>
                <wp:effectExtent l="0" t="0" r="0" b="7620"/>
                <wp:wrapNone/>
                <wp:docPr id="233177207" name="Text Box 2"/>
                <wp:cNvGraphicFramePr/>
                <a:graphic xmlns:a="http://schemas.openxmlformats.org/drawingml/2006/main">
                  <a:graphicData uri="http://schemas.microsoft.com/office/word/2010/wordprocessingShape">
                    <wps:wsp>
                      <wps:cNvSpPr txBox="1"/>
                      <wps:spPr>
                        <a:xfrm>
                          <a:off x="0" y="0"/>
                          <a:ext cx="2293620" cy="6202680"/>
                        </a:xfrm>
                        <a:prstGeom prst="rect">
                          <a:avLst/>
                        </a:prstGeom>
                        <a:solidFill>
                          <a:srgbClr val="F5D7CF"/>
                        </a:solidFill>
                        <a:ln w="6350">
                          <a:noFill/>
                        </a:ln>
                      </wps:spPr>
                      <wps:txbx>
                        <w:txbxContent>
                          <w:p w14:paraId="0ACC7D4E" w14:textId="77777777" w:rsidR="0064141D" w:rsidRPr="005841E3" w:rsidRDefault="0064141D" w:rsidP="0064141D">
                            <w:pPr>
                              <w:jc w:val="center"/>
                              <w:rPr>
                                <w:b/>
                                <w:bCs/>
                                <w:sz w:val="18"/>
                                <w:szCs w:val="18"/>
                              </w:rPr>
                            </w:pPr>
                            <w:r w:rsidRPr="005841E3">
                              <w:rPr>
                                <w:b/>
                                <w:bCs/>
                                <w:sz w:val="18"/>
                                <w:szCs w:val="18"/>
                              </w:rPr>
                              <w:t xml:space="preserve">Barriers </w:t>
                            </w:r>
                          </w:p>
                          <w:p w14:paraId="61EFD068" w14:textId="77777777" w:rsidR="0064141D" w:rsidRPr="00F32F72" w:rsidRDefault="0064141D" w:rsidP="0064141D">
                            <w:pPr>
                              <w:rPr>
                                <w:sz w:val="16"/>
                                <w:szCs w:val="16"/>
                              </w:rPr>
                            </w:pPr>
                            <w:r w:rsidRPr="00F32F72">
                              <w:rPr>
                                <w:sz w:val="16"/>
                                <w:szCs w:val="16"/>
                              </w:rPr>
                              <w:t>Teacher training is essential for the early identification and support of learning disabilities, including dyslexia (Barron, 2020). Teachers play a critical role in spotting early signs of learning disabilities, but without the necessary skills and training, they might struggle to identify the warning signs that indicate a child may need an evaluation. According to Felicia (2025), inadequate training for teachers on how to recognize dyslexia is a major obstacle. Without proper training, teachers may miss the symptoms, leading to delays in diagnosis and intervention. This delay can deprive students of the support and accommodations they need to thrive academically.</w:t>
                            </w:r>
                          </w:p>
                          <w:p w14:paraId="481B1307" w14:textId="77777777" w:rsidR="0064141D" w:rsidRPr="00F32F72" w:rsidRDefault="0064141D" w:rsidP="0064141D">
                            <w:pPr>
                              <w:rPr>
                                <w:sz w:val="16"/>
                                <w:szCs w:val="16"/>
                              </w:rPr>
                            </w:pPr>
                            <w:r w:rsidRPr="00F32F72">
                              <w:rPr>
                                <w:sz w:val="16"/>
                                <w:szCs w:val="16"/>
                              </w:rPr>
                              <w:t>UNESCO (2020) highlights that teachers with insufficient training also lack the tools and strategies to create an inclusive classroom that meets the needs of students with varying learning styles. Murphy (2024) adds that dyslexic children may become frustrated, experience low self-esteem, and disengage from their studies, ultimately affecting their overall academic performance. Therefore, thorough training for teachers is crucial in creating an educational environment where all children can succeed.</w:t>
                            </w:r>
                          </w:p>
                          <w:p w14:paraId="51B5C6F0" w14:textId="77777777" w:rsidR="0064141D" w:rsidRPr="00F32F72" w:rsidRDefault="0064141D" w:rsidP="0064141D">
                            <w:pPr>
                              <w:rPr>
                                <w:sz w:val="16"/>
                                <w:szCs w:val="16"/>
                              </w:rPr>
                            </w:pPr>
                            <w:r w:rsidRPr="00F32F72">
                              <w:rPr>
                                <w:sz w:val="16"/>
                                <w:szCs w:val="16"/>
                              </w:rPr>
                              <w:t>The Rose Report (SEN, 2009) emphasizes the importance of comprehensive and systematic training for all educators to overcome this challenge. The report recommends that instruction on dyslexia and literacy challenges should be a key element of both initial teacher education and continuing professional development. By ensuring that all teachers receive this training, the report aims to build a more knowledgeable and skilled teaching profession.</w:t>
                            </w:r>
                          </w:p>
                          <w:p w14:paraId="459DC565" w14:textId="77777777" w:rsidR="0064141D" w:rsidRPr="00F32F72" w:rsidRDefault="0064141D" w:rsidP="0064141D">
                            <w:pPr>
                              <w:rPr>
                                <w:sz w:val="16"/>
                                <w:szCs w:val="16"/>
                              </w:rPr>
                            </w:pPr>
                          </w:p>
                          <w:p w14:paraId="50AA9639" w14:textId="77777777" w:rsidR="0064141D" w:rsidRPr="00F32F72" w:rsidRDefault="0064141D" w:rsidP="0064141D">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8A781" id="_x0000_s1032" type="#_x0000_t202" style="position:absolute;margin-left:180pt;margin-top:77.85pt;width:180.6pt;height:488.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" fillcolor="#f5d7cf" stroked="f" strokeweight=".5pt">
                <v:textbox>
                  <w:txbxContent>
                    <w:p w14:paraId="0ACC7D4E" w14:textId="77777777" w:rsidR="0064141D" w:rsidRPr="005841E3" w:rsidRDefault="0064141D" w:rsidP="0064141D">
                      <w:pPr>
                        <w:jc w:val="center"/>
                        <w:rPr>
                          <w:b/>
                          <w:bCs/>
                          <w:sz w:val="18"/>
                          <w:szCs w:val="18"/>
                        </w:rPr>
                      </w:pPr>
                      <w:r w:rsidRPr="005841E3">
                        <w:rPr>
                          <w:b/>
                          <w:bCs/>
                          <w:sz w:val="18"/>
                          <w:szCs w:val="18"/>
                        </w:rPr>
                        <w:t xml:space="preserve">Barriers </w:t>
                      </w:r>
                    </w:p>
                    <w:p w14:paraId="61EFD068" w14:textId="77777777" w:rsidR="0064141D" w:rsidRPr="00F32F72" w:rsidRDefault="0064141D" w:rsidP="0064141D">
                      <w:pPr>
                        <w:rPr>
                          <w:sz w:val="16"/>
                          <w:szCs w:val="16"/>
                        </w:rPr>
                      </w:pPr>
                      <w:r w:rsidRPr="00F32F72">
                        <w:rPr>
                          <w:sz w:val="16"/>
                          <w:szCs w:val="16"/>
                        </w:rPr>
                        <w:t>Teacher training is essential for the early identification and support of learning disabilities, including dyslexia (Barron, 2020). Teachers play a critical role in spotting early signs of learning disabilities, but without the necessary skills and training, they might struggle to identify the warning signs that indicate a child may need an evaluation. According to Felicia (2025), inadequate training for teachers on how to recognize dyslexia is a major obstacle. Without proper training, teachers may miss the symptoms, leading to delays in diagnosis and intervention. This delay can deprive students of the support and accommodations they need to thrive academically.</w:t>
                      </w:r>
                    </w:p>
                    <w:p w14:paraId="481B1307" w14:textId="77777777" w:rsidR="0064141D" w:rsidRPr="00F32F72" w:rsidRDefault="0064141D" w:rsidP="0064141D">
                      <w:pPr>
                        <w:rPr>
                          <w:sz w:val="16"/>
                          <w:szCs w:val="16"/>
                        </w:rPr>
                      </w:pPr>
                      <w:r w:rsidRPr="00F32F72">
                        <w:rPr>
                          <w:sz w:val="16"/>
                          <w:szCs w:val="16"/>
                        </w:rPr>
                        <w:t>UNESCO (2020) highlights that teachers with insufficient training also lack the tools and strategies to create an inclusive classroom that meets the needs of students with varying learning styles. Murphy (2024) adds that dyslexic children may become frustrated, experience low self-esteem, and disengage from their studies, ultimately affecting their overall academic performance. Therefore, thorough training for teachers is crucial in creating an educational environment where all children can succeed.</w:t>
                      </w:r>
                    </w:p>
                    <w:p w14:paraId="51B5C6F0" w14:textId="77777777" w:rsidR="0064141D" w:rsidRPr="00F32F72" w:rsidRDefault="0064141D" w:rsidP="0064141D">
                      <w:pPr>
                        <w:rPr>
                          <w:sz w:val="16"/>
                          <w:szCs w:val="16"/>
                        </w:rPr>
                      </w:pPr>
                      <w:r w:rsidRPr="00F32F72">
                        <w:rPr>
                          <w:sz w:val="16"/>
                          <w:szCs w:val="16"/>
                        </w:rPr>
                        <w:t>The Rose Report (SEN, 2009) emphasizes the importance of comprehensive and systematic training for all educators to overcome this challenge. The report recommends that instruction on dyslexia and literacy challenges should be a key element of both initial teacher education and continuing professional development. By ensuring that all teachers receive this training, the report aims to build a more knowledgeable and skilled teaching profession.</w:t>
                      </w:r>
                    </w:p>
                    <w:p w14:paraId="459DC565" w14:textId="77777777" w:rsidR="0064141D" w:rsidRPr="00F32F72" w:rsidRDefault="0064141D" w:rsidP="0064141D">
                      <w:pPr>
                        <w:rPr>
                          <w:sz w:val="16"/>
                          <w:szCs w:val="16"/>
                        </w:rPr>
                      </w:pPr>
                    </w:p>
                    <w:p w14:paraId="50AA9639" w14:textId="77777777" w:rsidR="0064141D" w:rsidRPr="00F32F72" w:rsidRDefault="0064141D" w:rsidP="0064141D">
                      <w:pPr>
                        <w:rPr>
                          <w:sz w:val="16"/>
                          <w:szCs w:val="16"/>
                        </w:rPr>
                      </w:pPr>
                    </w:p>
                  </w:txbxContent>
                </v:textbox>
              </v:shape>
            </w:pict>
          </mc:Fallback>
        </mc:AlternateContent>
      </w:r>
      <w:r>
        <w:rPr>
          <w:noProof/>
        </w:rPr>
        <mc:AlternateContent>
          <mc:Choice Requires="wps">
            <w:drawing>
              <wp:anchor distT="45720" distB="45720" distL="114300" distR="114300" simplePos="0" relativeHeight="251677696" behindDoc="0" locked="0" layoutInCell="1" allowOverlap="1" wp14:anchorId="5AF3C454" wp14:editId="54BFB8CF">
                <wp:simplePos x="0" y="0"/>
                <wp:positionH relativeFrom="page">
                  <wp:align>left</wp:align>
                </wp:positionH>
                <wp:positionV relativeFrom="page">
                  <wp:posOffset>4351020</wp:posOffset>
                </wp:positionV>
                <wp:extent cx="2872740" cy="12590780"/>
                <wp:effectExtent l="0" t="0" r="0" b="1270"/>
                <wp:wrapSquare wrapText="bothSides"/>
                <wp:docPr id="19358365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12590780"/>
                        </a:xfrm>
                        <a:prstGeom prst="rect">
                          <a:avLst/>
                        </a:prstGeom>
                        <a:noFill/>
                        <a:ln w="9525">
                          <a:noFill/>
                          <a:miter lim="800000"/>
                          <a:headEnd/>
                          <a:tailEnd/>
                        </a:ln>
                      </wps:spPr>
                      <wps:txbx>
                        <w:txbxContent>
                          <w:p w14:paraId="4E9B0FF9" w14:textId="77777777" w:rsidR="0064141D" w:rsidRPr="00F32F72" w:rsidRDefault="0064141D" w:rsidP="0064141D">
                            <w:pPr>
                              <w:jc w:val="center"/>
                              <w:rPr>
                                <w:b/>
                                <w:bCs/>
                                <w:sz w:val="18"/>
                                <w:szCs w:val="18"/>
                              </w:rPr>
                            </w:pPr>
                            <w:r w:rsidRPr="00F32F72">
                              <w:rPr>
                                <w:b/>
                                <w:bCs/>
                                <w:sz w:val="18"/>
                                <w:szCs w:val="18"/>
                              </w:rPr>
                              <w:t xml:space="preserve">How </w:t>
                            </w:r>
                            <w:proofErr w:type="gramStart"/>
                            <w:r w:rsidRPr="00F32F72">
                              <w:rPr>
                                <w:b/>
                                <w:bCs/>
                                <w:sz w:val="18"/>
                                <w:szCs w:val="18"/>
                              </w:rPr>
                              <w:t>is</w:t>
                            </w:r>
                            <w:proofErr w:type="gramEnd"/>
                            <w:r w:rsidRPr="00F32F72">
                              <w:rPr>
                                <w:b/>
                                <w:bCs/>
                                <w:sz w:val="18"/>
                                <w:szCs w:val="18"/>
                              </w:rPr>
                              <w:t xml:space="preserve"> dyslexia assessed?</w:t>
                            </w:r>
                          </w:p>
                          <w:p w14:paraId="2DC096C7" w14:textId="77777777" w:rsidR="0064141D" w:rsidRPr="005841E3" w:rsidRDefault="0064141D" w:rsidP="0064141D">
                            <w:pPr>
                              <w:rPr>
                                <w:sz w:val="12"/>
                                <w:szCs w:val="12"/>
                              </w:rPr>
                            </w:pPr>
                            <w:r w:rsidRPr="00F32F72">
                              <w:rPr>
                                <w:sz w:val="18"/>
                                <w:szCs w:val="18"/>
                              </w:rPr>
                              <w:t>Early intervention is crucial for dyslexia, helping prevent it from becoming a major obstacle. Lovett (2016) emphasizes that early education and intervention in the first and second years of school are twice as successful as assessments in the third year. Early screening identifies at-risk children, allowing timely teaching to maximize their access to print. A multidisciplinary approach, including standardized tests, questionnaires, screening tools, and observations, is necessary for effective evaluation (Forde, 2023). Dyslexia screening is essential for identifying children at risk before they fall behind their peers (Estyn, 2022). Early detection and intervention improve academic performance and prevent frustration and low self-esteem. However, screening tests are not diagnostic and require further evaluation (GOV.UK, 2023). Screening should be seen as an initial measure informing the need for more comprehensive assessment. Parents and teachers are crucial in the screening process, providing background information and identifying early warning signs not apparent in standardized tests (British Dyslexia Association, 2014). Ongoing observation and rescreening are vital for tracking development and addressing new issues (Sanfilippo, 2020). Screening should be part of an all-encompassing evaluation strategy, combined with official diagnostic tests and observations for a complete picture of strengths and weaknesses (Mckinney, 2024). Formal diagnostic assessments by educational psychologists or certified dyslexia teachers are critical. These evaluations provide a thorough understanding of the individual's strengths and weaknesses, guiding personalized intervention strategies (</w:t>
                            </w:r>
                            <w:proofErr w:type="spellStart"/>
                            <w:r w:rsidRPr="00F32F72">
                              <w:rPr>
                                <w:sz w:val="18"/>
                                <w:szCs w:val="18"/>
                              </w:rPr>
                              <w:t>Snowling</w:t>
                            </w:r>
                            <w:proofErr w:type="spellEnd"/>
                            <w:r w:rsidRPr="00F32F72">
                              <w:rPr>
                                <w:sz w:val="18"/>
                                <w:szCs w:val="18"/>
                              </w:rPr>
                              <w:t>, 2012; Daniel,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3C454" id="_x0000_s1033" type="#_x0000_t202" style="position:absolute;margin-left:0;margin-top:342.6pt;width:226.2pt;height:991.4pt;z-index:251677696;visibility:visible;mso-wrap-style:square;mso-width-percent:0;mso-height-percent:0;mso-wrap-distance-left:9pt;mso-wrap-distance-top:3.6pt;mso-wrap-distance-right:9pt;mso-wrap-distance-bottom:3.6pt;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" filled="f" stroked="f">
                <v:textbox>
                  <w:txbxContent>
                    <w:p w14:paraId="4E9B0FF9" w14:textId="77777777" w:rsidR="0064141D" w:rsidRPr="00F32F72" w:rsidRDefault="0064141D" w:rsidP="0064141D">
                      <w:pPr>
                        <w:jc w:val="center"/>
                        <w:rPr>
                          <w:b/>
                          <w:bCs/>
                          <w:sz w:val="18"/>
                          <w:szCs w:val="18"/>
                        </w:rPr>
                      </w:pPr>
                      <w:r w:rsidRPr="00F32F72">
                        <w:rPr>
                          <w:b/>
                          <w:bCs/>
                          <w:sz w:val="18"/>
                          <w:szCs w:val="18"/>
                        </w:rPr>
                        <w:t xml:space="preserve">How </w:t>
                      </w:r>
                      <w:proofErr w:type="gramStart"/>
                      <w:r w:rsidRPr="00F32F72">
                        <w:rPr>
                          <w:b/>
                          <w:bCs/>
                          <w:sz w:val="18"/>
                          <w:szCs w:val="18"/>
                        </w:rPr>
                        <w:t>is</w:t>
                      </w:r>
                      <w:proofErr w:type="gramEnd"/>
                      <w:r w:rsidRPr="00F32F72">
                        <w:rPr>
                          <w:b/>
                          <w:bCs/>
                          <w:sz w:val="18"/>
                          <w:szCs w:val="18"/>
                        </w:rPr>
                        <w:t xml:space="preserve"> dyslexia assessed?</w:t>
                      </w:r>
                    </w:p>
                    <w:p w14:paraId="2DC096C7" w14:textId="77777777" w:rsidR="0064141D" w:rsidRPr="005841E3" w:rsidRDefault="0064141D" w:rsidP="0064141D">
                      <w:pPr>
                        <w:rPr>
                          <w:sz w:val="12"/>
                          <w:szCs w:val="12"/>
                        </w:rPr>
                      </w:pPr>
                      <w:r w:rsidRPr="00F32F72">
                        <w:rPr>
                          <w:sz w:val="18"/>
                          <w:szCs w:val="18"/>
                        </w:rPr>
                        <w:t>Early intervention is crucial for dyslexia, helping prevent it from becoming a major obstacle. Lovett (2016) emphasizes that early education and intervention in the first and second years of school are twice as successful as assessments in the third year. Early screening identifies at-risk children, allowing timely teaching to maximize their access to print. A multidisciplinary approach, including standardized tests, questionnaires, screening tools, and observations, is necessary for effective evaluation (Forde, 2023). Dyslexia screening is essential for identifying children at risk before they fall behind their peers (Estyn, 2022). Early detection and intervention improve academic performance and prevent frustration and low self-esteem. However, screening tests are not diagnostic and require further evaluation (GOV.UK, 2023). Screening should be seen as an initial measure informing the need for more comprehensive assessment. Parents and teachers are crucial in the screening process, providing background information and identifying early warning signs not apparent in standardized tests (British Dyslexia Association, 2014). Ongoing observation and rescreening are vital for tracking development and addressing new issues (Sanfilippo, 2020). Screening should be part of an all-encompassing evaluation strategy, combined with official diagnostic tests and observations for a complete picture of strengths and weaknesses (Mckinney, 2024). Formal diagnostic assessments by educational psychologists or certified dyslexia teachers are critical. These evaluations provide a thorough understanding of the individual's strengths and weaknesses, guiding personalized intervention strategies (</w:t>
                      </w:r>
                      <w:proofErr w:type="spellStart"/>
                      <w:r w:rsidRPr="00F32F72">
                        <w:rPr>
                          <w:sz w:val="18"/>
                          <w:szCs w:val="18"/>
                        </w:rPr>
                        <w:t>Snowling</w:t>
                      </w:r>
                      <w:proofErr w:type="spellEnd"/>
                      <w:r w:rsidRPr="00F32F72">
                        <w:rPr>
                          <w:sz w:val="18"/>
                          <w:szCs w:val="18"/>
                        </w:rPr>
                        <w:t>, 2012; Daniel, 2024</w:t>
                      </w:r>
                    </w:p>
                  </w:txbxContent>
                </v:textbox>
                <w10:wrap type="square" anchorx="page" anchory="page"/>
              </v:shape>
            </w:pict>
          </mc:Fallback>
        </mc:AlternateContent>
      </w:r>
    </w:p>
    <w:p w14:paraId="75645DB4" w14:textId="77777777" w:rsidR="0064141D" w:rsidRDefault="0064141D">
      <w:r>
        <w:br w:type="page"/>
      </w:r>
    </w:p>
    <w:p w14:paraId="6DCA5269" w14:textId="63DB45D1" w:rsidR="0064141D" w:rsidRDefault="0064141D">
      <w:pPr>
        <w:rPr>
          <w:sz w:val="18"/>
          <w:szCs w:val="18"/>
        </w:rPr>
      </w:pPr>
    </w:p>
    <w:p w14:paraId="0EE4353E" w14:textId="5719FA9A" w:rsidR="0064141D" w:rsidRPr="0064141D" w:rsidRDefault="0064141D">
      <w:pPr>
        <w:rPr>
          <w:sz w:val="18"/>
          <w:szCs w:val="18"/>
        </w:rPr>
      </w:pPr>
      <w:r>
        <w:rPr>
          <w:sz w:val="18"/>
          <w:szCs w:val="18"/>
        </w:rPr>
        <w:t xml:space="preserve">Reference list </w:t>
      </w:r>
    </w:p>
    <w:p w14:paraId="137AFCAB" w14:textId="77777777" w:rsidR="0064141D" w:rsidRPr="0064141D" w:rsidRDefault="0064141D" w:rsidP="0064141D">
      <w:pPr>
        <w:rPr>
          <w:sz w:val="22"/>
          <w:szCs w:val="22"/>
        </w:rPr>
      </w:pPr>
      <w:r w:rsidRPr="0064141D">
        <w:rPr>
          <w:sz w:val="22"/>
          <w:szCs w:val="22"/>
        </w:rPr>
        <w:t xml:space="preserve">Brennan, J. (2023) ‘9 Multisensory Strategies for Dyslexic Readers and Others’, Focus and Read. Available at: </w:t>
      </w:r>
      <w:hyperlink r:id="rId8" w:history="1">
        <w:r w:rsidRPr="0064141D">
          <w:rPr>
            <w:rStyle w:val="Hyperlink"/>
            <w:sz w:val="22"/>
            <w:szCs w:val="22"/>
          </w:rPr>
          <w:t>https://focusandread.com/9-multisensory-strategies-for-dyslexic-readers</w:t>
        </w:r>
      </w:hyperlink>
      <w:r w:rsidRPr="0064141D">
        <w:rPr>
          <w:sz w:val="22"/>
          <w:szCs w:val="22"/>
        </w:rPr>
        <w:t xml:space="preserve">. </w:t>
      </w:r>
    </w:p>
    <w:p w14:paraId="703BEF2E" w14:textId="77777777" w:rsidR="0064141D" w:rsidRPr="0064141D" w:rsidRDefault="0064141D" w:rsidP="0064141D">
      <w:pPr>
        <w:rPr>
          <w:sz w:val="22"/>
          <w:szCs w:val="22"/>
        </w:rPr>
      </w:pPr>
      <w:r w:rsidRPr="0064141D">
        <w:rPr>
          <w:sz w:val="22"/>
          <w:szCs w:val="22"/>
        </w:rPr>
        <w:t xml:space="preserve"> Daniel, J., Clucas, L., &amp; Wang, H.-H. (2024) ‘Identifying students with dyslexia: exploration of current assessment methods’, 74(1), pp. 1-20. DOI: 10.1007/s11881-024-00313-y.</w:t>
      </w:r>
    </w:p>
    <w:p w14:paraId="4653A75B" w14:textId="77777777" w:rsidR="0064141D" w:rsidRPr="0064141D" w:rsidRDefault="0064141D" w:rsidP="0064141D">
      <w:pPr>
        <w:rPr>
          <w:sz w:val="22"/>
          <w:szCs w:val="22"/>
        </w:rPr>
      </w:pPr>
      <w:r w:rsidRPr="0064141D">
        <w:rPr>
          <w:sz w:val="22"/>
          <w:szCs w:val="22"/>
        </w:rPr>
        <w:t xml:space="preserve">Elliott, J.G., &amp; Grigorenko, E.L. (2014) *The Dyslexia Debate*. Cambridge University Press. ISBN: 9781107044351. Estyn (2020) ‘Supporting pupils’ individual learning needs’, *Estyn*. Available at: </w:t>
      </w:r>
      <w:hyperlink r:id="rId9" w:history="1">
        <w:r w:rsidRPr="0064141D">
          <w:rPr>
            <w:rStyle w:val="Hyperlink"/>
            <w:sz w:val="22"/>
            <w:szCs w:val="22"/>
          </w:rPr>
          <w:t>https://senmagazine.co.uk/content/specific-needs/dyslexia-spld/329/dyslexia-the-rose-report/</w:t>
        </w:r>
      </w:hyperlink>
      <w:r w:rsidRPr="0064141D">
        <w:rPr>
          <w:sz w:val="22"/>
          <w:szCs w:val="22"/>
        </w:rPr>
        <w:t xml:space="preserve"> </w:t>
      </w:r>
      <w:r w:rsidRPr="0064141D">
        <w:rPr>
          <w:sz w:val="22"/>
          <w:szCs w:val="22"/>
        </w:rPr>
        <w:t xml:space="preserve">. Forde, E. (2023) ‘Early screening for dyslexia’, *SEN Magazine*. Available at: </w:t>
      </w:r>
      <w:hyperlink r:id="rId10" w:history="1">
        <w:r w:rsidRPr="0064141D">
          <w:rPr>
            <w:rStyle w:val="Hyperlink"/>
            <w:sz w:val="22"/>
            <w:szCs w:val="22"/>
          </w:rPr>
          <w:t>https://senmagazine.co.uk/content/specific-needs/dyslexia-spld/329/dyslexia-the-rose-report/</w:t>
        </w:r>
      </w:hyperlink>
      <w:r w:rsidRPr="0064141D">
        <w:rPr>
          <w:sz w:val="22"/>
          <w:szCs w:val="22"/>
        </w:rPr>
        <w:t xml:space="preserve"> </w:t>
      </w:r>
      <w:r w:rsidRPr="0064141D">
        <w:rPr>
          <w:sz w:val="22"/>
          <w:szCs w:val="22"/>
        </w:rPr>
        <w:t xml:space="preserve">. </w:t>
      </w:r>
    </w:p>
    <w:p w14:paraId="12481A6A" w14:textId="77777777" w:rsidR="0064141D" w:rsidRPr="0064141D" w:rsidRDefault="0064141D" w:rsidP="0064141D">
      <w:pPr>
        <w:rPr>
          <w:sz w:val="22"/>
          <w:szCs w:val="22"/>
        </w:rPr>
      </w:pPr>
      <w:r w:rsidRPr="0064141D">
        <w:rPr>
          <w:sz w:val="22"/>
          <w:szCs w:val="22"/>
        </w:rPr>
        <w:t xml:space="preserve">Estyn (2022) ‘Early screening for dyslexia’,. Available at: </w:t>
      </w:r>
      <w:hyperlink r:id="rId11" w:history="1">
        <w:r w:rsidRPr="0064141D">
          <w:rPr>
            <w:rStyle w:val="Hyperlink"/>
            <w:sz w:val="22"/>
            <w:szCs w:val="22"/>
          </w:rPr>
          <w:t>https://www.estyn.gov.wales/document/screening-dyslexia</w:t>
        </w:r>
      </w:hyperlink>
      <w:r w:rsidRPr="0064141D">
        <w:rPr>
          <w:sz w:val="22"/>
          <w:szCs w:val="22"/>
        </w:rPr>
        <w:t xml:space="preserve">. </w:t>
      </w:r>
    </w:p>
    <w:p w14:paraId="732A0B81" w14:textId="77777777" w:rsidR="0064141D" w:rsidRPr="0064141D" w:rsidRDefault="0064141D" w:rsidP="0064141D">
      <w:pPr>
        <w:rPr>
          <w:sz w:val="22"/>
          <w:szCs w:val="22"/>
        </w:rPr>
      </w:pPr>
      <w:r w:rsidRPr="0064141D">
        <w:rPr>
          <w:sz w:val="22"/>
          <w:szCs w:val="22"/>
        </w:rPr>
        <w:t xml:space="preserve">GOV.UK (2023) ‘NHS and commercial health screening tests: important considerations’, *GOV.UK*. Available at: </w:t>
      </w:r>
      <w:hyperlink r:id="rId12" w:history="1">
        <w:r w:rsidRPr="0064141D">
          <w:rPr>
            <w:rStyle w:val="Hyperlink"/>
            <w:sz w:val="22"/>
            <w:szCs w:val="22"/>
          </w:rPr>
          <w:t>https://www.gov.uk/government/publications/uk-nsc-commercial-screening-test-considerations/nhs-and-commercial-health-screening-tests-important-c</w:t>
        </w:r>
      </w:hyperlink>
      <w:r w:rsidRPr="0064141D">
        <w:rPr>
          <w:sz w:val="22"/>
          <w:szCs w:val="22"/>
        </w:rPr>
        <w:t>.</w:t>
      </w:r>
    </w:p>
    <w:p w14:paraId="2F083A24" w14:textId="77777777" w:rsidR="0064141D" w:rsidRPr="0064141D" w:rsidRDefault="0064141D" w:rsidP="0064141D">
      <w:pPr>
        <w:rPr>
          <w:sz w:val="22"/>
          <w:szCs w:val="22"/>
        </w:rPr>
      </w:pPr>
      <w:r w:rsidRPr="0064141D">
        <w:rPr>
          <w:sz w:val="22"/>
          <w:szCs w:val="22"/>
        </w:rPr>
        <w:t xml:space="preserve"> </w:t>
      </w:r>
      <w:proofErr w:type="spellStart"/>
      <w:r w:rsidRPr="0064141D">
        <w:rPr>
          <w:sz w:val="22"/>
          <w:szCs w:val="22"/>
        </w:rPr>
        <w:t>Jenkins,H</w:t>
      </w:r>
      <w:proofErr w:type="spellEnd"/>
      <w:r w:rsidRPr="0064141D">
        <w:rPr>
          <w:sz w:val="22"/>
          <w:szCs w:val="22"/>
        </w:rPr>
        <w:t xml:space="preserve">. (2024) ‘Dyslexia Interventions for Children: Effective Techniques and Programs’. Available at: </w:t>
      </w:r>
      <w:hyperlink r:id="rId13" w:history="1">
        <w:r w:rsidRPr="0064141D">
          <w:rPr>
            <w:rStyle w:val="Hyperlink"/>
            <w:sz w:val="22"/>
            <w:szCs w:val="22"/>
          </w:rPr>
          <w:t>https://www.darwynhealth.com/child-health/child-development/childhood-learning-and-communication-disorders/dyslexia-in-children/dyslexia-interventions-for-children-effective-techniques-and-programs/?lang=en</w:t>
        </w:r>
      </w:hyperlink>
      <w:r w:rsidRPr="0064141D">
        <w:rPr>
          <w:sz w:val="22"/>
          <w:szCs w:val="22"/>
        </w:rPr>
        <w:t xml:space="preserve"> </w:t>
      </w:r>
      <w:r w:rsidRPr="0064141D">
        <w:rPr>
          <w:sz w:val="22"/>
          <w:szCs w:val="22"/>
        </w:rPr>
        <w:t xml:space="preserve"> </w:t>
      </w:r>
    </w:p>
    <w:p w14:paraId="69AB4EAB" w14:textId="77777777" w:rsidR="0064141D" w:rsidRPr="0064141D" w:rsidRDefault="0064141D" w:rsidP="0064141D">
      <w:pPr>
        <w:rPr>
          <w:sz w:val="22"/>
          <w:szCs w:val="22"/>
        </w:rPr>
      </w:pPr>
      <w:r w:rsidRPr="0064141D">
        <w:rPr>
          <w:sz w:val="22"/>
          <w:szCs w:val="22"/>
        </w:rPr>
        <w:t xml:space="preserve"> Kelly, K., &amp; Phillips, S. (2011) ‘Teaching Literacy to Learners with Dyslexia: A Multi-sensory Approach’. Google Books. Available at: Teaching Literacy to Learners with Dyslexia: A Multi-sensory Approach </w:t>
      </w:r>
      <w:r w:rsidRPr="0064141D">
        <w:rPr>
          <w:sz w:val="22"/>
          <w:szCs w:val="22"/>
        </w:rPr>
        <w:t>–</w:t>
      </w:r>
      <w:r w:rsidRPr="0064141D">
        <w:rPr>
          <w:sz w:val="22"/>
          <w:szCs w:val="22"/>
        </w:rPr>
        <w:t xml:space="preserve"> Kathleen Kelly, Sylvia Phillips - Google Books</w:t>
      </w:r>
    </w:p>
    <w:p w14:paraId="6BF5DCEC" w14:textId="77777777" w:rsidR="0064141D" w:rsidRPr="0064141D" w:rsidRDefault="0064141D" w:rsidP="0064141D">
      <w:pPr>
        <w:rPr>
          <w:sz w:val="22"/>
          <w:szCs w:val="22"/>
        </w:rPr>
      </w:pPr>
      <w:r w:rsidRPr="0064141D">
        <w:rPr>
          <w:sz w:val="22"/>
          <w:szCs w:val="22"/>
        </w:rPr>
        <w:t xml:space="preserve">Kuo, N. et al. (2024) ‘Assessing students with dyslexia and other reading difficulties through multiple diagnostic assessments’, (Chichester, England), 30(3), pp. e1777-n/a. Available at: https://doi.org/10.1002/dys.1777. </w:t>
      </w:r>
    </w:p>
    <w:p w14:paraId="52292BAA" w14:textId="77777777" w:rsidR="0064141D" w:rsidRPr="0064141D" w:rsidRDefault="0064141D" w:rsidP="0064141D">
      <w:pPr>
        <w:rPr>
          <w:sz w:val="22"/>
          <w:szCs w:val="22"/>
        </w:rPr>
      </w:pPr>
      <w:r w:rsidRPr="0064141D">
        <w:rPr>
          <w:sz w:val="22"/>
          <w:szCs w:val="22"/>
        </w:rPr>
        <w:t xml:space="preserve">Learning Mole (2025) ‘The benefits of multisensory teaching methods’, Available at: </w:t>
      </w:r>
      <w:hyperlink r:id="rId14" w:history="1">
        <w:r w:rsidRPr="0064141D">
          <w:rPr>
            <w:rStyle w:val="Hyperlink"/>
            <w:sz w:val="22"/>
            <w:szCs w:val="22"/>
          </w:rPr>
          <w:t>https://learningmole.com/the-benefits-of-multisensory-teaching-methods/</w:t>
        </w:r>
      </w:hyperlink>
      <w:r w:rsidRPr="0064141D">
        <w:rPr>
          <w:sz w:val="22"/>
          <w:szCs w:val="22"/>
        </w:rPr>
        <w:t xml:space="preserve">. </w:t>
      </w:r>
    </w:p>
    <w:p w14:paraId="107D022F" w14:textId="77777777" w:rsidR="0064141D" w:rsidRPr="0064141D" w:rsidRDefault="0064141D" w:rsidP="0064141D">
      <w:pPr>
        <w:rPr>
          <w:sz w:val="22"/>
          <w:szCs w:val="22"/>
        </w:rPr>
      </w:pPr>
      <w:r w:rsidRPr="0064141D">
        <w:rPr>
          <w:sz w:val="22"/>
          <w:szCs w:val="22"/>
        </w:rPr>
        <w:t xml:space="preserve">McKinney, A. (2024) ‘The learning support screening process’, Estyn. Available at: </w:t>
      </w:r>
      <w:hyperlink r:id="rId15" w:history="1">
        <w:r w:rsidRPr="0064141D">
          <w:rPr>
            <w:rStyle w:val="Hyperlink"/>
            <w:sz w:val="22"/>
            <w:szCs w:val="22"/>
          </w:rPr>
          <w:t>https://senmagazine.co.uk/content/specific-needs/dyslexia-spld/329/dyslexia-the-rose-report/</w:t>
        </w:r>
      </w:hyperlink>
      <w:r w:rsidRPr="0064141D">
        <w:rPr>
          <w:sz w:val="22"/>
          <w:szCs w:val="22"/>
        </w:rPr>
        <w:t>.</w:t>
      </w:r>
    </w:p>
    <w:p w14:paraId="26C98E5B" w14:textId="77777777" w:rsidR="0064141D" w:rsidRPr="0064141D" w:rsidRDefault="0064141D" w:rsidP="0064141D">
      <w:pPr>
        <w:rPr>
          <w:sz w:val="22"/>
          <w:szCs w:val="22"/>
        </w:rPr>
      </w:pPr>
      <w:r w:rsidRPr="0064141D">
        <w:rPr>
          <w:sz w:val="22"/>
          <w:szCs w:val="22"/>
        </w:rPr>
        <w:t xml:space="preserve"> Murphy, P. (2024) ‘Inclusive teaching: preparing all teachers to teach all students’, Available at: </w:t>
      </w:r>
      <w:hyperlink r:id="rId16" w:history="1">
        <w:r w:rsidRPr="0064141D">
          <w:rPr>
            <w:rStyle w:val="Hyperlink"/>
            <w:sz w:val="22"/>
            <w:szCs w:val="22"/>
          </w:rPr>
          <w:t>https://senmagazine.co.uk/content/specific-needs/dyslexia-spld/329/dyslexia-the-rose-report/</w:t>
        </w:r>
      </w:hyperlink>
      <w:r w:rsidRPr="0064141D">
        <w:rPr>
          <w:sz w:val="22"/>
          <w:szCs w:val="22"/>
        </w:rPr>
        <w:t xml:space="preserve">. </w:t>
      </w:r>
    </w:p>
    <w:p w14:paraId="1D670543" w14:textId="77777777" w:rsidR="0064141D" w:rsidRPr="0064141D" w:rsidRDefault="0064141D" w:rsidP="0064141D">
      <w:pPr>
        <w:rPr>
          <w:sz w:val="22"/>
          <w:szCs w:val="22"/>
        </w:rPr>
      </w:pPr>
      <w:r w:rsidRPr="0064141D">
        <w:rPr>
          <w:sz w:val="22"/>
          <w:szCs w:val="22"/>
        </w:rPr>
        <w:t xml:space="preserve">Nyman, S. (2021) Multi-Sensory Teaching Toolkit. </w:t>
      </w:r>
      <w:proofErr w:type="spellStart"/>
      <w:r w:rsidRPr="0064141D">
        <w:rPr>
          <w:sz w:val="22"/>
          <w:szCs w:val="22"/>
        </w:rPr>
        <w:t>Oakabooks</w:t>
      </w:r>
      <w:proofErr w:type="spellEnd"/>
      <w:r w:rsidRPr="0064141D">
        <w:rPr>
          <w:sz w:val="22"/>
          <w:szCs w:val="22"/>
        </w:rPr>
        <w:t xml:space="preserve">. Available at: </w:t>
      </w:r>
      <w:hyperlink r:id="rId17" w:history="1">
        <w:r w:rsidRPr="0064141D">
          <w:rPr>
            <w:rStyle w:val="Hyperlink"/>
            <w:sz w:val="22"/>
            <w:szCs w:val="22"/>
          </w:rPr>
          <w:t>https://www.oakabooks.co.uk/product/multi-sensory-teaching-toolkit/</w:t>
        </w:r>
      </w:hyperlink>
      <w:r w:rsidRPr="0064141D">
        <w:rPr>
          <w:sz w:val="22"/>
          <w:szCs w:val="22"/>
        </w:rPr>
        <w:t xml:space="preserve">. </w:t>
      </w:r>
    </w:p>
    <w:p w14:paraId="1441AAC4" w14:textId="77777777" w:rsidR="0064141D" w:rsidRPr="0064141D" w:rsidRDefault="0064141D" w:rsidP="0064141D">
      <w:pPr>
        <w:rPr>
          <w:sz w:val="22"/>
          <w:szCs w:val="22"/>
        </w:rPr>
      </w:pPr>
      <w:r w:rsidRPr="0064141D">
        <w:rPr>
          <w:sz w:val="22"/>
          <w:szCs w:val="22"/>
        </w:rPr>
        <w:t xml:space="preserve"> Reading Rockets (2025) ‘Phonics Instruction: </w:t>
      </w:r>
      <w:proofErr w:type="gramStart"/>
      <w:r w:rsidRPr="0064141D">
        <w:rPr>
          <w:sz w:val="22"/>
          <w:szCs w:val="22"/>
        </w:rPr>
        <w:t>the</w:t>
      </w:r>
      <w:proofErr w:type="gramEnd"/>
      <w:r w:rsidRPr="0064141D">
        <w:rPr>
          <w:sz w:val="22"/>
          <w:szCs w:val="22"/>
        </w:rPr>
        <w:t xml:space="preserve"> Value of a Multi-sensory Approach’. Available at: </w:t>
      </w:r>
      <w:hyperlink r:id="rId18" w:history="1">
        <w:r w:rsidRPr="0064141D">
          <w:rPr>
            <w:rStyle w:val="Hyperlink"/>
            <w:sz w:val="22"/>
            <w:szCs w:val="22"/>
          </w:rPr>
          <w:t>https://www.readingrockets.org/topics/curriculum-and-instruction/articles/phonics-instruction-value-multi-sensory-approach</w:t>
        </w:r>
      </w:hyperlink>
      <w:r w:rsidRPr="0064141D">
        <w:rPr>
          <w:sz w:val="22"/>
          <w:szCs w:val="22"/>
        </w:rPr>
        <w:t>.</w:t>
      </w:r>
      <w:r w:rsidRPr="0064141D">
        <w:rPr>
          <w:sz w:val="22"/>
          <w:szCs w:val="22"/>
        </w:rPr>
        <w:t xml:space="preserve"> </w:t>
      </w:r>
    </w:p>
    <w:p w14:paraId="3640E95C" w14:textId="77777777" w:rsidR="0064141D" w:rsidRPr="0064141D" w:rsidRDefault="0064141D" w:rsidP="0064141D">
      <w:pPr>
        <w:rPr>
          <w:sz w:val="22"/>
          <w:szCs w:val="22"/>
        </w:rPr>
      </w:pPr>
      <w:r w:rsidRPr="0064141D">
        <w:rPr>
          <w:sz w:val="22"/>
          <w:szCs w:val="22"/>
        </w:rPr>
        <w:t xml:space="preserve">Sanfilippo, M. (2020) ‘Screening for dyslexia: the role of teachers and parents’, British Dyslexia Association. Available at: </w:t>
      </w:r>
      <w:hyperlink r:id="rId19" w:history="1">
        <w:r w:rsidRPr="0064141D">
          <w:rPr>
            <w:rStyle w:val="Hyperlink"/>
            <w:sz w:val="22"/>
            <w:szCs w:val="22"/>
          </w:rPr>
          <w:t>https://www.bdadyslexia.org.uk/dyslexia/screening</w:t>
        </w:r>
      </w:hyperlink>
      <w:r w:rsidRPr="0064141D">
        <w:rPr>
          <w:sz w:val="22"/>
          <w:szCs w:val="22"/>
        </w:rPr>
        <w:t xml:space="preserve">. </w:t>
      </w:r>
    </w:p>
    <w:p w14:paraId="73454530" w14:textId="77777777" w:rsidR="0064141D" w:rsidRPr="0064141D" w:rsidRDefault="0064141D" w:rsidP="0064141D">
      <w:pPr>
        <w:rPr>
          <w:sz w:val="22"/>
          <w:szCs w:val="22"/>
        </w:rPr>
      </w:pPr>
      <w:r w:rsidRPr="0064141D">
        <w:rPr>
          <w:sz w:val="22"/>
          <w:szCs w:val="22"/>
        </w:rPr>
        <w:t xml:space="preserve">SEN Magazine (2009) ‘The Rose Report: Addressing Dyslexia’, Available at: </w:t>
      </w:r>
      <w:hyperlink r:id="rId20" w:history="1">
        <w:r w:rsidRPr="0064141D">
          <w:rPr>
            <w:rStyle w:val="Hyperlink"/>
            <w:sz w:val="22"/>
            <w:szCs w:val="22"/>
          </w:rPr>
          <w:t>https://senmagazine.co.uk/content/specific-needs/dyslexia-spld/329/dyslexia-the-rose-report/</w:t>
        </w:r>
      </w:hyperlink>
      <w:r w:rsidRPr="0064141D">
        <w:rPr>
          <w:sz w:val="22"/>
          <w:szCs w:val="22"/>
        </w:rPr>
        <w:t xml:space="preserve">. </w:t>
      </w:r>
    </w:p>
    <w:p w14:paraId="437C2950" w14:textId="77777777" w:rsidR="0064141D" w:rsidRPr="0064141D" w:rsidRDefault="0064141D" w:rsidP="0064141D">
      <w:pPr>
        <w:rPr>
          <w:sz w:val="22"/>
          <w:szCs w:val="22"/>
        </w:rPr>
      </w:pPr>
      <w:proofErr w:type="spellStart"/>
      <w:r w:rsidRPr="0064141D">
        <w:rPr>
          <w:sz w:val="22"/>
          <w:szCs w:val="22"/>
        </w:rPr>
        <w:lastRenderedPageBreak/>
        <w:t>Snowling</w:t>
      </w:r>
      <w:proofErr w:type="spellEnd"/>
      <w:r w:rsidRPr="0064141D">
        <w:rPr>
          <w:sz w:val="22"/>
          <w:szCs w:val="22"/>
        </w:rPr>
        <w:t xml:space="preserve">, M.J., &amp; Hulme, C. (2012) ‘Interventions for Children’s Language and Literacy Difficulties’, International Journal of Language &amp; Communication Disorders, 47(1), pp. 27-34. DOI: 10.1111/j.1460-6984.2011.00090.x. </w:t>
      </w:r>
    </w:p>
    <w:p w14:paraId="0D49CB0A" w14:textId="77777777" w:rsidR="0064141D" w:rsidRPr="0064141D" w:rsidRDefault="0064141D" w:rsidP="0064141D">
      <w:pPr>
        <w:rPr>
          <w:sz w:val="22"/>
          <w:szCs w:val="22"/>
        </w:rPr>
      </w:pPr>
      <w:r w:rsidRPr="0064141D">
        <w:rPr>
          <w:sz w:val="22"/>
          <w:szCs w:val="22"/>
        </w:rPr>
        <w:t xml:space="preserve">Start Teaching (2023) ‘Why it is important to identify and meet the individual needs of learners’, *Start Teaching*. Available at: </w:t>
      </w:r>
      <w:hyperlink r:id="rId21" w:history="1">
        <w:r w:rsidRPr="0064141D">
          <w:rPr>
            <w:rStyle w:val="Hyperlink"/>
            <w:sz w:val="22"/>
            <w:szCs w:val="22"/>
          </w:rPr>
          <w:t>https://start-teaching.com/why-it-is-important-to-identify-and-meet-the-individual-needs-of-learners/?form=MG0AV3</w:t>
        </w:r>
      </w:hyperlink>
      <w:r w:rsidRPr="0064141D">
        <w:rPr>
          <w:sz w:val="22"/>
          <w:szCs w:val="22"/>
        </w:rPr>
        <w:t xml:space="preserve">. </w:t>
      </w:r>
    </w:p>
    <w:p w14:paraId="62FF0477" w14:textId="77777777" w:rsidR="0064141D" w:rsidRPr="0064141D" w:rsidRDefault="0064141D" w:rsidP="0064141D">
      <w:pPr>
        <w:rPr>
          <w:sz w:val="22"/>
          <w:szCs w:val="22"/>
        </w:rPr>
      </w:pPr>
      <w:r w:rsidRPr="0064141D">
        <w:rPr>
          <w:sz w:val="22"/>
          <w:szCs w:val="22"/>
        </w:rPr>
        <w:t xml:space="preserve">Talk Well 2 Write Well* (2024) ‘Empowering Children with Dyslexia: A Multisensory Learning Approach’, *Talk Well 2 Write Well*. Available at: </w:t>
      </w:r>
      <w:hyperlink r:id="rId22" w:history="1">
        <w:r w:rsidRPr="0064141D">
          <w:rPr>
            <w:rStyle w:val="Hyperlink"/>
            <w:sz w:val="22"/>
            <w:szCs w:val="22"/>
          </w:rPr>
          <w:t>https://talkwell2writewell.co.uk/empowering-children-with-dyslexia-a-multisensory-learning-approach/</w:t>
        </w:r>
      </w:hyperlink>
      <w:r w:rsidRPr="0064141D">
        <w:rPr>
          <w:sz w:val="22"/>
          <w:szCs w:val="22"/>
        </w:rPr>
        <w:t>.</w:t>
      </w:r>
    </w:p>
    <w:p w14:paraId="6C5B2E28" w14:textId="77777777" w:rsidR="0064141D" w:rsidRPr="0064141D" w:rsidRDefault="0064141D" w:rsidP="0064141D">
      <w:pPr>
        <w:rPr>
          <w:sz w:val="22"/>
          <w:szCs w:val="22"/>
        </w:rPr>
      </w:pPr>
      <w:r w:rsidRPr="0064141D">
        <w:rPr>
          <w:sz w:val="22"/>
          <w:szCs w:val="22"/>
        </w:rPr>
        <w:t xml:space="preserve">The British Dyslexia Association (2014) ‘Style Guide’, at: </w:t>
      </w:r>
      <w:hyperlink r:id="rId23" w:history="1">
        <w:r w:rsidRPr="0064141D">
          <w:rPr>
            <w:rStyle w:val="Hyperlink"/>
            <w:sz w:val="22"/>
            <w:szCs w:val="22"/>
          </w:rPr>
          <w:t>https://www.bdadyslexia.org.uk/dyslexia/style-guide-2014</w:t>
        </w:r>
      </w:hyperlink>
      <w:r w:rsidRPr="0064141D">
        <w:rPr>
          <w:sz w:val="22"/>
          <w:szCs w:val="22"/>
        </w:rPr>
        <w:t xml:space="preserve">. </w:t>
      </w:r>
    </w:p>
    <w:p w14:paraId="00935CD9" w14:textId="1AAFBA3E" w:rsidR="00F32F72" w:rsidRPr="0064141D" w:rsidRDefault="0064141D" w:rsidP="005841E3">
      <w:pPr>
        <w:rPr>
          <w:sz w:val="22"/>
          <w:szCs w:val="22"/>
        </w:rPr>
      </w:pPr>
      <w:r w:rsidRPr="0064141D">
        <w:rPr>
          <w:sz w:val="22"/>
          <w:szCs w:val="22"/>
        </w:rPr>
        <w:t xml:space="preserve">UNESCO (2020) ‘Inclusive teaching: preparing all teachers to teach all students’, Available at: </w:t>
      </w:r>
      <w:hyperlink r:id="rId24" w:history="1">
        <w:r w:rsidRPr="0064141D">
          <w:rPr>
            <w:rStyle w:val="Hyperlink"/>
            <w:sz w:val="22"/>
            <w:szCs w:val="22"/>
          </w:rPr>
          <w:t>https://unesdoc.unesco.org/ark:/48223/pf0000370931</w:t>
        </w:r>
      </w:hyperlink>
      <w:r w:rsidRPr="0064141D">
        <w:rPr>
          <w:sz w:val="22"/>
          <w:szCs w:val="22"/>
        </w:rPr>
        <w:t xml:space="preserve">. </w:t>
      </w:r>
    </w:p>
    <w:sectPr w:rsidR="00F32F72" w:rsidRPr="0064141D" w:rsidSect="00120C4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BFD31" w14:textId="77777777" w:rsidR="0064141D" w:rsidRDefault="0064141D" w:rsidP="0064141D">
      <w:pPr>
        <w:spacing w:after="0" w:line="240" w:lineRule="auto"/>
      </w:pPr>
      <w:r>
        <w:separator/>
      </w:r>
    </w:p>
  </w:endnote>
  <w:endnote w:type="continuationSeparator" w:id="0">
    <w:p w14:paraId="6ABCC5E6" w14:textId="77777777" w:rsidR="0064141D" w:rsidRDefault="0064141D" w:rsidP="00641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1598B" w14:textId="77777777" w:rsidR="0064141D" w:rsidRDefault="0064141D" w:rsidP="0064141D">
      <w:pPr>
        <w:spacing w:after="0" w:line="240" w:lineRule="auto"/>
      </w:pPr>
      <w:r>
        <w:separator/>
      </w:r>
    </w:p>
  </w:footnote>
  <w:footnote w:type="continuationSeparator" w:id="0">
    <w:p w14:paraId="67D1BD04" w14:textId="77777777" w:rsidR="0064141D" w:rsidRDefault="0064141D" w:rsidP="006414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9F1"/>
    <w:rsid w:val="00120C4F"/>
    <w:rsid w:val="0042636F"/>
    <w:rsid w:val="005841E3"/>
    <w:rsid w:val="0064141D"/>
    <w:rsid w:val="006E6A2D"/>
    <w:rsid w:val="00E459F1"/>
    <w:rsid w:val="00F32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colormru v:ext="edit" colors="#e4fc04,#fdf8ee"/>
      <o:colormenu v:ext="edit" fillcolor="#fdf8ee"/>
    </o:shapedefaults>
    <o:shapelayout v:ext="edit">
      <o:idmap v:ext="edit" data="1"/>
    </o:shapelayout>
  </w:shapeDefaults>
  <w:decimalSymbol w:val="."/>
  <w:listSeparator w:val=","/>
  <w14:docId w14:val="5B5FC115"/>
  <w15:chartTrackingRefBased/>
  <w15:docId w15:val="{88D51957-C8CC-460F-8683-98944216A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9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9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9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9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9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9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9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9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9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9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9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9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9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9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9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9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9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9F1"/>
    <w:rPr>
      <w:rFonts w:eastAsiaTheme="majorEastAsia" w:cstheme="majorBidi"/>
      <w:color w:val="272727" w:themeColor="text1" w:themeTint="D8"/>
    </w:rPr>
  </w:style>
  <w:style w:type="paragraph" w:styleId="Title">
    <w:name w:val="Title"/>
    <w:basedOn w:val="Normal"/>
    <w:next w:val="Normal"/>
    <w:link w:val="TitleChar"/>
    <w:uiPriority w:val="10"/>
    <w:qFormat/>
    <w:rsid w:val="00E459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9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9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9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9F1"/>
    <w:pPr>
      <w:spacing w:before="160"/>
      <w:jc w:val="center"/>
    </w:pPr>
    <w:rPr>
      <w:i/>
      <w:iCs/>
      <w:color w:val="404040" w:themeColor="text1" w:themeTint="BF"/>
    </w:rPr>
  </w:style>
  <w:style w:type="character" w:customStyle="1" w:styleId="QuoteChar">
    <w:name w:val="Quote Char"/>
    <w:basedOn w:val="DefaultParagraphFont"/>
    <w:link w:val="Quote"/>
    <w:uiPriority w:val="29"/>
    <w:rsid w:val="00E459F1"/>
    <w:rPr>
      <w:i/>
      <w:iCs/>
      <w:color w:val="404040" w:themeColor="text1" w:themeTint="BF"/>
    </w:rPr>
  </w:style>
  <w:style w:type="paragraph" w:styleId="ListParagraph">
    <w:name w:val="List Paragraph"/>
    <w:basedOn w:val="Normal"/>
    <w:uiPriority w:val="34"/>
    <w:qFormat/>
    <w:rsid w:val="00E459F1"/>
    <w:pPr>
      <w:ind w:left="720"/>
      <w:contextualSpacing/>
    </w:pPr>
  </w:style>
  <w:style w:type="character" w:styleId="IntenseEmphasis">
    <w:name w:val="Intense Emphasis"/>
    <w:basedOn w:val="DefaultParagraphFont"/>
    <w:uiPriority w:val="21"/>
    <w:qFormat/>
    <w:rsid w:val="00E459F1"/>
    <w:rPr>
      <w:i/>
      <w:iCs/>
      <w:color w:val="0F4761" w:themeColor="accent1" w:themeShade="BF"/>
    </w:rPr>
  </w:style>
  <w:style w:type="paragraph" w:styleId="IntenseQuote">
    <w:name w:val="Intense Quote"/>
    <w:basedOn w:val="Normal"/>
    <w:next w:val="Normal"/>
    <w:link w:val="IntenseQuoteChar"/>
    <w:uiPriority w:val="30"/>
    <w:qFormat/>
    <w:rsid w:val="00E459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9F1"/>
    <w:rPr>
      <w:i/>
      <w:iCs/>
      <w:color w:val="0F4761" w:themeColor="accent1" w:themeShade="BF"/>
    </w:rPr>
  </w:style>
  <w:style w:type="character" w:styleId="IntenseReference">
    <w:name w:val="Intense Reference"/>
    <w:basedOn w:val="DefaultParagraphFont"/>
    <w:uiPriority w:val="32"/>
    <w:qFormat/>
    <w:rsid w:val="00E459F1"/>
    <w:rPr>
      <w:b/>
      <w:bCs/>
      <w:smallCaps/>
      <w:color w:val="0F4761" w:themeColor="accent1" w:themeShade="BF"/>
      <w:spacing w:val="5"/>
    </w:rPr>
  </w:style>
  <w:style w:type="paragraph" w:styleId="NormalWeb">
    <w:name w:val="Normal (Web)"/>
    <w:basedOn w:val="Normal"/>
    <w:uiPriority w:val="99"/>
    <w:semiHidden/>
    <w:unhideWhenUsed/>
    <w:rsid w:val="0064141D"/>
    <w:rPr>
      <w:rFonts w:ascii="Times New Roman" w:hAnsi="Times New Roman" w:cs="Times New Roman"/>
    </w:rPr>
  </w:style>
  <w:style w:type="character" w:styleId="Hyperlink">
    <w:name w:val="Hyperlink"/>
    <w:basedOn w:val="DefaultParagraphFont"/>
    <w:uiPriority w:val="99"/>
    <w:unhideWhenUsed/>
    <w:rsid w:val="0064141D"/>
    <w:rPr>
      <w:color w:val="467886" w:themeColor="hyperlink"/>
      <w:u w:val="single"/>
    </w:rPr>
  </w:style>
  <w:style w:type="character" w:styleId="UnresolvedMention">
    <w:name w:val="Unresolved Mention"/>
    <w:basedOn w:val="DefaultParagraphFont"/>
    <w:uiPriority w:val="99"/>
    <w:semiHidden/>
    <w:unhideWhenUsed/>
    <w:rsid w:val="0064141D"/>
    <w:rPr>
      <w:color w:val="605E5C"/>
      <w:shd w:val="clear" w:color="auto" w:fill="E1DFDD"/>
    </w:rPr>
  </w:style>
  <w:style w:type="paragraph" w:styleId="Header">
    <w:name w:val="header"/>
    <w:basedOn w:val="Normal"/>
    <w:link w:val="HeaderChar"/>
    <w:uiPriority w:val="99"/>
    <w:unhideWhenUsed/>
    <w:rsid w:val="006414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41D"/>
  </w:style>
  <w:style w:type="paragraph" w:styleId="Footer">
    <w:name w:val="footer"/>
    <w:basedOn w:val="Normal"/>
    <w:link w:val="FooterChar"/>
    <w:uiPriority w:val="99"/>
    <w:unhideWhenUsed/>
    <w:rsid w:val="006414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5622">
      <w:bodyDiv w:val="1"/>
      <w:marLeft w:val="0"/>
      <w:marRight w:val="0"/>
      <w:marTop w:val="0"/>
      <w:marBottom w:val="0"/>
      <w:divBdr>
        <w:top w:val="none" w:sz="0" w:space="0" w:color="auto"/>
        <w:left w:val="none" w:sz="0" w:space="0" w:color="auto"/>
        <w:bottom w:val="none" w:sz="0" w:space="0" w:color="auto"/>
        <w:right w:val="none" w:sz="0" w:space="0" w:color="auto"/>
      </w:divBdr>
      <w:divsChild>
        <w:div w:id="1418208108">
          <w:marLeft w:val="0"/>
          <w:marRight w:val="0"/>
          <w:marTop w:val="0"/>
          <w:marBottom w:val="0"/>
          <w:divBdr>
            <w:top w:val="none" w:sz="0" w:space="0" w:color="auto"/>
            <w:left w:val="none" w:sz="0" w:space="0" w:color="auto"/>
            <w:bottom w:val="none" w:sz="0" w:space="0" w:color="auto"/>
            <w:right w:val="none" w:sz="0" w:space="0" w:color="auto"/>
          </w:divBdr>
        </w:div>
      </w:divsChild>
    </w:div>
    <w:div w:id="23292561">
      <w:bodyDiv w:val="1"/>
      <w:marLeft w:val="0"/>
      <w:marRight w:val="0"/>
      <w:marTop w:val="0"/>
      <w:marBottom w:val="0"/>
      <w:divBdr>
        <w:top w:val="none" w:sz="0" w:space="0" w:color="auto"/>
        <w:left w:val="none" w:sz="0" w:space="0" w:color="auto"/>
        <w:bottom w:val="none" w:sz="0" w:space="0" w:color="auto"/>
        <w:right w:val="none" w:sz="0" w:space="0" w:color="auto"/>
      </w:divBdr>
      <w:divsChild>
        <w:div w:id="1847670474">
          <w:marLeft w:val="0"/>
          <w:marRight w:val="0"/>
          <w:marTop w:val="0"/>
          <w:marBottom w:val="0"/>
          <w:divBdr>
            <w:top w:val="none" w:sz="0" w:space="0" w:color="auto"/>
            <w:left w:val="none" w:sz="0" w:space="0" w:color="auto"/>
            <w:bottom w:val="none" w:sz="0" w:space="0" w:color="auto"/>
            <w:right w:val="none" w:sz="0" w:space="0" w:color="auto"/>
          </w:divBdr>
        </w:div>
      </w:divsChild>
    </w:div>
    <w:div w:id="35395845">
      <w:bodyDiv w:val="1"/>
      <w:marLeft w:val="0"/>
      <w:marRight w:val="0"/>
      <w:marTop w:val="0"/>
      <w:marBottom w:val="0"/>
      <w:divBdr>
        <w:top w:val="none" w:sz="0" w:space="0" w:color="auto"/>
        <w:left w:val="none" w:sz="0" w:space="0" w:color="auto"/>
        <w:bottom w:val="none" w:sz="0" w:space="0" w:color="auto"/>
        <w:right w:val="none" w:sz="0" w:space="0" w:color="auto"/>
      </w:divBdr>
      <w:divsChild>
        <w:div w:id="1800108301">
          <w:marLeft w:val="0"/>
          <w:marRight w:val="0"/>
          <w:marTop w:val="0"/>
          <w:marBottom w:val="0"/>
          <w:divBdr>
            <w:top w:val="none" w:sz="0" w:space="0" w:color="auto"/>
            <w:left w:val="none" w:sz="0" w:space="0" w:color="auto"/>
            <w:bottom w:val="none" w:sz="0" w:space="0" w:color="auto"/>
            <w:right w:val="none" w:sz="0" w:space="0" w:color="auto"/>
          </w:divBdr>
        </w:div>
      </w:divsChild>
    </w:div>
    <w:div w:id="84765685">
      <w:bodyDiv w:val="1"/>
      <w:marLeft w:val="0"/>
      <w:marRight w:val="0"/>
      <w:marTop w:val="0"/>
      <w:marBottom w:val="0"/>
      <w:divBdr>
        <w:top w:val="none" w:sz="0" w:space="0" w:color="auto"/>
        <w:left w:val="none" w:sz="0" w:space="0" w:color="auto"/>
        <w:bottom w:val="none" w:sz="0" w:space="0" w:color="auto"/>
        <w:right w:val="none" w:sz="0" w:space="0" w:color="auto"/>
      </w:divBdr>
    </w:div>
    <w:div w:id="195428554">
      <w:bodyDiv w:val="1"/>
      <w:marLeft w:val="0"/>
      <w:marRight w:val="0"/>
      <w:marTop w:val="0"/>
      <w:marBottom w:val="0"/>
      <w:divBdr>
        <w:top w:val="none" w:sz="0" w:space="0" w:color="auto"/>
        <w:left w:val="none" w:sz="0" w:space="0" w:color="auto"/>
        <w:bottom w:val="none" w:sz="0" w:space="0" w:color="auto"/>
        <w:right w:val="none" w:sz="0" w:space="0" w:color="auto"/>
      </w:divBdr>
      <w:divsChild>
        <w:div w:id="1000700353">
          <w:marLeft w:val="0"/>
          <w:marRight w:val="0"/>
          <w:marTop w:val="0"/>
          <w:marBottom w:val="0"/>
          <w:divBdr>
            <w:top w:val="none" w:sz="0" w:space="0" w:color="auto"/>
            <w:left w:val="none" w:sz="0" w:space="0" w:color="auto"/>
            <w:bottom w:val="none" w:sz="0" w:space="0" w:color="auto"/>
            <w:right w:val="none" w:sz="0" w:space="0" w:color="auto"/>
          </w:divBdr>
        </w:div>
      </w:divsChild>
    </w:div>
    <w:div w:id="320623648">
      <w:bodyDiv w:val="1"/>
      <w:marLeft w:val="0"/>
      <w:marRight w:val="0"/>
      <w:marTop w:val="0"/>
      <w:marBottom w:val="0"/>
      <w:divBdr>
        <w:top w:val="none" w:sz="0" w:space="0" w:color="auto"/>
        <w:left w:val="none" w:sz="0" w:space="0" w:color="auto"/>
        <w:bottom w:val="none" w:sz="0" w:space="0" w:color="auto"/>
        <w:right w:val="none" w:sz="0" w:space="0" w:color="auto"/>
      </w:divBdr>
      <w:divsChild>
        <w:div w:id="1056851696">
          <w:marLeft w:val="0"/>
          <w:marRight w:val="0"/>
          <w:marTop w:val="0"/>
          <w:marBottom w:val="0"/>
          <w:divBdr>
            <w:top w:val="none" w:sz="0" w:space="0" w:color="auto"/>
            <w:left w:val="none" w:sz="0" w:space="0" w:color="auto"/>
            <w:bottom w:val="none" w:sz="0" w:space="0" w:color="auto"/>
            <w:right w:val="none" w:sz="0" w:space="0" w:color="auto"/>
          </w:divBdr>
        </w:div>
      </w:divsChild>
    </w:div>
    <w:div w:id="428088074">
      <w:bodyDiv w:val="1"/>
      <w:marLeft w:val="0"/>
      <w:marRight w:val="0"/>
      <w:marTop w:val="0"/>
      <w:marBottom w:val="0"/>
      <w:divBdr>
        <w:top w:val="none" w:sz="0" w:space="0" w:color="auto"/>
        <w:left w:val="none" w:sz="0" w:space="0" w:color="auto"/>
        <w:bottom w:val="none" w:sz="0" w:space="0" w:color="auto"/>
        <w:right w:val="none" w:sz="0" w:space="0" w:color="auto"/>
      </w:divBdr>
      <w:divsChild>
        <w:div w:id="2058313742">
          <w:marLeft w:val="0"/>
          <w:marRight w:val="0"/>
          <w:marTop w:val="0"/>
          <w:marBottom w:val="0"/>
          <w:divBdr>
            <w:top w:val="none" w:sz="0" w:space="0" w:color="auto"/>
            <w:left w:val="none" w:sz="0" w:space="0" w:color="auto"/>
            <w:bottom w:val="none" w:sz="0" w:space="0" w:color="auto"/>
            <w:right w:val="none" w:sz="0" w:space="0" w:color="auto"/>
          </w:divBdr>
        </w:div>
      </w:divsChild>
    </w:div>
    <w:div w:id="603804399">
      <w:bodyDiv w:val="1"/>
      <w:marLeft w:val="0"/>
      <w:marRight w:val="0"/>
      <w:marTop w:val="0"/>
      <w:marBottom w:val="0"/>
      <w:divBdr>
        <w:top w:val="none" w:sz="0" w:space="0" w:color="auto"/>
        <w:left w:val="none" w:sz="0" w:space="0" w:color="auto"/>
        <w:bottom w:val="none" w:sz="0" w:space="0" w:color="auto"/>
        <w:right w:val="none" w:sz="0" w:space="0" w:color="auto"/>
      </w:divBdr>
      <w:divsChild>
        <w:div w:id="1380206695">
          <w:marLeft w:val="0"/>
          <w:marRight w:val="0"/>
          <w:marTop w:val="0"/>
          <w:marBottom w:val="0"/>
          <w:divBdr>
            <w:top w:val="none" w:sz="0" w:space="0" w:color="auto"/>
            <w:left w:val="none" w:sz="0" w:space="0" w:color="auto"/>
            <w:bottom w:val="none" w:sz="0" w:space="0" w:color="auto"/>
            <w:right w:val="none" w:sz="0" w:space="0" w:color="auto"/>
          </w:divBdr>
        </w:div>
      </w:divsChild>
    </w:div>
    <w:div w:id="618420256">
      <w:bodyDiv w:val="1"/>
      <w:marLeft w:val="0"/>
      <w:marRight w:val="0"/>
      <w:marTop w:val="0"/>
      <w:marBottom w:val="0"/>
      <w:divBdr>
        <w:top w:val="none" w:sz="0" w:space="0" w:color="auto"/>
        <w:left w:val="none" w:sz="0" w:space="0" w:color="auto"/>
        <w:bottom w:val="none" w:sz="0" w:space="0" w:color="auto"/>
        <w:right w:val="none" w:sz="0" w:space="0" w:color="auto"/>
      </w:divBdr>
      <w:divsChild>
        <w:div w:id="1961447991">
          <w:marLeft w:val="0"/>
          <w:marRight w:val="0"/>
          <w:marTop w:val="0"/>
          <w:marBottom w:val="0"/>
          <w:divBdr>
            <w:top w:val="none" w:sz="0" w:space="0" w:color="auto"/>
            <w:left w:val="none" w:sz="0" w:space="0" w:color="auto"/>
            <w:bottom w:val="none" w:sz="0" w:space="0" w:color="auto"/>
            <w:right w:val="none" w:sz="0" w:space="0" w:color="auto"/>
          </w:divBdr>
        </w:div>
      </w:divsChild>
    </w:div>
    <w:div w:id="660163851">
      <w:bodyDiv w:val="1"/>
      <w:marLeft w:val="0"/>
      <w:marRight w:val="0"/>
      <w:marTop w:val="0"/>
      <w:marBottom w:val="0"/>
      <w:divBdr>
        <w:top w:val="none" w:sz="0" w:space="0" w:color="auto"/>
        <w:left w:val="none" w:sz="0" w:space="0" w:color="auto"/>
        <w:bottom w:val="none" w:sz="0" w:space="0" w:color="auto"/>
        <w:right w:val="none" w:sz="0" w:space="0" w:color="auto"/>
      </w:divBdr>
      <w:divsChild>
        <w:div w:id="2127312057">
          <w:marLeft w:val="0"/>
          <w:marRight w:val="0"/>
          <w:marTop w:val="0"/>
          <w:marBottom w:val="0"/>
          <w:divBdr>
            <w:top w:val="none" w:sz="0" w:space="0" w:color="auto"/>
            <w:left w:val="none" w:sz="0" w:space="0" w:color="auto"/>
            <w:bottom w:val="none" w:sz="0" w:space="0" w:color="auto"/>
            <w:right w:val="none" w:sz="0" w:space="0" w:color="auto"/>
          </w:divBdr>
        </w:div>
      </w:divsChild>
    </w:div>
    <w:div w:id="738400700">
      <w:bodyDiv w:val="1"/>
      <w:marLeft w:val="0"/>
      <w:marRight w:val="0"/>
      <w:marTop w:val="0"/>
      <w:marBottom w:val="0"/>
      <w:divBdr>
        <w:top w:val="none" w:sz="0" w:space="0" w:color="auto"/>
        <w:left w:val="none" w:sz="0" w:space="0" w:color="auto"/>
        <w:bottom w:val="none" w:sz="0" w:space="0" w:color="auto"/>
        <w:right w:val="none" w:sz="0" w:space="0" w:color="auto"/>
      </w:divBdr>
      <w:divsChild>
        <w:div w:id="1798332350">
          <w:marLeft w:val="0"/>
          <w:marRight w:val="0"/>
          <w:marTop w:val="0"/>
          <w:marBottom w:val="0"/>
          <w:divBdr>
            <w:top w:val="none" w:sz="0" w:space="0" w:color="auto"/>
            <w:left w:val="none" w:sz="0" w:space="0" w:color="auto"/>
            <w:bottom w:val="none" w:sz="0" w:space="0" w:color="auto"/>
            <w:right w:val="none" w:sz="0" w:space="0" w:color="auto"/>
          </w:divBdr>
        </w:div>
      </w:divsChild>
    </w:div>
    <w:div w:id="738747739">
      <w:bodyDiv w:val="1"/>
      <w:marLeft w:val="0"/>
      <w:marRight w:val="0"/>
      <w:marTop w:val="0"/>
      <w:marBottom w:val="0"/>
      <w:divBdr>
        <w:top w:val="none" w:sz="0" w:space="0" w:color="auto"/>
        <w:left w:val="none" w:sz="0" w:space="0" w:color="auto"/>
        <w:bottom w:val="none" w:sz="0" w:space="0" w:color="auto"/>
        <w:right w:val="none" w:sz="0" w:space="0" w:color="auto"/>
      </w:divBdr>
      <w:divsChild>
        <w:div w:id="1355500010">
          <w:marLeft w:val="0"/>
          <w:marRight w:val="0"/>
          <w:marTop w:val="0"/>
          <w:marBottom w:val="0"/>
          <w:divBdr>
            <w:top w:val="none" w:sz="0" w:space="0" w:color="auto"/>
            <w:left w:val="none" w:sz="0" w:space="0" w:color="auto"/>
            <w:bottom w:val="none" w:sz="0" w:space="0" w:color="auto"/>
            <w:right w:val="none" w:sz="0" w:space="0" w:color="auto"/>
          </w:divBdr>
        </w:div>
      </w:divsChild>
    </w:div>
    <w:div w:id="752093183">
      <w:bodyDiv w:val="1"/>
      <w:marLeft w:val="0"/>
      <w:marRight w:val="0"/>
      <w:marTop w:val="0"/>
      <w:marBottom w:val="0"/>
      <w:divBdr>
        <w:top w:val="none" w:sz="0" w:space="0" w:color="auto"/>
        <w:left w:val="none" w:sz="0" w:space="0" w:color="auto"/>
        <w:bottom w:val="none" w:sz="0" w:space="0" w:color="auto"/>
        <w:right w:val="none" w:sz="0" w:space="0" w:color="auto"/>
      </w:divBdr>
      <w:divsChild>
        <w:div w:id="1688286953">
          <w:marLeft w:val="0"/>
          <w:marRight w:val="0"/>
          <w:marTop w:val="0"/>
          <w:marBottom w:val="0"/>
          <w:divBdr>
            <w:top w:val="none" w:sz="0" w:space="0" w:color="auto"/>
            <w:left w:val="none" w:sz="0" w:space="0" w:color="auto"/>
            <w:bottom w:val="none" w:sz="0" w:space="0" w:color="auto"/>
            <w:right w:val="none" w:sz="0" w:space="0" w:color="auto"/>
          </w:divBdr>
        </w:div>
      </w:divsChild>
    </w:div>
    <w:div w:id="904606130">
      <w:bodyDiv w:val="1"/>
      <w:marLeft w:val="0"/>
      <w:marRight w:val="0"/>
      <w:marTop w:val="0"/>
      <w:marBottom w:val="0"/>
      <w:divBdr>
        <w:top w:val="none" w:sz="0" w:space="0" w:color="auto"/>
        <w:left w:val="none" w:sz="0" w:space="0" w:color="auto"/>
        <w:bottom w:val="none" w:sz="0" w:space="0" w:color="auto"/>
        <w:right w:val="none" w:sz="0" w:space="0" w:color="auto"/>
      </w:divBdr>
      <w:divsChild>
        <w:div w:id="616714107">
          <w:marLeft w:val="0"/>
          <w:marRight w:val="0"/>
          <w:marTop w:val="0"/>
          <w:marBottom w:val="0"/>
          <w:divBdr>
            <w:top w:val="none" w:sz="0" w:space="0" w:color="auto"/>
            <w:left w:val="none" w:sz="0" w:space="0" w:color="auto"/>
            <w:bottom w:val="none" w:sz="0" w:space="0" w:color="auto"/>
            <w:right w:val="none" w:sz="0" w:space="0" w:color="auto"/>
          </w:divBdr>
        </w:div>
      </w:divsChild>
    </w:div>
    <w:div w:id="1093627032">
      <w:bodyDiv w:val="1"/>
      <w:marLeft w:val="0"/>
      <w:marRight w:val="0"/>
      <w:marTop w:val="0"/>
      <w:marBottom w:val="0"/>
      <w:divBdr>
        <w:top w:val="none" w:sz="0" w:space="0" w:color="auto"/>
        <w:left w:val="none" w:sz="0" w:space="0" w:color="auto"/>
        <w:bottom w:val="none" w:sz="0" w:space="0" w:color="auto"/>
        <w:right w:val="none" w:sz="0" w:space="0" w:color="auto"/>
      </w:divBdr>
      <w:divsChild>
        <w:div w:id="1238982861">
          <w:marLeft w:val="0"/>
          <w:marRight w:val="0"/>
          <w:marTop w:val="0"/>
          <w:marBottom w:val="0"/>
          <w:divBdr>
            <w:top w:val="none" w:sz="0" w:space="0" w:color="auto"/>
            <w:left w:val="none" w:sz="0" w:space="0" w:color="auto"/>
            <w:bottom w:val="none" w:sz="0" w:space="0" w:color="auto"/>
            <w:right w:val="none" w:sz="0" w:space="0" w:color="auto"/>
          </w:divBdr>
        </w:div>
      </w:divsChild>
    </w:div>
    <w:div w:id="1118598178">
      <w:bodyDiv w:val="1"/>
      <w:marLeft w:val="0"/>
      <w:marRight w:val="0"/>
      <w:marTop w:val="0"/>
      <w:marBottom w:val="0"/>
      <w:divBdr>
        <w:top w:val="none" w:sz="0" w:space="0" w:color="auto"/>
        <w:left w:val="none" w:sz="0" w:space="0" w:color="auto"/>
        <w:bottom w:val="none" w:sz="0" w:space="0" w:color="auto"/>
        <w:right w:val="none" w:sz="0" w:space="0" w:color="auto"/>
      </w:divBdr>
      <w:divsChild>
        <w:div w:id="1698265248">
          <w:marLeft w:val="0"/>
          <w:marRight w:val="0"/>
          <w:marTop w:val="0"/>
          <w:marBottom w:val="0"/>
          <w:divBdr>
            <w:top w:val="none" w:sz="0" w:space="0" w:color="auto"/>
            <w:left w:val="none" w:sz="0" w:space="0" w:color="auto"/>
            <w:bottom w:val="none" w:sz="0" w:space="0" w:color="auto"/>
            <w:right w:val="none" w:sz="0" w:space="0" w:color="auto"/>
          </w:divBdr>
        </w:div>
      </w:divsChild>
    </w:div>
    <w:div w:id="1143153843">
      <w:bodyDiv w:val="1"/>
      <w:marLeft w:val="0"/>
      <w:marRight w:val="0"/>
      <w:marTop w:val="0"/>
      <w:marBottom w:val="0"/>
      <w:divBdr>
        <w:top w:val="none" w:sz="0" w:space="0" w:color="auto"/>
        <w:left w:val="none" w:sz="0" w:space="0" w:color="auto"/>
        <w:bottom w:val="none" w:sz="0" w:space="0" w:color="auto"/>
        <w:right w:val="none" w:sz="0" w:space="0" w:color="auto"/>
      </w:divBdr>
      <w:divsChild>
        <w:div w:id="343166556">
          <w:marLeft w:val="0"/>
          <w:marRight w:val="0"/>
          <w:marTop w:val="0"/>
          <w:marBottom w:val="0"/>
          <w:divBdr>
            <w:top w:val="none" w:sz="0" w:space="0" w:color="auto"/>
            <w:left w:val="none" w:sz="0" w:space="0" w:color="auto"/>
            <w:bottom w:val="none" w:sz="0" w:space="0" w:color="auto"/>
            <w:right w:val="none" w:sz="0" w:space="0" w:color="auto"/>
          </w:divBdr>
        </w:div>
      </w:divsChild>
    </w:div>
    <w:div w:id="1190920825">
      <w:bodyDiv w:val="1"/>
      <w:marLeft w:val="0"/>
      <w:marRight w:val="0"/>
      <w:marTop w:val="0"/>
      <w:marBottom w:val="0"/>
      <w:divBdr>
        <w:top w:val="none" w:sz="0" w:space="0" w:color="auto"/>
        <w:left w:val="none" w:sz="0" w:space="0" w:color="auto"/>
        <w:bottom w:val="none" w:sz="0" w:space="0" w:color="auto"/>
        <w:right w:val="none" w:sz="0" w:space="0" w:color="auto"/>
      </w:divBdr>
      <w:divsChild>
        <w:div w:id="78911908">
          <w:marLeft w:val="0"/>
          <w:marRight w:val="0"/>
          <w:marTop w:val="0"/>
          <w:marBottom w:val="0"/>
          <w:divBdr>
            <w:top w:val="none" w:sz="0" w:space="0" w:color="auto"/>
            <w:left w:val="none" w:sz="0" w:space="0" w:color="auto"/>
            <w:bottom w:val="none" w:sz="0" w:space="0" w:color="auto"/>
            <w:right w:val="none" w:sz="0" w:space="0" w:color="auto"/>
          </w:divBdr>
        </w:div>
      </w:divsChild>
    </w:div>
    <w:div w:id="1307666445">
      <w:bodyDiv w:val="1"/>
      <w:marLeft w:val="0"/>
      <w:marRight w:val="0"/>
      <w:marTop w:val="0"/>
      <w:marBottom w:val="0"/>
      <w:divBdr>
        <w:top w:val="none" w:sz="0" w:space="0" w:color="auto"/>
        <w:left w:val="none" w:sz="0" w:space="0" w:color="auto"/>
        <w:bottom w:val="none" w:sz="0" w:space="0" w:color="auto"/>
        <w:right w:val="none" w:sz="0" w:space="0" w:color="auto"/>
      </w:divBdr>
      <w:divsChild>
        <w:div w:id="212354855">
          <w:marLeft w:val="0"/>
          <w:marRight w:val="0"/>
          <w:marTop w:val="0"/>
          <w:marBottom w:val="0"/>
          <w:divBdr>
            <w:top w:val="none" w:sz="0" w:space="0" w:color="auto"/>
            <w:left w:val="none" w:sz="0" w:space="0" w:color="auto"/>
            <w:bottom w:val="none" w:sz="0" w:space="0" w:color="auto"/>
            <w:right w:val="none" w:sz="0" w:space="0" w:color="auto"/>
          </w:divBdr>
        </w:div>
      </w:divsChild>
    </w:div>
    <w:div w:id="1344163819">
      <w:bodyDiv w:val="1"/>
      <w:marLeft w:val="0"/>
      <w:marRight w:val="0"/>
      <w:marTop w:val="0"/>
      <w:marBottom w:val="0"/>
      <w:divBdr>
        <w:top w:val="none" w:sz="0" w:space="0" w:color="auto"/>
        <w:left w:val="none" w:sz="0" w:space="0" w:color="auto"/>
        <w:bottom w:val="none" w:sz="0" w:space="0" w:color="auto"/>
        <w:right w:val="none" w:sz="0" w:space="0" w:color="auto"/>
      </w:divBdr>
      <w:divsChild>
        <w:div w:id="1708525013">
          <w:marLeft w:val="0"/>
          <w:marRight w:val="0"/>
          <w:marTop w:val="0"/>
          <w:marBottom w:val="0"/>
          <w:divBdr>
            <w:top w:val="none" w:sz="0" w:space="0" w:color="auto"/>
            <w:left w:val="none" w:sz="0" w:space="0" w:color="auto"/>
            <w:bottom w:val="none" w:sz="0" w:space="0" w:color="auto"/>
            <w:right w:val="none" w:sz="0" w:space="0" w:color="auto"/>
          </w:divBdr>
        </w:div>
      </w:divsChild>
    </w:div>
    <w:div w:id="1573353514">
      <w:bodyDiv w:val="1"/>
      <w:marLeft w:val="0"/>
      <w:marRight w:val="0"/>
      <w:marTop w:val="0"/>
      <w:marBottom w:val="0"/>
      <w:divBdr>
        <w:top w:val="none" w:sz="0" w:space="0" w:color="auto"/>
        <w:left w:val="none" w:sz="0" w:space="0" w:color="auto"/>
        <w:bottom w:val="none" w:sz="0" w:space="0" w:color="auto"/>
        <w:right w:val="none" w:sz="0" w:space="0" w:color="auto"/>
      </w:divBdr>
      <w:divsChild>
        <w:div w:id="1247230786">
          <w:marLeft w:val="0"/>
          <w:marRight w:val="0"/>
          <w:marTop w:val="0"/>
          <w:marBottom w:val="0"/>
          <w:divBdr>
            <w:top w:val="none" w:sz="0" w:space="0" w:color="auto"/>
            <w:left w:val="none" w:sz="0" w:space="0" w:color="auto"/>
            <w:bottom w:val="none" w:sz="0" w:space="0" w:color="auto"/>
            <w:right w:val="none" w:sz="0" w:space="0" w:color="auto"/>
          </w:divBdr>
        </w:div>
      </w:divsChild>
    </w:div>
    <w:div w:id="1683818251">
      <w:bodyDiv w:val="1"/>
      <w:marLeft w:val="0"/>
      <w:marRight w:val="0"/>
      <w:marTop w:val="0"/>
      <w:marBottom w:val="0"/>
      <w:divBdr>
        <w:top w:val="none" w:sz="0" w:space="0" w:color="auto"/>
        <w:left w:val="none" w:sz="0" w:space="0" w:color="auto"/>
        <w:bottom w:val="none" w:sz="0" w:space="0" w:color="auto"/>
        <w:right w:val="none" w:sz="0" w:space="0" w:color="auto"/>
      </w:divBdr>
      <w:divsChild>
        <w:div w:id="499542766">
          <w:marLeft w:val="0"/>
          <w:marRight w:val="0"/>
          <w:marTop w:val="0"/>
          <w:marBottom w:val="0"/>
          <w:divBdr>
            <w:top w:val="none" w:sz="0" w:space="0" w:color="auto"/>
            <w:left w:val="none" w:sz="0" w:space="0" w:color="auto"/>
            <w:bottom w:val="none" w:sz="0" w:space="0" w:color="auto"/>
            <w:right w:val="none" w:sz="0" w:space="0" w:color="auto"/>
          </w:divBdr>
        </w:div>
      </w:divsChild>
    </w:div>
    <w:div w:id="1716156278">
      <w:bodyDiv w:val="1"/>
      <w:marLeft w:val="0"/>
      <w:marRight w:val="0"/>
      <w:marTop w:val="0"/>
      <w:marBottom w:val="0"/>
      <w:divBdr>
        <w:top w:val="none" w:sz="0" w:space="0" w:color="auto"/>
        <w:left w:val="none" w:sz="0" w:space="0" w:color="auto"/>
        <w:bottom w:val="none" w:sz="0" w:space="0" w:color="auto"/>
        <w:right w:val="none" w:sz="0" w:space="0" w:color="auto"/>
      </w:divBdr>
    </w:div>
    <w:div w:id="1807553340">
      <w:bodyDiv w:val="1"/>
      <w:marLeft w:val="0"/>
      <w:marRight w:val="0"/>
      <w:marTop w:val="0"/>
      <w:marBottom w:val="0"/>
      <w:divBdr>
        <w:top w:val="none" w:sz="0" w:space="0" w:color="auto"/>
        <w:left w:val="none" w:sz="0" w:space="0" w:color="auto"/>
        <w:bottom w:val="none" w:sz="0" w:space="0" w:color="auto"/>
        <w:right w:val="none" w:sz="0" w:space="0" w:color="auto"/>
      </w:divBdr>
      <w:divsChild>
        <w:div w:id="435759840">
          <w:marLeft w:val="0"/>
          <w:marRight w:val="0"/>
          <w:marTop w:val="0"/>
          <w:marBottom w:val="0"/>
          <w:divBdr>
            <w:top w:val="none" w:sz="0" w:space="0" w:color="auto"/>
            <w:left w:val="none" w:sz="0" w:space="0" w:color="auto"/>
            <w:bottom w:val="none" w:sz="0" w:space="0" w:color="auto"/>
            <w:right w:val="none" w:sz="0" w:space="0" w:color="auto"/>
          </w:divBdr>
        </w:div>
      </w:divsChild>
    </w:div>
    <w:div w:id="1810367109">
      <w:bodyDiv w:val="1"/>
      <w:marLeft w:val="0"/>
      <w:marRight w:val="0"/>
      <w:marTop w:val="0"/>
      <w:marBottom w:val="0"/>
      <w:divBdr>
        <w:top w:val="none" w:sz="0" w:space="0" w:color="auto"/>
        <w:left w:val="none" w:sz="0" w:space="0" w:color="auto"/>
        <w:bottom w:val="none" w:sz="0" w:space="0" w:color="auto"/>
        <w:right w:val="none" w:sz="0" w:space="0" w:color="auto"/>
      </w:divBdr>
      <w:divsChild>
        <w:div w:id="1025449211">
          <w:marLeft w:val="0"/>
          <w:marRight w:val="0"/>
          <w:marTop w:val="0"/>
          <w:marBottom w:val="0"/>
          <w:divBdr>
            <w:top w:val="none" w:sz="0" w:space="0" w:color="auto"/>
            <w:left w:val="none" w:sz="0" w:space="0" w:color="auto"/>
            <w:bottom w:val="none" w:sz="0" w:space="0" w:color="auto"/>
            <w:right w:val="none" w:sz="0" w:space="0" w:color="auto"/>
          </w:divBdr>
        </w:div>
      </w:divsChild>
    </w:div>
    <w:div w:id="1909460560">
      <w:bodyDiv w:val="1"/>
      <w:marLeft w:val="0"/>
      <w:marRight w:val="0"/>
      <w:marTop w:val="0"/>
      <w:marBottom w:val="0"/>
      <w:divBdr>
        <w:top w:val="none" w:sz="0" w:space="0" w:color="auto"/>
        <w:left w:val="none" w:sz="0" w:space="0" w:color="auto"/>
        <w:bottom w:val="none" w:sz="0" w:space="0" w:color="auto"/>
        <w:right w:val="none" w:sz="0" w:space="0" w:color="auto"/>
      </w:divBdr>
      <w:divsChild>
        <w:div w:id="222760100">
          <w:marLeft w:val="0"/>
          <w:marRight w:val="0"/>
          <w:marTop w:val="0"/>
          <w:marBottom w:val="0"/>
          <w:divBdr>
            <w:top w:val="none" w:sz="0" w:space="0" w:color="auto"/>
            <w:left w:val="none" w:sz="0" w:space="0" w:color="auto"/>
            <w:bottom w:val="none" w:sz="0" w:space="0" w:color="auto"/>
            <w:right w:val="none" w:sz="0" w:space="0" w:color="auto"/>
          </w:divBdr>
        </w:div>
      </w:divsChild>
    </w:div>
    <w:div w:id="1922327459">
      <w:bodyDiv w:val="1"/>
      <w:marLeft w:val="0"/>
      <w:marRight w:val="0"/>
      <w:marTop w:val="0"/>
      <w:marBottom w:val="0"/>
      <w:divBdr>
        <w:top w:val="none" w:sz="0" w:space="0" w:color="auto"/>
        <w:left w:val="none" w:sz="0" w:space="0" w:color="auto"/>
        <w:bottom w:val="none" w:sz="0" w:space="0" w:color="auto"/>
        <w:right w:val="none" w:sz="0" w:space="0" w:color="auto"/>
      </w:divBdr>
      <w:divsChild>
        <w:div w:id="134957781">
          <w:marLeft w:val="0"/>
          <w:marRight w:val="0"/>
          <w:marTop w:val="0"/>
          <w:marBottom w:val="0"/>
          <w:divBdr>
            <w:top w:val="none" w:sz="0" w:space="0" w:color="auto"/>
            <w:left w:val="none" w:sz="0" w:space="0" w:color="auto"/>
            <w:bottom w:val="none" w:sz="0" w:space="0" w:color="auto"/>
            <w:right w:val="none" w:sz="0" w:space="0" w:color="auto"/>
          </w:divBdr>
        </w:div>
      </w:divsChild>
    </w:div>
    <w:div w:id="2045788705">
      <w:bodyDiv w:val="1"/>
      <w:marLeft w:val="0"/>
      <w:marRight w:val="0"/>
      <w:marTop w:val="0"/>
      <w:marBottom w:val="0"/>
      <w:divBdr>
        <w:top w:val="none" w:sz="0" w:space="0" w:color="auto"/>
        <w:left w:val="none" w:sz="0" w:space="0" w:color="auto"/>
        <w:bottom w:val="none" w:sz="0" w:space="0" w:color="auto"/>
        <w:right w:val="none" w:sz="0" w:space="0" w:color="auto"/>
      </w:divBdr>
      <w:divsChild>
        <w:div w:id="1734354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cusandread.com/9-multisensory-strategies-for-dyslexic-readers" TargetMode="External"/><Relationship Id="rId13" Type="http://schemas.openxmlformats.org/officeDocument/2006/relationships/hyperlink" Target="https://www.darwynhealth.com/child-health/child-development/childhood-learning-and-communication-disorders/dyslexia-in-children/dyslexia-interventions-for-children-effective-techniques-and-programs/?lang=en" TargetMode="External"/><Relationship Id="rId18" Type="http://schemas.openxmlformats.org/officeDocument/2006/relationships/hyperlink" Target="https://www.readingrockets.org/topics/curriculum-and-instruction/articles/phonics-instruction-value-multi-sensory-approach"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start-teaching.com/why-it-is-important-to-identify-and-meet-the-individual-needs-of-learners/?form=MG0AV3" TargetMode="External"/><Relationship Id="rId7" Type="http://schemas.openxmlformats.org/officeDocument/2006/relationships/image" Target="media/image2.jpeg"/><Relationship Id="rId12" Type="http://schemas.openxmlformats.org/officeDocument/2006/relationships/hyperlink" Target="https://www.gov.uk/government/publications/uk-nsc-commercial-screening-test-considerations/nhs-and-commercial-health-screening-tests-important-c" TargetMode="External"/><Relationship Id="rId17" Type="http://schemas.openxmlformats.org/officeDocument/2006/relationships/hyperlink" Target="https://www.oakabooks.co.uk/product/multi-sensory-teaching-toolkit/"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senmagazine.co.uk/content/specific-needs/dyslexia-spld/329/dyslexia-the-rose-report/" TargetMode="External"/><Relationship Id="rId20" Type="http://schemas.openxmlformats.org/officeDocument/2006/relationships/hyperlink" Target="https://senmagazine.co.uk/content/specific-needs/dyslexia-spld/329/dyslexia-the-rose-report/"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estyn.gov.wales/document/screening-dyslexia" TargetMode="External"/><Relationship Id="rId24" Type="http://schemas.openxmlformats.org/officeDocument/2006/relationships/hyperlink" Target="https://unesdoc.unesco.org/ark:/48223/pf0000370931" TargetMode="External"/><Relationship Id="rId5" Type="http://schemas.openxmlformats.org/officeDocument/2006/relationships/endnotes" Target="endnotes.xml"/><Relationship Id="rId15" Type="http://schemas.openxmlformats.org/officeDocument/2006/relationships/hyperlink" Target="https://senmagazine.co.uk/content/specific-needs/dyslexia-spld/329/dyslexia-the-rose-report/" TargetMode="External"/><Relationship Id="rId23" Type="http://schemas.openxmlformats.org/officeDocument/2006/relationships/hyperlink" Target="https://www.bdadyslexia.org.uk/dyslexia/style-guide-2014" TargetMode="External"/><Relationship Id="rId10" Type="http://schemas.openxmlformats.org/officeDocument/2006/relationships/hyperlink" Target="https://senmagazine.co.uk/content/specific-needs/dyslexia-spld/329/dyslexia-the-rose-report/" TargetMode="External"/><Relationship Id="rId19" Type="http://schemas.openxmlformats.org/officeDocument/2006/relationships/hyperlink" Target="https://www.bdadyslexia.org.uk/dyslexia/screening" TargetMode="External"/><Relationship Id="rId4" Type="http://schemas.openxmlformats.org/officeDocument/2006/relationships/footnotes" Target="footnotes.xml"/><Relationship Id="rId9" Type="http://schemas.openxmlformats.org/officeDocument/2006/relationships/hyperlink" Target="https://senmagazine.co.uk/content/specific-needs/dyslexia-spld/329/dyslexia-the-rose-report/" TargetMode="External"/><Relationship Id="rId14" Type="http://schemas.openxmlformats.org/officeDocument/2006/relationships/hyperlink" Target="https://learningmole.com/the-benefits-of-multisensory-teaching-methods/" TargetMode="External"/><Relationship Id="rId22" Type="http://schemas.openxmlformats.org/officeDocument/2006/relationships/hyperlink" Target="https://talkwell2writewell.co.uk/empowering-children-with-dyslexia-a-multisensory-learning-appr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359</Words>
  <Characters>3854</Characters>
  <Application>Microsoft Office Word</Application>
  <DocSecurity>0</DocSecurity>
  <Lines>61</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Aleisha Camille Johnson</dc:creator>
  <cp:keywords/>
  <dc:description/>
  <cp:lastModifiedBy>Aleisha Camille Johnson</cp:lastModifiedBy>
  <cp:revision>1</cp:revision>
  <dcterms:created xsi:type="dcterms:W3CDTF">2025-01-15T21:59:00Z</dcterms:created>
  <dcterms:modified xsi:type="dcterms:W3CDTF">2025-01-15T23:03:00Z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667ae158-7adf-4d73-8679-e85845e1df39</vt:lpwstr>
  </property>
</Properties>
</file>