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394E" w14:textId="75DB5EE0" w:rsidR="00AE459B" w:rsidRDefault="00AE459B" w:rsidP="00AE459B">
      <w:pPr>
        <w:spacing w:line="360" w:lineRule="auto"/>
        <w:rPr>
          <w:sz w:val="24"/>
          <w:szCs w:val="24"/>
          <w:u w:val="single"/>
        </w:rPr>
      </w:pPr>
      <w:r w:rsidRPr="00E06211">
        <w:rPr>
          <w:sz w:val="24"/>
          <w:szCs w:val="24"/>
          <w:u w:val="single"/>
        </w:rPr>
        <w:t>Question 1: How might the Code of Ethics help to reduce incidences of professional misconduct and increase public confidence in the police?</w:t>
      </w:r>
    </w:p>
    <w:p w14:paraId="39BF45EB" w14:textId="77777777" w:rsidR="00AE459B" w:rsidRPr="00E06211" w:rsidRDefault="00AE459B" w:rsidP="00AE459B">
      <w:pPr>
        <w:spacing w:line="360" w:lineRule="auto"/>
        <w:rPr>
          <w:sz w:val="24"/>
          <w:szCs w:val="24"/>
          <w:u w:val="single"/>
        </w:rPr>
      </w:pPr>
    </w:p>
    <w:p w14:paraId="79EA2761" w14:textId="77777777" w:rsidR="00AE459B" w:rsidRPr="00E06211" w:rsidRDefault="00AE459B" w:rsidP="00AE459B">
      <w:pPr>
        <w:spacing w:line="360" w:lineRule="auto"/>
        <w:rPr>
          <w:sz w:val="24"/>
          <w:szCs w:val="24"/>
        </w:rPr>
      </w:pPr>
      <w:r w:rsidRPr="00E06211">
        <w:rPr>
          <w:sz w:val="24"/>
          <w:szCs w:val="24"/>
        </w:rPr>
        <w:t>Professional misconduct within police forces can have serious and profound consequences, leading to the erosion of public trust and undermining the integrity of the police. The Code of Ethics (College of Policing, 2014) forms a crucial part of solidifying public confidence in police officers and providing a framework for ethical behaviour of police officers. This essay aims to explore the ways in which the Code of Ethics has contributed to the reduction of professional misconduct and is a useful tool in fostering increased public confidence.</w:t>
      </w:r>
    </w:p>
    <w:p w14:paraId="26F59A5E" w14:textId="77777777" w:rsidR="00AE459B" w:rsidRPr="00E06211" w:rsidRDefault="00AE459B" w:rsidP="00AE459B">
      <w:pPr>
        <w:spacing w:line="360" w:lineRule="auto"/>
        <w:rPr>
          <w:sz w:val="24"/>
          <w:szCs w:val="24"/>
        </w:rPr>
      </w:pPr>
      <w:r w:rsidRPr="00E06211">
        <w:rPr>
          <w:sz w:val="24"/>
          <w:szCs w:val="24"/>
        </w:rPr>
        <w:t xml:space="preserve">The Code of Ethics outlines the standards and principles that police officers </w:t>
      </w:r>
      <w:proofErr w:type="gramStart"/>
      <w:r w:rsidRPr="00E06211">
        <w:rPr>
          <w:sz w:val="24"/>
          <w:szCs w:val="24"/>
        </w:rPr>
        <w:t>are expected</w:t>
      </w:r>
      <w:proofErr w:type="gramEnd"/>
      <w:r w:rsidRPr="00E06211">
        <w:rPr>
          <w:sz w:val="24"/>
          <w:szCs w:val="24"/>
        </w:rPr>
        <w:t xml:space="preserve"> to uphold. This framework offers clarity to officers to better understand what </w:t>
      </w:r>
      <w:proofErr w:type="gramStart"/>
      <w:r w:rsidRPr="00E06211">
        <w:rPr>
          <w:sz w:val="24"/>
          <w:szCs w:val="24"/>
        </w:rPr>
        <w:t>is expected</w:t>
      </w:r>
      <w:proofErr w:type="gramEnd"/>
      <w:r w:rsidRPr="00E06211">
        <w:rPr>
          <w:sz w:val="24"/>
          <w:szCs w:val="24"/>
        </w:rPr>
        <w:t xml:space="preserve"> of them in terms of ethical conduct. Not only does it encourage officers to do the right thing, but also encourages them to be confident in challenging colleagues who fall short of such standards (College of Policing, 2023).</w:t>
      </w:r>
    </w:p>
    <w:p w14:paraId="372FD1CE" w14:textId="77777777" w:rsidR="00AE459B" w:rsidRPr="00E06211" w:rsidRDefault="00AE459B" w:rsidP="00AE459B">
      <w:pPr>
        <w:spacing w:line="360" w:lineRule="auto"/>
        <w:rPr>
          <w:sz w:val="24"/>
          <w:szCs w:val="24"/>
        </w:rPr>
      </w:pPr>
      <w:r w:rsidRPr="00E06211">
        <w:rPr>
          <w:sz w:val="24"/>
          <w:szCs w:val="24"/>
        </w:rPr>
        <w:t xml:space="preserve">Ivkovic et al (2022) expounded at length upon the notion of the police code of silence, also known as the “blue curtain”, which they defined as “the informal prohibition of reporting misconduct by fellow police officers”. It is an American publication, but the conclusions it draws can be applied across any </w:t>
      </w:r>
      <w:proofErr w:type="gramStart"/>
      <w:r w:rsidRPr="00E06211">
        <w:rPr>
          <w:sz w:val="24"/>
          <w:szCs w:val="24"/>
        </w:rPr>
        <w:t>jurisdiction</w:t>
      </w:r>
      <w:proofErr w:type="gramEnd"/>
      <w:r w:rsidRPr="00E06211">
        <w:rPr>
          <w:sz w:val="24"/>
          <w:szCs w:val="24"/>
        </w:rPr>
        <w:t xml:space="preserve"> of law enforcement. It suggests that police recruits are socialised into police culture and “taught that they can only rely on their fellow officers</w:t>
      </w:r>
      <w:proofErr w:type="gramStart"/>
      <w:r w:rsidRPr="00E06211">
        <w:rPr>
          <w:sz w:val="24"/>
          <w:szCs w:val="24"/>
        </w:rPr>
        <w:t>”,</w:t>
      </w:r>
      <w:proofErr w:type="gramEnd"/>
      <w:r w:rsidRPr="00E06211">
        <w:rPr>
          <w:sz w:val="24"/>
          <w:szCs w:val="24"/>
        </w:rPr>
        <w:t xml:space="preserve"> with the code of silence being a mechanism for acquiring this trust. The Code of Ethics in the UK, however, </w:t>
      </w:r>
      <w:proofErr w:type="gramStart"/>
      <w:r w:rsidRPr="00E06211">
        <w:rPr>
          <w:sz w:val="24"/>
          <w:szCs w:val="24"/>
        </w:rPr>
        <w:t>are instilled</w:t>
      </w:r>
      <w:proofErr w:type="gramEnd"/>
      <w:r w:rsidRPr="00E06211">
        <w:rPr>
          <w:sz w:val="24"/>
          <w:szCs w:val="24"/>
        </w:rPr>
        <w:t xml:space="preserve"> from the beginning of an officer’s training, and create a shield to protect against any pressure to maintain silence.</w:t>
      </w:r>
    </w:p>
    <w:p w14:paraId="40909484" w14:textId="77777777" w:rsidR="00AE459B" w:rsidRPr="00E06211" w:rsidRDefault="00AE459B" w:rsidP="00AE459B">
      <w:pPr>
        <w:spacing w:line="360" w:lineRule="auto"/>
        <w:rPr>
          <w:sz w:val="24"/>
          <w:szCs w:val="24"/>
        </w:rPr>
      </w:pPr>
      <w:r w:rsidRPr="00E06211">
        <w:rPr>
          <w:sz w:val="24"/>
          <w:szCs w:val="24"/>
        </w:rPr>
        <w:t xml:space="preserve">Accountability is a key component of reducing professional misconduct. In the UK, accountability of police officers </w:t>
      </w:r>
      <w:proofErr w:type="gramStart"/>
      <w:r w:rsidRPr="00E06211">
        <w:rPr>
          <w:sz w:val="24"/>
          <w:szCs w:val="24"/>
        </w:rPr>
        <w:t>is enforced</w:t>
      </w:r>
      <w:proofErr w:type="gramEnd"/>
      <w:r w:rsidRPr="00E06211">
        <w:rPr>
          <w:sz w:val="24"/>
          <w:szCs w:val="24"/>
        </w:rPr>
        <w:t xml:space="preserve"> through oversight bodies such as the Independent Office for Police Conduct (IOPC), which investigates complaints and allegations of misconduct against the police. The independence of this oversight body is important in public perception of accountability. Although a majority of the public (64%) think the IOPC is completely or </w:t>
      </w:r>
      <w:proofErr w:type="gramStart"/>
      <w:r w:rsidRPr="00E06211">
        <w:rPr>
          <w:sz w:val="24"/>
          <w:szCs w:val="24"/>
        </w:rPr>
        <w:t>somewhat independent</w:t>
      </w:r>
      <w:proofErr w:type="gramEnd"/>
      <w:r w:rsidRPr="00E06211">
        <w:rPr>
          <w:sz w:val="24"/>
          <w:szCs w:val="24"/>
        </w:rPr>
        <w:t xml:space="preserve"> of the police, only 66% of the public have heard of the IOPC, and 74% of respondents felt unable to say anything about what the IOPC did </w:t>
      </w:r>
      <w:r w:rsidRPr="00E06211">
        <w:rPr>
          <w:sz w:val="24"/>
          <w:szCs w:val="24"/>
        </w:rPr>
        <w:lastRenderedPageBreak/>
        <w:t xml:space="preserve">(IOPC, 2023). This implies there is still </w:t>
      </w:r>
      <w:proofErr w:type="gramStart"/>
      <w:r w:rsidRPr="00E06211">
        <w:rPr>
          <w:sz w:val="24"/>
          <w:szCs w:val="24"/>
        </w:rPr>
        <w:t>a lot</w:t>
      </w:r>
      <w:proofErr w:type="gramEnd"/>
      <w:r w:rsidRPr="00E06211">
        <w:rPr>
          <w:sz w:val="24"/>
          <w:szCs w:val="24"/>
        </w:rPr>
        <w:t xml:space="preserve"> more effort that can be made to improve public confidence in how the police are investigated for misconduct.</w:t>
      </w:r>
    </w:p>
    <w:p w14:paraId="059E6D24" w14:textId="77777777" w:rsidR="00AE459B" w:rsidRPr="00E06211" w:rsidRDefault="00AE459B" w:rsidP="00AE459B">
      <w:pPr>
        <w:spacing w:line="360" w:lineRule="auto"/>
        <w:rPr>
          <w:sz w:val="24"/>
          <w:szCs w:val="24"/>
        </w:rPr>
      </w:pPr>
      <w:r w:rsidRPr="00E06211">
        <w:rPr>
          <w:sz w:val="24"/>
          <w:szCs w:val="24"/>
        </w:rPr>
        <w:t>Not only does the Code of Ethics get applied effectively to police officers at work, but it is also an effective tool at the pre-assessment and intra-assessment stage for “weeding out corruption and extremist views</w:t>
      </w:r>
      <w:proofErr w:type="gramStart"/>
      <w:r w:rsidRPr="00E06211">
        <w:rPr>
          <w:sz w:val="24"/>
          <w:szCs w:val="24"/>
        </w:rPr>
        <w:t>”,</w:t>
      </w:r>
      <w:proofErr w:type="gramEnd"/>
      <w:r w:rsidRPr="00E06211">
        <w:rPr>
          <w:sz w:val="24"/>
          <w:szCs w:val="24"/>
        </w:rPr>
        <w:t xml:space="preserve"> with the ethics framework being firmly embedded in the assessment process (Lewis, 2022). One could argue that the Code of Ethics, then, is not just behavioural policy for working police officers, but an effective filter at the recruitment stage.</w:t>
      </w:r>
    </w:p>
    <w:p w14:paraId="29CDA1BF" w14:textId="77777777" w:rsidR="00AE459B" w:rsidRPr="00E06211" w:rsidRDefault="00AE459B" w:rsidP="00AE459B">
      <w:pPr>
        <w:spacing w:line="360" w:lineRule="auto"/>
        <w:rPr>
          <w:sz w:val="24"/>
          <w:szCs w:val="24"/>
        </w:rPr>
      </w:pPr>
      <w:r w:rsidRPr="00E06211">
        <w:rPr>
          <w:sz w:val="24"/>
          <w:szCs w:val="24"/>
        </w:rPr>
        <w:t xml:space="preserve">Ethical codes encourage continuous professional development and self-improvement among police officers. Regular training on ethical principles helps officers to navigate complex situations and make ethical decisions. However, Honess (2016) published a thesis on the mandatory delivery of ongoing training within the forces of England and Wales, suggesting that actually the current style of mandatory provision was detrimental to learning, as it did not take the principle of self-motivation into account, and the detriment was in fact exacerbated by e-learning. It would seem there is a balance that should be struck between mandatory provision and encouragement of </w:t>
      </w:r>
      <w:proofErr w:type="gramStart"/>
      <w:r w:rsidRPr="00E06211">
        <w:rPr>
          <w:sz w:val="24"/>
          <w:szCs w:val="24"/>
        </w:rPr>
        <w:t>self-motivated</w:t>
      </w:r>
      <w:proofErr w:type="gramEnd"/>
      <w:r w:rsidRPr="00E06211">
        <w:rPr>
          <w:sz w:val="24"/>
          <w:szCs w:val="24"/>
        </w:rPr>
        <w:t xml:space="preserve"> development.</w:t>
      </w:r>
    </w:p>
    <w:p w14:paraId="50C2E18B" w14:textId="77777777" w:rsidR="00AE459B" w:rsidRPr="00E06211" w:rsidRDefault="00AE459B" w:rsidP="00AE459B">
      <w:pPr>
        <w:spacing w:line="360" w:lineRule="auto"/>
        <w:rPr>
          <w:sz w:val="24"/>
          <w:szCs w:val="24"/>
        </w:rPr>
      </w:pPr>
      <w:r w:rsidRPr="00E06211">
        <w:rPr>
          <w:sz w:val="24"/>
          <w:szCs w:val="24"/>
        </w:rPr>
        <w:t>An interesting field experiment by the Centre for the Study of African Economies (Harris, et al., 2022) was conducted in Ghana, in which randomly selected officers participated in a training program specifically designed to “re-activate intrinsic motivations to serve the public, and to create a new shared identity… aimed at inducing a collective shift in attitudes and behaviours”. Results showed marked improvement in attitudes towards citizens, and the selected officers showed a lowered “propensity to act unethically</w:t>
      </w:r>
      <w:proofErr w:type="gramStart"/>
      <w:r w:rsidRPr="00E06211">
        <w:rPr>
          <w:sz w:val="24"/>
          <w:szCs w:val="24"/>
        </w:rPr>
        <w:t>”.</w:t>
      </w:r>
      <w:proofErr w:type="gramEnd"/>
    </w:p>
    <w:p w14:paraId="5F53846F" w14:textId="77777777" w:rsidR="00AE459B" w:rsidRPr="00E06211" w:rsidRDefault="00AE459B" w:rsidP="00AE459B">
      <w:pPr>
        <w:spacing w:line="360" w:lineRule="auto"/>
        <w:rPr>
          <w:sz w:val="24"/>
          <w:szCs w:val="24"/>
        </w:rPr>
      </w:pPr>
      <w:r w:rsidRPr="00E06211">
        <w:rPr>
          <w:sz w:val="24"/>
          <w:szCs w:val="24"/>
        </w:rPr>
        <w:t xml:space="preserve">A crucial aspect of gathering public confidence in the adherence to, or importance placed on, the Code of Ethics is the concept of procedural justice. The UK in particular has seen instances where adherence to ethical standards has been crucial in maintaining public confidence. For example, inquiries into high-profile and highly emotive cases, such as the Hillsborough disaster (Hillsborough, 2012) and the Stephen Lawrence inquiry (Macpherson, 1999) highlight the public desire for transparent oversight of clear and significant misconduct, and it being a major step to restoring public trust. Reflection on the Stephen Lawrence case twenty-two years later by the House of Commons Home Affairs Committee reported that the Macpherson report had brought about a transformation in the way police </w:t>
      </w:r>
      <w:r w:rsidRPr="00E06211">
        <w:rPr>
          <w:sz w:val="24"/>
          <w:szCs w:val="24"/>
        </w:rPr>
        <w:lastRenderedPageBreak/>
        <w:t xml:space="preserve">recognised racist incidents and dealt with racist crimes, and the Committee (2021) concluded that, since the 1999 report, they had found an enduring commitment on the part of senior police officers to recognise and address the seriousness of race-related crimes. </w:t>
      </w:r>
      <w:proofErr w:type="gramStart"/>
      <w:r w:rsidRPr="00E06211">
        <w:rPr>
          <w:sz w:val="24"/>
          <w:szCs w:val="24"/>
        </w:rPr>
        <w:t>Clearly, major</w:t>
      </w:r>
      <w:proofErr w:type="gramEnd"/>
      <w:r w:rsidRPr="00E06211">
        <w:rPr>
          <w:sz w:val="24"/>
          <w:szCs w:val="24"/>
        </w:rPr>
        <w:t xml:space="preserve"> public inquiries have huge potential to both increase public trust, but also to positively affirm and entrench ethical conduct among police officers.</w:t>
      </w:r>
    </w:p>
    <w:p w14:paraId="220C8898" w14:textId="77777777" w:rsidR="00AE459B" w:rsidRPr="00E06211" w:rsidRDefault="00AE459B" w:rsidP="00AE459B">
      <w:pPr>
        <w:spacing w:line="360" w:lineRule="auto"/>
        <w:rPr>
          <w:sz w:val="24"/>
          <w:szCs w:val="24"/>
        </w:rPr>
      </w:pPr>
      <w:r w:rsidRPr="00E06211">
        <w:rPr>
          <w:sz w:val="24"/>
          <w:szCs w:val="24"/>
        </w:rPr>
        <w:t xml:space="preserve">In the UK, as in </w:t>
      </w:r>
      <w:proofErr w:type="gramStart"/>
      <w:r w:rsidRPr="00E06211">
        <w:rPr>
          <w:sz w:val="24"/>
          <w:szCs w:val="24"/>
        </w:rPr>
        <w:t>many</w:t>
      </w:r>
      <w:proofErr w:type="gramEnd"/>
      <w:r w:rsidRPr="00E06211">
        <w:rPr>
          <w:sz w:val="24"/>
          <w:szCs w:val="24"/>
        </w:rPr>
        <w:t xml:space="preserve"> other countries, the Code of Ethics plays a pivotal role in reducing incidents of professional misconduct and bolstering public confidence in the police. It achieves this by providing clear ethical standards, enhancing accountability in a way that is transparent, promoting the professional development of officers, and fostering public trust and confidence. The College of Policing has developed this comprehensive Code of Ethics to serve as an all-encompassing and guiding framework for ethical behaviour.</w:t>
      </w:r>
    </w:p>
    <w:p w14:paraId="55E0E2C5" w14:textId="77777777" w:rsidR="00AE459B" w:rsidRPr="00E06211" w:rsidRDefault="00AE459B" w:rsidP="00AE459B">
      <w:pPr>
        <w:spacing w:line="360" w:lineRule="auto"/>
        <w:rPr>
          <w:sz w:val="24"/>
          <w:szCs w:val="24"/>
        </w:rPr>
      </w:pPr>
      <w:r w:rsidRPr="00E06211">
        <w:rPr>
          <w:sz w:val="24"/>
          <w:szCs w:val="24"/>
        </w:rPr>
        <w:t xml:space="preserve">Whilst the Code of Ethics is a crucial component, its effectiveness depends on its implementation and enforcement. Oversight bodies, such as the IOPC, are an important mechanism for ensuring adherence to the framework. </w:t>
      </w:r>
      <w:proofErr w:type="gramStart"/>
      <w:r w:rsidRPr="00E06211">
        <w:rPr>
          <w:sz w:val="24"/>
          <w:szCs w:val="24"/>
        </w:rPr>
        <w:t>In essence, the</w:t>
      </w:r>
      <w:proofErr w:type="gramEnd"/>
      <w:r w:rsidRPr="00E06211">
        <w:rPr>
          <w:sz w:val="24"/>
          <w:szCs w:val="24"/>
        </w:rPr>
        <w:t xml:space="preserve"> Code of Ethics is not just a set of guidelines but a cornerstone of ethnical policing and the promotion of such an image to the wider public.</w:t>
      </w:r>
    </w:p>
    <w:p w14:paraId="2F687835" w14:textId="77777777" w:rsidR="00AE459B" w:rsidRPr="00E06211" w:rsidRDefault="00AE459B" w:rsidP="00AE459B">
      <w:pPr>
        <w:rPr>
          <w:sz w:val="24"/>
          <w:szCs w:val="24"/>
        </w:rPr>
      </w:pPr>
    </w:p>
    <w:p w14:paraId="55D85E85" w14:textId="77777777" w:rsidR="00AE459B" w:rsidRPr="00E06211" w:rsidRDefault="00AE459B" w:rsidP="00AE459B">
      <w:pPr>
        <w:rPr>
          <w:sz w:val="24"/>
          <w:szCs w:val="24"/>
        </w:rPr>
      </w:pPr>
      <w:r w:rsidRPr="00E06211">
        <w:rPr>
          <w:sz w:val="24"/>
          <w:szCs w:val="24"/>
        </w:rPr>
        <w:t>965 words</w:t>
      </w:r>
      <w:r w:rsidRPr="00E06211">
        <w:rPr>
          <w:sz w:val="24"/>
          <w:szCs w:val="24"/>
        </w:rPr>
        <w:br w:type="page"/>
      </w:r>
    </w:p>
    <w:p w14:paraId="68AF0947" w14:textId="77777777" w:rsidR="00AE459B" w:rsidRPr="00E06211" w:rsidRDefault="00AE459B" w:rsidP="00AE459B">
      <w:pPr>
        <w:rPr>
          <w:sz w:val="24"/>
          <w:szCs w:val="24"/>
          <w:u w:val="single"/>
        </w:rPr>
      </w:pPr>
      <w:r w:rsidRPr="00E06211">
        <w:rPr>
          <w:sz w:val="24"/>
          <w:szCs w:val="24"/>
          <w:u w:val="single"/>
        </w:rPr>
        <w:lastRenderedPageBreak/>
        <w:t>Bibliography</w:t>
      </w:r>
    </w:p>
    <w:p w14:paraId="1E03D764" w14:textId="77777777" w:rsidR="00AE459B" w:rsidRPr="00E06211" w:rsidRDefault="00AE459B" w:rsidP="00AE459B">
      <w:pPr>
        <w:rPr>
          <w:sz w:val="24"/>
          <w:szCs w:val="24"/>
        </w:rPr>
      </w:pPr>
      <w:r w:rsidRPr="00E06211">
        <w:rPr>
          <w:sz w:val="24"/>
          <w:szCs w:val="24"/>
        </w:rPr>
        <w:t xml:space="preserve">College of Policing (2014) </w:t>
      </w:r>
      <w:r w:rsidRPr="00E06211">
        <w:rPr>
          <w:i/>
          <w:iCs/>
          <w:sz w:val="24"/>
          <w:szCs w:val="24"/>
        </w:rPr>
        <w:t>Code of Ethics: A Code of Practice for the Principles and Standards of Professional Behaviour for the Policing Profession of England and Wales</w:t>
      </w:r>
      <w:r w:rsidRPr="00E06211">
        <w:rPr>
          <w:sz w:val="24"/>
          <w:szCs w:val="24"/>
        </w:rPr>
        <w:t xml:space="preserve">. Available at: </w:t>
      </w:r>
      <w:hyperlink r:id="rId5" w:history="1">
        <w:r w:rsidRPr="00E06211">
          <w:rPr>
            <w:rStyle w:val="Hyperlink"/>
            <w:sz w:val="24"/>
            <w:szCs w:val="24"/>
          </w:rPr>
          <w:t>https://assets.college.police.uk/s3fs-public/2021-02/code_of_ethics.pdf</w:t>
        </w:r>
      </w:hyperlink>
      <w:r w:rsidRPr="00E06211">
        <w:rPr>
          <w:sz w:val="24"/>
          <w:szCs w:val="24"/>
        </w:rPr>
        <w:t xml:space="preserve"> (Accessed: 17 October 2023).</w:t>
      </w:r>
    </w:p>
    <w:p w14:paraId="146ACEB4" w14:textId="77777777" w:rsidR="00AE459B" w:rsidRPr="00E06211" w:rsidRDefault="00AE459B" w:rsidP="00AE459B">
      <w:pPr>
        <w:rPr>
          <w:sz w:val="24"/>
          <w:szCs w:val="24"/>
        </w:rPr>
      </w:pPr>
      <w:r w:rsidRPr="00E06211">
        <w:rPr>
          <w:sz w:val="24"/>
          <w:szCs w:val="24"/>
        </w:rPr>
        <w:t xml:space="preserve">College of Policing (2023) </w:t>
      </w:r>
      <w:r w:rsidRPr="00E06211">
        <w:rPr>
          <w:i/>
          <w:iCs/>
          <w:sz w:val="24"/>
          <w:szCs w:val="24"/>
        </w:rPr>
        <w:t>Code of Ethics</w:t>
      </w:r>
      <w:r w:rsidRPr="00E06211">
        <w:rPr>
          <w:sz w:val="24"/>
          <w:szCs w:val="24"/>
        </w:rPr>
        <w:t xml:space="preserve">. Available at: </w:t>
      </w:r>
      <w:hyperlink r:id="rId6" w:history="1">
        <w:r w:rsidRPr="00E06211">
          <w:rPr>
            <w:rStyle w:val="Hyperlink"/>
            <w:sz w:val="24"/>
            <w:szCs w:val="24"/>
          </w:rPr>
          <w:t>https://www.college.police.uk/ethics/code-of-ethics</w:t>
        </w:r>
      </w:hyperlink>
      <w:r w:rsidRPr="00E06211">
        <w:rPr>
          <w:sz w:val="24"/>
          <w:szCs w:val="24"/>
        </w:rPr>
        <w:t xml:space="preserve"> (Accessed: 17 October 2023).</w:t>
      </w:r>
    </w:p>
    <w:p w14:paraId="60888BC8" w14:textId="77777777" w:rsidR="00AE459B" w:rsidRPr="00E06211" w:rsidRDefault="00AE459B" w:rsidP="00AE459B">
      <w:pPr>
        <w:rPr>
          <w:sz w:val="24"/>
          <w:szCs w:val="24"/>
        </w:rPr>
      </w:pPr>
      <w:r w:rsidRPr="00E06211">
        <w:rPr>
          <w:sz w:val="24"/>
          <w:szCs w:val="24"/>
        </w:rPr>
        <w:t xml:space="preserve">Harris, D. et al. (2022) Proud to Belong: The Impact of Ethics Training on Police Officers. Available at: </w:t>
      </w:r>
      <w:hyperlink r:id="rId7" w:history="1">
        <w:r w:rsidRPr="00E06211">
          <w:rPr>
            <w:rStyle w:val="Hyperlink"/>
            <w:sz w:val="24"/>
            <w:szCs w:val="24"/>
          </w:rPr>
          <w:t>https://ora.ox.ac.uk/objects/uuid:ea7bcad5-af6e-49d1-9a00-ff20f9c57569</w:t>
        </w:r>
      </w:hyperlink>
      <w:r w:rsidRPr="00E06211">
        <w:rPr>
          <w:sz w:val="24"/>
          <w:szCs w:val="24"/>
        </w:rPr>
        <w:t xml:space="preserve"> (Accessed: 17 October 2023).</w:t>
      </w:r>
    </w:p>
    <w:p w14:paraId="716760EE" w14:textId="77777777" w:rsidR="00AE459B" w:rsidRPr="00E06211" w:rsidRDefault="00AE459B" w:rsidP="00AE459B">
      <w:pPr>
        <w:rPr>
          <w:sz w:val="24"/>
          <w:szCs w:val="24"/>
        </w:rPr>
      </w:pPr>
      <w:r w:rsidRPr="00E06211">
        <w:rPr>
          <w:sz w:val="24"/>
          <w:szCs w:val="24"/>
        </w:rPr>
        <w:t xml:space="preserve">Hillsborough (2012) </w:t>
      </w:r>
      <w:r w:rsidRPr="00E06211">
        <w:rPr>
          <w:i/>
          <w:iCs/>
          <w:sz w:val="24"/>
          <w:szCs w:val="24"/>
        </w:rPr>
        <w:t>The Report of the Hillsborough Independent Panel</w:t>
      </w:r>
      <w:r w:rsidRPr="00E06211">
        <w:rPr>
          <w:sz w:val="24"/>
          <w:szCs w:val="24"/>
        </w:rPr>
        <w:t xml:space="preserve">. (HC 581). London: The Stationer Office. Available at: </w:t>
      </w:r>
      <w:hyperlink r:id="rId8" w:history="1">
        <w:r w:rsidRPr="00E06211">
          <w:rPr>
            <w:rStyle w:val="Hyperlink"/>
            <w:sz w:val="24"/>
            <w:szCs w:val="24"/>
          </w:rPr>
          <w:t>https://assets.publishing.service.gov.uk/government/uploads/system/uploads/attachment_data/file/229038/0581.pdf</w:t>
        </w:r>
      </w:hyperlink>
      <w:r w:rsidRPr="00E06211">
        <w:rPr>
          <w:sz w:val="24"/>
          <w:szCs w:val="24"/>
        </w:rPr>
        <w:t xml:space="preserve"> (Accessed: 17 October 2023).</w:t>
      </w:r>
    </w:p>
    <w:p w14:paraId="25FE6C2B" w14:textId="77777777" w:rsidR="00AE459B" w:rsidRPr="00E06211" w:rsidRDefault="00AE459B" w:rsidP="00AE459B">
      <w:pPr>
        <w:rPr>
          <w:sz w:val="24"/>
          <w:szCs w:val="24"/>
        </w:rPr>
      </w:pPr>
      <w:r w:rsidRPr="00E06211">
        <w:rPr>
          <w:sz w:val="24"/>
          <w:szCs w:val="24"/>
        </w:rPr>
        <w:t xml:space="preserve">Honess, R. (2016) </w:t>
      </w:r>
      <w:r w:rsidRPr="00E06211">
        <w:rPr>
          <w:i/>
          <w:iCs/>
          <w:sz w:val="24"/>
          <w:szCs w:val="24"/>
        </w:rPr>
        <w:t>The mandatory delivery of ongoing training within the Police Service of England and Wales and its relationship to the andragogical principle of self-motivation</w:t>
      </w:r>
      <w:r w:rsidRPr="00E06211">
        <w:rPr>
          <w:sz w:val="24"/>
          <w:szCs w:val="24"/>
        </w:rPr>
        <w:t xml:space="preserve">. MSc thesis. Canterbury Christ Church University. Available at: </w:t>
      </w:r>
      <w:hyperlink r:id="rId9" w:history="1">
        <w:r w:rsidRPr="00E06211">
          <w:rPr>
            <w:rStyle w:val="Hyperlink"/>
            <w:sz w:val="24"/>
            <w:szCs w:val="24"/>
          </w:rPr>
          <w:t>https://repository.canterbury.ac.uk/item/87y1w/the-mandatory-delivery-of-ongoing-training-within-the-police-service-of-england-and-wales-and-its-relationship-to-the-andragogical-principle-of-self-motivation</w:t>
        </w:r>
      </w:hyperlink>
      <w:r w:rsidRPr="00E06211">
        <w:rPr>
          <w:sz w:val="24"/>
          <w:szCs w:val="24"/>
        </w:rPr>
        <w:t xml:space="preserve"> (Accessed: 17 October 2023).</w:t>
      </w:r>
    </w:p>
    <w:p w14:paraId="2C888211" w14:textId="77777777" w:rsidR="00AE459B" w:rsidRPr="00E06211" w:rsidRDefault="00AE459B" w:rsidP="00AE459B">
      <w:pPr>
        <w:rPr>
          <w:sz w:val="24"/>
          <w:szCs w:val="24"/>
        </w:rPr>
      </w:pPr>
      <w:r w:rsidRPr="00E06211">
        <w:rPr>
          <w:sz w:val="24"/>
          <w:szCs w:val="24"/>
        </w:rPr>
        <w:t xml:space="preserve">House of Commons Home Affairs Committee (2021) </w:t>
      </w:r>
      <w:r w:rsidRPr="00E06211">
        <w:rPr>
          <w:i/>
          <w:iCs/>
          <w:sz w:val="24"/>
          <w:szCs w:val="24"/>
        </w:rPr>
        <w:t>The Macpherson Report: Twenty-Two Years On</w:t>
      </w:r>
      <w:r w:rsidRPr="00E06211">
        <w:rPr>
          <w:sz w:val="24"/>
          <w:szCs w:val="24"/>
        </w:rPr>
        <w:t xml:space="preserve">. (HC 139). Available at: </w:t>
      </w:r>
      <w:hyperlink r:id="rId10" w:history="1">
        <w:r w:rsidRPr="00E06211">
          <w:rPr>
            <w:rStyle w:val="Hyperlink"/>
            <w:sz w:val="24"/>
            <w:szCs w:val="24"/>
          </w:rPr>
          <w:t>https://committees.parliament.uk/publications/7012/documents/89144/default/</w:t>
        </w:r>
      </w:hyperlink>
      <w:r w:rsidRPr="00E06211">
        <w:rPr>
          <w:sz w:val="24"/>
          <w:szCs w:val="24"/>
        </w:rPr>
        <w:t xml:space="preserve"> (Accessed) 17 October 2023).</w:t>
      </w:r>
    </w:p>
    <w:p w14:paraId="0BF294DB" w14:textId="77777777" w:rsidR="00AE459B" w:rsidRPr="00E06211" w:rsidRDefault="00AE459B" w:rsidP="00AE459B">
      <w:pPr>
        <w:rPr>
          <w:sz w:val="24"/>
          <w:szCs w:val="24"/>
        </w:rPr>
      </w:pPr>
      <w:r w:rsidRPr="00E06211">
        <w:rPr>
          <w:sz w:val="24"/>
          <w:szCs w:val="24"/>
        </w:rPr>
        <w:t xml:space="preserve">IOPC (2023) </w:t>
      </w:r>
      <w:r w:rsidRPr="00E06211">
        <w:rPr>
          <w:i/>
          <w:iCs/>
          <w:sz w:val="24"/>
          <w:szCs w:val="24"/>
        </w:rPr>
        <w:t>Yonder Public Perception Tracker Waves 6.1-6.3</w:t>
      </w:r>
      <w:r w:rsidRPr="00E06211">
        <w:rPr>
          <w:sz w:val="24"/>
          <w:szCs w:val="24"/>
        </w:rPr>
        <w:t xml:space="preserve">. Available at: </w:t>
      </w:r>
      <w:hyperlink r:id="rId11" w:history="1">
        <w:r w:rsidRPr="00E06211">
          <w:rPr>
            <w:rStyle w:val="Hyperlink"/>
            <w:sz w:val="24"/>
            <w:szCs w:val="24"/>
          </w:rPr>
          <w:t>https://www.policeconduct.gov.uk/sites/default/files/documents/IOPC-public-perceptions-tracker-report-2022-23.pdf</w:t>
        </w:r>
      </w:hyperlink>
      <w:r w:rsidRPr="00E06211">
        <w:rPr>
          <w:sz w:val="24"/>
          <w:szCs w:val="24"/>
        </w:rPr>
        <w:t xml:space="preserve"> (Accessed: 17 October 2023).</w:t>
      </w:r>
    </w:p>
    <w:p w14:paraId="74453E64" w14:textId="77777777" w:rsidR="00AE459B" w:rsidRPr="00E06211" w:rsidRDefault="00AE459B" w:rsidP="00AE459B">
      <w:pPr>
        <w:rPr>
          <w:sz w:val="24"/>
          <w:szCs w:val="24"/>
        </w:rPr>
      </w:pPr>
      <w:r w:rsidRPr="00E06211">
        <w:rPr>
          <w:sz w:val="24"/>
          <w:szCs w:val="24"/>
        </w:rPr>
        <w:t xml:space="preserve">Ivkovic, S. K. et al. (2022) </w:t>
      </w:r>
      <w:r w:rsidRPr="00E06211">
        <w:rPr>
          <w:i/>
          <w:iCs/>
          <w:sz w:val="24"/>
          <w:szCs w:val="24"/>
        </w:rPr>
        <w:t>Police Code of Silence in Times of Change</w:t>
      </w:r>
      <w:r w:rsidRPr="00E06211">
        <w:rPr>
          <w:sz w:val="24"/>
          <w:szCs w:val="24"/>
        </w:rPr>
        <w:t xml:space="preserve">. Available at: </w:t>
      </w:r>
      <w:hyperlink r:id="rId12" w:history="1">
        <w:r w:rsidRPr="00E06211">
          <w:rPr>
            <w:rStyle w:val="Hyperlink"/>
            <w:sz w:val="24"/>
            <w:szCs w:val="24"/>
          </w:rPr>
          <w:t>https://doi.org/10.1007/978-3-030-96844-1</w:t>
        </w:r>
      </w:hyperlink>
      <w:r w:rsidRPr="00E06211">
        <w:rPr>
          <w:sz w:val="24"/>
          <w:szCs w:val="24"/>
        </w:rPr>
        <w:t xml:space="preserve"> (Accessed: 17 October 2023).</w:t>
      </w:r>
    </w:p>
    <w:p w14:paraId="1F77824F" w14:textId="77777777" w:rsidR="00AE459B" w:rsidRPr="00E06211" w:rsidRDefault="00AE459B" w:rsidP="00AE459B">
      <w:pPr>
        <w:rPr>
          <w:sz w:val="24"/>
          <w:szCs w:val="24"/>
        </w:rPr>
      </w:pPr>
      <w:r w:rsidRPr="00E06211">
        <w:rPr>
          <w:sz w:val="24"/>
          <w:szCs w:val="24"/>
        </w:rPr>
        <w:t xml:space="preserve">Lewis, R. (2022) ‘Police Ethics’, </w:t>
      </w:r>
      <w:r w:rsidRPr="00E06211">
        <w:rPr>
          <w:i/>
          <w:iCs/>
          <w:sz w:val="24"/>
          <w:szCs w:val="24"/>
        </w:rPr>
        <w:t>The Journal of Intelligence, Conflict, and Warfare</w:t>
      </w:r>
      <w:r w:rsidRPr="00E06211">
        <w:rPr>
          <w:sz w:val="24"/>
          <w:szCs w:val="24"/>
        </w:rPr>
        <w:t xml:space="preserve">, 4(3), pp.152 – 155. </w:t>
      </w:r>
    </w:p>
    <w:p w14:paraId="46CECD77" w14:textId="77777777" w:rsidR="00AE459B" w:rsidRPr="00E06211" w:rsidRDefault="00AE459B" w:rsidP="00AE459B">
      <w:pPr>
        <w:rPr>
          <w:sz w:val="24"/>
          <w:szCs w:val="24"/>
        </w:rPr>
      </w:pPr>
      <w:r w:rsidRPr="00E06211">
        <w:rPr>
          <w:sz w:val="24"/>
          <w:szCs w:val="24"/>
        </w:rPr>
        <w:t xml:space="preserve">Macpherson, W. (1999) </w:t>
      </w:r>
      <w:r w:rsidRPr="00E06211">
        <w:rPr>
          <w:i/>
          <w:iCs/>
          <w:sz w:val="24"/>
          <w:szCs w:val="24"/>
        </w:rPr>
        <w:t>The Stephen Lawrence Inquiry</w:t>
      </w:r>
      <w:r w:rsidRPr="00E06211">
        <w:rPr>
          <w:sz w:val="24"/>
          <w:szCs w:val="24"/>
        </w:rPr>
        <w:t xml:space="preserve">. (Cm-4262-I). Available at: </w:t>
      </w:r>
      <w:hyperlink r:id="rId13" w:history="1">
        <w:r w:rsidRPr="00E06211">
          <w:rPr>
            <w:rStyle w:val="Hyperlink"/>
            <w:sz w:val="24"/>
            <w:szCs w:val="24"/>
          </w:rPr>
          <w:t>https://assets.publishing.service.gov.uk/media/5a7c2af540f0b645ba3c7202/4262.pdf</w:t>
        </w:r>
      </w:hyperlink>
      <w:r w:rsidRPr="00E06211">
        <w:rPr>
          <w:sz w:val="24"/>
          <w:szCs w:val="24"/>
        </w:rPr>
        <w:t xml:space="preserve"> (Accessed: 17 October 2023).</w:t>
      </w:r>
    </w:p>
    <w:p w14:paraId="06AD33FD" w14:textId="77777777" w:rsidR="00AE459B" w:rsidRPr="00E06211" w:rsidRDefault="00AE459B" w:rsidP="00AE459B">
      <w:pPr>
        <w:rPr>
          <w:sz w:val="24"/>
          <w:szCs w:val="24"/>
        </w:rPr>
      </w:pPr>
    </w:p>
    <w:p w14:paraId="59565BA4" w14:textId="2A18E431" w:rsidR="00AE459B" w:rsidRDefault="00AE459B">
      <w:r>
        <w:br w:type="page"/>
      </w:r>
    </w:p>
    <w:p w14:paraId="1139A6FD" w14:textId="4192DF8A" w:rsidR="003E7845" w:rsidRPr="00104EA1" w:rsidRDefault="003E7845" w:rsidP="003E7845">
      <w:pPr>
        <w:spacing w:line="360" w:lineRule="auto"/>
        <w:rPr>
          <w:rFonts w:cstheme="minorHAnsi"/>
          <w:sz w:val="24"/>
          <w:szCs w:val="24"/>
          <w:u w:val="single"/>
        </w:rPr>
      </w:pPr>
      <w:r w:rsidRPr="00104EA1">
        <w:rPr>
          <w:rFonts w:cstheme="minorHAnsi"/>
          <w:sz w:val="24"/>
          <w:szCs w:val="24"/>
          <w:u w:val="single"/>
        </w:rPr>
        <w:lastRenderedPageBreak/>
        <w:t>Question 2: How effective is a multi-agency approach as a means of managing violent and sexual offenders?</w:t>
      </w:r>
    </w:p>
    <w:p w14:paraId="6BC7F559" w14:textId="77777777" w:rsidR="003E7845" w:rsidRPr="00104EA1" w:rsidRDefault="003E7845" w:rsidP="003E7845">
      <w:pPr>
        <w:spacing w:line="360" w:lineRule="auto"/>
        <w:rPr>
          <w:rFonts w:cstheme="minorHAnsi"/>
          <w:sz w:val="24"/>
          <w:szCs w:val="24"/>
        </w:rPr>
      </w:pPr>
      <w:r w:rsidRPr="00104EA1">
        <w:rPr>
          <w:rFonts w:cstheme="minorHAnsi"/>
          <w:sz w:val="24"/>
          <w:szCs w:val="24"/>
        </w:rPr>
        <w:t>Managing violent and sexual offenders is a complex challenge that requires a multifaceted response, involving multiple agencies and professionals. This essay explores the effectiveness of multi-agency approaches in managing violent and sexual offenders. It also examines the benefits and challenges of collaboration, the impact on offender management, and the importance of risk assessment and public safety.</w:t>
      </w:r>
    </w:p>
    <w:p w14:paraId="711C556F"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The management of violent and sexual offenders may include collaboration by agencies such as the police, probation services, health professionals, and social services. Multi-agency arrangements </w:t>
      </w:r>
      <w:proofErr w:type="gramStart"/>
      <w:r w:rsidRPr="00104EA1">
        <w:rPr>
          <w:rFonts w:cstheme="minorHAnsi"/>
          <w:sz w:val="24"/>
          <w:szCs w:val="24"/>
        </w:rPr>
        <w:t>are designed</w:t>
      </w:r>
      <w:proofErr w:type="gramEnd"/>
      <w:r w:rsidRPr="00104EA1">
        <w:rPr>
          <w:rFonts w:cstheme="minorHAnsi"/>
          <w:sz w:val="24"/>
          <w:szCs w:val="24"/>
        </w:rPr>
        <w:t xml:space="preserve"> to enhance the assessment, supervision, and treatment of these offenders while minimising risks to the community. </w:t>
      </w:r>
    </w:p>
    <w:p w14:paraId="67067823"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As a result of a multi-agency approach, more comprehensive and enhanced risk assessments can </w:t>
      </w:r>
      <w:proofErr w:type="gramStart"/>
      <w:r w:rsidRPr="00104EA1">
        <w:rPr>
          <w:rFonts w:cstheme="minorHAnsi"/>
          <w:sz w:val="24"/>
          <w:szCs w:val="24"/>
        </w:rPr>
        <w:t>be produced</w:t>
      </w:r>
      <w:proofErr w:type="gramEnd"/>
      <w:r w:rsidRPr="00104EA1">
        <w:rPr>
          <w:rFonts w:cstheme="minorHAnsi"/>
          <w:sz w:val="24"/>
          <w:szCs w:val="24"/>
        </w:rPr>
        <w:t xml:space="preserve">. This may take the form of a Multi-Agency Risk Assessment Conference (MARAC), which is a meeting between various agency representatives to discuss ways to help victims at </w:t>
      </w:r>
      <w:proofErr w:type="gramStart"/>
      <w:r w:rsidRPr="00104EA1">
        <w:rPr>
          <w:rFonts w:cstheme="minorHAnsi"/>
          <w:sz w:val="24"/>
          <w:szCs w:val="24"/>
        </w:rPr>
        <w:t>high risk</w:t>
      </w:r>
      <w:proofErr w:type="gramEnd"/>
      <w:r w:rsidRPr="00104EA1">
        <w:rPr>
          <w:rFonts w:cstheme="minorHAnsi"/>
          <w:sz w:val="24"/>
          <w:szCs w:val="24"/>
        </w:rPr>
        <w:t xml:space="preserve"> of serious harm, to share information, and prepare safeguarding plans (VAWDASV, 2018). Representatives at a MARAC may come from the police, health, child protection, housing practitioners, Independent Domestic Violence Advisors (IDVAs), probation and other specialists from the statutory and voluntary sectors. </w:t>
      </w:r>
    </w:p>
    <w:p w14:paraId="7E3BB772" w14:textId="77777777" w:rsidR="003E7845" w:rsidRPr="00104EA1" w:rsidRDefault="003E7845" w:rsidP="003E7845">
      <w:pPr>
        <w:spacing w:line="360" w:lineRule="auto"/>
        <w:rPr>
          <w:rFonts w:cstheme="minorHAnsi"/>
          <w:sz w:val="24"/>
          <w:szCs w:val="24"/>
        </w:rPr>
      </w:pPr>
      <w:r w:rsidRPr="00104EA1">
        <w:rPr>
          <w:rFonts w:cstheme="minorHAnsi"/>
          <w:sz w:val="24"/>
          <w:szCs w:val="24"/>
        </w:rPr>
        <w:t>Tailored intervention plans are a successful way of addressing the specific needs of violent and sexual offenders, exemplified by the Multi-Agency Public Protection Arrangements (MAPPA).</w:t>
      </w:r>
    </w:p>
    <w:p w14:paraId="53F97D5C" w14:textId="77777777" w:rsidR="003E7845" w:rsidRPr="00104EA1" w:rsidRDefault="003E7845" w:rsidP="003E7845">
      <w:pPr>
        <w:spacing w:line="360" w:lineRule="auto"/>
        <w:rPr>
          <w:rFonts w:cstheme="minorHAnsi"/>
          <w:sz w:val="24"/>
          <w:szCs w:val="24"/>
        </w:rPr>
      </w:pPr>
      <w:r w:rsidRPr="00104EA1">
        <w:rPr>
          <w:rFonts w:cstheme="minorHAnsi"/>
          <w:sz w:val="24"/>
          <w:szCs w:val="24"/>
        </w:rPr>
        <w:t>Parliament (</w:t>
      </w:r>
      <w:r w:rsidRPr="00104EA1">
        <w:rPr>
          <w:rFonts w:cstheme="minorHAnsi"/>
          <w:i/>
          <w:iCs/>
          <w:sz w:val="24"/>
          <w:szCs w:val="24"/>
        </w:rPr>
        <w:t>Criminal Justice and Court Services Act 2000</w:t>
      </w:r>
      <w:r w:rsidRPr="00104EA1">
        <w:rPr>
          <w:rFonts w:cstheme="minorHAnsi"/>
          <w:sz w:val="24"/>
          <w:szCs w:val="24"/>
        </w:rPr>
        <w:t>) established a framework for offenders managed under MAPPA following huge public disquiet following the abduction and murder of Sarah Payne. The system created three levels of management oversight. Level 1 offenders would have ‘ordinary’ or single agency oversight, Level 2 offenders would be under active multi-agency management, and Level 3 offenders required the involvement of senior managers (Pycroft and Gough, 2019).</w:t>
      </w:r>
    </w:p>
    <w:p w14:paraId="254B1075"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Recent studies of the effectiveness of MAPPA (Lundrigan and Mann, 2023) have shown that over a one-year period, MAPPA re-offending rates were 12.2%, whereas the national average </w:t>
      </w:r>
      <w:r w:rsidRPr="00104EA1">
        <w:rPr>
          <w:rFonts w:cstheme="minorHAnsi"/>
          <w:sz w:val="24"/>
          <w:szCs w:val="24"/>
        </w:rPr>
        <w:lastRenderedPageBreak/>
        <w:t xml:space="preserve">for a similar period was between 30.0% and 31.3%. MAPPA reoffending rates were, however, consistently higher among individuals aged </w:t>
      </w:r>
      <w:proofErr w:type="gramStart"/>
      <w:r w:rsidRPr="00104EA1">
        <w:rPr>
          <w:rFonts w:cstheme="minorHAnsi"/>
          <w:sz w:val="24"/>
          <w:szCs w:val="24"/>
        </w:rPr>
        <w:t>17</w:t>
      </w:r>
      <w:proofErr w:type="gramEnd"/>
      <w:r w:rsidRPr="00104EA1">
        <w:rPr>
          <w:rFonts w:cstheme="minorHAnsi"/>
          <w:sz w:val="24"/>
          <w:szCs w:val="24"/>
        </w:rPr>
        <w:t xml:space="preserve"> and under, suggesting that the MAPPA system is much more effective in adults than minors.</w:t>
      </w:r>
    </w:p>
    <w:p w14:paraId="4BC330C5"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Despite effectiveness at reducing average re-offending rates, Lundrigan and Mann (2023) identified </w:t>
      </w:r>
      <w:proofErr w:type="gramStart"/>
      <w:r w:rsidRPr="00104EA1">
        <w:rPr>
          <w:rFonts w:cstheme="minorHAnsi"/>
          <w:sz w:val="24"/>
          <w:szCs w:val="24"/>
        </w:rPr>
        <w:t>several</w:t>
      </w:r>
      <w:proofErr w:type="gramEnd"/>
      <w:r w:rsidRPr="00104EA1">
        <w:rPr>
          <w:rFonts w:cstheme="minorHAnsi"/>
          <w:sz w:val="24"/>
          <w:szCs w:val="24"/>
        </w:rPr>
        <w:t xml:space="preserve"> practice gaps that should be addressed, notably that risk management plans were outdated and not robust enough. </w:t>
      </w:r>
    </w:p>
    <w:p w14:paraId="1A32CE5C" w14:textId="77777777" w:rsidR="003E7845" w:rsidRPr="00104EA1" w:rsidRDefault="003E7845" w:rsidP="003E7845">
      <w:pPr>
        <w:spacing w:line="360" w:lineRule="auto"/>
        <w:rPr>
          <w:rFonts w:cstheme="minorHAnsi"/>
          <w:sz w:val="24"/>
          <w:szCs w:val="24"/>
        </w:rPr>
      </w:pPr>
      <w:r w:rsidRPr="00104EA1">
        <w:rPr>
          <w:rFonts w:cstheme="minorHAnsi"/>
          <w:sz w:val="24"/>
          <w:szCs w:val="24"/>
        </w:rPr>
        <w:t>Issues can arise in the MAPPA system whereby the necessity for disclosure has led to some psychiatrists describing a shift in their role to an “agent of the state</w:t>
      </w:r>
      <w:proofErr w:type="gramStart"/>
      <w:r w:rsidRPr="00104EA1">
        <w:rPr>
          <w:rFonts w:cstheme="minorHAnsi"/>
          <w:sz w:val="24"/>
          <w:szCs w:val="24"/>
        </w:rPr>
        <w:t>”,</w:t>
      </w:r>
      <w:proofErr w:type="gramEnd"/>
      <w:r w:rsidRPr="00104EA1">
        <w:rPr>
          <w:rFonts w:cstheme="minorHAnsi"/>
          <w:sz w:val="24"/>
          <w:szCs w:val="24"/>
        </w:rPr>
        <w:t xml:space="preserve"> as their efforts to protect the public at large from mentally ill offenders comes at the expense of the offender’s mental health and right to privacy. Disclosure of medical information without consent may “destabilise an already fragile therapeutic relationship” (Taylor and Yakeley, 2019).</w:t>
      </w:r>
    </w:p>
    <w:p w14:paraId="2A235C44"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While MAPPA could </w:t>
      </w:r>
      <w:proofErr w:type="gramStart"/>
      <w:r w:rsidRPr="00104EA1">
        <w:rPr>
          <w:rFonts w:cstheme="minorHAnsi"/>
          <w:sz w:val="24"/>
          <w:szCs w:val="24"/>
        </w:rPr>
        <w:t>be viewed</w:t>
      </w:r>
      <w:proofErr w:type="gramEnd"/>
      <w:r w:rsidRPr="00104EA1">
        <w:rPr>
          <w:rFonts w:cstheme="minorHAnsi"/>
          <w:sz w:val="24"/>
          <w:szCs w:val="24"/>
        </w:rPr>
        <w:t xml:space="preserve"> on the face of it as being created by, and serving the interests of, media panic and demands for vengeance, the system can also be a tool for moderating public demands. For example, in response to media demands for greater access to information about sex offenders and major public disquiet in general surrounding a perceived lack of protection (Nash, 2010), the controlled disclosure of information through MAPPA might </w:t>
      </w:r>
      <w:proofErr w:type="gramStart"/>
      <w:r w:rsidRPr="00104EA1">
        <w:rPr>
          <w:rFonts w:cstheme="minorHAnsi"/>
          <w:sz w:val="24"/>
          <w:szCs w:val="24"/>
        </w:rPr>
        <w:t>be regarded</w:t>
      </w:r>
      <w:proofErr w:type="gramEnd"/>
      <w:r w:rsidRPr="00104EA1">
        <w:rPr>
          <w:rFonts w:cstheme="minorHAnsi"/>
          <w:sz w:val="24"/>
          <w:szCs w:val="24"/>
        </w:rPr>
        <w:t xml:space="preserve"> as a way of limiting the populist demands. MAPPA guidance (HMPPS, 2021) advocates an approach which utilises the least </w:t>
      </w:r>
      <w:proofErr w:type="gramStart"/>
      <w:r w:rsidRPr="00104EA1">
        <w:rPr>
          <w:rFonts w:cstheme="minorHAnsi"/>
          <w:sz w:val="24"/>
          <w:szCs w:val="24"/>
        </w:rPr>
        <w:t>amount</w:t>
      </w:r>
      <w:proofErr w:type="gramEnd"/>
      <w:r w:rsidRPr="00104EA1">
        <w:rPr>
          <w:rFonts w:cstheme="minorHAnsi"/>
          <w:sz w:val="24"/>
          <w:szCs w:val="24"/>
        </w:rPr>
        <w:t xml:space="preserve"> of necessary resources, in which cases are intended to be managed at the lowest level that is compatible with a defensible Risk Management Plan (Baker and Sutherland, 2009).</w:t>
      </w:r>
    </w:p>
    <w:p w14:paraId="29976310"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Multi-agency approaches clearly have significant advantages in terms of public protection and reduction of re-offending, but they are not without challenges. Difficulties with sharing of sensitive information has already </w:t>
      </w:r>
      <w:proofErr w:type="gramStart"/>
      <w:r w:rsidRPr="00104EA1">
        <w:rPr>
          <w:rFonts w:cstheme="minorHAnsi"/>
          <w:sz w:val="24"/>
          <w:szCs w:val="24"/>
        </w:rPr>
        <w:t>been touched</w:t>
      </w:r>
      <w:proofErr w:type="gramEnd"/>
      <w:r w:rsidRPr="00104EA1">
        <w:rPr>
          <w:rFonts w:cstheme="minorHAnsi"/>
          <w:sz w:val="24"/>
          <w:szCs w:val="24"/>
        </w:rPr>
        <w:t xml:space="preserve"> upon, but there is also the issue that often these agencies do not share information properly or effectively – in 2003, the Victoria Climbie inquiry (Laming, 2003) highlighted repeated failures by professionals working with children and families to collect basic information and share it between agencies. This </w:t>
      </w:r>
      <w:proofErr w:type="gramStart"/>
      <w:r w:rsidRPr="00104EA1">
        <w:rPr>
          <w:rFonts w:cstheme="minorHAnsi"/>
          <w:sz w:val="24"/>
          <w:szCs w:val="24"/>
        </w:rPr>
        <w:t>appears to still be</w:t>
      </w:r>
      <w:proofErr w:type="gramEnd"/>
      <w:r w:rsidRPr="00104EA1">
        <w:rPr>
          <w:rFonts w:cstheme="minorHAnsi"/>
          <w:sz w:val="24"/>
          <w:szCs w:val="24"/>
        </w:rPr>
        <w:t xml:space="preserve"> a relevant challenge, noted for instance in the national Child Safeguarding Practice Review Panel report (CSPRP, 2022), which recommended “more robust critical thinking and challenge within and between agencies”.</w:t>
      </w:r>
    </w:p>
    <w:p w14:paraId="2FC025CB" w14:textId="77777777" w:rsidR="003E7845" w:rsidRPr="00104EA1" w:rsidRDefault="003E7845" w:rsidP="003E7845">
      <w:pPr>
        <w:spacing w:line="360" w:lineRule="auto"/>
        <w:rPr>
          <w:rFonts w:cstheme="minorHAnsi"/>
          <w:sz w:val="24"/>
          <w:szCs w:val="24"/>
        </w:rPr>
      </w:pPr>
      <w:proofErr w:type="gramStart"/>
      <w:r w:rsidRPr="00104EA1">
        <w:rPr>
          <w:rFonts w:cstheme="minorHAnsi"/>
          <w:sz w:val="24"/>
          <w:szCs w:val="24"/>
        </w:rPr>
        <w:lastRenderedPageBreak/>
        <w:t>Some</w:t>
      </w:r>
      <w:proofErr w:type="gramEnd"/>
      <w:r w:rsidRPr="00104EA1">
        <w:rPr>
          <w:rFonts w:cstheme="minorHAnsi"/>
          <w:sz w:val="24"/>
          <w:szCs w:val="24"/>
        </w:rPr>
        <w:t xml:space="preserve"> agencies involved in a multi-agency approach to violent and sexual offenders may also suffer from limited resources and funding, which can hinder the effectiveness of multi-agency teams. Lack of funding for domestic abuse cases can be seen to drive focus only into ‘crisis support</w:t>
      </w:r>
      <w:proofErr w:type="gramStart"/>
      <w:r w:rsidRPr="00104EA1">
        <w:rPr>
          <w:rFonts w:cstheme="minorHAnsi"/>
          <w:sz w:val="24"/>
          <w:szCs w:val="24"/>
        </w:rPr>
        <w:t>’,</w:t>
      </w:r>
      <w:proofErr w:type="gramEnd"/>
      <w:r w:rsidRPr="00104EA1">
        <w:rPr>
          <w:rFonts w:cstheme="minorHAnsi"/>
          <w:sz w:val="24"/>
          <w:szCs w:val="24"/>
        </w:rPr>
        <w:t xml:space="preserve"> with services ending at the point the family are deemed to be ‘safe’ (CSPRP, 2022).</w:t>
      </w:r>
    </w:p>
    <w:p w14:paraId="7976B36F" w14:textId="77777777" w:rsidR="003E7845" w:rsidRPr="00104EA1" w:rsidRDefault="003E7845" w:rsidP="003E7845">
      <w:pPr>
        <w:spacing w:line="360" w:lineRule="auto"/>
        <w:rPr>
          <w:rFonts w:cstheme="minorHAnsi"/>
          <w:sz w:val="24"/>
          <w:szCs w:val="24"/>
        </w:rPr>
      </w:pPr>
      <w:r w:rsidRPr="00104EA1">
        <w:rPr>
          <w:rFonts w:cstheme="minorHAnsi"/>
          <w:sz w:val="24"/>
          <w:szCs w:val="24"/>
        </w:rPr>
        <w:t>The positive impact of multi-agency offender management is, however, significant. Research suggests that collaboration increases the chances of offender reintegration and reduced recidivism (UNODC, 2018). Recommendations by the United Nations Office for Drugs and Crime for the characteristics of inter-agency approaches to reintegration of offenders can be summarised as:</w:t>
      </w:r>
    </w:p>
    <w:p w14:paraId="59CEAF98" w14:textId="77777777" w:rsidR="003E7845" w:rsidRPr="00104EA1" w:rsidRDefault="003E7845" w:rsidP="003E7845">
      <w:pPr>
        <w:pStyle w:val="ListParagraph"/>
        <w:numPr>
          <w:ilvl w:val="0"/>
          <w:numId w:val="1"/>
        </w:numPr>
        <w:spacing w:line="360" w:lineRule="auto"/>
        <w:rPr>
          <w:rFonts w:cstheme="minorHAnsi"/>
          <w:sz w:val="24"/>
          <w:szCs w:val="24"/>
        </w:rPr>
      </w:pPr>
      <w:r w:rsidRPr="00104EA1">
        <w:rPr>
          <w:rFonts w:cstheme="minorHAnsi"/>
          <w:sz w:val="24"/>
          <w:szCs w:val="24"/>
        </w:rPr>
        <w:t>Having clear objectives and clear roles of agencies and their staff.</w:t>
      </w:r>
    </w:p>
    <w:p w14:paraId="6933473D" w14:textId="77777777" w:rsidR="003E7845" w:rsidRPr="00104EA1" w:rsidRDefault="003E7845" w:rsidP="003E7845">
      <w:pPr>
        <w:pStyle w:val="ListParagraph"/>
        <w:numPr>
          <w:ilvl w:val="0"/>
          <w:numId w:val="1"/>
        </w:numPr>
        <w:spacing w:line="360" w:lineRule="auto"/>
        <w:rPr>
          <w:rFonts w:cstheme="minorHAnsi"/>
          <w:sz w:val="24"/>
          <w:szCs w:val="24"/>
        </w:rPr>
      </w:pPr>
      <w:r w:rsidRPr="00104EA1">
        <w:rPr>
          <w:rFonts w:cstheme="minorHAnsi"/>
          <w:sz w:val="24"/>
          <w:szCs w:val="24"/>
        </w:rPr>
        <w:t>Having a specific allocation of resources.</w:t>
      </w:r>
    </w:p>
    <w:p w14:paraId="6F40D403" w14:textId="77777777" w:rsidR="003E7845" w:rsidRPr="00104EA1" w:rsidRDefault="003E7845" w:rsidP="003E7845">
      <w:pPr>
        <w:pStyle w:val="ListParagraph"/>
        <w:numPr>
          <w:ilvl w:val="0"/>
          <w:numId w:val="1"/>
        </w:numPr>
        <w:spacing w:line="360" w:lineRule="auto"/>
        <w:rPr>
          <w:rFonts w:cstheme="minorHAnsi"/>
          <w:sz w:val="24"/>
          <w:szCs w:val="24"/>
        </w:rPr>
      </w:pPr>
      <w:r w:rsidRPr="00104EA1">
        <w:rPr>
          <w:rFonts w:cstheme="minorHAnsi"/>
          <w:sz w:val="24"/>
          <w:szCs w:val="24"/>
        </w:rPr>
        <w:t>Leadership to drive things forward, but with procedures for making joint decisions.</w:t>
      </w:r>
    </w:p>
    <w:p w14:paraId="251263AA" w14:textId="77777777" w:rsidR="003E7845" w:rsidRPr="00104EA1" w:rsidRDefault="003E7845" w:rsidP="003E7845">
      <w:pPr>
        <w:pStyle w:val="ListParagraph"/>
        <w:numPr>
          <w:ilvl w:val="0"/>
          <w:numId w:val="1"/>
        </w:numPr>
        <w:spacing w:line="360" w:lineRule="auto"/>
        <w:rPr>
          <w:rFonts w:cstheme="minorHAnsi"/>
          <w:sz w:val="24"/>
          <w:szCs w:val="24"/>
        </w:rPr>
      </w:pPr>
      <w:r w:rsidRPr="00104EA1">
        <w:rPr>
          <w:rFonts w:cstheme="minorHAnsi"/>
          <w:sz w:val="24"/>
          <w:szCs w:val="24"/>
        </w:rPr>
        <w:t>Effective supervision and development of staff.</w:t>
      </w:r>
    </w:p>
    <w:p w14:paraId="4D862BE0" w14:textId="77777777" w:rsidR="003E7845" w:rsidRPr="00104EA1" w:rsidRDefault="003E7845" w:rsidP="003E7845">
      <w:pPr>
        <w:spacing w:line="360" w:lineRule="auto"/>
        <w:rPr>
          <w:rFonts w:cstheme="minorHAnsi"/>
          <w:sz w:val="24"/>
          <w:szCs w:val="24"/>
        </w:rPr>
      </w:pPr>
      <w:r w:rsidRPr="00104EA1">
        <w:rPr>
          <w:rFonts w:cstheme="minorHAnsi"/>
          <w:sz w:val="24"/>
          <w:szCs w:val="24"/>
        </w:rPr>
        <w:t xml:space="preserve">Certain high-profile cases </w:t>
      </w:r>
      <w:proofErr w:type="gramStart"/>
      <w:r w:rsidRPr="00104EA1">
        <w:rPr>
          <w:rFonts w:cstheme="minorHAnsi"/>
          <w:sz w:val="24"/>
          <w:szCs w:val="24"/>
        </w:rPr>
        <w:t>have a tendency to</w:t>
      </w:r>
      <w:proofErr w:type="gramEnd"/>
      <w:r w:rsidRPr="00104EA1">
        <w:rPr>
          <w:rFonts w:cstheme="minorHAnsi"/>
          <w:sz w:val="24"/>
          <w:szCs w:val="24"/>
        </w:rPr>
        <w:t xml:space="preserve"> push for more collaborative and effective approaches in the interest of public safety. The case of the abduction and murder of Sarah Payne in 2000 (already touched upon in terms of MARAC) highlighted the need for improved information sharing and public protection, which led to the development of Sarah’s Law, known officially as the </w:t>
      </w:r>
      <w:r w:rsidRPr="00104EA1">
        <w:rPr>
          <w:rFonts w:cstheme="minorHAnsi"/>
          <w:color w:val="212529"/>
          <w:sz w:val="24"/>
          <w:szCs w:val="24"/>
          <w:shd w:val="clear" w:color="auto" w:fill="FFFFFF"/>
        </w:rPr>
        <w:t xml:space="preserve">Child Sex Offender Disclosure Scheme. This allows anyone to make an application to ask the police to reveal whether an individual with access to a child has </w:t>
      </w:r>
      <w:proofErr w:type="gramStart"/>
      <w:r w:rsidRPr="00104EA1">
        <w:rPr>
          <w:rFonts w:cstheme="minorHAnsi"/>
          <w:color w:val="212529"/>
          <w:sz w:val="24"/>
          <w:szCs w:val="24"/>
          <w:shd w:val="clear" w:color="auto" w:fill="FFFFFF"/>
        </w:rPr>
        <w:t>been convicted</w:t>
      </w:r>
      <w:proofErr w:type="gramEnd"/>
      <w:r w:rsidRPr="00104EA1">
        <w:rPr>
          <w:rFonts w:cstheme="minorHAnsi"/>
          <w:color w:val="212529"/>
          <w:sz w:val="24"/>
          <w:szCs w:val="24"/>
          <w:shd w:val="clear" w:color="auto" w:fill="FFFFFF"/>
        </w:rPr>
        <w:t xml:space="preserve"> of or suspected of child abuse (Gwent Police, no date).</w:t>
      </w:r>
    </w:p>
    <w:p w14:paraId="61B97CD4" w14:textId="34B0D766" w:rsidR="003E7845" w:rsidRPr="00104EA1" w:rsidRDefault="003E7845" w:rsidP="003E7845">
      <w:pPr>
        <w:spacing w:line="360" w:lineRule="auto"/>
        <w:rPr>
          <w:rFonts w:cstheme="minorHAnsi"/>
          <w:sz w:val="24"/>
          <w:szCs w:val="24"/>
        </w:rPr>
      </w:pPr>
      <w:r w:rsidRPr="00104EA1">
        <w:rPr>
          <w:rFonts w:cstheme="minorHAnsi"/>
          <w:sz w:val="24"/>
          <w:szCs w:val="24"/>
        </w:rPr>
        <w:t xml:space="preserve">Multi-agency approaches are clearly a crucial component of managing violent and sexual offenders. They offer benefits such as enhanced risk assessment, tailored interventions, and improved information sharing, though it has </w:t>
      </w:r>
      <w:proofErr w:type="gramStart"/>
      <w:r w:rsidRPr="00104EA1">
        <w:rPr>
          <w:rFonts w:cstheme="minorHAnsi"/>
          <w:sz w:val="24"/>
          <w:szCs w:val="24"/>
        </w:rPr>
        <w:t>been demonstrated</w:t>
      </w:r>
      <w:proofErr w:type="gramEnd"/>
      <w:r w:rsidRPr="00104EA1">
        <w:rPr>
          <w:rFonts w:cstheme="minorHAnsi"/>
          <w:sz w:val="24"/>
          <w:szCs w:val="24"/>
        </w:rPr>
        <w:t xml:space="preserve"> that there is still room for improvement in the way these agencies collaborate. While </w:t>
      </w:r>
      <w:proofErr w:type="gramStart"/>
      <w:r w:rsidRPr="00104EA1">
        <w:rPr>
          <w:rFonts w:cstheme="minorHAnsi"/>
          <w:sz w:val="24"/>
          <w:szCs w:val="24"/>
        </w:rPr>
        <w:t>some</w:t>
      </w:r>
      <w:proofErr w:type="gramEnd"/>
      <w:r w:rsidRPr="00104EA1">
        <w:rPr>
          <w:rFonts w:cstheme="minorHAnsi"/>
          <w:sz w:val="24"/>
          <w:szCs w:val="24"/>
        </w:rPr>
        <w:t xml:space="preserve"> challenges exist, such as concerns about privacy or funding constraints, the multi-agency approaches in general have a positive impact on offender management and are proven to reduce recidivism in the interests of both offenders and the public.</w:t>
      </w:r>
    </w:p>
    <w:p w14:paraId="23F6C575" w14:textId="3B648184" w:rsidR="003E7845" w:rsidRDefault="003E7845" w:rsidP="003E7845">
      <w:pPr>
        <w:spacing w:line="360" w:lineRule="auto"/>
        <w:rPr>
          <w:rFonts w:cstheme="minorHAnsi"/>
          <w:sz w:val="24"/>
          <w:szCs w:val="24"/>
        </w:rPr>
      </w:pPr>
      <w:r w:rsidRPr="00104EA1">
        <w:rPr>
          <w:rFonts w:cstheme="minorHAnsi"/>
          <w:sz w:val="24"/>
          <w:szCs w:val="24"/>
        </w:rPr>
        <w:t>1008 words</w:t>
      </w:r>
    </w:p>
    <w:p w14:paraId="4D01D752" w14:textId="77777777" w:rsidR="003E7845" w:rsidRPr="00104EA1" w:rsidRDefault="003E7845" w:rsidP="003E7845">
      <w:pPr>
        <w:rPr>
          <w:rFonts w:cstheme="minorHAnsi"/>
          <w:sz w:val="24"/>
          <w:szCs w:val="24"/>
          <w:u w:val="single"/>
        </w:rPr>
      </w:pPr>
      <w:r w:rsidRPr="00104EA1">
        <w:rPr>
          <w:rFonts w:cstheme="minorHAnsi"/>
          <w:sz w:val="24"/>
          <w:szCs w:val="24"/>
          <w:u w:val="single"/>
        </w:rPr>
        <w:lastRenderedPageBreak/>
        <w:t>Bibliography</w:t>
      </w:r>
    </w:p>
    <w:p w14:paraId="5AAE3902" w14:textId="77777777" w:rsidR="003E7845" w:rsidRPr="00104EA1" w:rsidRDefault="003E7845" w:rsidP="003E7845">
      <w:pPr>
        <w:rPr>
          <w:rFonts w:cstheme="minorHAnsi"/>
          <w:sz w:val="24"/>
          <w:szCs w:val="24"/>
        </w:rPr>
      </w:pPr>
      <w:r w:rsidRPr="00104EA1">
        <w:rPr>
          <w:rFonts w:cstheme="minorHAnsi"/>
          <w:sz w:val="24"/>
          <w:szCs w:val="24"/>
        </w:rPr>
        <w:t xml:space="preserve">Baker, K. and Sutherland, A. (2009) </w:t>
      </w:r>
      <w:r w:rsidRPr="00104EA1">
        <w:rPr>
          <w:rFonts w:cstheme="minorHAnsi"/>
          <w:i/>
          <w:iCs/>
          <w:sz w:val="24"/>
          <w:szCs w:val="24"/>
        </w:rPr>
        <w:t>Multi-Agency Public Protection Arrangements and Youth Justice</w:t>
      </w:r>
      <w:r w:rsidRPr="00104EA1">
        <w:rPr>
          <w:rFonts w:cstheme="minorHAnsi"/>
          <w:sz w:val="24"/>
          <w:szCs w:val="24"/>
        </w:rPr>
        <w:t xml:space="preserve">. Available at: </w:t>
      </w:r>
      <w:hyperlink r:id="rId14" w:history="1">
        <w:r w:rsidRPr="00104EA1">
          <w:rPr>
            <w:rStyle w:val="Hyperlink"/>
            <w:rFonts w:cstheme="minorHAnsi"/>
            <w:sz w:val="24"/>
            <w:szCs w:val="24"/>
          </w:rPr>
          <w:t>https://doi-org.ezproxy.uwtsd.ac.uk/10.2307/j.ctt9qgt11</w:t>
        </w:r>
      </w:hyperlink>
      <w:r w:rsidRPr="00104EA1">
        <w:rPr>
          <w:rFonts w:cstheme="minorHAnsi"/>
          <w:sz w:val="24"/>
          <w:szCs w:val="24"/>
        </w:rPr>
        <w:t xml:space="preserve"> (Accessed: 18 October 2023).</w:t>
      </w:r>
    </w:p>
    <w:p w14:paraId="68CDE1DB" w14:textId="77777777" w:rsidR="003E7845" w:rsidRPr="00104EA1" w:rsidRDefault="003E7845" w:rsidP="003E7845">
      <w:pPr>
        <w:rPr>
          <w:rFonts w:cstheme="minorHAnsi"/>
          <w:sz w:val="24"/>
          <w:szCs w:val="24"/>
        </w:rPr>
      </w:pPr>
      <w:r w:rsidRPr="00104EA1">
        <w:rPr>
          <w:rFonts w:cstheme="minorHAnsi"/>
          <w:i/>
          <w:iCs/>
          <w:sz w:val="24"/>
          <w:szCs w:val="24"/>
        </w:rPr>
        <w:t>Criminal Justice and Court Services Act 2000</w:t>
      </w:r>
      <w:r w:rsidRPr="00104EA1">
        <w:rPr>
          <w:rFonts w:cstheme="minorHAnsi"/>
          <w:sz w:val="24"/>
          <w:szCs w:val="24"/>
        </w:rPr>
        <w:t xml:space="preserve">. Available at: </w:t>
      </w:r>
      <w:hyperlink r:id="rId15" w:history="1">
        <w:r w:rsidRPr="00104EA1">
          <w:rPr>
            <w:rStyle w:val="Hyperlink"/>
            <w:rFonts w:cstheme="minorHAnsi"/>
            <w:sz w:val="24"/>
            <w:szCs w:val="24"/>
          </w:rPr>
          <w:t>https://www.legislation.gov.uk/ukpga/2000/43/contents</w:t>
        </w:r>
      </w:hyperlink>
      <w:r w:rsidRPr="00104EA1">
        <w:rPr>
          <w:rFonts w:cstheme="minorHAnsi"/>
          <w:sz w:val="24"/>
          <w:szCs w:val="24"/>
        </w:rPr>
        <w:t xml:space="preserve"> (Accessed: 17 October 2023).</w:t>
      </w:r>
    </w:p>
    <w:p w14:paraId="3D5E907C" w14:textId="77777777" w:rsidR="003E7845" w:rsidRPr="00104EA1" w:rsidRDefault="003E7845" w:rsidP="003E7845">
      <w:pPr>
        <w:rPr>
          <w:rFonts w:cstheme="minorHAnsi"/>
          <w:sz w:val="24"/>
          <w:szCs w:val="24"/>
        </w:rPr>
      </w:pPr>
      <w:r w:rsidRPr="00104EA1">
        <w:rPr>
          <w:rFonts w:cstheme="minorHAnsi"/>
          <w:sz w:val="24"/>
          <w:szCs w:val="24"/>
        </w:rPr>
        <w:t xml:space="preserve">CSPRP (2022) </w:t>
      </w:r>
      <w:r w:rsidRPr="00104EA1">
        <w:rPr>
          <w:rFonts w:cstheme="minorHAnsi"/>
          <w:i/>
          <w:iCs/>
          <w:sz w:val="24"/>
          <w:szCs w:val="24"/>
        </w:rPr>
        <w:t>Child Protection in England</w:t>
      </w:r>
      <w:r w:rsidRPr="00104EA1">
        <w:rPr>
          <w:rFonts w:cstheme="minorHAnsi"/>
          <w:sz w:val="24"/>
          <w:szCs w:val="24"/>
        </w:rPr>
        <w:t xml:space="preserve">. Available at: </w:t>
      </w:r>
      <w:hyperlink r:id="rId16" w:history="1">
        <w:r w:rsidRPr="00104EA1">
          <w:rPr>
            <w:rStyle w:val="Hyperlink"/>
            <w:rFonts w:cstheme="minorHAnsi"/>
            <w:sz w:val="24"/>
            <w:szCs w:val="24"/>
          </w:rPr>
          <w:t>https://assets.publishing.service.gov.uk/media/628e262d8fa8f556203eb4f8/ALH_SH_National_Review_26-5-22.pdf</w:t>
        </w:r>
      </w:hyperlink>
      <w:r w:rsidRPr="00104EA1">
        <w:rPr>
          <w:rFonts w:cstheme="minorHAnsi"/>
          <w:sz w:val="24"/>
          <w:szCs w:val="24"/>
        </w:rPr>
        <w:t xml:space="preserve"> (Accessed: 18 October 2023).</w:t>
      </w:r>
    </w:p>
    <w:p w14:paraId="6FD9BD89" w14:textId="77777777" w:rsidR="003E7845" w:rsidRPr="00104EA1" w:rsidRDefault="003E7845" w:rsidP="003E7845">
      <w:pPr>
        <w:rPr>
          <w:rFonts w:cstheme="minorHAnsi"/>
          <w:sz w:val="24"/>
          <w:szCs w:val="24"/>
        </w:rPr>
      </w:pPr>
      <w:r w:rsidRPr="00104EA1">
        <w:rPr>
          <w:rFonts w:cstheme="minorHAnsi"/>
          <w:sz w:val="24"/>
          <w:szCs w:val="24"/>
        </w:rPr>
        <w:t xml:space="preserve">CSPRP (2022) </w:t>
      </w:r>
      <w:r w:rsidRPr="00104EA1">
        <w:rPr>
          <w:rFonts w:cstheme="minorHAnsi"/>
          <w:i/>
          <w:iCs/>
          <w:sz w:val="24"/>
          <w:szCs w:val="24"/>
        </w:rPr>
        <w:t>Multi-Agency Safeguarding and Domestic Abuse: Panel Briefing 2</w:t>
      </w:r>
      <w:r w:rsidRPr="00104EA1">
        <w:rPr>
          <w:rFonts w:cstheme="minorHAnsi"/>
          <w:sz w:val="24"/>
          <w:szCs w:val="24"/>
        </w:rPr>
        <w:t xml:space="preserve">. Available at: </w:t>
      </w:r>
      <w:hyperlink r:id="rId17" w:history="1">
        <w:r w:rsidRPr="00104EA1">
          <w:rPr>
            <w:rStyle w:val="Hyperlink"/>
            <w:rFonts w:cstheme="minorHAnsi"/>
            <w:sz w:val="24"/>
            <w:szCs w:val="24"/>
          </w:rPr>
          <w:t>https://assets.publishing.service.gov.uk/government/uploads/system/uploads/attachment_data/file/1107448/14.149_DFE_Child_safeguarding_Domestic_PB2_v4a.pdf</w:t>
        </w:r>
      </w:hyperlink>
      <w:r w:rsidRPr="00104EA1">
        <w:rPr>
          <w:rFonts w:cstheme="minorHAnsi"/>
          <w:sz w:val="24"/>
          <w:szCs w:val="24"/>
        </w:rPr>
        <w:t xml:space="preserve"> (Accessed: 18 October 2023).</w:t>
      </w:r>
    </w:p>
    <w:p w14:paraId="0F491E78" w14:textId="77777777" w:rsidR="003E7845" w:rsidRPr="00104EA1" w:rsidRDefault="003E7845" w:rsidP="003E7845">
      <w:pPr>
        <w:rPr>
          <w:rFonts w:cstheme="minorHAnsi"/>
          <w:sz w:val="24"/>
          <w:szCs w:val="24"/>
        </w:rPr>
      </w:pPr>
      <w:r w:rsidRPr="00104EA1">
        <w:rPr>
          <w:rFonts w:cstheme="minorHAnsi"/>
          <w:sz w:val="24"/>
          <w:szCs w:val="24"/>
        </w:rPr>
        <w:t xml:space="preserve">Gwent Police (no date) </w:t>
      </w:r>
      <w:r w:rsidRPr="00104EA1">
        <w:rPr>
          <w:rFonts w:cstheme="minorHAnsi"/>
          <w:i/>
          <w:iCs/>
          <w:sz w:val="24"/>
          <w:szCs w:val="24"/>
        </w:rPr>
        <w:t>Sarah’s Law (Child Sex Offender Disclosure Scheme)</w:t>
      </w:r>
      <w:r w:rsidRPr="00104EA1">
        <w:rPr>
          <w:rFonts w:cstheme="minorHAnsi"/>
          <w:sz w:val="24"/>
          <w:szCs w:val="24"/>
        </w:rPr>
        <w:t xml:space="preserve">. Available at: </w:t>
      </w:r>
      <w:hyperlink r:id="rId18" w:anchor=":~:text=Sarah%27s%20Law%20lets%20you%20ask,to%20report%20possible%20child%20abuse" w:history="1">
        <w:r w:rsidRPr="00104EA1">
          <w:rPr>
            <w:rStyle w:val="Hyperlink"/>
            <w:rFonts w:cstheme="minorHAnsi"/>
            <w:sz w:val="24"/>
            <w:szCs w:val="24"/>
          </w:rPr>
          <w:t>https://www.gwent.police.uk/rqo/request/ri/request-information/sarahs-law-beta/sarahs-law-child-sex-offender-disclosure-scheme/#:~:text=Sarah%27s%20Law%20lets%20you%20ask,to%20report%20possible%20child%20abuse</w:t>
        </w:r>
      </w:hyperlink>
      <w:r w:rsidRPr="00104EA1">
        <w:rPr>
          <w:rFonts w:cstheme="minorHAnsi"/>
          <w:sz w:val="24"/>
          <w:szCs w:val="24"/>
        </w:rPr>
        <w:t>. (Accessed: 18 October 2023)</w:t>
      </w:r>
    </w:p>
    <w:p w14:paraId="03229214" w14:textId="77777777" w:rsidR="003E7845" w:rsidRPr="00104EA1" w:rsidRDefault="003E7845" w:rsidP="003E7845">
      <w:pPr>
        <w:rPr>
          <w:rFonts w:cstheme="minorHAnsi"/>
          <w:sz w:val="24"/>
          <w:szCs w:val="24"/>
        </w:rPr>
      </w:pPr>
      <w:r w:rsidRPr="00104EA1">
        <w:rPr>
          <w:rFonts w:cstheme="minorHAnsi"/>
          <w:sz w:val="24"/>
          <w:szCs w:val="24"/>
        </w:rPr>
        <w:t xml:space="preserve">HMPPS (2021) </w:t>
      </w:r>
      <w:r w:rsidRPr="00104EA1">
        <w:rPr>
          <w:rFonts w:cstheme="minorHAnsi"/>
          <w:i/>
          <w:iCs/>
          <w:sz w:val="24"/>
          <w:szCs w:val="24"/>
        </w:rPr>
        <w:t>MAPPA Guidance</w:t>
      </w:r>
      <w:r w:rsidRPr="00104EA1">
        <w:rPr>
          <w:rFonts w:cstheme="minorHAnsi"/>
          <w:sz w:val="24"/>
          <w:szCs w:val="24"/>
        </w:rPr>
        <w:t xml:space="preserve">. Available at: </w:t>
      </w:r>
      <w:hyperlink r:id="rId19" w:history="1">
        <w:r w:rsidRPr="00104EA1">
          <w:rPr>
            <w:rStyle w:val="Hyperlink"/>
            <w:rFonts w:cstheme="minorHAnsi"/>
            <w:sz w:val="24"/>
            <w:szCs w:val="24"/>
          </w:rPr>
          <w:t>https://www.proceduresonline.com/trixcms2/media/12988/mappa_guidance-nov-2021.pdf</w:t>
        </w:r>
      </w:hyperlink>
      <w:r w:rsidRPr="00104EA1">
        <w:rPr>
          <w:rFonts w:cstheme="minorHAnsi"/>
          <w:sz w:val="24"/>
          <w:szCs w:val="24"/>
        </w:rPr>
        <w:t xml:space="preserve"> (Accessed: 18 October 2023).</w:t>
      </w:r>
    </w:p>
    <w:p w14:paraId="604AAA62" w14:textId="77777777" w:rsidR="003E7845" w:rsidRPr="00104EA1" w:rsidRDefault="003E7845" w:rsidP="003E7845">
      <w:pPr>
        <w:rPr>
          <w:rFonts w:cstheme="minorHAnsi"/>
          <w:sz w:val="24"/>
          <w:szCs w:val="24"/>
        </w:rPr>
      </w:pPr>
      <w:r w:rsidRPr="00104EA1">
        <w:rPr>
          <w:rFonts w:cstheme="minorHAnsi"/>
          <w:sz w:val="24"/>
          <w:szCs w:val="24"/>
        </w:rPr>
        <w:t xml:space="preserve">Laming, H. (2003) </w:t>
      </w:r>
      <w:r w:rsidRPr="00104EA1">
        <w:rPr>
          <w:rFonts w:cstheme="minorHAnsi"/>
          <w:i/>
          <w:iCs/>
          <w:sz w:val="24"/>
          <w:szCs w:val="24"/>
        </w:rPr>
        <w:t>The Victoria Climbie Inquiry</w:t>
      </w:r>
      <w:r w:rsidRPr="00104EA1">
        <w:rPr>
          <w:rFonts w:cstheme="minorHAnsi"/>
          <w:sz w:val="24"/>
          <w:szCs w:val="24"/>
        </w:rPr>
        <w:t xml:space="preserve">, (CM 5730). Available at: </w:t>
      </w:r>
      <w:hyperlink r:id="rId20" w:history="1">
        <w:r w:rsidRPr="00104EA1">
          <w:rPr>
            <w:rStyle w:val="Hyperlink"/>
            <w:rFonts w:cstheme="minorHAnsi"/>
            <w:sz w:val="24"/>
            <w:szCs w:val="24"/>
          </w:rPr>
          <w:t>https://assets.publishing.service.gov.uk/media/5a7c5edeed915d696ccfc51b/5730.pdf</w:t>
        </w:r>
      </w:hyperlink>
      <w:r w:rsidRPr="00104EA1">
        <w:rPr>
          <w:rFonts w:cstheme="minorHAnsi"/>
          <w:sz w:val="24"/>
          <w:szCs w:val="24"/>
        </w:rPr>
        <w:t xml:space="preserve"> (Accessed: 18 October 2023).</w:t>
      </w:r>
    </w:p>
    <w:p w14:paraId="2B775662" w14:textId="77777777" w:rsidR="003E7845" w:rsidRPr="00104EA1" w:rsidRDefault="003E7845" w:rsidP="003E7845">
      <w:pPr>
        <w:rPr>
          <w:rFonts w:cstheme="minorHAnsi"/>
          <w:sz w:val="24"/>
          <w:szCs w:val="24"/>
        </w:rPr>
      </w:pPr>
      <w:r w:rsidRPr="00104EA1">
        <w:rPr>
          <w:rFonts w:cstheme="minorHAnsi"/>
          <w:sz w:val="24"/>
          <w:szCs w:val="24"/>
        </w:rPr>
        <w:t xml:space="preserve">Nash, M. (2010) ‘The art of deception – UK public protection policy and the criminal justice ‘crisis’ of 2006’, </w:t>
      </w:r>
      <w:r w:rsidRPr="00104EA1">
        <w:rPr>
          <w:rFonts w:cstheme="minorHAnsi"/>
          <w:i/>
          <w:iCs/>
          <w:sz w:val="24"/>
          <w:szCs w:val="24"/>
        </w:rPr>
        <w:t>International Journal of Law, Crime and Justice</w:t>
      </w:r>
      <w:r w:rsidRPr="00104EA1">
        <w:rPr>
          <w:rFonts w:cstheme="minorHAnsi"/>
          <w:sz w:val="24"/>
          <w:szCs w:val="24"/>
        </w:rPr>
        <w:t xml:space="preserve">, 38(3), pp. 79 – 93. Available at: </w:t>
      </w:r>
      <w:hyperlink r:id="rId21" w:history="1">
        <w:r w:rsidRPr="00104EA1">
          <w:rPr>
            <w:rStyle w:val="Hyperlink"/>
            <w:rFonts w:cstheme="minorHAnsi"/>
            <w:sz w:val="24"/>
            <w:szCs w:val="24"/>
          </w:rPr>
          <w:t>https://doi-org.ezproxy.uwtsd.ac.uk/10.1016/j.ijlcj.2010.10.001</w:t>
        </w:r>
      </w:hyperlink>
      <w:r w:rsidRPr="00104EA1">
        <w:rPr>
          <w:rFonts w:cstheme="minorHAnsi"/>
          <w:sz w:val="24"/>
          <w:szCs w:val="24"/>
        </w:rPr>
        <w:t xml:space="preserve"> (Accessed: 18 October 2023).</w:t>
      </w:r>
    </w:p>
    <w:p w14:paraId="1C39C3D9" w14:textId="77777777" w:rsidR="003E7845" w:rsidRPr="00104EA1" w:rsidRDefault="003E7845" w:rsidP="003E7845">
      <w:pPr>
        <w:rPr>
          <w:rFonts w:cstheme="minorHAnsi"/>
          <w:sz w:val="24"/>
          <w:szCs w:val="24"/>
        </w:rPr>
      </w:pPr>
      <w:r w:rsidRPr="00104EA1">
        <w:rPr>
          <w:rFonts w:cstheme="minorHAnsi"/>
          <w:sz w:val="24"/>
          <w:szCs w:val="24"/>
        </w:rPr>
        <w:t xml:space="preserve">Pycroft, A. and Gough, D. (2019) </w:t>
      </w:r>
      <w:r w:rsidRPr="00104EA1">
        <w:rPr>
          <w:rFonts w:cstheme="minorHAnsi"/>
          <w:i/>
          <w:iCs/>
          <w:sz w:val="24"/>
          <w:szCs w:val="24"/>
        </w:rPr>
        <w:t>Multi-Agency Working in Criminal Justice</w:t>
      </w:r>
      <w:r w:rsidRPr="00104EA1">
        <w:rPr>
          <w:rFonts w:cstheme="minorHAnsi"/>
          <w:sz w:val="24"/>
          <w:szCs w:val="24"/>
        </w:rPr>
        <w:t xml:space="preserve">. Policy Press: Bristol. Available at: </w:t>
      </w:r>
      <w:hyperlink r:id="rId22" w:history="1">
        <w:r w:rsidRPr="00104EA1">
          <w:rPr>
            <w:rStyle w:val="Hyperlink"/>
            <w:rFonts w:cstheme="minorHAnsi"/>
            <w:sz w:val="24"/>
            <w:szCs w:val="24"/>
          </w:rPr>
          <w:t>https://doi-org.ezproxy.uwtsd.ac.uk/10.2307/j.ctvq4c0j8.10</w:t>
        </w:r>
      </w:hyperlink>
      <w:r w:rsidRPr="00104EA1">
        <w:rPr>
          <w:rFonts w:cstheme="minorHAnsi"/>
          <w:sz w:val="24"/>
          <w:szCs w:val="24"/>
        </w:rPr>
        <w:t xml:space="preserve"> (Accessed: 17 October 2023).</w:t>
      </w:r>
    </w:p>
    <w:p w14:paraId="6F1B11ED" w14:textId="77777777" w:rsidR="003E7845" w:rsidRPr="00104EA1" w:rsidRDefault="003E7845" w:rsidP="003E7845">
      <w:pPr>
        <w:rPr>
          <w:rFonts w:cstheme="minorHAnsi"/>
          <w:sz w:val="24"/>
          <w:szCs w:val="24"/>
        </w:rPr>
      </w:pPr>
      <w:r w:rsidRPr="00104EA1">
        <w:rPr>
          <w:rFonts w:cstheme="minorHAnsi"/>
          <w:sz w:val="24"/>
          <w:szCs w:val="24"/>
        </w:rPr>
        <w:t xml:space="preserve">Taylor, R. and Yakely, J. (2019) ‘Working with MAPPA: Ethics and Pragmatics’, </w:t>
      </w:r>
      <w:r w:rsidRPr="00104EA1">
        <w:rPr>
          <w:rFonts w:cstheme="minorHAnsi"/>
          <w:i/>
          <w:iCs/>
          <w:sz w:val="24"/>
          <w:szCs w:val="24"/>
        </w:rPr>
        <w:t>BJPsych Advances</w:t>
      </w:r>
      <w:r w:rsidRPr="00104EA1">
        <w:rPr>
          <w:rFonts w:cstheme="minorHAnsi"/>
          <w:sz w:val="24"/>
          <w:szCs w:val="24"/>
        </w:rPr>
        <w:t xml:space="preserve">, 25(3), pp. 157 – 165, Available at: </w:t>
      </w:r>
      <w:hyperlink r:id="rId23" w:history="1">
        <w:r w:rsidRPr="00104EA1">
          <w:rPr>
            <w:rStyle w:val="Hyperlink"/>
            <w:rFonts w:cstheme="minorHAnsi"/>
            <w:sz w:val="24"/>
            <w:szCs w:val="24"/>
          </w:rPr>
          <w:t>https://doi.org/10.1192/bja.2018.5</w:t>
        </w:r>
      </w:hyperlink>
      <w:r w:rsidRPr="00104EA1">
        <w:rPr>
          <w:rFonts w:cstheme="minorHAnsi"/>
          <w:sz w:val="24"/>
          <w:szCs w:val="24"/>
        </w:rPr>
        <w:t xml:space="preserve"> (Accessed: 18 October 2023).</w:t>
      </w:r>
    </w:p>
    <w:p w14:paraId="7C8BB6D7" w14:textId="77777777" w:rsidR="003E7845" w:rsidRPr="00104EA1" w:rsidRDefault="003E7845" w:rsidP="003E7845">
      <w:pPr>
        <w:rPr>
          <w:rFonts w:cstheme="minorHAnsi"/>
          <w:sz w:val="24"/>
          <w:szCs w:val="24"/>
        </w:rPr>
      </w:pPr>
      <w:r w:rsidRPr="00104EA1">
        <w:rPr>
          <w:rFonts w:cstheme="minorHAnsi"/>
          <w:sz w:val="24"/>
          <w:szCs w:val="24"/>
        </w:rPr>
        <w:t xml:space="preserve">UNODC (2018) </w:t>
      </w:r>
      <w:r w:rsidRPr="00104EA1">
        <w:rPr>
          <w:rFonts w:cstheme="minorHAnsi"/>
          <w:i/>
          <w:iCs/>
          <w:sz w:val="24"/>
          <w:szCs w:val="24"/>
        </w:rPr>
        <w:t>Introductory Handbook on the Prevention of Recidivism and the Social Reintegration of Offenders</w:t>
      </w:r>
      <w:r w:rsidRPr="00104EA1">
        <w:rPr>
          <w:rFonts w:cstheme="minorHAnsi"/>
          <w:sz w:val="24"/>
          <w:szCs w:val="24"/>
        </w:rPr>
        <w:t xml:space="preserve">. United Nations: Vienna. Available at: </w:t>
      </w:r>
      <w:hyperlink r:id="rId24" w:history="1">
        <w:r w:rsidRPr="00104EA1">
          <w:rPr>
            <w:rStyle w:val="Hyperlink"/>
            <w:rFonts w:cstheme="minorHAnsi"/>
            <w:sz w:val="24"/>
            <w:szCs w:val="24"/>
          </w:rPr>
          <w:t>https://www.unodc.org/documents/justice-and-prison-reform/18-02303_ebook.pdf</w:t>
        </w:r>
      </w:hyperlink>
      <w:r w:rsidRPr="00104EA1">
        <w:rPr>
          <w:rFonts w:cstheme="minorHAnsi"/>
          <w:sz w:val="24"/>
          <w:szCs w:val="24"/>
        </w:rPr>
        <w:t xml:space="preserve"> (Accessed: 18 October 2023).</w:t>
      </w:r>
    </w:p>
    <w:p w14:paraId="16F25F27" w14:textId="77777777" w:rsidR="003E7845" w:rsidRPr="00104EA1" w:rsidRDefault="003E7845" w:rsidP="003E7845">
      <w:pPr>
        <w:rPr>
          <w:rFonts w:cstheme="minorHAnsi"/>
          <w:sz w:val="24"/>
          <w:szCs w:val="24"/>
        </w:rPr>
      </w:pPr>
      <w:r w:rsidRPr="00104EA1">
        <w:rPr>
          <w:rFonts w:cstheme="minorHAnsi"/>
          <w:sz w:val="24"/>
          <w:szCs w:val="24"/>
        </w:rPr>
        <w:lastRenderedPageBreak/>
        <w:t xml:space="preserve">VAWDASV (2018) </w:t>
      </w:r>
      <w:r w:rsidRPr="00104EA1">
        <w:rPr>
          <w:rFonts w:cstheme="minorHAnsi"/>
          <w:i/>
          <w:iCs/>
          <w:sz w:val="24"/>
          <w:szCs w:val="24"/>
        </w:rPr>
        <w:t>Multi-Agency Risk Assessment Conferences (MARAC) Gwent Operating Protocol</w:t>
      </w:r>
      <w:r w:rsidRPr="00104EA1">
        <w:rPr>
          <w:rFonts w:cstheme="minorHAnsi"/>
          <w:sz w:val="24"/>
          <w:szCs w:val="24"/>
        </w:rPr>
        <w:t xml:space="preserve">. Available at: </w:t>
      </w:r>
      <w:hyperlink r:id="rId25" w:history="1">
        <w:r w:rsidRPr="00104EA1">
          <w:rPr>
            <w:rStyle w:val="Hyperlink"/>
            <w:rFonts w:cstheme="minorHAnsi"/>
            <w:sz w:val="24"/>
            <w:szCs w:val="24"/>
          </w:rPr>
          <w:t>https://www.gwentsafeguarding.org.uk/assets/en-documents/Gwent-MARAC-Protocol.pdf</w:t>
        </w:r>
      </w:hyperlink>
      <w:r w:rsidRPr="00104EA1">
        <w:rPr>
          <w:rFonts w:cstheme="minorHAnsi"/>
          <w:sz w:val="24"/>
          <w:szCs w:val="24"/>
        </w:rPr>
        <w:t xml:space="preserve"> (Accessed: 17 October 2023).</w:t>
      </w:r>
    </w:p>
    <w:p w14:paraId="6B39172F" w14:textId="77777777" w:rsidR="003E7845" w:rsidRPr="00104EA1" w:rsidRDefault="003E7845" w:rsidP="003E7845">
      <w:pPr>
        <w:rPr>
          <w:sz w:val="24"/>
          <w:szCs w:val="24"/>
        </w:rPr>
      </w:pPr>
    </w:p>
    <w:p w14:paraId="2DE4EE84" w14:textId="560D9C95" w:rsidR="00A1488B" w:rsidRPr="00A1488B" w:rsidRDefault="003E7845" w:rsidP="00A1488B">
      <w:r>
        <w:br w:type="page"/>
      </w:r>
      <w:r w:rsidR="00A1488B" w:rsidRPr="007677DC">
        <w:rPr>
          <w:sz w:val="24"/>
          <w:szCs w:val="24"/>
          <w:u w:val="single"/>
        </w:rPr>
        <w:lastRenderedPageBreak/>
        <w:t>Question 3: To what extent is ‘lifestyle’ theory an accurate reflection of what makes certain people vulnerable to becoming a victim of Serious and Organised Crime?</w:t>
      </w:r>
    </w:p>
    <w:p w14:paraId="429F1180" w14:textId="77777777" w:rsidR="00A1488B" w:rsidRPr="007677DC" w:rsidRDefault="00A1488B" w:rsidP="00A1488B">
      <w:pPr>
        <w:rPr>
          <w:sz w:val="24"/>
          <w:szCs w:val="24"/>
        </w:rPr>
      </w:pPr>
    </w:p>
    <w:p w14:paraId="6B6F2347" w14:textId="77777777" w:rsidR="00A1488B" w:rsidRPr="007677DC" w:rsidRDefault="00A1488B" w:rsidP="00A1488B">
      <w:pPr>
        <w:spacing w:line="360" w:lineRule="auto"/>
        <w:rPr>
          <w:sz w:val="24"/>
          <w:szCs w:val="24"/>
        </w:rPr>
      </w:pPr>
      <w:r w:rsidRPr="007677DC">
        <w:rPr>
          <w:sz w:val="24"/>
          <w:szCs w:val="24"/>
        </w:rPr>
        <w:t>Lifestyle theory is a theory of victimology that emerged as an area of study in the 1940s (von Hentig, 1948). A common question that emerges from a reflection of victims of crime is “was it a case of wrong place, wrong time?</w:t>
      </w:r>
      <w:proofErr w:type="gramStart"/>
      <w:r w:rsidRPr="007677DC">
        <w:rPr>
          <w:sz w:val="24"/>
          <w:szCs w:val="24"/>
        </w:rPr>
        <w:t>”,</w:t>
      </w:r>
      <w:proofErr w:type="gramEnd"/>
      <w:r w:rsidRPr="007677DC">
        <w:rPr>
          <w:sz w:val="24"/>
          <w:szCs w:val="24"/>
        </w:rPr>
        <w:t xml:space="preserve"> or whether there is a </w:t>
      </w:r>
      <w:r w:rsidRPr="007677DC">
        <w:rPr>
          <w:i/>
          <w:iCs/>
          <w:sz w:val="24"/>
          <w:szCs w:val="24"/>
        </w:rPr>
        <w:t>type</w:t>
      </w:r>
      <w:r w:rsidRPr="007677DC">
        <w:rPr>
          <w:sz w:val="24"/>
          <w:szCs w:val="24"/>
        </w:rPr>
        <w:t xml:space="preserve"> of person who attracts offenders to make victims of them (Daigle, 2021). This essay seeks to clarify whether lifestyle theory is accurate at indicating what might lead someone to becoming a victim of Serious and Organised Crime (SOC).</w:t>
      </w:r>
    </w:p>
    <w:p w14:paraId="21A95B72" w14:textId="77777777" w:rsidR="00A1488B" w:rsidRPr="007677DC" w:rsidRDefault="00A1488B" w:rsidP="00A1488B">
      <w:pPr>
        <w:spacing w:line="360" w:lineRule="auto"/>
        <w:rPr>
          <w:sz w:val="24"/>
          <w:szCs w:val="24"/>
        </w:rPr>
      </w:pPr>
      <w:r w:rsidRPr="007677DC">
        <w:rPr>
          <w:sz w:val="24"/>
          <w:szCs w:val="24"/>
        </w:rPr>
        <w:t xml:space="preserve">It important to distinguish from the outset that there are two types of victims of SOC: those who are a direct victim of the crimes committed by SOC, and those who are victims of </w:t>
      </w:r>
      <w:proofErr w:type="gramStart"/>
      <w:r w:rsidRPr="007677DC">
        <w:rPr>
          <w:sz w:val="24"/>
          <w:szCs w:val="24"/>
        </w:rPr>
        <w:t>being recruited</w:t>
      </w:r>
      <w:proofErr w:type="gramEnd"/>
      <w:r w:rsidRPr="007677DC">
        <w:rPr>
          <w:sz w:val="24"/>
          <w:szCs w:val="24"/>
        </w:rPr>
        <w:t xml:space="preserve"> and then exploited by SOC (such as young people being used as drug runners).</w:t>
      </w:r>
    </w:p>
    <w:p w14:paraId="7925F99B" w14:textId="77777777" w:rsidR="00A1488B" w:rsidRPr="007677DC" w:rsidRDefault="00A1488B" w:rsidP="00A1488B">
      <w:pPr>
        <w:spacing w:line="360" w:lineRule="auto"/>
        <w:rPr>
          <w:sz w:val="24"/>
          <w:szCs w:val="24"/>
        </w:rPr>
      </w:pPr>
      <w:r w:rsidRPr="007677DC">
        <w:rPr>
          <w:sz w:val="24"/>
          <w:szCs w:val="24"/>
        </w:rPr>
        <w:t>Lifestyle theory is often discussed alongside “routine activities theory” (RAT), but lifestyle theory is different in that it conceives of a person’s risk of victimisation in terms of probability (i.e., certain behaviours increasing the odds of victimisation) (Pratt and Turanovic, 2016), whereas Cohen and Felson (1979) set out the key elements of RAT like ingredients: a “likely offender”, the absence of a capable guardian, and a suitable target. This is less nuanced and probabilistic than lifestyle theory.</w:t>
      </w:r>
    </w:p>
    <w:p w14:paraId="40E59D4E" w14:textId="77777777" w:rsidR="00A1488B" w:rsidRPr="007677DC" w:rsidRDefault="00A1488B" w:rsidP="00A1488B">
      <w:pPr>
        <w:spacing w:line="360" w:lineRule="auto"/>
        <w:rPr>
          <w:sz w:val="24"/>
          <w:szCs w:val="24"/>
        </w:rPr>
      </w:pPr>
      <w:r w:rsidRPr="007677DC">
        <w:rPr>
          <w:sz w:val="24"/>
          <w:szCs w:val="24"/>
        </w:rPr>
        <w:t xml:space="preserve">Lifestyle theory maintains that crime is a consequence of both external and internal conditions to which a person </w:t>
      </w:r>
      <w:proofErr w:type="gramStart"/>
      <w:r w:rsidRPr="007677DC">
        <w:rPr>
          <w:sz w:val="24"/>
          <w:szCs w:val="24"/>
        </w:rPr>
        <w:t>is exposed</w:t>
      </w:r>
      <w:proofErr w:type="gramEnd"/>
      <w:r w:rsidRPr="007677DC">
        <w:rPr>
          <w:sz w:val="24"/>
          <w:szCs w:val="24"/>
        </w:rPr>
        <w:t xml:space="preserve">, choices made by the individual, and the cognitions invoked in support of an evolving criminal lifestyle (Walters, 2010). These can </w:t>
      </w:r>
      <w:proofErr w:type="gramStart"/>
      <w:r w:rsidRPr="007677DC">
        <w:rPr>
          <w:sz w:val="24"/>
          <w:szCs w:val="24"/>
        </w:rPr>
        <w:t>be thought</w:t>
      </w:r>
      <w:proofErr w:type="gramEnd"/>
      <w:r w:rsidRPr="007677DC">
        <w:rPr>
          <w:sz w:val="24"/>
          <w:szCs w:val="24"/>
        </w:rPr>
        <w:t xml:space="preserve"> of as the “three C’s” (conditions, choices, and cognitions) which I will deal with individually through the lens of SOC.</w:t>
      </w:r>
    </w:p>
    <w:p w14:paraId="43D085B0" w14:textId="77777777" w:rsidR="00A1488B" w:rsidRPr="007677DC" w:rsidRDefault="00A1488B" w:rsidP="00A1488B">
      <w:pPr>
        <w:spacing w:line="360" w:lineRule="auto"/>
        <w:rPr>
          <w:sz w:val="24"/>
          <w:szCs w:val="24"/>
          <w:u w:val="single"/>
        </w:rPr>
      </w:pPr>
      <w:r w:rsidRPr="007677DC">
        <w:rPr>
          <w:sz w:val="24"/>
          <w:szCs w:val="24"/>
          <w:u w:val="single"/>
        </w:rPr>
        <w:t>Conditions</w:t>
      </w:r>
    </w:p>
    <w:p w14:paraId="31A58E4D" w14:textId="77777777" w:rsidR="00A1488B" w:rsidRPr="007677DC" w:rsidRDefault="00A1488B" w:rsidP="00A1488B">
      <w:pPr>
        <w:spacing w:line="360" w:lineRule="auto"/>
        <w:rPr>
          <w:sz w:val="24"/>
          <w:szCs w:val="24"/>
        </w:rPr>
      </w:pPr>
      <w:r w:rsidRPr="007677DC">
        <w:rPr>
          <w:sz w:val="24"/>
          <w:szCs w:val="24"/>
        </w:rPr>
        <w:t xml:space="preserve">“What’s past is prologue” – these words from The Tempest (Shakespeare, 1623) succinctly sums up how past conditions are </w:t>
      </w:r>
      <w:proofErr w:type="gramStart"/>
      <w:r w:rsidRPr="007677DC">
        <w:rPr>
          <w:sz w:val="24"/>
          <w:szCs w:val="24"/>
        </w:rPr>
        <w:t>directly linked</w:t>
      </w:r>
      <w:proofErr w:type="gramEnd"/>
      <w:r w:rsidRPr="007677DC">
        <w:rPr>
          <w:sz w:val="24"/>
          <w:szCs w:val="24"/>
        </w:rPr>
        <w:t xml:space="preserve"> to the events that subsequently unfold. Criminality as a lifestyle tends to be the outcome of a sequence of early life events shaped by </w:t>
      </w:r>
      <w:proofErr w:type="gramStart"/>
      <w:r w:rsidRPr="007677DC">
        <w:rPr>
          <w:sz w:val="24"/>
          <w:szCs w:val="24"/>
        </w:rPr>
        <w:t>various factors</w:t>
      </w:r>
      <w:proofErr w:type="gramEnd"/>
      <w:r w:rsidRPr="007677DC">
        <w:rPr>
          <w:sz w:val="24"/>
          <w:szCs w:val="24"/>
        </w:rPr>
        <w:t xml:space="preserve"> in one’s early development.</w:t>
      </w:r>
    </w:p>
    <w:p w14:paraId="3750DFE3" w14:textId="77777777" w:rsidR="00A1488B" w:rsidRPr="007677DC" w:rsidRDefault="00A1488B" w:rsidP="00A1488B">
      <w:pPr>
        <w:spacing w:line="360" w:lineRule="auto"/>
        <w:rPr>
          <w:sz w:val="24"/>
          <w:szCs w:val="24"/>
        </w:rPr>
      </w:pPr>
      <w:r w:rsidRPr="007677DC">
        <w:rPr>
          <w:sz w:val="24"/>
          <w:szCs w:val="24"/>
        </w:rPr>
        <w:t xml:space="preserve">Tremblay (2009) deals with the issue of early disruptive behaviour (DB) from a biological standpoint. Empirically, most DB starts in early childhood. He states that “overt” DB (such as </w:t>
      </w:r>
      <w:r w:rsidRPr="007677DC">
        <w:rPr>
          <w:sz w:val="24"/>
          <w:szCs w:val="24"/>
        </w:rPr>
        <w:lastRenderedPageBreak/>
        <w:t xml:space="preserve">physical aggression and defiance) start in infancy, peaking between 2 to 4 years old. As cognitive ability improves with age, the child develops more “covert” DB (such as rule breaking, theft, and vandalism). Tremblay outlined perinatal risk factors to the development of DB, including poor nutrition, stress, </w:t>
      </w:r>
      <w:proofErr w:type="gramStart"/>
      <w:r w:rsidRPr="007677DC">
        <w:rPr>
          <w:sz w:val="24"/>
          <w:szCs w:val="24"/>
        </w:rPr>
        <w:t>alcohol</w:t>
      </w:r>
      <w:proofErr w:type="gramEnd"/>
      <w:r w:rsidRPr="007677DC">
        <w:rPr>
          <w:sz w:val="24"/>
          <w:szCs w:val="24"/>
        </w:rPr>
        <w:t xml:space="preserve"> and tobacco consumption during pregnancy as well as social and environmental factors, and that as early intervention as possible should be the aim. If one waits for several years after birth (or worse, by adolescence), Tremblay writes that a disruptive child “may only have half of his gene expression potential to gain control over himself</w:t>
      </w:r>
      <w:proofErr w:type="gramStart"/>
      <w:r w:rsidRPr="007677DC">
        <w:rPr>
          <w:sz w:val="24"/>
          <w:szCs w:val="24"/>
        </w:rPr>
        <w:t>”.</w:t>
      </w:r>
      <w:proofErr w:type="gramEnd"/>
    </w:p>
    <w:p w14:paraId="34A9DEFB" w14:textId="77777777" w:rsidR="00A1488B" w:rsidRPr="007677DC" w:rsidRDefault="00A1488B" w:rsidP="00A1488B">
      <w:pPr>
        <w:spacing w:line="360" w:lineRule="auto"/>
        <w:rPr>
          <w:sz w:val="24"/>
          <w:szCs w:val="24"/>
        </w:rPr>
      </w:pPr>
      <w:r w:rsidRPr="007677DC">
        <w:rPr>
          <w:sz w:val="24"/>
          <w:szCs w:val="24"/>
        </w:rPr>
        <w:t xml:space="preserve">The link between exposure to adverse childhood experiences (ACEs) and subsequent involvement in organised crime is now well established, with </w:t>
      </w:r>
      <w:proofErr w:type="gramStart"/>
      <w:r w:rsidRPr="007677DC">
        <w:rPr>
          <w:sz w:val="24"/>
          <w:szCs w:val="24"/>
        </w:rPr>
        <w:t>several</w:t>
      </w:r>
      <w:proofErr w:type="gramEnd"/>
      <w:r w:rsidRPr="007677DC">
        <w:rPr>
          <w:sz w:val="24"/>
          <w:szCs w:val="24"/>
        </w:rPr>
        <w:t xml:space="preserve"> studies showing strong correlations (Wolff et al., 2020).</w:t>
      </w:r>
    </w:p>
    <w:p w14:paraId="73DC2304" w14:textId="77777777" w:rsidR="00A1488B" w:rsidRPr="007677DC" w:rsidRDefault="00A1488B" w:rsidP="00A1488B">
      <w:pPr>
        <w:spacing w:line="360" w:lineRule="auto"/>
        <w:rPr>
          <w:sz w:val="24"/>
          <w:szCs w:val="24"/>
          <w:u w:val="single"/>
        </w:rPr>
      </w:pPr>
      <w:r w:rsidRPr="007677DC">
        <w:rPr>
          <w:sz w:val="24"/>
          <w:szCs w:val="24"/>
          <w:u w:val="single"/>
        </w:rPr>
        <w:t>Choices</w:t>
      </w:r>
    </w:p>
    <w:p w14:paraId="5F383681" w14:textId="77777777" w:rsidR="00A1488B" w:rsidRPr="007677DC" w:rsidRDefault="00A1488B" w:rsidP="00A1488B">
      <w:pPr>
        <w:spacing w:line="360" w:lineRule="auto"/>
        <w:rPr>
          <w:sz w:val="24"/>
          <w:szCs w:val="24"/>
        </w:rPr>
      </w:pPr>
      <w:r w:rsidRPr="007677DC">
        <w:rPr>
          <w:sz w:val="24"/>
          <w:szCs w:val="24"/>
        </w:rPr>
        <w:t xml:space="preserve">While an individual’s conditions of early development provide the pathways for criminality, whether they make a specific choice or not is dependent on the individual’s input of information, the processing of that information, and the output (i.e., choice) (Walters, 2010). </w:t>
      </w:r>
    </w:p>
    <w:p w14:paraId="0A8FDBFE" w14:textId="77777777" w:rsidR="00A1488B" w:rsidRPr="007677DC" w:rsidRDefault="00A1488B" w:rsidP="00A1488B">
      <w:pPr>
        <w:spacing w:line="360" w:lineRule="auto"/>
        <w:rPr>
          <w:sz w:val="24"/>
          <w:szCs w:val="24"/>
        </w:rPr>
      </w:pPr>
      <w:r w:rsidRPr="007677DC">
        <w:rPr>
          <w:sz w:val="24"/>
          <w:szCs w:val="24"/>
        </w:rPr>
        <w:t xml:space="preserve">Fried and Reppucci’s study (2001) outlined adolescent decision-making being particularly impaired around the ages of 15 to 16 (and displaying less mature decision-making than both younger and older adolescents). This impairment surely makes middle adolescents most vulnerable to manipulation and tallies with them being a prime target for SOC groups in their early recruitment into drug-related crime. Unfortunately, ‘county lines’ is a well-established and successful model for SOC groups. The National Young Agency (2021) found that, despite police efforts to successfully reduce county lines, criminal gangs were instead changing the ways they work, by targeting vulnerable young children in county-towns, as well as moving children across county lines. They also indicated that 27,000 children </w:t>
      </w:r>
      <w:proofErr w:type="gramStart"/>
      <w:r w:rsidRPr="007677DC">
        <w:rPr>
          <w:sz w:val="24"/>
          <w:szCs w:val="24"/>
        </w:rPr>
        <w:t>were involved in</w:t>
      </w:r>
      <w:proofErr w:type="gramEnd"/>
      <w:r w:rsidRPr="007677DC">
        <w:rPr>
          <w:sz w:val="24"/>
          <w:szCs w:val="24"/>
        </w:rPr>
        <w:t xml:space="preserve"> county lines, with 450,000 young people also exposed to risks associated with criminal gangs.</w:t>
      </w:r>
    </w:p>
    <w:p w14:paraId="4BF74CAE" w14:textId="77777777" w:rsidR="00A1488B" w:rsidRPr="007677DC" w:rsidRDefault="00A1488B" w:rsidP="00A1488B">
      <w:pPr>
        <w:spacing w:line="360" w:lineRule="auto"/>
        <w:rPr>
          <w:sz w:val="24"/>
          <w:szCs w:val="24"/>
        </w:rPr>
      </w:pPr>
      <w:r w:rsidRPr="007677DC">
        <w:rPr>
          <w:sz w:val="24"/>
          <w:szCs w:val="24"/>
        </w:rPr>
        <w:t xml:space="preserve">As well as being impressionable for recruitment, young people may also </w:t>
      </w:r>
      <w:proofErr w:type="gramStart"/>
      <w:r w:rsidRPr="007677DC">
        <w:rPr>
          <w:sz w:val="24"/>
          <w:szCs w:val="24"/>
        </w:rPr>
        <w:t>be exploited</w:t>
      </w:r>
      <w:proofErr w:type="gramEnd"/>
      <w:r w:rsidRPr="007677DC">
        <w:rPr>
          <w:sz w:val="24"/>
          <w:szCs w:val="24"/>
        </w:rPr>
        <w:t xml:space="preserve"> for their impaired decision-making to become victims of crime or used as a means of appearing legitimate. Thompson (2019) describes an apt anecdote of a 13-year-old girl who was approached by an older male in her community and told to “walk with me like you’re my </w:t>
      </w:r>
      <w:r w:rsidRPr="007677DC">
        <w:rPr>
          <w:sz w:val="24"/>
          <w:szCs w:val="24"/>
        </w:rPr>
        <w:lastRenderedPageBreak/>
        <w:t>sister for a minute”, and it was not until afterwards that she realised she was being used as a form of protection, to minimise the appearance of suspicion. Someone of adult age, or even just from a different socio-economic environment, may have identified the motivation behind it instantly and made a choice not to engage.</w:t>
      </w:r>
    </w:p>
    <w:p w14:paraId="69458BE5" w14:textId="77777777" w:rsidR="00A1488B" w:rsidRPr="007677DC" w:rsidRDefault="00A1488B" w:rsidP="00A1488B">
      <w:pPr>
        <w:spacing w:line="360" w:lineRule="auto"/>
        <w:rPr>
          <w:sz w:val="24"/>
          <w:szCs w:val="24"/>
          <w:u w:val="single"/>
        </w:rPr>
      </w:pPr>
      <w:r w:rsidRPr="007677DC">
        <w:rPr>
          <w:sz w:val="24"/>
          <w:szCs w:val="24"/>
          <w:u w:val="single"/>
        </w:rPr>
        <w:t>Cognitions</w:t>
      </w:r>
    </w:p>
    <w:p w14:paraId="2C14C47B" w14:textId="77777777" w:rsidR="00A1488B" w:rsidRPr="007677DC" w:rsidRDefault="00A1488B" w:rsidP="00A1488B">
      <w:pPr>
        <w:spacing w:line="360" w:lineRule="auto"/>
        <w:rPr>
          <w:sz w:val="24"/>
          <w:szCs w:val="24"/>
        </w:rPr>
      </w:pPr>
      <w:r w:rsidRPr="007677DC">
        <w:rPr>
          <w:sz w:val="24"/>
          <w:szCs w:val="24"/>
        </w:rPr>
        <w:t xml:space="preserve">The criminal lifestyle </w:t>
      </w:r>
      <w:proofErr w:type="gramStart"/>
      <w:r w:rsidRPr="007677DC">
        <w:rPr>
          <w:sz w:val="24"/>
          <w:szCs w:val="24"/>
        </w:rPr>
        <w:t>is firmly cemented</w:t>
      </w:r>
      <w:proofErr w:type="gramEnd"/>
      <w:r w:rsidRPr="007677DC">
        <w:rPr>
          <w:sz w:val="24"/>
          <w:szCs w:val="24"/>
        </w:rPr>
        <w:t xml:space="preserve"> by the conditions and choices as described above, culminating in a belief system which promotes and substantiates a criminal style of thinking and subsequent patterns of behaviour (Walters, 2010).</w:t>
      </w:r>
    </w:p>
    <w:p w14:paraId="33C278ED" w14:textId="77777777" w:rsidR="00A1488B" w:rsidRPr="007677DC" w:rsidRDefault="00A1488B" w:rsidP="00A1488B">
      <w:pPr>
        <w:spacing w:line="360" w:lineRule="auto"/>
        <w:rPr>
          <w:sz w:val="24"/>
          <w:szCs w:val="24"/>
        </w:rPr>
      </w:pPr>
      <w:r w:rsidRPr="007677DC">
        <w:rPr>
          <w:sz w:val="24"/>
          <w:szCs w:val="24"/>
        </w:rPr>
        <w:t>Albanese (2016) states that crime occurs when criminal acts bring pleasure rather than guilt or shame. Albanese’s theory does not seem to align exactly with lifestyle theory, which does not take pleasure or shame into account, but suggests that a criminal individual’s general cognition is the engine for criminality, as it is the core part of their style of thinking, whether it brings pleasure or not.</w:t>
      </w:r>
    </w:p>
    <w:p w14:paraId="46A5F88F" w14:textId="77777777" w:rsidR="00A1488B" w:rsidRPr="007677DC" w:rsidRDefault="00A1488B" w:rsidP="00A1488B">
      <w:pPr>
        <w:spacing w:line="360" w:lineRule="auto"/>
        <w:rPr>
          <w:sz w:val="24"/>
          <w:szCs w:val="24"/>
        </w:rPr>
      </w:pPr>
      <w:r w:rsidRPr="007677DC">
        <w:rPr>
          <w:sz w:val="24"/>
          <w:szCs w:val="24"/>
        </w:rPr>
        <w:t xml:space="preserve">Once the individual is firmly entrenched into the criminal style of thinking, particularly as it has its foundations in </w:t>
      </w:r>
      <w:proofErr w:type="gramStart"/>
      <w:r w:rsidRPr="007677DC">
        <w:rPr>
          <w:sz w:val="24"/>
          <w:szCs w:val="24"/>
        </w:rPr>
        <w:t>very early</w:t>
      </w:r>
      <w:proofErr w:type="gramEnd"/>
      <w:r w:rsidRPr="007677DC">
        <w:rPr>
          <w:sz w:val="24"/>
          <w:szCs w:val="24"/>
        </w:rPr>
        <w:t xml:space="preserve"> development (or even from birth), it is very difficult to unravel. Madzharov (2019) shows that the psychological portrait of someone involved in serious organised crime tends to involve: a sense of uniqueness, desire for superiority, elitism, motive for self-affirmation and self-realisation, inadequately inflated self-esteem, aggression-adrenaline experiences, flexible adaptive and exculpatory defences, narcissism, and psychopathy. If it </w:t>
      </w:r>
      <w:proofErr w:type="gramStart"/>
      <w:r w:rsidRPr="007677DC">
        <w:rPr>
          <w:sz w:val="24"/>
          <w:szCs w:val="24"/>
        </w:rPr>
        <w:t>was</w:t>
      </w:r>
      <w:proofErr w:type="gramEnd"/>
      <w:r w:rsidRPr="007677DC">
        <w:rPr>
          <w:sz w:val="24"/>
          <w:szCs w:val="24"/>
        </w:rPr>
        <w:t xml:space="preserve"> the purpose of this essay to do so, each trait could be expounded at length as to their direct roots in early development.</w:t>
      </w:r>
    </w:p>
    <w:p w14:paraId="683D6555" w14:textId="77777777" w:rsidR="00A1488B" w:rsidRPr="007677DC" w:rsidRDefault="00A1488B" w:rsidP="00A1488B">
      <w:pPr>
        <w:spacing w:line="360" w:lineRule="auto"/>
        <w:rPr>
          <w:sz w:val="24"/>
          <w:szCs w:val="24"/>
        </w:rPr>
      </w:pPr>
      <w:r w:rsidRPr="007677DC">
        <w:rPr>
          <w:sz w:val="24"/>
          <w:szCs w:val="24"/>
        </w:rPr>
        <w:t xml:space="preserve">It has </w:t>
      </w:r>
      <w:proofErr w:type="gramStart"/>
      <w:r w:rsidRPr="007677DC">
        <w:rPr>
          <w:sz w:val="24"/>
          <w:szCs w:val="24"/>
        </w:rPr>
        <w:t>been demonstrated</w:t>
      </w:r>
      <w:proofErr w:type="gramEnd"/>
      <w:r w:rsidRPr="007677DC">
        <w:rPr>
          <w:sz w:val="24"/>
          <w:szCs w:val="24"/>
        </w:rPr>
        <w:t xml:space="preserve"> that lifestyle theory is relevant to victims of organised crime, with the influence and seriousness of each of the “three C’s” demonstrably increasing the risk of involvement in, or being a victim of, serious organised crime groups. Lifestyle theory clearly constitutes an important indicator for police and other interested parties as to propensity and likelihood of an individual being vulnerable to becoming a victim of organised crime.</w:t>
      </w:r>
    </w:p>
    <w:p w14:paraId="1665507D" w14:textId="77777777" w:rsidR="00A1488B" w:rsidRPr="007677DC" w:rsidRDefault="00A1488B" w:rsidP="00A1488B">
      <w:pPr>
        <w:spacing w:line="360" w:lineRule="auto"/>
        <w:rPr>
          <w:sz w:val="24"/>
          <w:szCs w:val="24"/>
        </w:rPr>
      </w:pPr>
    </w:p>
    <w:p w14:paraId="47CD8062" w14:textId="77777777" w:rsidR="00A1488B" w:rsidRPr="007677DC" w:rsidRDefault="00A1488B" w:rsidP="00A1488B">
      <w:pPr>
        <w:spacing w:line="360" w:lineRule="auto"/>
        <w:rPr>
          <w:sz w:val="24"/>
          <w:szCs w:val="24"/>
        </w:rPr>
      </w:pPr>
      <w:r w:rsidRPr="007677DC">
        <w:rPr>
          <w:sz w:val="24"/>
          <w:szCs w:val="24"/>
        </w:rPr>
        <w:t>1047 words</w:t>
      </w:r>
    </w:p>
    <w:p w14:paraId="31C3198D" w14:textId="77777777" w:rsidR="00A1488B" w:rsidRPr="007677DC" w:rsidRDefault="00A1488B" w:rsidP="00A1488B">
      <w:pPr>
        <w:rPr>
          <w:sz w:val="24"/>
          <w:szCs w:val="24"/>
        </w:rPr>
      </w:pPr>
      <w:r w:rsidRPr="007677DC">
        <w:rPr>
          <w:sz w:val="24"/>
          <w:szCs w:val="24"/>
        </w:rPr>
        <w:br w:type="page"/>
      </w:r>
    </w:p>
    <w:p w14:paraId="24B809EB" w14:textId="77777777" w:rsidR="00A1488B" w:rsidRPr="007677DC" w:rsidRDefault="00A1488B" w:rsidP="00A1488B">
      <w:pPr>
        <w:rPr>
          <w:sz w:val="24"/>
          <w:szCs w:val="24"/>
          <w:u w:val="single"/>
        </w:rPr>
      </w:pPr>
      <w:r w:rsidRPr="007677DC">
        <w:rPr>
          <w:sz w:val="24"/>
          <w:szCs w:val="24"/>
          <w:u w:val="single"/>
        </w:rPr>
        <w:lastRenderedPageBreak/>
        <w:t>Bibliography</w:t>
      </w:r>
    </w:p>
    <w:p w14:paraId="43615217" w14:textId="77777777" w:rsidR="00A1488B" w:rsidRPr="007677DC" w:rsidRDefault="00A1488B" w:rsidP="00A1488B">
      <w:pPr>
        <w:rPr>
          <w:sz w:val="24"/>
          <w:szCs w:val="24"/>
        </w:rPr>
      </w:pPr>
      <w:r w:rsidRPr="007677DC">
        <w:rPr>
          <w:sz w:val="24"/>
          <w:szCs w:val="24"/>
        </w:rPr>
        <w:t xml:space="preserve">Albanese, J. (2016) </w:t>
      </w:r>
      <w:r w:rsidRPr="007677DC">
        <w:rPr>
          <w:i/>
          <w:iCs/>
          <w:sz w:val="24"/>
          <w:szCs w:val="24"/>
        </w:rPr>
        <w:t>Professional Ethics: Being Ethical When No One Is Looking</w:t>
      </w:r>
      <w:r w:rsidRPr="007677DC">
        <w:rPr>
          <w:sz w:val="24"/>
          <w:szCs w:val="24"/>
        </w:rPr>
        <w:t>. Upper Saddle River, New Jersey: Prentice Hall.</w:t>
      </w:r>
    </w:p>
    <w:p w14:paraId="07970E68" w14:textId="77777777" w:rsidR="00A1488B" w:rsidRPr="007677DC" w:rsidRDefault="00A1488B" w:rsidP="00A1488B">
      <w:pPr>
        <w:rPr>
          <w:sz w:val="24"/>
          <w:szCs w:val="24"/>
        </w:rPr>
      </w:pPr>
      <w:r w:rsidRPr="007677DC">
        <w:rPr>
          <w:sz w:val="24"/>
          <w:szCs w:val="24"/>
        </w:rPr>
        <w:t xml:space="preserve">Daigle, L. (2021) ‘Introduction to Victimology’, in </w:t>
      </w:r>
      <w:r w:rsidRPr="007677DC">
        <w:rPr>
          <w:i/>
          <w:iCs/>
          <w:sz w:val="24"/>
          <w:szCs w:val="24"/>
        </w:rPr>
        <w:t>Victimology</w:t>
      </w:r>
      <w:r w:rsidRPr="007677DC">
        <w:rPr>
          <w:sz w:val="24"/>
          <w:szCs w:val="24"/>
        </w:rPr>
        <w:t xml:space="preserve">. SAGE Publications. Available at: </w:t>
      </w:r>
      <w:hyperlink r:id="rId26" w:history="1">
        <w:r w:rsidRPr="007677DC">
          <w:rPr>
            <w:rStyle w:val="Hyperlink"/>
            <w:sz w:val="24"/>
            <w:szCs w:val="24"/>
          </w:rPr>
          <w:t>https://us.sagepub.com/sites/default/files/upm-binaries/70565_Daigle_Chapter_1.pdf</w:t>
        </w:r>
      </w:hyperlink>
      <w:r w:rsidRPr="007677DC">
        <w:rPr>
          <w:sz w:val="24"/>
          <w:szCs w:val="24"/>
        </w:rPr>
        <w:t xml:space="preserve"> (Accessed: 18 October 2023).</w:t>
      </w:r>
    </w:p>
    <w:p w14:paraId="49105B49" w14:textId="77777777" w:rsidR="00A1488B" w:rsidRPr="007677DC" w:rsidRDefault="00A1488B" w:rsidP="00A1488B">
      <w:pPr>
        <w:rPr>
          <w:sz w:val="24"/>
          <w:szCs w:val="24"/>
        </w:rPr>
      </w:pPr>
      <w:r w:rsidRPr="007677DC">
        <w:rPr>
          <w:sz w:val="24"/>
          <w:szCs w:val="24"/>
        </w:rPr>
        <w:t xml:space="preserve">Cohen, L. and Felson, M. (1979) ‘Social Change and Crime Rate Trends: A Routine Activity Approach’, </w:t>
      </w:r>
      <w:r w:rsidRPr="007677DC">
        <w:rPr>
          <w:i/>
          <w:iCs/>
          <w:sz w:val="24"/>
          <w:szCs w:val="24"/>
        </w:rPr>
        <w:t>American Sociological Review</w:t>
      </w:r>
      <w:r w:rsidRPr="007677DC">
        <w:rPr>
          <w:sz w:val="24"/>
          <w:szCs w:val="24"/>
        </w:rPr>
        <w:t xml:space="preserve">, 44(4), pp. 588 – 608. Available at: </w:t>
      </w:r>
      <w:hyperlink r:id="rId27" w:history="1">
        <w:r w:rsidRPr="007677DC">
          <w:rPr>
            <w:rStyle w:val="Hyperlink"/>
            <w:sz w:val="24"/>
            <w:szCs w:val="24"/>
          </w:rPr>
          <w:t>https://doi-org.ezproxy.uwtsd.ac.uk/10.2307/2094589</w:t>
        </w:r>
      </w:hyperlink>
      <w:r w:rsidRPr="007677DC">
        <w:rPr>
          <w:sz w:val="24"/>
          <w:szCs w:val="24"/>
        </w:rPr>
        <w:t xml:space="preserve"> (Accessed: 18 October 2023).</w:t>
      </w:r>
    </w:p>
    <w:p w14:paraId="138ADF81" w14:textId="77777777" w:rsidR="00A1488B" w:rsidRPr="007677DC" w:rsidRDefault="00A1488B" w:rsidP="00A1488B">
      <w:pPr>
        <w:rPr>
          <w:sz w:val="24"/>
          <w:szCs w:val="24"/>
        </w:rPr>
      </w:pPr>
      <w:r w:rsidRPr="007677DC">
        <w:rPr>
          <w:sz w:val="24"/>
          <w:szCs w:val="24"/>
        </w:rPr>
        <w:t xml:space="preserve">Fried, C. and Reppucci, N. (2001) ‘Criminal Decision Making: The Development of Adolescent Judgment, Criminal Responsibility, and Culpability’, </w:t>
      </w:r>
      <w:r w:rsidRPr="007677DC">
        <w:rPr>
          <w:i/>
          <w:iCs/>
          <w:sz w:val="24"/>
          <w:szCs w:val="24"/>
        </w:rPr>
        <w:t>Law and Human Behavior</w:t>
      </w:r>
      <w:r w:rsidRPr="007677DC">
        <w:rPr>
          <w:sz w:val="24"/>
          <w:szCs w:val="24"/>
        </w:rPr>
        <w:t xml:space="preserve">, 25(1), pp. 45 – 61. Available at: </w:t>
      </w:r>
      <w:hyperlink r:id="rId28" w:history="1">
        <w:r w:rsidRPr="007677DC">
          <w:rPr>
            <w:rStyle w:val="Hyperlink"/>
            <w:sz w:val="24"/>
            <w:szCs w:val="24"/>
          </w:rPr>
          <w:t>https://psycnet.apa.org/doi/10.1023/A:1005639909226</w:t>
        </w:r>
      </w:hyperlink>
      <w:r w:rsidRPr="007677DC">
        <w:rPr>
          <w:sz w:val="24"/>
          <w:szCs w:val="24"/>
        </w:rPr>
        <w:t xml:space="preserve"> (Accessed: 18 October 2023).</w:t>
      </w:r>
    </w:p>
    <w:p w14:paraId="51AD257D" w14:textId="77777777" w:rsidR="00A1488B" w:rsidRPr="007677DC" w:rsidRDefault="00A1488B" w:rsidP="00A1488B">
      <w:pPr>
        <w:rPr>
          <w:sz w:val="24"/>
          <w:szCs w:val="24"/>
        </w:rPr>
      </w:pPr>
      <w:r w:rsidRPr="007677DC">
        <w:rPr>
          <w:sz w:val="24"/>
          <w:szCs w:val="24"/>
        </w:rPr>
        <w:t xml:space="preserve">Madzharov, E. (2019) ‘An Attempt to Summarize the Psychological Portrait of Perpetrators of Organized Crime’, </w:t>
      </w:r>
      <w:r w:rsidRPr="007677DC">
        <w:rPr>
          <w:i/>
          <w:iCs/>
          <w:sz w:val="24"/>
          <w:szCs w:val="24"/>
        </w:rPr>
        <w:t>International Scientific Journal “Security and Future”</w:t>
      </w:r>
      <w:r w:rsidRPr="007677DC">
        <w:rPr>
          <w:sz w:val="24"/>
          <w:szCs w:val="24"/>
        </w:rPr>
        <w:t xml:space="preserve">, 3(4), pp. 156 – 160. Available at: </w:t>
      </w:r>
      <w:hyperlink r:id="rId29" w:history="1">
        <w:r w:rsidRPr="007677DC">
          <w:rPr>
            <w:rStyle w:val="Hyperlink"/>
            <w:sz w:val="24"/>
            <w:szCs w:val="24"/>
          </w:rPr>
          <w:t>https://stumejournals.com/journals/confsec/2019/4/158.full.pdf</w:t>
        </w:r>
      </w:hyperlink>
      <w:r w:rsidRPr="007677DC">
        <w:rPr>
          <w:sz w:val="24"/>
          <w:szCs w:val="24"/>
        </w:rPr>
        <w:t xml:space="preserve"> (Accessed: 18 October 2023).</w:t>
      </w:r>
    </w:p>
    <w:p w14:paraId="7A840D24" w14:textId="77777777" w:rsidR="00A1488B" w:rsidRPr="007677DC" w:rsidRDefault="00A1488B" w:rsidP="00A1488B">
      <w:pPr>
        <w:rPr>
          <w:sz w:val="24"/>
          <w:szCs w:val="24"/>
        </w:rPr>
      </w:pPr>
      <w:r w:rsidRPr="007677DC">
        <w:rPr>
          <w:sz w:val="24"/>
          <w:szCs w:val="24"/>
        </w:rPr>
        <w:t xml:space="preserve">National Youth Agency (2021) Between the Lines. Available at: </w:t>
      </w:r>
      <w:hyperlink r:id="rId30" w:history="1">
        <w:r w:rsidRPr="007677DC">
          <w:rPr>
            <w:rStyle w:val="Hyperlink"/>
            <w:sz w:val="24"/>
            <w:szCs w:val="24"/>
          </w:rPr>
          <w:t>https://static.nya.org.uk/static/f3fcc0c77f1f2d3b579af6274648540b/Between-the-lines-final-version.pdf</w:t>
        </w:r>
      </w:hyperlink>
      <w:r w:rsidRPr="007677DC">
        <w:rPr>
          <w:sz w:val="24"/>
          <w:szCs w:val="24"/>
        </w:rPr>
        <w:t xml:space="preserve"> (Accessed: 18 October 2023).</w:t>
      </w:r>
    </w:p>
    <w:p w14:paraId="36F90B06" w14:textId="77777777" w:rsidR="00A1488B" w:rsidRPr="007677DC" w:rsidRDefault="00A1488B" w:rsidP="00A1488B">
      <w:pPr>
        <w:rPr>
          <w:sz w:val="24"/>
          <w:szCs w:val="24"/>
        </w:rPr>
      </w:pPr>
      <w:r w:rsidRPr="007677DC">
        <w:rPr>
          <w:sz w:val="24"/>
          <w:szCs w:val="24"/>
        </w:rPr>
        <w:t xml:space="preserve">Pratt, T. and Turanovic, J. (2016) ‘Lifestyle and Routine Activity Theories Revisited: The Importance of “Risk” to the Study of Victimization’, </w:t>
      </w:r>
      <w:r w:rsidRPr="007677DC">
        <w:rPr>
          <w:i/>
          <w:iCs/>
          <w:sz w:val="24"/>
          <w:szCs w:val="24"/>
        </w:rPr>
        <w:t>Victims and Offenders</w:t>
      </w:r>
      <w:r w:rsidRPr="007677DC">
        <w:rPr>
          <w:sz w:val="24"/>
          <w:szCs w:val="24"/>
        </w:rPr>
        <w:t xml:space="preserve">, 11(3). Available at: </w:t>
      </w:r>
      <w:hyperlink r:id="rId31" w:history="1">
        <w:r w:rsidRPr="007677DC">
          <w:rPr>
            <w:rStyle w:val="Hyperlink"/>
            <w:sz w:val="24"/>
            <w:szCs w:val="24"/>
          </w:rPr>
          <w:t>https://doi.org/10.1080/15564886.2015.1057351</w:t>
        </w:r>
      </w:hyperlink>
      <w:r w:rsidRPr="007677DC">
        <w:rPr>
          <w:sz w:val="24"/>
          <w:szCs w:val="24"/>
        </w:rPr>
        <w:t xml:space="preserve"> (Accessed: 18 October 2023).</w:t>
      </w:r>
    </w:p>
    <w:p w14:paraId="0B28C338" w14:textId="77777777" w:rsidR="00A1488B" w:rsidRPr="007677DC" w:rsidRDefault="00A1488B" w:rsidP="00A1488B">
      <w:pPr>
        <w:rPr>
          <w:sz w:val="24"/>
          <w:szCs w:val="24"/>
        </w:rPr>
      </w:pPr>
      <w:r w:rsidRPr="007677DC">
        <w:rPr>
          <w:sz w:val="24"/>
          <w:szCs w:val="24"/>
        </w:rPr>
        <w:t xml:space="preserve">Shakespeare, W. (1623) ‘The Tempest’, from </w:t>
      </w:r>
      <w:r w:rsidRPr="007677DC">
        <w:rPr>
          <w:i/>
          <w:iCs/>
          <w:sz w:val="24"/>
          <w:szCs w:val="24"/>
        </w:rPr>
        <w:t>Mr William Shakespeares Comedies, Histories &amp; Tragedies</w:t>
      </w:r>
      <w:r w:rsidRPr="007677DC">
        <w:rPr>
          <w:sz w:val="24"/>
          <w:szCs w:val="24"/>
        </w:rPr>
        <w:t xml:space="preserve">. Available at: </w:t>
      </w:r>
      <w:hyperlink r:id="rId32" w:history="1">
        <w:r w:rsidRPr="007677DC">
          <w:rPr>
            <w:rStyle w:val="Hyperlink"/>
            <w:sz w:val="24"/>
            <w:szCs w:val="24"/>
          </w:rPr>
          <w:t>https://iiif.bodleian.ox.ac.uk/iiif/image/a5aab526-64d9-41f2-9e3c-173151f60ad5/full/full/0/default.jpg</w:t>
        </w:r>
      </w:hyperlink>
      <w:r w:rsidRPr="007677DC">
        <w:rPr>
          <w:sz w:val="24"/>
          <w:szCs w:val="24"/>
        </w:rPr>
        <w:t xml:space="preserve"> (Accessed: 18 October 2023).</w:t>
      </w:r>
    </w:p>
    <w:p w14:paraId="35D5ED3F" w14:textId="77777777" w:rsidR="00A1488B" w:rsidRPr="007677DC" w:rsidRDefault="00A1488B" w:rsidP="00A1488B">
      <w:pPr>
        <w:rPr>
          <w:sz w:val="24"/>
          <w:szCs w:val="24"/>
        </w:rPr>
      </w:pPr>
      <w:r w:rsidRPr="007677DC">
        <w:rPr>
          <w:sz w:val="24"/>
          <w:szCs w:val="24"/>
        </w:rPr>
        <w:t xml:space="preserve">Thompson, N. (2019) ‘It’s a No-Win Scenario, either the Police or the Gang Will Get You’, </w:t>
      </w:r>
      <w:r w:rsidRPr="007677DC">
        <w:rPr>
          <w:i/>
          <w:iCs/>
          <w:sz w:val="24"/>
          <w:szCs w:val="24"/>
        </w:rPr>
        <w:t>Youth Justice</w:t>
      </w:r>
      <w:r w:rsidRPr="007677DC">
        <w:rPr>
          <w:sz w:val="24"/>
          <w:szCs w:val="24"/>
        </w:rPr>
        <w:t xml:space="preserve">, 19(2), pp. 102 – 119. Available at: </w:t>
      </w:r>
      <w:hyperlink r:id="rId33" w:history="1">
        <w:r w:rsidRPr="007677DC">
          <w:rPr>
            <w:rStyle w:val="Hyperlink"/>
            <w:sz w:val="24"/>
            <w:szCs w:val="24"/>
          </w:rPr>
          <w:t>https://research.gold.ac.uk/id/eprint/26063/3/Young-people-and-organised-crime%20accepted.pdf</w:t>
        </w:r>
      </w:hyperlink>
      <w:r w:rsidRPr="007677DC">
        <w:rPr>
          <w:sz w:val="24"/>
          <w:szCs w:val="24"/>
        </w:rPr>
        <w:t xml:space="preserve"> (Accessed: 18 October 2019).</w:t>
      </w:r>
    </w:p>
    <w:p w14:paraId="6AFB62AD" w14:textId="77777777" w:rsidR="00A1488B" w:rsidRPr="007677DC" w:rsidRDefault="00A1488B" w:rsidP="00A1488B">
      <w:pPr>
        <w:rPr>
          <w:sz w:val="24"/>
          <w:szCs w:val="24"/>
        </w:rPr>
      </w:pPr>
      <w:r w:rsidRPr="007677DC">
        <w:rPr>
          <w:sz w:val="24"/>
          <w:szCs w:val="24"/>
        </w:rPr>
        <w:t xml:space="preserve">Tremblay, R. (2010) ‘Developmental origins of disruptive behaviour problems: the ‘original sin’ hypothesis, </w:t>
      </w:r>
      <w:proofErr w:type="gramStart"/>
      <w:r w:rsidRPr="007677DC">
        <w:rPr>
          <w:sz w:val="24"/>
          <w:szCs w:val="24"/>
        </w:rPr>
        <w:t>epigenetics</w:t>
      </w:r>
      <w:proofErr w:type="gramEnd"/>
      <w:r w:rsidRPr="007677DC">
        <w:rPr>
          <w:sz w:val="24"/>
          <w:szCs w:val="24"/>
        </w:rPr>
        <w:t xml:space="preserve"> and their consequences for prevention’, </w:t>
      </w:r>
      <w:r w:rsidRPr="007677DC">
        <w:rPr>
          <w:i/>
          <w:iCs/>
          <w:sz w:val="24"/>
          <w:szCs w:val="24"/>
        </w:rPr>
        <w:t>Journal of Child Psychology &amp; Psychiatry</w:t>
      </w:r>
      <w:r w:rsidRPr="007677DC">
        <w:rPr>
          <w:sz w:val="24"/>
          <w:szCs w:val="24"/>
        </w:rPr>
        <w:t xml:space="preserve">, 51(4), pp. 341 – 367. Available at: </w:t>
      </w:r>
      <w:hyperlink r:id="rId34" w:history="1">
        <w:r w:rsidRPr="007677DC">
          <w:rPr>
            <w:rStyle w:val="Hyperlink"/>
            <w:sz w:val="24"/>
            <w:szCs w:val="24"/>
          </w:rPr>
          <w:t>https://doi.org/10.1111/j.1469-7610.2010.02211.x</w:t>
        </w:r>
      </w:hyperlink>
      <w:r w:rsidRPr="007677DC">
        <w:rPr>
          <w:sz w:val="24"/>
          <w:szCs w:val="24"/>
        </w:rPr>
        <w:t xml:space="preserve"> (Accesssed: 18 October 2023).</w:t>
      </w:r>
    </w:p>
    <w:p w14:paraId="49056A0D" w14:textId="77777777" w:rsidR="00A1488B" w:rsidRPr="007677DC" w:rsidRDefault="00A1488B" w:rsidP="00A1488B">
      <w:pPr>
        <w:rPr>
          <w:sz w:val="24"/>
          <w:szCs w:val="24"/>
        </w:rPr>
      </w:pPr>
      <w:r w:rsidRPr="007677DC">
        <w:rPr>
          <w:sz w:val="24"/>
          <w:szCs w:val="24"/>
        </w:rPr>
        <w:t xml:space="preserve">Von Hentig, H. (1948) </w:t>
      </w:r>
      <w:r w:rsidRPr="007677DC">
        <w:rPr>
          <w:i/>
          <w:iCs/>
          <w:sz w:val="24"/>
          <w:szCs w:val="24"/>
        </w:rPr>
        <w:t>The Criminal and His Victim: Studies in the Sociobiology of Crime</w:t>
      </w:r>
      <w:r w:rsidRPr="007677DC">
        <w:rPr>
          <w:sz w:val="24"/>
          <w:szCs w:val="24"/>
        </w:rPr>
        <w:t xml:space="preserve">. New Haven: Yale University Press. Available at: </w:t>
      </w:r>
      <w:hyperlink r:id="rId35" w:history="1">
        <w:r w:rsidRPr="007677DC">
          <w:rPr>
            <w:rStyle w:val="Hyperlink"/>
            <w:sz w:val="24"/>
            <w:szCs w:val="24"/>
          </w:rPr>
          <w:t>https://archive.org/details/in.ernet.dli.2015.34038/page/n5/mode/2up</w:t>
        </w:r>
      </w:hyperlink>
      <w:r w:rsidRPr="007677DC">
        <w:rPr>
          <w:sz w:val="24"/>
          <w:szCs w:val="24"/>
        </w:rPr>
        <w:t xml:space="preserve"> (Accesssed: 18 October 2023).</w:t>
      </w:r>
    </w:p>
    <w:p w14:paraId="6FC26171" w14:textId="77777777" w:rsidR="00A1488B" w:rsidRPr="007677DC" w:rsidRDefault="00A1488B" w:rsidP="00A1488B">
      <w:pPr>
        <w:rPr>
          <w:sz w:val="24"/>
          <w:szCs w:val="24"/>
        </w:rPr>
      </w:pPr>
      <w:r w:rsidRPr="007677DC">
        <w:rPr>
          <w:sz w:val="24"/>
          <w:szCs w:val="24"/>
        </w:rPr>
        <w:lastRenderedPageBreak/>
        <w:t xml:space="preserve">Walters, G. (2010) ‘Lifestyle Theory’ in F. Cullen and P. Wilcox (ed.) </w:t>
      </w:r>
      <w:r w:rsidRPr="007677DC">
        <w:rPr>
          <w:i/>
          <w:iCs/>
          <w:sz w:val="24"/>
          <w:szCs w:val="24"/>
        </w:rPr>
        <w:t>Encyclopedia of Criminological Theory Vol.2</w:t>
      </w:r>
      <w:r w:rsidRPr="007677DC">
        <w:rPr>
          <w:sz w:val="24"/>
          <w:szCs w:val="24"/>
        </w:rPr>
        <w:t xml:space="preserve">. Online: SAGE Publicatons. Available at: </w:t>
      </w:r>
      <w:hyperlink r:id="rId36" w:history="1">
        <w:r w:rsidRPr="007677DC">
          <w:rPr>
            <w:rStyle w:val="Hyperlink"/>
            <w:sz w:val="24"/>
            <w:szCs w:val="24"/>
          </w:rPr>
          <w:t>https://doi.org/10.4135/9781412959193</w:t>
        </w:r>
      </w:hyperlink>
      <w:r w:rsidRPr="007677DC">
        <w:rPr>
          <w:sz w:val="24"/>
          <w:szCs w:val="24"/>
        </w:rPr>
        <w:t xml:space="preserve"> (Accessed: 18 October 2023).</w:t>
      </w:r>
    </w:p>
    <w:p w14:paraId="0F211B66" w14:textId="77777777" w:rsidR="00A1488B" w:rsidRPr="007677DC" w:rsidRDefault="00A1488B" w:rsidP="00A1488B">
      <w:pPr>
        <w:rPr>
          <w:sz w:val="24"/>
          <w:szCs w:val="24"/>
        </w:rPr>
      </w:pPr>
      <w:r w:rsidRPr="007677DC">
        <w:rPr>
          <w:sz w:val="24"/>
          <w:szCs w:val="24"/>
        </w:rPr>
        <w:t xml:space="preserve">Wolff, K. et al. (2020) ‘Adverse Childhood Experiences (ACEs) and Gang Involvement Among Juvenile Offenders: Assessing the Mediation Effects of Substance Use and Temperament Deficits’, </w:t>
      </w:r>
      <w:r w:rsidRPr="007677DC">
        <w:rPr>
          <w:i/>
          <w:iCs/>
          <w:sz w:val="24"/>
          <w:szCs w:val="24"/>
        </w:rPr>
        <w:t>Youth Violence and Juvenile Justice</w:t>
      </w:r>
      <w:r w:rsidRPr="007677DC">
        <w:rPr>
          <w:sz w:val="24"/>
          <w:szCs w:val="24"/>
        </w:rPr>
        <w:t xml:space="preserve">, 18(1), pp. 24 – 53. Available at: </w:t>
      </w:r>
      <w:hyperlink r:id="rId37" w:history="1">
        <w:r w:rsidRPr="007677DC">
          <w:rPr>
            <w:rStyle w:val="Hyperlink"/>
            <w:sz w:val="24"/>
            <w:szCs w:val="24"/>
          </w:rPr>
          <w:t>https://doi.org/10.1177/1541204019854799</w:t>
        </w:r>
      </w:hyperlink>
      <w:r w:rsidRPr="007677DC">
        <w:rPr>
          <w:sz w:val="24"/>
          <w:szCs w:val="24"/>
        </w:rPr>
        <w:t xml:space="preserve"> (Accessed: 18 October 2023).</w:t>
      </w:r>
    </w:p>
    <w:p w14:paraId="264F65C9" w14:textId="121A6FFE" w:rsidR="00823E69" w:rsidRDefault="00823E69">
      <w:r>
        <w:br w:type="page"/>
      </w:r>
    </w:p>
    <w:p w14:paraId="6F3499B5" w14:textId="77777777" w:rsidR="004C6F5F" w:rsidRDefault="004C6F5F" w:rsidP="004C6F5F">
      <w:pPr>
        <w:spacing w:line="360" w:lineRule="auto"/>
        <w:rPr>
          <w:sz w:val="24"/>
          <w:szCs w:val="24"/>
          <w:u w:val="single"/>
        </w:rPr>
      </w:pPr>
      <w:r w:rsidRPr="00FC09D8">
        <w:rPr>
          <w:sz w:val="24"/>
          <w:szCs w:val="24"/>
          <w:u w:val="single"/>
        </w:rPr>
        <w:lastRenderedPageBreak/>
        <w:t xml:space="preserve">Question 4: Why </w:t>
      </w:r>
      <w:proofErr w:type="gramStart"/>
      <w:r w:rsidRPr="00FC09D8">
        <w:rPr>
          <w:sz w:val="24"/>
          <w:szCs w:val="24"/>
          <w:u w:val="single"/>
        </w:rPr>
        <w:t>is</w:t>
      </w:r>
      <w:proofErr w:type="gramEnd"/>
      <w:r w:rsidRPr="00FC09D8">
        <w:rPr>
          <w:sz w:val="24"/>
          <w:szCs w:val="24"/>
          <w:u w:val="single"/>
        </w:rPr>
        <w:t xml:space="preserve"> a partnership approach the most effective way of preventing re-offending?</w:t>
      </w:r>
    </w:p>
    <w:p w14:paraId="4FF9A31F" w14:textId="77777777" w:rsidR="004C6F5F" w:rsidRPr="00FC09D8" w:rsidRDefault="004C6F5F" w:rsidP="004C6F5F">
      <w:pPr>
        <w:spacing w:line="360" w:lineRule="auto"/>
        <w:rPr>
          <w:sz w:val="24"/>
          <w:szCs w:val="24"/>
          <w:u w:val="single"/>
        </w:rPr>
      </w:pPr>
    </w:p>
    <w:p w14:paraId="36F3CB88" w14:textId="77777777" w:rsidR="004C6F5F" w:rsidRPr="00FC09D8" w:rsidRDefault="004C6F5F" w:rsidP="004C6F5F">
      <w:pPr>
        <w:spacing w:line="360" w:lineRule="auto"/>
        <w:rPr>
          <w:sz w:val="24"/>
          <w:szCs w:val="24"/>
        </w:rPr>
      </w:pPr>
      <w:r w:rsidRPr="00FC09D8">
        <w:rPr>
          <w:sz w:val="24"/>
          <w:szCs w:val="24"/>
        </w:rPr>
        <w:t xml:space="preserve">Preventing re-offending is a complex challenge that requires a comprehensive and collaborative approach. Efforts to reduce recidivism have increasingly relied on partnership working, involving various agencies and organisations. This essay explores the effectiveness of a partnership approach in preventing re-offending. </w:t>
      </w:r>
    </w:p>
    <w:p w14:paraId="41D3F021" w14:textId="77777777" w:rsidR="004C6F5F" w:rsidRPr="00FC09D8" w:rsidRDefault="004C6F5F" w:rsidP="004C6F5F">
      <w:pPr>
        <w:spacing w:line="360" w:lineRule="auto"/>
        <w:rPr>
          <w:sz w:val="24"/>
          <w:szCs w:val="24"/>
        </w:rPr>
      </w:pPr>
      <w:r w:rsidRPr="00FC09D8">
        <w:rPr>
          <w:sz w:val="24"/>
          <w:szCs w:val="24"/>
        </w:rPr>
        <w:t xml:space="preserve">Partnership approaches are </w:t>
      </w:r>
      <w:proofErr w:type="gramStart"/>
      <w:r w:rsidRPr="00FC09D8">
        <w:rPr>
          <w:sz w:val="24"/>
          <w:szCs w:val="24"/>
        </w:rPr>
        <w:t>largely built</w:t>
      </w:r>
      <w:proofErr w:type="gramEnd"/>
      <w:r w:rsidRPr="00FC09D8">
        <w:rPr>
          <w:sz w:val="24"/>
          <w:szCs w:val="24"/>
        </w:rPr>
        <w:t xml:space="preserve"> on the premise that no single agency can deal with, or be responsible for dealing with, complex community safety and crime problems (Berry et al., 2011).</w:t>
      </w:r>
    </w:p>
    <w:p w14:paraId="7AB00604" w14:textId="77777777" w:rsidR="004C6F5F" w:rsidRPr="00FC09D8" w:rsidRDefault="004C6F5F" w:rsidP="004C6F5F">
      <w:pPr>
        <w:spacing w:line="360" w:lineRule="auto"/>
        <w:rPr>
          <w:sz w:val="24"/>
          <w:szCs w:val="24"/>
        </w:rPr>
      </w:pPr>
      <w:r w:rsidRPr="00FC09D8">
        <w:rPr>
          <w:sz w:val="24"/>
          <w:szCs w:val="24"/>
        </w:rPr>
        <w:t xml:space="preserve">Although </w:t>
      </w:r>
      <w:proofErr w:type="gramStart"/>
      <w:r w:rsidRPr="00FC09D8">
        <w:rPr>
          <w:sz w:val="24"/>
          <w:szCs w:val="24"/>
        </w:rPr>
        <w:t>some</w:t>
      </w:r>
      <w:proofErr w:type="gramEnd"/>
      <w:r w:rsidRPr="00FC09D8">
        <w:rPr>
          <w:sz w:val="24"/>
          <w:szCs w:val="24"/>
        </w:rPr>
        <w:t xml:space="preserve"> localities had already developed partnership approaches by the time it was enacted, the Crime and Disorder Act (1998) transformed partnership working in community safety by placing a statutory requirement on local and health authorities and the police to work in partnership.</w:t>
      </w:r>
    </w:p>
    <w:p w14:paraId="4DE3B419" w14:textId="77777777" w:rsidR="004C6F5F" w:rsidRPr="00FC09D8" w:rsidRDefault="004C6F5F" w:rsidP="004C6F5F">
      <w:pPr>
        <w:spacing w:line="360" w:lineRule="auto"/>
        <w:rPr>
          <w:sz w:val="24"/>
          <w:szCs w:val="24"/>
        </w:rPr>
      </w:pPr>
      <w:r w:rsidRPr="00FC09D8">
        <w:rPr>
          <w:sz w:val="24"/>
          <w:szCs w:val="24"/>
        </w:rPr>
        <w:t xml:space="preserve">While partnership approaches have a variety of benefits, including the facilitation of intelligence sharing, deliverance of co-ordinated safety packages for victims, prevention of duplication of service delivery, and providing a consolidated approach (College of Policing, 2020), the focus of this essay is specifically how it can be helpful in the reduction of recidivism. Gwent Police (2022), for example, announced that young people leaving prison were to be offered a package of support aimed at preventing homelessness and re-offending, with the project being a collaboration between Llamau (homelessness charity), the South Wales Police and Crime Commissioner, Gwent Police, Safer Wales, and HMPPS, and funded by the Ministry of Justice. HMPPS commented that ensuring there is a support network around offenders before they </w:t>
      </w:r>
      <w:proofErr w:type="gramStart"/>
      <w:r w:rsidRPr="00FC09D8">
        <w:rPr>
          <w:sz w:val="24"/>
          <w:szCs w:val="24"/>
        </w:rPr>
        <w:t>are released</w:t>
      </w:r>
      <w:proofErr w:type="gramEnd"/>
      <w:r w:rsidRPr="00FC09D8">
        <w:rPr>
          <w:sz w:val="24"/>
          <w:szCs w:val="24"/>
        </w:rPr>
        <w:t xml:space="preserve"> from prison ensures the chances of re-offending are reduced, as they need positive relationships to turn to.</w:t>
      </w:r>
    </w:p>
    <w:p w14:paraId="33810B9C" w14:textId="77777777" w:rsidR="004C6F5F" w:rsidRPr="00FC09D8" w:rsidRDefault="004C6F5F" w:rsidP="004C6F5F">
      <w:pPr>
        <w:spacing w:line="360" w:lineRule="auto"/>
        <w:rPr>
          <w:sz w:val="24"/>
          <w:szCs w:val="24"/>
        </w:rPr>
      </w:pPr>
      <w:r w:rsidRPr="00FC09D8">
        <w:rPr>
          <w:sz w:val="24"/>
          <w:szCs w:val="24"/>
        </w:rPr>
        <w:t xml:space="preserve">In Wales, the proportion of adult recidivism (in 2016) was 58% within 12 months of release (for those under 12 months’ in custody), and 37% for those subject to Community supervision or released on licence (IOM Cymru, 2016). In Gwent specifically, its Integrated Offender Management (IOM) service has helped to create a culture of engagement; service </w:t>
      </w:r>
      <w:r w:rsidRPr="00FC09D8">
        <w:rPr>
          <w:sz w:val="24"/>
          <w:szCs w:val="24"/>
        </w:rPr>
        <w:lastRenderedPageBreak/>
        <w:t xml:space="preserve">users who were repeat offenders and leading chaotic lives could find ways of engaging effectively with the services. Progress </w:t>
      </w:r>
      <w:proofErr w:type="gramStart"/>
      <w:r w:rsidRPr="00FC09D8">
        <w:rPr>
          <w:sz w:val="24"/>
          <w:szCs w:val="24"/>
        </w:rPr>
        <w:t>was made</w:t>
      </w:r>
      <w:proofErr w:type="gramEnd"/>
      <w:r w:rsidRPr="00FC09D8">
        <w:rPr>
          <w:sz w:val="24"/>
          <w:szCs w:val="24"/>
        </w:rPr>
        <w:t xml:space="preserve"> in two-thirds of cases in improving service users’ emotional health and well-being. Three quarters of the service users had not re-offended, and for the one quarter of those who had, there was no increase in severity or frequency of their offences (HM Inspectorate of Probation, 2017).</w:t>
      </w:r>
    </w:p>
    <w:p w14:paraId="78A7220E" w14:textId="77777777" w:rsidR="004C6F5F" w:rsidRPr="00FC09D8" w:rsidRDefault="004C6F5F" w:rsidP="004C6F5F">
      <w:pPr>
        <w:spacing w:line="360" w:lineRule="auto"/>
        <w:rPr>
          <w:sz w:val="24"/>
          <w:szCs w:val="24"/>
        </w:rPr>
      </w:pPr>
      <w:r w:rsidRPr="00FC09D8">
        <w:rPr>
          <w:sz w:val="24"/>
          <w:szCs w:val="24"/>
        </w:rPr>
        <w:t xml:space="preserve">In order to ascertain how effective a partnership approach might be at reducing re-offending, it is important to establish how re-offending </w:t>
      </w:r>
      <w:proofErr w:type="gramStart"/>
      <w:r w:rsidRPr="00FC09D8">
        <w:rPr>
          <w:sz w:val="24"/>
          <w:szCs w:val="24"/>
        </w:rPr>
        <w:t>is reduced</w:t>
      </w:r>
      <w:proofErr w:type="gramEnd"/>
      <w:r w:rsidRPr="00FC09D8">
        <w:rPr>
          <w:sz w:val="24"/>
          <w:szCs w:val="24"/>
        </w:rPr>
        <w:t xml:space="preserve">. Public Health England (2019) considered how recidivism in children could be reduced and concluded that, at the family level, re-offending could be prevented by the use of peer mentoring (such as programs delivered by youth justice centres), the promotion of family-based interventions, and the building of life skills (by providing a route into education and employment). They also found that at the community level, effective measures included the use of trauma-informed services, the promotion of nurturing environments, the identification of </w:t>
      </w:r>
      <w:proofErr w:type="gramStart"/>
      <w:r w:rsidRPr="00FC09D8">
        <w:rPr>
          <w:sz w:val="24"/>
          <w:szCs w:val="24"/>
        </w:rPr>
        <w:t>at risk</w:t>
      </w:r>
      <w:proofErr w:type="gramEnd"/>
      <w:r w:rsidRPr="00FC09D8">
        <w:rPr>
          <w:sz w:val="24"/>
          <w:szCs w:val="24"/>
        </w:rPr>
        <w:t xml:space="preserve"> children, meeting the health needs of young people, and making the most of liaison and diversion services. All of these elements can </w:t>
      </w:r>
      <w:proofErr w:type="gramStart"/>
      <w:r w:rsidRPr="00FC09D8">
        <w:rPr>
          <w:sz w:val="24"/>
          <w:szCs w:val="24"/>
        </w:rPr>
        <w:t>be seen</w:t>
      </w:r>
      <w:proofErr w:type="gramEnd"/>
      <w:r w:rsidRPr="00FC09D8">
        <w:rPr>
          <w:sz w:val="24"/>
          <w:szCs w:val="24"/>
        </w:rPr>
        <w:t xml:space="preserve"> as coming under the umbrella of a partnership approach, provided by a variety of different services in collaboration. </w:t>
      </w:r>
    </w:p>
    <w:p w14:paraId="3ED270BE" w14:textId="77777777" w:rsidR="004C6F5F" w:rsidRPr="00FC09D8" w:rsidRDefault="004C6F5F" w:rsidP="004C6F5F">
      <w:pPr>
        <w:spacing w:line="360" w:lineRule="auto"/>
        <w:rPr>
          <w:sz w:val="24"/>
          <w:szCs w:val="24"/>
        </w:rPr>
      </w:pPr>
      <w:r w:rsidRPr="00FC09D8">
        <w:rPr>
          <w:sz w:val="24"/>
          <w:szCs w:val="24"/>
        </w:rPr>
        <w:t xml:space="preserve">A partnership approach is not the only method theorised or </w:t>
      </w:r>
      <w:proofErr w:type="gramStart"/>
      <w:r w:rsidRPr="00FC09D8">
        <w:rPr>
          <w:sz w:val="24"/>
          <w:szCs w:val="24"/>
        </w:rPr>
        <w:t>utilised</w:t>
      </w:r>
      <w:proofErr w:type="gramEnd"/>
      <w:r w:rsidRPr="00FC09D8">
        <w:rPr>
          <w:sz w:val="24"/>
          <w:szCs w:val="24"/>
        </w:rPr>
        <w:t xml:space="preserve"> with the aim of reducing re-offending. Supporters of the death penalty in the US frequently claim strong evidence for its deterrent effect, with some studies seeming to affirm this, showing an increase in murders during death penalty moratoriums (Dezhbakhsh and Shepherd, 2003), however a more recent study (Oliphant, 2022) found no evidence of a deterrent effect attributable to death penalty statutes.</w:t>
      </w:r>
    </w:p>
    <w:p w14:paraId="2A3BF407" w14:textId="77777777" w:rsidR="004C6F5F" w:rsidRPr="00FC09D8" w:rsidRDefault="004C6F5F" w:rsidP="004C6F5F">
      <w:pPr>
        <w:spacing w:line="360" w:lineRule="auto"/>
        <w:rPr>
          <w:sz w:val="24"/>
          <w:szCs w:val="24"/>
        </w:rPr>
      </w:pPr>
      <w:r w:rsidRPr="00FC09D8">
        <w:rPr>
          <w:sz w:val="24"/>
          <w:szCs w:val="24"/>
        </w:rPr>
        <w:t xml:space="preserve">Another method that is only applicable to a limited number of potential recidivists is the use of chemical castration in sexual offenders. In the past, physical castration had been </w:t>
      </w:r>
      <w:proofErr w:type="gramStart"/>
      <w:r w:rsidRPr="00FC09D8">
        <w:rPr>
          <w:sz w:val="24"/>
          <w:szCs w:val="24"/>
        </w:rPr>
        <w:t>carried out</w:t>
      </w:r>
      <w:proofErr w:type="gramEnd"/>
      <w:r w:rsidRPr="00FC09D8">
        <w:rPr>
          <w:sz w:val="24"/>
          <w:szCs w:val="24"/>
        </w:rPr>
        <w:t xml:space="preserve"> in several European countries in the 20</w:t>
      </w:r>
      <w:r w:rsidRPr="00FC09D8">
        <w:rPr>
          <w:sz w:val="24"/>
          <w:szCs w:val="24"/>
          <w:vertAlign w:val="superscript"/>
        </w:rPr>
        <w:t>th</w:t>
      </w:r>
      <w:r w:rsidRPr="00FC09D8">
        <w:rPr>
          <w:sz w:val="24"/>
          <w:szCs w:val="24"/>
        </w:rPr>
        <w:t xml:space="preserve"> century, and although dubiously applied (such as sometimes to homosexuals or the mentally ill), recidivism rates over long follow-up periods are reported at 5%, compared to an expected 50%. Chemical castration has similarly drastic success rates, but is subject to </w:t>
      </w:r>
      <w:proofErr w:type="gramStart"/>
      <w:r w:rsidRPr="00FC09D8">
        <w:rPr>
          <w:sz w:val="24"/>
          <w:szCs w:val="24"/>
        </w:rPr>
        <w:t>a lot of</w:t>
      </w:r>
      <w:proofErr w:type="gramEnd"/>
      <w:r w:rsidRPr="00FC09D8">
        <w:rPr>
          <w:sz w:val="24"/>
          <w:szCs w:val="24"/>
        </w:rPr>
        <w:t xml:space="preserve"> debate, particularly as to whether it crosses the border from public protection into symbolic retribution (Grubin and Beech, 2010).</w:t>
      </w:r>
    </w:p>
    <w:p w14:paraId="590D8390" w14:textId="77777777" w:rsidR="004C6F5F" w:rsidRPr="00FC09D8" w:rsidRDefault="004C6F5F" w:rsidP="004C6F5F">
      <w:pPr>
        <w:spacing w:line="360" w:lineRule="auto"/>
        <w:rPr>
          <w:sz w:val="24"/>
          <w:szCs w:val="24"/>
        </w:rPr>
      </w:pPr>
      <w:r w:rsidRPr="00FC09D8">
        <w:rPr>
          <w:sz w:val="24"/>
          <w:szCs w:val="24"/>
        </w:rPr>
        <w:lastRenderedPageBreak/>
        <w:t xml:space="preserve">The Scandinavian model of focus on rehabilitation and less on punishment </w:t>
      </w:r>
      <w:proofErr w:type="gramStart"/>
      <w:r w:rsidRPr="00FC09D8">
        <w:rPr>
          <w:sz w:val="24"/>
          <w:szCs w:val="24"/>
        </w:rPr>
        <w:t>is considered</w:t>
      </w:r>
      <w:proofErr w:type="gramEnd"/>
      <w:r w:rsidRPr="00FC09D8">
        <w:rPr>
          <w:sz w:val="24"/>
          <w:szCs w:val="24"/>
        </w:rPr>
        <w:t xml:space="preserve"> one of the most successful practices in the world, with one of the lowest recidivism rates at 20% (Deady, 2014). The Norwegian philosophy is that traditional prisons do not work, and that success is achieved through a “guiding principle of normality</w:t>
      </w:r>
      <w:proofErr w:type="gramStart"/>
      <w:r w:rsidRPr="00FC09D8">
        <w:rPr>
          <w:sz w:val="24"/>
          <w:szCs w:val="24"/>
        </w:rPr>
        <w:t>”,</w:t>
      </w:r>
      <w:proofErr w:type="gramEnd"/>
      <w:r w:rsidRPr="00FC09D8">
        <w:rPr>
          <w:sz w:val="24"/>
          <w:szCs w:val="24"/>
        </w:rPr>
        <w:t xml:space="preserve"> whereby (besides freedom of movement) prisoners retain all other rights of life, and their life in prison is designed to resemble the outside world to the greatest extent possible (Adams, 2010).</w:t>
      </w:r>
    </w:p>
    <w:p w14:paraId="767D0F0A" w14:textId="77777777" w:rsidR="004C6F5F" w:rsidRPr="00FC09D8" w:rsidRDefault="004C6F5F" w:rsidP="004C6F5F">
      <w:pPr>
        <w:spacing w:line="360" w:lineRule="auto"/>
        <w:rPr>
          <w:sz w:val="24"/>
          <w:szCs w:val="24"/>
        </w:rPr>
      </w:pPr>
      <w:r w:rsidRPr="00FC09D8">
        <w:rPr>
          <w:sz w:val="24"/>
          <w:szCs w:val="24"/>
        </w:rPr>
        <w:t xml:space="preserve">It may be that with even the most successful partnership approach, </w:t>
      </w:r>
      <w:proofErr w:type="gramStart"/>
      <w:r w:rsidRPr="00FC09D8">
        <w:rPr>
          <w:sz w:val="24"/>
          <w:szCs w:val="24"/>
        </w:rPr>
        <w:t>some of</w:t>
      </w:r>
      <w:proofErr w:type="gramEnd"/>
      <w:r w:rsidRPr="00FC09D8">
        <w:rPr>
          <w:sz w:val="24"/>
          <w:szCs w:val="24"/>
        </w:rPr>
        <w:t xml:space="preserve"> the risk factors to recidivism are already in full swing by the time an individual is released from custody. A pilot study by the United Nations Office on Drugs and Crime (UNODC, 2022) into causes of recidivism in Albania, Czechia, and Thailand, found that </w:t>
      </w:r>
      <w:proofErr w:type="gramStart"/>
      <w:r w:rsidRPr="00FC09D8">
        <w:rPr>
          <w:sz w:val="24"/>
          <w:szCs w:val="24"/>
        </w:rPr>
        <w:t>many</w:t>
      </w:r>
      <w:proofErr w:type="gramEnd"/>
      <w:r w:rsidRPr="00FC09D8">
        <w:rPr>
          <w:sz w:val="24"/>
          <w:szCs w:val="24"/>
        </w:rPr>
        <w:t xml:space="preserve"> individuals questioned the quality and value of employment training received while in prison, with examples of certificates being given for courses they did not attend. In all three countries, individuals reported that their social networks and immediate environment impacted their recidivism, noting particularly the </w:t>
      </w:r>
      <w:proofErr w:type="gramStart"/>
      <w:r w:rsidRPr="00FC09D8">
        <w:rPr>
          <w:sz w:val="24"/>
          <w:szCs w:val="24"/>
        </w:rPr>
        <w:t>great value</w:t>
      </w:r>
      <w:proofErr w:type="gramEnd"/>
      <w:r w:rsidRPr="00FC09D8">
        <w:rPr>
          <w:sz w:val="24"/>
          <w:szCs w:val="24"/>
        </w:rPr>
        <w:t xml:space="preserve"> of increased family contact, and decreased contact with antisocial characters. It would seem that any partnership approach employed to prison releasers has to bear in mind that </w:t>
      </w:r>
      <w:proofErr w:type="gramStart"/>
      <w:r w:rsidRPr="00FC09D8">
        <w:rPr>
          <w:sz w:val="24"/>
          <w:szCs w:val="24"/>
        </w:rPr>
        <w:t>some</w:t>
      </w:r>
      <w:proofErr w:type="gramEnd"/>
      <w:r w:rsidRPr="00FC09D8">
        <w:rPr>
          <w:sz w:val="24"/>
          <w:szCs w:val="24"/>
        </w:rPr>
        <w:t xml:space="preserve"> recidivistic risk factors may already be in play before they come into contact with them. </w:t>
      </w:r>
    </w:p>
    <w:p w14:paraId="36B6E9C5" w14:textId="77777777" w:rsidR="004C6F5F" w:rsidRPr="00FC09D8" w:rsidRDefault="004C6F5F" w:rsidP="004C6F5F">
      <w:pPr>
        <w:spacing w:line="360" w:lineRule="auto"/>
        <w:rPr>
          <w:sz w:val="24"/>
          <w:szCs w:val="24"/>
        </w:rPr>
      </w:pPr>
      <w:r w:rsidRPr="00FC09D8">
        <w:rPr>
          <w:sz w:val="24"/>
          <w:szCs w:val="24"/>
        </w:rPr>
        <w:t xml:space="preserve">While other approaches are available, the partnership approach is one that has </w:t>
      </w:r>
      <w:proofErr w:type="gramStart"/>
      <w:r w:rsidRPr="00FC09D8">
        <w:rPr>
          <w:sz w:val="24"/>
          <w:szCs w:val="24"/>
        </w:rPr>
        <w:t>been enshrined</w:t>
      </w:r>
      <w:proofErr w:type="gramEnd"/>
      <w:r w:rsidRPr="00FC09D8">
        <w:rPr>
          <w:sz w:val="24"/>
          <w:szCs w:val="24"/>
        </w:rPr>
        <w:t xml:space="preserve"> in UK law. It </w:t>
      </w:r>
      <w:proofErr w:type="gramStart"/>
      <w:r w:rsidRPr="00FC09D8">
        <w:rPr>
          <w:sz w:val="24"/>
          <w:szCs w:val="24"/>
        </w:rPr>
        <w:t>is proven</w:t>
      </w:r>
      <w:proofErr w:type="gramEnd"/>
      <w:r w:rsidRPr="00FC09D8">
        <w:rPr>
          <w:sz w:val="24"/>
          <w:szCs w:val="24"/>
        </w:rPr>
        <w:t xml:space="preserve"> to be an effective tool at reducing re-offending, particularly as it is a multi-faceted approach which is adaptable to individual circumstances. While it is clearly an effective tool, it is not possible to say that it is the “most effective</w:t>
      </w:r>
      <w:proofErr w:type="gramStart"/>
      <w:r w:rsidRPr="00FC09D8">
        <w:rPr>
          <w:sz w:val="24"/>
          <w:szCs w:val="24"/>
        </w:rPr>
        <w:t>”,</w:t>
      </w:r>
      <w:proofErr w:type="gramEnd"/>
      <w:r w:rsidRPr="00FC09D8">
        <w:rPr>
          <w:sz w:val="24"/>
          <w:szCs w:val="24"/>
        </w:rPr>
        <w:t xml:space="preserve"> particularly as it does not deal with the issue of an individual’s influences and experiences while carrying out their sentence. One could argue that the “principle of normality” approach exemplified in Scandinavia, with results of </w:t>
      </w:r>
      <w:proofErr w:type="gramStart"/>
      <w:r w:rsidRPr="00FC09D8">
        <w:rPr>
          <w:sz w:val="24"/>
          <w:szCs w:val="24"/>
        </w:rPr>
        <w:t>very low</w:t>
      </w:r>
      <w:proofErr w:type="gramEnd"/>
      <w:r w:rsidRPr="00FC09D8">
        <w:rPr>
          <w:sz w:val="24"/>
          <w:szCs w:val="24"/>
        </w:rPr>
        <w:t xml:space="preserve"> rates of recidivism, would benefit the UK to implement as well. A combination of a partnership approach adapted to a more Scandinavian philosophy is something that policy makers in any country could consider if their aim is to reduce recidivism. </w:t>
      </w:r>
    </w:p>
    <w:p w14:paraId="2232FD37" w14:textId="77777777" w:rsidR="004C6F5F" w:rsidRPr="00FC09D8" w:rsidRDefault="004C6F5F" w:rsidP="004C6F5F">
      <w:pPr>
        <w:spacing w:line="360" w:lineRule="auto"/>
        <w:rPr>
          <w:sz w:val="24"/>
          <w:szCs w:val="24"/>
        </w:rPr>
      </w:pPr>
    </w:p>
    <w:p w14:paraId="1928E7DF" w14:textId="77777777" w:rsidR="004C6F5F" w:rsidRPr="00FC09D8" w:rsidRDefault="004C6F5F" w:rsidP="004C6F5F">
      <w:pPr>
        <w:spacing w:line="360" w:lineRule="auto"/>
        <w:rPr>
          <w:sz w:val="24"/>
          <w:szCs w:val="24"/>
        </w:rPr>
      </w:pPr>
      <w:r w:rsidRPr="00FC09D8">
        <w:rPr>
          <w:sz w:val="24"/>
          <w:szCs w:val="24"/>
        </w:rPr>
        <w:t>1065 words</w:t>
      </w:r>
      <w:r w:rsidRPr="00FC09D8">
        <w:rPr>
          <w:sz w:val="24"/>
          <w:szCs w:val="24"/>
        </w:rPr>
        <w:br w:type="page"/>
      </w:r>
    </w:p>
    <w:p w14:paraId="51541507" w14:textId="77777777" w:rsidR="004C6F5F" w:rsidRPr="00FC09D8" w:rsidRDefault="004C6F5F" w:rsidP="004C6F5F">
      <w:pPr>
        <w:rPr>
          <w:sz w:val="24"/>
          <w:szCs w:val="24"/>
          <w:u w:val="single"/>
        </w:rPr>
      </w:pPr>
      <w:r w:rsidRPr="00FC09D8">
        <w:rPr>
          <w:sz w:val="24"/>
          <w:szCs w:val="24"/>
          <w:u w:val="single"/>
        </w:rPr>
        <w:lastRenderedPageBreak/>
        <w:t>Bibliography</w:t>
      </w:r>
    </w:p>
    <w:p w14:paraId="21B77E2B" w14:textId="77777777" w:rsidR="004C6F5F" w:rsidRPr="00FC09D8" w:rsidRDefault="004C6F5F" w:rsidP="004C6F5F">
      <w:pPr>
        <w:rPr>
          <w:sz w:val="24"/>
          <w:szCs w:val="24"/>
        </w:rPr>
      </w:pPr>
      <w:r w:rsidRPr="00FC09D8">
        <w:rPr>
          <w:sz w:val="24"/>
          <w:szCs w:val="24"/>
        </w:rPr>
        <w:t xml:space="preserve">Adams, W. (2010) </w:t>
      </w:r>
      <w:r w:rsidRPr="00FC09D8">
        <w:rPr>
          <w:i/>
          <w:iCs/>
          <w:sz w:val="24"/>
          <w:szCs w:val="24"/>
        </w:rPr>
        <w:t>Sentenced to Serving the Good Life in Norway</w:t>
      </w:r>
      <w:r w:rsidRPr="00FC09D8">
        <w:rPr>
          <w:sz w:val="24"/>
          <w:szCs w:val="24"/>
        </w:rPr>
        <w:t xml:space="preserve">. Available at: </w:t>
      </w:r>
      <w:hyperlink r:id="rId38" w:history="1">
        <w:r w:rsidRPr="00FC09D8">
          <w:rPr>
            <w:rStyle w:val="Hyperlink"/>
            <w:sz w:val="24"/>
            <w:szCs w:val="24"/>
          </w:rPr>
          <w:t>https://content.time.com/time/magazine/article/0,9171,2000920,00.html</w:t>
        </w:r>
      </w:hyperlink>
      <w:r w:rsidRPr="00FC09D8">
        <w:rPr>
          <w:sz w:val="24"/>
          <w:szCs w:val="24"/>
        </w:rPr>
        <w:t xml:space="preserve"> (Accessed: 18 October 2023).</w:t>
      </w:r>
    </w:p>
    <w:p w14:paraId="176FFC2F" w14:textId="77777777" w:rsidR="004C6F5F" w:rsidRPr="00FC09D8" w:rsidRDefault="004C6F5F" w:rsidP="004C6F5F">
      <w:pPr>
        <w:rPr>
          <w:sz w:val="24"/>
          <w:szCs w:val="24"/>
        </w:rPr>
      </w:pPr>
      <w:r w:rsidRPr="00FC09D8">
        <w:rPr>
          <w:sz w:val="24"/>
          <w:szCs w:val="24"/>
        </w:rPr>
        <w:t xml:space="preserve">Berry, G. et al. (2011) </w:t>
      </w:r>
      <w:r w:rsidRPr="00FC09D8">
        <w:rPr>
          <w:i/>
          <w:iCs/>
          <w:sz w:val="24"/>
          <w:szCs w:val="24"/>
        </w:rPr>
        <w:t>The Effectives of Partnership Working in a Crime and Disorder Context</w:t>
      </w:r>
      <w:r w:rsidRPr="00FC09D8">
        <w:rPr>
          <w:sz w:val="24"/>
          <w:szCs w:val="24"/>
        </w:rPr>
        <w:t xml:space="preserve">. Available at: </w:t>
      </w:r>
      <w:hyperlink r:id="rId39" w:history="1">
        <w:r w:rsidRPr="00FC09D8">
          <w:rPr>
            <w:rStyle w:val="Hyperlink"/>
            <w:sz w:val="24"/>
            <w:szCs w:val="24"/>
          </w:rPr>
          <w:t>https://assets.publishing.service.gov.uk/media/5a756a3c40f0b6397f35e41b/horr52-report.pdf</w:t>
        </w:r>
      </w:hyperlink>
      <w:r w:rsidRPr="00FC09D8">
        <w:rPr>
          <w:sz w:val="24"/>
          <w:szCs w:val="24"/>
        </w:rPr>
        <w:t xml:space="preserve"> (Accessed: 18 October 2023).</w:t>
      </w:r>
    </w:p>
    <w:p w14:paraId="3E2A5245" w14:textId="77777777" w:rsidR="004C6F5F" w:rsidRPr="00FC09D8" w:rsidRDefault="004C6F5F" w:rsidP="004C6F5F">
      <w:pPr>
        <w:rPr>
          <w:sz w:val="24"/>
          <w:szCs w:val="24"/>
        </w:rPr>
      </w:pPr>
      <w:r w:rsidRPr="00FC09D8">
        <w:rPr>
          <w:sz w:val="24"/>
          <w:szCs w:val="24"/>
        </w:rPr>
        <w:t xml:space="preserve">College of Policing (2020) Partnership Working. Available at: </w:t>
      </w:r>
      <w:hyperlink r:id="rId40" w:history="1">
        <w:r w:rsidRPr="00FC09D8">
          <w:rPr>
            <w:rStyle w:val="Hyperlink"/>
            <w:sz w:val="24"/>
            <w:szCs w:val="24"/>
          </w:rPr>
          <w:t>https://www.college.police.uk/app/major-investigation-and-public-protection/hate-crime/partnership-working</w:t>
        </w:r>
      </w:hyperlink>
      <w:r w:rsidRPr="00FC09D8">
        <w:rPr>
          <w:sz w:val="24"/>
          <w:szCs w:val="24"/>
        </w:rPr>
        <w:t xml:space="preserve"> (Accessed: 18 October 2023).</w:t>
      </w:r>
    </w:p>
    <w:p w14:paraId="78A2E792" w14:textId="77777777" w:rsidR="004C6F5F" w:rsidRPr="00FC09D8" w:rsidRDefault="004C6F5F" w:rsidP="004C6F5F">
      <w:pPr>
        <w:rPr>
          <w:sz w:val="24"/>
          <w:szCs w:val="24"/>
        </w:rPr>
      </w:pPr>
      <w:r w:rsidRPr="00FC09D8">
        <w:rPr>
          <w:i/>
          <w:iCs/>
          <w:sz w:val="24"/>
          <w:szCs w:val="24"/>
        </w:rPr>
        <w:t>Crime and Disorder Act 1998</w:t>
      </w:r>
      <w:r w:rsidRPr="00FC09D8">
        <w:rPr>
          <w:sz w:val="24"/>
          <w:szCs w:val="24"/>
        </w:rPr>
        <w:t xml:space="preserve">. Available at: </w:t>
      </w:r>
      <w:hyperlink r:id="rId41" w:history="1">
        <w:r w:rsidRPr="00FC09D8">
          <w:rPr>
            <w:rStyle w:val="Hyperlink"/>
            <w:sz w:val="24"/>
            <w:szCs w:val="24"/>
          </w:rPr>
          <w:t>https://www.legislation.gov.uk/ukpga/1998/37/contents</w:t>
        </w:r>
      </w:hyperlink>
      <w:r w:rsidRPr="00FC09D8">
        <w:rPr>
          <w:sz w:val="24"/>
          <w:szCs w:val="24"/>
        </w:rPr>
        <w:t xml:space="preserve"> (Accessed: 18 October 2023).</w:t>
      </w:r>
    </w:p>
    <w:p w14:paraId="1C9AC952" w14:textId="77777777" w:rsidR="004C6F5F" w:rsidRPr="00FC09D8" w:rsidRDefault="004C6F5F" w:rsidP="004C6F5F">
      <w:pPr>
        <w:rPr>
          <w:sz w:val="24"/>
          <w:szCs w:val="24"/>
        </w:rPr>
      </w:pPr>
      <w:r w:rsidRPr="00FC09D8">
        <w:rPr>
          <w:sz w:val="24"/>
          <w:szCs w:val="24"/>
        </w:rPr>
        <w:t xml:space="preserve">Deady, C. (2014) </w:t>
      </w:r>
      <w:r w:rsidRPr="00FC09D8">
        <w:rPr>
          <w:i/>
          <w:iCs/>
          <w:sz w:val="24"/>
          <w:szCs w:val="24"/>
        </w:rPr>
        <w:t>Incarceration and Recidivism: Lessons from Abroad</w:t>
      </w:r>
      <w:r w:rsidRPr="00FC09D8">
        <w:rPr>
          <w:sz w:val="24"/>
          <w:szCs w:val="24"/>
        </w:rPr>
        <w:t xml:space="preserve">. Available at: </w:t>
      </w:r>
      <w:hyperlink r:id="rId42" w:history="1">
        <w:r w:rsidRPr="00FC09D8">
          <w:rPr>
            <w:rStyle w:val="Hyperlink"/>
            <w:sz w:val="24"/>
            <w:szCs w:val="24"/>
          </w:rPr>
          <w:t>http://www.antoniocasella.eu/nume/Deady_march2014.pdf</w:t>
        </w:r>
      </w:hyperlink>
      <w:r w:rsidRPr="00FC09D8">
        <w:rPr>
          <w:sz w:val="24"/>
          <w:szCs w:val="24"/>
        </w:rPr>
        <w:t xml:space="preserve"> (Accessed: 18 October 2023).</w:t>
      </w:r>
    </w:p>
    <w:p w14:paraId="792A1D3C" w14:textId="77777777" w:rsidR="004C6F5F" w:rsidRPr="00FC09D8" w:rsidRDefault="004C6F5F" w:rsidP="004C6F5F">
      <w:pPr>
        <w:rPr>
          <w:sz w:val="24"/>
          <w:szCs w:val="24"/>
        </w:rPr>
      </w:pPr>
      <w:r w:rsidRPr="00FC09D8">
        <w:rPr>
          <w:sz w:val="24"/>
          <w:szCs w:val="24"/>
        </w:rPr>
        <w:t xml:space="preserve">Dezhbakhsh, H. and Shepherd, J. (2006) ‘The Deterrent Effect of Capital Punishment: Evidence from a “Judicial Experiment”’, </w:t>
      </w:r>
      <w:r w:rsidRPr="00FC09D8">
        <w:rPr>
          <w:i/>
          <w:iCs/>
          <w:sz w:val="24"/>
          <w:szCs w:val="24"/>
        </w:rPr>
        <w:t>Economic Inquiry</w:t>
      </w:r>
      <w:r w:rsidRPr="00FC09D8">
        <w:rPr>
          <w:sz w:val="24"/>
          <w:szCs w:val="24"/>
        </w:rPr>
        <w:t xml:space="preserve">, 44(4), pp. 512 – 535. Available at: </w:t>
      </w:r>
      <w:hyperlink r:id="rId43" w:history="1">
        <w:r w:rsidRPr="00FC09D8">
          <w:rPr>
            <w:rStyle w:val="Hyperlink"/>
            <w:sz w:val="24"/>
            <w:szCs w:val="24"/>
          </w:rPr>
          <w:t>http://doi.org/10.1093/ei/cbj032</w:t>
        </w:r>
      </w:hyperlink>
      <w:r w:rsidRPr="00FC09D8">
        <w:rPr>
          <w:sz w:val="24"/>
          <w:szCs w:val="24"/>
        </w:rPr>
        <w:t xml:space="preserve"> (Accessed: 18 October 2023).</w:t>
      </w:r>
    </w:p>
    <w:p w14:paraId="5FB08DD1" w14:textId="77777777" w:rsidR="004C6F5F" w:rsidRPr="00FC09D8" w:rsidRDefault="004C6F5F" w:rsidP="004C6F5F">
      <w:pPr>
        <w:rPr>
          <w:sz w:val="24"/>
          <w:szCs w:val="24"/>
        </w:rPr>
      </w:pPr>
      <w:r w:rsidRPr="00FC09D8">
        <w:rPr>
          <w:sz w:val="24"/>
          <w:szCs w:val="24"/>
        </w:rPr>
        <w:t xml:space="preserve">Grubin, D. and Beech, A. (2010) ‘Chemical castration for sex offenders’, </w:t>
      </w:r>
      <w:r w:rsidRPr="00FC09D8">
        <w:rPr>
          <w:i/>
          <w:iCs/>
          <w:sz w:val="24"/>
          <w:szCs w:val="24"/>
        </w:rPr>
        <w:t>British Medical Journal</w:t>
      </w:r>
      <w:r w:rsidRPr="00FC09D8">
        <w:rPr>
          <w:sz w:val="24"/>
          <w:szCs w:val="24"/>
        </w:rPr>
        <w:t xml:space="preserve">, 340. Available at: </w:t>
      </w:r>
      <w:hyperlink r:id="rId44" w:history="1">
        <w:r w:rsidRPr="00FC09D8">
          <w:rPr>
            <w:rStyle w:val="Hyperlink"/>
            <w:sz w:val="24"/>
            <w:szCs w:val="24"/>
          </w:rPr>
          <w:t>https://www.bmj.com/content/340/bmj.c74</w:t>
        </w:r>
      </w:hyperlink>
      <w:r w:rsidRPr="00FC09D8">
        <w:rPr>
          <w:sz w:val="24"/>
          <w:szCs w:val="24"/>
        </w:rPr>
        <w:t xml:space="preserve"> (Accessed: 18 October 2023).</w:t>
      </w:r>
    </w:p>
    <w:p w14:paraId="133D710E" w14:textId="77777777" w:rsidR="004C6F5F" w:rsidRPr="00FC09D8" w:rsidRDefault="004C6F5F" w:rsidP="004C6F5F">
      <w:pPr>
        <w:rPr>
          <w:sz w:val="24"/>
          <w:szCs w:val="24"/>
        </w:rPr>
      </w:pPr>
      <w:r w:rsidRPr="00FC09D8">
        <w:rPr>
          <w:sz w:val="24"/>
          <w:szCs w:val="24"/>
        </w:rPr>
        <w:t xml:space="preserve">Gwent Police (2022) </w:t>
      </w:r>
      <w:r w:rsidRPr="00FC09D8">
        <w:rPr>
          <w:i/>
          <w:iCs/>
          <w:sz w:val="24"/>
          <w:szCs w:val="24"/>
        </w:rPr>
        <w:t>Young People Leaving Prison to be Offered Package of Support Aimed at Preventing Homelessness and Reoffending</w:t>
      </w:r>
      <w:r w:rsidRPr="00FC09D8">
        <w:rPr>
          <w:sz w:val="24"/>
          <w:szCs w:val="24"/>
        </w:rPr>
        <w:t xml:space="preserve">. Available at: </w:t>
      </w:r>
      <w:hyperlink r:id="rId45" w:history="1">
        <w:r w:rsidRPr="00FC09D8">
          <w:rPr>
            <w:rStyle w:val="Hyperlink"/>
            <w:sz w:val="24"/>
            <w:szCs w:val="24"/>
          </w:rPr>
          <w:t>https://www.gwent.pcc.police.uk/en/news-room/young-people-leaving-prison-to-be-offered-package-of-support-aimed-at-preventing-homelessness-and-reoffending/</w:t>
        </w:r>
      </w:hyperlink>
      <w:r w:rsidRPr="00FC09D8">
        <w:rPr>
          <w:sz w:val="24"/>
          <w:szCs w:val="24"/>
        </w:rPr>
        <w:t xml:space="preserve"> (Accessed: 18 October 2023).</w:t>
      </w:r>
    </w:p>
    <w:p w14:paraId="3726EFAB" w14:textId="77777777" w:rsidR="004C6F5F" w:rsidRPr="00FC09D8" w:rsidRDefault="004C6F5F" w:rsidP="004C6F5F">
      <w:pPr>
        <w:rPr>
          <w:sz w:val="24"/>
          <w:szCs w:val="24"/>
        </w:rPr>
      </w:pPr>
      <w:r w:rsidRPr="00FC09D8">
        <w:rPr>
          <w:sz w:val="24"/>
          <w:szCs w:val="24"/>
        </w:rPr>
        <w:t xml:space="preserve">HM Inspectorate of Probation (2017) </w:t>
      </w:r>
      <w:r w:rsidRPr="00FC09D8">
        <w:rPr>
          <w:i/>
          <w:iCs/>
          <w:sz w:val="24"/>
          <w:szCs w:val="24"/>
        </w:rPr>
        <w:t>Quality and Impact Inspection: The Effectiveness of Probation Work in Gwent</w:t>
      </w:r>
      <w:r w:rsidRPr="00FC09D8">
        <w:rPr>
          <w:sz w:val="24"/>
          <w:szCs w:val="24"/>
        </w:rPr>
        <w:t xml:space="preserve">. Available at: </w:t>
      </w:r>
      <w:hyperlink r:id="rId46" w:history="1">
        <w:r w:rsidRPr="00FC09D8">
          <w:rPr>
            <w:rStyle w:val="Hyperlink"/>
            <w:sz w:val="24"/>
            <w:szCs w:val="24"/>
          </w:rPr>
          <w:t>https://www.justiceinspectorates.gov.uk/hmiprobation/wp-content/uploads/sites/5/2017/04/Gwent-QI-inspection-report.pdf</w:t>
        </w:r>
      </w:hyperlink>
      <w:r w:rsidRPr="00FC09D8">
        <w:rPr>
          <w:sz w:val="24"/>
          <w:szCs w:val="24"/>
        </w:rPr>
        <w:t xml:space="preserve"> (Accessed: 18 October 2023).</w:t>
      </w:r>
    </w:p>
    <w:p w14:paraId="6BC534D5" w14:textId="77777777" w:rsidR="004C6F5F" w:rsidRPr="00FC09D8" w:rsidRDefault="004C6F5F" w:rsidP="004C6F5F">
      <w:pPr>
        <w:rPr>
          <w:sz w:val="24"/>
          <w:szCs w:val="24"/>
        </w:rPr>
      </w:pPr>
      <w:r w:rsidRPr="00FC09D8">
        <w:rPr>
          <w:sz w:val="24"/>
          <w:szCs w:val="24"/>
        </w:rPr>
        <w:t xml:space="preserve">IOM Cymru (2016) Wales Reducing Reoffending Strategy 2014-2016. Available at: </w:t>
      </w:r>
      <w:hyperlink r:id="rId47" w:history="1">
        <w:r w:rsidRPr="00FC09D8">
          <w:rPr>
            <w:rStyle w:val="Hyperlink"/>
            <w:sz w:val="24"/>
            <w:szCs w:val="24"/>
          </w:rPr>
          <w:t>https://assets.publishing.service.gov.uk/media/5a803d79e5274a2e8ab4f00c/Wales-Reducing-Reoffending-Strategy-_e_.pdf</w:t>
        </w:r>
      </w:hyperlink>
      <w:r w:rsidRPr="00FC09D8">
        <w:rPr>
          <w:sz w:val="24"/>
          <w:szCs w:val="24"/>
        </w:rPr>
        <w:t xml:space="preserve"> (Accessed: 18 October 2023).</w:t>
      </w:r>
    </w:p>
    <w:p w14:paraId="0788B4B0" w14:textId="77777777" w:rsidR="004C6F5F" w:rsidRPr="00FC09D8" w:rsidRDefault="004C6F5F" w:rsidP="004C6F5F">
      <w:pPr>
        <w:rPr>
          <w:sz w:val="24"/>
          <w:szCs w:val="24"/>
        </w:rPr>
      </w:pPr>
      <w:r w:rsidRPr="00FC09D8">
        <w:rPr>
          <w:sz w:val="24"/>
          <w:szCs w:val="24"/>
        </w:rPr>
        <w:t xml:space="preserve">Oliphant, S. (2022) ‘Estimating the effect of death penalty moratoriums on homicide rates using the synthetic control method’, </w:t>
      </w:r>
      <w:r w:rsidRPr="00FC09D8">
        <w:rPr>
          <w:i/>
          <w:iCs/>
          <w:sz w:val="24"/>
          <w:szCs w:val="24"/>
        </w:rPr>
        <w:t>Criminology and Public Policy</w:t>
      </w:r>
      <w:r w:rsidRPr="00FC09D8">
        <w:rPr>
          <w:sz w:val="24"/>
          <w:szCs w:val="24"/>
        </w:rPr>
        <w:t xml:space="preserve">, 21(4), pp. 915 – 944. Available at: </w:t>
      </w:r>
      <w:hyperlink r:id="rId48" w:history="1">
        <w:r w:rsidRPr="00FC09D8">
          <w:rPr>
            <w:rStyle w:val="Hyperlink"/>
            <w:sz w:val="24"/>
            <w:szCs w:val="24"/>
          </w:rPr>
          <w:t>https://doi-org.ezproxy.uwtsd.ac.uk/10.1111/1745-9133.12601</w:t>
        </w:r>
      </w:hyperlink>
      <w:r w:rsidRPr="00FC09D8">
        <w:rPr>
          <w:sz w:val="24"/>
          <w:szCs w:val="24"/>
        </w:rPr>
        <w:t xml:space="preserve"> (Accessed: 18 October 2023).</w:t>
      </w:r>
    </w:p>
    <w:p w14:paraId="2288673B" w14:textId="77777777" w:rsidR="004C6F5F" w:rsidRPr="00FC09D8" w:rsidRDefault="004C6F5F" w:rsidP="004C6F5F">
      <w:pPr>
        <w:rPr>
          <w:sz w:val="24"/>
          <w:szCs w:val="24"/>
        </w:rPr>
      </w:pPr>
      <w:r w:rsidRPr="00FC09D8">
        <w:rPr>
          <w:sz w:val="24"/>
          <w:szCs w:val="24"/>
        </w:rPr>
        <w:lastRenderedPageBreak/>
        <w:t xml:space="preserve">Public Health England (2019) Collaborative Approaches to Preventing Offending and Re-Offending by Children. Available at: </w:t>
      </w:r>
      <w:hyperlink r:id="rId49" w:anchor="reducing-re-offending" w:history="1">
        <w:r w:rsidRPr="00FC09D8">
          <w:rPr>
            <w:rStyle w:val="Hyperlink"/>
            <w:sz w:val="24"/>
            <w:szCs w:val="24"/>
          </w:rPr>
          <w:t>https://www.gov.uk/government/publications/preventing-offending-and-re-offending-by-children/collaborative-approaches-to-preventing-offending-and-re-offending-by-children-capricorn-summary#reducing-re-offending</w:t>
        </w:r>
      </w:hyperlink>
      <w:r w:rsidRPr="00FC09D8">
        <w:rPr>
          <w:sz w:val="24"/>
          <w:szCs w:val="24"/>
        </w:rPr>
        <w:t xml:space="preserve"> (Accessed: 18 October 2023).</w:t>
      </w:r>
    </w:p>
    <w:p w14:paraId="65ED0B1D" w14:textId="77777777" w:rsidR="004C6F5F" w:rsidRPr="00FC09D8" w:rsidRDefault="004C6F5F" w:rsidP="004C6F5F">
      <w:pPr>
        <w:rPr>
          <w:sz w:val="24"/>
          <w:szCs w:val="24"/>
        </w:rPr>
      </w:pPr>
      <w:r w:rsidRPr="00FC09D8">
        <w:rPr>
          <w:sz w:val="24"/>
          <w:szCs w:val="24"/>
        </w:rPr>
        <w:t xml:space="preserve">UNODC (2022) </w:t>
      </w:r>
      <w:r w:rsidRPr="00FC09D8">
        <w:rPr>
          <w:i/>
          <w:iCs/>
          <w:sz w:val="24"/>
          <w:szCs w:val="24"/>
        </w:rPr>
        <w:t>Prison Research: A Pilot Study on the Causes of Recidivism in Albania, Czechia, and Thailand</w:t>
      </w:r>
      <w:r w:rsidRPr="00FC09D8">
        <w:rPr>
          <w:sz w:val="24"/>
          <w:szCs w:val="24"/>
        </w:rPr>
        <w:t xml:space="preserve">. Available at: </w:t>
      </w:r>
      <w:hyperlink r:id="rId50" w:history="1">
        <w:r w:rsidRPr="00FC09D8">
          <w:rPr>
            <w:rStyle w:val="Hyperlink"/>
            <w:sz w:val="24"/>
            <w:szCs w:val="24"/>
          </w:rPr>
          <w:t>https://www.unodc.org/documents/data-and-analysis/prison/Pilot_prison_research_brief_2022.pdf</w:t>
        </w:r>
      </w:hyperlink>
      <w:r w:rsidRPr="00FC09D8">
        <w:rPr>
          <w:sz w:val="24"/>
          <w:szCs w:val="24"/>
        </w:rPr>
        <w:t xml:space="preserve"> (Accessed: 18 October 2023).</w:t>
      </w:r>
    </w:p>
    <w:p w14:paraId="51D038B7" w14:textId="77777777" w:rsidR="004C6F5F" w:rsidRPr="00FC09D8" w:rsidRDefault="004C6F5F" w:rsidP="004C6F5F">
      <w:pPr>
        <w:rPr>
          <w:sz w:val="24"/>
          <w:szCs w:val="24"/>
        </w:rPr>
      </w:pPr>
    </w:p>
    <w:p w14:paraId="1B471A33" w14:textId="77777777" w:rsidR="000550CB" w:rsidRDefault="000550CB"/>
    <w:sectPr w:rsidR="00055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86F78"/>
    <w:multiLevelType w:val="hybridMultilevel"/>
    <w:tmpl w:val="29446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1111832">
    <w:abstractNumId w:val="0"/>
  </w:num>
  <w:num w:numId="2" w16cid:durableId="202821126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0CB"/>
    <w:rsid w:val="000550CB"/>
    <w:rsid w:val="003E7845"/>
    <w:rsid w:val="004C6F5F"/>
    <w:rsid w:val="00823E69"/>
    <w:rsid w:val="0087528E"/>
    <w:rsid w:val="008B2035"/>
    <w:rsid w:val="00993D00"/>
    <w:rsid w:val="00A1488B"/>
    <w:rsid w:val="00A47428"/>
    <w:rsid w:val="00AE459B"/>
    <w:rsid w:val="00D35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90B79"/>
  <w15:chartTrackingRefBased/>
  <w15:docId w15:val="{DC35B774-72D9-40BA-93CA-FB123F2F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5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59B"/>
    <w:rPr>
      <w:color w:val="0563C1" w:themeColor="hyperlink"/>
      <w:u w:val="single"/>
    </w:rPr>
  </w:style>
  <w:style w:type="paragraph" w:styleId="ListParagraph">
    <w:name w:val="List Paragraph"/>
    <w:basedOn w:val="Normal"/>
    <w:uiPriority w:val="34"/>
    <w:qFormat/>
    <w:rsid w:val="003E78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c2af540f0b645ba3c7202/4262.pdf" TargetMode="External"/><Relationship Id="rId18" Type="http://schemas.openxmlformats.org/officeDocument/2006/relationships/hyperlink" Target="https://www.gwent.police.uk/rqo/request/ri/request-information/sarahs-law-beta/sarahs-law-child-sex-offender-disclosure-scheme/" TargetMode="External"/><Relationship Id="rId26" Type="http://schemas.openxmlformats.org/officeDocument/2006/relationships/hyperlink" Target="https://us.sagepub.com/sites/default/files/upm-binaries/70565_Daigle_Chapter_1.pdf" TargetMode="External"/><Relationship Id="rId39" Type="http://schemas.openxmlformats.org/officeDocument/2006/relationships/hyperlink" Target="https://assets.publishing.service.gov.uk/media/5a756a3c40f0b6397f35e41b/horr52-report.pdf" TargetMode="External"/><Relationship Id="rId21" Type="http://schemas.openxmlformats.org/officeDocument/2006/relationships/hyperlink" Target="https://doi-org.ezproxy.uwtsd.ac.uk/10.1016/j.ijlcj.2010.10.001" TargetMode="External"/><Relationship Id="rId34" Type="http://schemas.openxmlformats.org/officeDocument/2006/relationships/hyperlink" Target="https://doi.org/10.1111/j.1469-7610.2010.02211.x" TargetMode="External"/><Relationship Id="rId42" Type="http://schemas.openxmlformats.org/officeDocument/2006/relationships/hyperlink" Target="http://www.antoniocasella.eu/nume/Deady_march2014.pdf" TargetMode="External"/><Relationship Id="rId47" Type="http://schemas.openxmlformats.org/officeDocument/2006/relationships/hyperlink" Target="https://assets.publishing.service.gov.uk/media/5a803d79e5274a2e8ab4f00c/Wales-Reducing-Reoffending-Strategy-_e_.pdf" TargetMode="External"/><Relationship Id="rId50" Type="http://schemas.openxmlformats.org/officeDocument/2006/relationships/hyperlink" Target="https://www.unodc.org/documents/data-and-analysis/prison/Pilot_prison_research_brief_2022.pdf" TargetMode="External"/><Relationship Id="rId7" Type="http://schemas.openxmlformats.org/officeDocument/2006/relationships/hyperlink" Target="https://ora.ox.ac.uk/objects/uuid:ea7bcad5-af6e-49d1-9a00-ff20f9c57569" TargetMode="External"/><Relationship Id="rId2" Type="http://schemas.openxmlformats.org/officeDocument/2006/relationships/styles" Target="styles.xml"/><Relationship Id="rId16" Type="http://schemas.openxmlformats.org/officeDocument/2006/relationships/hyperlink" Target="https://assets.publishing.service.gov.uk/media/628e262d8fa8f556203eb4f8/ALH_SH_National_Review_26-5-22.pdf" TargetMode="External"/><Relationship Id="rId29" Type="http://schemas.openxmlformats.org/officeDocument/2006/relationships/hyperlink" Target="https://stumejournals.com/journals/confsec/2019/4/158.full.pdf" TargetMode="External"/><Relationship Id="rId11" Type="http://schemas.openxmlformats.org/officeDocument/2006/relationships/hyperlink" Target="https://www.policeconduct.gov.uk/sites/default/files/documents/IOPC-public-perceptions-tracker-report-2022-23.pdf" TargetMode="External"/><Relationship Id="rId24" Type="http://schemas.openxmlformats.org/officeDocument/2006/relationships/hyperlink" Target="https://www.unodc.org/documents/justice-and-prison-reform/18-02303_ebook.pdf" TargetMode="External"/><Relationship Id="rId32" Type="http://schemas.openxmlformats.org/officeDocument/2006/relationships/hyperlink" Target="https://iiif.bodleian.ox.ac.uk/iiif/image/a5aab526-64d9-41f2-9e3c-173151f60ad5/full/full/0/default.jpg" TargetMode="External"/><Relationship Id="rId37" Type="http://schemas.openxmlformats.org/officeDocument/2006/relationships/hyperlink" Target="https://doi.org/10.1177/1541204019854799" TargetMode="External"/><Relationship Id="rId40" Type="http://schemas.openxmlformats.org/officeDocument/2006/relationships/hyperlink" Target="https://www.college.police.uk/app/major-investigation-and-public-protection/hate-crime/partnership-working" TargetMode="External"/><Relationship Id="rId45" Type="http://schemas.openxmlformats.org/officeDocument/2006/relationships/hyperlink" Target="https://www.gwent.pcc.police.uk/en/news-room/young-people-leaving-prison-to-be-offered-package-of-support-aimed-at-preventing-homelessness-and-reoffending/" TargetMode="External"/><Relationship Id="rId5" Type="http://schemas.openxmlformats.org/officeDocument/2006/relationships/hyperlink" Target="https://assets.college.police.uk/s3fs-public/2021-02/code_of_ethics.pdf" TargetMode="External"/><Relationship Id="rId15" Type="http://schemas.openxmlformats.org/officeDocument/2006/relationships/hyperlink" Target="https://www.legislation.gov.uk/ukpga/2000/43/contents" TargetMode="External"/><Relationship Id="rId23" Type="http://schemas.openxmlformats.org/officeDocument/2006/relationships/hyperlink" Target="https://doi.org/10.1192/bja.2018.5" TargetMode="External"/><Relationship Id="rId28" Type="http://schemas.openxmlformats.org/officeDocument/2006/relationships/hyperlink" Target="https://psycnet.apa.org/doi/10.1023/A:1005639909226" TargetMode="External"/><Relationship Id="rId36" Type="http://schemas.openxmlformats.org/officeDocument/2006/relationships/hyperlink" Target="https://doi.org/10.4135/9781412959193" TargetMode="External"/><Relationship Id="rId49"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0" Type="http://schemas.openxmlformats.org/officeDocument/2006/relationships/hyperlink" Target="https://committees.parliament.uk/publications/7012/documents/89144/default/" TargetMode="External"/><Relationship Id="rId19" Type="http://schemas.openxmlformats.org/officeDocument/2006/relationships/hyperlink" Target="https://www.proceduresonline.com/trixcms2/media/12988/mappa_guidance-nov-2021.pdf" TargetMode="External"/><Relationship Id="rId31" Type="http://schemas.openxmlformats.org/officeDocument/2006/relationships/hyperlink" Target="https://doi.org/10.1080/15564886.2015.1057351" TargetMode="External"/><Relationship Id="rId44" Type="http://schemas.openxmlformats.org/officeDocument/2006/relationships/hyperlink" Target="https://www.bmj.com/content/340/bmj.c74"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pository.canterbury.ac.uk/item/87y1w/the-mandatory-delivery-of-ongoing-training-within-the-police-service-of-england-and-wales-and-its-relationship-to-the-andragogical-principle-of-self-motivation" TargetMode="External"/><Relationship Id="rId14" Type="http://schemas.openxmlformats.org/officeDocument/2006/relationships/hyperlink" Target="https://doi-org.ezproxy.uwtsd.ac.uk/10.2307/j.ctt9qgt11" TargetMode="External"/><Relationship Id="rId22" Type="http://schemas.openxmlformats.org/officeDocument/2006/relationships/hyperlink" Target="https://doi-org.ezproxy.uwtsd.ac.uk/10.2307/j.ctvq4c0j8.10" TargetMode="External"/><Relationship Id="rId27" Type="http://schemas.openxmlformats.org/officeDocument/2006/relationships/hyperlink" Target="https://doi-org.ezproxy.uwtsd.ac.uk/10.2307/2094589" TargetMode="External"/><Relationship Id="rId30" Type="http://schemas.openxmlformats.org/officeDocument/2006/relationships/hyperlink" Target="https://static.nya.org.uk/static/f3fcc0c77f1f2d3b579af6274648540b/Between-the-lines-final-version.pdf" TargetMode="External"/><Relationship Id="rId35" Type="http://schemas.openxmlformats.org/officeDocument/2006/relationships/hyperlink" Target="https://archive.org/details/in.ernet.dli.2015.34038/page/n5/mode/2up" TargetMode="External"/><Relationship Id="rId43" Type="http://schemas.openxmlformats.org/officeDocument/2006/relationships/hyperlink" Target="http://doi.org/10.1093/ei/cbj032" TargetMode="External"/><Relationship Id="rId48" Type="http://schemas.openxmlformats.org/officeDocument/2006/relationships/hyperlink" Target="https://doi-org.ezproxy.uwtsd.ac.uk/10.1111/1745-9133.12601" TargetMode="External"/><Relationship Id="rId8" Type="http://schemas.openxmlformats.org/officeDocument/2006/relationships/hyperlink" Target="https://assets.publishing.service.gov.uk/government/uploads/system/uploads/attachment_data/file/229038/0581.pdf"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07/978-3-030-96844-1" TargetMode="External"/><Relationship Id="rId17" Type="http://schemas.openxmlformats.org/officeDocument/2006/relationships/hyperlink" Target="https://assets.publishing.service.gov.uk/government/uploads/system/uploads/attachment_data/file/1107448/14.149_DFE_Child_safeguarding_Domestic_PB2_v4a.pdf" TargetMode="External"/><Relationship Id="rId25" Type="http://schemas.openxmlformats.org/officeDocument/2006/relationships/hyperlink" Target="https://www.gwentsafeguarding.org.uk/assets/en-documents/Gwent-MARAC-Protocol.pdf" TargetMode="External"/><Relationship Id="rId33" Type="http://schemas.openxmlformats.org/officeDocument/2006/relationships/hyperlink" Target="https://research.gold.ac.uk/id/eprint/26063/3/Young-people-and-organised-crime%20accepted.pdf" TargetMode="External"/><Relationship Id="rId38" Type="http://schemas.openxmlformats.org/officeDocument/2006/relationships/hyperlink" Target="https://content.time.com/time/magazine/article/0,9171,2000920,00.html" TargetMode="External"/><Relationship Id="rId46" Type="http://schemas.openxmlformats.org/officeDocument/2006/relationships/hyperlink" Target="https://www.justiceinspectorates.gov.uk/hmiprobation/wp-content/uploads/sites/5/2017/04/Gwent-QI-inspection-report.pdf" TargetMode="External"/><Relationship Id="rId20" Type="http://schemas.openxmlformats.org/officeDocument/2006/relationships/hyperlink" Target="https://assets.publishing.service.gov.uk/media/5a7c5edeed915d696ccfc51b/5730.pdf" TargetMode="External"/><Relationship Id="rId41" Type="http://schemas.openxmlformats.org/officeDocument/2006/relationships/hyperlink" Target="https://www.legislation.gov.uk/ukpga/1998/37/contents" TargetMode="External"/><Relationship Id="rId1" Type="http://schemas.openxmlformats.org/officeDocument/2006/relationships/numbering" Target="numbering.xml"/><Relationship Id="rId6" Type="http://schemas.openxmlformats.org/officeDocument/2006/relationships/hyperlink" Target="https://www.college.police.uk/ethics/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19</Pages>
  <Words>6425</Words>
  <Characters>36629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Thompson</dc:creator>
  <cp:keywords/>
  <dc:description/>
  <cp:lastModifiedBy>Chris Thompson</cp:lastModifiedBy>
  <cp:revision>11</cp:revision>
  <dcterms:created xsi:type="dcterms:W3CDTF">2023-11-03T11:34:00Z</dcterms:created>
  <dcterms:modified xsi:type="dcterms:W3CDTF">2023-11-06T16:52:00Z</dcterms:modified>
</cp:coreProperties>
</file>