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F9167" w14:textId="1DCE542F" w:rsidR="00191D3B" w:rsidRDefault="00191D3B"/>
    <w:p w14:paraId="4BB233CF" w14:textId="09BA2E11" w:rsidR="00361A8A" w:rsidRPr="0084042C" w:rsidRDefault="0084042C" w:rsidP="0084042C">
      <w:pPr>
        <w:jc w:val="center"/>
        <w:rPr>
          <w:sz w:val="40"/>
          <w:szCs w:val="40"/>
        </w:rPr>
      </w:pPr>
      <w:r w:rsidRPr="0084042C">
        <w:rPr>
          <w:sz w:val="40"/>
          <w:szCs w:val="40"/>
        </w:rPr>
        <w:t>Report</w:t>
      </w:r>
      <w:r>
        <w:rPr>
          <w:sz w:val="40"/>
          <w:szCs w:val="40"/>
        </w:rPr>
        <w:t xml:space="preserve"> </w:t>
      </w:r>
      <w:r w:rsidR="00584125">
        <w:rPr>
          <w:sz w:val="40"/>
          <w:szCs w:val="40"/>
        </w:rPr>
        <w:t>Analysis</w:t>
      </w:r>
    </w:p>
    <w:p w14:paraId="1004E90A" w14:textId="77777777" w:rsidR="00361A8A" w:rsidRDefault="00361A8A"/>
    <w:p w14:paraId="1657F416" w14:textId="77777777" w:rsidR="00361A8A" w:rsidRDefault="00361A8A"/>
    <w:p w14:paraId="35816163" w14:textId="77777777" w:rsidR="00746FD1" w:rsidRDefault="00746FD1"/>
    <w:p w14:paraId="0DCBA057" w14:textId="77777777" w:rsidR="00746FD1" w:rsidRDefault="00746FD1"/>
    <w:p w14:paraId="5207A2D0" w14:textId="77777777" w:rsidR="00746FD1" w:rsidRDefault="00746FD1"/>
    <w:p w14:paraId="6E4A633D" w14:textId="77777777" w:rsidR="00746FD1" w:rsidRDefault="00746FD1"/>
    <w:p w14:paraId="1A47A431" w14:textId="77777777" w:rsidR="00746FD1" w:rsidRDefault="00746FD1"/>
    <w:p w14:paraId="5032377C" w14:textId="77777777" w:rsidR="00746FD1" w:rsidRDefault="00746FD1"/>
    <w:p w14:paraId="3662B3B1" w14:textId="77777777" w:rsidR="00746FD1" w:rsidRDefault="00746FD1"/>
    <w:p w14:paraId="069B66A0" w14:textId="77777777" w:rsidR="00746FD1" w:rsidRDefault="00746FD1"/>
    <w:p w14:paraId="591A2050" w14:textId="77777777" w:rsidR="00361A8A" w:rsidRDefault="00361A8A"/>
    <w:p w14:paraId="42D44550" w14:textId="77777777" w:rsidR="00361A8A" w:rsidRDefault="00361A8A"/>
    <w:sdt>
      <w:sdtPr>
        <w:id w:val="1136757046"/>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E0879D0" w14:textId="60E73B74" w:rsidR="00FB5495" w:rsidRDefault="00FB5495">
          <w:pPr>
            <w:pStyle w:val="TOCHeading"/>
          </w:pPr>
          <w:r>
            <w:t>Table of Contents</w:t>
          </w:r>
        </w:p>
        <w:p w14:paraId="22EF0220" w14:textId="0E76576A" w:rsidR="00400B88" w:rsidRDefault="00FB5495">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105374" w:history="1">
            <w:r w:rsidR="00400B88" w:rsidRPr="00716DA0">
              <w:rPr>
                <w:rStyle w:val="Hyperlink"/>
                <w:noProof/>
              </w:rPr>
              <w:t>Executive summary</w:t>
            </w:r>
            <w:r w:rsidR="00400B88">
              <w:rPr>
                <w:noProof/>
                <w:webHidden/>
              </w:rPr>
              <w:tab/>
            </w:r>
            <w:r w:rsidR="00400B88">
              <w:rPr>
                <w:noProof/>
                <w:webHidden/>
              </w:rPr>
              <w:fldChar w:fldCharType="begin"/>
            </w:r>
            <w:r w:rsidR="00400B88">
              <w:rPr>
                <w:noProof/>
                <w:webHidden/>
              </w:rPr>
              <w:instrText xml:space="preserve"> PAGEREF _Toc197105374 \h </w:instrText>
            </w:r>
            <w:r w:rsidR="00400B88">
              <w:rPr>
                <w:noProof/>
                <w:webHidden/>
              </w:rPr>
            </w:r>
            <w:r w:rsidR="00400B88">
              <w:rPr>
                <w:noProof/>
                <w:webHidden/>
              </w:rPr>
              <w:fldChar w:fldCharType="separate"/>
            </w:r>
            <w:r w:rsidR="00400B88">
              <w:rPr>
                <w:noProof/>
                <w:webHidden/>
              </w:rPr>
              <w:t>1</w:t>
            </w:r>
            <w:r w:rsidR="00400B88">
              <w:rPr>
                <w:noProof/>
                <w:webHidden/>
              </w:rPr>
              <w:fldChar w:fldCharType="end"/>
            </w:r>
          </w:hyperlink>
        </w:p>
        <w:p w14:paraId="46315BCB" w14:textId="232AAA97" w:rsidR="00400B88" w:rsidRDefault="00400B88">
          <w:pPr>
            <w:pStyle w:val="TOC1"/>
            <w:tabs>
              <w:tab w:val="right" w:leader="dot" w:pos="9016"/>
            </w:tabs>
            <w:rPr>
              <w:b w:val="0"/>
              <w:bCs w:val="0"/>
              <w:i w:val="0"/>
              <w:iCs w:val="0"/>
              <w:noProof/>
              <w:lang w:eastAsia="en-GB"/>
            </w:rPr>
          </w:pPr>
          <w:hyperlink w:anchor="_Toc197105375" w:history="1">
            <w:r w:rsidRPr="00716DA0">
              <w:rPr>
                <w:rStyle w:val="Hyperlink"/>
                <w:noProof/>
              </w:rPr>
              <w:t>Introduction</w:t>
            </w:r>
            <w:r>
              <w:rPr>
                <w:noProof/>
                <w:webHidden/>
              </w:rPr>
              <w:tab/>
            </w:r>
            <w:r>
              <w:rPr>
                <w:noProof/>
                <w:webHidden/>
              </w:rPr>
              <w:fldChar w:fldCharType="begin"/>
            </w:r>
            <w:r>
              <w:rPr>
                <w:noProof/>
                <w:webHidden/>
              </w:rPr>
              <w:instrText xml:space="preserve"> PAGEREF _Toc197105375 \h </w:instrText>
            </w:r>
            <w:r>
              <w:rPr>
                <w:noProof/>
                <w:webHidden/>
              </w:rPr>
            </w:r>
            <w:r>
              <w:rPr>
                <w:noProof/>
                <w:webHidden/>
              </w:rPr>
              <w:fldChar w:fldCharType="separate"/>
            </w:r>
            <w:r>
              <w:rPr>
                <w:noProof/>
                <w:webHidden/>
              </w:rPr>
              <w:t>2</w:t>
            </w:r>
            <w:r>
              <w:rPr>
                <w:noProof/>
                <w:webHidden/>
              </w:rPr>
              <w:fldChar w:fldCharType="end"/>
            </w:r>
          </w:hyperlink>
        </w:p>
        <w:p w14:paraId="6E9B503D" w14:textId="4AEF34CB" w:rsidR="00400B88" w:rsidRDefault="00400B88">
          <w:pPr>
            <w:pStyle w:val="TOC1"/>
            <w:tabs>
              <w:tab w:val="right" w:leader="dot" w:pos="9016"/>
            </w:tabs>
            <w:rPr>
              <w:b w:val="0"/>
              <w:bCs w:val="0"/>
              <w:i w:val="0"/>
              <w:iCs w:val="0"/>
              <w:noProof/>
              <w:lang w:eastAsia="en-GB"/>
            </w:rPr>
          </w:pPr>
          <w:hyperlink w:anchor="_Toc197105376" w:history="1">
            <w:r w:rsidRPr="00716DA0">
              <w:rPr>
                <w:rStyle w:val="Hyperlink"/>
                <w:noProof/>
              </w:rPr>
              <w:t>Four Ws Analysis:</w:t>
            </w:r>
            <w:r>
              <w:rPr>
                <w:noProof/>
                <w:webHidden/>
              </w:rPr>
              <w:tab/>
            </w:r>
            <w:r>
              <w:rPr>
                <w:noProof/>
                <w:webHidden/>
              </w:rPr>
              <w:fldChar w:fldCharType="begin"/>
            </w:r>
            <w:r>
              <w:rPr>
                <w:noProof/>
                <w:webHidden/>
              </w:rPr>
              <w:instrText xml:space="preserve"> PAGEREF _Toc197105376 \h </w:instrText>
            </w:r>
            <w:r>
              <w:rPr>
                <w:noProof/>
                <w:webHidden/>
              </w:rPr>
            </w:r>
            <w:r>
              <w:rPr>
                <w:noProof/>
                <w:webHidden/>
              </w:rPr>
              <w:fldChar w:fldCharType="separate"/>
            </w:r>
            <w:r>
              <w:rPr>
                <w:noProof/>
                <w:webHidden/>
              </w:rPr>
              <w:t>4</w:t>
            </w:r>
            <w:r>
              <w:rPr>
                <w:noProof/>
                <w:webHidden/>
              </w:rPr>
              <w:fldChar w:fldCharType="end"/>
            </w:r>
          </w:hyperlink>
        </w:p>
        <w:p w14:paraId="576217AA" w14:textId="0D4E1B79" w:rsidR="00400B88" w:rsidRDefault="00400B88">
          <w:pPr>
            <w:pStyle w:val="TOC2"/>
            <w:tabs>
              <w:tab w:val="right" w:leader="dot" w:pos="9016"/>
            </w:tabs>
            <w:rPr>
              <w:b w:val="0"/>
              <w:bCs w:val="0"/>
              <w:noProof/>
              <w:sz w:val="24"/>
              <w:szCs w:val="24"/>
              <w:lang w:eastAsia="en-GB"/>
            </w:rPr>
          </w:pPr>
          <w:hyperlink w:anchor="_Toc197105377" w:history="1">
            <w:r w:rsidRPr="00716DA0">
              <w:rPr>
                <w:rStyle w:val="Hyperlink"/>
                <w:noProof/>
              </w:rPr>
              <w:t>Who was involved?</w:t>
            </w:r>
            <w:r>
              <w:rPr>
                <w:noProof/>
                <w:webHidden/>
              </w:rPr>
              <w:tab/>
            </w:r>
            <w:r>
              <w:rPr>
                <w:noProof/>
                <w:webHidden/>
              </w:rPr>
              <w:fldChar w:fldCharType="begin"/>
            </w:r>
            <w:r>
              <w:rPr>
                <w:noProof/>
                <w:webHidden/>
              </w:rPr>
              <w:instrText xml:space="preserve"> PAGEREF _Toc197105377 \h </w:instrText>
            </w:r>
            <w:r>
              <w:rPr>
                <w:noProof/>
                <w:webHidden/>
              </w:rPr>
            </w:r>
            <w:r>
              <w:rPr>
                <w:noProof/>
                <w:webHidden/>
              </w:rPr>
              <w:fldChar w:fldCharType="separate"/>
            </w:r>
            <w:r>
              <w:rPr>
                <w:noProof/>
                <w:webHidden/>
              </w:rPr>
              <w:t>4</w:t>
            </w:r>
            <w:r>
              <w:rPr>
                <w:noProof/>
                <w:webHidden/>
              </w:rPr>
              <w:fldChar w:fldCharType="end"/>
            </w:r>
          </w:hyperlink>
        </w:p>
        <w:p w14:paraId="6932B6FD" w14:textId="6B55BF0C" w:rsidR="00400B88" w:rsidRDefault="00400B88">
          <w:pPr>
            <w:pStyle w:val="TOC2"/>
            <w:tabs>
              <w:tab w:val="right" w:leader="dot" w:pos="9016"/>
            </w:tabs>
            <w:rPr>
              <w:b w:val="0"/>
              <w:bCs w:val="0"/>
              <w:noProof/>
              <w:sz w:val="24"/>
              <w:szCs w:val="24"/>
              <w:lang w:eastAsia="en-GB"/>
            </w:rPr>
          </w:pPr>
          <w:hyperlink w:anchor="_Toc197105378" w:history="1">
            <w:r w:rsidRPr="00716DA0">
              <w:rPr>
                <w:rStyle w:val="Hyperlink"/>
                <w:noProof/>
              </w:rPr>
              <w:t>What happened?</w:t>
            </w:r>
            <w:r>
              <w:rPr>
                <w:noProof/>
                <w:webHidden/>
              </w:rPr>
              <w:tab/>
            </w:r>
            <w:r>
              <w:rPr>
                <w:noProof/>
                <w:webHidden/>
              </w:rPr>
              <w:fldChar w:fldCharType="begin"/>
            </w:r>
            <w:r>
              <w:rPr>
                <w:noProof/>
                <w:webHidden/>
              </w:rPr>
              <w:instrText xml:space="preserve"> PAGEREF _Toc197105378 \h </w:instrText>
            </w:r>
            <w:r>
              <w:rPr>
                <w:noProof/>
                <w:webHidden/>
              </w:rPr>
            </w:r>
            <w:r>
              <w:rPr>
                <w:noProof/>
                <w:webHidden/>
              </w:rPr>
              <w:fldChar w:fldCharType="separate"/>
            </w:r>
            <w:r>
              <w:rPr>
                <w:noProof/>
                <w:webHidden/>
              </w:rPr>
              <w:t>4</w:t>
            </w:r>
            <w:r>
              <w:rPr>
                <w:noProof/>
                <w:webHidden/>
              </w:rPr>
              <w:fldChar w:fldCharType="end"/>
            </w:r>
          </w:hyperlink>
        </w:p>
        <w:p w14:paraId="59A2E6C5" w14:textId="7FF51BD4" w:rsidR="00400B88" w:rsidRDefault="00400B88">
          <w:pPr>
            <w:pStyle w:val="TOC2"/>
            <w:tabs>
              <w:tab w:val="right" w:leader="dot" w:pos="9016"/>
            </w:tabs>
            <w:rPr>
              <w:b w:val="0"/>
              <w:bCs w:val="0"/>
              <w:noProof/>
              <w:sz w:val="24"/>
              <w:szCs w:val="24"/>
              <w:lang w:eastAsia="en-GB"/>
            </w:rPr>
          </w:pPr>
          <w:hyperlink w:anchor="_Toc197105379" w:history="1">
            <w:r w:rsidRPr="00716DA0">
              <w:rPr>
                <w:rStyle w:val="Hyperlink"/>
                <w:noProof/>
              </w:rPr>
              <w:t>Where did it happen?</w:t>
            </w:r>
            <w:r>
              <w:rPr>
                <w:noProof/>
                <w:webHidden/>
              </w:rPr>
              <w:tab/>
            </w:r>
            <w:r>
              <w:rPr>
                <w:noProof/>
                <w:webHidden/>
              </w:rPr>
              <w:fldChar w:fldCharType="begin"/>
            </w:r>
            <w:r>
              <w:rPr>
                <w:noProof/>
                <w:webHidden/>
              </w:rPr>
              <w:instrText xml:space="preserve"> PAGEREF _Toc197105379 \h </w:instrText>
            </w:r>
            <w:r>
              <w:rPr>
                <w:noProof/>
                <w:webHidden/>
              </w:rPr>
            </w:r>
            <w:r>
              <w:rPr>
                <w:noProof/>
                <w:webHidden/>
              </w:rPr>
              <w:fldChar w:fldCharType="separate"/>
            </w:r>
            <w:r>
              <w:rPr>
                <w:noProof/>
                <w:webHidden/>
              </w:rPr>
              <w:t>5</w:t>
            </w:r>
            <w:r>
              <w:rPr>
                <w:noProof/>
                <w:webHidden/>
              </w:rPr>
              <w:fldChar w:fldCharType="end"/>
            </w:r>
          </w:hyperlink>
        </w:p>
        <w:p w14:paraId="597BEBC1" w14:textId="14DAFAEA" w:rsidR="00400B88" w:rsidRDefault="00400B88">
          <w:pPr>
            <w:pStyle w:val="TOC2"/>
            <w:tabs>
              <w:tab w:val="right" w:leader="dot" w:pos="9016"/>
            </w:tabs>
            <w:rPr>
              <w:b w:val="0"/>
              <w:bCs w:val="0"/>
              <w:noProof/>
              <w:sz w:val="24"/>
              <w:szCs w:val="24"/>
              <w:lang w:eastAsia="en-GB"/>
            </w:rPr>
          </w:pPr>
          <w:hyperlink w:anchor="_Toc197105380" w:history="1">
            <w:r w:rsidRPr="00716DA0">
              <w:rPr>
                <w:rStyle w:val="Hyperlink"/>
                <w:noProof/>
              </w:rPr>
              <w:t>Why did it happen?</w:t>
            </w:r>
            <w:r>
              <w:rPr>
                <w:noProof/>
                <w:webHidden/>
              </w:rPr>
              <w:tab/>
            </w:r>
            <w:r>
              <w:rPr>
                <w:noProof/>
                <w:webHidden/>
              </w:rPr>
              <w:fldChar w:fldCharType="begin"/>
            </w:r>
            <w:r>
              <w:rPr>
                <w:noProof/>
                <w:webHidden/>
              </w:rPr>
              <w:instrText xml:space="preserve"> PAGEREF _Toc197105380 \h </w:instrText>
            </w:r>
            <w:r>
              <w:rPr>
                <w:noProof/>
                <w:webHidden/>
              </w:rPr>
            </w:r>
            <w:r>
              <w:rPr>
                <w:noProof/>
                <w:webHidden/>
              </w:rPr>
              <w:fldChar w:fldCharType="separate"/>
            </w:r>
            <w:r>
              <w:rPr>
                <w:noProof/>
                <w:webHidden/>
              </w:rPr>
              <w:t>5</w:t>
            </w:r>
            <w:r>
              <w:rPr>
                <w:noProof/>
                <w:webHidden/>
              </w:rPr>
              <w:fldChar w:fldCharType="end"/>
            </w:r>
          </w:hyperlink>
        </w:p>
        <w:p w14:paraId="0210434D" w14:textId="0A21D1AA" w:rsidR="00400B88" w:rsidRDefault="00400B88">
          <w:pPr>
            <w:pStyle w:val="TOC1"/>
            <w:tabs>
              <w:tab w:val="right" w:leader="dot" w:pos="9016"/>
            </w:tabs>
            <w:rPr>
              <w:b w:val="0"/>
              <w:bCs w:val="0"/>
              <w:i w:val="0"/>
              <w:iCs w:val="0"/>
              <w:noProof/>
              <w:lang w:eastAsia="en-GB"/>
            </w:rPr>
          </w:pPr>
          <w:hyperlink w:anchor="_Toc197105381" w:history="1">
            <w:r w:rsidRPr="00716DA0">
              <w:rPr>
                <w:rStyle w:val="Hyperlink"/>
                <w:noProof/>
              </w:rPr>
              <w:t>Research Plan</w:t>
            </w:r>
            <w:r>
              <w:rPr>
                <w:noProof/>
                <w:webHidden/>
              </w:rPr>
              <w:tab/>
            </w:r>
            <w:r>
              <w:rPr>
                <w:noProof/>
                <w:webHidden/>
              </w:rPr>
              <w:fldChar w:fldCharType="begin"/>
            </w:r>
            <w:r>
              <w:rPr>
                <w:noProof/>
                <w:webHidden/>
              </w:rPr>
              <w:instrText xml:space="preserve"> PAGEREF _Toc197105381 \h </w:instrText>
            </w:r>
            <w:r>
              <w:rPr>
                <w:noProof/>
                <w:webHidden/>
              </w:rPr>
            </w:r>
            <w:r>
              <w:rPr>
                <w:noProof/>
                <w:webHidden/>
              </w:rPr>
              <w:fldChar w:fldCharType="separate"/>
            </w:r>
            <w:r>
              <w:rPr>
                <w:noProof/>
                <w:webHidden/>
              </w:rPr>
              <w:t>6</w:t>
            </w:r>
            <w:r>
              <w:rPr>
                <w:noProof/>
                <w:webHidden/>
              </w:rPr>
              <w:fldChar w:fldCharType="end"/>
            </w:r>
          </w:hyperlink>
        </w:p>
        <w:p w14:paraId="44F2A1EF" w14:textId="019A640C" w:rsidR="00400B88" w:rsidRDefault="00400B88">
          <w:pPr>
            <w:pStyle w:val="TOC1"/>
            <w:tabs>
              <w:tab w:val="right" w:leader="dot" w:pos="9016"/>
            </w:tabs>
            <w:rPr>
              <w:b w:val="0"/>
              <w:bCs w:val="0"/>
              <w:i w:val="0"/>
              <w:iCs w:val="0"/>
              <w:noProof/>
              <w:lang w:eastAsia="en-GB"/>
            </w:rPr>
          </w:pPr>
          <w:hyperlink w:anchor="_Toc197105382" w:history="1">
            <w:r w:rsidRPr="00716DA0">
              <w:rPr>
                <w:rStyle w:val="Hyperlink"/>
                <w:noProof/>
              </w:rPr>
              <w:t>Methodology</w:t>
            </w:r>
            <w:r>
              <w:rPr>
                <w:noProof/>
                <w:webHidden/>
              </w:rPr>
              <w:tab/>
            </w:r>
            <w:r>
              <w:rPr>
                <w:noProof/>
                <w:webHidden/>
              </w:rPr>
              <w:fldChar w:fldCharType="begin"/>
            </w:r>
            <w:r>
              <w:rPr>
                <w:noProof/>
                <w:webHidden/>
              </w:rPr>
              <w:instrText xml:space="preserve"> PAGEREF _Toc197105382 \h </w:instrText>
            </w:r>
            <w:r>
              <w:rPr>
                <w:noProof/>
                <w:webHidden/>
              </w:rPr>
            </w:r>
            <w:r>
              <w:rPr>
                <w:noProof/>
                <w:webHidden/>
              </w:rPr>
              <w:fldChar w:fldCharType="separate"/>
            </w:r>
            <w:r>
              <w:rPr>
                <w:noProof/>
                <w:webHidden/>
              </w:rPr>
              <w:t>7</w:t>
            </w:r>
            <w:r>
              <w:rPr>
                <w:noProof/>
                <w:webHidden/>
              </w:rPr>
              <w:fldChar w:fldCharType="end"/>
            </w:r>
          </w:hyperlink>
        </w:p>
        <w:p w14:paraId="2B3B3A2D" w14:textId="7957B88C" w:rsidR="00400B88" w:rsidRDefault="00400B88">
          <w:pPr>
            <w:pStyle w:val="TOC1"/>
            <w:tabs>
              <w:tab w:val="right" w:leader="dot" w:pos="9016"/>
            </w:tabs>
            <w:rPr>
              <w:b w:val="0"/>
              <w:bCs w:val="0"/>
              <w:i w:val="0"/>
              <w:iCs w:val="0"/>
              <w:noProof/>
              <w:lang w:eastAsia="en-GB"/>
            </w:rPr>
          </w:pPr>
          <w:hyperlink w:anchor="_Toc197105383" w:history="1">
            <w:r w:rsidRPr="00716DA0">
              <w:rPr>
                <w:rStyle w:val="Hyperlink"/>
                <w:noProof/>
              </w:rPr>
              <w:t>Research and Findings</w:t>
            </w:r>
            <w:r>
              <w:rPr>
                <w:noProof/>
                <w:webHidden/>
              </w:rPr>
              <w:tab/>
            </w:r>
            <w:r>
              <w:rPr>
                <w:noProof/>
                <w:webHidden/>
              </w:rPr>
              <w:fldChar w:fldCharType="begin"/>
            </w:r>
            <w:r>
              <w:rPr>
                <w:noProof/>
                <w:webHidden/>
              </w:rPr>
              <w:instrText xml:space="preserve"> PAGEREF _Toc197105383 \h </w:instrText>
            </w:r>
            <w:r>
              <w:rPr>
                <w:noProof/>
                <w:webHidden/>
              </w:rPr>
            </w:r>
            <w:r>
              <w:rPr>
                <w:noProof/>
                <w:webHidden/>
              </w:rPr>
              <w:fldChar w:fldCharType="separate"/>
            </w:r>
            <w:r>
              <w:rPr>
                <w:noProof/>
                <w:webHidden/>
              </w:rPr>
              <w:t>9</w:t>
            </w:r>
            <w:r>
              <w:rPr>
                <w:noProof/>
                <w:webHidden/>
              </w:rPr>
              <w:fldChar w:fldCharType="end"/>
            </w:r>
          </w:hyperlink>
        </w:p>
        <w:p w14:paraId="1A338D7E" w14:textId="00D453B8" w:rsidR="00400B88" w:rsidRDefault="00400B88">
          <w:pPr>
            <w:pStyle w:val="TOC1"/>
            <w:tabs>
              <w:tab w:val="right" w:leader="dot" w:pos="9016"/>
            </w:tabs>
            <w:rPr>
              <w:b w:val="0"/>
              <w:bCs w:val="0"/>
              <w:i w:val="0"/>
              <w:iCs w:val="0"/>
              <w:noProof/>
              <w:lang w:eastAsia="en-GB"/>
            </w:rPr>
          </w:pPr>
          <w:hyperlink w:anchor="_Toc197105384" w:history="1">
            <w:r w:rsidRPr="00716DA0">
              <w:rPr>
                <w:rStyle w:val="Hyperlink"/>
                <w:noProof/>
              </w:rPr>
              <w:t>Reform Suggestions</w:t>
            </w:r>
            <w:r>
              <w:rPr>
                <w:noProof/>
                <w:webHidden/>
              </w:rPr>
              <w:tab/>
            </w:r>
            <w:r>
              <w:rPr>
                <w:noProof/>
                <w:webHidden/>
              </w:rPr>
              <w:fldChar w:fldCharType="begin"/>
            </w:r>
            <w:r>
              <w:rPr>
                <w:noProof/>
                <w:webHidden/>
              </w:rPr>
              <w:instrText xml:space="preserve"> PAGEREF _Toc197105384 \h </w:instrText>
            </w:r>
            <w:r>
              <w:rPr>
                <w:noProof/>
                <w:webHidden/>
              </w:rPr>
            </w:r>
            <w:r>
              <w:rPr>
                <w:noProof/>
                <w:webHidden/>
              </w:rPr>
              <w:fldChar w:fldCharType="separate"/>
            </w:r>
            <w:r>
              <w:rPr>
                <w:noProof/>
                <w:webHidden/>
              </w:rPr>
              <w:t>10</w:t>
            </w:r>
            <w:r>
              <w:rPr>
                <w:noProof/>
                <w:webHidden/>
              </w:rPr>
              <w:fldChar w:fldCharType="end"/>
            </w:r>
          </w:hyperlink>
        </w:p>
        <w:p w14:paraId="46C7D6A4" w14:textId="4389F7CC" w:rsidR="00400B88" w:rsidRDefault="00400B88">
          <w:pPr>
            <w:pStyle w:val="TOC1"/>
            <w:tabs>
              <w:tab w:val="right" w:leader="dot" w:pos="9016"/>
            </w:tabs>
            <w:rPr>
              <w:b w:val="0"/>
              <w:bCs w:val="0"/>
              <w:i w:val="0"/>
              <w:iCs w:val="0"/>
              <w:noProof/>
              <w:lang w:eastAsia="en-GB"/>
            </w:rPr>
          </w:pPr>
          <w:hyperlink w:anchor="_Toc197105385" w:history="1">
            <w:r w:rsidRPr="00716DA0">
              <w:rPr>
                <w:rStyle w:val="Hyperlink"/>
                <w:noProof/>
              </w:rPr>
              <w:t>Conclusion</w:t>
            </w:r>
            <w:r>
              <w:rPr>
                <w:noProof/>
                <w:webHidden/>
              </w:rPr>
              <w:tab/>
            </w:r>
            <w:r>
              <w:rPr>
                <w:noProof/>
                <w:webHidden/>
              </w:rPr>
              <w:fldChar w:fldCharType="begin"/>
            </w:r>
            <w:r>
              <w:rPr>
                <w:noProof/>
                <w:webHidden/>
              </w:rPr>
              <w:instrText xml:space="preserve"> PAGEREF _Toc197105385 \h </w:instrText>
            </w:r>
            <w:r>
              <w:rPr>
                <w:noProof/>
                <w:webHidden/>
              </w:rPr>
            </w:r>
            <w:r>
              <w:rPr>
                <w:noProof/>
                <w:webHidden/>
              </w:rPr>
              <w:fldChar w:fldCharType="separate"/>
            </w:r>
            <w:r>
              <w:rPr>
                <w:noProof/>
                <w:webHidden/>
              </w:rPr>
              <w:t>12</w:t>
            </w:r>
            <w:r>
              <w:rPr>
                <w:noProof/>
                <w:webHidden/>
              </w:rPr>
              <w:fldChar w:fldCharType="end"/>
            </w:r>
          </w:hyperlink>
        </w:p>
        <w:p w14:paraId="7B82306F" w14:textId="6619A125" w:rsidR="00400B88" w:rsidRDefault="00400B88">
          <w:pPr>
            <w:pStyle w:val="TOC1"/>
            <w:tabs>
              <w:tab w:val="right" w:leader="dot" w:pos="9016"/>
            </w:tabs>
            <w:rPr>
              <w:b w:val="0"/>
              <w:bCs w:val="0"/>
              <w:i w:val="0"/>
              <w:iCs w:val="0"/>
              <w:noProof/>
              <w:lang w:eastAsia="en-GB"/>
            </w:rPr>
          </w:pPr>
          <w:hyperlink w:anchor="_Toc197105386" w:history="1">
            <w:r w:rsidRPr="00716DA0">
              <w:rPr>
                <w:rStyle w:val="Hyperlink"/>
                <w:noProof/>
              </w:rPr>
              <w:t>Reference List</w:t>
            </w:r>
            <w:r>
              <w:rPr>
                <w:noProof/>
                <w:webHidden/>
              </w:rPr>
              <w:tab/>
            </w:r>
            <w:r>
              <w:rPr>
                <w:noProof/>
                <w:webHidden/>
              </w:rPr>
              <w:fldChar w:fldCharType="begin"/>
            </w:r>
            <w:r>
              <w:rPr>
                <w:noProof/>
                <w:webHidden/>
              </w:rPr>
              <w:instrText xml:space="preserve"> PAGEREF _Toc197105386 \h </w:instrText>
            </w:r>
            <w:r>
              <w:rPr>
                <w:noProof/>
                <w:webHidden/>
              </w:rPr>
            </w:r>
            <w:r>
              <w:rPr>
                <w:noProof/>
                <w:webHidden/>
              </w:rPr>
              <w:fldChar w:fldCharType="separate"/>
            </w:r>
            <w:r>
              <w:rPr>
                <w:noProof/>
                <w:webHidden/>
              </w:rPr>
              <w:t>13</w:t>
            </w:r>
            <w:r>
              <w:rPr>
                <w:noProof/>
                <w:webHidden/>
              </w:rPr>
              <w:fldChar w:fldCharType="end"/>
            </w:r>
          </w:hyperlink>
        </w:p>
        <w:p w14:paraId="363602B8" w14:textId="4C8910E1" w:rsidR="00FB5495" w:rsidRDefault="00FB5495">
          <w:r>
            <w:rPr>
              <w:b/>
              <w:bCs/>
              <w:noProof/>
            </w:rPr>
            <w:fldChar w:fldCharType="end"/>
          </w:r>
        </w:p>
      </w:sdtContent>
    </w:sdt>
    <w:p w14:paraId="752F2FF2" w14:textId="77777777" w:rsidR="00361A8A" w:rsidRPr="00FB5495" w:rsidRDefault="00361A8A" w:rsidP="00FB5495">
      <w:pPr>
        <w:rPr>
          <w:sz w:val="32"/>
          <w:szCs w:val="32"/>
        </w:rPr>
      </w:pPr>
    </w:p>
    <w:p w14:paraId="371F9572" w14:textId="77777777" w:rsidR="00361A8A" w:rsidRDefault="00361A8A"/>
    <w:p w14:paraId="2B964FC5" w14:textId="77777777" w:rsidR="00361A8A" w:rsidRDefault="00361A8A"/>
    <w:p w14:paraId="60C1ED33" w14:textId="77777777" w:rsidR="00361A8A" w:rsidRDefault="00361A8A"/>
    <w:p w14:paraId="770919F3" w14:textId="77777777" w:rsidR="00361A8A" w:rsidRDefault="00361A8A"/>
    <w:p w14:paraId="26A7A096" w14:textId="77777777" w:rsidR="00361A8A" w:rsidRDefault="00361A8A"/>
    <w:p w14:paraId="2F071F5B" w14:textId="77777777" w:rsidR="00361A8A" w:rsidRDefault="00361A8A"/>
    <w:p w14:paraId="17A90604" w14:textId="62849874" w:rsidR="00361A8A" w:rsidRPr="00FD5163" w:rsidRDefault="00361A8A" w:rsidP="00D83DF5">
      <w:pPr>
        <w:pStyle w:val="Heading1"/>
        <w:jc w:val="both"/>
        <w:rPr>
          <w:rFonts w:asciiTheme="minorHAnsi" w:hAnsiTheme="minorHAnsi"/>
          <w:sz w:val="32"/>
          <w:szCs w:val="32"/>
        </w:rPr>
      </w:pPr>
      <w:bookmarkStart w:id="0" w:name="_Toc197105374"/>
      <w:r w:rsidRPr="00FD5163">
        <w:rPr>
          <w:rFonts w:asciiTheme="minorHAnsi" w:hAnsiTheme="minorHAnsi"/>
          <w:sz w:val="32"/>
          <w:szCs w:val="32"/>
        </w:rPr>
        <w:t>Executive summary</w:t>
      </w:r>
      <w:bookmarkEnd w:id="0"/>
      <w:r w:rsidRPr="00FD5163">
        <w:rPr>
          <w:rFonts w:asciiTheme="minorHAnsi" w:hAnsiTheme="minorHAnsi"/>
          <w:sz w:val="32"/>
          <w:szCs w:val="32"/>
        </w:rPr>
        <w:t xml:space="preserve"> </w:t>
      </w:r>
    </w:p>
    <w:p w14:paraId="4A47DFC6" w14:textId="6D064C80" w:rsidR="009E560F" w:rsidRPr="009E560F" w:rsidRDefault="009E560F" w:rsidP="009E560F">
      <w:pPr>
        <w:spacing w:before="100" w:beforeAutospacing="1" w:after="100" w:afterAutospacing="1"/>
        <w:rPr>
          <w:rFonts w:asciiTheme="minorHAnsi" w:hAnsiTheme="minorHAnsi"/>
          <w:color w:val="000000"/>
        </w:rPr>
      </w:pPr>
      <w:r w:rsidRPr="009E560F">
        <w:rPr>
          <w:rFonts w:asciiTheme="minorHAnsi" w:hAnsiTheme="minorHAnsi"/>
          <w:color w:val="000000"/>
        </w:rPr>
        <w:t>This report presents a comprehensive legal analysis concerning the potential liability of Mr. Barry Bottleman, the organiser and owner of the Time Stomp festival, in light of a serious incident that occurred on 14th June 2023 in Leeds. The festival, which drew in excess of 1,000 attendees, was marred by a significant failure in the management of crowd safety and pyrotechnic control. A malfunction during a scheduled fireworks display triggered widespread panic, resulting in a stampede that led to substantial physical and psychological harm to several individuals.</w:t>
      </w:r>
    </w:p>
    <w:p w14:paraId="42607EF4" w14:textId="513D22E6" w:rsidR="009E560F" w:rsidRPr="009E560F" w:rsidRDefault="009E560F" w:rsidP="009E560F">
      <w:pPr>
        <w:spacing w:before="100" w:beforeAutospacing="1" w:after="100" w:afterAutospacing="1"/>
        <w:rPr>
          <w:rFonts w:asciiTheme="minorHAnsi" w:hAnsiTheme="minorHAnsi"/>
          <w:color w:val="000000"/>
        </w:rPr>
      </w:pPr>
      <w:r w:rsidRPr="009E560F">
        <w:rPr>
          <w:rFonts w:asciiTheme="minorHAnsi" w:hAnsiTheme="minorHAnsi"/>
          <w:color w:val="000000"/>
        </w:rPr>
        <w:t>Those directly affected include Sarah Peterson, who sustained severe injuries</w:t>
      </w:r>
      <w:r w:rsidRPr="00625728">
        <w:rPr>
          <w:rFonts w:asciiTheme="minorHAnsi" w:hAnsiTheme="minorHAnsi"/>
          <w:color w:val="000000"/>
        </w:rPr>
        <w:t xml:space="preserve"> </w:t>
      </w:r>
      <w:r w:rsidRPr="009E560F">
        <w:rPr>
          <w:rFonts w:asciiTheme="minorHAnsi" w:hAnsiTheme="minorHAnsi"/>
          <w:color w:val="000000"/>
        </w:rPr>
        <w:t>namely, facial burns, the loss of her left arm, and permanent paralysis from the waist down; her partner Jack Smith, who now suffers from post-traumatic stress disorder (PTSD); and their mothers, Mary Smith and Janice Peterson, who have both been diagnosed with serious psychological illnesses as a result of the events. Bob, a member of the public who intervened to assist, has also experienced ongoing psychological distress, including psychosis and substance dependency.</w:t>
      </w:r>
    </w:p>
    <w:p w14:paraId="0AF3302F" w14:textId="77777777" w:rsidR="009E560F" w:rsidRPr="009E560F" w:rsidRDefault="009E560F" w:rsidP="009E560F">
      <w:pPr>
        <w:spacing w:before="100" w:beforeAutospacing="1" w:after="100" w:afterAutospacing="1"/>
        <w:rPr>
          <w:rFonts w:asciiTheme="minorHAnsi" w:hAnsiTheme="minorHAnsi"/>
          <w:color w:val="000000"/>
        </w:rPr>
      </w:pPr>
      <w:r w:rsidRPr="009E560F">
        <w:rPr>
          <w:rFonts w:asciiTheme="minorHAnsi" w:hAnsiTheme="minorHAnsi"/>
          <w:color w:val="000000"/>
        </w:rPr>
        <w:t>The report evaluates Mr. Bottleman’s potential legal responsibility under various principles of tort law. These include negligence, occupiers’ liability pursuant to the Occupiers’ Liability Act 1957, vicarious liability in relation to any third-party contractors involved, and the rules governing claims for psychiatric harm. Particular consideration is given to whether the duty of care owed to attendees was breached, and whether reasonable precautions were implemented to mitigate foreseeable risks associated with large-scale public events.</w:t>
      </w:r>
    </w:p>
    <w:p w14:paraId="2E8C30E0" w14:textId="116A7765" w:rsidR="009E560F" w:rsidRPr="009E560F" w:rsidRDefault="009E560F" w:rsidP="009E560F">
      <w:pPr>
        <w:spacing w:before="100" w:beforeAutospacing="1" w:after="100" w:afterAutospacing="1"/>
        <w:rPr>
          <w:rFonts w:asciiTheme="minorHAnsi" w:hAnsiTheme="minorHAnsi"/>
          <w:color w:val="000000"/>
        </w:rPr>
      </w:pPr>
      <w:r w:rsidRPr="009E560F">
        <w:rPr>
          <w:rFonts w:asciiTheme="minorHAnsi" w:hAnsiTheme="minorHAnsi"/>
          <w:color w:val="000000"/>
        </w:rPr>
        <w:t>In addition, the report critically examines two key legal concerns:</w:t>
      </w:r>
      <w:r w:rsidR="00385408" w:rsidRPr="00625728">
        <w:rPr>
          <w:rFonts w:asciiTheme="minorHAnsi" w:hAnsiTheme="minorHAnsi"/>
          <w:color w:val="000000"/>
        </w:rPr>
        <w:t xml:space="preserve"> </w:t>
      </w:r>
      <w:r w:rsidRPr="009E560F">
        <w:rPr>
          <w:rFonts w:asciiTheme="minorHAnsi" w:hAnsiTheme="minorHAnsi"/>
          <w:color w:val="000000"/>
        </w:rPr>
        <w:t xml:space="preserve"> the sufficiency and enforcement of event safety standards, especially where potentially dangerous elements such as fireworks are involved, and the allocation of liability where independent contractors may have contributed to the negligent conduct.</w:t>
      </w:r>
    </w:p>
    <w:p w14:paraId="533BC4E2" w14:textId="3B5AB279" w:rsidR="009E560F" w:rsidRPr="009E560F" w:rsidRDefault="009E560F" w:rsidP="009E560F">
      <w:pPr>
        <w:spacing w:before="100" w:beforeAutospacing="1" w:after="100" w:afterAutospacing="1"/>
        <w:rPr>
          <w:rFonts w:asciiTheme="minorHAnsi" w:hAnsiTheme="minorHAnsi"/>
          <w:color w:val="000000"/>
        </w:rPr>
      </w:pPr>
      <w:r w:rsidRPr="009E560F">
        <w:rPr>
          <w:rFonts w:asciiTheme="minorHAnsi" w:hAnsiTheme="minorHAnsi"/>
          <w:color w:val="000000"/>
        </w:rPr>
        <w:t>Finally, the report concludes with a set of reform proposals aimed at improving legal protections and preventative frameworks for future events. These include introducing stricter licensing and risk assessment obligations, requiring the presence of trained emergency personnel at large public gatherings, reforming the law on psychiatric injury</w:t>
      </w:r>
      <w:r w:rsidRPr="00625728">
        <w:rPr>
          <w:rFonts w:asciiTheme="minorHAnsi" w:hAnsiTheme="minorHAnsi"/>
          <w:color w:val="000000"/>
        </w:rPr>
        <w:t xml:space="preserve"> </w:t>
      </w:r>
      <w:r w:rsidRPr="009E560F">
        <w:rPr>
          <w:rFonts w:asciiTheme="minorHAnsi" w:hAnsiTheme="minorHAnsi"/>
          <w:color w:val="000000"/>
        </w:rPr>
        <w:t>especially for rescuers</w:t>
      </w:r>
      <w:r w:rsidRPr="00625728">
        <w:rPr>
          <w:rFonts w:asciiTheme="minorHAnsi" w:hAnsiTheme="minorHAnsi"/>
          <w:color w:val="000000"/>
        </w:rPr>
        <w:t xml:space="preserve"> </w:t>
      </w:r>
      <w:r w:rsidRPr="009E560F">
        <w:rPr>
          <w:rFonts w:asciiTheme="minorHAnsi" w:hAnsiTheme="minorHAnsi"/>
          <w:color w:val="000000"/>
        </w:rPr>
        <w:t>and making public liability insurance a statutory requirement for organisers. The report also emphasises the urgent need for accessible mental health support for victims impacted by such traumatic incidents.</w:t>
      </w:r>
    </w:p>
    <w:p w14:paraId="36FD0531" w14:textId="77777777" w:rsidR="009E560F" w:rsidRPr="009E560F" w:rsidRDefault="009E560F" w:rsidP="009E560F">
      <w:pPr>
        <w:spacing w:before="100" w:beforeAutospacing="1" w:after="100" w:afterAutospacing="1"/>
        <w:rPr>
          <w:rFonts w:asciiTheme="minorHAnsi" w:hAnsiTheme="minorHAnsi"/>
          <w:color w:val="000000"/>
        </w:rPr>
      </w:pPr>
      <w:r w:rsidRPr="009E560F">
        <w:rPr>
          <w:rFonts w:asciiTheme="minorHAnsi" w:hAnsiTheme="minorHAnsi"/>
          <w:color w:val="000000"/>
        </w:rPr>
        <w:t>This report endeavours to offer a critical and informed legal perspective on liability, accountability, and reform in the context of mass injury events within the public entertainment sector.</w:t>
      </w:r>
    </w:p>
    <w:p w14:paraId="564FDD29" w14:textId="3150843A" w:rsidR="00361A8A" w:rsidRPr="00625728" w:rsidRDefault="00361A8A" w:rsidP="00D83DF5">
      <w:pPr>
        <w:jc w:val="both"/>
        <w:rPr>
          <w:rFonts w:asciiTheme="minorHAnsi" w:hAnsiTheme="minorHAnsi"/>
        </w:rPr>
      </w:pPr>
    </w:p>
    <w:p w14:paraId="3909FCCE" w14:textId="12BD8973" w:rsidR="00361A8A" w:rsidRPr="00FD5163" w:rsidRDefault="00361A8A" w:rsidP="00D83DF5">
      <w:pPr>
        <w:pStyle w:val="Heading1"/>
        <w:jc w:val="both"/>
        <w:rPr>
          <w:rFonts w:asciiTheme="minorHAnsi" w:hAnsiTheme="minorHAnsi"/>
          <w:sz w:val="32"/>
          <w:szCs w:val="32"/>
        </w:rPr>
      </w:pPr>
      <w:bookmarkStart w:id="1" w:name="_Toc197105375"/>
      <w:r w:rsidRPr="00FD5163">
        <w:rPr>
          <w:rFonts w:asciiTheme="minorHAnsi" w:hAnsiTheme="minorHAnsi"/>
          <w:sz w:val="32"/>
          <w:szCs w:val="32"/>
        </w:rPr>
        <w:t>Introduction</w:t>
      </w:r>
      <w:bookmarkEnd w:id="1"/>
      <w:r w:rsidRPr="00FD5163">
        <w:rPr>
          <w:rFonts w:asciiTheme="minorHAnsi" w:hAnsiTheme="minorHAnsi"/>
          <w:sz w:val="32"/>
          <w:szCs w:val="32"/>
        </w:rPr>
        <w:t xml:space="preserve"> </w:t>
      </w:r>
    </w:p>
    <w:p w14:paraId="4403E0AA" w14:textId="77777777" w:rsidR="00361A8A" w:rsidRPr="00625728" w:rsidRDefault="00361A8A" w:rsidP="00D83DF5">
      <w:pPr>
        <w:jc w:val="both"/>
        <w:rPr>
          <w:rFonts w:asciiTheme="minorHAnsi" w:hAnsiTheme="minorHAnsi"/>
        </w:rPr>
      </w:pPr>
    </w:p>
    <w:p w14:paraId="69EB9A95" w14:textId="77777777" w:rsidR="00625728" w:rsidRPr="00625728" w:rsidRDefault="00625728" w:rsidP="00625728">
      <w:pPr>
        <w:spacing w:before="100" w:beforeAutospacing="1" w:after="100" w:afterAutospacing="1"/>
        <w:rPr>
          <w:rFonts w:asciiTheme="minorHAnsi" w:hAnsiTheme="minorHAnsi"/>
          <w:color w:val="000000"/>
        </w:rPr>
      </w:pPr>
      <w:r w:rsidRPr="00625728">
        <w:rPr>
          <w:rFonts w:asciiTheme="minorHAnsi" w:hAnsiTheme="minorHAnsi"/>
          <w:color w:val="000000"/>
        </w:rPr>
        <w:t>Music festivals and large-scale public events are a staple of modern entertainment culture, offering attendees opportunities for leisure, artistic expression, and communal experience. However, these mass gatherings also create a heightened risk environment that demands robust safety planning, careful operational oversight, and full legal accountability. As such, the law imposes a range of duties on event organisers, particularly when activities involve hazardous elements such as pyrotechnics, electrical staging, or large, fast-moving crowds. In these contexts, even a minor lapse in planning or communication can trigger significant harm, both physically and psychologically, to attendees and those present.</w:t>
      </w:r>
    </w:p>
    <w:p w14:paraId="0E96382C" w14:textId="77777777" w:rsidR="00625728" w:rsidRPr="00625728" w:rsidRDefault="00625728" w:rsidP="00625728">
      <w:pPr>
        <w:spacing w:before="100" w:beforeAutospacing="1" w:after="100" w:afterAutospacing="1"/>
        <w:rPr>
          <w:rFonts w:asciiTheme="minorHAnsi" w:hAnsiTheme="minorHAnsi"/>
          <w:color w:val="000000"/>
        </w:rPr>
      </w:pPr>
      <w:r w:rsidRPr="00625728">
        <w:rPr>
          <w:rFonts w:asciiTheme="minorHAnsi" w:hAnsiTheme="minorHAnsi"/>
          <w:color w:val="000000"/>
        </w:rPr>
        <w:t>The incident that took place on 14th June 2023 at the Time Stomp festival in Leeds illustrates the severe consequences that can result from a failure to adequately anticipate and manage these risks. The malfunction of a fireworks display during a headline performance sparked panic among the crowd, leading to a stampede and widespread chaos. In the aftermath, several individuals suffered grave injuries, including permanent disability, psychological trauma, and long-term health deterioration. These outcomes call into question the adequacy of the safety protocols in place and raise pressing concerns about the organiser’s responsibility in law.</w:t>
      </w:r>
    </w:p>
    <w:p w14:paraId="33F5B4FF" w14:textId="0B73B115" w:rsidR="00625728" w:rsidRPr="00625728" w:rsidRDefault="00625728" w:rsidP="00625728">
      <w:pPr>
        <w:spacing w:before="100" w:beforeAutospacing="1" w:after="100" w:afterAutospacing="1"/>
        <w:rPr>
          <w:rFonts w:asciiTheme="minorHAnsi" w:hAnsiTheme="minorHAnsi"/>
          <w:color w:val="000000"/>
        </w:rPr>
      </w:pPr>
      <w:r w:rsidRPr="00625728">
        <w:rPr>
          <w:rFonts w:asciiTheme="minorHAnsi" w:hAnsiTheme="minorHAnsi"/>
          <w:color w:val="000000"/>
        </w:rPr>
        <w:t>This report focuses on the legal position of Mr. Barry Bottleman, the individual behind the Time Stomp festival and its principal organiser. It aims to examine whether Barry’s conduct</w:t>
      </w:r>
      <w:r>
        <w:rPr>
          <w:color w:val="000000"/>
        </w:rPr>
        <w:t xml:space="preserve"> </w:t>
      </w:r>
      <w:r w:rsidRPr="00625728">
        <w:rPr>
          <w:rFonts w:asciiTheme="minorHAnsi" w:hAnsiTheme="minorHAnsi"/>
          <w:color w:val="000000"/>
        </w:rPr>
        <w:t>through action or omission</w:t>
      </w:r>
      <w:r>
        <w:rPr>
          <w:color w:val="000000"/>
        </w:rPr>
        <w:t xml:space="preserve"> </w:t>
      </w:r>
      <w:r w:rsidRPr="00625728">
        <w:rPr>
          <w:rFonts w:asciiTheme="minorHAnsi" w:hAnsiTheme="minorHAnsi"/>
          <w:color w:val="000000"/>
        </w:rPr>
        <w:t>gives rise to civil liability under various branches of tort law. The analysis will be grounded in key legal doctrines, including the duty of care, standard of care, and foreseeability of harm, while also incorporating relevant statutory frameworks, such as the Occupiers’ Liability Act 1957. Additionally, this report will explore vicarious liability, particularly where third-party contractors may have played a role in the fireworks malfunction, and the legal treatment of psychiatric injuries, a developing and often controversial area of law.</w:t>
      </w:r>
    </w:p>
    <w:p w14:paraId="742D5946" w14:textId="77777777" w:rsidR="00625728" w:rsidRPr="00625728" w:rsidRDefault="00625728" w:rsidP="00625728">
      <w:pPr>
        <w:spacing w:before="100" w:beforeAutospacing="1" w:after="100" w:afterAutospacing="1"/>
        <w:rPr>
          <w:rFonts w:asciiTheme="minorHAnsi" w:hAnsiTheme="minorHAnsi"/>
          <w:color w:val="000000"/>
        </w:rPr>
      </w:pPr>
      <w:r w:rsidRPr="00625728">
        <w:rPr>
          <w:rFonts w:asciiTheme="minorHAnsi" w:hAnsiTheme="minorHAnsi"/>
          <w:color w:val="000000"/>
        </w:rPr>
        <w:t>Unlike criminal liability, which requires proof of intent or recklessness, civil liability under negligence focuses on whether reasonable precautions were taken to prevent foreseeable harm. The nature of this case, involving both primary and secondary victims, raises further questions about how the law distinguishes between different types of claimants, and whether such distinctions remain fit for purpose in today’s legal landscape.</w:t>
      </w:r>
    </w:p>
    <w:p w14:paraId="0AC6CCF1" w14:textId="77777777" w:rsidR="00625728" w:rsidRPr="00625728" w:rsidRDefault="00625728" w:rsidP="00625728">
      <w:pPr>
        <w:spacing w:before="100" w:beforeAutospacing="1" w:after="100" w:afterAutospacing="1"/>
        <w:rPr>
          <w:rFonts w:asciiTheme="minorHAnsi" w:hAnsiTheme="minorHAnsi"/>
          <w:color w:val="000000"/>
        </w:rPr>
      </w:pPr>
      <w:r w:rsidRPr="00625728">
        <w:rPr>
          <w:rFonts w:asciiTheme="minorHAnsi" w:hAnsiTheme="minorHAnsi"/>
          <w:color w:val="000000"/>
        </w:rPr>
        <w:t>Beyond the immediate legal questions, this incident offers a platform for a broader discussion about regulatory reform. It reveals the limitations of existing safety inspection regimes, the lack of mandatory psychological aftercare for trauma victims, and the potential gaps in insurance coverage where liability is contested. As such, this report also seeks to engage with policy considerations, including the growing need for legal clarity and consistency in the regulation of high-risk public events, and the moral imperative to better support those affected by such tragedies.</w:t>
      </w:r>
    </w:p>
    <w:p w14:paraId="07B0EC6E" w14:textId="77777777" w:rsidR="00625728" w:rsidRPr="00625728" w:rsidRDefault="00625728" w:rsidP="00625728">
      <w:pPr>
        <w:spacing w:before="100" w:beforeAutospacing="1" w:after="100" w:afterAutospacing="1"/>
        <w:rPr>
          <w:rFonts w:asciiTheme="minorHAnsi" w:hAnsiTheme="minorHAnsi"/>
          <w:color w:val="000000"/>
        </w:rPr>
      </w:pPr>
      <w:r w:rsidRPr="00625728">
        <w:rPr>
          <w:rFonts w:asciiTheme="minorHAnsi" w:hAnsiTheme="minorHAnsi"/>
          <w:color w:val="000000"/>
        </w:rPr>
        <w:t>Through legal analysis and critical evaluation, this report will seek not only to determine the extent of Barry Bottleman's liability but also to assess whether current laws are adequate to address the realities of modern event management and its associated harms.</w:t>
      </w:r>
    </w:p>
    <w:p w14:paraId="4D4C33B5" w14:textId="77777777" w:rsidR="00361A8A" w:rsidRPr="00625728" w:rsidRDefault="00361A8A" w:rsidP="00D83DF5">
      <w:pPr>
        <w:jc w:val="both"/>
        <w:rPr>
          <w:rFonts w:asciiTheme="minorHAnsi" w:hAnsiTheme="minorHAnsi"/>
        </w:rPr>
      </w:pPr>
    </w:p>
    <w:p w14:paraId="5B42A11F" w14:textId="77777777" w:rsidR="00A153A3" w:rsidRPr="00625728" w:rsidRDefault="00A153A3" w:rsidP="00D83DF5">
      <w:pPr>
        <w:jc w:val="both"/>
        <w:rPr>
          <w:rFonts w:asciiTheme="minorHAnsi" w:hAnsiTheme="minorHAnsi"/>
        </w:rPr>
      </w:pPr>
    </w:p>
    <w:p w14:paraId="5557E7F2" w14:textId="31DA9542" w:rsidR="00A153A3" w:rsidRPr="00FD5163" w:rsidRDefault="00A153A3" w:rsidP="00D83DF5">
      <w:pPr>
        <w:pStyle w:val="Heading1"/>
        <w:jc w:val="both"/>
        <w:rPr>
          <w:rFonts w:asciiTheme="minorHAnsi" w:hAnsiTheme="minorHAnsi"/>
          <w:sz w:val="32"/>
          <w:szCs w:val="32"/>
        </w:rPr>
      </w:pPr>
      <w:bookmarkStart w:id="2" w:name="_Toc197105376"/>
      <w:r w:rsidRPr="00FD5163">
        <w:rPr>
          <w:rFonts w:asciiTheme="minorHAnsi" w:hAnsiTheme="minorHAnsi"/>
          <w:sz w:val="32"/>
          <w:szCs w:val="32"/>
        </w:rPr>
        <w:t>Four Ws Analysis</w:t>
      </w:r>
      <w:r w:rsidR="00CF4E25" w:rsidRPr="00FD5163">
        <w:rPr>
          <w:rFonts w:asciiTheme="minorHAnsi" w:hAnsiTheme="minorHAnsi"/>
          <w:sz w:val="32"/>
          <w:szCs w:val="32"/>
        </w:rPr>
        <w:t>:</w:t>
      </w:r>
      <w:bookmarkEnd w:id="2"/>
      <w:r w:rsidRPr="00FD5163">
        <w:rPr>
          <w:rFonts w:asciiTheme="minorHAnsi" w:hAnsiTheme="minorHAnsi"/>
          <w:sz w:val="32"/>
          <w:szCs w:val="32"/>
        </w:rPr>
        <w:t xml:space="preserve"> </w:t>
      </w:r>
    </w:p>
    <w:p w14:paraId="03CEBC74" w14:textId="77777777" w:rsidR="00A153A3" w:rsidRPr="00625728" w:rsidRDefault="00A153A3" w:rsidP="00D83DF5">
      <w:pPr>
        <w:jc w:val="both"/>
        <w:rPr>
          <w:rFonts w:asciiTheme="minorHAnsi" w:hAnsiTheme="minorHAnsi"/>
        </w:rPr>
      </w:pPr>
    </w:p>
    <w:p w14:paraId="51CA61A5" w14:textId="6878E704" w:rsidR="00CF4E25" w:rsidRPr="00625728" w:rsidRDefault="00CF4E25" w:rsidP="00D83DF5">
      <w:pPr>
        <w:pStyle w:val="Heading2"/>
        <w:jc w:val="both"/>
        <w:rPr>
          <w:rFonts w:asciiTheme="minorHAnsi" w:hAnsiTheme="minorHAnsi"/>
          <w:sz w:val="24"/>
          <w:szCs w:val="24"/>
        </w:rPr>
      </w:pPr>
      <w:bookmarkStart w:id="3" w:name="_Toc197105377"/>
      <w:r w:rsidRPr="00625728">
        <w:rPr>
          <w:rFonts w:asciiTheme="minorHAnsi" w:hAnsiTheme="minorHAnsi"/>
          <w:sz w:val="24"/>
          <w:szCs w:val="24"/>
        </w:rPr>
        <w:t>Who was involved?</w:t>
      </w:r>
      <w:bookmarkEnd w:id="3"/>
    </w:p>
    <w:p w14:paraId="63347790" w14:textId="77777777" w:rsidR="00422880" w:rsidRPr="00625728" w:rsidRDefault="00422880" w:rsidP="00D83DF5">
      <w:pPr>
        <w:jc w:val="both"/>
        <w:rPr>
          <w:rFonts w:asciiTheme="minorHAnsi" w:hAnsiTheme="minorHAnsi"/>
        </w:rPr>
      </w:pPr>
    </w:p>
    <w:p w14:paraId="2FB2195E" w14:textId="790C2D58" w:rsidR="00CF4E25" w:rsidRPr="00625728" w:rsidRDefault="00CF4E25" w:rsidP="00D83DF5">
      <w:pPr>
        <w:jc w:val="both"/>
        <w:rPr>
          <w:rFonts w:asciiTheme="minorHAnsi" w:hAnsiTheme="minorHAnsi"/>
        </w:rPr>
      </w:pPr>
      <w:r w:rsidRPr="00625728">
        <w:rPr>
          <w:rFonts w:asciiTheme="minorHAnsi" w:hAnsiTheme="minorHAnsi"/>
        </w:rPr>
        <w:t>The central parties involved in the incident at the Time Stomp festival on 14</w:t>
      </w:r>
      <w:r w:rsidRPr="00625728">
        <w:rPr>
          <w:rFonts w:asciiTheme="minorHAnsi" w:hAnsiTheme="minorHAnsi"/>
          <w:vertAlign w:val="superscript"/>
        </w:rPr>
        <w:t>th</w:t>
      </w:r>
      <w:r w:rsidRPr="00625728">
        <w:rPr>
          <w:rFonts w:asciiTheme="minorHAnsi" w:hAnsiTheme="minorHAnsi"/>
        </w:rPr>
        <w:t xml:space="preserve"> June 2023 were a combination of organizers, participants, and unintended victims. Barry Bottleman, as the owner and organizer of the festival through his business </w:t>
      </w:r>
      <w:r w:rsidR="00D5129B" w:rsidRPr="00625728">
        <w:rPr>
          <w:rFonts w:asciiTheme="minorHAnsi" w:hAnsiTheme="minorHAnsi"/>
        </w:rPr>
        <w:t xml:space="preserve">Bottleman’ Festivals, played a principal role. His responsibilities for the safety and welfare of over 1000 attendees positioned him at the core of the legal investigation. </w:t>
      </w:r>
    </w:p>
    <w:p w14:paraId="1FB1BA32" w14:textId="77777777" w:rsidR="009544C5" w:rsidRPr="00625728" w:rsidRDefault="009544C5" w:rsidP="00D83DF5">
      <w:pPr>
        <w:jc w:val="both"/>
        <w:rPr>
          <w:rFonts w:asciiTheme="minorHAnsi" w:hAnsiTheme="minorHAnsi"/>
        </w:rPr>
      </w:pPr>
    </w:p>
    <w:p w14:paraId="508711C6" w14:textId="0DF08B60" w:rsidR="009544C5" w:rsidRPr="00625728" w:rsidRDefault="00D5129B" w:rsidP="00D83DF5">
      <w:pPr>
        <w:jc w:val="both"/>
        <w:rPr>
          <w:rFonts w:asciiTheme="minorHAnsi" w:hAnsiTheme="minorHAnsi"/>
        </w:rPr>
      </w:pPr>
      <w:r w:rsidRPr="00625728">
        <w:rPr>
          <w:rFonts w:asciiTheme="minorHAnsi" w:hAnsiTheme="minorHAnsi"/>
        </w:rPr>
        <w:t xml:space="preserve">Among the directly injured were Sarah Peterson, a participant who suffered devastating physical including a burn to her face, amputation of her left arm, and permanent paralysis from the waist down. Jack Smith, Sarah boyfriend, who sustained minor physical injuries but developed severe post-traumatic stress disorder like PTS. Marry Smith, Jack’s mother, who now suffers from general anxiety disorder, after witnessing the chaos and </w:t>
      </w:r>
      <w:r w:rsidR="009544C5" w:rsidRPr="00625728">
        <w:rPr>
          <w:rFonts w:asciiTheme="minorHAnsi" w:hAnsiTheme="minorHAnsi"/>
        </w:rPr>
        <w:t xml:space="preserve">her son’s disappearance. Janice Peterson, Sarah’s mother, who developed severe clinical depression following the trauma of seeing her daughter unconscious and bloodied. Bob’s a bystander and r5escuer, who, after intervening to assist Sarah, fell into a pattern of alcoholism and psychosis, showing the toll such acts of courage can take. </w:t>
      </w:r>
    </w:p>
    <w:p w14:paraId="09783304" w14:textId="20A0749C" w:rsidR="00E64E2A" w:rsidRPr="00625728" w:rsidRDefault="009544C5" w:rsidP="00D83DF5">
      <w:pPr>
        <w:jc w:val="both"/>
        <w:rPr>
          <w:rFonts w:asciiTheme="minorHAnsi" w:hAnsiTheme="minorHAnsi"/>
        </w:rPr>
      </w:pPr>
      <w:r w:rsidRPr="00625728">
        <w:rPr>
          <w:rFonts w:asciiTheme="minorHAnsi" w:hAnsiTheme="minorHAnsi"/>
        </w:rPr>
        <w:t xml:space="preserve">The participation of the unnamed professional contractors responsible for managing the firework display is also essential. Their actions or failures directly impact Barry’s possible duty. Ultimately, emergency services, while not immediately available during </w:t>
      </w:r>
      <w:r w:rsidRPr="00625728">
        <w:rPr>
          <w:rFonts w:asciiTheme="minorHAnsi" w:hAnsiTheme="minorHAnsi"/>
        </w:rPr>
        <w:lastRenderedPageBreak/>
        <w:t xml:space="preserve">the incident, constitute a component of the larger system that failed to prevent the impact of the malfunction. </w:t>
      </w:r>
    </w:p>
    <w:p w14:paraId="73BBE4D7" w14:textId="77777777" w:rsidR="00E64E2A" w:rsidRPr="00625728" w:rsidRDefault="00E64E2A" w:rsidP="00D83DF5">
      <w:pPr>
        <w:jc w:val="both"/>
        <w:rPr>
          <w:rFonts w:asciiTheme="minorHAnsi" w:hAnsiTheme="minorHAnsi"/>
        </w:rPr>
      </w:pPr>
    </w:p>
    <w:p w14:paraId="70A6D98B" w14:textId="6349E456" w:rsidR="00A153A3" w:rsidRPr="00625728" w:rsidRDefault="00CF4E25" w:rsidP="00D83DF5">
      <w:pPr>
        <w:pStyle w:val="Heading2"/>
        <w:jc w:val="both"/>
        <w:rPr>
          <w:rFonts w:asciiTheme="minorHAnsi" w:hAnsiTheme="minorHAnsi"/>
          <w:sz w:val="24"/>
          <w:szCs w:val="24"/>
        </w:rPr>
      </w:pPr>
      <w:bookmarkStart w:id="4" w:name="_Toc197105378"/>
      <w:r w:rsidRPr="00625728">
        <w:rPr>
          <w:rFonts w:asciiTheme="minorHAnsi" w:hAnsiTheme="minorHAnsi"/>
          <w:sz w:val="24"/>
          <w:szCs w:val="24"/>
        </w:rPr>
        <w:t>What happened?</w:t>
      </w:r>
      <w:bookmarkEnd w:id="4"/>
    </w:p>
    <w:p w14:paraId="12CDF018" w14:textId="77777777" w:rsidR="00E64E2A" w:rsidRPr="00625728" w:rsidRDefault="00E64E2A" w:rsidP="00D83DF5">
      <w:pPr>
        <w:jc w:val="both"/>
        <w:rPr>
          <w:rFonts w:asciiTheme="minorHAnsi" w:hAnsiTheme="minorHAnsi"/>
        </w:rPr>
      </w:pPr>
    </w:p>
    <w:p w14:paraId="0726BD91" w14:textId="67A07C50" w:rsidR="002E1F70" w:rsidRPr="00625728" w:rsidRDefault="00416964" w:rsidP="00D83DF5">
      <w:pPr>
        <w:jc w:val="both"/>
        <w:rPr>
          <w:rFonts w:asciiTheme="minorHAnsi" w:hAnsiTheme="minorHAnsi"/>
        </w:rPr>
      </w:pPr>
      <w:r w:rsidRPr="00625728">
        <w:rPr>
          <w:rFonts w:asciiTheme="minorHAnsi" w:hAnsiTheme="minorHAnsi"/>
        </w:rPr>
        <w:t xml:space="preserve">The catastrophic chain of events was triggered by </w:t>
      </w:r>
      <w:r w:rsidR="00376E4A" w:rsidRPr="00625728">
        <w:rPr>
          <w:rFonts w:asciiTheme="minorHAnsi" w:hAnsiTheme="minorHAnsi"/>
        </w:rPr>
        <w:t xml:space="preserve">a firework malfunction </w:t>
      </w:r>
      <w:r w:rsidR="00962C8C" w:rsidRPr="00625728">
        <w:rPr>
          <w:rFonts w:asciiTheme="minorHAnsi" w:hAnsiTheme="minorHAnsi"/>
        </w:rPr>
        <w:t>during the final musical act at approximately 6:45p.m. Fire</w:t>
      </w:r>
      <w:r w:rsidR="00140828" w:rsidRPr="00625728">
        <w:rPr>
          <w:rFonts w:asciiTheme="minorHAnsi" w:hAnsiTheme="minorHAnsi"/>
        </w:rPr>
        <w:t>works, instead of exploding safety in the sky</w:t>
      </w:r>
      <w:r w:rsidR="00D86E79" w:rsidRPr="00625728">
        <w:rPr>
          <w:rFonts w:asciiTheme="minorHAnsi" w:hAnsiTheme="minorHAnsi"/>
        </w:rPr>
        <w:t xml:space="preserve">, were misdirected </w:t>
      </w:r>
      <w:r w:rsidR="00D64A1A" w:rsidRPr="00625728">
        <w:rPr>
          <w:rFonts w:asciiTheme="minorHAnsi" w:hAnsiTheme="minorHAnsi"/>
        </w:rPr>
        <w:t>into the crowd. The unexpected danger caused panic among attendees, resulting in a mass stampede towards the exist</w:t>
      </w:r>
      <w:r w:rsidR="009849DD" w:rsidRPr="00625728">
        <w:rPr>
          <w:rFonts w:asciiTheme="minorHAnsi" w:hAnsiTheme="minorHAnsi"/>
        </w:rPr>
        <w:t xml:space="preserve">s. </w:t>
      </w:r>
      <w:r w:rsidR="00D67930" w:rsidRPr="00625728">
        <w:rPr>
          <w:rFonts w:asciiTheme="minorHAnsi" w:hAnsiTheme="minorHAnsi"/>
        </w:rPr>
        <w:t xml:space="preserve">Sarah and Jack </w:t>
      </w:r>
      <w:r w:rsidR="003516F6" w:rsidRPr="00625728">
        <w:rPr>
          <w:rFonts w:asciiTheme="minorHAnsi" w:hAnsiTheme="minorHAnsi"/>
        </w:rPr>
        <w:t xml:space="preserve">originally stayed on the </w:t>
      </w:r>
      <w:r w:rsidR="00534D1A" w:rsidRPr="00625728">
        <w:rPr>
          <w:rFonts w:asciiTheme="minorHAnsi" w:hAnsiTheme="minorHAnsi"/>
        </w:rPr>
        <w:t xml:space="preserve">grass border near to the stage, only comprehending the </w:t>
      </w:r>
      <w:r w:rsidR="008F0B83" w:rsidRPr="00625728">
        <w:rPr>
          <w:rFonts w:asciiTheme="minorHAnsi" w:hAnsiTheme="minorHAnsi"/>
        </w:rPr>
        <w:t xml:space="preserve">importance of the situation </w:t>
      </w:r>
      <w:r w:rsidR="00181E2C" w:rsidRPr="00625728">
        <w:rPr>
          <w:rFonts w:asciiTheme="minorHAnsi" w:hAnsiTheme="minorHAnsi"/>
        </w:rPr>
        <w:t xml:space="preserve">when </w:t>
      </w:r>
      <w:r w:rsidR="00325925" w:rsidRPr="00625728">
        <w:rPr>
          <w:rFonts w:asciiTheme="minorHAnsi" w:hAnsiTheme="minorHAnsi"/>
        </w:rPr>
        <w:t xml:space="preserve">the noise started. Sarah, </w:t>
      </w:r>
      <w:r w:rsidR="006271F3" w:rsidRPr="00625728">
        <w:rPr>
          <w:rFonts w:asciiTheme="minorHAnsi" w:hAnsiTheme="minorHAnsi"/>
        </w:rPr>
        <w:t>paralysed</w:t>
      </w:r>
      <w:r w:rsidR="00325925" w:rsidRPr="00625728">
        <w:rPr>
          <w:rFonts w:asciiTheme="minorHAnsi" w:hAnsiTheme="minorHAnsi"/>
        </w:rPr>
        <w:t xml:space="preserve"> by panic, </w:t>
      </w:r>
      <w:r w:rsidR="008B058D" w:rsidRPr="00625728">
        <w:rPr>
          <w:rFonts w:asciiTheme="minorHAnsi" w:hAnsiTheme="minorHAnsi"/>
        </w:rPr>
        <w:t>was quickly overwhe</w:t>
      </w:r>
      <w:r w:rsidR="004C0228" w:rsidRPr="00625728">
        <w:rPr>
          <w:rFonts w:asciiTheme="minorHAnsi" w:hAnsiTheme="minorHAnsi"/>
        </w:rPr>
        <w:t xml:space="preserve">lmed by the oncoming volume. </w:t>
      </w:r>
    </w:p>
    <w:p w14:paraId="4AAE5DEE" w14:textId="77777777" w:rsidR="002E1F70" w:rsidRPr="00625728" w:rsidRDefault="002E1F70" w:rsidP="00D83DF5">
      <w:pPr>
        <w:jc w:val="both"/>
        <w:rPr>
          <w:rFonts w:asciiTheme="minorHAnsi" w:hAnsiTheme="minorHAnsi"/>
        </w:rPr>
      </w:pPr>
    </w:p>
    <w:p w14:paraId="654D1F5C" w14:textId="6ED7534A" w:rsidR="00CF4E25" w:rsidRPr="00625728" w:rsidRDefault="00727DA2" w:rsidP="00D83DF5">
      <w:pPr>
        <w:jc w:val="both"/>
        <w:rPr>
          <w:rFonts w:asciiTheme="minorHAnsi" w:hAnsiTheme="minorHAnsi"/>
        </w:rPr>
      </w:pPr>
      <w:r w:rsidRPr="00625728">
        <w:rPr>
          <w:rFonts w:asciiTheme="minorHAnsi" w:hAnsiTheme="minorHAnsi"/>
        </w:rPr>
        <w:t xml:space="preserve">During a </w:t>
      </w:r>
      <w:r w:rsidR="00E61052" w:rsidRPr="00625728">
        <w:rPr>
          <w:rFonts w:asciiTheme="minorHAnsi" w:hAnsiTheme="minorHAnsi"/>
        </w:rPr>
        <w:t>20-minute</w:t>
      </w:r>
      <w:r w:rsidRPr="00625728">
        <w:rPr>
          <w:rFonts w:asciiTheme="minorHAnsi" w:hAnsiTheme="minorHAnsi"/>
        </w:rPr>
        <w:t xml:space="preserve"> period of </w:t>
      </w:r>
      <w:r w:rsidR="00F23825" w:rsidRPr="00625728">
        <w:rPr>
          <w:rFonts w:asciiTheme="minorHAnsi" w:hAnsiTheme="minorHAnsi"/>
        </w:rPr>
        <w:t xml:space="preserve">repeated trampling, she sustained severe </w:t>
      </w:r>
      <w:r w:rsidR="001470A5" w:rsidRPr="00625728">
        <w:rPr>
          <w:rFonts w:asciiTheme="minorHAnsi" w:hAnsiTheme="minorHAnsi"/>
        </w:rPr>
        <w:t xml:space="preserve">injuries, including </w:t>
      </w:r>
      <w:r w:rsidR="00450867" w:rsidRPr="00625728">
        <w:rPr>
          <w:rFonts w:asciiTheme="minorHAnsi" w:hAnsiTheme="minorHAnsi"/>
        </w:rPr>
        <w:t>trauma induced</w:t>
      </w:r>
      <w:r w:rsidR="001470A5" w:rsidRPr="00625728">
        <w:rPr>
          <w:rFonts w:asciiTheme="minorHAnsi" w:hAnsiTheme="minorHAnsi"/>
        </w:rPr>
        <w:t xml:space="preserve"> </w:t>
      </w:r>
      <w:r w:rsidR="00BA1452" w:rsidRPr="00625728">
        <w:rPr>
          <w:rFonts w:asciiTheme="minorHAnsi" w:hAnsiTheme="minorHAnsi"/>
        </w:rPr>
        <w:t>unconsciousness</w:t>
      </w:r>
      <w:r w:rsidR="00450867" w:rsidRPr="00625728">
        <w:rPr>
          <w:rFonts w:asciiTheme="minorHAnsi" w:hAnsiTheme="minorHAnsi"/>
        </w:rPr>
        <w:t xml:space="preserve"> </w:t>
      </w:r>
      <w:r w:rsidR="00F7653C" w:rsidRPr="00625728">
        <w:rPr>
          <w:rFonts w:asciiTheme="minorHAnsi" w:hAnsiTheme="minorHAnsi"/>
        </w:rPr>
        <w:t xml:space="preserve">and injuries. </w:t>
      </w:r>
      <w:r w:rsidR="00347AEF" w:rsidRPr="00625728">
        <w:rPr>
          <w:rFonts w:asciiTheme="minorHAnsi" w:hAnsiTheme="minorHAnsi"/>
        </w:rPr>
        <w:t xml:space="preserve">Jack’s psychological damage was permanent as a result of his being </w:t>
      </w:r>
      <w:r w:rsidR="00E61052" w:rsidRPr="00625728">
        <w:rPr>
          <w:rFonts w:asciiTheme="minorHAnsi" w:hAnsiTheme="minorHAnsi"/>
        </w:rPr>
        <w:t xml:space="preserve">dragged away by the rushing crowd while </w:t>
      </w:r>
      <w:r w:rsidR="00FA64E2" w:rsidRPr="00625728">
        <w:rPr>
          <w:rFonts w:asciiTheme="minorHAnsi" w:hAnsiTheme="minorHAnsi"/>
        </w:rPr>
        <w:t xml:space="preserve">attempting to assist Sarah. </w:t>
      </w:r>
      <w:r w:rsidR="00F926A4" w:rsidRPr="00625728">
        <w:rPr>
          <w:rFonts w:asciiTheme="minorHAnsi" w:hAnsiTheme="minorHAnsi"/>
        </w:rPr>
        <w:t xml:space="preserve">Meanwhile, from the stands, Mary observed the unfolding chaos. </w:t>
      </w:r>
      <w:r w:rsidR="00670981" w:rsidRPr="00625728">
        <w:rPr>
          <w:rFonts w:asciiTheme="minorHAnsi" w:hAnsiTheme="minorHAnsi"/>
        </w:rPr>
        <w:t xml:space="preserve">She was protected from additional harm by her </w:t>
      </w:r>
      <w:r w:rsidR="003E1359" w:rsidRPr="00625728">
        <w:rPr>
          <w:rFonts w:asciiTheme="minorHAnsi" w:hAnsiTheme="minorHAnsi"/>
        </w:rPr>
        <w:t>brave involve</w:t>
      </w:r>
      <w:r w:rsidR="00706600" w:rsidRPr="00625728">
        <w:rPr>
          <w:rFonts w:asciiTheme="minorHAnsi" w:hAnsiTheme="minorHAnsi"/>
        </w:rPr>
        <w:t xml:space="preserve">ment. </w:t>
      </w:r>
      <w:r w:rsidR="00100298" w:rsidRPr="00625728">
        <w:rPr>
          <w:rFonts w:asciiTheme="minorHAnsi" w:hAnsiTheme="minorHAnsi"/>
        </w:rPr>
        <w:t xml:space="preserve">Janice, hearing the screams and believing them </w:t>
      </w:r>
      <w:r w:rsidR="00B86B11" w:rsidRPr="00625728">
        <w:rPr>
          <w:rFonts w:asciiTheme="minorHAnsi" w:hAnsiTheme="minorHAnsi"/>
        </w:rPr>
        <w:t>to be Sarah’s, fought her way back to the stage area only to find her dau</w:t>
      </w:r>
      <w:r w:rsidR="00DA7080" w:rsidRPr="00625728">
        <w:rPr>
          <w:rFonts w:asciiTheme="minorHAnsi" w:hAnsiTheme="minorHAnsi"/>
        </w:rPr>
        <w:t xml:space="preserve">ghter ion a horrific state, triggering her own psychological </w:t>
      </w:r>
      <w:r w:rsidR="00415F9E" w:rsidRPr="00625728">
        <w:rPr>
          <w:rFonts w:asciiTheme="minorHAnsi" w:hAnsiTheme="minorHAnsi"/>
        </w:rPr>
        <w:t xml:space="preserve">collapse. </w:t>
      </w:r>
      <w:r w:rsidR="00EF4F05" w:rsidRPr="00625728">
        <w:rPr>
          <w:rFonts w:asciiTheme="minorHAnsi" w:hAnsiTheme="minorHAnsi"/>
        </w:rPr>
        <w:t>In a des</w:t>
      </w:r>
      <w:r w:rsidR="009B75B1" w:rsidRPr="00625728">
        <w:rPr>
          <w:rFonts w:asciiTheme="minorHAnsi" w:hAnsiTheme="minorHAnsi"/>
        </w:rPr>
        <w:t>perate act of goodwill, Bob lifted Sarah and transpo</w:t>
      </w:r>
      <w:r w:rsidR="00DC1B39" w:rsidRPr="00625728">
        <w:rPr>
          <w:rFonts w:asciiTheme="minorHAnsi" w:hAnsiTheme="minorHAnsi"/>
        </w:rPr>
        <w:t>rted her to the hospital without waiting for an ambulance. Despite his inte</w:t>
      </w:r>
      <w:r w:rsidR="005445B9" w:rsidRPr="00625728">
        <w:rPr>
          <w:rFonts w:asciiTheme="minorHAnsi" w:hAnsiTheme="minorHAnsi"/>
        </w:rPr>
        <w:t>ntions, the emotional aftermath of his actions contributed to his mental deterioration</w:t>
      </w:r>
      <w:r w:rsidR="00907D06" w:rsidRPr="00625728">
        <w:rPr>
          <w:rFonts w:asciiTheme="minorHAnsi" w:hAnsiTheme="minorHAnsi"/>
        </w:rPr>
        <w:t xml:space="preserve">. </w:t>
      </w:r>
      <w:r w:rsidR="00F218B0" w:rsidRPr="00625728">
        <w:rPr>
          <w:rFonts w:asciiTheme="minorHAnsi" w:hAnsiTheme="minorHAnsi"/>
        </w:rPr>
        <w:t xml:space="preserve">The chain of </w:t>
      </w:r>
      <w:r w:rsidR="00BC6DAF" w:rsidRPr="00625728">
        <w:rPr>
          <w:rFonts w:asciiTheme="minorHAnsi" w:hAnsiTheme="minorHAnsi"/>
        </w:rPr>
        <w:t xml:space="preserve">events </w:t>
      </w:r>
      <w:r w:rsidR="00F218B0" w:rsidRPr="00625728">
        <w:rPr>
          <w:rFonts w:asciiTheme="minorHAnsi" w:hAnsiTheme="minorHAnsi"/>
        </w:rPr>
        <w:t>illustrates both physical conseq</w:t>
      </w:r>
      <w:r w:rsidR="00BC6DAF" w:rsidRPr="00625728">
        <w:rPr>
          <w:rFonts w:asciiTheme="minorHAnsi" w:hAnsiTheme="minorHAnsi"/>
        </w:rPr>
        <w:t xml:space="preserve">uences and the serious psychological trauma caused on those </w:t>
      </w:r>
      <w:r w:rsidR="00F247F3" w:rsidRPr="00625728">
        <w:rPr>
          <w:rFonts w:asciiTheme="minorHAnsi" w:hAnsiTheme="minorHAnsi"/>
        </w:rPr>
        <w:t xml:space="preserve">caused on those who are both directly </w:t>
      </w:r>
      <w:r w:rsidR="00787D1B" w:rsidRPr="00625728">
        <w:rPr>
          <w:rFonts w:asciiTheme="minorHAnsi" w:hAnsiTheme="minorHAnsi"/>
        </w:rPr>
        <w:t xml:space="preserve">and indirectly affected. </w:t>
      </w:r>
    </w:p>
    <w:p w14:paraId="73DFEB18" w14:textId="77777777" w:rsidR="00CF4E25" w:rsidRPr="00625728" w:rsidRDefault="00CF4E25" w:rsidP="00D83DF5">
      <w:pPr>
        <w:jc w:val="both"/>
        <w:rPr>
          <w:rFonts w:asciiTheme="minorHAnsi" w:hAnsiTheme="minorHAnsi"/>
        </w:rPr>
      </w:pPr>
    </w:p>
    <w:p w14:paraId="2EA98C88" w14:textId="6096FED3" w:rsidR="00CF4E25" w:rsidRPr="00625728" w:rsidRDefault="00CF4E25" w:rsidP="00D83DF5">
      <w:pPr>
        <w:pStyle w:val="Heading2"/>
        <w:jc w:val="both"/>
        <w:rPr>
          <w:rFonts w:asciiTheme="minorHAnsi" w:hAnsiTheme="minorHAnsi"/>
          <w:sz w:val="24"/>
          <w:szCs w:val="24"/>
        </w:rPr>
      </w:pPr>
      <w:bookmarkStart w:id="5" w:name="_Toc197105379"/>
      <w:r w:rsidRPr="00625728">
        <w:rPr>
          <w:rFonts w:asciiTheme="minorHAnsi" w:hAnsiTheme="minorHAnsi"/>
          <w:sz w:val="24"/>
          <w:szCs w:val="24"/>
        </w:rPr>
        <w:t>Where did it happen?</w:t>
      </w:r>
      <w:bookmarkEnd w:id="5"/>
      <w:r w:rsidR="00AD4BEF" w:rsidRPr="00625728">
        <w:rPr>
          <w:rFonts w:asciiTheme="minorHAnsi" w:hAnsiTheme="minorHAnsi"/>
          <w:sz w:val="24"/>
          <w:szCs w:val="24"/>
        </w:rPr>
        <w:t xml:space="preserve"> </w:t>
      </w:r>
    </w:p>
    <w:p w14:paraId="0531F477" w14:textId="77777777" w:rsidR="00836C36" w:rsidRPr="00625728" w:rsidRDefault="00836C36" w:rsidP="00D83DF5">
      <w:pPr>
        <w:jc w:val="both"/>
        <w:rPr>
          <w:rFonts w:asciiTheme="minorHAnsi" w:hAnsiTheme="minorHAnsi"/>
        </w:rPr>
      </w:pPr>
    </w:p>
    <w:p w14:paraId="039DAF86" w14:textId="1E80BB18" w:rsidR="00A153A3" w:rsidRPr="00625728" w:rsidRDefault="006D7CD6" w:rsidP="00D83DF5">
      <w:pPr>
        <w:jc w:val="both"/>
        <w:rPr>
          <w:rFonts w:asciiTheme="minorHAnsi" w:hAnsiTheme="minorHAnsi"/>
        </w:rPr>
      </w:pPr>
      <w:r w:rsidRPr="00625728">
        <w:rPr>
          <w:rFonts w:asciiTheme="minorHAnsi" w:hAnsiTheme="minorHAnsi"/>
        </w:rPr>
        <w:t>The tragic incident unfolded at the</w:t>
      </w:r>
      <w:r w:rsidR="00767DD5" w:rsidRPr="00625728">
        <w:rPr>
          <w:rFonts w:asciiTheme="minorHAnsi" w:hAnsiTheme="minorHAnsi"/>
        </w:rPr>
        <w:t xml:space="preserve"> Time Stomp festival grounds in Leeds</w:t>
      </w:r>
      <w:r w:rsidR="005A0548" w:rsidRPr="00625728">
        <w:rPr>
          <w:rFonts w:asciiTheme="minorHAnsi" w:hAnsiTheme="minorHAnsi"/>
        </w:rPr>
        <w:t xml:space="preserve">, specifically </w:t>
      </w:r>
      <w:r w:rsidR="00740C00" w:rsidRPr="00625728">
        <w:rPr>
          <w:rFonts w:asciiTheme="minorHAnsi" w:hAnsiTheme="minorHAnsi"/>
        </w:rPr>
        <w:t xml:space="preserve">the grass border </w:t>
      </w:r>
      <w:r w:rsidR="00612713" w:rsidRPr="00625728">
        <w:rPr>
          <w:rFonts w:asciiTheme="minorHAnsi" w:hAnsiTheme="minorHAnsi"/>
        </w:rPr>
        <w:t>near the stage</w:t>
      </w:r>
      <w:r w:rsidR="006B009E" w:rsidRPr="00625728">
        <w:rPr>
          <w:rFonts w:asciiTheme="minorHAnsi" w:hAnsiTheme="minorHAnsi"/>
        </w:rPr>
        <w:t xml:space="preserve"> where Sarah and Jack were dancing when the fireworks malfunctioned, and where Sarah was ultimately injured. The Higher Stand</w:t>
      </w:r>
      <w:r w:rsidR="00C87DEB" w:rsidRPr="00625728">
        <w:rPr>
          <w:rFonts w:asciiTheme="minorHAnsi" w:hAnsiTheme="minorHAnsi"/>
        </w:rPr>
        <w:t>s where Mary and Janice initially observed the performances before rushing down during the chaos.</w:t>
      </w:r>
      <w:r w:rsidR="00BD735C" w:rsidRPr="00625728">
        <w:rPr>
          <w:rFonts w:asciiTheme="minorHAnsi" w:hAnsiTheme="minorHAnsi"/>
        </w:rPr>
        <w:t xml:space="preserve"> The </w:t>
      </w:r>
      <w:r w:rsidR="00AD4BEF" w:rsidRPr="00625728">
        <w:rPr>
          <w:rFonts w:asciiTheme="minorHAnsi" w:hAnsiTheme="minorHAnsi"/>
        </w:rPr>
        <w:t>exit po</w:t>
      </w:r>
      <w:r w:rsidR="00E22437" w:rsidRPr="00625728">
        <w:rPr>
          <w:rFonts w:asciiTheme="minorHAnsi" w:hAnsiTheme="minorHAnsi"/>
        </w:rPr>
        <w:t xml:space="preserve">ints were crowded a d </w:t>
      </w:r>
      <w:r w:rsidR="007F7F7C" w:rsidRPr="00625728">
        <w:rPr>
          <w:rFonts w:asciiTheme="minorHAnsi" w:hAnsiTheme="minorHAnsi"/>
        </w:rPr>
        <w:t>inadequately managed;</w:t>
      </w:r>
      <w:r w:rsidR="00E22437" w:rsidRPr="00625728">
        <w:rPr>
          <w:rFonts w:asciiTheme="minorHAnsi" w:hAnsiTheme="minorHAnsi"/>
        </w:rPr>
        <w:t xml:space="preserve"> these became </w:t>
      </w:r>
      <w:r w:rsidR="00B5594B" w:rsidRPr="00625728">
        <w:rPr>
          <w:rFonts w:asciiTheme="minorHAnsi" w:hAnsiTheme="minorHAnsi"/>
        </w:rPr>
        <w:t xml:space="preserve">bottlenecks where panic intensified, </w:t>
      </w:r>
      <w:r w:rsidR="007F7F7C" w:rsidRPr="00625728">
        <w:rPr>
          <w:rFonts w:asciiTheme="minorHAnsi" w:hAnsiTheme="minorHAnsi"/>
        </w:rPr>
        <w:t xml:space="preserve">contributing to the trampling and injuries. </w:t>
      </w:r>
    </w:p>
    <w:p w14:paraId="0DEAA9A9" w14:textId="35039759" w:rsidR="007F7F7C" w:rsidRPr="00625728" w:rsidRDefault="00890387" w:rsidP="00D83DF5">
      <w:pPr>
        <w:jc w:val="both"/>
        <w:rPr>
          <w:rFonts w:asciiTheme="minorHAnsi" w:hAnsiTheme="minorHAnsi"/>
        </w:rPr>
      </w:pPr>
      <w:r w:rsidRPr="00625728">
        <w:rPr>
          <w:rFonts w:asciiTheme="minorHAnsi" w:hAnsiTheme="minorHAnsi"/>
        </w:rPr>
        <w:t xml:space="preserve">The location itself </w:t>
      </w:r>
      <w:r w:rsidR="00E21A00" w:rsidRPr="00625728">
        <w:rPr>
          <w:rFonts w:asciiTheme="minorHAnsi" w:hAnsiTheme="minorHAnsi"/>
        </w:rPr>
        <w:t xml:space="preserve">had a crowded open air festival setting was </w:t>
      </w:r>
      <w:r w:rsidR="00A8027F" w:rsidRPr="00625728">
        <w:rPr>
          <w:rFonts w:asciiTheme="minorHAnsi" w:hAnsiTheme="minorHAnsi"/>
        </w:rPr>
        <w:t>inherently risky , especially when combined w</w:t>
      </w:r>
      <w:r w:rsidR="00F470F8" w:rsidRPr="00625728">
        <w:rPr>
          <w:rFonts w:asciiTheme="minorHAnsi" w:hAnsiTheme="minorHAnsi"/>
        </w:rPr>
        <w:t xml:space="preserve">ith live fireworks. </w:t>
      </w:r>
      <w:r w:rsidR="002166FC" w:rsidRPr="00625728">
        <w:rPr>
          <w:rFonts w:asciiTheme="minorHAnsi" w:hAnsiTheme="minorHAnsi"/>
        </w:rPr>
        <w:t>The layout management</w:t>
      </w:r>
      <w:r w:rsidR="00606AFC" w:rsidRPr="00625728">
        <w:rPr>
          <w:rFonts w:asciiTheme="minorHAnsi" w:hAnsiTheme="minorHAnsi"/>
        </w:rPr>
        <w:t xml:space="preserve"> of crowd movements, and proximity of the crowd to firework discharge </w:t>
      </w:r>
      <w:r w:rsidR="00946282" w:rsidRPr="00625728">
        <w:rPr>
          <w:rFonts w:asciiTheme="minorHAnsi" w:hAnsiTheme="minorHAnsi"/>
        </w:rPr>
        <w:t xml:space="preserve">areas all became critical failings that increased the dangers. </w:t>
      </w:r>
    </w:p>
    <w:p w14:paraId="451D7301" w14:textId="25988595" w:rsidR="00946282" w:rsidRPr="00625728" w:rsidRDefault="00CD6024" w:rsidP="00D83DF5">
      <w:pPr>
        <w:jc w:val="both"/>
        <w:rPr>
          <w:rFonts w:asciiTheme="minorHAnsi" w:hAnsiTheme="minorHAnsi"/>
        </w:rPr>
      </w:pPr>
      <w:r w:rsidRPr="00625728">
        <w:rPr>
          <w:rFonts w:asciiTheme="minorHAnsi" w:hAnsiTheme="minorHAnsi"/>
        </w:rPr>
        <w:t>The physical setting magnified the risks posed by inadequate safety planning and crisis mana</w:t>
      </w:r>
      <w:r w:rsidR="007F60BE" w:rsidRPr="00625728">
        <w:rPr>
          <w:rFonts w:asciiTheme="minorHAnsi" w:hAnsiTheme="minorHAnsi"/>
        </w:rPr>
        <w:t xml:space="preserve">gement protocols. Moreover, it raises serious questions about </w:t>
      </w:r>
      <w:r w:rsidR="00631EC4" w:rsidRPr="00625728">
        <w:rPr>
          <w:rFonts w:asciiTheme="minorHAnsi" w:hAnsiTheme="minorHAnsi"/>
        </w:rPr>
        <w:t>whether Barry and his team undertook sufficient site assessments, risk evaluations, and cro</w:t>
      </w:r>
      <w:r w:rsidR="00836C36" w:rsidRPr="00625728">
        <w:rPr>
          <w:rFonts w:asciiTheme="minorHAnsi" w:hAnsiTheme="minorHAnsi"/>
        </w:rPr>
        <w:t xml:space="preserve">wd control measures, as would be expected under relevant health and safety legislation. </w:t>
      </w:r>
    </w:p>
    <w:p w14:paraId="0B755ECE" w14:textId="77777777" w:rsidR="00E64E2A" w:rsidRPr="00625728" w:rsidRDefault="00E64E2A" w:rsidP="00D83DF5">
      <w:pPr>
        <w:jc w:val="both"/>
        <w:rPr>
          <w:rFonts w:asciiTheme="minorHAnsi" w:hAnsiTheme="minorHAnsi"/>
        </w:rPr>
      </w:pPr>
    </w:p>
    <w:p w14:paraId="65DF6011" w14:textId="77777777" w:rsidR="00836C36" w:rsidRPr="00625728" w:rsidRDefault="00836C36" w:rsidP="00D83DF5">
      <w:pPr>
        <w:pStyle w:val="Heading2"/>
        <w:jc w:val="both"/>
        <w:rPr>
          <w:rFonts w:asciiTheme="minorHAnsi" w:hAnsiTheme="minorHAnsi"/>
          <w:sz w:val="24"/>
          <w:szCs w:val="24"/>
        </w:rPr>
      </w:pPr>
    </w:p>
    <w:p w14:paraId="24A74AF9" w14:textId="457560B0" w:rsidR="00A153A3" w:rsidRPr="00625728" w:rsidRDefault="00CF4E25" w:rsidP="00D83DF5">
      <w:pPr>
        <w:pStyle w:val="Heading2"/>
        <w:jc w:val="both"/>
        <w:rPr>
          <w:rFonts w:asciiTheme="minorHAnsi" w:hAnsiTheme="minorHAnsi"/>
          <w:sz w:val="24"/>
          <w:szCs w:val="24"/>
        </w:rPr>
      </w:pPr>
      <w:bookmarkStart w:id="6" w:name="_Toc197105380"/>
      <w:r w:rsidRPr="00625728">
        <w:rPr>
          <w:rFonts w:asciiTheme="minorHAnsi" w:hAnsiTheme="minorHAnsi"/>
          <w:sz w:val="24"/>
          <w:szCs w:val="24"/>
        </w:rPr>
        <w:t>Why did it happen?</w:t>
      </w:r>
      <w:bookmarkEnd w:id="6"/>
    </w:p>
    <w:p w14:paraId="1D0F8FCB" w14:textId="77777777" w:rsidR="00422880" w:rsidRPr="00625728" w:rsidRDefault="00422880" w:rsidP="00D83DF5">
      <w:pPr>
        <w:jc w:val="both"/>
        <w:rPr>
          <w:rFonts w:asciiTheme="minorHAnsi" w:hAnsiTheme="minorHAnsi"/>
        </w:rPr>
      </w:pPr>
    </w:p>
    <w:p w14:paraId="139871B9" w14:textId="2968303E" w:rsidR="00F91E90" w:rsidRPr="00625728" w:rsidRDefault="00B51EA9" w:rsidP="00D83DF5">
      <w:pPr>
        <w:jc w:val="both"/>
        <w:rPr>
          <w:rFonts w:asciiTheme="minorHAnsi" w:hAnsiTheme="minorHAnsi"/>
        </w:rPr>
      </w:pPr>
      <w:r w:rsidRPr="00625728">
        <w:rPr>
          <w:rFonts w:asciiTheme="minorHAnsi" w:hAnsiTheme="minorHAnsi"/>
        </w:rPr>
        <w:t xml:space="preserve">The immediate cause </w:t>
      </w:r>
      <w:r w:rsidR="00F05256" w:rsidRPr="00625728">
        <w:rPr>
          <w:rFonts w:asciiTheme="minorHAnsi" w:hAnsiTheme="minorHAnsi"/>
        </w:rPr>
        <w:t>was the malfunction of the firework display, but underlying systemic fail</w:t>
      </w:r>
      <w:r w:rsidR="00874FAA" w:rsidRPr="00625728">
        <w:rPr>
          <w:rFonts w:asciiTheme="minorHAnsi" w:hAnsiTheme="minorHAnsi"/>
        </w:rPr>
        <w:t>ures made the disaster almost ine</w:t>
      </w:r>
      <w:r w:rsidR="00794F90" w:rsidRPr="00625728">
        <w:rPr>
          <w:rFonts w:asciiTheme="minorHAnsi" w:hAnsiTheme="minorHAnsi"/>
        </w:rPr>
        <w:t xml:space="preserve">vitable. </w:t>
      </w:r>
      <w:r w:rsidR="00AC6FBA" w:rsidRPr="00625728">
        <w:rPr>
          <w:rFonts w:asciiTheme="minorHAnsi" w:hAnsiTheme="minorHAnsi"/>
        </w:rPr>
        <w:t xml:space="preserve">These </w:t>
      </w:r>
      <w:r w:rsidR="000A6304" w:rsidRPr="00625728">
        <w:rPr>
          <w:rFonts w:asciiTheme="minorHAnsi" w:hAnsiTheme="minorHAnsi"/>
        </w:rPr>
        <w:t>include</w:t>
      </w:r>
      <w:r w:rsidR="006E4EBA" w:rsidRPr="00625728">
        <w:rPr>
          <w:rFonts w:asciiTheme="minorHAnsi" w:hAnsiTheme="minorHAnsi"/>
        </w:rPr>
        <w:t xml:space="preserve"> </w:t>
      </w:r>
      <w:r w:rsidR="00E15CE4" w:rsidRPr="00625728">
        <w:rPr>
          <w:rFonts w:asciiTheme="minorHAnsi" w:hAnsiTheme="minorHAnsi"/>
        </w:rPr>
        <w:t>the insufficient safety planning</w:t>
      </w:r>
      <w:r w:rsidR="00D71F3D" w:rsidRPr="00625728">
        <w:rPr>
          <w:rFonts w:asciiTheme="minorHAnsi" w:hAnsiTheme="minorHAnsi"/>
        </w:rPr>
        <w:t xml:space="preserve"> </w:t>
      </w:r>
      <w:r w:rsidR="00F66BE6" w:rsidRPr="00625728">
        <w:rPr>
          <w:rFonts w:asciiTheme="minorHAnsi" w:hAnsiTheme="minorHAnsi"/>
        </w:rPr>
        <w:t xml:space="preserve">as Barry had </w:t>
      </w:r>
      <w:r w:rsidR="00D82A2B" w:rsidRPr="00625728">
        <w:rPr>
          <w:rFonts w:asciiTheme="minorHAnsi" w:hAnsiTheme="minorHAnsi"/>
        </w:rPr>
        <w:t xml:space="preserve">a duty to conduct </w:t>
      </w:r>
      <w:r w:rsidR="00350289" w:rsidRPr="00625728">
        <w:rPr>
          <w:rFonts w:asciiTheme="minorHAnsi" w:hAnsiTheme="minorHAnsi"/>
        </w:rPr>
        <w:t xml:space="preserve">thorough risk </w:t>
      </w:r>
      <w:r w:rsidR="009D38F1" w:rsidRPr="00625728">
        <w:rPr>
          <w:rFonts w:asciiTheme="minorHAnsi" w:hAnsiTheme="minorHAnsi"/>
        </w:rPr>
        <w:t>assessments, part</w:t>
      </w:r>
      <w:r w:rsidR="0096694C" w:rsidRPr="00625728">
        <w:rPr>
          <w:rFonts w:asciiTheme="minorHAnsi" w:hAnsiTheme="minorHAnsi"/>
        </w:rPr>
        <w:t>icularly concerning inhere</w:t>
      </w:r>
      <w:r w:rsidR="00057F56" w:rsidRPr="00625728">
        <w:rPr>
          <w:rFonts w:asciiTheme="minorHAnsi" w:hAnsiTheme="minorHAnsi"/>
        </w:rPr>
        <w:t xml:space="preserve">ntly dangerous activities like fireworks. </w:t>
      </w:r>
    </w:p>
    <w:p w14:paraId="22B33D35" w14:textId="27975A20" w:rsidR="00572CE1" w:rsidRPr="00625728" w:rsidRDefault="000632FB" w:rsidP="00D83DF5">
      <w:pPr>
        <w:jc w:val="both"/>
        <w:rPr>
          <w:rFonts w:asciiTheme="minorHAnsi" w:hAnsiTheme="minorHAnsi"/>
        </w:rPr>
      </w:pPr>
      <w:r w:rsidRPr="00625728">
        <w:rPr>
          <w:rFonts w:asciiTheme="minorHAnsi" w:hAnsiTheme="minorHAnsi"/>
        </w:rPr>
        <w:t>There is no evidence from the scena</w:t>
      </w:r>
      <w:r w:rsidR="00804550" w:rsidRPr="00625728">
        <w:rPr>
          <w:rFonts w:asciiTheme="minorHAnsi" w:hAnsiTheme="minorHAnsi"/>
        </w:rPr>
        <w:t xml:space="preserve">rio </w:t>
      </w:r>
      <w:r w:rsidR="005B4050" w:rsidRPr="00625728">
        <w:rPr>
          <w:rFonts w:asciiTheme="minorHAnsi" w:hAnsiTheme="minorHAnsi"/>
        </w:rPr>
        <w:t>that sufficient emer</w:t>
      </w:r>
      <w:r w:rsidR="00CA1BD3" w:rsidRPr="00625728">
        <w:rPr>
          <w:rFonts w:asciiTheme="minorHAnsi" w:hAnsiTheme="minorHAnsi"/>
        </w:rPr>
        <w:t xml:space="preserve">gency protocols, trained </w:t>
      </w:r>
      <w:r w:rsidR="00AD2F3C" w:rsidRPr="00625728">
        <w:rPr>
          <w:rFonts w:asciiTheme="minorHAnsi" w:hAnsiTheme="minorHAnsi"/>
        </w:rPr>
        <w:t>mar</w:t>
      </w:r>
      <w:r w:rsidR="008B2D68" w:rsidRPr="00625728">
        <w:rPr>
          <w:rFonts w:asciiTheme="minorHAnsi" w:hAnsiTheme="minorHAnsi"/>
        </w:rPr>
        <w:t>shals, or crowd control barriers were in place to prevent or manage a panic-driven stampede</w:t>
      </w:r>
      <w:r w:rsidR="00572CE1" w:rsidRPr="00625728">
        <w:rPr>
          <w:rFonts w:asciiTheme="minorHAnsi" w:hAnsiTheme="minorHAnsi"/>
        </w:rPr>
        <w:t>.</w:t>
      </w:r>
      <w:r w:rsidR="00AD5F2A" w:rsidRPr="00625728">
        <w:rPr>
          <w:rFonts w:asciiTheme="minorHAnsi" w:hAnsiTheme="minorHAnsi"/>
        </w:rPr>
        <w:t xml:space="preserve"> </w:t>
      </w:r>
    </w:p>
    <w:p w14:paraId="3EA5D490" w14:textId="651EED20" w:rsidR="00C916E9" w:rsidRPr="00625728" w:rsidRDefault="00684E49" w:rsidP="00D83DF5">
      <w:pPr>
        <w:jc w:val="both"/>
        <w:rPr>
          <w:rFonts w:asciiTheme="minorHAnsi" w:hAnsiTheme="minorHAnsi"/>
        </w:rPr>
      </w:pPr>
      <w:r w:rsidRPr="00625728">
        <w:rPr>
          <w:rFonts w:asciiTheme="minorHAnsi" w:hAnsiTheme="minorHAnsi"/>
        </w:rPr>
        <w:t>However, negligent Contractor Management even if the fireworks were operated by independent contractors, Barry cannot simply delegate all responsibility</w:t>
      </w:r>
      <w:r w:rsidR="00FF161D" w:rsidRPr="00625728">
        <w:rPr>
          <w:rFonts w:asciiTheme="minorHAnsi" w:hAnsiTheme="minorHAnsi"/>
        </w:rPr>
        <w:t xml:space="preserve">. Under doctrines like non-delegable duties </w:t>
      </w:r>
      <w:r w:rsidR="00095C3C" w:rsidRPr="00625728">
        <w:rPr>
          <w:rFonts w:asciiTheme="minorHAnsi" w:hAnsiTheme="minorHAnsi"/>
        </w:rPr>
        <w:t>Woodland v Esse</w:t>
      </w:r>
      <w:r w:rsidR="00A8639A" w:rsidRPr="00625728">
        <w:rPr>
          <w:rFonts w:asciiTheme="minorHAnsi" w:hAnsiTheme="minorHAnsi"/>
        </w:rPr>
        <w:t>x</w:t>
      </w:r>
      <w:r w:rsidR="00095C3C" w:rsidRPr="00625728">
        <w:rPr>
          <w:rFonts w:asciiTheme="minorHAnsi" w:hAnsiTheme="minorHAnsi"/>
        </w:rPr>
        <w:t xml:space="preserve"> County Council, he had an obligation </w:t>
      </w:r>
      <w:r w:rsidR="00422880" w:rsidRPr="00625728">
        <w:rPr>
          <w:rFonts w:asciiTheme="minorHAnsi" w:hAnsiTheme="minorHAnsi"/>
        </w:rPr>
        <w:t xml:space="preserve">to ensure competent performance of inherently hazardous activities. </w:t>
      </w:r>
    </w:p>
    <w:p w14:paraId="527A8ACC" w14:textId="41463A4C" w:rsidR="00E64E2A" w:rsidRPr="00625728" w:rsidRDefault="00C504DE" w:rsidP="00D83DF5">
      <w:pPr>
        <w:jc w:val="both"/>
        <w:rPr>
          <w:rFonts w:asciiTheme="minorHAnsi" w:hAnsiTheme="minorHAnsi"/>
        </w:rPr>
      </w:pPr>
      <w:r w:rsidRPr="00625728">
        <w:rPr>
          <w:rFonts w:asciiTheme="minorHAnsi" w:hAnsiTheme="minorHAnsi"/>
        </w:rPr>
        <w:t xml:space="preserve">Although essential, the implementation of collaborative planning sessions, the </w:t>
      </w:r>
      <w:r w:rsidR="007B2581" w:rsidRPr="00625728">
        <w:rPr>
          <w:rFonts w:asciiTheme="minorHAnsi" w:hAnsiTheme="minorHAnsi"/>
        </w:rPr>
        <w:t xml:space="preserve">screening of </w:t>
      </w:r>
      <w:r w:rsidR="009232BE" w:rsidRPr="00625728">
        <w:rPr>
          <w:rFonts w:asciiTheme="minorHAnsi" w:hAnsiTheme="minorHAnsi"/>
        </w:rPr>
        <w:t>workers for</w:t>
      </w:r>
      <w:r w:rsidR="00C308D0" w:rsidRPr="00625728">
        <w:rPr>
          <w:rFonts w:asciiTheme="minorHAnsi" w:hAnsiTheme="minorHAnsi"/>
        </w:rPr>
        <w:t xml:space="preserve"> </w:t>
      </w:r>
      <w:r w:rsidR="00816271" w:rsidRPr="00625728">
        <w:rPr>
          <w:rFonts w:asciiTheme="minorHAnsi" w:hAnsiTheme="minorHAnsi"/>
        </w:rPr>
        <w:t>comp</w:t>
      </w:r>
      <w:r w:rsidR="007978FB" w:rsidRPr="00625728">
        <w:rPr>
          <w:rFonts w:asciiTheme="minorHAnsi" w:hAnsiTheme="minorHAnsi"/>
        </w:rPr>
        <w:t>etence, and the enforcement of safety standards were allege</w:t>
      </w:r>
      <w:r w:rsidR="001A46BD" w:rsidRPr="00625728">
        <w:rPr>
          <w:rFonts w:asciiTheme="minorHAnsi" w:hAnsiTheme="minorHAnsi"/>
        </w:rPr>
        <w:t xml:space="preserve">dly absent. </w:t>
      </w:r>
    </w:p>
    <w:p w14:paraId="6937F43C" w14:textId="0E36D712" w:rsidR="00B440C4" w:rsidRPr="00625728" w:rsidRDefault="00D91525" w:rsidP="00D83DF5">
      <w:pPr>
        <w:jc w:val="both"/>
        <w:rPr>
          <w:rFonts w:asciiTheme="minorHAnsi" w:hAnsiTheme="minorHAnsi"/>
        </w:rPr>
      </w:pPr>
      <w:r w:rsidRPr="00625728">
        <w:rPr>
          <w:rFonts w:asciiTheme="minorHAnsi" w:hAnsiTheme="minorHAnsi"/>
        </w:rPr>
        <w:t xml:space="preserve">Failure to Prepare for Emergencies as the </w:t>
      </w:r>
      <w:r w:rsidR="009112FD" w:rsidRPr="00625728">
        <w:rPr>
          <w:rFonts w:asciiTheme="minorHAnsi" w:hAnsiTheme="minorHAnsi"/>
        </w:rPr>
        <w:t>large-scale</w:t>
      </w:r>
      <w:r w:rsidRPr="00625728">
        <w:rPr>
          <w:rFonts w:asciiTheme="minorHAnsi" w:hAnsiTheme="minorHAnsi"/>
        </w:rPr>
        <w:t xml:space="preserve"> public events must have contingency for mass evacuations and emergency medical assistance. A </w:t>
      </w:r>
      <w:r w:rsidR="009112FD" w:rsidRPr="00625728">
        <w:rPr>
          <w:rFonts w:asciiTheme="minorHAnsi" w:hAnsiTheme="minorHAnsi"/>
        </w:rPr>
        <w:t xml:space="preserve">20-minute period where Sarah lay trampled without </w:t>
      </w:r>
      <w:r w:rsidR="00622584" w:rsidRPr="00625728">
        <w:rPr>
          <w:rFonts w:asciiTheme="minorHAnsi" w:hAnsiTheme="minorHAnsi"/>
        </w:rPr>
        <w:t xml:space="preserve">organized </w:t>
      </w:r>
      <w:r w:rsidR="002E77C2" w:rsidRPr="00625728">
        <w:rPr>
          <w:rFonts w:asciiTheme="minorHAnsi" w:hAnsiTheme="minorHAnsi"/>
        </w:rPr>
        <w:t>aid is indicative of serious shortcomings. In</w:t>
      </w:r>
      <w:r w:rsidR="00F6757E" w:rsidRPr="00625728">
        <w:rPr>
          <w:rFonts w:asciiTheme="minorHAnsi" w:hAnsiTheme="minorHAnsi"/>
        </w:rPr>
        <w:t>adequate communication for example f</w:t>
      </w:r>
      <w:r w:rsidR="00645053" w:rsidRPr="00625728">
        <w:rPr>
          <w:rFonts w:asciiTheme="minorHAnsi" w:hAnsiTheme="minorHAnsi"/>
        </w:rPr>
        <w:t xml:space="preserve">ailure to </w:t>
      </w:r>
      <w:r w:rsidR="003756E1" w:rsidRPr="00625728">
        <w:rPr>
          <w:rFonts w:asciiTheme="minorHAnsi" w:hAnsiTheme="minorHAnsi"/>
        </w:rPr>
        <w:t>immediately</w:t>
      </w:r>
      <w:r w:rsidR="00645053" w:rsidRPr="00625728">
        <w:rPr>
          <w:rFonts w:asciiTheme="minorHAnsi" w:hAnsiTheme="minorHAnsi"/>
        </w:rPr>
        <w:t xml:space="preserve"> </w:t>
      </w:r>
      <w:r w:rsidR="003756E1" w:rsidRPr="00625728">
        <w:rPr>
          <w:rFonts w:asciiTheme="minorHAnsi" w:hAnsiTheme="minorHAnsi"/>
        </w:rPr>
        <w:t xml:space="preserve">halt music and </w:t>
      </w:r>
      <w:r w:rsidR="00ED7239" w:rsidRPr="00625728">
        <w:rPr>
          <w:rFonts w:asciiTheme="minorHAnsi" w:hAnsiTheme="minorHAnsi"/>
        </w:rPr>
        <w:t xml:space="preserve">announce evacuation instructions likely </w:t>
      </w:r>
      <w:r w:rsidR="00844967" w:rsidRPr="00625728">
        <w:rPr>
          <w:rFonts w:asciiTheme="minorHAnsi" w:hAnsiTheme="minorHAnsi"/>
        </w:rPr>
        <w:t>exacerbated the crowd panic.</w:t>
      </w:r>
    </w:p>
    <w:p w14:paraId="1F3A0E96" w14:textId="64266E51" w:rsidR="00460087" w:rsidRPr="00625728" w:rsidRDefault="001E0D45" w:rsidP="00D83DF5">
      <w:pPr>
        <w:jc w:val="both"/>
        <w:rPr>
          <w:rFonts w:asciiTheme="minorHAnsi" w:hAnsiTheme="minorHAnsi"/>
        </w:rPr>
      </w:pPr>
      <w:r w:rsidRPr="00625728">
        <w:rPr>
          <w:rFonts w:asciiTheme="minorHAnsi" w:hAnsiTheme="minorHAnsi"/>
        </w:rPr>
        <w:t xml:space="preserve">Foreseeable Human Reaction to </w:t>
      </w:r>
      <w:r w:rsidR="007E31A8" w:rsidRPr="00625728">
        <w:rPr>
          <w:rFonts w:asciiTheme="minorHAnsi" w:hAnsiTheme="minorHAnsi"/>
        </w:rPr>
        <w:t xml:space="preserve">Danger </w:t>
      </w:r>
      <w:r w:rsidR="008E11CF" w:rsidRPr="00625728">
        <w:rPr>
          <w:rFonts w:asciiTheme="minorHAnsi" w:hAnsiTheme="minorHAnsi"/>
        </w:rPr>
        <w:t xml:space="preserve">is a </w:t>
      </w:r>
      <w:r w:rsidR="00370CD2" w:rsidRPr="00625728">
        <w:rPr>
          <w:rFonts w:asciiTheme="minorHAnsi" w:hAnsiTheme="minorHAnsi"/>
        </w:rPr>
        <w:t>well-documented</w:t>
      </w:r>
      <w:r w:rsidR="008E11CF" w:rsidRPr="00625728">
        <w:rPr>
          <w:rFonts w:asciiTheme="minorHAnsi" w:hAnsiTheme="minorHAnsi"/>
        </w:rPr>
        <w:t xml:space="preserve"> phe</w:t>
      </w:r>
      <w:r w:rsidR="00370CD2" w:rsidRPr="00625728">
        <w:rPr>
          <w:rFonts w:asciiTheme="minorHAnsi" w:hAnsiTheme="minorHAnsi"/>
        </w:rPr>
        <w:t>nomenon that sudden, uncontrolled threats such as mis</w:t>
      </w:r>
      <w:r w:rsidR="00EB7853" w:rsidRPr="00625728">
        <w:rPr>
          <w:rFonts w:asciiTheme="minorHAnsi" w:hAnsiTheme="minorHAnsi"/>
        </w:rPr>
        <w:t xml:space="preserve">fired fireworks create irrational crowd behaviour, </w:t>
      </w:r>
      <w:r w:rsidR="00F445E9" w:rsidRPr="00625728">
        <w:rPr>
          <w:rFonts w:asciiTheme="minorHAnsi" w:hAnsiTheme="minorHAnsi"/>
        </w:rPr>
        <w:t xml:space="preserve">including stampedes. </w:t>
      </w:r>
      <w:r w:rsidR="00F65075" w:rsidRPr="00625728">
        <w:rPr>
          <w:rFonts w:asciiTheme="minorHAnsi" w:hAnsiTheme="minorHAnsi"/>
        </w:rPr>
        <w:t>Therefore, it was reasonably foreseeable that any error in the fireworks</w:t>
      </w:r>
      <w:r w:rsidR="00460087" w:rsidRPr="00625728">
        <w:rPr>
          <w:rFonts w:asciiTheme="minorHAnsi" w:hAnsiTheme="minorHAnsi"/>
        </w:rPr>
        <w:t xml:space="preserve"> display could result in injury, thereby heightening </w:t>
      </w:r>
      <w:r w:rsidR="0012260A" w:rsidRPr="00625728">
        <w:rPr>
          <w:rFonts w:asciiTheme="minorHAnsi" w:hAnsiTheme="minorHAnsi"/>
        </w:rPr>
        <w:t xml:space="preserve">Barry’s duty to take appropriate preventative measures. </w:t>
      </w:r>
    </w:p>
    <w:p w14:paraId="6044A8C0" w14:textId="77777777" w:rsidR="009419F2" w:rsidRPr="00625728" w:rsidRDefault="009419F2" w:rsidP="00D83DF5">
      <w:pPr>
        <w:jc w:val="both"/>
        <w:rPr>
          <w:rFonts w:asciiTheme="minorHAnsi" w:hAnsiTheme="minorHAnsi"/>
        </w:rPr>
      </w:pPr>
    </w:p>
    <w:p w14:paraId="2A073C61" w14:textId="32B2DC84" w:rsidR="007C610C" w:rsidRPr="00625728" w:rsidRDefault="006619DE" w:rsidP="00D83DF5">
      <w:pPr>
        <w:jc w:val="both"/>
        <w:rPr>
          <w:rFonts w:asciiTheme="minorHAnsi" w:hAnsiTheme="minorHAnsi"/>
        </w:rPr>
      </w:pPr>
      <w:r w:rsidRPr="00625728">
        <w:rPr>
          <w:rFonts w:asciiTheme="minorHAnsi" w:hAnsiTheme="minorHAnsi"/>
        </w:rPr>
        <w:t>Lack of</w:t>
      </w:r>
      <w:r w:rsidR="00D36C24" w:rsidRPr="00625728">
        <w:rPr>
          <w:rFonts w:asciiTheme="minorHAnsi" w:hAnsiTheme="minorHAnsi"/>
        </w:rPr>
        <w:t xml:space="preserve"> Proximate Medical Assistance</w:t>
      </w:r>
      <w:r w:rsidR="00B137F3" w:rsidRPr="00625728">
        <w:rPr>
          <w:rFonts w:asciiTheme="minorHAnsi" w:hAnsiTheme="minorHAnsi"/>
        </w:rPr>
        <w:t xml:space="preserve"> is another example </w:t>
      </w:r>
      <w:r w:rsidR="007C610C" w:rsidRPr="00625728">
        <w:rPr>
          <w:rFonts w:asciiTheme="minorHAnsi" w:hAnsiTheme="minorHAnsi"/>
        </w:rPr>
        <w:t>because Bob’s intervention</w:t>
      </w:r>
      <w:r w:rsidR="00CE0787" w:rsidRPr="00625728">
        <w:rPr>
          <w:rFonts w:asciiTheme="minorHAnsi" w:hAnsiTheme="minorHAnsi"/>
        </w:rPr>
        <w:t>, though commendable, highlights</w:t>
      </w:r>
      <w:r w:rsidR="00C2716F" w:rsidRPr="00625728">
        <w:rPr>
          <w:rFonts w:asciiTheme="minorHAnsi" w:hAnsiTheme="minorHAnsi"/>
        </w:rPr>
        <w:t xml:space="preserve"> the critical absence of immediate medical services at the event. Timely access to first responders could have significantly</w:t>
      </w:r>
      <w:r w:rsidR="0093288B" w:rsidRPr="00625728">
        <w:rPr>
          <w:rFonts w:asciiTheme="minorHAnsi" w:hAnsiTheme="minorHAnsi"/>
        </w:rPr>
        <w:t xml:space="preserve"> reduced the severity of the injuries sustained. </w:t>
      </w:r>
    </w:p>
    <w:p w14:paraId="70BB1776" w14:textId="3F5DAA78" w:rsidR="00E4468F" w:rsidRPr="00625728" w:rsidRDefault="00E93BA4" w:rsidP="00D83DF5">
      <w:pPr>
        <w:jc w:val="both"/>
        <w:rPr>
          <w:rFonts w:asciiTheme="minorHAnsi" w:hAnsiTheme="minorHAnsi"/>
        </w:rPr>
      </w:pPr>
      <w:r w:rsidRPr="00625728">
        <w:rPr>
          <w:rFonts w:asciiTheme="minorHAnsi" w:hAnsiTheme="minorHAnsi"/>
        </w:rPr>
        <w:t>In conclusion the disa</w:t>
      </w:r>
      <w:r w:rsidR="00702190" w:rsidRPr="00625728">
        <w:rPr>
          <w:rFonts w:asciiTheme="minorHAnsi" w:hAnsiTheme="minorHAnsi"/>
        </w:rPr>
        <w:t xml:space="preserve">ster at the Time Stomp festival was the </w:t>
      </w:r>
      <w:r w:rsidR="005E0386" w:rsidRPr="00625728">
        <w:rPr>
          <w:rFonts w:asciiTheme="minorHAnsi" w:hAnsiTheme="minorHAnsi"/>
        </w:rPr>
        <w:t>outcome of a foreseeable and preventable series of negligent acts, sy</w:t>
      </w:r>
      <w:r w:rsidR="00B24E52" w:rsidRPr="00625728">
        <w:rPr>
          <w:rFonts w:asciiTheme="minorHAnsi" w:hAnsiTheme="minorHAnsi"/>
        </w:rPr>
        <w:t>stemic safety deficiencies, and inadequate emergency response measures. As the event organizer, Barry Bottl</w:t>
      </w:r>
      <w:r w:rsidR="00CC3378" w:rsidRPr="00625728">
        <w:rPr>
          <w:rFonts w:asciiTheme="minorHAnsi" w:hAnsiTheme="minorHAnsi"/>
        </w:rPr>
        <w:t xml:space="preserve">eman </w:t>
      </w:r>
      <w:r w:rsidR="00111AF1" w:rsidRPr="00625728">
        <w:rPr>
          <w:rFonts w:asciiTheme="minorHAnsi" w:hAnsiTheme="minorHAnsi"/>
        </w:rPr>
        <w:t xml:space="preserve">holds substantial responsibility under established tort law principles </w:t>
      </w:r>
      <w:r w:rsidR="004830DA" w:rsidRPr="00625728">
        <w:rPr>
          <w:rFonts w:asciiTheme="minorHAnsi" w:hAnsiTheme="minorHAnsi"/>
        </w:rPr>
        <w:t xml:space="preserve">for the physical </w:t>
      </w:r>
      <w:r w:rsidR="00E94AD6" w:rsidRPr="00625728">
        <w:rPr>
          <w:rFonts w:asciiTheme="minorHAnsi" w:hAnsiTheme="minorHAnsi"/>
        </w:rPr>
        <w:t>and psychiatric harm suffered by attendees.</w:t>
      </w:r>
      <w:r w:rsidR="003F7BD8" w:rsidRPr="00625728">
        <w:rPr>
          <w:rFonts w:asciiTheme="minorHAnsi" w:hAnsiTheme="minorHAnsi"/>
        </w:rPr>
        <w:t xml:space="preserve"> The experiences of Sarah, Jack, Mary, Janice, and Bob demonstrate the profound and multifaceted consequences of </w:t>
      </w:r>
      <w:r w:rsidR="0093100D" w:rsidRPr="00625728">
        <w:rPr>
          <w:rFonts w:asciiTheme="minorHAnsi" w:hAnsiTheme="minorHAnsi"/>
        </w:rPr>
        <w:t>or</w:t>
      </w:r>
      <w:r w:rsidR="008972A3" w:rsidRPr="00625728">
        <w:rPr>
          <w:rFonts w:asciiTheme="minorHAnsi" w:hAnsiTheme="minorHAnsi"/>
        </w:rPr>
        <w:t>ganisational failure</w:t>
      </w:r>
      <w:r w:rsidR="00FA367A" w:rsidRPr="00625728">
        <w:rPr>
          <w:rFonts w:asciiTheme="minorHAnsi" w:hAnsiTheme="minorHAnsi"/>
        </w:rPr>
        <w:t xml:space="preserve"> in the context of public events. </w:t>
      </w:r>
      <w:r w:rsidR="009052A9" w:rsidRPr="00625728">
        <w:rPr>
          <w:rFonts w:asciiTheme="minorHAnsi" w:hAnsiTheme="minorHAnsi"/>
        </w:rPr>
        <w:t xml:space="preserve">The 4Ws analysis </w:t>
      </w:r>
      <w:r w:rsidR="003A5455" w:rsidRPr="00625728">
        <w:rPr>
          <w:rFonts w:asciiTheme="minorHAnsi" w:hAnsiTheme="minorHAnsi"/>
        </w:rPr>
        <w:t xml:space="preserve">not only identifies </w:t>
      </w:r>
      <w:r w:rsidR="00310C66" w:rsidRPr="00625728">
        <w:rPr>
          <w:rFonts w:asciiTheme="minorHAnsi" w:hAnsiTheme="minorHAnsi"/>
        </w:rPr>
        <w:t xml:space="preserve">the immediate causative factors but also </w:t>
      </w:r>
      <w:r w:rsidR="00D201B0" w:rsidRPr="00625728">
        <w:rPr>
          <w:rFonts w:asciiTheme="minorHAnsi" w:hAnsiTheme="minorHAnsi"/>
        </w:rPr>
        <w:t xml:space="preserve">exposes broader legal concerns relating to duty of care, occupiers’ liability, and contractor management. Addressing these </w:t>
      </w:r>
      <w:r w:rsidR="002B6AA9" w:rsidRPr="00625728">
        <w:rPr>
          <w:rFonts w:asciiTheme="minorHAnsi" w:hAnsiTheme="minorHAnsi"/>
        </w:rPr>
        <w:t xml:space="preserve">failures through legal accountability and comprehensive systemic reform is essential to prevent the recurrence </w:t>
      </w:r>
      <w:r w:rsidR="00841947" w:rsidRPr="00625728">
        <w:rPr>
          <w:rFonts w:asciiTheme="minorHAnsi" w:hAnsiTheme="minorHAnsi"/>
        </w:rPr>
        <w:t xml:space="preserve">of similar tragedies at future events. </w:t>
      </w:r>
    </w:p>
    <w:p w14:paraId="1DFC9D6A" w14:textId="1735B861" w:rsidR="00E64E2A" w:rsidRPr="00625728" w:rsidRDefault="00E64E2A" w:rsidP="00D83DF5">
      <w:pPr>
        <w:jc w:val="both"/>
        <w:rPr>
          <w:rFonts w:asciiTheme="minorHAnsi" w:hAnsiTheme="minorHAnsi"/>
        </w:rPr>
      </w:pPr>
    </w:p>
    <w:p w14:paraId="27FDF2C3" w14:textId="77777777" w:rsidR="006434D5" w:rsidRPr="00625728" w:rsidRDefault="006434D5" w:rsidP="00D83DF5">
      <w:pPr>
        <w:pStyle w:val="Heading1"/>
        <w:jc w:val="both"/>
        <w:rPr>
          <w:rFonts w:asciiTheme="minorHAnsi" w:hAnsiTheme="minorHAnsi"/>
          <w:sz w:val="24"/>
          <w:szCs w:val="24"/>
        </w:rPr>
      </w:pPr>
    </w:p>
    <w:p w14:paraId="1BB3ED52" w14:textId="617D8902" w:rsidR="00361A8A" w:rsidRPr="00FD5163" w:rsidRDefault="00361A8A" w:rsidP="00D83DF5">
      <w:pPr>
        <w:pStyle w:val="Heading1"/>
        <w:jc w:val="both"/>
        <w:rPr>
          <w:rFonts w:asciiTheme="minorHAnsi" w:hAnsiTheme="minorHAnsi"/>
          <w:sz w:val="32"/>
          <w:szCs w:val="32"/>
        </w:rPr>
      </w:pPr>
      <w:bookmarkStart w:id="7" w:name="_Toc197105381"/>
      <w:r w:rsidRPr="00FD5163">
        <w:rPr>
          <w:rFonts w:asciiTheme="minorHAnsi" w:hAnsiTheme="minorHAnsi"/>
          <w:sz w:val="32"/>
          <w:szCs w:val="32"/>
        </w:rPr>
        <w:t>Research Plan</w:t>
      </w:r>
      <w:bookmarkEnd w:id="7"/>
      <w:r w:rsidRPr="00FD5163">
        <w:rPr>
          <w:rFonts w:asciiTheme="minorHAnsi" w:hAnsiTheme="minorHAnsi"/>
          <w:sz w:val="32"/>
          <w:szCs w:val="32"/>
        </w:rPr>
        <w:t xml:space="preserve"> </w:t>
      </w:r>
    </w:p>
    <w:p w14:paraId="493058B4" w14:textId="6000DF5D" w:rsidR="00CD018A" w:rsidRPr="00625728" w:rsidRDefault="00EA525D" w:rsidP="00D83DF5">
      <w:pPr>
        <w:jc w:val="both"/>
        <w:rPr>
          <w:rFonts w:asciiTheme="minorHAnsi" w:hAnsiTheme="minorHAnsi"/>
        </w:rPr>
      </w:pPr>
      <w:r w:rsidRPr="00625728">
        <w:rPr>
          <w:rFonts w:asciiTheme="minorHAnsi" w:hAnsiTheme="minorHAnsi"/>
        </w:rPr>
        <w:t xml:space="preserve">A </w:t>
      </w:r>
      <w:r w:rsidR="00F27799" w:rsidRPr="00625728">
        <w:rPr>
          <w:rFonts w:asciiTheme="minorHAnsi" w:hAnsiTheme="minorHAnsi"/>
        </w:rPr>
        <w:t>detailed and structured research plan was established at the outset of this report to guide the legal analysis of Barry’s Bottle</w:t>
      </w:r>
      <w:r w:rsidR="00EF4B26" w:rsidRPr="00625728">
        <w:rPr>
          <w:rFonts w:asciiTheme="minorHAnsi" w:hAnsiTheme="minorHAnsi"/>
        </w:rPr>
        <w:t>man’s potential lia</w:t>
      </w:r>
      <w:r w:rsidR="00325C3C" w:rsidRPr="00625728">
        <w:rPr>
          <w:rFonts w:asciiTheme="minorHAnsi" w:hAnsiTheme="minorHAnsi"/>
        </w:rPr>
        <w:t xml:space="preserve">bility arising from the events at the Time Stomp festival. </w:t>
      </w:r>
      <w:r w:rsidR="002A4852" w:rsidRPr="00625728">
        <w:rPr>
          <w:rFonts w:asciiTheme="minorHAnsi" w:hAnsiTheme="minorHAnsi"/>
        </w:rPr>
        <w:t>Given the multifaceted legal issues presented by this incid</w:t>
      </w:r>
      <w:r w:rsidR="00D439CE" w:rsidRPr="00625728">
        <w:rPr>
          <w:rFonts w:asciiTheme="minorHAnsi" w:hAnsiTheme="minorHAnsi"/>
        </w:rPr>
        <w:t xml:space="preserve">ent, including severe physical and psychiatric negligence and </w:t>
      </w:r>
      <w:r w:rsidR="00A74680" w:rsidRPr="00625728">
        <w:rPr>
          <w:rFonts w:asciiTheme="minorHAnsi" w:hAnsiTheme="minorHAnsi"/>
        </w:rPr>
        <w:t>occupiers’</w:t>
      </w:r>
      <w:r w:rsidR="00EE788C" w:rsidRPr="00625728">
        <w:rPr>
          <w:rFonts w:asciiTheme="minorHAnsi" w:hAnsiTheme="minorHAnsi"/>
        </w:rPr>
        <w:t xml:space="preserve"> liability, particularly within the context </w:t>
      </w:r>
      <w:r w:rsidR="001C0DD8" w:rsidRPr="00625728">
        <w:rPr>
          <w:rFonts w:asciiTheme="minorHAnsi" w:hAnsiTheme="minorHAnsi"/>
        </w:rPr>
        <w:t>of public event mana</w:t>
      </w:r>
      <w:r w:rsidR="00046167" w:rsidRPr="00625728">
        <w:rPr>
          <w:rFonts w:asciiTheme="minorHAnsi" w:hAnsiTheme="minorHAnsi"/>
        </w:rPr>
        <w:t xml:space="preserve">gement in the United Kingdom. </w:t>
      </w:r>
    </w:p>
    <w:p w14:paraId="66D4DAE3" w14:textId="77777777" w:rsidR="00C06459" w:rsidRPr="00625728" w:rsidRDefault="00C06459" w:rsidP="00D83DF5">
      <w:pPr>
        <w:jc w:val="both"/>
        <w:rPr>
          <w:rFonts w:asciiTheme="minorHAnsi" w:hAnsiTheme="minorHAnsi"/>
        </w:rPr>
      </w:pPr>
    </w:p>
    <w:p w14:paraId="58DED00E" w14:textId="395757EC" w:rsidR="00046167" w:rsidRPr="00625728" w:rsidRDefault="00A778A5" w:rsidP="00D83DF5">
      <w:pPr>
        <w:jc w:val="both"/>
        <w:rPr>
          <w:rFonts w:asciiTheme="minorHAnsi" w:hAnsiTheme="minorHAnsi"/>
        </w:rPr>
      </w:pPr>
      <w:r w:rsidRPr="00625728">
        <w:rPr>
          <w:rFonts w:asciiTheme="minorHAnsi" w:hAnsiTheme="minorHAnsi"/>
        </w:rPr>
        <w:t>T</w:t>
      </w:r>
      <w:r w:rsidR="0066480E" w:rsidRPr="00625728">
        <w:rPr>
          <w:rFonts w:asciiTheme="minorHAnsi" w:hAnsiTheme="minorHAnsi"/>
        </w:rPr>
        <w:t>he investigation commenced with an examination of foundational legal principles governing negligence in English law. A key starting point was Dono</w:t>
      </w:r>
      <w:r w:rsidR="003E00A2" w:rsidRPr="00625728">
        <w:rPr>
          <w:rFonts w:asciiTheme="minorHAnsi" w:hAnsiTheme="minorHAnsi"/>
        </w:rPr>
        <w:t>ghue v Stevenson [1932]</w:t>
      </w:r>
      <w:r w:rsidR="00BF0906" w:rsidRPr="00625728">
        <w:rPr>
          <w:rFonts w:asciiTheme="minorHAnsi" w:hAnsiTheme="minorHAnsi"/>
        </w:rPr>
        <w:t xml:space="preserve"> AC  562, where Lord Atkin introduced the neighbour principle, </w:t>
      </w:r>
      <w:r w:rsidR="006A3D32" w:rsidRPr="00625728">
        <w:rPr>
          <w:rFonts w:asciiTheme="minorHAnsi" w:hAnsiTheme="minorHAnsi"/>
        </w:rPr>
        <w:t>lay</w:t>
      </w:r>
      <w:r w:rsidR="007C3FA1" w:rsidRPr="00625728">
        <w:rPr>
          <w:rFonts w:asciiTheme="minorHAnsi" w:hAnsiTheme="minorHAnsi"/>
        </w:rPr>
        <w:t>ing the groundwork for modern duty of care concepts. This was supplemented by Caparo Industries</w:t>
      </w:r>
      <w:r w:rsidR="00844518" w:rsidRPr="00625728">
        <w:rPr>
          <w:rFonts w:asciiTheme="minorHAnsi" w:hAnsiTheme="minorHAnsi"/>
        </w:rPr>
        <w:t xml:space="preserve"> plc v </w:t>
      </w:r>
      <w:r w:rsidR="00024427" w:rsidRPr="00625728">
        <w:rPr>
          <w:rFonts w:asciiTheme="minorHAnsi" w:hAnsiTheme="minorHAnsi"/>
        </w:rPr>
        <w:t xml:space="preserve">Dickman [1990] 2 AC 605, which articulated </w:t>
      </w:r>
      <w:r w:rsidR="001C25D9" w:rsidRPr="00625728">
        <w:rPr>
          <w:rFonts w:asciiTheme="minorHAnsi" w:hAnsiTheme="minorHAnsi"/>
        </w:rPr>
        <w:t xml:space="preserve">the threefold test of foreseeability, proximity, and whether it is fair, just and reasonable </w:t>
      </w:r>
      <w:r w:rsidR="00461E85" w:rsidRPr="00625728">
        <w:rPr>
          <w:rFonts w:asciiTheme="minorHAnsi" w:hAnsiTheme="minorHAnsi"/>
        </w:rPr>
        <w:t>to impose a duty. These cases collectively provided the analytical lens through</w:t>
      </w:r>
      <w:r w:rsidR="003F29A5" w:rsidRPr="00625728">
        <w:rPr>
          <w:rFonts w:asciiTheme="minorHAnsi" w:hAnsiTheme="minorHAnsi"/>
        </w:rPr>
        <w:t xml:space="preserve"> which the relationship </w:t>
      </w:r>
      <w:r w:rsidR="00203392" w:rsidRPr="00625728">
        <w:rPr>
          <w:rFonts w:asciiTheme="minorHAnsi" w:hAnsiTheme="minorHAnsi"/>
        </w:rPr>
        <w:t xml:space="preserve">between Barry Bottleman and festival attendees was assessed. </w:t>
      </w:r>
    </w:p>
    <w:p w14:paraId="7D995327" w14:textId="77777777" w:rsidR="00C06459" w:rsidRPr="00625728" w:rsidRDefault="00C06459" w:rsidP="00D83DF5">
      <w:pPr>
        <w:jc w:val="both"/>
        <w:rPr>
          <w:rFonts w:asciiTheme="minorHAnsi" w:hAnsiTheme="minorHAnsi"/>
        </w:rPr>
      </w:pPr>
    </w:p>
    <w:p w14:paraId="0F304659" w14:textId="0EDE34B9" w:rsidR="003C1C3B" w:rsidRPr="00625728" w:rsidRDefault="00014018" w:rsidP="00D83DF5">
      <w:pPr>
        <w:jc w:val="both"/>
        <w:rPr>
          <w:rFonts w:asciiTheme="minorHAnsi" w:hAnsiTheme="minorHAnsi"/>
        </w:rPr>
      </w:pPr>
      <w:r w:rsidRPr="00625728">
        <w:rPr>
          <w:rFonts w:asciiTheme="minorHAnsi" w:hAnsiTheme="minorHAnsi"/>
        </w:rPr>
        <w:t xml:space="preserve">To deepen the understanding of premises liability, the </w:t>
      </w:r>
      <w:r w:rsidR="00B53AC8" w:rsidRPr="00625728">
        <w:rPr>
          <w:rFonts w:asciiTheme="minorHAnsi" w:hAnsiTheme="minorHAnsi"/>
        </w:rPr>
        <w:t xml:space="preserve">research considered broader health and safety </w:t>
      </w:r>
      <w:r w:rsidR="003351E2" w:rsidRPr="00625728">
        <w:rPr>
          <w:rFonts w:asciiTheme="minorHAnsi" w:hAnsiTheme="minorHAnsi"/>
        </w:rPr>
        <w:t>obligations imposed by the Hea</w:t>
      </w:r>
      <w:r w:rsidR="00D762C9" w:rsidRPr="00625728">
        <w:rPr>
          <w:rFonts w:asciiTheme="minorHAnsi" w:hAnsiTheme="minorHAnsi"/>
        </w:rPr>
        <w:t>lth and Safety at work Act 1974. This UK legislation imposes duties on those managing workplaces and public spaces</w:t>
      </w:r>
      <w:r w:rsidR="00EA2084" w:rsidRPr="00625728">
        <w:rPr>
          <w:rFonts w:asciiTheme="minorHAnsi" w:hAnsiTheme="minorHAnsi"/>
        </w:rPr>
        <w:t xml:space="preserve"> to safeguard health, safety, and welfare, so</w:t>
      </w:r>
      <w:r w:rsidR="005C27DD" w:rsidRPr="00625728">
        <w:rPr>
          <w:rFonts w:asciiTheme="minorHAnsi" w:hAnsiTheme="minorHAnsi"/>
        </w:rPr>
        <w:t xml:space="preserve"> </w:t>
      </w:r>
      <w:r w:rsidR="001A31E9" w:rsidRPr="00625728">
        <w:rPr>
          <w:rFonts w:asciiTheme="minorHAnsi" w:hAnsiTheme="minorHAnsi"/>
        </w:rPr>
        <w:t>far as is reasonably practica</w:t>
      </w:r>
      <w:r w:rsidR="002D1B0E" w:rsidRPr="00625728">
        <w:rPr>
          <w:rFonts w:asciiTheme="minorHAnsi" w:hAnsiTheme="minorHAnsi"/>
        </w:rPr>
        <w:t xml:space="preserve">ble. </w:t>
      </w:r>
      <w:r w:rsidR="00FF4036" w:rsidRPr="00625728">
        <w:rPr>
          <w:rFonts w:asciiTheme="minorHAnsi" w:hAnsiTheme="minorHAnsi"/>
        </w:rPr>
        <w:t xml:space="preserve">Its relevance to the case study was profound, given </w:t>
      </w:r>
      <w:r w:rsidR="00977DC9" w:rsidRPr="00625728">
        <w:rPr>
          <w:rFonts w:asciiTheme="minorHAnsi" w:hAnsiTheme="minorHAnsi"/>
        </w:rPr>
        <w:t xml:space="preserve">that the festival constituted </w:t>
      </w:r>
      <w:r w:rsidR="00C70D29" w:rsidRPr="00625728">
        <w:rPr>
          <w:rFonts w:asciiTheme="minorHAnsi" w:hAnsiTheme="minorHAnsi"/>
        </w:rPr>
        <w:t>a temporary workplace and place of public congregation. The Act’s</w:t>
      </w:r>
      <w:r w:rsidR="00884E5C" w:rsidRPr="00625728">
        <w:rPr>
          <w:rFonts w:asciiTheme="minorHAnsi" w:hAnsiTheme="minorHAnsi"/>
        </w:rPr>
        <w:t xml:space="preserve"> requirements for proactive risk assessments, maintenance of safe systems of work, and emergency pr</w:t>
      </w:r>
      <w:r w:rsidR="00631EEA" w:rsidRPr="00625728">
        <w:rPr>
          <w:rFonts w:asciiTheme="minorHAnsi" w:hAnsiTheme="minorHAnsi"/>
        </w:rPr>
        <w:t xml:space="preserve">eparedness provided a compelling </w:t>
      </w:r>
      <w:r w:rsidR="00646ADB" w:rsidRPr="00625728">
        <w:rPr>
          <w:rFonts w:asciiTheme="minorHAnsi" w:hAnsiTheme="minorHAnsi"/>
        </w:rPr>
        <w:t xml:space="preserve">measure against which Barry’s actions and omissions could </w:t>
      </w:r>
      <w:r w:rsidR="00B66B6D" w:rsidRPr="00625728">
        <w:rPr>
          <w:rFonts w:asciiTheme="minorHAnsi" w:hAnsiTheme="minorHAnsi"/>
        </w:rPr>
        <w:t xml:space="preserve">be </w:t>
      </w:r>
      <w:r w:rsidR="00526B68" w:rsidRPr="00625728">
        <w:rPr>
          <w:rFonts w:asciiTheme="minorHAnsi" w:hAnsiTheme="minorHAnsi"/>
        </w:rPr>
        <w:t xml:space="preserve">legally </w:t>
      </w:r>
      <w:r w:rsidR="003C1C3B" w:rsidRPr="00625728">
        <w:rPr>
          <w:rFonts w:asciiTheme="minorHAnsi" w:hAnsiTheme="minorHAnsi"/>
        </w:rPr>
        <w:t xml:space="preserve">scrutinized. </w:t>
      </w:r>
    </w:p>
    <w:p w14:paraId="1DAB596E" w14:textId="77777777" w:rsidR="003C1C3B" w:rsidRPr="00625728" w:rsidRDefault="003C1C3B" w:rsidP="00D83DF5">
      <w:pPr>
        <w:jc w:val="both"/>
        <w:rPr>
          <w:rFonts w:asciiTheme="minorHAnsi" w:hAnsiTheme="minorHAnsi"/>
        </w:rPr>
      </w:pPr>
    </w:p>
    <w:p w14:paraId="073D0E9D" w14:textId="4FF51A38" w:rsidR="00B507CE" w:rsidRPr="00625728" w:rsidRDefault="002F4644" w:rsidP="00D83DF5">
      <w:pPr>
        <w:jc w:val="both"/>
        <w:rPr>
          <w:rFonts w:asciiTheme="minorHAnsi" w:hAnsiTheme="minorHAnsi"/>
        </w:rPr>
      </w:pPr>
      <w:r w:rsidRPr="00625728">
        <w:rPr>
          <w:rFonts w:asciiTheme="minorHAnsi" w:hAnsiTheme="minorHAnsi"/>
        </w:rPr>
        <w:t>This comprehensive and multi-layered research plan enabled a tho</w:t>
      </w:r>
      <w:r w:rsidR="008052E8" w:rsidRPr="00625728">
        <w:rPr>
          <w:rFonts w:asciiTheme="minorHAnsi" w:hAnsiTheme="minorHAnsi"/>
        </w:rPr>
        <w:t xml:space="preserve">rough legal </w:t>
      </w:r>
      <w:r w:rsidR="00C3036A" w:rsidRPr="00625728">
        <w:rPr>
          <w:rFonts w:asciiTheme="minorHAnsi" w:hAnsiTheme="minorHAnsi"/>
        </w:rPr>
        <w:t xml:space="preserve">analysis that </w:t>
      </w:r>
      <w:r w:rsidR="00D266B7" w:rsidRPr="00625728">
        <w:rPr>
          <w:rFonts w:asciiTheme="minorHAnsi" w:hAnsiTheme="minorHAnsi"/>
        </w:rPr>
        <w:t xml:space="preserve">addressed both doctrinal consistency and contextual relevance. By incorporating statutory </w:t>
      </w:r>
      <w:r w:rsidR="00B507CE" w:rsidRPr="00625728">
        <w:rPr>
          <w:rFonts w:asciiTheme="minorHAnsi" w:hAnsiTheme="minorHAnsi"/>
        </w:rPr>
        <w:t>law, case precedent, academic critique, and practical</w:t>
      </w:r>
      <w:r w:rsidR="00EA3877" w:rsidRPr="00625728">
        <w:rPr>
          <w:rFonts w:asciiTheme="minorHAnsi" w:hAnsiTheme="minorHAnsi"/>
        </w:rPr>
        <w:t xml:space="preserve"> </w:t>
      </w:r>
      <w:r w:rsidR="00547A40" w:rsidRPr="00625728">
        <w:rPr>
          <w:rFonts w:asciiTheme="minorHAnsi" w:hAnsiTheme="minorHAnsi"/>
        </w:rPr>
        <w:t>guidance specific to UK law</w:t>
      </w:r>
      <w:r w:rsidR="00C12E78" w:rsidRPr="00625728">
        <w:rPr>
          <w:rFonts w:asciiTheme="minorHAnsi" w:hAnsiTheme="minorHAnsi"/>
        </w:rPr>
        <w:t xml:space="preserve"> and safety regulations, the report was able to produce a </w:t>
      </w:r>
      <w:r w:rsidR="00E85FBA" w:rsidRPr="00625728">
        <w:rPr>
          <w:rFonts w:asciiTheme="minorHAnsi" w:hAnsiTheme="minorHAnsi"/>
        </w:rPr>
        <w:t>detailed</w:t>
      </w:r>
      <w:r w:rsidR="00462C18" w:rsidRPr="00625728">
        <w:rPr>
          <w:rFonts w:asciiTheme="minorHAnsi" w:hAnsiTheme="minorHAnsi"/>
        </w:rPr>
        <w:t xml:space="preserve"> and credible evaluation </w:t>
      </w:r>
      <w:r w:rsidR="007A7C99" w:rsidRPr="00625728">
        <w:rPr>
          <w:rFonts w:asciiTheme="minorHAnsi" w:hAnsiTheme="minorHAnsi"/>
        </w:rPr>
        <w:t xml:space="preserve">of the legal </w:t>
      </w:r>
      <w:r w:rsidR="00F81067" w:rsidRPr="00625728">
        <w:rPr>
          <w:rFonts w:asciiTheme="minorHAnsi" w:hAnsiTheme="minorHAnsi"/>
        </w:rPr>
        <w:t>responsibilities</w:t>
      </w:r>
      <w:r w:rsidR="007A7C99" w:rsidRPr="00625728">
        <w:rPr>
          <w:rFonts w:asciiTheme="minorHAnsi" w:hAnsiTheme="minorHAnsi"/>
        </w:rPr>
        <w:t xml:space="preserve"> </w:t>
      </w:r>
      <w:r w:rsidR="00CB67AE" w:rsidRPr="00625728">
        <w:rPr>
          <w:rFonts w:asciiTheme="minorHAnsi" w:hAnsiTheme="minorHAnsi"/>
        </w:rPr>
        <w:t xml:space="preserve">carried </w:t>
      </w:r>
      <w:r w:rsidR="007D38C5" w:rsidRPr="00625728">
        <w:rPr>
          <w:rFonts w:asciiTheme="minorHAnsi" w:hAnsiTheme="minorHAnsi"/>
        </w:rPr>
        <w:t>by Barry Bottle</w:t>
      </w:r>
      <w:r w:rsidR="00065A62" w:rsidRPr="00625728">
        <w:rPr>
          <w:rFonts w:asciiTheme="minorHAnsi" w:hAnsiTheme="minorHAnsi"/>
        </w:rPr>
        <w:t>man</w:t>
      </w:r>
      <w:r w:rsidR="00A768DE" w:rsidRPr="00625728">
        <w:rPr>
          <w:rFonts w:asciiTheme="minorHAnsi" w:hAnsiTheme="minorHAnsi"/>
        </w:rPr>
        <w:t>.</w:t>
      </w:r>
      <w:r w:rsidR="00F553CC" w:rsidRPr="00625728">
        <w:rPr>
          <w:rFonts w:asciiTheme="minorHAnsi" w:hAnsiTheme="minorHAnsi"/>
        </w:rPr>
        <w:t xml:space="preserve"> Furthermore, it set the foundation for </w:t>
      </w:r>
      <w:r w:rsidR="00567BCC" w:rsidRPr="00625728">
        <w:rPr>
          <w:rFonts w:asciiTheme="minorHAnsi" w:hAnsiTheme="minorHAnsi"/>
        </w:rPr>
        <w:t>proposing meaningful legal</w:t>
      </w:r>
      <w:r w:rsidR="00A260EC" w:rsidRPr="00625728">
        <w:rPr>
          <w:rFonts w:asciiTheme="minorHAnsi" w:hAnsiTheme="minorHAnsi"/>
        </w:rPr>
        <w:t xml:space="preserve"> reforms at preventing similar incidents in the future, thereby </w:t>
      </w:r>
      <w:r w:rsidR="00227DCD" w:rsidRPr="00625728">
        <w:rPr>
          <w:rFonts w:asciiTheme="minorHAnsi" w:hAnsiTheme="minorHAnsi"/>
        </w:rPr>
        <w:t xml:space="preserve">ensuring that the report addressed both the retrospective analysis </w:t>
      </w:r>
      <w:r w:rsidR="00922406" w:rsidRPr="00625728">
        <w:rPr>
          <w:rFonts w:asciiTheme="minorHAnsi" w:hAnsiTheme="minorHAnsi"/>
        </w:rPr>
        <w:t>of liability and the prospective improvement of public safety standards in the events industry.</w:t>
      </w:r>
    </w:p>
    <w:p w14:paraId="695FE9EA" w14:textId="77777777" w:rsidR="001A1D0A" w:rsidRPr="00625728" w:rsidRDefault="001A1D0A" w:rsidP="00D83DF5">
      <w:pPr>
        <w:jc w:val="both"/>
        <w:rPr>
          <w:rFonts w:asciiTheme="minorHAnsi" w:hAnsiTheme="minorHAnsi"/>
        </w:rPr>
      </w:pPr>
    </w:p>
    <w:p w14:paraId="7EE7E26B" w14:textId="77777777" w:rsidR="009F162A" w:rsidRPr="00625728" w:rsidRDefault="009F162A" w:rsidP="00D83DF5">
      <w:pPr>
        <w:jc w:val="both"/>
        <w:rPr>
          <w:rFonts w:asciiTheme="minorHAnsi" w:hAnsiTheme="minorHAnsi"/>
        </w:rPr>
      </w:pPr>
    </w:p>
    <w:p w14:paraId="2B8D2F91" w14:textId="37EB34AB" w:rsidR="00CD018A" w:rsidRPr="00FD5163" w:rsidRDefault="00CD018A" w:rsidP="00D83DF5">
      <w:pPr>
        <w:pStyle w:val="Heading1"/>
        <w:jc w:val="both"/>
        <w:rPr>
          <w:rFonts w:asciiTheme="minorHAnsi" w:hAnsiTheme="minorHAnsi"/>
          <w:sz w:val="32"/>
          <w:szCs w:val="32"/>
        </w:rPr>
      </w:pPr>
      <w:bookmarkStart w:id="8" w:name="_Toc197105382"/>
      <w:r w:rsidRPr="00FD5163">
        <w:rPr>
          <w:rFonts w:asciiTheme="minorHAnsi" w:hAnsiTheme="minorHAnsi"/>
          <w:sz w:val="32"/>
          <w:szCs w:val="32"/>
        </w:rPr>
        <w:t>Methodology</w:t>
      </w:r>
      <w:bookmarkEnd w:id="8"/>
      <w:r w:rsidRPr="00FD5163">
        <w:rPr>
          <w:rFonts w:asciiTheme="minorHAnsi" w:hAnsiTheme="minorHAnsi"/>
          <w:sz w:val="32"/>
          <w:szCs w:val="32"/>
        </w:rPr>
        <w:t xml:space="preserve"> </w:t>
      </w:r>
    </w:p>
    <w:p w14:paraId="5DC9E1FB" w14:textId="77777777" w:rsidR="00746FD1" w:rsidRDefault="00746FD1" w:rsidP="00D83DF5">
      <w:pPr>
        <w:jc w:val="both"/>
        <w:rPr>
          <w:rFonts w:asciiTheme="minorHAnsi" w:hAnsiTheme="minorHAnsi"/>
        </w:rPr>
      </w:pPr>
    </w:p>
    <w:p w14:paraId="0A5106A3" w14:textId="2461FA3E" w:rsidR="00930A81" w:rsidRPr="00625728" w:rsidRDefault="00E72228" w:rsidP="00D83DF5">
      <w:pPr>
        <w:jc w:val="both"/>
        <w:rPr>
          <w:rFonts w:asciiTheme="minorHAnsi" w:hAnsiTheme="minorHAnsi"/>
        </w:rPr>
      </w:pPr>
      <w:r w:rsidRPr="00625728">
        <w:rPr>
          <w:rFonts w:asciiTheme="minorHAnsi" w:hAnsiTheme="minorHAnsi"/>
        </w:rPr>
        <w:t xml:space="preserve">The mythology underpinning this report was predominantly doctrinal, grounded in the principles of black-letter legal analysis. This methodological approach was chosen to ensure that the research maintained a hight level of precision, objectivity, and </w:t>
      </w:r>
      <w:r w:rsidR="00E86E1C" w:rsidRPr="00625728">
        <w:rPr>
          <w:rFonts w:asciiTheme="minorHAnsi" w:hAnsiTheme="minorHAnsi"/>
        </w:rPr>
        <w:t xml:space="preserve">observance </w:t>
      </w:r>
      <w:r w:rsidR="00695E73" w:rsidRPr="00625728">
        <w:rPr>
          <w:rFonts w:asciiTheme="minorHAnsi" w:hAnsiTheme="minorHAnsi"/>
        </w:rPr>
        <w:t xml:space="preserve">to established legal norms. The doctrinal method involved an exhaustive, systematic review of </w:t>
      </w:r>
      <w:r w:rsidR="00CE4BBC" w:rsidRPr="00625728">
        <w:rPr>
          <w:rFonts w:asciiTheme="minorHAnsi" w:hAnsiTheme="minorHAnsi"/>
        </w:rPr>
        <w:t>authoritative primary and secondary legal materials, facili</w:t>
      </w:r>
      <w:r w:rsidR="00FB0E75" w:rsidRPr="00625728">
        <w:rPr>
          <w:rFonts w:asciiTheme="minorHAnsi" w:hAnsiTheme="minorHAnsi"/>
        </w:rPr>
        <w:t xml:space="preserve">tating the </w:t>
      </w:r>
      <w:r w:rsidR="00A11382" w:rsidRPr="00625728">
        <w:rPr>
          <w:rFonts w:asciiTheme="minorHAnsi" w:hAnsiTheme="minorHAnsi"/>
        </w:rPr>
        <w:t>construction</w:t>
      </w:r>
      <w:r w:rsidR="00FB0E75" w:rsidRPr="00625728">
        <w:rPr>
          <w:rFonts w:asciiTheme="minorHAnsi" w:hAnsiTheme="minorHAnsi"/>
        </w:rPr>
        <w:t xml:space="preserve"> of </w:t>
      </w:r>
      <w:r w:rsidR="00A11382" w:rsidRPr="00625728">
        <w:rPr>
          <w:rFonts w:asciiTheme="minorHAnsi" w:hAnsiTheme="minorHAnsi"/>
        </w:rPr>
        <w:t xml:space="preserve">a logical, evidence-based argument concerning Barry Bottleman’s potential liability. </w:t>
      </w:r>
    </w:p>
    <w:p w14:paraId="158638BF" w14:textId="44ECFC12" w:rsidR="00930A81" w:rsidRPr="00625728" w:rsidRDefault="00930A81" w:rsidP="00D83DF5">
      <w:pPr>
        <w:jc w:val="both"/>
        <w:rPr>
          <w:rFonts w:asciiTheme="minorHAnsi" w:hAnsiTheme="minorHAnsi"/>
        </w:rPr>
      </w:pPr>
      <w:r w:rsidRPr="00625728">
        <w:rPr>
          <w:rFonts w:asciiTheme="minorHAnsi" w:hAnsiTheme="minorHAnsi"/>
        </w:rPr>
        <w:t xml:space="preserve">Primary sources were </w:t>
      </w:r>
      <w:r w:rsidR="00771B5F" w:rsidRPr="00625728">
        <w:rPr>
          <w:rFonts w:asciiTheme="minorHAnsi" w:hAnsiTheme="minorHAnsi"/>
        </w:rPr>
        <w:t xml:space="preserve">carefully analysed </w:t>
      </w:r>
      <w:r w:rsidR="00513169" w:rsidRPr="00625728">
        <w:rPr>
          <w:rFonts w:asciiTheme="minorHAnsi" w:hAnsiTheme="minorHAnsi"/>
        </w:rPr>
        <w:t xml:space="preserve">to uncover the applicable legal principles governing negligence and occupiers’ liability. Key statutory </w:t>
      </w:r>
      <w:r w:rsidR="0067050E" w:rsidRPr="00625728">
        <w:rPr>
          <w:rFonts w:asciiTheme="minorHAnsi" w:hAnsiTheme="minorHAnsi"/>
        </w:rPr>
        <w:t xml:space="preserve">instruments such as the Occupiers’ Liability Act 1957 provided the statutory </w:t>
      </w:r>
      <w:r w:rsidR="00043480" w:rsidRPr="00625728">
        <w:rPr>
          <w:rFonts w:asciiTheme="minorHAnsi" w:hAnsiTheme="minorHAnsi"/>
        </w:rPr>
        <w:t xml:space="preserve">framework for evaluating </w:t>
      </w:r>
      <w:r w:rsidR="00154142" w:rsidRPr="00625728">
        <w:rPr>
          <w:rFonts w:asciiTheme="minorHAnsi" w:hAnsiTheme="minorHAnsi"/>
        </w:rPr>
        <w:t>Barry’s obligations as an event organiser. Significant judicial precedents, including Donoghue v Stevenson [19</w:t>
      </w:r>
      <w:r w:rsidR="001546DE" w:rsidRPr="00625728">
        <w:rPr>
          <w:rFonts w:asciiTheme="minorHAnsi" w:hAnsiTheme="minorHAnsi"/>
        </w:rPr>
        <w:t xml:space="preserve">32] AC 562, which established the seminal neighbour principle, and Caparo Industries v Dickman [1990] </w:t>
      </w:r>
      <w:r w:rsidR="00363A8B" w:rsidRPr="00625728">
        <w:rPr>
          <w:rFonts w:asciiTheme="minorHAnsi" w:hAnsiTheme="minorHAnsi"/>
        </w:rPr>
        <w:t>2 AC 605, which arti</w:t>
      </w:r>
      <w:r w:rsidR="00A2383E" w:rsidRPr="00625728">
        <w:rPr>
          <w:rFonts w:asciiTheme="minorHAnsi" w:hAnsiTheme="minorHAnsi"/>
        </w:rPr>
        <w:t xml:space="preserve">culated the three-fold test for imposing </w:t>
      </w:r>
      <w:r w:rsidR="007121A2" w:rsidRPr="00625728">
        <w:rPr>
          <w:rFonts w:asciiTheme="minorHAnsi" w:hAnsiTheme="minorHAnsi"/>
        </w:rPr>
        <w:t>a duty of care, were critically examined</w:t>
      </w:r>
      <w:r w:rsidR="003A3577" w:rsidRPr="00625728">
        <w:rPr>
          <w:rFonts w:asciiTheme="minorHAnsi" w:hAnsiTheme="minorHAnsi"/>
        </w:rPr>
        <w:t xml:space="preserve">. These cases served as foundational pillars for understanding the duty of care owed by organisers of public events and the standards against which breaches would be assessed. </w:t>
      </w:r>
    </w:p>
    <w:p w14:paraId="5936756C" w14:textId="77777777" w:rsidR="003A3577" w:rsidRPr="00625728" w:rsidRDefault="003A3577" w:rsidP="00D83DF5">
      <w:pPr>
        <w:jc w:val="both"/>
        <w:rPr>
          <w:rFonts w:asciiTheme="minorHAnsi" w:hAnsiTheme="minorHAnsi"/>
        </w:rPr>
      </w:pPr>
    </w:p>
    <w:p w14:paraId="51EEEBBA" w14:textId="78396DE5" w:rsidR="003A3577" w:rsidRPr="00625728" w:rsidRDefault="003A3577" w:rsidP="00D83DF5">
      <w:pPr>
        <w:jc w:val="both"/>
        <w:rPr>
          <w:rFonts w:asciiTheme="minorHAnsi" w:hAnsiTheme="minorHAnsi"/>
        </w:rPr>
      </w:pPr>
      <w:r w:rsidRPr="00625728">
        <w:rPr>
          <w:rFonts w:asciiTheme="minorHAnsi" w:hAnsiTheme="minorHAnsi"/>
        </w:rPr>
        <w:t xml:space="preserve">In addition, judicial interpretations were closely </w:t>
      </w:r>
      <w:r w:rsidR="00685E71" w:rsidRPr="00625728">
        <w:rPr>
          <w:rFonts w:asciiTheme="minorHAnsi" w:hAnsiTheme="minorHAnsi"/>
        </w:rPr>
        <w:t>exa</w:t>
      </w:r>
      <w:r w:rsidR="007310BF" w:rsidRPr="00625728">
        <w:rPr>
          <w:rFonts w:asciiTheme="minorHAnsi" w:hAnsiTheme="minorHAnsi"/>
        </w:rPr>
        <w:t xml:space="preserve">mined to appreciate the evolution and </w:t>
      </w:r>
      <w:r w:rsidR="00607CA9" w:rsidRPr="00625728">
        <w:rPr>
          <w:rFonts w:asciiTheme="minorHAnsi" w:hAnsiTheme="minorHAnsi"/>
        </w:rPr>
        <w:t>defined details within tort law, particularly</w:t>
      </w:r>
      <w:r w:rsidR="0076146A" w:rsidRPr="00625728">
        <w:rPr>
          <w:rFonts w:asciiTheme="minorHAnsi" w:hAnsiTheme="minorHAnsi"/>
        </w:rPr>
        <w:t xml:space="preserve"> concerning issues of foreseeability, causation</w:t>
      </w:r>
      <w:r w:rsidR="0019404F" w:rsidRPr="00625728">
        <w:rPr>
          <w:rFonts w:asciiTheme="minorHAnsi" w:hAnsiTheme="minorHAnsi"/>
        </w:rPr>
        <w:t xml:space="preserve">, and psychiatric injury. Case law such as Bolton v Stone </w:t>
      </w:r>
      <w:r w:rsidR="0071057F" w:rsidRPr="00625728">
        <w:rPr>
          <w:rFonts w:asciiTheme="minorHAnsi" w:hAnsiTheme="minorHAnsi"/>
        </w:rPr>
        <w:t>[1951</w:t>
      </w:r>
      <w:r w:rsidR="006A5D52" w:rsidRPr="00625728">
        <w:rPr>
          <w:rFonts w:asciiTheme="minorHAnsi" w:hAnsiTheme="minorHAnsi"/>
        </w:rPr>
        <w:t>]</w:t>
      </w:r>
      <w:r w:rsidR="0071057F" w:rsidRPr="00625728">
        <w:rPr>
          <w:rFonts w:asciiTheme="minorHAnsi" w:hAnsiTheme="minorHAnsi"/>
        </w:rPr>
        <w:t xml:space="preserve"> AC 850 </w:t>
      </w:r>
      <w:r w:rsidR="00F725B6" w:rsidRPr="00625728">
        <w:rPr>
          <w:rFonts w:asciiTheme="minorHAnsi" w:hAnsiTheme="minorHAnsi"/>
        </w:rPr>
        <w:t>duty to guard against foreseeable risks, Wagon</w:t>
      </w:r>
      <w:r w:rsidR="00896F8F" w:rsidRPr="00625728">
        <w:rPr>
          <w:rFonts w:asciiTheme="minorHAnsi" w:hAnsiTheme="minorHAnsi"/>
        </w:rPr>
        <w:t xml:space="preserve"> Mound No. 1 [19</w:t>
      </w:r>
      <w:r w:rsidR="00C81B6E" w:rsidRPr="00625728">
        <w:rPr>
          <w:rFonts w:asciiTheme="minorHAnsi" w:hAnsiTheme="minorHAnsi"/>
        </w:rPr>
        <w:t xml:space="preserve">61] </w:t>
      </w:r>
      <w:r w:rsidR="007C0647" w:rsidRPr="00625728">
        <w:rPr>
          <w:rFonts w:asciiTheme="minorHAnsi" w:hAnsiTheme="minorHAnsi"/>
        </w:rPr>
        <w:t xml:space="preserve">AC 388 </w:t>
      </w:r>
      <w:r w:rsidR="004C600A" w:rsidRPr="00625728">
        <w:rPr>
          <w:rFonts w:asciiTheme="minorHAnsi" w:hAnsiTheme="minorHAnsi"/>
        </w:rPr>
        <w:t>remo</w:t>
      </w:r>
      <w:r w:rsidR="0045557B" w:rsidRPr="00625728">
        <w:rPr>
          <w:rFonts w:asciiTheme="minorHAnsi" w:hAnsiTheme="minorHAnsi"/>
        </w:rPr>
        <w:t>teness of damage, and Alcock v Chief Con</w:t>
      </w:r>
      <w:r w:rsidR="00841C6B" w:rsidRPr="00625728">
        <w:rPr>
          <w:rFonts w:asciiTheme="minorHAnsi" w:hAnsiTheme="minorHAnsi"/>
        </w:rPr>
        <w:t xml:space="preserve">stable of South Yorkshire Police [1991] UKHL 5 </w:t>
      </w:r>
      <w:r w:rsidR="006851CF" w:rsidRPr="00625728">
        <w:rPr>
          <w:rFonts w:asciiTheme="minorHAnsi" w:hAnsiTheme="minorHAnsi"/>
        </w:rPr>
        <w:t xml:space="preserve">psychiatric harm claims were considered essential in providing a comprehensive analysis of liability </w:t>
      </w:r>
      <w:r w:rsidR="007B08D0" w:rsidRPr="00625728">
        <w:rPr>
          <w:rFonts w:asciiTheme="minorHAnsi" w:hAnsiTheme="minorHAnsi"/>
        </w:rPr>
        <w:t xml:space="preserve">in mass gathering contexts. </w:t>
      </w:r>
    </w:p>
    <w:p w14:paraId="1DE221E0" w14:textId="77777777" w:rsidR="007B08D0" w:rsidRPr="00625728" w:rsidRDefault="007B08D0" w:rsidP="00D83DF5">
      <w:pPr>
        <w:jc w:val="both"/>
        <w:rPr>
          <w:rFonts w:asciiTheme="minorHAnsi" w:hAnsiTheme="minorHAnsi"/>
        </w:rPr>
      </w:pPr>
    </w:p>
    <w:p w14:paraId="7B1123D6" w14:textId="2FED5B43" w:rsidR="00FD58CC" w:rsidRPr="00625728" w:rsidRDefault="007B08D0" w:rsidP="00D83DF5">
      <w:pPr>
        <w:jc w:val="both"/>
        <w:rPr>
          <w:rFonts w:asciiTheme="minorHAnsi" w:hAnsiTheme="minorHAnsi"/>
        </w:rPr>
      </w:pPr>
      <w:r w:rsidRPr="00625728">
        <w:rPr>
          <w:rFonts w:asciiTheme="minorHAnsi" w:hAnsiTheme="minorHAnsi"/>
        </w:rPr>
        <w:t>Secondary, sources played a vital role in supplementing the primary legal analysis. Academic</w:t>
      </w:r>
      <w:r w:rsidR="0036090A" w:rsidRPr="00625728">
        <w:rPr>
          <w:rFonts w:asciiTheme="minorHAnsi" w:hAnsiTheme="minorHAnsi"/>
        </w:rPr>
        <w:t xml:space="preserve"> textbooks, notably Markesinis </w:t>
      </w:r>
      <w:r w:rsidR="00EE7281" w:rsidRPr="00625728">
        <w:rPr>
          <w:rFonts w:asciiTheme="minorHAnsi" w:hAnsiTheme="minorHAnsi"/>
        </w:rPr>
        <w:t>and Deakin’s Tort Law</w:t>
      </w:r>
      <w:r w:rsidR="006D441E" w:rsidRPr="00625728">
        <w:rPr>
          <w:rFonts w:asciiTheme="minorHAnsi" w:hAnsiTheme="minorHAnsi"/>
        </w:rPr>
        <w:t xml:space="preserve"> offered theoretical insights and critical evaluations </w:t>
      </w:r>
      <w:r w:rsidR="00143CD9" w:rsidRPr="00625728">
        <w:rPr>
          <w:rFonts w:asciiTheme="minorHAnsi" w:hAnsiTheme="minorHAnsi"/>
        </w:rPr>
        <w:t xml:space="preserve">of tort law principles. </w:t>
      </w:r>
      <w:r w:rsidR="001A4DBA" w:rsidRPr="00625728">
        <w:rPr>
          <w:rFonts w:asciiTheme="minorHAnsi" w:hAnsiTheme="minorHAnsi"/>
        </w:rPr>
        <w:t>Peer</w:t>
      </w:r>
      <w:r w:rsidR="00ED1D2F" w:rsidRPr="00625728">
        <w:rPr>
          <w:rFonts w:asciiTheme="minorHAnsi" w:hAnsiTheme="minorHAnsi"/>
        </w:rPr>
        <w:t>-</w:t>
      </w:r>
      <w:r w:rsidR="0033650A" w:rsidRPr="00625728">
        <w:rPr>
          <w:rFonts w:asciiTheme="minorHAnsi" w:hAnsiTheme="minorHAnsi"/>
        </w:rPr>
        <w:t>reviewed jo</w:t>
      </w:r>
      <w:r w:rsidR="00164AAF" w:rsidRPr="00625728">
        <w:rPr>
          <w:rFonts w:asciiTheme="minorHAnsi" w:hAnsiTheme="minorHAnsi"/>
        </w:rPr>
        <w:t xml:space="preserve">urnal articles from the Journal of Personal Injury Law and recent commentary on public event safety were </w:t>
      </w:r>
      <w:r w:rsidR="00D50C5F" w:rsidRPr="00625728">
        <w:rPr>
          <w:rFonts w:asciiTheme="minorHAnsi" w:hAnsiTheme="minorHAnsi"/>
        </w:rPr>
        <w:t>rigorously consulted to incor</w:t>
      </w:r>
      <w:r w:rsidR="00E37981" w:rsidRPr="00625728">
        <w:rPr>
          <w:rFonts w:asciiTheme="minorHAnsi" w:hAnsiTheme="minorHAnsi"/>
        </w:rPr>
        <w:t xml:space="preserve">porate </w:t>
      </w:r>
      <w:r w:rsidR="00FD58CC" w:rsidRPr="00625728">
        <w:rPr>
          <w:rFonts w:asciiTheme="minorHAnsi" w:hAnsiTheme="minorHAnsi"/>
        </w:rPr>
        <w:t xml:space="preserve">contemporary perspectives and highlight practical challenges in applying legal standards to dynamic, large-scale events. These academic resources ensured that the analysis was both sound and </w:t>
      </w:r>
      <w:r w:rsidR="00D81C2E" w:rsidRPr="00625728">
        <w:rPr>
          <w:rFonts w:asciiTheme="minorHAnsi" w:hAnsiTheme="minorHAnsi"/>
        </w:rPr>
        <w:t xml:space="preserve">attended to emerging trends and debates within the field. </w:t>
      </w:r>
    </w:p>
    <w:p w14:paraId="16333227" w14:textId="77777777" w:rsidR="00D81C2E" w:rsidRPr="00625728" w:rsidRDefault="00D81C2E" w:rsidP="00D83DF5">
      <w:pPr>
        <w:jc w:val="both"/>
        <w:rPr>
          <w:rFonts w:asciiTheme="minorHAnsi" w:hAnsiTheme="minorHAnsi"/>
        </w:rPr>
      </w:pPr>
    </w:p>
    <w:p w14:paraId="389218C5" w14:textId="569FC154" w:rsidR="00D81C2E" w:rsidRPr="00625728" w:rsidRDefault="00E63671" w:rsidP="00D83DF5">
      <w:pPr>
        <w:jc w:val="both"/>
        <w:rPr>
          <w:rFonts w:asciiTheme="minorHAnsi" w:hAnsiTheme="minorHAnsi"/>
        </w:rPr>
      </w:pPr>
      <w:r w:rsidRPr="00625728">
        <w:rPr>
          <w:rFonts w:asciiTheme="minorHAnsi" w:hAnsiTheme="minorHAnsi"/>
          <w:color w:val="000000"/>
        </w:rPr>
        <w:t>In recognition of the importance of a comparative dimension, the research incorporated an analysis of regulatory frameworks operative within the United Kingdom, with particular emphasis on the Health and Safety at Work etc. Act 1974. This statute imposes a general duty upon employers and event organizers to secure, so far as is reasonably practicable, the health, safety, and welfare of individuals attending their premises or activities. The Act requires the undertaking of comprehensive risk assessments, the proactive identification of hazards, and the implementation of appropriate control measures. Its focus on preventive strategies and the enhancement of organizational accountability was examined to provide alternative methodologies for improving public safety and reinforcing the responsibilities of event organizers.</w:t>
      </w:r>
    </w:p>
    <w:p w14:paraId="0BF0D9B0" w14:textId="0D9070E7" w:rsidR="00361A8A" w:rsidRPr="00625728" w:rsidRDefault="00921D9B" w:rsidP="00D83DF5">
      <w:pPr>
        <w:jc w:val="both"/>
        <w:rPr>
          <w:rFonts w:asciiTheme="minorHAnsi" w:hAnsiTheme="minorHAnsi"/>
          <w:color w:val="000000"/>
        </w:rPr>
      </w:pPr>
      <w:r w:rsidRPr="00625728">
        <w:rPr>
          <w:rFonts w:asciiTheme="minorHAnsi" w:hAnsiTheme="minorHAnsi"/>
          <w:color w:val="000000"/>
        </w:rPr>
        <w:lastRenderedPageBreak/>
        <w:t>A structured methodology, aligned with the conventions of UK legal writing, was adopted, employing the IRAC (Issue, Rule, Application, Conclusion) framework to ensure the coherent and logical development of arguments. The IRAC method, widely recognized within UK legal education and professional practice, facilitates clarity, analytical rigor, and systematic reasoning. Accordingly, each legal issue arising from the "Time Stomp" incident was addressed in a methodical manner: the pertinent legal principles were identified, critically examined with reference to relevant statutes and case law, and applied directly to the factual matrix, culminating in a reasoned and evidence-based conclusion.</w:t>
      </w:r>
    </w:p>
    <w:p w14:paraId="3F076108" w14:textId="77777777" w:rsidR="00F95DAD" w:rsidRPr="00625728" w:rsidRDefault="00F95DAD" w:rsidP="00D83DF5">
      <w:pPr>
        <w:pStyle w:val="NormalWeb"/>
        <w:jc w:val="both"/>
        <w:rPr>
          <w:rFonts w:asciiTheme="minorHAnsi" w:hAnsiTheme="minorHAnsi"/>
          <w:color w:val="000000"/>
        </w:rPr>
      </w:pPr>
      <w:r w:rsidRPr="00625728">
        <w:rPr>
          <w:rFonts w:asciiTheme="minorHAnsi" w:hAnsiTheme="minorHAnsi"/>
          <w:color w:val="000000"/>
        </w:rPr>
        <w:t>Overall, the doctrinal research methodology enabled a thorough, balanced, and legally robust examination of the issues at hand, culminating in well-supported conclusions regarding Barry Bottleman's potential liability and the necessary legal reforms to prevent future tragedies at public events.</w:t>
      </w:r>
    </w:p>
    <w:p w14:paraId="4E8828ED" w14:textId="1D6E212B" w:rsidR="006C664D" w:rsidRPr="00625728" w:rsidRDefault="007D1861" w:rsidP="00D83DF5">
      <w:pPr>
        <w:pStyle w:val="NormalWeb"/>
        <w:jc w:val="both"/>
        <w:rPr>
          <w:rFonts w:asciiTheme="minorHAnsi" w:hAnsiTheme="minorHAnsi"/>
          <w:color w:val="000000"/>
        </w:rPr>
      </w:pPr>
      <w:r w:rsidRPr="00625728">
        <w:rPr>
          <w:rFonts w:asciiTheme="minorHAnsi" w:hAnsiTheme="minorHAnsi"/>
          <w:color w:val="000000"/>
        </w:rPr>
        <w:t>T</w:t>
      </w:r>
      <w:r w:rsidR="00685151" w:rsidRPr="00625728">
        <w:rPr>
          <w:rFonts w:asciiTheme="minorHAnsi" w:hAnsiTheme="minorHAnsi"/>
          <w:color w:val="000000"/>
        </w:rPr>
        <w:t xml:space="preserve">o ensure that the legal arguments presented throughout this report met the standards of academic and professional </w:t>
      </w:r>
      <w:r w:rsidR="00FC57F5" w:rsidRPr="00625728">
        <w:rPr>
          <w:rFonts w:asciiTheme="minorHAnsi" w:hAnsiTheme="minorHAnsi"/>
          <w:color w:val="000000"/>
        </w:rPr>
        <w:t>methodical approach expected within the United Kingdom</w:t>
      </w:r>
      <w:r w:rsidR="00A1616E" w:rsidRPr="00625728">
        <w:rPr>
          <w:rFonts w:asciiTheme="minorHAnsi" w:hAnsiTheme="minorHAnsi"/>
          <w:color w:val="000000"/>
        </w:rPr>
        <w:t xml:space="preserve">, a structured analytical approach was adopted using THE IRAC which means Issue, Rule, Application </w:t>
      </w:r>
      <w:r w:rsidR="00291F31" w:rsidRPr="00625728">
        <w:rPr>
          <w:rFonts w:asciiTheme="minorHAnsi" w:hAnsiTheme="minorHAnsi"/>
          <w:color w:val="000000"/>
        </w:rPr>
        <w:t xml:space="preserve">and Conclusion methodology. </w:t>
      </w:r>
      <w:r w:rsidR="00834736" w:rsidRPr="00625728">
        <w:rPr>
          <w:rFonts w:asciiTheme="minorHAnsi" w:hAnsiTheme="minorHAnsi"/>
          <w:color w:val="000000"/>
        </w:rPr>
        <w:t>This framework faci</w:t>
      </w:r>
      <w:r w:rsidR="00264771" w:rsidRPr="00625728">
        <w:rPr>
          <w:rFonts w:asciiTheme="minorHAnsi" w:hAnsiTheme="minorHAnsi"/>
          <w:color w:val="000000"/>
        </w:rPr>
        <w:t>litated a logical, well structured,</w:t>
      </w:r>
      <w:r w:rsidR="00420CD0" w:rsidRPr="00625728">
        <w:rPr>
          <w:rFonts w:asciiTheme="minorHAnsi" w:hAnsiTheme="minorHAnsi"/>
          <w:color w:val="000000"/>
        </w:rPr>
        <w:t xml:space="preserve"> and methodical organisation of legal reasoning, allowing for complex tort law principles to be applied</w:t>
      </w:r>
      <w:r w:rsidR="0017364E" w:rsidRPr="00625728">
        <w:rPr>
          <w:rFonts w:asciiTheme="minorHAnsi" w:hAnsiTheme="minorHAnsi"/>
          <w:color w:val="000000"/>
        </w:rPr>
        <w:t xml:space="preserve"> clearly and effectively to the factual matrix of the Time Stomp festival incident. The IRAC method, widely employed across UK legal education </w:t>
      </w:r>
      <w:r w:rsidR="009B6826" w:rsidRPr="00625728">
        <w:rPr>
          <w:rFonts w:asciiTheme="minorHAnsi" w:hAnsiTheme="minorHAnsi"/>
          <w:color w:val="000000"/>
        </w:rPr>
        <w:t>and practice, supported the objective of maintaining a high standard of clarity, analytical depth, and practical relevance throughout the report.</w:t>
      </w:r>
    </w:p>
    <w:p w14:paraId="550F5FF2" w14:textId="77777777" w:rsidR="009B6826" w:rsidRPr="00625728" w:rsidRDefault="009B6826" w:rsidP="00D83DF5">
      <w:pPr>
        <w:pStyle w:val="NormalWeb"/>
        <w:jc w:val="both"/>
        <w:rPr>
          <w:rFonts w:asciiTheme="minorHAnsi" w:hAnsiTheme="minorHAnsi"/>
          <w:color w:val="000000"/>
        </w:rPr>
      </w:pPr>
    </w:p>
    <w:p w14:paraId="59793622" w14:textId="77777777" w:rsidR="00DF6673" w:rsidRPr="00625728" w:rsidRDefault="00DF6673" w:rsidP="00D83DF5">
      <w:pPr>
        <w:jc w:val="both"/>
        <w:rPr>
          <w:rFonts w:asciiTheme="minorHAnsi" w:hAnsiTheme="minorHAnsi"/>
          <w:color w:val="000000"/>
        </w:rPr>
      </w:pPr>
    </w:p>
    <w:p w14:paraId="21BF5747" w14:textId="77777777" w:rsidR="00DF6673" w:rsidRPr="00625728" w:rsidRDefault="00DF6673" w:rsidP="00D83DF5">
      <w:pPr>
        <w:jc w:val="both"/>
        <w:rPr>
          <w:rFonts w:asciiTheme="minorHAnsi" w:hAnsiTheme="minorHAnsi"/>
        </w:rPr>
      </w:pPr>
    </w:p>
    <w:p w14:paraId="1D1D2D93" w14:textId="59268532" w:rsidR="00361A8A" w:rsidRPr="00FD5163" w:rsidRDefault="00361A8A" w:rsidP="00D83DF5">
      <w:pPr>
        <w:pStyle w:val="Heading1"/>
        <w:jc w:val="both"/>
        <w:rPr>
          <w:rFonts w:asciiTheme="minorHAnsi" w:hAnsiTheme="minorHAnsi"/>
          <w:sz w:val="32"/>
          <w:szCs w:val="32"/>
        </w:rPr>
      </w:pPr>
      <w:bookmarkStart w:id="9" w:name="_Toc197105383"/>
      <w:r w:rsidRPr="00FD5163">
        <w:rPr>
          <w:rFonts w:asciiTheme="minorHAnsi" w:hAnsiTheme="minorHAnsi"/>
          <w:sz w:val="32"/>
          <w:szCs w:val="32"/>
        </w:rPr>
        <w:t>Research and Findings</w:t>
      </w:r>
      <w:bookmarkEnd w:id="9"/>
      <w:r w:rsidRPr="00FD5163">
        <w:rPr>
          <w:rFonts w:asciiTheme="minorHAnsi" w:hAnsiTheme="minorHAnsi"/>
          <w:sz w:val="32"/>
          <w:szCs w:val="32"/>
        </w:rPr>
        <w:t xml:space="preserve"> </w:t>
      </w:r>
    </w:p>
    <w:p w14:paraId="4156FE8B" w14:textId="77BBC712" w:rsidR="00361A8A" w:rsidRPr="00625728" w:rsidRDefault="00361A8A" w:rsidP="00D83DF5">
      <w:pPr>
        <w:jc w:val="both"/>
        <w:rPr>
          <w:rFonts w:asciiTheme="minorHAnsi" w:hAnsiTheme="minorHAnsi"/>
        </w:rPr>
      </w:pPr>
    </w:p>
    <w:p w14:paraId="54C02176" w14:textId="77777777" w:rsidR="002E1F70" w:rsidRPr="00625728" w:rsidRDefault="00AC472C" w:rsidP="00D83DF5">
      <w:pPr>
        <w:jc w:val="both"/>
        <w:rPr>
          <w:rFonts w:asciiTheme="minorHAnsi" w:hAnsiTheme="minorHAnsi"/>
        </w:rPr>
      </w:pPr>
      <w:r w:rsidRPr="00625728">
        <w:rPr>
          <w:rFonts w:asciiTheme="minorHAnsi" w:hAnsiTheme="minorHAnsi"/>
        </w:rPr>
        <w:t xml:space="preserve">Under the three stage Caparo test, a duty of care is owed where harm is foreseeable there is proximity between the parties, and it is fair, and reasonable to impose a duty. All these criteria are satisfied in this </w:t>
      </w:r>
      <w:r w:rsidR="003B122C" w:rsidRPr="00625728">
        <w:rPr>
          <w:rFonts w:asciiTheme="minorHAnsi" w:hAnsiTheme="minorHAnsi"/>
        </w:rPr>
        <w:t xml:space="preserve">case. </w:t>
      </w:r>
      <w:r w:rsidR="00981180" w:rsidRPr="00625728">
        <w:rPr>
          <w:rFonts w:asciiTheme="minorHAnsi" w:hAnsiTheme="minorHAnsi"/>
        </w:rPr>
        <w:t xml:space="preserve">The first would be foreseeability which is the use of pyrotechnics in a crowded environment creates an obvious risk. The malfunction and subsequent panic were foreseeable. Second will be </w:t>
      </w:r>
      <w:r w:rsidR="00015C26" w:rsidRPr="00625728">
        <w:rPr>
          <w:rFonts w:asciiTheme="minorHAnsi" w:hAnsiTheme="minorHAnsi"/>
        </w:rPr>
        <w:t>proximity,</w:t>
      </w:r>
      <w:r w:rsidR="00981180" w:rsidRPr="00625728">
        <w:rPr>
          <w:rFonts w:asciiTheme="minorHAnsi" w:hAnsiTheme="minorHAnsi"/>
        </w:rPr>
        <w:t xml:space="preserve"> </w:t>
      </w:r>
      <w:r w:rsidR="00015C26" w:rsidRPr="00625728">
        <w:rPr>
          <w:rFonts w:asciiTheme="minorHAnsi" w:hAnsiTheme="minorHAnsi"/>
        </w:rPr>
        <w:t xml:space="preserve">which is that Barry, as the event organizer, had a direct relationship with attendees. Furthermore, fairness would be another as the primary authority responsible for the event, it is fair to expect Barry to uphold a high </w:t>
      </w:r>
      <w:r w:rsidR="00277C4B" w:rsidRPr="00625728">
        <w:rPr>
          <w:rFonts w:asciiTheme="minorHAnsi" w:hAnsiTheme="minorHAnsi"/>
        </w:rPr>
        <w:t xml:space="preserve">standard of care. </w:t>
      </w:r>
      <w:r w:rsidR="003E3FF6" w:rsidRPr="00625728">
        <w:rPr>
          <w:rFonts w:asciiTheme="minorHAnsi" w:hAnsiTheme="minorHAnsi"/>
        </w:rPr>
        <w:t xml:space="preserve">The standard of care, obtained from Blyth v Birmingham Waterworks, requires the reasonable person to anticipate and prevent likely harms. The lack of sufficient emergency planning, crowd control, and fireworks safety oversight clearly fell short of this standard. </w:t>
      </w:r>
      <w:r w:rsidR="00D979A8" w:rsidRPr="00625728">
        <w:rPr>
          <w:rFonts w:asciiTheme="minorHAnsi" w:hAnsiTheme="minorHAnsi"/>
        </w:rPr>
        <w:t xml:space="preserve">Barry must be proven to have owed a duty of care, that duty was broken, and that the plaintiffs suffered predictable harm as a result of the breach in order for his negligence responsibility to be demonstrated. </w:t>
      </w:r>
    </w:p>
    <w:p w14:paraId="01E52891" w14:textId="77777777" w:rsidR="002E1F70" w:rsidRPr="00625728" w:rsidRDefault="002E1F70" w:rsidP="00D83DF5">
      <w:pPr>
        <w:jc w:val="both"/>
        <w:rPr>
          <w:rFonts w:asciiTheme="minorHAnsi" w:hAnsiTheme="minorHAnsi"/>
        </w:rPr>
      </w:pPr>
    </w:p>
    <w:p w14:paraId="1382E8B2" w14:textId="77777777" w:rsidR="002E1F70" w:rsidRPr="00625728" w:rsidRDefault="002E1F70" w:rsidP="00D83DF5">
      <w:pPr>
        <w:jc w:val="both"/>
        <w:rPr>
          <w:rFonts w:asciiTheme="minorHAnsi" w:hAnsiTheme="minorHAnsi"/>
        </w:rPr>
      </w:pPr>
    </w:p>
    <w:p w14:paraId="76192238" w14:textId="2025A346" w:rsidR="00064E13" w:rsidRPr="00625728" w:rsidRDefault="00623F49" w:rsidP="00D83DF5">
      <w:pPr>
        <w:jc w:val="both"/>
        <w:rPr>
          <w:rFonts w:asciiTheme="minorHAnsi" w:hAnsiTheme="minorHAnsi"/>
        </w:rPr>
      </w:pPr>
      <w:r w:rsidRPr="00625728">
        <w:rPr>
          <w:rFonts w:asciiTheme="minorHAnsi" w:hAnsiTheme="minorHAnsi"/>
        </w:rPr>
        <w:t xml:space="preserve">Starting in Donoghue v Stevenson </w:t>
      </w:r>
      <w:r w:rsidR="00D829D0" w:rsidRPr="00625728">
        <w:rPr>
          <w:rFonts w:asciiTheme="minorHAnsi" w:hAnsiTheme="minorHAnsi"/>
        </w:rPr>
        <w:t xml:space="preserve">[1932] AC 562, this three-part framework is still essential to contemporary negligence law. </w:t>
      </w:r>
      <w:r w:rsidR="00DF103C" w:rsidRPr="00625728">
        <w:rPr>
          <w:rFonts w:asciiTheme="minorHAnsi" w:hAnsiTheme="minorHAnsi"/>
        </w:rPr>
        <w:t>According to Lord Arkin’s</w:t>
      </w:r>
      <w:r w:rsidR="005B205F" w:rsidRPr="00625728">
        <w:rPr>
          <w:rFonts w:asciiTheme="minorHAnsi" w:hAnsiTheme="minorHAnsi"/>
        </w:rPr>
        <w:t xml:space="preserve"> neighbour principle, which was established in that historic case, one must exercise reasonable caution to refrain from doing anything that could harm one’s neighbour, who is defined as the person who is most directly and intimately impacted by one’s </w:t>
      </w:r>
      <w:r w:rsidR="00D61683" w:rsidRPr="00625728">
        <w:rPr>
          <w:rFonts w:asciiTheme="minorHAnsi" w:hAnsiTheme="minorHAnsi"/>
        </w:rPr>
        <w:t xml:space="preserve">conduct. There is no question that Barry owed visitors a duty of care in the setting of a public event like Time Stomp. Public event planners are supposed to take proactive measures to guarantee </w:t>
      </w:r>
      <w:r w:rsidR="00162FA4" w:rsidRPr="00625728">
        <w:rPr>
          <w:rFonts w:asciiTheme="minorHAnsi" w:hAnsiTheme="minorHAnsi"/>
        </w:rPr>
        <w:t xml:space="preserve">attendees’ safety. In Caparo Industries plc v. Dickman [1990] 2 AC 605, The House of Lords developed a more advanced three-part test for determine duty and the first is the harm must be foreseeable; second, the parties must have a close relationship; and third, the imposition of a duty must be fair, just, and reasonable. This further strengthened the principle. In this case, all of thwse requirements are met. </w:t>
      </w:r>
    </w:p>
    <w:p w14:paraId="42E5A601" w14:textId="77777777" w:rsidR="00064E13" w:rsidRPr="00625728" w:rsidRDefault="00064E13" w:rsidP="00D83DF5">
      <w:pPr>
        <w:jc w:val="both"/>
        <w:rPr>
          <w:rFonts w:asciiTheme="minorHAnsi" w:hAnsiTheme="minorHAnsi"/>
        </w:rPr>
      </w:pPr>
    </w:p>
    <w:p w14:paraId="3C5330BF" w14:textId="77777777" w:rsidR="00CE08E8" w:rsidRPr="00625728" w:rsidRDefault="00CE08E8" w:rsidP="00D83DF5">
      <w:pPr>
        <w:jc w:val="both"/>
        <w:rPr>
          <w:rFonts w:asciiTheme="minorHAnsi" w:hAnsiTheme="minorHAnsi"/>
        </w:rPr>
      </w:pPr>
    </w:p>
    <w:p w14:paraId="5E89D776" w14:textId="2D05614A" w:rsidR="00AC472C" w:rsidRPr="00625728" w:rsidRDefault="00064E13" w:rsidP="00D83DF5">
      <w:pPr>
        <w:jc w:val="both"/>
        <w:rPr>
          <w:rFonts w:asciiTheme="minorHAnsi" w:hAnsiTheme="minorHAnsi"/>
        </w:rPr>
      </w:pPr>
      <w:r w:rsidRPr="00625728">
        <w:rPr>
          <w:rFonts w:asciiTheme="minorHAnsi" w:hAnsiTheme="minorHAnsi"/>
        </w:rPr>
        <w:lastRenderedPageBreak/>
        <w:t>Firstly, it is likely that there could be fatalities or major injuries if emergency protocols, crowd management, and fireworks displays are not properly handled. Secondly, Barry’s relationship with the festival attendees is obviously close, he charged them to enter, invited them into the location, and took charge of the event. Lastly, it is perfectly acceptable, fair, and equitable to place a duty on someone who has voluntarily taken responsibility for a potentially dangerous public event. Barry should act with the same level of causation as a reasonable event planner in the similar situation. The well-known definition of negligence in Bly</w:t>
      </w:r>
      <w:r w:rsidR="004867F6" w:rsidRPr="00625728">
        <w:rPr>
          <w:rFonts w:asciiTheme="minorHAnsi" w:hAnsiTheme="minorHAnsi"/>
        </w:rPr>
        <w:t xml:space="preserve">th v. Birmingham Waterworks Co. (1856) 11 Ex 781 was the failure to take a reasonable action or the taking of an action that a wise and reasonable man would not take. Because of this, Barry’s behaviour needs to be evaluated in light of risk assessment, industry regulations, and fundamental safety guidelines for public gatherings. </w:t>
      </w:r>
      <w:r w:rsidR="0073785D" w:rsidRPr="00625728">
        <w:rPr>
          <w:rFonts w:asciiTheme="minorHAnsi" w:hAnsiTheme="minorHAnsi"/>
        </w:rPr>
        <w:t xml:space="preserve">Evidence in this case indicates that Barry did not use crowd control techniques, verify that fire escape routes were clear, or include qualified safety professionals. These failings point to a serious duty violation. Even low probability incidents need to be avoided when there is a significant risk of injury, as the case of Bolton v. Stone [1951] AC 850 shows. The chance of injury was not remote nor unexpected given the explosive mix of fireworks, alcohol, </w:t>
      </w:r>
      <w:r w:rsidR="00184971" w:rsidRPr="00625728">
        <w:rPr>
          <w:rFonts w:asciiTheme="minorHAnsi" w:hAnsiTheme="minorHAnsi"/>
        </w:rPr>
        <w:t>and</w:t>
      </w:r>
      <w:r w:rsidR="0073785D" w:rsidRPr="00625728">
        <w:rPr>
          <w:rFonts w:asciiTheme="minorHAnsi" w:hAnsiTheme="minorHAnsi"/>
        </w:rPr>
        <w:t xml:space="preserve"> crowded areas. </w:t>
      </w:r>
    </w:p>
    <w:p w14:paraId="3D9ACFE8" w14:textId="77777777" w:rsidR="00134650" w:rsidRPr="00625728" w:rsidRDefault="00134650" w:rsidP="00D83DF5">
      <w:pPr>
        <w:jc w:val="both"/>
        <w:rPr>
          <w:rFonts w:asciiTheme="minorHAnsi" w:hAnsiTheme="minorHAnsi"/>
        </w:rPr>
      </w:pPr>
    </w:p>
    <w:p w14:paraId="476F2651" w14:textId="77777777" w:rsidR="00470893" w:rsidRPr="00625728" w:rsidRDefault="00470893" w:rsidP="00D83DF5">
      <w:pPr>
        <w:jc w:val="both"/>
        <w:rPr>
          <w:rFonts w:asciiTheme="minorHAnsi" w:hAnsiTheme="minorHAnsi"/>
        </w:rPr>
      </w:pPr>
    </w:p>
    <w:p w14:paraId="2471239F" w14:textId="4F068027" w:rsidR="00134650" w:rsidRPr="00625728" w:rsidRDefault="00134650" w:rsidP="00D83DF5">
      <w:pPr>
        <w:jc w:val="both"/>
        <w:rPr>
          <w:rFonts w:asciiTheme="minorHAnsi" w:hAnsiTheme="minorHAnsi"/>
        </w:rPr>
      </w:pPr>
      <w:r w:rsidRPr="00625728">
        <w:rPr>
          <w:rFonts w:asciiTheme="minorHAnsi" w:hAnsiTheme="minorHAnsi"/>
        </w:rPr>
        <w:t xml:space="preserve">Additionally, causation must be proven in both law and fact. If Barry has taken reasonable precautions, like hiring professional pyrotechnicians, setting up secure viewing areas, or having trained administrators at the location, the risk of injury would have most likely been significantly lower. </w:t>
      </w:r>
      <w:r w:rsidR="00283D98" w:rsidRPr="00625728">
        <w:rPr>
          <w:rFonts w:asciiTheme="minorHAnsi" w:hAnsiTheme="minorHAnsi"/>
        </w:rPr>
        <w:t xml:space="preserve">Furthermore, the damage must not be a significant distance away, according </w:t>
      </w:r>
      <w:r w:rsidR="006F0F11" w:rsidRPr="00625728">
        <w:rPr>
          <w:rFonts w:asciiTheme="minorHAnsi" w:hAnsiTheme="minorHAnsi"/>
        </w:rPr>
        <w:t xml:space="preserve">to the decision in The Wagon Mound (No. 1) [1961] AC 388, liability may only be shown for damage that was fairly anticipated. This instance is hardly because trampling and firework injuries are both common hazards at crowded social events. </w:t>
      </w:r>
      <w:r w:rsidR="00040CB7" w:rsidRPr="00625728">
        <w:rPr>
          <w:rFonts w:asciiTheme="minorHAnsi" w:hAnsiTheme="minorHAnsi"/>
        </w:rPr>
        <w:t>The number of victims does not reduce Barry’s responsibility. In Haley v London Electricity Board [1965] AC 778, the House of Lords determined that duty of care must include all foreseeable consumers of a location, including those who are vulnerable. Barry’s gross irresponsibility harmed all attendees, including young people to older people.</w:t>
      </w:r>
      <w:r w:rsidR="00470893" w:rsidRPr="00625728">
        <w:rPr>
          <w:rFonts w:asciiTheme="minorHAnsi" w:hAnsiTheme="minorHAnsi"/>
        </w:rPr>
        <w:t xml:space="preserve"> In summary, Barry’s numerous safety oversights were a clear breaking of his duty oof care to festival attendees. The injury that ensued was both predictable and causally related to his actions. Therefore, Barry is subject to substantial liability for the terrible consequences of the Time Stomp incident, as all elements of negligence seem to have been met. </w:t>
      </w:r>
    </w:p>
    <w:p w14:paraId="7E735F1E" w14:textId="77777777" w:rsidR="00361A8A" w:rsidRPr="00625728" w:rsidRDefault="00361A8A" w:rsidP="00D83DF5">
      <w:pPr>
        <w:jc w:val="both"/>
        <w:rPr>
          <w:rFonts w:asciiTheme="minorHAnsi" w:hAnsiTheme="minorHAnsi"/>
        </w:rPr>
      </w:pPr>
    </w:p>
    <w:p w14:paraId="60D3279F" w14:textId="77777777" w:rsidR="00361A8A" w:rsidRPr="00625728" w:rsidRDefault="00361A8A" w:rsidP="00D83DF5">
      <w:pPr>
        <w:jc w:val="both"/>
        <w:rPr>
          <w:rFonts w:asciiTheme="minorHAnsi" w:hAnsiTheme="minorHAnsi"/>
        </w:rPr>
      </w:pPr>
    </w:p>
    <w:p w14:paraId="6CFE2F00" w14:textId="77777777" w:rsidR="00361A8A" w:rsidRPr="00625728" w:rsidRDefault="00361A8A" w:rsidP="00D83DF5">
      <w:pPr>
        <w:jc w:val="both"/>
        <w:rPr>
          <w:rFonts w:asciiTheme="minorHAnsi" w:hAnsiTheme="minorHAnsi"/>
        </w:rPr>
      </w:pPr>
    </w:p>
    <w:p w14:paraId="29362DAC" w14:textId="77777777" w:rsidR="00361A8A" w:rsidRPr="00625728" w:rsidRDefault="00361A8A" w:rsidP="00D83DF5">
      <w:pPr>
        <w:jc w:val="both"/>
        <w:rPr>
          <w:rFonts w:asciiTheme="minorHAnsi" w:hAnsiTheme="minorHAnsi"/>
        </w:rPr>
      </w:pPr>
    </w:p>
    <w:p w14:paraId="5F8FCF55" w14:textId="4548B574" w:rsidR="00361A8A" w:rsidRPr="00FD5163" w:rsidRDefault="00361A8A" w:rsidP="00D83DF5">
      <w:pPr>
        <w:pStyle w:val="Heading1"/>
        <w:jc w:val="both"/>
        <w:rPr>
          <w:rFonts w:asciiTheme="minorHAnsi" w:hAnsiTheme="minorHAnsi"/>
          <w:sz w:val="32"/>
          <w:szCs w:val="32"/>
        </w:rPr>
      </w:pPr>
      <w:bookmarkStart w:id="10" w:name="_Toc197105384"/>
      <w:r w:rsidRPr="00FD5163">
        <w:rPr>
          <w:rFonts w:asciiTheme="minorHAnsi" w:hAnsiTheme="minorHAnsi"/>
          <w:sz w:val="32"/>
          <w:szCs w:val="32"/>
        </w:rPr>
        <w:t>Reform Suggestions</w:t>
      </w:r>
      <w:bookmarkEnd w:id="10"/>
      <w:r w:rsidRPr="00FD5163">
        <w:rPr>
          <w:rFonts w:asciiTheme="minorHAnsi" w:hAnsiTheme="minorHAnsi"/>
          <w:sz w:val="32"/>
          <w:szCs w:val="32"/>
        </w:rPr>
        <w:t xml:space="preserve"> </w:t>
      </w:r>
    </w:p>
    <w:p w14:paraId="12679ABE" w14:textId="77777777" w:rsidR="00746FD1" w:rsidRDefault="00746FD1" w:rsidP="00D83DF5">
      <w:pPr>
        <w:jc w:val="both"/>
        <w:rPr>
          <w:rFonts w:asciiTheme="minorHAnsi" w:hAnsiTheme="minorHAnsi"/>
        </w:rPr>
      </w:pPr>
    </w:p>
    <w:p w14:paraId="1025A0AE" w14:textId="50100A4A" w:rsidR="00361A8A" w:rsidRPr="00625728" w:rsidRDefault="00762EE8" w:rsidP="00D83DF5">
      <w:pPr>
        <w:jc w:val="both"/>
        <w:rPr>
          <w:rFonts w:asciiTheme="minorHAnsi" w:hAnsiTheme="minorHAnsi"/>
        </w:rPr>
      </w:pPr>
      <w:r w:rsidRPr="00625728">
        <w:rPr>
          <w:rFonts w:asciiTheme="minorHAnsi" w:hAnsiTheme="minorHAnsi"/>
        </w:rPr>
        <w:t xml:space="preserve">A </w:t>
      </w:r>
      <w:r w:rsidR="00EC04DC" w:rsidRPr="00625728">
        <w:rPr>
          <w:rFonts w:asciiTheme="minorHAnsi" w:hAnsiTheme="minorHAnsi"/>
        </w:rPr>
        <w:t>thorough and urgent reform</w:t>
      </w:r>
      <w:r w:rsidR="00384ADB" w:rsidRPr="00625728">
        <w:rPr>
          <w:rFonts w:asciiTheme="minorHAnsi" w:hAnsiTheme="minorHAnsi"/>
        </w:rPr>
        <w:t xml:space="preserve"> of the legal framework governing public event safety is necessary to address the </w:t>
      </w:r>
      <w:r w:rsidR="00640CC3" w:rsidRPr="00625728">
        <w:rPr>
          <w:rFonts w:asciiTheme="minorHAnsi" w:hAnsiTheme="minorHAnsi"/>
        </w:rPr>
        <w:t xml:space="preserve">deficiencies revealed by the Time Stomp festival incident. In the first instance, legislation should impose stricter licensing </w:t>
      </w:r>
      <w:r w:rsidR="0048256D" w:rsidRPr="00625728">
        <w:rPr>
          <w:rFonts w:asciiTheme="minorHAnsi" w:hAnsiTheme="minorHAnsi"/>
        </w:rPr>
        <w:t xml:space="preserve">requirements for high-risk activities, particularly those involving fireworks displays. Only individuals possessing </w:t>
      </w:r>
      <w:r w:rsidR="00D631AE" w:rsidRPr="00625728">
        <w:rPr>
          <w:rFonts w:asciiTheme="minorHAnsi" w:hAnsiTheme="minorHAnsi"/>
        </w:rPr>
        <w:t xml:space="preserve">professional </w:t>
      </w:r>
      <w:r w:rsidR="009D7EE9" w:rsidRPr="00625728">
        <w:rPr>
          <w:rFonts w:asciiTheme="minorHAnsi" w:hAnsiTheme="minorHAnsi"/>
        </w:rPr>
        <w:t xml:space="preserve">certification </w:t>
      </w:r>
      <w:r w:rsidR="005732A8" w:rsidRPr="00625728">
        <w:rPr>
          <w:rFonts w:asciiTheme="minorHAnsi" w:hAnsiTheme="minorHAnsi"/>
        </w:rPr>
        <w:t xml:space="preserve">and having undergone comprehensive audits ought to be permitted to manage </w:t>
      </w:r>
      <w:r w:rsidR="00591F4C" w:rsidRPr="00625728">
        <w:rPr>
          <w:rFonts w:asciiTheme="minorHAnsi" w:hAnsiTheme="minorHAnsi"/>
        </w:rPr>
        <w:t>pyrotec</w:t>
      </w:r>
      <w:r w:rsidR="00CB2723" w:rsidRPr="00625728">
        <w:rPr>
          <w:rFonts w:asciiTheme="minorHAnsi" w:hAnsiTheme="minorHAnsi"/>
        </w:rPr>
        <w:t xml:space="preserve">hnic events. This regulatory approach should be reinforced </w:t>
      </w:r>
      <w:r w:rsidR="00F41EFA" w:rsidRPr="00625728">
        <w:rPr>
          <w:rFonts w:asciiTheme="minorHAnsi" w:hAnsiTheme="minorHAnsi"/>
        </w:rPr>
        <w:t>22</w:t>
      </w:r>
      <w:r w:rsidR="006D7CD1">
        <w:t xml:space="preserve"> </w:t>
      </w:r>
      <w:r w:rsidR="00CB2723" w:rsidRPr="00625728">
        <w:rPr>
          <w:rFonts w:asciiTheme="minorHAnsi" w:hAnsiTheme="minorHAnsi"/>
        </w:rPr>
        <w:t xml:space="preserve">by the introduction of mandatory pre-event statutory safety inspections designed to promote </w:t>
      </w:r>
      <w:r w:rsidR="00567A7D" w:rsidRPr="00625728">
        <w:rPr>
          <w:rFonts w:asciiTheme="minorHAnsi" w:hAnsiTheme="minorHAnsi"/>
        </w:rPr>
        <w:t xml:space="preserve">proactive risk management. </w:t>
      </w:r>
      <w:r w:rsidR="00CC45F7" w:rsidRPr="00625728">
        <w:rPr>
          <w:rFonts w:asciiTheme="minorHAnsi" w:hAnsiTheme="minorHAnsi"/>
        </w:rPr>
        <w:t>These inspections should</w:t>
      </w:r>
      <w:r w:rsidR="001245E5" w:rsidRPr="00625728">
        <w:rPr>
          <w:rFonts w:asciiTheme="minorHAnsi" w:hAnsiTheme="minorHAnsi"/>
        </w:rPr>
        <w:t xml:space="preserve"> </w:t>
      </w:r>
      <w:r w:rsidR="00DB30AA" w:rsidRPr="00625728">
        <w:rPr>
          <w:rFonts w:asciiTheme="minorHAnsi" w:hAnsiTheme="minorHAnsi"/>
        </w:rPr>
        <w:t>not merely be checklist exercises but involve detailed assessments of crowd control stra</w:t>
      </w:r>
      <w:r w:rsidR="00B9567F" w:rsidRPr="00625728">
        <w:rPr>
          <w:rFonts w:asciiTheme="minorHAnsi" w:hAnsiTheme="minorHAnsi"/>
        </w:rPr>
        <w:t>tegies, fire safety protocols, and contingency planning for emergen</w:t>
      </w:r>
      <w:r w:rsidR="00B5526A" w:rsidRPr="00625728">
        <w:rPr>
          <w:rFonts w:asciiTheme="minorHAnsi" w:hAnsiTheme="minorHAnsi"/>
        </w:rPr>
        <w:t xml:space="preserve">cies such as stampedes or explosive misfires. </w:t>
      </w:r>
    </w:p>
    <w:p w14:paraId="4F4303FC" w14:textId="77777777" w:rsidR="00567A7D" w:rsidRPr="00625728" w:rsidRDefault="00567A7D" w:rsidP="00D83DF5">
      <w:pPr>
        <w:jc w:val="both"/>
        <w:rPr>
          <w:rFonts w:asciiTheme="minorHAnsi" w:hAnsiTheme="minorHAnsi"/>
        </w:rPr>
      </w:pPr>
    </w:p>
    <w:p w14:paraId="748C6A02" w14:textId="529642E0" w:rsidR="00567A7D" w:rsidRPr="00625728" w:rsidRDefault="00567A7D" w:rsidP="00D83DF5">
      <w:pPr>
        <w:jc w:val="both"/>
        <w:rPr>
          <w:rFonts w:asciiTheme="minorHAnsi" w:hAnsiTheme="minorHAnsi"/>
        </w:rPr>
      </w:pPr>
      <w:r w:rsidRPr="00625728">
        <w:rPr>
          <w:rFonts w:asciiTheme="minorHAnsi" w:hAnsiTheme="minorHAnsi"/>
        </w:rPr>
        <w:t>Secondly, it is submitted that all public events anticipating attendance in excess of five hundred people shou</w:t>
      </w:r>
      <w:r w:rsidR="00220217" w:rsidRPr="00625728">
        <w:rPr>
          <w:rFonts w:asciiTheme="minorHAnsi" w:hAnsiTheme="minorHAnsi"/>
        </w:rPr>
        <w:t xml:space="preserve">ld be legally required to engage a dedicated team of emergency responders, comprising both trained medical personnel and accredited crowd </w:t>
      </w:r>
      <w:r w:rsidR="00345382" w:rsidRPr="00625728">
        <w:rPr>
          <w:rFonts w:asciiTheme="minorHAnsi" w:hAnsiTheme="minorHAnsi"/>
        </w:rPr>
        <w:t>management specialists. The immediate availability of such expe</w:t>
      </w:r>
      <w:r w:rsidR="00E10E17" w:rsidRPr="00625728">
        <w:rPr>
          <w:rFonts w:asciiTheme="minorHAnsi" w:hAnsiTheme="minorHAnsi"/>
        </w:rPr>
        <w:t xml:space="preserve">rtise would significantly mitigate the severity of injuries sustained in emergency situations. </w:t>
      </w:r>
      <w:r w:rsidR="00B82C2E" w:rsidRPr="00625728">
        <w:rPr>
          <w:rFonts w:asciiTheme="minorHAnsi" w:hAnsiTheme="minorHAnsi"/>
        </w:rPr>
        <w:t xml:space="preserve">This requirement should be </w:t>
      </w:r>
      <w:r w:rsidR="00BF7ABF" w:rsidRPr="00625728">
        <w:rPr>
          <w:rFonts w:asciiTheme="minorHAnsi" w:hAnsiTheme="minorHAnsi"/>
        </w:rPr>
        <w:t>incor</w:t>
      </w:r>
      <w:r w:rsidR="00AD1A44" w:rsidRPr="00625728">
        <w:rPr>
          <w:rFonts w:asciiTheme="minorHAnsi" w:hAnsiTheme="minorHAnsi"/>
        </w:rPr>
        <w:t xml:space="preserve">porated within licensing conditions and enforced </w:t>
      </w:r>
      <w:r w:rsidR="007879F2" w:rsidRPr="00625728">
        <w:rPr>
          <w:rFonts w:asciiTheme="minorHAnsi" w:hAnsiTheme="minorHAnsi"/>
        </w:rPr>
        <w:t xml:space="preserve">through random </w:t>
      </w:r>
      <w:r w:rsidR="00E42149" w:rsidRPr="00625728">
        <w:rPr>
          <w:rFonts w:asciiTheme="minorHAnsi" w:hAnsiTheme="minorHAnsi"/>
        </w:rPr>
        <w:t>inspections or post-event audits, with penalties imposed for non-compli</w:t>
      </w:r>
      <w:r w:rsidR="003701E1" w:rsidRPr="00625728">
        <w:rPr>
          <w:rFonts w:asciiTheme="minorHAnsi" w:hAnsiTheme="minorHAnsi"/>
        </w:rPr>
        <w:t xml:space="preserve">ance. </w:t>
      </w:r>
      <w:r w:rsidR="00E76C86" w:rsidRPr="00625728">
        <w:rPr>
          <w:rFonts w:asciiTheme="minorHAnsi" w:hAnsiTheme="minorHAnsi"/>
        </w:rPr>
        <w:t>Furthermore, designated safety officers</w:t>
      </w:r>
      <w:r w:rsidR="00656201" w:rsidRPr="00625728">
        <w:rPr>
          <w:rFonts w:asciiTheme="minorHAnsi" w:hAnsiTheme="minorHAnsi"/>
        </w:rPr>
        <w:t xml:space="preserve"> should be on-site throughout the event with real-time authority </w:t>
      </w:r>
      <w:r w:rsidR="00843633" w:rsidRPr="00625728">
        <w:rPr>
          <w:rFonts w:asciiTheme="minorHAnsi" w:hAnsiTheme="minorHAnsi"/>
        </w:rPr>
        <w:t>to stop the event</w:t>
      </w:r>
      <w:r w:rsidR="00FD7F85" w:rsidRPr="00625728">
        <w:rPr>
          <w:rFonts w:asciiTheme="minorHAnsi" w:hAnsiTheme="minorHAnsi"/>
        </w:rPr>
        <w:t xml:space="preserve"> should emerging risks be identified. In the case of Time Stomp, the absence of such system arguably</w:t>
      </w:r>
      <w:r w:rsidR="00892E35" w:rsidRPr="00625728">
        <w:rPr>
          <w:rFonts w:asciiTheme="minorHAnsi" w:hAnsiTheme="minorHAnsi"/>
        </w:rPr>
        <w:t xml:space="preserve"> allowed a malfunctioning fireworks display to escalate into a full-scale tragedy. </w:t>
      </w:r>
    </w:p>
    <w:p w14:paraId="7EEF6B2D" w14:textId="574348D6" w:rsidR="00E10E17" w:rsidRPr="00625728" w:rsidRDefault="00E10E17" w:rsidP="00D83DF5">
      <w:pPr>
        <w:jc w:val="both"/>
        <w:rPr>
          <w:rFonts w:asciiTheme="minorHAnsi" w:hAnsiTheme="minorHAnsi"/>
        </w:rPr>
      </w:pPr>
    </w:p>
    <w:p w14:paraId="0D776B1F" w14:textId="6A020443" w:rsidR="00E10E17" w:rsidRPr="00625728" w:rsidRDefault="00E10E17" w:rsidP="00D83DF5">
      <w:pPr>
        <w:jc w:val="both"/>
        <w:rPr>
          <w:rFonts w:asciiTheme="minorHAnsi" w:hAnsiTheme="minorHAnsi"/>
        </w:rPr>
      </w:pPr>
      <w:r w:rsidRPr="00625728">
        <w:rPr>
          <w:rFonts w:asciiTheme="minorHAnsi" w:hAnsiTheme="minorHAnsi"/>
        </w:rPr>
        <w:t>Thirdly</w:t>
      </w:r>
      <w:r w:rsidR="00571236" w:rsidRPr="00625728">
        <w:rPr>
          <w:rFonts w:asciiTheme="minorHAnsi" w:hAnsiTheme="minorHAnsi"/>
        </w:rPr>
        <w:t xml:space="preserve">, the law </w:t>
      </w:r>
      <w:r w:rsidR="00CF37DE" w:rsidRPr="00625728">
        <w:rPr>
          <w:rFonts w:asciiTheme="minorHAnsi" w:hAnsiTheme="minorHAnsi"/>
        </w:rPr>
        <w:t>concerning psychiatric injury demands substa</w:t>
      </w:r>
      <w:r w:rsidR="00F9529C" w:rsidRPr="00625728">
        <w:rPr>
          <w:rFonts w:asciiTheme="minorHAnsi" w:hAnsiTheme="minorHAnsi"/>
        </w:rPr>
        <w:t xml:space="preserve">ntive reform to afford fairer avenues for compensation to both </w:t>
      </w:r>
      <w:r w:rsidR="00197CC4" w:rsidRPr="00625728">
        <w:rPr>
          <w:rFonts w:asciiTheme="minorHAnsi" w:hAnsiTheme="minorHAnsi"/>
        </w:rPr>
        <w:t>rescu</w:t>
      </w:r>
      <w:r w:rsidR="00575931" w:rsidRPr="00625728">
        <w:rPr>
          <w:rFonts w:asciiTheme="minorHAnsi" w:hAnsiTheme="minorHAnsi"/>
        </w:rPr>
        <w:t xml:space="preserve">ers and primary victims. The restrictive </w:t>
      </w:r>
      <w:r w:rsidR="00B30902" w:rsidRPr="00625728">
        <w:rPr>
          <w:rFonts w:asciiTheme="minorHAnsi" w:hAnsiTheme="minorHAnsi"/>
        </w:rPr>
        <w:t>principles established in White v Chief</w:t>
      </w:r>
      <w:r w:rsidR="005416B9" w:rsidRPr="00625728">
        <w:rPr>
          <w:rFonts w:asciiTheme="minorHAnsi" w:hAnsiTheme="minorHAnsi"/>
        </w:rPr>
        <w:t xml:space="preserve"> Constable of South Yorkshire Police [1999] 2 AC 455 have unjusti</w:t>
      </w:r>
      <w:r w:rsidR="00633E6C" w:rsidRPr="00625728">
        <w:rPr>
          <w:rFonts w:asciiTheme="minorHAnsi" w:hAnsiTheme="minorHAnsi"/>
        </w:rPr>
        <w:t xml:space="preserve">fiably curtailed legitimate claims; a more flexible, context </w:t>
      </w:r>
      <w:r w:rsidR="003C0105" w:rsidRPr="00625728">
        <w:rPr>
          <w:rFonts w:asciiTheme="minorHAnsi" w:hAnsiTheme="minorHAnsi"/>
        </w:rPr>
        <w:t>se</w:t>
      </w:r>
      <w:r w:rsidR="00EB26BD" w:rsidRPr="00625728">
        <w:rPr>
          <w:rFonts w:asciiTheme="minorHAnsi" w:hAnsiTheme="minorHAnsi"/>
        </w:rPr>
        <w:t>nsitive approach is therefore warranted</w:t>
      </w:r>
      <w:r w:rsidR="00AA7D98" w:rsidRPr="00625728">
        <w:rPr>
          <w:rFonts w:asciiTheme="minorHAnsi" w:hAnsiTheme="minorHAnsi"/>
        </w:rPr>
        <w:t>, particularly in respect of rescuers who suffer distinct psychological harm.</w:t>
      </w:r>
      <w:r w:rsidR="00C65506" w:rsidRPr="00625728">
        <w:rPr>
          <w:rFonts w:asciiTheme="minorHAnsi" w:hAnsiTheme="minorHAnsi"/>
        </w:rPr>
        <w:t xml:space="preserve"> In that case, rescuers were denied compensation unless they met the s</w:t>
      </w:r>
      <w:r w:rsidR="00A43B31" w:rsidRPr="00625728">
        <w:rPr>
          <w:rFonts w:asciiTheme="minorHAnsi" w:hAnsiTheme="minorHAnsi"/>
        </w:rPr>
        <w:t xml:space="preserve">tringent </w:t>
      </w:r>
      <w:r w:rsidR="009F1B5B" w:rsidRPr="00625728">
        <w:rPr>
          <w:rFonts w:asciiTheme="minorHAnsi" w:hAnsiTheme="minorHAnsi"/>
        </w:rPr>
        <w:t xml:space="preserve">criteria applicable </w:t>
      </w:r>
      <w:r w:rsidR="00FA2121" w:rsidRPr="00625728">
        <w:rPr>
          <w:rFonts w:asciiTheme="minorHAnsi" w:hAnsiTheme="minorHAnsi"/>
        </w:rPr>
        <w:t xml:space="preserve">to primary or secondary victims. This has led to a </w:t>
      </w:r>
      <w:r w:rsidR="00EE4761" w:rsidRPr="00625728">
        <w:rPr>
          <w:rFonts w:asciiTheme="minorHAnsi" w:hAnsiTheme="minorHAnsi"/>
        </w:rPr>
        <w:t>gap in legal protection</w:t>
      </w:r>
      <w:r w:rsidR="00A934B8" w:rsidRPr="00625728">
        <w:rPr>
          <w:rFonts w:asciiTheme="minorHAnsi" w:hAnsiTheme="minorHAnsi"/>
        </w:rPr>
        <w:t xml:space="preserve"> for individuals like Mary, who bravely intervened to </w:t>
      </w:r>
      <w:r w:rsidR="00122236" w:rsidRPr="00625728">
        <w:rPr>
          <w:rFonts w:asciiTheme="minorHAnsi" w:hAnsiTheme="minorHAnsi"/>
        </w:rPr>
        <w:t xml:space="preserve">shield Sarah from future harm. Future reforms should acknowledge the </w:t>
      </w:r>
      <w:r w:rsidR="001B2DBA" w:rsidRPr="00625728">
        <w:rPr>
          <w:rFonts w:asciiTheme="minorHAnsi" w:hAnsiTheme="minorHAnsi"/>
        </w:rPr>
        <w:t xml:space="preserve">unique psychological toll borne by immediate responders and adopt an inclusive approach similar to that proposed in the Law Commission’s past consultations, potentially </w:t>
      </w:r>
      <w:r w:rsidR="0059179C" w:rsidRPr="00625728">
        <w:rPr>
          <w:rFonts w:asciiTheme="minorHAnsi" w:hAnsiTheme="minorHAnsi"/>
        </w:rPr>
        <w:t xml:space="preserve">creating a distinct legal category for rescuers, entitled to claim where injury is foreseeable and where their conduct was reasonable in the circumstances. </w:t>
      </w:r>
    </w:p>
    <w:p w14:paraId="1771EE2E" w14:textId="77777777" w:rsidR="007A041F" w:rsidRPr="00625728" w:rsidRDefault="007A041F" w:rsidP="00D83DF5">
      <w:pPr>
        <w:jc w:val="both"/>
        <w:rPr>
          <w:rFonts w:asciiTheme="minorHAnsi" w:hAnsiTheme="minorHAnsi"/>
        </w:rPr>
      </w:pPr>
    </w:p>
    <w:p w14:paraId="74365337" w14:textId="13EEB1E2" w:rsidR="007A041F" w:rsidRPr="00625728" w:rsidRDefault="007207B4" w:rsidP="00D83DF5">
      <w:pPr>
        <w:jc w:val="both"/>
        <w:rPr>
          <w:rFonts w:asciiTheme="minorHAnsi" w:hAnsiTheme="minorHAnsi"/>
        </w:rPr>
      </w:pPr>
      <w:r w:rsidRPr="00625728">
        <w:rPr>
          <w:rFonts w:asciiTheme="minorHAnsi" w:hAnsiTheme="minorHAnsi"/>
        </w:rPr>
        <w:t>However,</w:t>
      </w:r>
      <w:r w:rsidR="007A041F" w:rsidRPr="00625728">
        <w:rPr>
          <w:rFonts w:asciiTheme="minorHAnsi" w:hAnsiTheme="minorHAnsi"/>
        </w:rPr>
        <w:t xml:space="preserve"> it is proposed that the procurement of pu</w:t>
      </w:r>
      <w:r w:rsidR="006B6747" w:rsidRPr="00625728">
        <w:rPr>
          <w:rFonts w:asciiTheme="minorHAnsi" w:hAnsiTheme="minorHAnsi"/>
        </w:rPr>
        <w:t xml:space="preserve">blic liability insurance be made a statutory obligation for </w:t>
      </w:r>
      <w:r w:rsidR="0076056B" w:rsidRPr="00625728">
        <w:rPr>
          <w:rFonts w:asciiTheme="minorHAnsi" w:hAnsiTheme="minorHAnsi"/>
        </w:rPr>
        <w:t xml:space="preserve">organizers of large-scale events. This measure would ensure that victims of proven negligence receive timely and </w:t>
      </w:r>
      <w:r w:rsidR="00DC053E" w:rsidRPr="00625728">
        <w:rPr>
          <w:rFonts w:asciiTheme="minorHAnsi" w:hAnsiTheme="minorHAnsi"/>
        </w:rPr>
        <w:t>equitable compensation</w:t>
      </w:r>
      <w:r w:rsidR="006C07AF" w:rsidRPr="00625728">
        <w:rPr>
          <w:rFonts w:asciiTheme="minorHAnsi" w:hAnsiTheme="minorHAnsi"/>
        </w:rPr>
        <w:t xml:space="preserve">. </w:t>
      </w:r>
      <w:r w:rsidR="00A53485" w:rsidRPr="00625728">
        <w:rPr>
          <w:rFonts w:asciiTheme="minorHAnsi" w:hAnsiTheme="minorHAnsi"/>
        </w:rPr>
        <w:t>Taken together, these reforms are imperative for enhancing public safety, safe</w:t>
      </w:r>
      <w:r w:rsidR="00C84EE0" w:rsidRPr="00625728">
        <w:rPr>
          <w:rFonts w:asciiTheme="minorHAnsi" w:hAnsiTheme="minorHAnsi"/>
        </w:rPr>
        <w:t xml:space="preserve">guarding victims’ rights, and reinforcing the accountability of event organisers.  </w:t>
      </w:r>
      <w:r w:rsidR="00A50AD5" w:rsidRPr="00625728">
        <w:rPr>
          <w:rFonts w:asciiTheme="minorHAnsi" w:hAnsiTheme="minorHAnsi"/>
        </w:rPr>
        <w:t xml:space="preserve">Insurance providers </w:t>
      </w:r>
      <w:r w:rsidR="001E6A36" w:rsidRPr="00625728">
        <w:rPr>
          <w:rFonts w:asciiTheme="minorHAnsi" w:hAnsiTheme="minorHAnsi"/>
        </w:rPr>
        <w:t>could severe an additional regu</w:t>
      </w:r>
      <w:r w:rsidR="00F75BA8" w:rsidRPr="00625728">
        <w:rPr>
          <w:rFonts w:asciiTheme="minorHAnsi" w:hAnsiTheme="minorHAnsi"/>
        </w:rPr>
        <w:t xml:space="preserve">latory function </w:t>
      </w:r>
      <w:r w:rsidR="00676B99" w:rsidRPr="00625728">
        <w:rPr>
          <w:rFonts w:asciiTheme="minorHAnsi" w:hAnsiTheme="minorHAnsi"/>
        </w:rPr>
        <w:t xml:space="preserve">by mandating risk </w:t>
      </w:r>
      <w:r w:rsidR="00635B3D" w:rsidRPr="00625728">
        <w:rPr>
          <w:rFonts w:asciiTheme="minorHAnsi" w:hAnsiTheme="minorHAnsi"/>
        </w:rPr>
        <w:t xml:space="preserve">assessments and safety training as a precondition to coverage. </w:t>
      </w:r>
      <w:r w:rsidR="00D64BEE" w:rsidRPr="00625728">
        <w:rPr>
          <w:rFonts w:asciiTheme="minorHAnsi" w:hAnsiTheme="minorHAnsi"/>
        </w:rPr>
        <w:t xml:space="preserve">This would introduce a dual layer </w:t>
      </w:r>
      <w:r w:rsidR="003E153D" w:rsidRPr="00625728">
        <w:rPr>
          <w:rFonts w:asciiTheme="minorHAnsi" w:hAnsiTheme="minorHAnsi"/>
        </w:rPr>
        <w:t xml:space="preserve">of accountability legal oversight from public authorities and commercial from insurers. </w:t>
      </w:r>
    </w:p>
    <w:p w14:paraId="5E1A6635" w14:textId="77777777" w:rsidR="00FF4F7F" w:rsidRPr="00625728" w:rsidRDefault="00FF4F7F" w:rsidP="00D83DF5">
      <w:pPr>
        <w:jc w:val="both"/>
        <w:rPr>
          <w:rFonts w:asciiTheme="minorHAnsi" w:hAnsiTheme="minorHAnsi"/>
        </w:rPr>
      </w:pPr>
    </w:p>
    <w:p w14:paraId="018EC1FB" w14:textId="602D2086" w:rsidR="00FF4F7F" w:rsidRPr="00625728" w:rsidRDefault="00FF4F7F" w:rsidP="00D83DF5">
      <w:pPr>
        <w:jc w:val="both"/>
        <w:rPr>
          <w:rFonts w:asciiTheme="minorHAnsi" w:hAnsiTheme="minorHAnsi"/>
        </w:rPr>
      </w:pPr>
      <w:r w:rsidRPr="00625728">
        <w:rPr>
          <w:rFonts w:asciiTheme="minorHAnsi" w:hAnsiTheme="minorHAnsi"/>
        </w:rPr>
        <w:t xml:space="preserve">In sum, these reforms are not only logical but morally necessary. The current regulatory framework has failed to keep pace with the growing scale and complexity of public events. By adopting a more rigorous and anticipatory legal architecture, </w:t>
      </w:r>
      <w:r w:rsidR="00990AE7" w:rsidRPr="00625728">
        <w:rPr>
          <w:rFonts w:asciiTheme="minorHAnsi" w:hAnsiTheme="minorHAnsi"/>
        </w:rPr>
        <w:t xml:space="preserve">comprising stricter licensing, </w:t>
      </w:r>
      <w:r w:rsidR="009340CB" w:rsidRPr="00625728">
        <w:rPr>
          <w:rFonts w:asciiTheme="minorHAnsi" w:hAnsiTheme="minorHAnsi"/>
        </w:rPr>
        <w:t>mandated safety personnel, expanded psychiatric injury protections, and compulsory insurance, the law would better safeguard the public, reinforce organiser accountability, and e</w:t>
      </w:r>
      <w:r w:rsidR="00E90FE3" w:rsidRPr="00625728">
        <w:rPr>
          <w:rFonts w:asciiTheme="minorHAnsi" w:hAnsiTheme="minorHAnsi"/>
        </w:rPr>
        <w:t xml:space="preserve">nsure that those harmed by organisational failing are justly compensated. The Time Stomp tragedy stands as a reminder of the cost </w:t>
      </w:r>
      <w:r w:rsidR="006E657E" w:rsidRPr="00625728">
        <w:rPr>
          <w:rFonts w:asciiTheme="minorHAnsi" w:hAnsiTheme="minorHAnsi"/>
        </w:rPr>
        <w:t xml:space="preserve">of inaction. </w:t>
      </w:r>
    </w:p>
    <w:p w14:paraId="53675CE7" w14:textId="77777777" w:rsidR="003E153D" w:rsidRPr="00625728" w:rsidRDefault="003E153D" w:rsidP="00D83DF5">
      <w:pPr>
        <w:jc w:val="both"/>
        <w:rPr>
          <w:rFonts w:asciiTheme="minorHAnsi" w:hAnsiTheme="minorHAnsi"/>
        </w:rPr>
      </w:pPr>
    </w:p>
    <w:p w14:paraId="758FE1DF" w14:textId="77777777" w:rsidR="003E153D" w:rsidRPr="00625728" w:rsidRDefault="003E153D" w:rsidP="00D83DF5">
      <w:pPr>
        <w:jc w:val="both"/>
        <w:rPr>
          <w:rFonts w:asciiTheme="minorHAnsi" w:hAnsiTheme="minorHAnsi"/>
        </w:rPr>
      </w:pPr>
    </w:p>
    <w:p w14:paraId="0721BFFC" w14:textId="77777777" w:rsidR="007207B4" w:rsidRPr="00625728" w:rsidRDefault="007207B4" w:rsidP="00D83DF5">
      <w:pPr>
        <w:jc w:val="both"/>
        <w:rPr>
          <w:rFonts w:asciiTheme="minorHAnsi" w:hAnsiTheme="minorHAnsi"/>
        </w:rPr>
      </w:pPr>
    </w:p>
    <w:p w14:paraId="71ACE021" w14:textId="02C4DB81" w:rsidR="00361A8A" w:rsidRPr="00FD5163" w:rsidRDefault="00361A8A" w:rsidP="00D83DF5">
      <w:pPr>
        <w:pStyle w:val="Heading1"/>
        <w:jc w:val="both"/>
        <w:rPr>
          <w:rFonts w:asciiTheme="minorHAnsi" w:hAnsiTheme="minorHAnsi"/>
          <w:sz w:val="32"/>
          <w:szCs w:val="32"/>
        </w:rPr>
      </w:pPr>
      <w:bookmarkStart w:id="11" w:name="_Toc197105385"/>
      <w:r w:rsidRPr="00FD5163">
        <w:rPr>
          <w:rFonts w:asciiTheme="minorHAnsi" w:hAnsiTheme="minorHAnsi"/>
          <w:sz w:val="32"/>
          <w:szCs w:val="32"/>
        </w:rPr>
        <w:t>Conclusion</w:t>
      </w:r>
      <w:bookmarkEnd w:id="11"/>
      <w:r w:rsidRPr="00FD5163">
        <w:rPr>
          <w:rFonts w:asciiTheme="minorHAnsi" w:hAnsiTheme="minorHAnsi"/>
          <w:sz w:val="32"/>
          <w:szCs w:val="32"/>
        </w:rPr>
        <w:t xml:space="preserve"> </w:t>
      </w:r>
    </w:p>
    <w:p w14:paraId="5901C67E" w14:textId="45FBC0F8" w:rsidR="00967055" w:rsidRPr="00967055" w:rsidRDefault="00967055" w:rsidP="00D83DF5">
      <w:pPr>
        <w:spacing w:before="100" w:beforeAutospacing="1" w:after="100" w:afterAutospacing="1"/>
        <w:jc w:val="both"/>
        <w:rPr>
          <w:rFonts w:asciiTheme="minorHAnsi" w:hAnsiTheme="minorHAnsi"/>
          <w:color w:val="000000"/>
        </w:rPr>
      </w:pPr>
      <w:r w:rsidRPr="00967055">
        <w:rPr>
          <w:rFonts w:asciiTheme="minorHAnsi" w:hAnsiTheme="minorHAnsi"/>
          <w:color w:val="000000"/>
        </w:rPr>
        <w:t>The events that transpired during the Time Stomp</w:t>
      </w:r>
      <w:r w:rsidR="00D83DF5" w:rsidRPr="00625728">
        <w:rPr>
          <w:rFonts w:asciiTheme="minorHAnsi" w:hAnsiTheme="minorHAnsi"/>
          <w:color w:val="000000"/>
        </w:rPr>
        <w:t xml:space="preserve"> </w:t>
      </w:r>
      <w:r w:rsidRPr="00967055">
        <w:rPr>
          <w:rFonts w:asciiTheme="minorHAnsi" w:hAnsiTheme="minorHAnsi"/>
          <w:color w:val="000000"/>
        </w:rPr>
        <w:t>festival on 14</w:t>
      </w:r>
      <w:r w:rsidR="00D83DF5" w:rsidRPr="00625728">
        <w:rPr>
          <w:rFonts w:asciiTheme="minorHAnsi" w:hAnsiTheme="minorHAnsi"/>
          <w:color w:val="000000"/>
          <w:vertAlign w:val="superscript"/>
        </w:rPr>
        <w:t>th</w:t>
      </w:r>
      <w:r w:rsidR="00D83DF5" w:rsidRPr="00625728">
        <w:rPr>
          <w:rFonts w:asciiTheme="minorHAnsi" w:hAnsiTheme="minorHAnsi"/>
          <w:color w:val="000000"/>
        </w:rPr>
        <w:t xml:space="preserve"> </w:t>
      </w:r>
      <w:r w:rsidRPr="00967055">
        <w:rPr>
          <w:rFonts w:asciiTheme="minorHAnsi" w:hAnsiTheme="minorHAnsi"/>
          <w:color w:val="000000"/>
        </w:rPr>
        <w:t>June 2023 present a powerful example of how lapses in legal compliance, ethical responsibility, and operational planning can culminate in severe harm at large-scale public events. The physical and psychiatric injuries sustained by Sarah Peterson, Jack Smith, Mary Smith, and Janice Peterson reflect the profound consequences of insufficient safety protocols, inadequate crowd control, and a failure to respond effectively to foreseeable hazards. Following a detailed legal analysis, it is probable that Barry Bottleman, as both the organiser and occupier of the premises, would be found liable in negligence for the injuries suffered by the individuals involved.</w:t>
      </w:r>
    </w:p>
    <w:p w14:paraId="3428C0D7" w14:textId="08B46C5F" w:rsidR="00967055" w:rsidRPr="00967055" w:rsidRDefault="00967055" w:rsidP="00D83DF5">
      <w:pPr>
        <w:spacing w:before="100" w:beforeAutospacing="1" w:after="100" w:afterAutospacing="1"/>
        <w:jc w:val="both"/>
        <w:rPr>
          <w:rFonts w:asciiTheme="minorHAnsi" w:hAnsiTheme="minorHAnsi"/>
          <w:color w:val="000000"/>
        </w:rPr>
      </w:pPr>
      <w:r w:rsidRPr="00967055">
        <w:rPr>
          <w:rFonts w:asciiTheme="minorHAnsi" w:hAnsiTheme="minorHAnsi"/>
          <w:color w:val="000000"/>
        </w:rPr>
        <w:t>Tort law imposes a duty of care on occupiers and event organisers to safeguard attendees from reasonably foreseeable harm. The evidence points to a significant breach of this duty</w:t>
      </w:r>
      <w:r w:rsidR="00D83DF5" w:rsidRPr="00625728">
        <w:rPr>
          <w:rFonts w:asciiTheme="minorHAnsi" w:hAnsiTheme="minorHAnsi"/>
          <w:color w:val="000000"/>
        </w:rPr>
        <w:t xml:space="preserve"> </w:t>
      </w:r>
      <w:r w:rsidRPr="00967055">
        <w:rPr>
          <w:rFonts w:asciiTheme="minorHAnsi" w:hAnsiTheme="minorHAnsi"/>
          <w:color w:val="000000"/>
        </w:rPr>
        <w:t>specifically, the failure to manage fireworks safely and to implement appropriate emergency procedures. Sarah’s life-changing injuries, including paralysis and amputation, are a direct and foreseeable outcome of these omissions. Likewise, Jack, although not physically incapacitated, has been diagnosed with post-traumatic stress disorder, thereby qualifying as a primary victim under the principles articulated in Page v Smith [1996] 1 AC 155.</w:t>
      </w:r>
    </w:p>
    <w:p w14:paraId="1A7AD59E" w14:textId="77777777" w:rsidR="00967055" w:rsidRPr="00967055" w:rsidRDefault="00967055" w:rsidP="00D83DF5">
      <w:pPr>
        <w:spacing w:before="100" w:beforeAutospacing="1" w:after="100" w:afterAutospacing="1"/>
        <w:jc w:val="both"/>
        <w:rPr>
          <w:rFonts w:asciiTheme="minorHAnsi" w:hAnsiTheme="minorHAnsi"/>
          <w:color w:val="000000"/>
        </w:rPr>
      </w:pPr>
      <w:r w:rsidRPr="00967055">
        <w:rPr>
          <w:rFonts w:asciiTheme="minorHAnsi" w:hAnsiTheme="minorHAnsi"/>
          <w:color w:val="000000"/>
        </w:rPr>
        <w:t>Mary and Janice’s claims raise the more contentious issue of psychiatric harm in secondary victims. Despite the stringent requirements laid down in Alcock v Chief Constable of South Yorkshire Police [1992] 1 AC 310, their close familial ties to Sarah, their presence at the scene, and their direct experience of the traumatic aftermath lend persuasive support to their eligibility for compensation. These cases highlight the restrictive and, at times, outdated nature of the current legal approach to psychiatric injury, which can prevent legitimate claims from succeeding.</w:t>
      </w:r>
    </w:p>
    <w:p w14:paraId="7561DC3F" w14:textId="795FE505" w:rsidR="00967055" w:rsidRPr="00967055" w:rsidRDefault="00967055" w:rsidP="00D83DF5">
      <w:pPr>
        <w:spacing w:before="100" w:beforeAutospacing="1" w:after="100" w:afterAutospacing="1"/>
        <w:jc w:val="both"/>
        <w:rPr>
          <w:rFonts w:asciiTheme="minorHAnsi" w:hAnsiTheme="minorHAnsi"/>
          <w:color w:val="000000"/>
        </w:rPr>
      </w:pPr>
      <w:r w:rsidRPr="00967055">
        <w:rPr>
          <w:rFonts w:asciiTheme="minorHAnsi" w:hAnsiTheme="minorHAnsi"/>
          <w:color w:val="000000"/>
        </w:rPr>
        <w:t>Furthermore, this report has identified two areas where legal reform is critically needed. First, the</w:t>
      </w:r>
      <w:r w:rsidR="00E84229" w:rsidRPr="00625728">
        <w:rPr>
          <w:rFonts w:asciiTheme="minorHAnsi" w:hAnsiTheme="minorHAnsi"/>
          <w:color w:val="000000"/>
        </w:rPr>
        <w:t xml:space="preserve"> </w:t>
      </w:r>
      <w:r w:rsidRPr="00967055">
        <w:rPr>
          <w:rFonts w:asciiTheme="minorHAnsi" w:hAnsiTheme="minorHAnsi"/>
          <w:color w:val="000000"/>
        </w:rPr>
        <w:t>narrow judicial interpretation of secondary victim claims requires modernisation to better reflect contemporary understandings of psychological trauma. A statutory reform that recognises close relatives who are directly affected by catastrophic events would promote fairness and consistency. Second, there remains no direct civil remedy for individuals harmed by breaches of health and safety legislation. Introducing such a mechanism would bridge the gap between regulatory enforcement and individual access to justice, while also reinforcing deterrence against negligent event management.</w:t>
      </w:r>
    </w:p>
    <w:p w14:paraId="00DFDC91" w14:textId="578579D5" w:rsidR="00361A8A" w:rsidRPr="00625728" w:rsidRDefault="00967055" w:rsidP="004A78B7">
      <w:pPr>
        <w:spacing w:before="100" w:beforeAutospacing="1" w:after="100" w:afterAutospacing="1"/>
        <w:jc w:val="both"/>
        <w:rPr>
          <w:rFonts w:asciiTheme="minorHAnsi" w:hAnsiTheme="minorHAnsi"/>
          <w:color w:val="000000"/>
        </w:rPr>
      </w:pPr>
      <w:r w:rsidRPr="00967055">
        <w:rPr>
          <w:rFonts w:asciiTheme="minorHAnsi" w:hAnsiTheme="minorHAnsi"/>
          <w:color w:val="000000"/>
        </w:rPr>
        <w:t>In conclusion, the Time Stomp incident demonstrates both the real-world implications of inadequate event safety practices and the limitations of existing tort law in responding to mass-casualty scenarios. While Barry Bottleman is likely to be held liable under current legal standards, the claims of Mary and Janice reveal systemic deficiencies in how the law treats secondary victims. This case reinforces the urgent need for a dual response: greater regulatory vigilance by event organisers, and meaningful legal reform to ensure that all victims</w:t>
      </w:r>
      <w:r w:rsidR="00D83DF5" w:rsidRPr="00625728">
        <w:rPr>
          <w:rFonts w:asciiTheme="minorHAnsi" w:hAnsiTheme="minorHAnsi"/>
          <w:color w:val="000000"/>
        </w:rPr>
        <w:t xml:space="preserve">, </w:t>
      </w:r>
      <w:r w:rsidRPr="00967055">
        <w:rPr>
          <w:rFonts w:asciiTheme="minorHAnsi" w:hAnsiTheme="minorHAnsi"/>
          <w:color w:val="000000"/>
        </w:rPr>
        <w:t>physical and psychological</w:t>
      </w:r>
      <w:r w:rsidR="00D83DF5" w:rsidRPr="00625728">
        <w:rPr>
          <w:rFonts w:asciiTheme="minorHAnsi" w:hAnsiTheme="minorHAnsi"/>
          <w:color w:val="000000"/>
        </w:rPr>
        <w:t xml:space="preserve">, </w:t>
      </w:r>
      <w:r w:rsidRPr="00967055">
        <w:rPr>
          <w:rFonts w:asciiTheme="minorHAnsi" w:hAnsiTheme="minorHAnsi"/>
          <w:color w:val="000000"/>
        </w:rPr>
        <w:t>receive the protection and remedies they are entitled to under the law</w:t>
      </w:r>
    </w:p>
    <w:p w14:paraId="264723A5" w14:textId="77777777" w:rsidR="00031A54" w:rsidRDefault="00031A54" w:rsidP="00D83DF5">
      <w:pPr>
        <w:pStyle w:val="Heading1"/>
        <w:jc w:val="both"/>
        <w:rPr>
          <w:rFonts w:asciiTheme="minorHAnsi" w:hAnsiTheme="minorHAnsi"/>
          <w:sz w:val="32"/>
          <w:szCs w:val="32"/>
        </w:rPr>
      </w:pPr>
      <w:bookmarkStart w:id="12" w:name="_Toc197105386"/>
    </w:p>
    <w:p w14:paraId="1364DE88" w14:textId="2C2BC591" w:rsidR="00361A8A" w:rsidRPr="00FD5163" w:rsidRDefault="00361A8A" w:rsidP="00D83DF5">
      <w:pPr>
        <w:pStyle w:val="Heading1"/>
        <w:jc w:val="both"/>
        <w:rPr>
          <w:rFonts w:asciiTheme="minorHAnsi" w:hAnsiTheme="minorHAnsi"/>
          <w:sz w:val="32"/>
          <w:szCs w:val="32"/>
        </w:rPr>
      </w:pPr>
      <w:r w:rsidRPr="00FD5163">
        <w:rPr>
          <w:rFonts w:asciiTheme="minorHAnsi" w:hAnsiTheme="minorHAnsi"/>
          <w:sz w:val="32"/>
          <w:szCs w:val="32"/>
        </w:rPr>
        <w:t>Reference List</w:t>
      </w:r>
      <w:bookmarkEnd w:id="12"/>
      <w:r w:rsidRPr="00FD5163">
        <w:rPr>
          <w:rFonts w:asciiTheme="minorHAnsi" w:hAnsiTheme="minorHAnsi"/>
          <w:sz w:val="32"/>
          <w:szCs w:val="32"/>
        </w:rPr>
        <w:t xml:space="preserve"> </w:t>
      </w:r>
    </w:p>
    <w:p w14:paraId="0D350D31" w14:textId="77777777" w:rsidR="00361A8A" w:rsidRPr="00625728" w:rsidRDefault="00361A8A" w:rsidP="00D83DF5">
      <w:pPr>
        <w:jc w:val="both"/>
        <w:rPr>
          <w:rFonts w:asciiTheme="minorHAnsi" w:hAnsiTheme="minorHAnsi"/>
        </w:rPr>
      </w:pPr>
    </w:p>
    <w:p w14:paraId="26B5795B" w14:textId="77777777" w:rsidR="00987A4A" w:rsidRPr="00B63542" w:rsidRDefault="00987A4A" w:rsidP="00987A4A">
      <w:pPr>
        <w:spacing w:before="100" w:beforeAutospacing="1" w:after="100" w:afterAutospacing="1"/>
        <w:rPr>
          <w:rFonts w:ascii="Helvetica Neue" w:hAnsi="Helvetica Neue"/>
          <w:color w:val="000000"/>
        </w:rPr>
      </w:pPr>
      <w:r w:rsidRPr="00733654">
        <w:rPr>
          <w:rFonts w:ascii="Helvetica Neue" w:hAnsi="Helvetica Neue"/>
          <w:color w:val="000000"/>
        </w:rPr>
        <w:t>Arkanet Group Ltd (no date) </w:t>
      </w:r>
      <w:r w:rsidRPr="00733654">
        <w:rPr>
          <w:rFonts w:ascii="Helvetica Neue" w:hAnsi="Helvetica Neue"/>
          <w:i/>
          <w:iCs/>
          <w:color w:val="000000"/>
        </w:rPr>
        <w:t>Public liability insurance for events</w:t>
      </w:r>
      <w:r w:rsidRPr="00733654">
        <w:rPr>
          <w:rFonts w:ascii="Helvetica Neue" w:hAnsi="Helvetica Neue"/>
          <w:color w:val="000000"/>
        </w:rPr>
        <w:t>, </w:t>
      </w:r>
      <w:r w:rsidRPr="00733654">
        <w:rPr>
          <w:rFonts w:ascii="Helvetica Neue" w:hAnsi="Helvetica Neue"/>
          <w:i/>
          <w:iCs/>
          <w:color w:val="000000"/>
        </w:rPr>
        <w:t>Hiscox UK</w:t>
      </w:r>
      <w:r w:rsidRPr="00733654">
        <w:rPr>
          <w:rFonts w:ascii="Helvetica Neue" w:hAnsi="Helvetica Neue"/>
          <w:color w:val="000000"/>
        </w:rPr>
        <w:t xml:space="preserve">. </w:t>
      </w:r>
      <w:r>
        <w:rPr>
          <w:color w:val="000000"/>
        </w:rPr>
        <w:fldChar w:fldCharType="begin"/>
      </w:r>
      <w:r>
        <w:rPr>
          <w:color w:val="000000"/>
        </w:rPr>
        <w:instrText>HYPERLINK "</w:instrText>
      </w:r>
      <w:r w:rsidRPr="00B63542">
        <w:rPr>
          <w:color w:val="000000"/>
        </w:rPr>
        <w:instrText>https://www.hiscox.co.uk/event-insurance/event-public-liability-insurance</w:instrText>
      </w:r>
      <w:r>
        <w:rPr>
          <w:color w:val="000000"/>
        </w:rPr>
        <w:instrText>"</w:instrText>
      </w:r>
      <w:r>
        <w:rPr>
          <w:color w:val="000000"/>
        </w:rPr>
        <w:fldChar w:fldCharType="separate"/>
      </w:r>
      <w:r w:rsidRPr="00717A67">
        <w:rPr>
          <w:rStyle w:val="Hyperlink"/>
        </w:rPr>
        <w:t>https://www.hiscox.co.uk/event-insurance/event-public-liability-insurance</w:t>
      </w:r>
      <w:r>
        <w:rPr>
          <w:color w:val="000000"/>
        </w:rPr>
        <w:fldChar w:fldCharType="end"/>
      </w:r>
    </w:p>
    <w:p w14:paraId="5251C9BF" w14:textId="77777777" w:rsidR="00987A4A" w:rsidRDefault="00987A4A" w:rsidP="00DB48A6"/>
    <w:p w14:paraId="73EE58BB" w14:textId="35D88F51" w:rsidR="00DB48A6" w:rsidRPr="00066F2F" w:rsidRDefault="00066F2F" w:rsidP="00066F2F">
      <w:pPr>
        <w:spacing w:before="100" w:beforeAutospacing="1" w:after="100" w:afterAutospacing="1"/>
        <w:rPr>
          <w:rFonts w:asciiTheme="minorHAnsi" w:hAnsiTheme="minorHAnsi"/>
          <w:color w:val="000000"/>
        </w:rPr>
      </w:pPr>
      <w:r w:rsidRPr="00625728">
        <w:rPr>
          <w:rFonts w:asciiTheme="minorHAnsi" w:hAnsiTheme="minorHAnsi"/>
          <w:color w:val="000000"/>
        </w:rPr>
        <w:t>Buckley, R.A. (2020) Negligence—when does a duty of care arise?, Lexisnexis.co.uk. LexisNexis. Available at: https://www.lexisnexis.co.uk/legal/guidance/negligence-when-does-a-duty-of-care-arise (Accessed: 14 March 2025).</w:t>
      </w:r>
      <w:r>
        <w:fldChar w:fldCharType="begin"/>
      </w:r>
      <w:r>
        <w:instrText>HYPERLINK "</w:instrText>
      </w:r>
      <w:r w:rsidRPr="00066F2F">
        <w:instrText>https://www.lexisnexis.co.uk/legal/guidance/negligence-when-does-a-duty-of-care-arise</w:instrText>
      </w:r>
      <w:r>
        <w:instrText>"</w:instrText>
      </w:r>
      <w:r>
        <w:fldChar w:fldCharType="separate"/>
      </w:r>
      <w:r w:rsidRPr="00717A67">
        <w:rPr>
          <w:rStyle w:val="Hyperlink"/>
        </w:rPr>
        <w:t>https://www.lexisnexis.co.uk/legal/guidance/negligence-when-does-a-duty-of-care-arise</w:t>
      </w:r>
      <w:r>
        <w:fldChar w:fldCharType="end"/>
      </w:r>
    </w:p>
    <w:p w14:paraId="4CE21FFD" w14:textId="77777777" w:rsidR="00987A4A" w:rsidRDefault="00987A4A" w:rsidP="00DB48A6"/>
    <w:p w14:paraId="1284E80C" w14:textId="77777777" w:rsidR="00987A4A" w:rsidRPr="00E67F8A" w:rsidRDefault="00987A4A" w:rsidP="00987A4A">
      <w:pPr>
        <w:spacing w:before="100" w:beforeAutospacing="1" w:after="100" w:afterAutospacing="1"/>
        <w:rPr>
          <w:rFonts w:asciiTheme="minorHAnsi" w:hAnsiTheme="minorHAnsi"/>
          <w:color w:val="000000"/>
        </w:rPr>
      </w:pPr>
      <w:r w:rsidRPr="00625728">
        <w:rPr>
          <w:rFonts w:asciiTheme="minorHAnsi" w:hAnsiTheme="minorHAnsi"/>
          <w:color w:val="000000"/>
        </w:rPr>
        <w:t>Buckley, R.A. (2019) Breach of statutory duty, Lexisnexis.co.uk. LexisNexis. Available at: https://www.lexisnexis.co.uk/legal/guidance/breach-of-statutory-duty (Accessed: 14 March 2025)</w:t>
      </w:r>
      <w:r>
        <w:rPr>
          <w:color w:val="000000"/>
        </w:rPr>
        <w:t>.</w:t>
      </w:r>
    </w:p>
    <w:p w14:paraId="0FC6DC38" w14:textId="77777777" w:rsidR="00987A4A" w:rsidRPr="00625728" w:rsidRDefault="00987A4A" w:rsidP="00987A4A">
      <w:pPr>
        <w:rPr>
          <w:rFonts w:asciiTheme="minorHAnsi" w:hAnsiTheme="minorHAnsi"/>
        </w:rPr>
      </w:pPr>
      <w:hyperlink r:id="rId8" w:history="1">
        <w:r w:rsidRPr="00717A67">
          <w:rPr>
            <w:rStyle w:val="Hyperlink"/>
          </w:rPr>
          <w:t>https://www.lexisnexis.co.uk/legal/guidance/breach-of-statutory-duty</w:t>
        </w:r>
      </w:hyperlink>
    </w:p>
    <w:p w14:paraId="5AFB0B3C" w14:textId="77777777" w:rsidR="00987A4A" w:rsidRPr="00625728" w:rsidRDefault="00987A4A" w:rsidP="00987A4A">
      <w:pPr>
        <w:rPr>
          <w:rFonts w:asciiTheme="minorHAnsi" w:hAnsiTheme="minorHAnsi"/>
        </w:rPr>
      </w:pPr>
    </w:p>
    <w:p w14:paraId="6BEAF428" w14:textId="77777777" w:rsidR="00987A4A" w:rsidRPr="00625728" w:rsidRDefault="00987A4A" w:rsidP="00987A4A">
      <w:pPr>
        <w:spacing w:before="100" w:beforeAutospacing="1" w:after="100" w:afterAutospacing="1"/>
        <w:rPr>
          <w:rFonts w:asciiTheme="minorHAnsi" w:hAnsiTheme="minorHAnsi"/>
          <w:color w:val="000000"/>
        </w:rPr>
      </w:pPr>
      <w:r w:rsidRPr="00625728">
        <w:rPr>
          <w:rFonts w:asciiTheme="minorHAnsi" w:hAnsiTheme="minorHAnsi"/>
          <w:color w:val="000000"/>
        </w:rPr>
        <w:t>Buckley, R.A. (2019b) Negligence—key elements to establish a negligence claim, Lexisnexis.co.uk. LexisNexis. Available at: https://www.lexisnexis.co.uk/legal/guidance/negligence-key-elements-to-establish-a-negligence-claim (Accessed: 14 March 2025).</w:t>
      </w:r>
    </w:p>
    <w:p w14:paraId="2FA589EF" w14:textId="77777777" w:rsidR="00987A4A" w:rsidRPr="00625728" w:rsidRDefault="00987A4A" w:rsidP="00987A4A">
      <w:pPr>
        <w:rPr>
          <w:rFonts w:asciiTheme="minorHAnsi" w:hAnsiTheme="minorHAnsi"/>
        </w:rPr>
      </w:pPr>
      <w:hyperlink r:id="rId9" w:history="1">
        <w:r w:rsidRPr="00717A67">
          <w:rPr>
            <w:rStyle w:val="Hyperlink"/>
          </w:rPr>
          <w:t>https://www.lexisnexis.co.uk/legal/guidance/negligence-key-elements-to-establish-a-negligence-claim</w:t>
        </w:r>
      </w:hyperlink>
    </w:p>
    <w:p w14:paraId="1ECFB14E" w14:textId="77777777" w:rsidR="00987A4A" w:rsidRDefault="00987A4A" w:rsidP="00DB48A6"/>
    <w:p w14:paraId="27480F6F" w14:textId="77777777" w:rsidR="00987A4A" w:rsidRPr="00625728" w:rsidRDefault="00987A4A" w:rsidP="00DB48A6">
      <w:pPr>
        <w:rPr>
          <w:rFonts w:asciiTheme="minorHAnsi" w:hAnsiTheme="minorHAnsi"/>
        </w:rPr>
      </w:pPr>
    </w:p>
    <w:p w14:paraId="75695779" w14:textId="77777777" w:rsidR="00066F2F" w:rsidRPr="00625728" w:rsidRDefault="00066F2F" w:rsidP="00066F2F">
      <w:pPr>
        <w:spacing w:before="100" w:beforeAutospacing="1" w:after="100" w:afterAutospacing="1"/>
        <w:rPr>
          <w:rFonts w:asciiTheme="minorHAnsi" w:hAnsiTheme="minorHAnsi"/>
          <w:color w:val="000000"/>
        </w:rPr>
      </w:pPr>
      <w:r w:rsidRPr="00625728">
        <w:rPr>
          <w:rFonts w:asciiTheme="minorHAnsi" w:hAnsiTheme="minorHAnsi"/>
          <w:color w:val="000000"/>
        </w:rPr>
        <w:t>Causation definition (no date) Lexisnexis.co.uk. Available at: https://www.lexisnexis.co.uk/legal/glossary/causation (Accessed: 14 March 2025).</w:t>
      </w:r>
    </w:p>
    <w:p w14:paraId="273CAF9C" w14:textId="7EDE9F28" w:rsidR="00DB48A6" w:rsidRPr="00625728" w:rsidRDefault="00066F2F" w:rsidP="00DB48A6">
      <w:pPr>
        <w:rPr>
          <w:rFonts w:asciiTheme="minorHAnsi" w:hAnsiTheme="minorHAnsi"/>
        </w:rPr>
      </w:pPr>
      <w:r>
        <w:fldChar w:fldCharType="begin"/>
      </w:r>
      <w:r>
        <w:instrText>HYPERLINK "</w:instrText>
      </w:r>
      <w:r w:rsidRPr="00066F2F">
        <w:instrText>https://www.lexisnexis.co.uk/legal/glossary/causation</w:instrText>
      </w:r>
      <w:r>
        <w:instrText>"</w:instrText>
      </w:r>
      <w:r>
        <w:fldChar w:fldCharType="separate"/>
      </w:r>
      <w:r w:rsidRPr="00717A67">
        <w:rPr>
          <w:rStyle w:val="Hyperlink"/>
        </w:rPr>
        <w:t>https://www.lexisnexis.co.uk/legal/glossary/causation</w:t>
      </w:r>
      <w:r>
        <w:fldChar w:fldCharType="end"/>
      </w:r>
    </w:p>
    <w:p w14:paraId="5E29AA4B" w14:textId="77777777" w:rsidR="00DB48A6" w:rsidRPr="00625728" w:rsidRDefault="00DB48A6" w:rsidP="00DB48A6">
      <w:pPr>
        <w:rPr>
          <w:rFonts w:asciiTheme="minorHAnsi" w:hAnsiTheme="minorHAnsi"/>
        </w:rPr>
      </w:pPr>
    </w:p>
    <w:p w14:paraId="6A9704F6" w14:textId="77777777" w:rsidR="00E67F8A" w:rsidRPr="00625728" w:rsidRDefault="00E67F8A" w:rsidP="00E67F8A">
      <w:pPr>
        <w:rPr>
          <w:rFonts w:asciiTheme="minorHAnsi" w:hAnsiTheme="minorHAnsi"/>
        </w:rPr>
      </w:pPr>
    </w:p>
    <w:p w14:paraId="4E6A57EF" w14:textId="5B4A486B" w:rsidR="00DB48A6" w:rsidRPr="00E67F8A" w:rsidRDefault="00E67F8A" w:rsidP="00E67F8A">
      <w:pPr>
        <w:spacing w:before="100" w:beforeAutospacing="1" w:after="100" w:afterAutospacing="1"/>
        <w:rPr>
          <w:rFonts w:asciiTheme="minorHAnsi" w:hAnsiTheme="minorHAnsi"/>
          <w:color w:val="000000"/>
        </w:rPr>
      </w:pPr>
      <w:r w:rsidRPr="00625728">
        <w:rPr>
          <w:rFonts w:asciiTheme="minorHAnsi" w:hAnsiTheme="minorHAnsi"/>
          <w:color w:val="000000"/>
        </w:rPr>
        <w:t>Causation and material contribution in clinical negligence claims (2020) Lexisnexis.co.uk. LexisNexis. Available at: https://www.lexisnexis.co.uk/legal/guidance/causation-material-contribution-in-clinical-negligence-claims (Accessed: 14 March 2025).</w:t>
      </w:r>
      <w:r>
        <w:fldChar w:fldCharType="begin"/>
      </w:r>
      <w:r>
        <w:instrText>HYPERLINK "</w:instrText>
      </w:r>
      <w:r w:rsidRPr="00E67F8A">
        <w:instrText>https://www.lexisnexis.co.uk/legal/guidance/causation-material-contribution-in-clinical-negligence-claims</w:instrText>
      </w:r>
      <w:r>
        <w:instrText>"</w:instrText>
      </w:r>
      <w:r>
        <w:fldChar w:fldCharType="separate"/>
      </w:r>
      <w:r w:rsidRPr="00717A67">
        <w:rPr>
          <w:rStyle w:val="Hyperlink"/>
        </w:rPr>
        <w:t>https://www.lexisnexis.co.uk/legal/guidance/causation-material-contribution-in-clini</w:t>
      </w:r>
      <w:r w:rsidRPr="00717A67">
        <w:rPr>
          <w:rStyle w:val="Hyperlink"/>
        </w:rPr>
        <w:t>c</w:t>
      </w:r>
      <w:r w:rsidRPr="00717A67">
        <w:rPr>
          <w:rStyle w:val="Hyperlink"/>
        </w:rPr>
        <w:t>al-negligence-claims</w:t>
      </w:r>
      <w:r>
        <w:fldChar w:fldCharType="end"/>
      </w:r>
    </w:p>
    <w:p w14:paraId="4BF060FC" w14:textId="77777777" w:rsidR="00DB48A6" w:rsidRDefault="00DB48A6" w:rsidP="00DB48A6"/>
    <w:p w14:paraId="675601C1" w14:textId="77777777" w:rsidR="00987A4A" w:rsidRDefault="00987A4A" w:rsidP="00987A4A">
      <w:pPr>
        <w:spacing w:before="100" w:beforeAutospacing="1" w:after="100" w:afterAutospacing="1"/>
        <w:rPr>
          <w:color w:val="000000"/>
        </w:rPr>
      </w:pPr>
      <w:r w:rsidRPr="00B63542">
        <w:rPr>
          <w:rFonts w:ascii="Helvetica Neue" w:hAnsi="Helvetica Neue"/>
          <w:i/>
          <w:iCs/>
          <w:color w:val="000000"/>
        </w:rPr>
        <w:t>Caparo three-part test</w:t>
      </w:r>
      <w:r w:rsidRPr="00B63542">
        <w:rPr>
          <w:rFonts w:ascii="Helvetica Neue" w:hAnsi="Helvetica Neue"/>
          <w:color w:val="000000"/>
        </w:rPr>
        <w:t> (2024) </w:t>
      </w:r>
      <w:r w:rsidRPr="00B63542">
        <w:rPr>
          <w:rFonts w:ascii="Helvetica Neue" w:hAnsi="Helvetica Neue"/>
          <w:i/>
          <w:iCs/>
          <w:color w:val="000000"/>
        </w:rPr>
        <w:t>UOLLB First Class Law Notes®</w:t>
      </w:r>
      <w:r w:rsidRPr="00B63542">
        <w:rPr>
          <w:rFonts w:ascii="Helvetica Neue" w:hAnsi="Helvetica Neue"/>
          <w:color w:val="000000"/>
        </w:rPr>
        <w:t xml:space="preserve">. </w:t>
      </w:r>
      <w:r>
        <w:rPr>
          <w:color w:val="000000"/>
        </w:rPr>
        <w:fldChar w:fldCharType="begin"/>
      </w:r>
      <w:r>
        <w:rPr>
          <w:color w:val="000000"/>
        </w:rPr>
        <w:instrText>HYPERLINK "</w:instrText>
      </w:r>
      <w:r w:rsidRPr="00B63542">
        <w:rPr>
          <w:color w:val="000000"/>
        </w:rPr>
        <w:instrText>https://uollb.com/blogs/uol/caparo-three-part-test</w:instrText>
      </w:r>
      <w:r>
        <w:rPr>
          <w:color w:val="000000"/>
        </w:rPr>
        <w:instrText>"</w:instrText>
      </w:r>
      <w:r>
        <w:rPr>
          <w:color w:val="000000"/>
        </w:rPr>
        <w:fldChar w:fldCharType="separate"/>
      </w:r>
      <w:r w:rsidRPr="00717A67">
        <w:rPr>
          <w:rStyle w:val="Hyperlink"/>
        </w:rPr>
        <w:t>https://uollb.com/blogs/uol/caparo-three-part-test</w:t>
      </w:r>
      <w:r>
        <w:rPr>
          <w:color w:val="000000"/>
        </w:rPr>
        <w:fldChar w:fldCharType="end"/>
      </w:r>
    </w:p>
    <w:p w14:paraId="1BF37ED9" w14:textId="77777777" w:rsidR="00987A4A" w:rsidRPr="00625728" w:rsidRDefault="00987A4A" w:rsidP="00DB48A6">
      <w:pPr>
        <w:rPr>
          <w:rFonts w:asciiTheme="minorHAnsi" w:hAnsiTheme="minorHAnsi"/>
        </w:rPr>
      </w:pPr>
    </w:p>
    <w:p w14:paraId="4BB580FB" w14:textId="6C18B753" w:rsidR="004F2354" w:rsidRDefault="00DB48A6" w:rsidP="00DB48A6">
      <w:pPr>
        <w:spacing w:before="100" w:beforeAutospacing="1" w:after="100" w:afterAutospacing="1"/>
        <w:rPr>
          <w:color w:val="000000"/>
        </w:rPr>
      </w:pPr>
      <w:r w:rsidRPr="00625728">
        <w:rPr>
          <w:rFonts w:asciiTheme="minorHAnsi" w:hAnsiTheme="minorHAnsi"/>
          <w:color w:val="000000"/>
        </w:rPr>
        <w:t xml:space="preserve">Duty of care definition (no date) Lexisnexis.co.uk. </w:t>
      </w:r>
      <w:hyperlink r:id="rId10" w:history="1">
        <w:r w:rsidR="00AB5A9D" w:rsidRPr="00717A67">
          <w:rPr>
            <w:rStyle w:val="Hyperlink"/>
          </w:rPr>
          <w:t>https://www.lexisnexis.co.uk/legal/glossary/duty-</w:t>
        </w:r>
        <w:r w:rsidR="00AB5A9D" w:rsidRPr="00717A67">
          <w:rPr>
            <w:rStyle w:val="Hyperlink"/>
          </w:rPr>
          <w:t>o</w:t>
        </w:r>
        <w:r w:rsidR="00AB5A9D" w:rsidRPr="00717A67">
          <w:rPr>
            <w:rStyle w:val="Hyperlink"/>
          </w:rPr>
          <w:t>f-care</w:t>
        </w:r>
      </w:hyperlink>
    </w:p>
    <w:p w14:paraId="1D55540E" w14:textId="77777777" w:rsidR="00B63542" w:rsidRDefault="00B63542" w:rsidP="00B63542">
      <w:pPr>
        <w:spacing w:before="100" w:beforeAutospacing="1" w:after="100" w:afterAutospacing="1"/>
        <w:rPr>
          <w:color w:val="000000"/>
        </w:rPr>
      </w:pPr>
    </w:p>
    <w:p w14:paraId="2BC36501" w14:textId="77777777" w:rsidR="002A57FD" w:rsidRDefault="00C927CB" w:rsidP="00C927CB">
      <w:pPr>
        <w:spacing w:before="100" w:beforeAutospacing="1" w:after="100" w:afterAutospacing="1"/>
        <w:rPr>
          <w:rFonts w:ascii="Helvetica Neue" w:hAnsi="Helvetica Neue"/>
          <w:color w:val="000000"/>
        </w:rPr>
      </w:pPr>
      <w:r w:rsidRPr="00C927CB">
        <w:rPr>
          <w:rFonts w:ascii="Helvetica Neue" w:hAnsi="Helvetica Neue"/>
          <w:color w:val="000000"/>
        </w:rPr>
        <w:t>Expert Participation (1980) ‘Occupiers’ liability Act 1957’</w:t>
      </w:r>
    </w:p>
    <w:p w14:paraId="54BF8B18" w14:textId="480170BC" w:rsidR="00C927CB" w:rsidRDefault="002A57FD" w:rsidP="00C927CB">
      <w:pPr>
        <w:spacing w:before="100" w:beforeAutospacing="1" w:after="100" w:afterAutospacing="1"/>
        <w:rPr>
          <w:rFonts w:ascii="Helvetica Neue" w:hAnsi="Helvetica Neue"/>
          <w:color w:val="000000"/>
        </w:rPr>
      </w:pPr>
      <w:hyperlink r:id="rId11" w:history="1">
        <w:r w:rsidRPr="00717A67">
          <w:rPr>
            <w:rStyle w:val="Hyperlink"/>
            <w:rFonts w:ascii="Helvetica Neue" w:hAnsi="Helvetica Neue"/>
          </w:rPr>
          <w:t>https://www.legislation.gov.uk/ukpga/Eliz2/5-6/31/contents</w:t>
        </w:r>
      </w:hyperlink>
    </w:p>
    <w:p w14:paraId="57CB68E3" w14:textId="77777777" w:rsidR="002A57FD" w:rsidRDefault="002A57FD" w:rsidP="00C927CB">
      <w:pPr>
        <w:spacing w:before="100" w:beforeAutospacing="1" w:after="100" w:afterAutospacing="1"/>
        <w:rPr>
          <w:rFonts w:ascii="Helvetica Neue" w:hAnsi="Helvetica Neue"/>
          <w:color w:val="000000"/>
        </w:rPr>
      </w:pPr>
    </w:p>
    <w:p w14:paraId="1B00F650" w14:textId="39060F3A" w:rsidR="00F86300" w:rsidRPr="00F86300" w:rsidRDefault="00F86300" w:rsidP="00F86300">
      <w:pPr>
        <w:spacing w:before="100" w:beforeAutospacing="1" w:after="100" w:afterAutospacing="1"/>
        <w:rPr>
          <w:rFonts w:ascii="Helvetica Neue" w:hAnsi="Helvetica Neue"/>
          <w:color w:val="000000"/>
        </w:rPr>
      </w:pPr>
      <w:r w:rsidRPr="00F86300">
        <w:rPr>
          <w:rFonts w:ascii="Helvetica Neue" w:hAnsi="Helvetica Neue"/>
          <w:color w:val="000000"/>
        </w:rPr>
        <w:t xml:space="preserve">Expert Participation (no date) ‘The Fireworks Regulations 2004’. </w:t>
      </w:r>
    </w:p>
    <w:p w14:paraId="0EF60A7F" w14:textId="78FF56F8" w:rsidR="00F86300" w:rsidRDefault="0054759A" w:rsidP="00F86300">
      <w:hyperlink r:id="rId12" w:history="1">
        <w:r w:rsidRPr="00717A67">
          <w:rPr>
            <w:rStyle w:val="Hyperlink"/>
          </w:rPr>
          <w:t>https://www.legislation.gov.uk/uksi/2004/1836/contents</w:t>
        </w:r>
      </w:hyperlink>
    </w:p>
    <w:p w14:paraId="111AAA70" w14:textId="77777777" w:rsidR="0054759A" w:rsidRDefault="0054759A" w:rsidP="00F86300"/>
    <w:p w14:paraId="356F6252" w14:textId="77777777" w:rsidR="002033EB" w:rsidRDefault="002033EB" w:rsidP="002033EB">
      <w:pPr>
        <w:pStyle w:val="NormalWeb"/>
        <w:rPr>
          <w:rFonts w:asciiTheme="minorHAnsi" w:hAnsiTheme="minorHAnsi"/>
        </w:rPr>
      </w:pPr>
      <w:r>
        <w:rPr>
          <w:rFonts w:ascii="Helvetica Neue" w:hAnsi="Helvetica Neue"/>
          <w:color w:val="000000"/>
        </w:rPr>
        <w:t>Glassford, L. (2023)</w:t>
      </w:r>
      <w:r>
        <w:rPr>
          <w:rStyle w:val="apple-converted-space"/>
          <w:rFonts w:ascii="Helvetica Neue" w:eastAsiaTheme="majorEastAsia" w:hAnsi="Helvetica Neue"/>
          <w:color w:val="000000"/>
        </w:rPr>
        <w:t> </w:t>
      </w:r>
      <w:r>
        <w:rPr>
          <w:rFonts w:ascii="Helvetica Neue" w:hAnsi="Helvetica Neue"/>
          <w:i/>
          <w:iCs/>
          <w:color w:val="000000"/>
        </w:rPr>
        <w:t>Public liability insurance for events</w:t>
      </w:r>
      <w:r>
        <w:rPr>
          <w:rFonts w:ascii="Helvetica Neue" w:hAnsi="Helvetica Neue"/>
          <w:color w:val="000000"/>
        </w:rPr>
        <w:t>,</w:t>
      </w:r>
      <w:r>
        <w:rPr>
          <w:rStyle w:val="apple-converted-space"/>
          <w:rFonts w:ascii="Helvetica Neue" w:eastAsiaTheme="majorEastAsia" w:hAnsi="Helvetica Neue"/>
          <w:color w:val="000000"/>
        </w:rPr>
        <w:t> </w:t>
      </w:r>
      <w:r>
        <w:rPr>
          <w:rFonts w:ascii="Helvetica Neue" w:hAnsi="Helvetica Neue"/>
          <w:i/>
          <w:iCs/>
          <w:color w:val="000000"/>
        </w:rPr>
        <w:t>Mode Insurance</w:t>
      </w:r>
      <w:r>
        <w:rPr>
          <w:rFonts w:ascii="Helvetica Neue" w:hAnsi="Helvetica Neue"/>
          <w:color w:val="000000"/>
        </w:rPr>
        <w:t xml:space="preserve">. </w:t>
      </w:r>
    </w:p>
    <w:p w14:paraId="0D1BB7A3" w14:textId="77777777" w:rsidR="002033EB" w:rsidRDefault="002033EB" w:rsidP="002033EB">
      <w:pPr>
        <w:jc w:val="both"/>
        <w:rPr>
          <w:rFonts w:asciiTheme="minorHAnsi" w:hAnsiTheme="minorHAnsi"/>
        </w:rPr>
      </w:pPr>
      <w:hyperlink r:id="rId13" w:history="1">
        <w:r w:rsidRPr="00717A67">
          <w:rPr>
            <w:rStyle w:val="Hyperlink"/>
            <w:rFonts w:asciiTheme="minorHAnsi" w:hAnsiTheme="minorHAnsi"/>
          </w:rPr>
          <w:t>https://modeinsurance.co.uk/public-liability-insurance-events/?utm_source=chatgpt.com</w:t>
        </w:r>
      </w:hyperlink>
    </w:p>
    <w:p w14:paraId="0C512D6B" w14:textId="77777777" w:rsidR="00F86300" w:rsidRDefault="00F86300" w:rsidP="00C927CB">
      <w:pPr>
        <w:spacing w:before="100" w:beforeAutospacing="1" w:after="100" w:afterAutospacing="1"/>
        <w:rPr>
          <w:rFonts w:ascii="Helvetica Neue" w:hAnsi="Helvetica Neue"/>
          <w:color w:val="000000"/>
        </w:rPr>
      </w:pPr>
    </w:p>
    <w:p w14:paraId="74188CDE" w14:textId="40AAAAB4" w:rsidR="00EC43C7" w:rsidRDefault="00EC43C7" w:rsidP="00EC43C7">
      <w:pPr>
        <w:spacing w:before="100" w:beforeAutospacing="1" w:after="100" w:afterAutospacing="1"/>
        <w:rPr>
          <w:rFonts w:ascii="Helvetica Neue" w:hAnsi="Helvetica Neue"/>
          <w:color w:val="000000"/>
        </w:rPr>
      </w:pPr>
      <w:r w:rsidRPr="00EC43C7">
        <w:rPr>
          <w:rFonts w:ascii="Helvetica Neue" w:hAnsi="Helvetica Neue"/>
          <w:i/>
          <w:iCs/>
          <w:color w:val="000000"/>
        </w:rPr>
        <w:t>Haley v London Electricity Board</w:t>
      </w:r>
      <w:r w:rsidRPr="00EC43C7">
        <w:rPr>
          <w:rFonts w:ascii="Helvetica Neue" w:hAnsi="Helvetica Neue"/>
          <w:color w:val="000000"/>
        </w:rPr>
        <w:t> (no date) </w:t>
      </w:r>
      <w:r w:rsidRPr="00EC43C7">
        <w:rPr>
          <w:rFonts w:ascii="Helvetica Neue" w:hAnsi="Helvetica Neue"/>
          <w:i/>
          <w:iCs/>
          <w:color w:val="000000"/>
        </w:rPr>
        <w:t>https://www.casemine.com</w:t>
      </w:r>
      <w:r w:rsidRPr="00EC43C7">
        <w:rPr>
          <w:rFonts w:ascii="Helvetica Neue" w:hAnsi="Helvetica Neue"/>
          <w:color w:val="000000"/>
        </w:rPr>
        <w:t xml:space="preserve">. </w:t>
      </w:r>
    </w:p>
    <w:p w14:paraId="7ED6794A" w14:textId="464A57A0" w:rsidR="00EC43C7" w:rsidRDefault="00EC43C7" w:rsidP="00EC43C7">
      <w:pPr>
        <w:spacing w:before="100" w:beforeAutospacing="1" w:after="100" w:afterAutospacing="1"/>
        <w:rPr>
          <w:rFonts w:ascii="Helvetica Neue" w:hAnsi="Helvetica Neue"/>
          <w:color w:val="000000"/>
        </w:rPr>
      </w:pPr>
      <w:hyperlink r:id="rId14" w:history="1">
        <w:r w:rsidRPr="00717A67">
          <w:rPr>
            <w:rStyle w:val="Hyperlink"/>
            <w:rFonts w:ascii="Helvetica Neue" w:hAnsi="Helvetica Neue"/>
          </w:rPr>
          <w:t>https://www.casemine.com/judgement/uk/5a938b4360d03e5f6b82c1b9</w:t>
        </w:r>
      </w:hyperlink>
    </w:p>
    <w:p w14:paraId="4C72D45A" w14:textId="77777777" w:rsidR="00EC43C7" w:rsidRDefault="00EC43C7" w:rsidP="00EC43C7">
      <w:pPr>
        <w:spacing w:before="100" w:beforeAutospacing="1" w:after="100" w:afterAutospacing="1"/>
        <w:rPr>
          <w:rFonts w:ascii="Helvetica Neue" w:hAnsi="Helvetica Neue"/>
          <w:color w:val="000000"/>
        </w:rPr>
      </w:pPr>
    </w:p>
    <w:p w14:paraId="61F26AA6" w14:textId="520F71CA" w:rsidR="00EB15A6" w:rsidRPr="00EB15A6" w:rsidRDefault="00EB15A6" w:rsidP="00EB15A6">
      <w:pPr>
        <w:spacing w:before="100" w:beforeAutospacing="1" w:after="100" w:afterAutospacing="1"/>
      </w:pPr>
      <w:r w:rsidRPr="00EB15A6">
        <w:rPr>
          <w:rFonts w:ascii="Helvetica Neue" w:hAnsi="Helvetica Neue"/>
          <w:i/>
          <w:iCs/>
          <w:color w:val="000000"/>
        </w:rPr>
        <w:t>Health and Safety at Work etc Act 1974</w:t>
      </w:r>
      <w:r w:rsidRPr="00EB15A6">
        <w:rPr>
          <w:rFonts w:ascii="Helvetica Neue" w:hAnsi="Helvetica Neue"/>
          <w:color w:val="000000"/>
        </w:rPr>
        <w:t> (no date) </w:t>
      </w:r>
      <w:r w:rsidRPr="00EB15A6">
        <w:rPr>
          <w:rFonts w:ascii="Helvetica Neue" w:hAnsi="Helvetica Neue"/>
          <w:i/>
          <w:iCs/>
          <w:color w:val="000000"/>
        </w:rPr>
        <w:t>Gov.uk</w:t>
      </w:r>
      <w:r w:rsidRPr="00EB15A6">
        <w:rPr>
          <w:rFonts w:ascii="Helvetica Neue" w:hAnsi="Helvetica Neue"/>
          <w:color w:val="000000"/>
        </w:rPr>
        <w:t xml:space="preserve">. </w:t>
      </w:r>
    </w:p>
    <w:p w14:paraId="7ECAD246" w14:textId="0BFBFFF4" w:rsidR="00EC43C7" w:rsidRDefault="003B3266" w:rsidP="00EC43C7">
      <w:pPr>
        <w:spacing w:before="100" w:beforeAutospacing="1" w:after="100" w:afterAutospacing="1"/>
        <w:rPr>
          <w:rFonts w:ascii="Helvetica Neue" w:hAnsi="Helvetica Neue"/>
          <w:color w:val="000000"/>
        </w:rPr>
      </w:pPr>
      <w:hyperlink r:id="rId15" w:history="1">
        <w:r w:rsidRPr="00717A67">
          <w:rPr>
            <w:rStyle w:val="Hyperlink"/>
            <w:rFonts w:ascii="Helvetica Neue" w:hAnsi="Helvetica Neue"/>
          </w:rPr>
          <w:t>https://www.hse.gov.uk/legislation/hswa.htm</w:t>
        </w:r>
      </w:hyperlink>
    </w:p>
    <w:p w14:paraId="10B752F7" w14:textId="77777777" w:rsidR="003B3266" w:rsidRDefault="003B3266" w:rsidP="00EC43C7">
      <w:pPr>
        <w:spacing w:before="100" w:beforeAutospacing="1" w:after="100" w:afterAutospacing="1"/>
        <w:rPr>
          <w:rFonts w:ascii="Helvetica Neue" w:hAnsi="Helvetica Neue"/>
          <w:color w:val="000000"/>
        </w:rPr>
      </w:pPr>
    </w:p>
    <w:p w14:paraId="4FFD3679" w14:textId="28DA2F77" w:rsidR="00523C02" w:rsidRDefault="00523C02" w:rsidP="00523C02">
      <w:pPr>
        <w:spacing w:before="100" w:beforeAutospacing="1" w:after="100" w:afterAutospacing="1"/>
        <w:rPr>
          <w:rFonts w:ascii="Helvetica Neue" w:hAnsi="Helvetica Neue"/>
          <w:color w:val="000000"/>
        </w:rPr>
      </w:pPr>
      <w:r w:rsidRPr="00523C02">
        <w:rPr>
          <w:rFonts w:ascii="Helvetica Neue" w:hAnsi="Helvetica Neue"/>
          <w:i/>
          <w:iCs/>
          <w:color w:val="000000"/>
        </w:rPr>
        <w:t>Occupiers’ liability definition</w:t>
      </w:r>
      <w:r w:rsidRPr="00523C02">
        <w:rPr>
          <w:rFonts w:ascii="Helvetica Neue" w:hAnsi="Helvetica Neue"/>
          <w:color w:val="000000"/>
        </w:rPr>
        <w:t> (no date a) </w:t>
      </w:r>
      <w:r w:rsidRPr="00523C02">
        <w:rPr>
          <w:rFonts w:ascii="Helvetica Neue" w:hAnsi="Helvetica Neue"/>
          <w:i/>
          <w:iCs/>
          <w:color w:val="000000"/>
        </w:rPr>
        <w:t>Lexisnexis.co.uk</w:t>
      </w:r>
      <w:r w:rsidR="00807FA8">
        <w:rPr>
          <w:rFonts w:ascii="Helvetica Neue" w:hAnsi="Helvetica Neue"/>
          <w:color w:val="000000"/>
        </w:rPr>
        <w:t>.</w:t>
      </w:r>
    </w:p>
    <w:p w14:paraId="4BF8C980" w14:textId="5BD1EF64" w:rsidR="00E504A7" w:rsidRDefault="00E504A7" w:rsidP="00523C02">
      <w:pPr>
        <w:spacing w:before="100" w:beforeAutospacing="1" w:after="100" w:afterAutospacing="1"/>
        <w:rPr>
          <w:rFonts w:ascii="Helvetica Neue" w:hAnsi="Helvetica Neue"/>
          <w:color w:val="000000"/>
        </w:rPr>
      </w:pPr>
      <w:hyperlink r:id="rId16" w:history="1">
        <w:r w:rsidRPr="00717A67">
          <w:rPr>
            <w:rStyle w:val="Hyperlink"/>
            <w:rFonts w:ascii="Helvetica Neue" w:hAnsi="Helvetica Neue"/>
          </w:rPr>
          <w:t>https://www.lexisnexis.co.uk/legal/glossary/occupiers-liability</w:t>
        </w:r>
      </w:hyperlink>
    </w:p>
    <w:p w14:paraId="67B52329" w14:textId="77777777" w:rsidR="00E504A7" w:rsidRDefault="00E504A7" w:rsidP="00E504A7">
      <w:pPr>
        <w:spacing w:before="100" w:beforeAutospacing="1" w:after="100" w:afterAutospacing="1"/>
        <w:rPr>
          <w:rFonts w:ascii="Helvetica Neue" w:hAnsi="Helvetica Neue"/>
          <w:i/>
          <w:iCs/>
          <w:color w:val="000000"/>
        </w:rPr>
      </w:pPr>
    </w:p>
    <w:p w14:paraId="657C8335" w14:textId="2B12BFDA" w:rsidR="00E504A7" w:rsidRDefault="00E504A7" w:rsidP="00E504A7">
      <w:pPr>
        <w:spacing w:before="100" w:beforeAutospacing="1" w:after="100" w:afterAutospacing="1"/>
        <w:rPr>
          <w:rFonts w:ascii="Helvetica Neue" w:hAnsi="Helvetica Neue"/>
          <w:i/>
          <w:iCs/>
          <w:color w:val="000000"/>
        </w:rPr>
      </w:pPr>
      <w:r w:rsidRPr="00E504A7">
        <w:rPr>
          <w:rFonts w:ascii="Helvetica Neue" w:hAnsi="Helvetica Neue"/>
          <w:i/>
          <w:iCs/>
          <w:color w:val="000000"/>
        </w:rPr>
        <w:t>Overseas Tankship (UK) Ltd v Morts Dock &amp; Engineering Company Ltd</w:t>
      </w:r>
      <w:r w:rsidRPr="00E504A7">
        <w:rPr>
          <w:rFonts w:ascii="Helvetica Neue" w:hAnsi="Helvetica Neue"/>
          <w:color w:val="000000"/>
        </w:rPr>
        <w:t> (no date) </w:t>
      </w:r>
    </w:p>
    <w:p w14:paraId="57E7B8C0" w14:textId="1C561C02" w:rsidR="001433F9" w:rsidRDefault="001433F9" w:rsidP="00E504A7">
      <w:pPr>
        <w:spacing w:before="100" w:beforeAutospacing="1" w:after="100" w:afterAutospacing="1"/>
        <w:rPr>
          <w:rFonts w:ascii="Helvetica Neue" w:hAnsi="Helvetica Neue"/>
          <w:color w:val="000000"/>
        </w:rPr>
      </w:pPr>
      <w:hyperlink r:id="rId17" w:history="1">
        <w:r w:rsidRPr="00717A67">
          <w:rPr>
            <w:rStyle w:val="Hyperlink"/>
            <w:rFonts w:ascii="Helvetica Neue" w:hAnsi="Helvetica Neue"/>
          </w:rPr>
          <w:t>https://www.casemine.com/judgement/uk/5b4dc2512c94e07cccd23e8d</w:t>
        </w:r>
      </w:hyperlink>
    </w:p>
    <w:p w14:paraId="5A176E15" w14:textId="77777777" w:rsidR="001433F9" w:rsidRDefault="001433F9" w:rsidP="00E504A7">
      <w:pPr>
        <w:spacing w:before="100" w:beforeAutospacing="1" w:after="100" w:afterAutospacing="1"/>
        <w:rPr>
          <w:rFonts w:ascii="Helvetica Neue" w:hAnsi="Helvetica Neue"/>
          <w:color w:val="000000"/>
        </w:rPr>
      </w:pPr>
    </w:p>
    <w:p w14:paraId="375CC54F" w14:textId="377349F7" w:rsidR="001433F9" w:rsidRDefault="001433F9" w:rsidP="001433F9">
      <w:pPr>
        <w:spacing w:before="100" w:beforeAutospacing="1" w:after="100" w:afterAutospacing="1"/>
        <w:rPr>
          <w:rFonts w:ascii="Helvetica Neue" w:hAnsi="Helvetica Neue"/>
          <w:color w:val="000000"/>
        </w:rPr>
      </w:pPr>
      <w:r w:rsidRPr="001433F9">
        <w:rPr>
          <w:rFonts w:ascii="Helvetica Neue" w:hAnsi="Helvetica Neue"/>
          <w:i/>
          <w:iCs/>
          <w:color w:val="000000"/>
        </w:rPr>
        <w:t>Page v Smith</w:t>
      </w:r>
      <w:r w:rsidRPr="001433F9">
        <w:rPr>
          <w:rFonts w:ascii="Helvetica Neue" w:hAnsi="Helvetica Neue"/>
          <w:color w:val="000000"/>
        </w:rPr>
        <w:t> (no date</w:t>
      </w:r>
      <w:r w:rsidR="00D97585">
        <w:rPr>
          <w:rFonts w:ascii="Helvetica Neue" w:hAnsi="Helvetica Neue"/>
          <w:color w:val="000000"/>
        </w:rPr>
        <w:t>)</w:t>
      </w:r>
    </w:p>
    <w:p w14:paraId="7C557C4D" w14:textId="4BE3892A" w:rsidR="00D97585" w:rsidRDefault="00D97585" w:rsidP="001433F9">
      <w:pPr>
        <w:spacing w:before="100" w:beforeAutospacing="1" w:after="100" w:afterAutospacing="1"/>
        <w:rPr>
          <w:rFonts w:ascii="Helvetica Neue" w:hAnsi="Helvetica Neue"/>
          <w:color w:val="000000"/>
        </w:rPr>
      </w:pPr>
      <w:hyperlink r:id="rId18" w:history="1">
        <w:r w:rsidRPr="00717A67">
          <w:rPr>
            <w:rStyle w:val="Hyperlink"/>
            <w:rFonts w:ascii="Helvetica Neue" w:hAnsi="Helvetica Neue"/>
          </w:rPr>
          <w:t>https://www.casemine.com/judgement/uk/5a8ff8cb60d03e7f57ecd7f3</w:t>
        </w:r>
      </w:hyperlink>
    </w:p>
    <w:p w14:paraId="32548A5C" w14:textId="4E7C1F41" w:rsidR="00D97585" w:rsidRPr="001433F9" w:rsidRDefault="001C6386" w:rsidP="001433F9">
      <w:pPr>
        <w:spacing w:before="100" w:beforeAutospacing="1" w:after="100" w:afterAutospacing="1"/>
        <w:rPr>
          <w:rFonts w:ascii="Helvetica Neue" w:hAnsi="Helvetica Neue"/>
          <w:color w:val="000000"/>
        </w:rPr>
      </w:pPr>
      <w:r w:rsidRPr="001C6386">
        <w:rPr>
          <w:rFonts w:ascii="Helvetica Neue" w:hAnsi="Helvetica Neue"/>
          <w:i/>
          <w:iCs/>
          <w:color w:val="000000"/>
        </w:rPr>
        <w:t>Psychiatric injury—establishing liability</w:t>
      </w:r>
      <w:r w:rsidRPr="001C6386">
        <w:rPr>
          <w:rFonts w:ascii="Helvetica Neue" w:hAnsi="Helvetica Neue"/>
          <w:color w:val="000000"/>
        </w:rPr>
        <w:t> (2020) </w:t>
      </w:r>
      <w:r w:rsidRPr="001C6386">
        <w:rPr>
          <w:rFonts w:ascii="Helvetica Neue" w:hAnsi="Helvetica Neue"/>
          <w:i/>
          <w:iCs/>
          <w:color w:val="000000"/>
        </w:rPr>
        <w:t>Lexisnexis.co.uk</w:t>
      </w:r>
      <w:r w:rsidRPr="001C6386">
        <w:rPr>
          <w:rFonts w:ascii="Helvetica Neue" w:hAnsi="Helvetica Neue"/>
          <w:color w:val="000000"/>
        </w:rPr>
        <w:t>. LexisNexis</w:t>
      </w:r>
      <w:r>
        <w:rPr>
          <w:rFonts w:ascii="Helvetica Neue" w:hAnsi="Helvetica Neue"/>
          <w:color w:val="000000"/>
        </w:rPr>
        <w:t>.</w:t>
      </w:r>
    </w:p>
    <w:p w14:paraId="7D0A3C4A" w14:textId="2663FB93" w:rsidR="001433F9" w:rsidRDefault="00540758" w:rsidP="001433F9">
      <w:hyperlink r:id="rId19" w:history="1">
        <w:r w:rsidRPr="00717A67">
          <w:rPr>
            <w:rStyle w:val="Hyperlink"/>
          </w:rPr>
          <w:t>https://www.lexisnexis.co.uk/legal/guidance/psychiatric-injury-establishing-liability</w:t>
        </w:r>
      </w:hyperlink>
    </w:p>
    <w:p w14:paraId="0272ECC7" w14:textId="77777777" w:rsidR="00540758" w:rsidRDefault="00540758" w:rsidP="001433F9"/>
    <w:p w14:paraId="57BE1152" w14:textId="77777777" w:rsidR="00540758" w:rsidRDefault="00540758" w:rsidP="001433F9"/>
    <w:p w14:paraId="27BD9881" w14:textId="77777777" w:rsidR="00BB2EBC" w:rsidRDefault="00BB2EBC" w:rsidP="00BB2EBC">
      <w:pPr>
        <w:pStyle w:val="NormalWeb"/>
        <w:rPr>
          <w:rFonts w:ascii="Helvetica Neue" w:hAnsi="Helvetica Neue"/>
          <w:color w:val="000000"/>
        </w:rPr>
      </w:pPr>
      <w:r>
        <w:rPr>
          <w:rFonts w:ascii="Helvetica Neue" w:hAnsi="Helvetica Neue"/>
          <w:color w:val="000000"/>
        </w:rPr>
        <w:t>Pilkington, L. (2023) ‘Public liability insurance for events’,</w:t>
      </w:r>
      <w:r>
        <w:rPr>
          <w:rStyle w:val="apple-converted-space"/>
          <w:rFonts w:ascii="Helvetica Neue" w:eastAsiaTheme="majorEastAsia" w:hAnsi="Helvetica Neue"/>
          <w:color w:val="000000"/>
        </w:rPr>
        <w:t> </w:t>
      </w:r>
      <w:r>
        <w:rPr>
          <w:rFonts w:ascii="Helvetica Neue" w:hAnsi="Helvetica Neue"/>
          <w:i/>
          <w:iCs/>
          <w:color w:val="000000"/>
        </w:rPr>
        <w:t>Event Insurance Direct</w:t>
      </w:r>
      <w:r>
        <w:rPr>
          <w:rFonts w:ascii="Helvetica Neue" w:hAnsi="Helvetica Neue"/>
          <w:color w:val="000000"/>
        </w:rPr>
        <w:t>, 25 April.</w:t>
      </w:r>
    </w:p>
    <w:p w14:paraId="2F9051CC" w14:textId="77777777" w:rsidR="00BB2EBC" w:rsidRDefault="00BB2EBC" w:rsidP="00BB2EBC">
      <w:pPr>
        <w:jc w:val="both"/>
        <w:rPr>
          <w:rFonts w:asciiTheme="minorHAnsi" w:hAnsiTheme="minorHAnsi"/>
        </w:rPr>
      </w:pPr>
      <w:hyperlink r:id="rId20" w:history="1">
        <w:r w:rsidRPr="00717A67">
          <w:rPr>
            <w:rStyle w:val="Hyperlink"/>
            <w:rFonts w:asciiTheme="minorHAnsi" w:hAnsiTheme="minorHAnsi"/>
          </w:rPr>
          <w:t>https://www.eventinsurancedirect.co.uk/public-liability-insurance-for-events/?utm_source=chatgpt.com</w:t>
        </w:r>
      </w:hyperlink>
    </w:p>
    <w:p w14:paraId="1410245D" w14:textId="77777777" w:rsidR="00540758" w:rsidRPr="001433F9" w:rsidRDefault="00540758" w:rsidP="001433F9"/>
    <w:p w14:paraId="24C4425A" w14:textId="77777777" w:rsidR="00E61998" w:rsidRDefault="00E61998" w:rsidP="008D1C58">
      <w:pPr>
        <w:spacing w:before="100" w:beforeAutospacing="1" w:after="100" w:afterAutospacing="1"/>
        <w:rPr>
          <w:rFonts w:ascii="Helvetica Neue" w:hAnsi="Helvetica Neue"/>
          <w:color w:val="000000"/>
        </w:rPr>
      </w:pPr>
    </w:p>
    <w:p w14:paraId="0B3C521F" w14:textId="438883CC" w:rsidR="00DE3C8F" w:rsidRDefault="00DE3C8F" w:rsidP="00DE3C8F">
      <w:pPr>
        <w:spacing w:before="100" w:beforeAutospacing="1" w:after="100" w:afterAutospacing="1"/>
        <w:rPr>
          <w:rFonts w:ascii="Helvetica Neue" w:hAnsi="Helvetica Neue"/>
          <w:color w:val="000000"/>
        </w:rPr>
      </w:pPr>
      <w:r w:rsidRPr="00DE3C8F">
        <w:rPr>
          <w:rFonts w:ascii="Helvetica Neue" w:hAnsi="Helvetica Neue"/>
          <w:color w:val="000000"/>
        </w:rPr>
        <w:t>(No date a) </w:t>
      </w:r>
      <w:r w:rsidRPr="00DE3C8F">
        <w:rPr>
          <w:rFonts w:ascii="Helvetica Neue" w:hAnsi="Helvetica Neue"/>
          <w:i/>
          <w:iCs/>
          <w:color w:val="000000"/>
        </w:rPr>
        <w:t>Parliament.uk</w:t>
      </w:r>
      <w:r w:rsidRPr="00DE3C8F">
        <w:rPr>
          <w:rFonts w:ascii="Helvetica Neue" w:hAnsi="Helvetica Neue"/>
          <w:color w:val="000000"/>
        </w:rPr>
        <w:t xml:space="preserve">. </w:t>
      </w:r>
    </w:p>
    <w:p w14:paraId="5CC7B73B" w14:textId="18FCB8E8" w:rsidR="008F20D3" w:rsidRDefault="008F20D3" w:rsidP="00DE3C8F">
      <w:pPr>
        <w:spacing w:before="100" w:beforeAutospacing="1" w:after="100" w:afterAutospacing="1"/>
      </w:pPr>
      <w:hyperlink r:id="rId21" w:history="1">
        <w:r w:rsidRPr="00717A67">
          <w:rPr>
            <w:rStyle w:val="Hyperlink"/>
          </w:rPr>
          <w:t>https://publications.parliament.uk/pa/ld199899/ldjudgmt/jd981203/white01.htm</w:t>
        </w:r>
      </w:hyperlink>
    </w:p>
    <w:p w14:paraId="6592732E" w14:textId="77777777" w:rsidR="008F20D3" w:rsidRDefault="008F20D3" w:rsidP="00DE3C8F">
      <w:pPr>
        <w:spacing w:before="100" w:beforeAutospacing="1" w:after="100" w:afterAutospacing="1"/>
      </w:pPr>
    </w:p>
    <w:p w14:paraId="407122DD" w14:textId="3D22C73B" w:rsidR="00EA05F5" w:rsidRDefault="00EA05F5" w:rsidP="00EA05F5">
      <w:pPr>
        <w:spacing w:before="100" w:beforeAutospacing="1" w:after="100" w:afterAutospacing="1"/>
        <w:rPr>
          <w:rFonts w:ascii="Helvetica Neue" w:hAnsi="Helvetica Neue"/>
          <w:color w:val="000000"/>
        </w:rPr>
      </w:pPr>
      <w:r w:rsidRPr="00EA05F5">
        <w:rPr>
          <w:rFonts w:ascii="Helvetica Neue" w:hAnsi="Helvetica Neue"/>
          <w:color w:val="000000"/>
        </w:rPr>
        <w:t>(No date b) </w:t>
      </w:r>
      <w:r w:rsidRPr="00EA05F5">
        <w:rPr>
          <w:rFonts w:ascii="Helvetica Neue" w:hAnsi="Helvetica Neue"/>
          <w:i/>
          <w:iCs/>
          <w:color w:val="000000"/>
        </w:rPr>
        <w:t>Oxfordlawtrove.com</w:t>
      </w:r>
      <w:r w:rsidRPr="00EA05F5">
        <w:rPr>
          <w:rFonts w:ascii="Helvetica Neue" w:hAnsi="Helvetica Neue"/>
          <w:color w:val="000000"/>
        </w:rPr>
        <w:t xml:space="preserve">. </w:t>
      </w:r>
    </w:p>
    <w:p w14:paraId="0EFFA058" w14:textId="7FEB98BE" w:rsidR="00293838" w:rsidRDefault="00293838" w:rsidP="00EA05F5">
      <w:pPr>
        <w:spacing w:before="100" w:beforeAutospacing="1" w:after="100" w:afterAutospacing="1"/>
        <w:rPr>
          <w:rFonts w:ascii="Helvetica Neue" w:hAnsi="Helvetica Neue"/>
          <w:color w:val="000000"/>
        </w:rPr>
      </w:pPr>
      <w:hyperlink r:id="rId22" w:history="1">
        <w:r w:rsidRPr="00717A67">
          <w:rPr>
            <w:rStyle w:val="Hyperlink"/>
            <w:rFonts w:ascii="Helvetica Neue" w:hAnsi="Helvetica Neue"/>
          </w:rPr>
          <w:t>https://www.oxfordlawtrove.com/display/10.1093/he/9780198747963.001.0001/he-9780198747963</w:t>
        </w:r>
      </w:hyperlink>
    </w:p>
    <w:p w14:paraId="790F2C3C" w14:textId="77777777" w:rsidR="00293838" w:rsidRDefault="00293838" w:rsidP="00EA05F5">
      <w:pPr>
        <w:spacing w:before="100" w:beforeAutospacing="1" w:after="100" w:afterAutospacing="1"/>
        <w:rPr>
          <w:rFonts w:ascii="Helvetica Neue" w:hAnsi="Helvetica Neue"/>
          <w:color w:val="000000"/>
        </w:rPr>
      </w:pPr>
    </w:p>
    <w:p w14:paraId="4610CBC3" w14:textId="75C39E8E" w:rsidR="00293838" w:rsidRDefault="00293838" w:rsidP="00293838">
      <w:pPr>
        <w:spacing w:before="100" w:beforeAutospacing="1" w:after="100" w:afterAutospacing="1"/>
        <w:rPr>
          <w:rFonts w:ascii="Helvetica Neue" w:hAnsi="Helvetica Neue"/>
          <w:color w:val="000000"/>
        </w:rPr>
      </w:pPr>
      <w:r w:rsidRPr="00293838">
        <w:rPr>
          <w:rFonts w:ascii="Helvetica Neue" w:hAnsi="Helvetica Neue"/>
          <w:color w:val="000000"/>
        </w:rPr>
        <w:t>(No date c) </w:t>
      </w:r>
      <w:r w:rsidRPr="00293838">
        <w:rPr>
          <w:rFonts w:ascii="Helvetica Neue" w:hAnsi="Helvetica Neue"/>
          <w:i/>
          <w:iCs/>
          <w:color w:val="000000"/>
        </w:rPr>
        <w:t>Gov.au</w:t>
      </w:r>
      <w:r w:rsidRPr="00293838">
        <w:rPr>
          <w:rFonts w:ascii="Helvetica Neue" w:hAnsi="Helvetica Neue"/>
          <w:color w:val="000000"/>
        </w:rPr>
        <w:t xml:space="preserve">. </w:t>
      </w:r>
    </w:p>
    <w:p w14:paraId="7F6B19FD" w14:textId="00150666" w:rsidR="00141F5A" w:rsidRDefault="00141F5A" w:rsidP="00293838">
      <w:pPr>
        <w:spacing w:before="100" w:beforeAutospacing="1" w:after="100" w:afterAutospacing="1"/>
        <w:rPr>
          <w:rFonts w:ascii="Helvetica Neue" w:hAnsi="Helvetica Neue"/>
          <w:color w:val="000000"/>
        </w:rPr>
      </w:pPr>
      <w:hyperlink r:id="rId23" w:history="1">
        <w:r w:rsidRPr="00717A67">
          <w:rPr>
            <w:rStyle w:val="Hyperlink"/>
            <w:rFonts w:ascii="Helvetica Neue" w:hAnsi="Helvetica Neue"/>
          </w:rPr>
          <w:t>https://treasury.gov.au/sites/default/files/2019-03/R2002-001_Foreseeability.pdf</w:t>
        </w:r>
      </w:hyperlink>
    </w:p>
    <w:p w14:paraId="130C289E" w14:textId="77777777" w:rsidR="00141F5A" w:rsidRDefault="00141F5A" w:rsidP="00293838">
      <w:pPr>
        <w:spacing w:before="100" w:beforeAutospacing="1" w:after="100" w:afterAutospacing="1"/>
        <w:rPr>
          <w:rFonts w:ascii="Helvetica Neue" w:hAnsi="Helvetica Neue"/>
          <w:color w:val="000000"/>
        </w:rPr>
      </w:pPr>
    </w:p>
    <w:p w14:paraId="3D589A16" w14:textId="7989DEFD" w:rsidR="00141F5A" w:rsidRPr="00141F5A" w:rsidRDefault="00141F5A" w:rsidP="00B82F0C">
      <w:pPr>
        <w:spacing w:before="100" w:beforeAutospacing="1" w:after="100" w:afterAutospacing="1"/>
        <w:rPr>
          <w:rFonts w:ascii="Helvetica Neue" w:hAnsi="Helvetica Neue"/>
          <w:color w:val="000000"/>
        </w:rPr>
      </w:pPr>
      <w:r w:rsidRPr="00141F5A">
        <w:rPr>
          <w:rFonts w:ascii="Helvetica Neue" w:hAnsi="Helvetica Neue"/>
          <w:color w:val="000000"/>
        </w:rPr>
        <w:t>(No date d) </w:t>
      </w:r>
      <w:r w:rsidRPr="00141F5A">
        <w:rPr>
          <w:rFonts w:ascii="Helvetica Neue" w:hAnsi="Helvetica Neue"/>
          <w:i/>
          <w:iCs/>
          <w:color w:val="000000"/>
        </w:rPr>
        <w:t>Professionalnegligenceclaimsolicitors.co.uk</w:t>
      </w:r>
      <w:r w:rsidRPr="00141F5A">
        <w:rPr>
          <w:rFonts w:ascii="Helvetica Neue" w:hAnsi="Helvetica Neue"/>
          <w:color w:val="000000"/>
        </w:rPr>
        <w:t xml:space="preserve">. </w:t>
      </w:r>
    </w:p>
    <w:p w14:paraId="79A3BC37" w14:textId="00086751" w:rsidR="00141F5A" w:rsidRDefault="00B82F0C" w:rsidP="00293838">
      <w:pPr>
        <w:spacing w:before="100" w:beforeAutospacing="1" w:after="100" w:afterAutospacing="1"/>
        <w:rPr>
          <w:rFonts w:ascii="Helvetica Neue" w:hAnsi="Helvetica Neue"/>
          <w:color w:val="000000"/>
        </w:rPr>
      </w:pPr>
      <w:hyperlink r:id="rId24" w:history="1">
        <w:r w:rsidRPr="00717A67">
          <w:rPr>
            <w:rStyle w:val="Hyperlink"/>
            <w:rFonts w:ascii="Helvetica Neue" w:hAnsi="Helvetica Neue"/>
          </w:rPr>
          <w:t>https://professionalnegligenceclaimsolicitors.co.uk/wp-content/uploads/Caparo-Industries-Plcs-v-Dickman-1990-LexLaw-Duty-of-care-Professional-Negligence.pdf</w:t>
        </w:r>
      </w:hyperlink>
    </w:p>
    <w:p w14:paraId="45572F1F" w14:textId="77777777" w:rsidR="004973D4" w:rsidRDefault="004973D4" w:rsidP="00293838">
      <w:pPr>
        <w:spacing w:before="100" w:beforeAutospacing="1" w:after="100" w:afterAutospacing="1"/>
        <w:rPr>
          <w:rFonts w:ascii="Helvetica Neue" w:hAnsi="Helvetica Neue"/>
          <w:color w:val="000000"/>
        </w:rPr>
      </w:pPr>
      <w:r w:rsidRPr="004973D4">
        <w:rPr>
          <w:rFonts w:ascii="Helvetica Neue" w:hAnsi="Helvetica Neue"/>
          <w:color w:val="000000"/>
        </w:rPr>
        <w:t>(No date f) </w:t>
      </w:r>
      <w:r w:rsidRPr="004973D4">
        <w:rPr>
          <w:rFonts w:ascii="Helvetica Neue" w:hAnsi="Helvetica Neue"/>
          <w:i/>
          <w:iCs/>
          <w:color w:val="000000"/>
        </w:rPr>
        <w:t>Parliament.uk</w:t>
      </w:r>
      <w:r w:rsidRPr="004973D4">
        <w:rPr>
          <w:rFonts w:ascii="Helvetica Neue" w:hAnsi="Helvetica Neue"/>
          <w:color w:val="000000"/>
        </w:rPr>
        <w:t xml:space="preserve">. </w:t>
      </w:r>
    </w:p>
    <w:p w14:paraId="74C286BB" w14:textId="1C98E0A2" w:rsidR="00E504A7" w:rsidRPr="00E504A7" w:rsidRDefault="004973D4" w:rsidP="00D918EA">
      <w:pPr>
        <w:spacing w:before="100" w:beforeAutospacing="1" w:after="100" w:afterAutospacing="1"/>
        <w:rPr>
          <w:rFonts w:ascii="Helvetica Neue" w:hAnsi="Helvetica Neue"/>
          <w:color w:val="000000"/>
        </w:rPr>
      </w:pPr>
      <w:hyperlink r:id="rId25" w:history="1">
        <w:r w:rsidRPr="00717A67">
          <w:rPr>
            <w:rStyle w:val="Hyperlink"/>
            <w:rFonts w:ascii="Helvetica Neue" w:hAnsi="Helvetica Neue"/>
          </w:rPr>
          <w:t>https://publications.parliament.uk/pa/ld199899/ldjudgmt/jd981203/white04.htm?__cf_chl_f_tk=B6k1zy7ws88R9eZYtLwbFW1eHv.DNQnshhK3EddmRiI-1746199218-1.0.1.1-_JgX.bxkYWPTOn6LAmjl4Xmum4eDfyyURi611G.5EsQ</w:t>
        </w:r>
      </w:hyperlink>
    </w:p>
    <w:p w14:paraId="4D322219" w14:textId="77777777" w:rsidR="00E504A7" w:rsidRDefault="00E504A7" w:rsidP="00523C02">
      <w:pPr>
        <w:spacing w:before="100" w:beforeAutospacing="1" w:after="100" w:afterAutospacing="1"/>
        <w:rPr>
          <w:rFonts w:ascii="Helvetica Neue" w:hAnsi="Helvetica Neue"/>
          <w:color w:val="000000"/>
        </w:rPr>
      </w:pPr>
    </w:p>
    <w:p w14:paraId="403F811D" w14:textId="77777777" w:rsidR="00987A4A" w:rsidRPr="00987A4A" w:rsidRDefault="00987A4A" w:rsidP="00987A4A">
      <w:pPr>
        <w:spacing w:before="100" w:beforeAutospacing="1" w:after="100" w:afterAutospacing="1"/>
        <w:rPr>
          <w:rFonts w:ascii="Helvetica Neue" w:hAnsi="Helvetica Neue"/>
          <w:color w:val="000000"/>
        </w:rPr>
      </w:pPr>
      <w:r w:rsidRPr="00CF0DBA">
        <w:rPr>
          <w:rFonts w:ascii="Helvetica Neue" w:hAnsi="Helvetica Neue"/>
          <w:color w:val="000000"/>
        </w:rPr>
        <w:t>(No date g) </w:t>
      </w:r>
      <w:r w:rsidRPr="00CF0DBA">
        <w:rPr>
          <w:rFonts w:ascii="Helvetica Neue" w:hAnsi="Helvetica Neue"/>
          <w:i/>
          <w:iCs/>
          <w:color w:val="000000"/>
        </w:rPr>
        <w:t>Nhs.uk</w:t>
      </w:r>
      <w:r w:rsidRPr="00CF0DBA">
        <w:rPr>
          <w:rFonts w:ascii="Helvetica Neue" w:hAnsi="Helvetica Neue"/>
          <w:color w:val="000000"/>
        </w:rPr>
        <w:t>. Available at: https://www.hee.nhs.uk/sites/default/files/documents/Standard-3%20Duty%20of%20care%2013.06.16.pdf (Accessed: 2 May 2025).</w:t>
      </w:r>
      <w:r>
        <w:fldChar w:fldCharType="begin"/>
      </w:r>
      <w:r>
        <w:instrText>HYPERLINK "</w:instrText>
      </w:r>
      <w:r w:rsidRPr="00066F2F">
        <w:instrText>https://www.hee.nhs.uk/sites/default/files/documents/Standard-3%20Duty%20of%20care%2013.06.16.pdf</w:instrText>
      </w:r>
      <w:r>
        <w:instrText>"</w:instrText>
      </w:r>
      <w:r>
        <w:fldChar w:fldCharType="separate"/>
      </w:r>
      <w:r w:rsidRPr="00717A67">
        <w:rPr>
          <w:rStyle w:val="Hyperlink"/>
        </w:rPr>
        <w:t>https://www.hee.nhs.uk/sites/default/files/documents/Standard-3%20</w:t>
      </w:r>
      <w:r w:rsidRPr="00717A67">
        <w:rPr>
          <w:rStyle w:val="Hyperlink"/>
        </w:rPr>
        <w:t>D</w:t>
      </w:r>
      <w:r w:rsidRPr="00717A67">
        <w:rPr>
          <w:rStyle w:val="Hyperlink"/>
        </w:rPr>
        <w:t>uty%20of%20care%2013.06.16.pdf</w:t>
      </w:r>
      <w:r>
        <w:fldChar w:fldCharType="end"/>
      </w:r>
    </w:p>
    <w:p w14:paraId="4EE6E222" w14:textId="77777777" w:rsidR="00E504A7" w:rsidRDefault="00E504A7" w:rsidP="00523C02">
      <w:pPr>
        <w:spacing w:before="100" w:beforeAutospacing="1" w:after="100" w:afterAutospacing="1"/>
        <w:rPr>
          <w:rFonts w:ascii="Helvetica Neue" w:hAnsi="Helvetica Neue"/>
          <w:color w:val="000000"/>
        </w:rPr>
      </w:pPr>
    </w:p>
    <w:p w14:paraId="7196CED8" w14:textId="15ADE0AF" w:rsidR="000D5273" w:rsidRDefault="000D5273" w:rsidP="000D5273">
      <w:pPr>
        <w:pStyle w:val="NormalWeb"/>
        <w:rPr>
          <w:rFonts w:ascii="Helvetica Neue" w:hAnsi="Helvetica Neue"/>
          <w:color w:val="000000"/>
        </w:rPr>
      </w:pPr>
      <w:r>
        <w:rPr>
          <w:rFonts w:ascii="Helvetica Neue" w:hAnsi="Helvetica Neue"/>
          <w:color w:val="000000"/>
        </w:rPr>
        <w:t>(No date h)</w:t>
      </w:r>
      <w:r>
        <w:rPr>
          <w:rStyle w:val="apple-converted-space"/>
          <w:rFonts w:ascii="Helvetica Neue" w:eastAsiaTheme="majorEastAsia" w:hAnsi="Helvetica Neue"/>
          <w:color w:val="000000"/>
        </w:rPr>
        <w:t> </w:t>
      </w:r>
      <w:r>
        <w:rPr>
          <w:rFonts w:ascii="Helvetica Neue" w:hAnsi="Helvetica Neue"/>
          <w:i/>
          <w:iCs/>
          <w:color w:val="000000"/>
        </w:rPr>
        <w:t>Gov.uk</w:t>
      </w:r>
      <w:r>
        <w:rPr>
          <w:rFonts w:ascii="Helvetica Neue" w:hAnsi="Helvetica Neue"/>
          <w:color w:val="000000"/>
        </w:rPr>
        <w:t xml:space="preserve">. </w:t>
      </w:r>
    </w:p>
    <w:p w14:paraId="6F2A2A86" w14:textId="2A4BDC7F" w:rsidR="000D5273" w:rsidRDefault="0072424D" w:rsidP="008700BF">
      <w:pPr>
        <w:pStyle w:val="NormalWeb"/>
        <w:rPr>
          <w:rFonts w:ascii="Helvetica Neue" w:hAnsi="Helvetica Neue"/>
          <w:color w:val="000000"/>
        </w:rPr>
      </w:pPr>
      <w:hyperlink r:id="rId26" w:history="1">
        <w:r w:rsidRPr="00717A67">
          <w:rPr>
            <w:rStyle w:val="Hyperlink"/>
            <w:rFonts w:ascii="Helvetica Neue" w:hAnsi="Helvetica Neue"/>
          </w:rPr>
          <w:t>https://assets.publishing.service.gov.uk/media/5a75a34840f0b67f59fce70f/0525.pd</w:t>
        </w:r>
      </w:hyperlink>
    </w:p>
    <w:p w14:paraId="0B45ABB6" w14:textId="77777777" w:rsidR="008700BF" w:rsidRDefault="008700BF" w:rsidP="008700BF">
      <w:pPr>
        <w:pStyle w:val="NormalWeb"/>
        <w:rPr>
          <w:rFonts w:ascii="Helvetica Neue" w:hAnsi="Helvetica Neue"/>
          <w:color w:val="000000"/>
        </w:rPr>
      </w:pPr>
    </w:p>
    <w:p w14:paraId="0544647D" w14:textId="1BA5A8E4" w:rsidR="008700BF" w:rsidRDefault="008700BF" w:rsidP="008700BF">
      <w:pPr>
        <w:pStyle w:val="NormalWeb"/>
        <w:rPr>
          <w:rFonts w:ascii="Helvetica Neue" w:hAnsi="Helvetica Neue"/>
          <w:color w:val="000000"/>
        </w:rPr>
      </w:pPr>
      <w:r>
        <w:rPr>
          <w:rFonts w:ascii="Helvetica Neue" w:hAnsi="Helvetica Neue"/>
          <w:color w:val="000000"/>
        </w:rPr>
        <w:t>(No date i)</w:t>
      </w:r>
      <w:r>
        <w:rPr>
          <w:rStyle w:val="apple-converted-space"/>
          <w:rFonts w:ascii="Helvetica Neue" w:eastAsiaTheme="majorEastAsia" w:hAnsi="Helvetica Neue"/>
          <w:color w:val="000000"/>
        </w:rPr>
        <w:t> </w:t>
      </w:r>
      <w:r>
        <w:rPr>
          <w:rFonts w:ascii="Helvetica Neue" w:hAnsi="Helvetica Neue"/>
          <w:i/>
          <w:iCs/>
          <w:color w:val="000000"/>
        </w:rPr>
        <w:t>Gov.uk</w:t>
      </w:r>
      <w:r>
        <w:rPr>
          <w:rFonts w:ascii="Helvetica Neue" w:hAnsi="Helvetica Neue"/>
          <w:color w:val="000000"/>
        </w:rPr>
        <w:t xml:space="preserve">. </w:t>
      </w:r>
    </w:p>
    <w:p w14:paraId="2E5997D8" w14:textId="36745FB8" w:rsidR="008700BF" w:rsidRDefault="00D77AA2" w:rsidP="008700BF">
      <w:pPr>
        <w:pStyle w:val="NormalWeb"/>
        <w:rPr>
          <w:rFonts w:ascii="Helvetica Neue" w:hAnsi="Helvetica Neue"/>
          <w:color w:val="000000"/>
        </w:rPr>
      </w:pPr>
      <w:hyperlink r:id="rId27" w:history="1">
        <w:r w:rsidRPr="00717A67">
          <w:rPr>
            <w:rStyle w:val="Hyperlink"/>
            <w:rFonts w:ascii="Helvetica Neue" w:hAnsi="Helvetica Neue"/>
          </w:rPr>
          <w:t>https://www.scotlawcom.gov.uk/files/7812/7892/7069/dp120_psychiatric_injury.pd</w:t>
        </w:r>
        <w:r w:rsidRPr="00717A67">
          <w:rPr>
            <w:rStyle w:val="Hyperlink"/>
            <w:rFonts w:ascii="Helvetica Neue" w:hAnsi="Helvetica Neue"/>
          </w:rPr>
          <w:t>f</w:t>
        </w:r>
      </w:hyperlink>
    </w:p>
    <w:p w14:paraId="56BA394F" w14:textId="77777777" w:rsidR="00BB2EBC" w:rsidRDefault="00BB2EBC" w:rsidP="008700BF">
      <w:pPr>
        <w:pStyle w:val="NormalWeb"/>
        <w:rPr>
          <w:rFonts w:ascii="Helvetica Neue" w:hAnsi="Helvetica Neue"/>
          <w:color w:val="000000"/>
        </w:rPr>
      </w:pPr>
    </w:p>
    <w:p w14:paraId="6171BD0B" w14:textId="77777777" w:rsidR="00BB2EBC" w:rsidRDefault="00BB2EBC" w:rsidP="00BB2EBC">
      <w:pPr>
        <w:pStyle w:val="NormalWeb"/>
        <w:rPr>
          <w:rFonts w:ascii="Helvetica Neue" w:hAnsi="Helvetica Neue"/>
          <w:color w:val="000000"/>
        </w:rPr>
      </w:pPr>
      <w:r>
        <w:rPr>
          <w:rFonts w:ascii="Helvetica Neue" w:hAnsi="Helvetica Neue"/>
          <w:color w:val="000000"/>
        </w:rPr>
        <w:t>(No date j)</w:t>
      </w:r>
      <w:r>
        <w:rPr>
          <w:rStyle w:val="apple-converted-space"/>
          <w:rFonts w:ascii="Helvetica Neue" w:eastAsiaTheme="majorEastAsia" w:hAnsi="Helvetica Neue"/>
          <w:color w:val="000000"/>
        </w:rPr>
        <w:t> </w:t>
      </w:r>
      <w:r>
        <w:rPr>
          <w:rFonts w:ascii="Helvetica Neue" w:hAnsi="Helvetica Neue"/>
          <w:i/>
          <w:iCs/>
          <w:color w:val="000000"/>
        </w:rPr>
        <w:t>Org.uk</w:t>
      </w:r>
      <w:r>
        <w:rPr>
          <w:rFonts w:ascii="Helvetica Neue" w:hAnsi="Helvetica Neue"/>
          <w:color w:val="000000"/>
        </w:rPr>
        <w:t xml:space="preserve">. </w:t>
      </w:r>
    </w:p>
    <w:p w14:paraId="636E2CBB" w14:textId="77777777" w:rsidR="00BB2EBC" w:rsidRDefault="00BB2EBC" w:rsidP="00BB2EBC">
      <w:pPr>
        <w:jc w:val="both"/>
        <w:rPr>
          <w:rFonts w:asciiTheme="minorHAnsi" w:hAnsiTheme="minorHAnsi"/>
        </w:rPr>
      </w:pPr>
    </w:p>
    <w:p w14:paraId="14B6E4B1" w14:textId="77777777" w:rsidR="00BB2EBC" w:rsidRDefault="00BB2EBC" w:rsidP="00BB2EBC">
      <w:pPr>
        <w:jc w:val="both"/>
        <w:rPr>
          <w:rFonts w:asciiTheme="minorHAnsi" w:hAnsiTheme="minorHAnsi"/>
        </w:rPr>
      </w:pPr>
      <w:hyperlink r:id="rId28" w:history="1">
        <w:r w:rsidRPr="00717A67">
          <w:rPr>
            <w:rStyle w:val="Hyperlink"/>
            <w:rFonts w:asciiTheme="minorHAnsi" w:hAnsiTheme="minorHAnsi"/>
          </w:rPr>
          <w:t>https://sgsa.org.uk/physical-factors/structures-and-installations/pre-event-inspections-and-tests/?utm_source=chatgpt.com</w:t>
        </w:r>
      </w:hyperlink>
    </w:p>
    <w:p w14:paraId="7D9BEA20" w14:textId="77777777" w:rsidR="00BB2EBC" w:rsidRDefault="00BB2EBC" w:rsidP="008700BF">
      <w:pPr>
        <w:pStyle w:val="NormalWeb"/>
        <w:rPr>
          <w:rFonts w:ascii="Helvetica Neue" w:hAnsi="Helvetica Neue"/>
          <w:color w:val="000000"/>
        </w:rPr>
      </w:pPr>
    </w:p>
    <w:p w14:paraId="59CDE2CD" w14:textId="77777777" w:rsidR="00A778A1" w:rsidRDefault="00A778A1" w:rsidP="00A778A1">
      <w:pPr>
        <w:pStyle w:val="NormalWeb"/>
        <w:rPr>
          <w:rFonts w:ascii="Helvetica Neue" w:hAnsi="Helvetica Neue"/>
          <w:color w:val="000000"/>
        </w:rPr>
      </w:pPr>
      <w:r>
        <w:rPr>
          <w:rFonts w:ascii="Helvetica Neue" w:hAnsi="Helvetica Neue"/>
          <w:color w:val="000000"/>
        </w:rPr>
        <w:t>(No date k)</w:t>
      </w:r>
      <w:r>
        <w:rPr>
          <w:rStyle w:val="apple-converted-space"/>
          <w:rFonts w:ascii="Helvetica Neue" w:eastAsiaTheme="majorEastAsia" w:hAnsi="Helvetica Neue"/>
          <w:color w:val="000000"/>
        </w:rPr>
        <w:t> </w:t>
      </w:r>
      <w:r>
        <w:rPr>
          <w:rFonts w:ascii="Helvetica Neue" w:hAnsi="Helvetica Neue"/>
          <w:i/>
          <w:iCs/>
          <w:color w:val="000000"/>
        </w:rPr>
        <w:t>Parliament.uk</w:t>
      </w:r>
      <w:r>
        <w:rPr>
          <w:rFonts w:ascii="Helvetica Neue" w:hAnsi="Helvetica Neue"/>
          <w:color w:val="000000"/>
        </w:rPr>
        <w:t xml:space="preserve">. </w:t>
      </w:r>
    </w:p>
    <w:p w14:paraId="4A82B4A1" w14:textId="77777777" w:rsidR="00A778A1" w:rsidRDefault="00A778A1" w:rsidP="00A778A1">
      <w:pPr>
        <w:jc w:val="both"/>
        <w:rPr>
          <w:rFonts w:asciiTheme="minorHAnsi" w:hAnsiTheme="minorHAnsi"/>
        </w:rPr>
      </w:pPr>
      <w:hyperlink r:id="rId29" w:history="1">
        <w:r w:rsidRPr="00717A67">
          <w:rPr>
            <w:rStyle w:val="Hyperlink"/>
            <w:rFonts w:asciiTheme="minorHAnsi" w:hAnsiTheme="minorHAnsi"/>
          </w:rPr>
          <w:t>https://commonslibrary.parliament.uk/research-briefings/sn05704/</w:t>
        </w:r>
      </w:hyperlink>
    </w:p>
    <w:p w14:paraId="0DBAFECE" w14:textId="77777777" w:rsidR="00A778A1" w:rsidRDefault="00A778A1" w:rsidP="008700BF">
      <w:pPr>
        <w:pStyle w:val="NormalWeb"/>
        <w:rPr>
          <w:rFonts w:ascii="Helvetica Neue" w:hAnsi="Helvetica Neue"/>
          <w:color w:val="000000"/>
        </w:rPr>
      </w:pPr>
    </w:p>
    <w:p w14:paraId="30A7857F" w14:textId="77777777" w:rsidR="002F01F8" w:rsidRDefault="002F01F8" w:rsidP="002F01F8">
      <w:pPr>
        <w:spacing w:before="100" w:beforeAutospacing="1" w:after="100" w:afterAutospacing="1"/>
        <w:rPr>
          <w:rFonts w:ascii="Helvetica Neue" w:hAnsi="Helvetica Neue"/>
          <w:color w:val="000000"/>
        </w:rPr>
      </w:pPr>
      <w:r w:rsidRPr="00540758">
        <w:rPr>
          <w:rFonts w:ascii="Helvetica Neue" w:hAnsi="Helvetica Neue"/>
          <w:i/>
          <w:iCs/>
          <w:color w:val="000000"/>
        </w:rPr>
        <w:t>Stone v Bolton</w:t>
      </w:r>
      <w:r w:rsidRPr="00540758">
        <w:rPr>
          <w:rFonts w:ascii="Helvetica Neue" w:hAnsi="Helvetica Neue"/>
          <w:color w:val="000000"/>
        </w:rPr>
        <w:t> (no date) </w:t>
      </w:r>
      <w:r w:rsidRPr="00540758">
        <w:rPr>
          <w:rFonts w:ascii="Helvetica Neue" w:hAnsi="Helvetica Neue"/>
          <w:i/>
          <w:iCs/>
          <w:color w:val="000000"/>
        </w:rPr>
        <w:t>https://www.casemine.com</w:t>
      </w:r>
      <w:r w:rsidRPr="00540758">
        <w:rPr>
          <w:rFonts w:ascii="Helvetica Neue" w:hAnsi="Helvetica Neue"/>
          <w:color w:val="000000"/>
        </w:rPr>
        <w:t xml:space="preserve">. </w:t>
      </w:r>
    </w:p>
    <w:p w14:paraId="55E4413C" w14:textId="74190F4C" w:rsidR="002F01F8" w:rsidRPr="002F01F8" w:rsidRDefault="002F01F8" w:rsidP="00523C02">
      <w:pPr>
        <w:spacing w:before="100" w:beforeAutospacing="1" w:after="100" w:afterAutospacing="1"/>
      </w:pPr>
      <w:hyperlink r:id="rId30" w:history="1">
        <w:r w:rsidRPr="00717A67">
          <w:rPr>
            <w:rStyle w:val="Hyperlink"/>
          </w:rPr>
          <w:t>https://www.casemine.com/judgement/uk/5a8ff87860d03e7f57ec1054</w:t>
        </w:r>
      </w:hyperlink>
    </w:p>
    <w:p w14:paraId="57E2A721" w14:textId="77777777" w:rsidR="002F01F8" w:rsidRDefault="002F01F8" w:rsidP="00523C02">
      <w:pPr>
        <w:spacing w:before="100" w:beforeAutospacing="1" w:after="100" w:afterAutospacing="1"/>
        <w:rPr>
          <w:rFonts w:ascii="Helvetica Neue" w:hAnsi="Helvetica Neue"/>
          <w:color w:val="000000"/>
        </w:rPr>
      </w:pPr>
    </w:p>
    <w:p w14:paraId="7CBEE204" w14:textId="77777777" w:rsidR="002F01F8" w:rsidRDefault="002F01F8" w:rsidP="002F01F8">
      <w:pPr>
        <w:spacing w:before="100" w:beforeAutospacing="1" w:after="100" w:afterAutospacing="1"/>
        <w:rPr>
          <w:rFonts w:ascii="Helvetica Neue" w:hAnsi="Helvetica Neue"/>
          <w:color w:val="000000"/>
        </w:rPr>
      </w:pPr>
      <w:r w:rsidRPr="001433F9">
        <w:rPr>
          <w:rFonts w:ascii="Helvetica Neue" w:hAnsi="Helvetica Neue"/>
          <w:i/>
          <w:iCs/>
          <w:color w:val="000000"/>
        </w:rPr>
        <w:t>Page v Smith</w:t>
      </w:r>
      <w:r w:rsidRPr="001433F9">
        <w:rPr>
          <w:rFonts w:ascii="Helvetica Neue" w:hAnsi="Helvetica Neue"/>
          <w:color w:val="000000"/>
        </w:rPr>
        <w:t> (no date</w:t>
      </w:r>
      <w:r>
        <w:rPr>
          <w:rFonts w:ascii="Helvetica Neue" w:hAnsi="Helvetica Neue"/>
          <w:color w:val="000000"/>
        </w:rPr>
        <w:t>)</w:t>
      </w:r>
    </w:p>
    <w:p w14:paraId="41F1B05C" w14:textId="77777777" w:rsidR="002F01F8" w:rsidRDefault="002F01F8" w:rsidP="002F01F8">
      <w:pPr>
        <w:spacing w:before="100" w:beforeAutospacing="1" w:after="100" w:afterAutospacing="1"/>
        <w:rPr>
          <w:rFonts w:ascii="Helvetica Neue" w:hAnsi="Helvetica Neue"/>
          <w:color w:val="000000"/>
        </w:rPr>
      </w:pPr>
      <w:hyperlink r:id="rId31" w:history="1">
        <w:r w:rsidRPr="00717A67">
          <w:rPr>
            <w:rStyle w:val="Hyperlink"/>
            <w:rFonts w:ascii="Helvetica Neue" w:hAnsi="Helvetica Neue"/>
          </w:rPr>
          <w:t>https://www.casemine.com/judgement/uk/5a8ff8cb60d03e7f57ecd7f3</w:t>
        </w:r>
      </w:hyperlink>
    </w:p>
    <w:p w14:paraId="702E54D0" w14:textId="77777777" w:rsidR="002F01F8" w:rsidRDefault="002F01F8" w:rsidP="002F01F8">
      <w:pPr>
        <w:spacing w:before="100" w:beforeAutospacing="1" w:after="100" w:afterAutospacing="1"/>
        <w:rPr>
          <w:rFonts w:ascii="Helvetica Neue" w:hAnsi="Helvetica Neue"/>
          <w:i/>
          <w:iCs/>
          <w:color w:val="000000"/>
        </w:rPr>
      </w:pPr>
    </w:p>
    <w:p w14:paraId="70078B77" w14:textId="3C3FA1C8" w:rsidR="002F01F8" w:rsidRPr="001433F9" w:rsidRDefault="002F01F8" w:rsidP="002F01F8">
      <w:pPr>
        <w:spacing w:before="100" w:beforeAutospacing="1" w:after="100" w:afterAutospacing="1"/>
        <w:rPr>
          <w:rFonts w:ascii="Helvetica Neue" w:hAnsi="Helvetica Neue"/>
          <w:color w:val="000000"/>
        </w:rPr>
      </w:pPr>
      <w:r w:rsidRPr="001C6386">
        <w:rPr>
          <w:rFonts w:ascii="Helvetica Neue" w:hAnsi="Helvetica Neue"/>
          <w:i/>
          <w:iCs/>
          <w:color w:val="000000"/>
        </w:rPr>
        <w:t>Psychiatric injury—establishing liability</w:t>
      </w:r>
      <w:r w:rsidRPr="001C6386">
        <w:rPr>
          <w:rFonts w:ascii="Helvetica Neue" w:hAnsi="Helvetica Neue"/>
          <w:color w:val="000000"/>
        </w:rPr>
        <w:t> (2020) </w:t>
      </w:r>
      <w:r w:rsidRPr="001C6386">
        <w:rPr>
          <w:rFonts w:ascii="Helvetica Neue" w:hAnsi="Helvetica Neue"/>
          <w:i/>
          <w:iCs/>
          <w:color w:val="000000"/>
        </w:rPr>
        <w:t>Lexisnexis.co.uk</w:t>
      </w:r>
      <w:r w:rsidRPr="001C6386">
        <w:rPr>
          <w:rFonts w:ascii="Helvetica Neue" w:hAnsi="Helvetica Neue"/>
          <w:color w:val="000000"/>
        </w:rPr>
        <w:t>. LexisNexis</w:t>
      </w:r>
      <w:r>
        <w:rPr>
          <w:rFonts w:ascii="Helvetica Neue" w:hAnsi="Helvetica Neue"/>
          <w:color w:val="000000"/>
        </w:rPr>
        <w:t>.</w:t>
      </w:r>
    </w:p>
    <w:p w14:paraId="6C7E5076" w14:textId="77777777" w:rsidR="002F01F8" w:rsidRDefault="002F01F8" w:rsidP="002F01F8">
      <w:hyperlink r:id="rId32" w:history="1">
        <w:r w:rsidRPr="00717A67">
          <w:rPr>
            <w:rStyle w:val="Hyperlink"/>
          </w:rPr>
          <w:t>https://www.lexisnexis.co.uk/legal/guidance/psychiatric-injury-establishing-liability</w:t>
        </w:r>
      </w:hyperlink>
    </w:p>
    <w:p w14:paraId="3885B6B4" w14:textId="77777777" w:rsidR="002F01F8" w:rsidRPr="00523C02" w:rsidRDefault="002F01F8" w:rsidP="00523C02">
      <w:pPr>
        <w:spacing w:before="100" w:beforeAutospacing="1" w:after="100" w:afterAutospacing="1"/>
        <w:rPr>
          <w:rFonts w:ascii="Helvetica Neue" w:hAnsi="Helvetica Neue"/>
          <w:color w:val="000000"/>
        </w:rPr>
      </w:pPr>
    </w:p>
    <w:p w14:paraId="530F7CEB" w14:textId="77777777" w:rsidR="00F23C70" w:rsidRDefault="00F23C70" w:rsidP="00F23C70">
      <w:pPr>
        <w:spacing w:before="100" w:beforeAutospacing="1" w:after="100" w:afterAutospacing="1"/>
        <w:rPr>
          <w:rFonts w:ascii="Helvetica Neue" w:hAnsi="Helvetica Neue"/>
          <w:color w:val="000000"/>
        </w:rPr>
      </w:pPr>
      <w:r w:rsidRPr="008D1C58">
        <w:rPr>
          <w:rFonts w:ascii="Helvetica Neue" w:hAnsi="Helvetica Neue"/>
          <w:i/>
          <w:iCs/>
          <w:color w:val="000000"/>
        </w:rPr>
        <w:t>Woodland (appellant) v Essex County council (respondent)</w:t>
      </w:r>
      <w:r w:rsidRPr="008D1C58">
        <w:rPr>
          <w:rFonts w:ascii="Helvetica Neue" w:hAnsi="Helvetica Neue"/>
          <w:color w:val="000000"/>
        </w:rPr>
        <w:t> (2024) </w:t>
      </w:r>
      <w:r w:rsidRPr="008D1C58">
        <w:rPr>
          <w:rFonts w:ascii="Helvetica Neue" w:hAnsi="Helvetica Neue"/>
          <w:i/>
          <w:iCs/>
          <w:color w:val="000000"/>
        </w:rPr>
        <w:t>Supremecourt.uk</w:t>
      </w:r>
      <w:r w:rsidRPr="008D1C58">
        <w:rPr>
          <w:rFonts w:ascii="Helvetica Neue" w:hAnsi="Helvetica Neue"/>
          <w:color w:val="000000"/>
        </w:rPr>
        <w:t xml:space="preserve">. </w:t>
      </w:r>
    </w:p>
    <w:p w14:paraId="14382215" w14:textId="77777777" w:rsidR="00F23C70" w:rsidRDefault="00F23C70" w:rsidP="00F23C70">
      <w:pPr>
        <w:spacing w:before="100" w:beforeAutospacing="1" w:after="100" w:afterAutospacing="1"/>
        <w:rPr>
          <w:rFonts w:ascii="Helvetica Neue" w:hAnsi="Helvetica Neue"/>
          <w:color w:val="000000"/>
        </w:rPr>
      </w:pPr>
      <w:hyperlink r:id="rId33" w:history="1">
        <w:r w:rsidRPr="00717A67">
          <w:rPr>
            <w:rStyle w:val="Hyperlink"/>
            <w:rFonts w:ascii="Helvetica Neue" w:hAnsi="Helvetica Neue"/>
          </w:rPr>
          <w:t>https://supremecourt.uk/cases/uksc-2012-0093</w:t>
        </w:r>
      </w:hyperlink>
    </w:p>
    <w:p w14:paraId="31C4B2C5" w14:textId="77777777" w:rsidR="003B3266" w:rsidRPr="00EC43C7" w:rsidRDefault="003B3266" w:rsidP="00EC43C7">
      <w:pPr>
        <w:spacing w:before="100" w:beforeAutospacing="1" w:after="100" w:afterAutospacing="1"/>
        <w:rPr>
          <w:rFonts w:ascii="Helvetica Neue" w:hAnsi="Helvetica Neue"/>
          <w:color w:val="000000"/>
        </w:rPr>
      </w:pPr>
    </w:p>
    <w:p w14:paraId="09F5CAD0" w14:textId="77777777" w:rsidR="00783275" w:rsidRPr="006B0855" w:rsidRDefault="00783275" w:rsidP="00783275">
      <w:pPr>
        <w:spacing w:before="100" w:beforeAutospacing="1" w:after="100" w:afterAutospacing="1"/>
        <w:rPr>
          <w:rFonts w:ascii="Helvetica Neue" w:hAnsi="Helvetica Neue"/>
          <w:color w:val="000000"/>
        </w:rPr>
      </w:pPr>
      <w:r w:rsidRPr="006B0855">
        <w:rPr>
          <w:rFonts w:ascii="Helvetica Neue" w:hAnsi="Helvetica Neue"/>
          <w:i/>
          <w:iCs/>
          <w:color w:val="000000"/>
        </w:rPr>
        <w:t>What is the IRAC Method - everything you need to know</w:t>
      </w:r>
      <w:r w:rsidRPr="006B0855">
        <w:rPr>
          <w:rFonts w:ascii="Helvetica Neue" w:hAnsi="Helvetica Neue"/>
          <w:color w:val="000000"/>
        </w:rPr>
        <w:t> (no date) </w:t>
      </w:r>
      <w:r w:rsidRPr="006B0855">
        <w:rPr>
          <w:rFonts w:ascii="Helvetica Neue" w:hAnsi="Helvetica Neue"/>
          <w:i/>
          <w:iCs/>
          <w:color w:val="000000"/>
        </w:rPr>
        <w:t>IRAC Method</w:t>
      </w:r>
      <w:r w:rsidRPr="006B0855">
        <w:rPr>
          <w:rFonts w:ascii="Helvetica Neue" w:hAnsi="Helvetica Neue"/>
          <w:color w:val="000000"/>
        </w:rPr>
        <w:t xml:space="preserve">. </w:t>
      </w:r>
    </w:p>
    <w:p w14:paraId="357232F4" w14:textId="77777777" w:rsidR="00783275" w:rsidRDefault="00783275" w:rsidP="00783275">
      <w:pPr>
        <w:spacing w:before="100" w:beforeAutospacing="1" w:after="100" w:afterAutospacing="1"/>
        <w:rPr>
          <w:rFonts w:ascii="Helvetica Neue" w:hAnsi="Helvetica Neue"/>
          <w:color w:val="000000"/>
        </w:rPr>
      </w:pPr>
      <w:hyperlink r:id="rId34" w:history="1">
        <w:r w:rsidRPr="00717A67">
          <w:rPr>
            <w:rStyle w:val="Hyperlink"/>
            <w:rFonts w:ascii="Helvetica Neue" w:hAnsi="Helvetica Neue"/>
          </w:rPr>
          <w:t>https://www.iracmethod.com/irac-methodology</w:t>
        </w:r>
      </w:hyperlink>
    </w:p>
    <w:p w14:paraId="1F39343F" w14:textId="77777777" w:rsidR="00F47AD5" w:rsidRDefault="00F47AD5" w:rsidP="00D83DF5">
      <w:pPr>
        <w:jc w:val="both"/>
        <w:rPr>
          <w:rFonts w:asciiTheme="minorHAnsi" w:hAnsiTheme="minorHAnsi"/>
        </w:rPr>
      </w:pPr>
    </w:p>
    <w:p w14:paraId="12AF4A52" w14:textId="77777777" w:rsidR="00A778A1" w:rsidRDefault="00A778A1" w:rsidP="00D83DF5">
      <w:pPr>
        <w:jc w:val="both"/>
        <w:rPr>
          <w:rFonts w:asciiTheme="minorHAnsi" w:hAnsiTheme="minorHAnsi"/>
        </w:rPr>
      </w:pPr>
    </w:p>
    <w:p w14:paraId="19393344" w14:textId="77777777" w:rsidR="00A778A1" w:rsidRDefault="00A778A1" w:rsidP="00D83DF5">
      <w:pPr>
        <w:jc w:val="both"/>
        <w:rPr>
          <w:rFonts w:asciiTheme="minorHAnsi" w:hAnsiTheme="minorHAnsi"/>
        </w:rPr>
      </w:pPr>
    </w:p>
    <w:p w14:paraId="3D056302" w14:textId="77777777" w:rsidR="00A778A1" w:rsidRDefault="00A778A1" w:rsidP="00D83DF5">
      <w:pPr>
        <w:jc w:val="both"/>
        <w:rPr>
          <w:rFonts w:asciiTheme="minorHAnsi" w:hAnsiTheme="minorHAnsi"/>
        </w:rPr>
      </w:pPr>
    </w:p>
    <w:p w14:paraId="4D49A6A9" w14:textId="77777777" w:rsidR="008D4ACB" w:rsidRDefault="008D4ACB" w:rsidP="00D83DF5">
      <w:pPr>
        <w:jc w:val="both"/>
        <w:rPr>
          <w:rFonts w:asciiTheme="minorHAnsi" w:hAnsiTheme="minorHAnsi"/>
        </w:rPr>
      </w:pPr>
    </w:p>
    <w:p w14:paraId="223D1508" w14:textId="77777777" w:rsidR="008D4ACB" w:rsidRDefault="008D4ACB" w:rsidP="00D83DF5">
      <w:pPr>
        <w:jc w:val="both"/>
        <w:rPr>
          <w:rFonts w:asciiTheme="minorHAnsi" w:hAnsiTheme="minorHAnsi"/>
        </w:rPr>
      </w:pPr>
    </w:p>
    <w:p w14:paraId="28D8DD33" w14:textId="77777777" w:rsidR="008D4ACB" w:rsidRPr="00625728" w:rsidRDefault="008D4ACB" w:rsidP="00D83DF5">
      <w:pPr>
        <w:jc w:val="both"/>
        <w:rPr>
          <w:rFonts w:asciiTheme="minorHAnsi" w:hAnsiTheme="minorHAnsi"/>
        </w:rPr>
      </w:pPr>
    </w:p>
    <w:sectPr w:rsidR="008D4ACB" w:rsidRPr="00625728">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095EE" w14:textId="77777777" w:rsidR="001B56EC" w:rsidRDefault="001B56EC" w:rsidP="00361A8A">
      <w:r>
        <w:separator/>
      </w:r>
    </w:p>
  </w:endnote>
  <w:endnote w:type="continuationSeparator" w:id="0">
    <w:p w14:paraId="437F53D5" w14:textId="77777777" w:rsidR="001B56EC" w:rsidRDefault="001B56EC" w:rsidP="00361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7129674"/>
      <w:docPartObj>
        <w:docPartGallery w:val="Page Numbers (Bottom of Page)"/>
        <w:docPartUnique/>
      </w:docPartObj>
    </w:sdtPr>
    <w:sdtEndPr>
      <w:rPr>
        <w:color w:val="7F7F7F" w:themeColor="background1" w:themeShade="7F"/>
        <w:spacing w:val="60"/>
      </w:rPr>
    </w:sdtEndPr>
    <w:sdtContent>
      <w:p w14:paraId="7DFDAF10" w14:textId="3ABFED75" w:rsidR="00361A8A" w:rsidRDefault="00361A8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39C507E" w14:textId="77777777" w:rsidR="00361A8A" w:rsidRDefault="00361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E98A5" w14:textId="77777777" w:rsidR="001B56EC" w:rsidRDefault="001B56EC" w:rsidP="00361A8A">
      <w:r>
        <w:separator/>
      </w:r>
    </w:p>
  </w:footnote>
  <w:footnote w:type="continuationSeparator" w:id="0">
    <w:p w14:paraId="7F276742" w14:textId="77777777" w:rsidR="001B56EC" w:rsidRDefault="001B56EC" w:rsidP="00361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D1D98" w14:textId="4A574571" w:rsidR="00584125" w:rsidRDefault="00584125">
    <w:pPr>
      <w:pStyle w:val="Header"/>
    </w:pPr>
    <w:r>
      <w:t>Alexandra Maria Baloi 2315118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A5173D"/>
    <w:multiLevelType w:val="hybridMultilevel"/>
    <w:tmpl w:val="FC561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0374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A8A"/>
    <w:rsid w:val="00014018"/>
    <w:rsid w:val="00015C26"/>
    <w:rsid w:val="00024427"/>
    <w:rsid w:val="00031A54"/>
    <w:rsid w:val="00040CB7"/>
    <w:rsid w:val="000431EB"/>
    <w:rsid w:val="00043480"/>
    <w:rsid w:val="00046167"/>
    <w:rsid w:val="00057F56"/>
    <w:rsid w:val="000632FB"/>
    <w:rsid w:val="00064E13"/>
    <w:rsid w:val="00065A62"/>
    <w:rsid w:val="00066F2F"/>
    <w:rsid w:val="00073DF4"/>
    <w:rsid w:val="0009086E"/>
    <w:rsid w:val="00095C3C"/>
    <w:rsid w:val="000A6304"/>
    <w:rsid w:val="000C05F3"/>
    <w:rsid w:val="000D5273"/>
    <w:rsid w:val="000D5E56"/>
    <w:rsid w:val="000D6031"/>
    <w:rsid w:val="00100298"/>
    <w:rsid w:val="00111AF1"/>
    <w:rsid w:val="00122236"/>
    <w:rsid w:val="0012260A"/>
    <w:rsid w:val="001245E5"/>
    <w:rsid w:val="00134650"/>
    <w:rsid w:val="00135E0A"/>
    <w:rsid w:val="00140828"/>
    <w:rsid w:val="00141F5A"/>
    <w:rsid w:val="001433F9"/>
    <w:rsid w:val="00143CD9"/>
    <w:rsid w:val="001470A5"/>
    <w:rsid w:val="00154142"/>
    <w:rsid w:val="001546DE"/>
    <w:rsid w:val="00162FA4"/>
    <w:rsid w:val="00164AAF"/>
    <w:rsid w:val="00167CED"/>
    <w:rsid w:val="0017364E"/>
    <w:rsid w:val="00181E2C"/>
    <w:rsid w:val="00184971"/>
    <w:rsid w:val="00191600"/>
    <w:rsid w:val="00191D3B"/>
    <w:rsid w:val="0019404F"/>
    <w:rsid w:val="00197CC4"/>
    <w:rsid w:val="001A1D0A"/>
    <w:rsid w:val="001A31E9"/>
    <w:rsid w:val="001A46BD"/>
    <w:rsid w:val="001A4DBA"/>
    <w:rsid w:val="001B2DBA"/>
    <w:rsid w:val="001B56EC"/>
    <w:rsid w:val="001C0DD8"/>
    <w:rsid w:val="001C25D9"/>
    <w:rsid w:val="001C6386"/>
    <w:rsid w:val="001C6771"/>
    <w:rsid w:val="001E0D45"/>
    <w:rsid w:val="001E6A36"/>
    <w:rsid w:val="001F359C"/>
    <w:rsid w:val="0020206A"/>
    <w:rsid w:val="00203392"/>
    <w:rsid w:val="002033EB"/>
    <w:rsid w:val="00206FFE"/>
    <w:rsid w:val="002166FC"/>
    <w:rsid w:val="00220217"/>
    <w:rsid w:val="00227DCD"/>
    <w:rsid w:val="00250400"/>
    <w:rsid w:val="00263BE8"/>
    <w:rsid w:val="00264771"/>
    <w:rsid w:val="00277C4B"/>
    <w:rsid w:val="00280009"/>
    <w:rsid w:val="00283D98"/>
    <w:rsid w:val="00291F31"/>
    <w:rsid w:val="00293838"/>
    <w:rsid w:val="00295B28"/>
    <w:rsid w:val="002A4852"/>
    <w:rsid w:val="002A57FD"/>
    <w:rsid w:val="002B6AA9"/>
    <w:rsid w:val="002C075E"/>
    <w:rsid w:val="002D1B0E"/>
    <w:rsid w:val="002D7ABF"/>
    <w:rsid w:val="002E1F70"/>
    <w:rsid w:val="002E77C2"/>
    <w:rsid w:val="002F01F8"/>
    <w:rsid w:val="002F4644"/>
    <w:rsid w:val="00307C84"/>
    <w:rsid w:val="00310C66"/>
    <w:rsid w:val="00317B7F"/>
    <w:rsid w:val="00325925"/>
    <w:rsid w:val="00325C3C"/>
    <w:rsid w:val="003321B7"/>
    <w:rsid w:val="003351E2"/>
    <w:rsid w:val="0033650A"/>
    <w:rsid w:val="00336B9F"/>
    <w:rsid w:val="00345382"/>
    <w:rsid w:val="00347AEF"/>
    <w:rsid w:val="00350289"/>
    <w:rsid w:val="003516F6"/>
    <w:rsid w:val="00355AFC"/>
    <w:rsid w:val="0036090A"/>
    <w:rsid w:val="00361A8A"/>
    <w:rsid w:val="00363A8B"/>
    <w:rsid w:val="003701E1"/>
    <w:rsid w:val="00370CD2"/>
    <w:rsid w:val="00370E9A"/>
    <w:rsid w:val="003756E1"/>
    <w:rsid w:val="00376E4A"/>
    <w:rsid w:val="00384ADB"/>
    <w:rsid w:val="00385408"/>
    <w:rsid w:val="003901B9"/>
    <w:rsid w:val="003A3577"/>
    <w:rsid w:val="003A5455"/>
    <w:rsid w:val="003B122C"/>
    <w:rsid w:val="003B3266"/>
    <w:rsid w:val="003C0105"/>
    <w:rsid w:val="003C1C3B"/>
    <w:rsid w:val="003C3A67"/>
    <w:rsid w:val="003E00A2"/>
    <w:rsid w:val="003E1359"/>
    <w:rsid w:val="003E153D"/>
    <w:rsid w:val="003E3FF6"/>
    <w:rsid w:val="003E5B8C"/>
    <w:rsid w:val="003F090E"/>
    <w:rsid w:val="003F29A5"/>
    <w:rsid w:val="003F4933"/>
    <w:rsid w:val="003F7BD8"/>
    <w:rsid w:val="00400B88"/>
    <w:rsid w:val="00412A3B"/>
    <w:rsid w:val="00415F9E"/>
    <w:rsid w:val="00416188"/>
    <w:rsid w:val="00416964"/>
    <w:rsid w:val="00420CD0"/>
    <w:rsid w:val="00422880"/>
    <w:rsid w:val="00450867"/>
    <w:rsid w:val="0045557B"/>
    <w:rsid w:val="00460087"/>
    <w:rsid w:val="00461E85"/>
    <w:rsid w:val="00462C18"/>
    <w:rsid w:val="00470893"/>
    <w:rsid w:val="0048256D"/>
    <w:rsid w:val="004830DA"/>
    <w:rsid w:val="0048545D"/>
    <w:rsid w:val="0048630B"/>
    <w:rsid w:val="004867F6"/>
    <w:rsid w:val="004973D4"/>
    <w:rsid w:val="004A78B7"/>
    <w:rsid w:val="004C0228"/>
    <w:rsid w:val="004C08E5"/>
    <w:rsid w:val="004C600A"/>
    <w:rsid w:val="004C7F26"/>
    <w:rsid w:val="004F2354"/>
    <w:rsid w:val="0051257C"/>
    <w:rsid w:val="00513169"/>
    <w:rsid w:val="00520C80"/>
    <w:rsid w:val="00523C02"/>
    <w:rsid w:val="00526B68"/>
    <w:rsid w:val="00532D63"/>
    <w:rsid w:val="00534D1A"/>
    <w:rsid w:val="00536A8B"/>
    <w:rsid w:val="00540758"/>
    <w:rsid w:val="005416B9"/>
    <w:rsid w:val="005445B9"/>
    <w:rsid w:val="00546DEF"/>
    <w:rsid w:val="0054759A"/>
    <w:rsid w:val="00547A40"/>
    <w:rsid w:val="005666C9"/>
    <w:rsid w:val="00567A7D"/>
    <w:rsid w:val="00567BCC"/>
    <w:rsid w:val="00571171"/>
    <w:rsid w:val="00571236"/>
    <w:rsid w:val="00572CE1"/>
    <w:rsid w:val="0057306C"/>
    <w:rsid w:val="005732A8"/>
    <w:rsid w:val="00575931"/>
    <w:rsid w:val="00584125"/>
    <w:rsid w:val="0059179C"/>
    <w:rsid w:val="00591F4C"/>
    <w:rsid w:val="005A0548"/>
    <w:rsid w:val="005B205F"/>
    <w:rsid w:val="005B4050"/>
    <w:rsid w:val="005B6DEE"/>
    <w:rsid w:val="005C27DD"/>
    <w:rsid w:val="005E0386"/>
    <w:rsid w:val="005F65C7"/>
    <w:rsid w:val="00606AFC"/>
    <w:rsid w:val="00607CA9"/>
    <w:rsid w:val="00612713"/>
    <w:rsid w:val="00622584"/>
    <w:rsid w:val="00623F49"/>
    <w:rsid w:val="00625728"/>
    <w:rsid w:val="006271F3"/>
    <w:rsid w:val="00631EC4"/>
    <w:rsid w:val="00631EEA"/>
    <w:rsid w:val="00633E6C"/>
    <w:rsid w:val="00635B3D"/>
    <w:rsid w:val="00640CC3"/>
    <w:rsid w:val="006434D5"/>
    <w:rsid w:val="00645053"/>
    <w:rsid w:val="00646ADB"/>
    <w:rsid w:val="00652334"/>
    <w:rsid w:val="00656201"/>
    <w:rsid w:val="006619DE"/>
    <w:rsid w:val="0066480E"/>
    <w:rsid w:val="0067050E"/>
    <w:rsid w:val="00670981"/>
    <w:rsid w:val="00671870"/>
    <w:rsid w:val="00675552"/>
    <w:rsid w:val="00676B99"/>
    <w:rsid w:val="00684E49"/>
    <w:rsid w:val="00685151"/>
    <w:rsid w:val="006851CF"/>
    <w:rsid w:val="00685E71"/>
    <w:rsid w:val="00695E73"/>
    <w:rsid w:val="006A3D32"/>
    <w:rsid w:val="006A5D52"/>
    <w:rsid w:val="006A6373"/>
    <w:rsid w:val="006B009E"/>
    <w:rsid w:val="006B0855"/>
    <w:rsid w:val="006B6747"/>
    <w:rsid w:val="006C07AF"/>
    <w:rsid w:val="006C664D"/>
    <w:rsid w:val="006D199E"/>
    <w:rsid w:val="006D441E"/>
    <w:rsid w:val="006D7CD1"/>
    <w:rsid w:val="006D7CD6"/>
    <w:rsid w:val="006E4EBA"/>
    <w:rsid w:val="006E657E"/>
    <w:rsid w:val="006F0F11"/>
    <w:rsid w:val="00702190"/>
    <w:rsid w:val="00706600"/>
    <w:rsid w:val="0071057F"/>
    <w:rsid w:val="007121A2"/>
    <w:rsid w:val="007207B4"/>
    <w:rsid w:val="0072424D"/>
    <w:rsid w:val="00727DA2"/>
    <w:rsid w:val="007310BF"/>
    <w:rsid w:val="00733654"/>
    <w:rsid w:val="0073785D"/>
    <w:rsid w:val="00740C00"/>
    <w:rsid w:val="00746FD1"/>
    <w:rsid w:val="007560AD"/>
    <w:rsid w:val="0076056B"/>
    <w:rsid w:val="0076146A"/>
    <w:rsid w:val="00762BAD"/>
    <w:rsid w:val="00762EE8"/>
    <w:rsid w:val="00767DD5"/>
    <w:rsid w:val="00771B5F"/>
    <w:rsid w:val="00783275"/>
    <w:rsid w:val="007879F2"/>
    <w:rsid w:val="00787D1B"/>
    <w:rsid w:val="00794F90"/>
    <w:rsid w:val="007978FB"/>
    <w:rsid w:val="007A041F"/>
    <w:rsid w:val="007A7C99"/>
    <w:rsid w:val="007B08D0"/>
    <w:rsid w:val="007B2581"/>
    <w:rsid w:val="007B6635"/>
    <w:rsid w:val="007C0647"/>
    <w:rsid w:val="007C3FA1"/>
    <w:rsid w:val="007C610C"/>
    <w:rsid w:val="007D1861"/>
    <w:rsid w:val="007D38C5"/>
    <w:rsid w:val="007E31A8"/>
    <w:rsid w:val="007F60BE"/>
    <w:rsid w:val="007F7F7C"/>
    <w:rsid w:val="00804550"/>
    <w:rsid w:val="008052E8"/>
    <w:rsid w:val="00807FA8"/>
    <w:rsid w:val="00816271"/>
    <w:rsid w:val="00834736"/>
    <w:rsid w:val="00836C36"/>
    <w:rsid w:val="0084042C"/>
    <w:rsid w:val="00841947"/>
    <w:rsid w:val="00841C6B"/>
    <w:rsid w:val="00843633"/>
    <w:rsid w:val="00844518"/>
    <w:rsid w:val="00844967"/>
    <w:rsid w:val="008700BF"/>
    <w:rsid w:val="00870740"/>
    <w:rsid w:val="00874FAA"/>
    <w:rsid w:val="00884E5C"/>
    <w:rsid w:val="00890387"/>
    <w:rsid w:val="00891967"/>
    <w:rsid w:val="00892E35"/>
    <w:rsid w:val="00896F8F"/>
    <w:rsid w:val="008972A3"/>
    <w:rsid w:val="008B058D"/>
    <w:rsid w:val="008B2D68"/>
    <w:rsid w:val="008B4F99"/>
    <w:rsid w:val="008D1C58"/>
    <w:rsid w:val="008D4ACB"/>
    <w:rsid w:val="008E11CF"/>
    <w:rsid w:val="008F0B83"/>
    <w:rsid w:val="008F20D3"/>
    <w:rsid w:val="0090173C"/>
    <w:rsid w:val="00903FDC"/>
    <w:rsid w:val="009052A9"/>
    <w:rsid w:val="00907D06"/>
    <w:rsid w:val="009112FD"/>
    <w:rsid w:val="0091251A"/>
    <w:rsid w:val="00921D9B"/>
    <w:rsid w:val="00922406"/>
    <w:rsid w:val="009232BE"/>
    <w:rsid w:val="00930A81"/>
    <w:rsid w:val="0093100D"/>
    <w:rsid w:val="0093288B"/>
    <w:rsid w:val="009340CB"/>
    <w:rsid w:val="009419F2"/>
    <w:rsid w:val="00946282"/>
    <w:rsid w:val="009544C5"/>
    <w:rsid w:val="00962C8C"/>
    <w:rsid w:val="0096694C"/>
    <w:rsid w:val="00967055"/>
    <w:rsid w:val="00977DC9"/>
    <w:rsid w:val="00980C6C"/>
    <w:rsid w:val="00981180"/>
    <w:rsid w:val="00983470"/>
    <w:rsid w:val="009849DD"/>
    <w:rsid w:val="00987A4A"/>
    <w:rsid w:val="00990AE7"/>
    <w:rsid w:val="009A6C4A"/>
    <w:rsid w:val="009A6DF2"/>
    <w:rsid w:val="009B1741"/>
    <w:rsid w:val="009B6826"/>
    <w:rsid w:val="009B75B1"/>
    <w:rsid w:val="009D1161"/>
    <w:rsid w:val="009D1B7E"/>
    <w:rsid w:val="009D38F1"/>
    <w:rsid w:val="009D7EE9"/>
    <w:rsid w:val="009E560F"/>
    <w:rsid w:val="009F162A"/>
    <w:rsid w:val="009F1B5B"/>
    <w:rsid w:val="00A11382"/>
    <w:rsid w:val="00A153A3"/>
    <w:rsid w:val="00A1616E"/>
    <w:rsid w:val="00A2383E"/>
    <w:rsid w:val="00A260EC"/>
    <w:rsid w:val="00A3592D"/>
    <w:rsid w:val="00A43B31"/>
    <w:rsid w:val="00A50AD5"/>
    <w:rsid w:val="00A53485"/>
    <w:rsid w:val="00A6517E"/>
    <w:rsid w:val="00A74680"/>
    <w:rsid w:val="00A768DE"/>
    <w:rsid w:val="00A778A1"/>
    <w:rsid w:val="00A778A5"/>
    <w:rsid w:val="00A8027F"/>
    <w:rsid w:val="00A8639A"/>
    <w:rsid w:val="00A9159E"/>
    <w:rsid w:val="00A934B8"/>
    <w:rsid w:val="00A9722E"/>
    <w:rsid w:val="00AA2372"/>
    <w:rsid w:val="00AA7D98"/>
    <w:rsid w:val="00AB5A9D"/>
    <w:rsid w:val="00AC0659"/>
    <w:rsid w:val="00AC472C"/>
    <w:rsid w:val="00AC5ABB"/>
    <w:rsid w:val="00AC6FBA"/>
    <w:rsid w:val="00AD1A44"/>
    <w:rsid w:val="00AD2F3C"/>
    <w:rsid w:val="00AD30D5"/>
    <w:rsid w:val="00AD4BEF"/>
    <w:rsid w:val="00AD5F2A"/>
    <w:rsid w:val="00AD6495"/>
    <w:rsid w:val="00B01A13"/>
    <w:rsid w:val="00B137F3"/>
    <w:rsid w:val="00B14FF8"/>
    <w:rsid w:val="00B24E52"/>
    <w:rsid w:val="00B30902"/>
    <w:rsid w:val="00B431BA"/>
    <w:rsid w:val="00B440C4"/>
    <w:rsid w:val="00B507CE"/>
    <w:rsid w:val="00B51EA9"/>
    <w:rsid w:val="00B53AC8"/>
    <w:rsid w:val="00B549C1"/>
    <w:rsid w:val="00B5526A"/>
    <w:rsid w:val="00B5594B"/>
    <w:rsid w:val="00B600BD"/>
    <w:rsid w:val="00B63542"/>
    <w:rsid w:val="00B66B6D"/>
    <w:rsid w:val="00B71768"/>
    <w:rsid w:val="00B82C2E"/>
    <w:rsid w:val="00B82F0C"/>
    <w:rsid w:val="00B86B11"/>
    <w:rsid w:val="00B9567F"/>
    <w:rsid w:val="00BA1452"/>
    <w:rsid w:val="00BB2EBC"/>
    <w:rsid w:val="00BC6DAF"/>
    <w:rsid w:val="00BD735C"/>
    <w:rsid w:val="00BE48E7"/>
    <w:rsid w:val="00BF0906"/>
    <w:rsid w:val="00BF7ABF"/>
    <w:rsid w:val="00C06403"/>
    <w:rsid w:val="00C06459"/>
    <w:rsid w:val="00C12E78"/>
    <w:rsid w:val="00C2716F"/>
    <w:rsid w:val="00C3036A"/>
    <w:rsid w:val="00C308D0"/>
    <w:rsid w:val="00C504DE"/>
    <w:rsid w:val="00C538CB"/>
    <w:rsid w:val="00C65506"/>
    <w:rsid w:val="00C70D29"/>
    <w:rsid w:val="00C738CD"/>
    <w:rsid w:val="00C81B6E"/>
    <w:rsid w:val="00C81F48"/>
    <w:rsid w:val="00C84EE0"/>
    <w:rsid w:val="00C87DEB"/>
    <w:rsid w:val="00C916E9"/>
    <w:rsid w:val="00C927CB"/>
    <w:rsid w:val="00C93E2A"/>
    <w:rsid w:val="00CA1BD3"/>
    <w:rsid w:val="00CB2723"/>
    <w:rsid w:val="00CB27E6"/>
    <w:rsid w:val="00CB5437"/>
    <w:rsid w:val="00CB67AE"/>
    <w:rsid w:val="00CC2C03"/>
    <w:rsid w:val="00CC3378"/>
    <w:rsid w:val="00CC45F7"/>
    <w:rsid w:val="00CD018A"/>
    <w:rsid w:val="00CD6024"/>
    <w:rsid w:val="00CE0787"/>
    <w:rsid w:val="00CE08E8"/>
    <w:rsid w:val="00CE1A16"/>
    <w:rsid w:val="00CE4BBC"/>
    <w:rsid w:val="00CF0DBA"/>
    <w:rsid w:val="00CF37DE"/>
    <w:rsid w:val="00CF4E25"/>
    <w:rsid w:val="00D06F5F"/>
    <w:rsid w:val="00D201B0"/>
    <w:rsid w:val="00D20A96"/>
    <w:rsid w:val="00D22E41"/>
    <w:rsid w:val="00D266B7"/>
    <w:rsid w:val="00D3089E"/>
    <w:rsid w:val="00D36C24"/>
    <w:rsid w:val="00D42012"/>
    <w:rsid w:val="00D43758"/>
    <w:rsid w:val="00D439CE"/>
    <w:rsid w:val="00D50C5F"/>
    <w:rsid w:val="00D5129B"/>
    <w:rsid w:val="00D61683"/>
    <w:rsid w:val="00D631AE"/>
    <w:rsid w:val="00D64A1A"/>
    <w:rsid w:val="00D64BEE"/>
    <w:rsid w:val="00D67930"/>
    <w:rsid w:val="00D71143"/>
    <w:rsid w:val="00D7122C"/>
    <w:rsid w:val="00D71F3D"/>
    <w:rsid w:val="00D762C9"/>
    <w:rsid w:val="00D77AA2"/>
    <w:rsid w:val="00D77E28"/>
    <w:rsid w:val="00D81C2E"/>
    <w:rsid w:val="00D829D0"/>
    <w:rsid w:val="00D82A2B"/>
    <w:rsid w:val="00D83DF5"/>
    <w:rsid w:val="00D86E79"/>
    <w:rsid w:val="00D91525"/>
    <w:rsid w:val="00D918EA"/>
    <w:rsid w:val="00D97585"/>
    <w:rsid w:val="00D979A8"/>
    <w:rsid w:val="00DA7080"/>
    <w:rsid w:val="00DB30AA"/>
    <w:rsid w:val="00DB48A6"/>
    <w:rsid w:val="00DC053E"/>
    <w:rsid w:val="00DC1B39"/>
    <w:rsid w:val="00DE00D1"/>
    <w:rsid w:val="00DE3C8F"/>
    <w:rsid w:val="00DE605B"/>
    <w:rsid w:val="00DF103C"/>
    <w:rsid w:val="00DF6673"/>
    <w:rsid w:val="00E10E17"/>
    <w:rsid w:val="00E11E0F"/>
    <w:rsid w:val="00E13399"/>
    <w:rsid w:val="00E15CE4"/>
    <w:rsid w:val="00E21A00"/>
    <w:rsid w:val="00E22437"/>
    <w:rsid w:val="00E275B1"/>
    <w:rsid w:val="00E37981"/>
    <w:rsid w:val="00E42149"/>
    <w:rsid w:val="00E4468F"/>
    <w:rsid w:val="00E44762"/>
    <w:rsid w:val="00E504A7"/>
    <w:rsid w:val="00E50A13"/>
    <w:rsid w:val="00E53E18"/>
    <w:rsid w:val="00E61052"/>
    <w:rsid w:val="00E61998"/>
    <w:rsid w:val="00E61DC7"/>
    <w:rsid w:val="00E63671"/>
    <w:rsid w:val="00E64E2A"/>
    <w:rsid w:val="00E66043"/>
    <w:rsid w:val="00E67F8A"/>
    <w:rsid w:val="00E72228"/>
    <w:rsid w:val="00E7388A"/>
    <w:rsid w:val="00E76C86"/>
    <w:rsid w:val="00E84229"/>
    <w:rsid w:val="00E85FBA"/>
    <w:rsid w:val="00E86E1C"/>
    <w:rsid w:val="00E90FE3"/>
    <w:rsid w:val="00E93BA4"/>
    <w:rsid w:val="00E94AD6"/>
    <w:rsid w:val="00EA05F5"/>
    <w:rsid w:val="00EA2084"/>
    <w:rsid w:val="00EA3877"/>
    <w:rsid w:val="00EA525D"/>
    <w:rsid w:val="00EB15A6"/>
    <w:rsid w:val="00EB26BD"/>
    <w:rsid w:val="00EB3C44"/>
    <w:rsid w:val="00EB7853"/>
    <w:rsid w:val="00EC04DC"/>
    <w:rsid w:val="00EC43C7"/>
    <w:rsid w:val="00ED1D2F"/>
    <w:rsid w:val="00ED7239"/>
    <w:rsid w:val="00EE4761"/>
    <w:rsid w:val="00EE7281"/>
    <w:rsid w:val="00EE788C"/>
    <w:rsid w:val="00EF182B"/>
    <w:rsid w:val="00EF4B26"/>
    <w:rsid w:val="00EF4F05"/>
    <w:rsid w:val="00F05256"/>
    <w:rsid w:val="00F0711F"/>
    <w:rsid w:val="00F218B0"/>
    <w:rsid w:val="00F23825"/>
    <w:rsid w:val="00F23C70"/>
    <w:rsid w:val="00F247F3"/>
    <w:rsid w:val="00F27799"/>
    <w:rsid w:val="00F41EFA"/>
    <w:rsid w:val="00F445E9"/>
    <w:rsid w:val="00F454AB"/>
    <w:rsid w:val="00F45E47"/>
    <w:rsid w:val="00F470F8"/>
    <w:rsid w:val="00F47AD5"/>
    <w:rsid w:val="00F5408C"/>
    <w:rsid w:val="00F553CC"/>
    <w:rsid w:val="00F65075"/>
    <w:rsid w:val="00F66BE6"/>
    <w:rsid w:val="00F6757E"/>
    <w:rsid w:val="00F725B6"/>
    <w:rsid w:val="00F75BA8"/>
    <w:rsid w:val="00F7653C"/>
    <w:rsid w:val="00F772E7"/>
    <w:rsid w:val="00F81067"/>
    <w:rsid w:val="00F86300"/>
    <w:rsid w:val="00F90F28"/>
    <w:rsid w:val="00F91E90"/>
    <w:rsid w:val="00F926A4"/>
    <w:rsid w:val="00F9529C"/>
    <w:rsid w:val="00F95DAD"/>
    <w:rsid w:val="00FA2121"/>
    <w:rsid w:val="00FA367A"/>
    <w:rsid w:val="00FA64E2"/>
    <w:rsid w:val="00FB0E75"/>
    <w:rsid w:val="00FB5495"/>
    <w:rsid w:val="00FC57F5"/>
    <w:rsid w:val="00FD5163"/>
    <w:rsid w:val="00FD58CC"/>
    <w:rsid w:val="00FD7F85"/>
    <w:rsid w:val="00FE4F2E"/>
    <w:rsid w:val="00FE7ADA"/>
    <w:rsid w:val="00FF161D"/>
    <w:rsid w:val="00FF4036"/>
    <w:rsid w:val="00FF4F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158A6"/>
  <w15:chartTrackingRefBased/>
  <w15:docId w15:val="{C2418ADF-2C77-412C-BF3F-52A9D6F1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27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61A8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361A8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361A8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361A8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361A8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361A8A"/>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361A8A"/>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361A8A"/>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361A8A"/>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1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A8A"/>
    <w:rPr>
      <w:rFonts w:eastAsiaTheme="majorEastAsia" w:cstheme="majorBidi"/>
      <w:color w:val="272727" w:themeColor="text1" w:themeTint="D8"/>
    </w:rPr>
  </w:style>
  <w:style w:type="paragraph" w:styleId="Title">
    <w:name w:val="Title"/>
    <w:basedOn w:val="Normal"/>
    <w:next w:val="Normal"/>
    <w:link w:val="TitleChar"/>
    <w:uiPriority w:val="10"/>
    <w:qFormat/>
    <w:rsid w:val="00361A8A"/>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361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A8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361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A8A"/>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361A8A"/>
    <w:rPr>
      <w:i/>
      <w:iCs/>
      <w:color w:val="404040" w:themeColor="text1" w:themeTint="BF"/>
    </w:rPr>
  </w:style>
  <w:style w:type="paragraph" w:styleId="ListParagraph">
    <w:name w:val="List Paragraph"/>
    <w:basedOn w:val="Normal"/>
    <w:uiPriority w:val="34"/>
    <w:qFormat/>
    <w:rsid w:val="00361A8A"/>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361A8A"/>
    <w:rPr>
      <w:i/>
      <w:iCs/>
      <w:color w:val="0F4761" w:themeColor="accent1" w:themeShade="BF"/>
    </w:rPr>
  </w:style>
  <w:style w:type="paragraph" w:styleId="IntenseQuote">
    <w:name w:val="Intense Quote"/>
    <w:basedOn w:val="Normal"/>
    <w:next w:val="Normal"/>
    <w:link w:val="IntenseQuoteChar"/>
    <w:uiPriority w:val="30"/>
    <w:qFormat/>
    <w:rsid w:val="00361A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361A8A"/>
    <w:rPr>
      <w:i/>
      <w:iCs/>
      <w:color w:val="0F4761" w:themeColor="accent1" w:themeShade="BF"/>
    </w:rPr>
  </w:style>
  <w:style w:type="character" w:styleId="IntenseReference">
    <w:name w:val="Intense Reference"/>
    <w:basedOn w:val="DefaultParagraphFont"/>
    <w:uiPriority w:val="32"/>
    <w:qFormat/>
    <w:rsid w:val="00361A8A"/>
    <w:rPr>
      <w:b/>
      <w:bCs/>
      <w:smallCaps/>
      <w:color w:val="0F4761" w:themeColor="accent1" w:themeShade="BF"/>
      <w:spacing w:val="5"/>
    </w:rPr>
  </w:style>
  <w:style w:type="paragraph" w:styleId="Header">
    <w:name w:val="header"/>
    <w:basedOn w:val="Normal"/>
    <w:link w:val="HeaderChar"/>
    <w:uiPriority w:val="99"/>
    <w:unhideWhenUsed/>
    <w:rsid w:val="00361A8A"/>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uiPriority w:val="99"/>
    <w:rsid w:val="00361A8A"/>
  </w:style>
  <w:style w:type="paragraph" w:styleId="Footer">
    <w:name w:val="footer"/>
    <w:basedOn w:val="Normal"/>
    <w:link w:val="FooterChar"/>
    <w:uiPriority w:val="99"/>
    <w:unhideWhenUsed/>
    <w:rsid w:val="00361A8A"/>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61A8A"/>
  </w:style>
  <w:style w:type="paragraph" w:styleId="TOCHeading">
    <w:name w:val="TOC Heading"/>
    <w:basedOn w:val="Heading1"/>
    <w:next w:val="Normal"/>
    <w:uiPriority w:val="39"/>
    <w:unhideWhenUsed/>
    <w:qFormat/>
    <w:rsid w:val="00FB5495"/>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B5495"/>
    <w:pPr>
      <w:spacing w:before="120" w:line="278" w:lineRule="auto"/>
    </w:pPr>
    <w:rPr>
      <w:rFonts w:asciiTheme="minorHAnsi" w:eastAsiaTheme="minorEastAsia" w:hAnsiTheme="minorHAnsi" w:cstheme="minorBidi"/>
      <w:b/>
      <w:bCs/>
      <w:i/>
      <w:iCs/>
      <w:kern w:val="2"/>
      <w:lang w:eastAsia="zh-CN"/>
      <w14:ligatures w14:val="standardContextual"/>
    </w:rPr>
  </w:style>
  <w:style w:type="paragraph" w:styleId="TOC2">
    <w:name w:val="toc 2"/>
    <w:basedOn w:val="Normal"/>
    <w:next w:val="Normal"/>
    <w:autoRedefine/>
    <w:uiPriority w:val="39"/>
    <w:unhideWhenUsed/>
    <w:rsid w:val="00FB5495"/>
    <w:pPr>
      <w:spacing w:before="120" w:line="278" w:lineRule="auto"/>
      <w:ind w:left="240"/>
    </w:pPr>
    <w:rPr>
      <w:rFonts w:asciiTheme="minorHAnsi" w:eastAsiaTheme="minorEastAsia" w:hAnsiTheme="minorHAnsi" w:cstheme="minorBidi"/>
      <w:b/>
      <w:bCs/>
      <w:kern w:val="2"/>
      <w:sz w:val="22"/>
      <w:szCs w:val="22"/>
      <w:lang w:eastAsia="zh-CN"/>
      <w14:ligatures w14:val="standardContextual"/>
    </w:rPr>
  </w:style>
  <w:style w:type="paragraph" w:styleId="TOC3">
    <w:name w:val="toc 3"/>
    <w:basedOn w:val="Normal"/>
    <w:next w:val="Normal"/>
    <w:autoRedefine/>
    <w:uiPriority w:val="39"/>
    <w:semiHidden/>
    <w:unhideWhenUsed/>
    <w:rsid w:val="00FB5495"/>
    <w:pPr>
      <w:spacing w:line="278" w:lineRule="auto"/>
      <w:ind w:left="480"/>
    </w:pPr>
    <w:rPr>
      <w:rFonts w:asciiTheme="minorHAnsi" w:eastAsiaTheme="minorEastAsia" w:hAnsiTheme="minorHAnsi" w:cstheme="minorBidi"/>
      <w:kern w:val="2"/>
      <w:sz w:val="20"/>
      <w:szCs w:val="20"/>
      <w:lang w:eastAsia="zh-CN"/>
      <w14:ligatures w14:val="standardContextual"/>
    </w:rPr>
  </w:style>
  <w:style w:type="paragraph" w:styleId="TOC4">
    <w:name w:val="toc 4"/>
    <w:basedOn w:val="Normal"/>
    <w:next w:val="Normal"/>
    <w:autoRedefine/>
    <w:uiPriority w:val="39"/>
    <w:semiHidden/>
    <w:unhideWhenUsed/>
    <w:rsid w:val="00FB5495"/>
    <w:pPr>
      <w:spacing w:line="278" w:lineRule="auto"/>
      <w:ind w:left="720"/>
    </w:pPr>
    <w:rPr>
      <w:rFonts w:asciiTheme="minorHAnsi" w:eastAsiaTheme="minorEastAsia" w:hAnsiTheme="minorHAnsi" w:cstheme="minorBidi"/>
      <w:kern w:val="2"/>
      <w:sz w:val="20"/>
      <w:szCs w:val="20"/>
      <w:lang w:eastAsia="zh-CN"/>
      <w14:ligatures w14:val="standardContextual"/>
    </w:rPr>
  </w:style>
  <w:style w:type="paragraph" w:styleId="TOC5">
    <w:name w:val="toc 5"/>
    <w:basedOn w:val="Normal"/>
    <w:next w:val="Normal"/>
    <w:autoRedefine/>
    <w:uiPriority w:val="39"/>
    <w:semiHidden/>
    <w:unhideWhenUsed/>
    <w:rsid w:val="00FB5495"/>
    <w:pPr>
      <w:spacing w:line="278" w:lineRule="auto"/>
      <w:ind w:left="960"/>
    </w:pPr>
    <w:rPr>
      <w:rFonts w:asciiTheme="minorHAnsi" w:eastAsiaTheme="minorEastAsia" w:hAnsiTheme="minorHAnsi" w:cstheme="minorBidi"/>
      <w:kern w:val="2"/>
      <w:sz w:val="20"/>
      <w:szCs w:val="20"/>
      <w:lang w:eastAsia="zh-CN"/>
      <w14:ligatures w14:val="standardContextual"/>
    </w:rPr>
  </w:style>
  <w:style w:type="paragraph" w:styleId="TOC6">
    <w:name w:val="toc 6"/>
    <w:basedOn w:val="Normal"/>
    <w:next w:val="Normal"/>
    <w:autoRedefine/>
    <w:uiPriority w:val="39"/>
    <w:semiHidden/>
    <w:unhideWhenUsed/>
    <w:rsid w:val="00FB5495"/>
    <w:pPr>
      <w:spacing w:line="278" w:lineRule="auto"/>
      <w:ind w:left="1200"/>
    </w:pPr>
    <w:rPr>
      <w:rFonts w:asciiTheme="minorHAnsi" w:eastAsiaTheme="minorEastAsia" w:hAnsiTheme="minorHAnsi" w:cstheme="minorBidi"/>
      <w:kern w:val="2"/>
      <w:sz w:val="20"/>
      <w:szCs w:val="20"/>
      <w:lang w:eastAsia="zh-CN"/>
      <w14:ligatures w14:val="standardContextual"/>
    </w:rPr>
  </w:style>
  <w:style w:type="paragraph" w:styleId="TOC7">
    <w:name w:val="toc 7"/>
    <w:basedOn w:val="Normal"/>
    <w:next w:val="Normal"/>
    <w:autoRedefine/>
    <w:uiPriority w:val="39"/>
    <w:semiHidden/>
    <w:unhideWhenUsed/>
    <w:rsid w:val="00FB5495"/>
    <w:pPr>
      <w:spacing w:line="278" w:lineRule="auto"/>
      <w:ind w:left="1440"/>
    </w:pPr>
    <w:rPr>
      <w:rFonts w:asciiTheme="minorHAnsi" w:eastAsiaTheme="minorEastAsia" w:hAnsiTheme="minorHAnsi" w:cstheme="minorBidi"/>
      <w:kern w:val="2"/>
      <w:sz w:val="20"/>
      <w:szCs w:val="20"/>
      <w:lang w:eastAsia="zh-CN"/>
      <w14:ligatures w14:val="standardContextual"/>
    </w:rPr>
  </w:style>
  <w:style w:type="paragraph" w:styleId="TOC8">
    <w:name w:val="toc 8"/>
    <w:basedOn w:val="Normal"/>
    <w:next w:val="Normal"/>
    <w:autoRedefine/>
    <w:uiPriority w:val="39"/>
    <w:semiHidden/>
    <w:unhideWhenUsed/>
    <w:rsid w:val="00FB5495"/>
    <w:pPr>
      <w:spacing w:line="278" w:lineRule="auto"/>
      <w:ind w:left="1680"/>
    </w:pPr>
    <w:rPr>
      <w:rFonts w:asciiTheme="minorHAnsi" w:eastAsiaTheme="minorEastAsia" w:hAnsiTheme="minorHAnsi" w:cstheme="minorBidi"/>
      <w:kern w:val="2"/>
      <w:sz w:val="20"/>
      <w:szCs w:val="20"/>
      <w:lang w:eastAsia="zh-CN"/>
      <w14:ligatures w14:val="standardContextual"/>
    </w:rPr>
  </w:style>
  <w:style w:type="paragraph" w:styleId="TOC9">
    <w:name w:val="toc 9"/>
    <w:basedOn w:val="Normal"/>
    <w:next w:val="Normal"/>
    <w:autoRedefine/>
    <w:uiPriority w:val="39"/>
    <w:semiHidden/>
    <w:unhideWhenUsed/>
    <w:rsid w:val="00FB5495"/>
    <w:pPr>
      <w:spacing w:line="278" w:lineRule="auto"/>
      <w:ind w:left="1920"/>
    </w:pPr>
    <w:rPr>
      <w:rFonts w:asciiTheme="minorHAnsi" w:eastAsiaTheme="minorEastAsia" w:hAnsiTheme="minorHAnsi" w:cstheme="minorBidi"/>
      <w:kern w:val="2"/>
      <w:sz w:val="20"/>
      <w:szCs w:val="20"/>
      <w:lang w:eastAsia="zh-CN"/>
      <w14:ligatures w14:val="standardContextual"/>
    </w:rPr>
  </w:style>
  <w:style w:type="character" w:styleId="Hyperlink">
    <w:name w:val="Hyperlink"/>
    <w:basedOn w:val="DefaultParagraphFont"/>
    <w:uiPriority w:val="99"/>
    <w:unhideWhenUsed/>
    <w:rsid w:val="00F45E47"/>
    <w:rPr>
      <w:color w:val="467886" w:themeColor="hyperlink"/>
      <w:u w:val="single"/>
    </w:rPr>
  </w:style>
  <w:style w:type="paragraph" w:styleId="NormalWeb">
    <w:name w:val="Normal (Web)"/>
    <w:basedOn w:val="Normal"/>
    <w:uiPriority w:val="99"/>
    <w:unhideWhenUsed/>
    <w:rsid w:val="00F95DAD"/>
    <w:pPr>
      <w:spacing w:before="100" w:beforeAutospacing="1" w:after="100" w:afterAutospacing="1"/>
    </w:pPr>
  </w:style>
  <w:style w:type="character" w:customStyle="1" w:styleId="apple-converted-space">
    <w:name w:val="apple-converted-space"/>
    <w:basedOn w:val="DefaultParagraphFont"/>
    <w:rsid w:val="00967055"/>
  </w:style>
  <w:style w:type="character" w:styleId="Emphasis">
    <w:name w:val="Emphasis"/>
    <w:basedOn w:val="DefaultParagraphFont"/>
    <w:uiPriority w:val="20"/>
    <w:qFormat/>
    <w:rsid w:val="00967055"/>
    <w:rPr>
      <w:i/>
      <w:iCs/>
    </w:rPr>
  </w:style>
  <w:style w:type="character" w:styleId="Strong">
    <w:name w:val="Strong"/>
    <w:basedOn w:val="DefaultParagraphFont"/>
    <w:uiPriority w:val="22"/>
    <w:qFormat/>
    <w:rsid w:val="009E560F"/>
    <w:rPr>
      <w:b/>
      <w:bCs/>
    </w:rPr>
  </w:style>
  <w:style w:type="character" w:styleId="UnresolvedMention">
    <w:name w:val="Unresolved Mention"/>
    <w:basedOn w:val="DefaultParagraphFont"/>
    <w:uiPriority w:val="99"/>
    <w:semiHidden/>
    <w:unhideWhenUsed/>
    <w:rsid w:val="00AB5A9D"/>
    <w:rPr>
      <w:color w:val="605E5C"/>
      <w:shd w:val="clear" w:color="auto" w:fill="E1DFDD"/>
    </w:rPr>
  </w:style>
  <w:style w:type="character" w:styleId="FollowedHyperlink">
    <w:name w:val="FollowedHyperlink"/>
    <w:basedOn w:val="DefaultParagraphFont"/>
    <w:uiPriority w:val="99"/>
    <w:semiHidden/>
    <w:unhideWhenUsed/>
    <w:rsid w:val="00AB5A9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6562">
      <w:bodyDiv w:val="1"/>
      <w:marLeft w:val="0"/>
      <w:marRight w:val="0"/>
      <w:marTop w:val="0"/>
      <w:marBottom w:val="0"/>
      <w:divBdr>
        <w:top w:val="none" w:sz="0" w:space="0" w:color="auto"/>
        <w:left w:val="none" w:sz="0" w:space="0" w:color="auto"/>
        <w:bottom w:val="none" w:sz="0" w:space="0" w:color="auto"/>
        <w:right w:val="none" w:sz="0" w:space="0" w:color="auto"/>
      </w:divBdr>
    </w:div>
    <w:div w:id="83192484">
      <w:bodyDiv w:val="1"/>
      <w:marLeft w:val="0"/>
      <w:marRight w:val="0"/>
      <w:marTop w:val="0"/>
      <w:marBottom w:val="0"/>
      <w:divBdr>
        <w:top w:val="none" w:sz="0" w:space="0" w:color="auto"/>
        <w:left w:val="none" w:sz="0" w:space="0" w:color="auto"/>
        <w:bottom w:val="none" w:sz="0" w:space="0" w:color="auto"/>
        <w:right w:val="none" w:sz="0" w:space="0" w:color="auto"/>
      </w:divBdr>
    </w:div>
    <w:div w:id="86653929">
      <w:bodyDiv w:val="1"/>
      <w:marLeft w:val="0"/>
      <w:marRight w:val="0"/>
      <w:marTop w:val="0"/>
      <w:marBottom w:val="0"/>
      <w:divBdr>
        <w:top w:val="none" w:sz="0" w:space="0" w:color="auto"/>
        <w:left w:val="none" w:sz="0" w:space="0" w:color="auto"/>
        <w:bottom w:val="none" w:sz="0" w:space="0" w:color="auto"/>
        <w:right w:val="none" w:sz="0" w:space="0" w:color="auto"/>
      </w:divBdr>
    </w:div>
    <w:div w:id="90055261">
      <w:bodyDiv w:val="1"/>
      <w:marLeft w:val="0"/>
      <w:marRight w:val="0"/>
      <w:marTop w:val="0"/>
      <w:marBottom w:val="0"/>
      <w:divBdr>
        <w:top w:val="none" w:sz="0" w:space="0" w:color="auto"/>
        <w:left w:val="none" w:sz="0" w:space="0" w:color="auto"/>
        <w:bottom w:val="none" w:sz="0" w:space="0" w:color="auto"/>
        <w:right w:val="none" w:sz="0" w:space="0" w:color="auto"/>
      </w:divBdr>
    </w:div>
    <w:div w:id="144903198">
      <w:bodyDiv w:val="1"/>
      <w:marLeft w:val="0"/>
      <w:marRight w:val="0"/>
      <w:marTop w:val="0"/>
      <w:marBottom w:val="0"/>
      <w:divBdr>
        <w:top w:val="none" w:sz="0" w:space="0" w:color="auto"/>
        <w:left w:val="none" w:sz="0" w:space="0" w:color="auto"/>
        <w:bottom w:val="none" w:sz="0" w:space="0" w:color="auto"/>
        <w:right w:val="none" w:sz="0" w:space="0" w:color="auto"/>
      </w:divBdr>
    </w:div>
    <w:div w:id="153188715">
      <w:bodyDiv w:val="1"/>
      <w:marLeft w:val="0"/>
      <w:marRight w:val="0"/>
      <w:marTop w:val="0"/>
      <w:marBottom w:val="0"/>
      <w:divBdr>
        <w:top w:val="none" w:sz="0" w:space="0" w:color="auto"/>
        <w:left w:val="none" w:sz="0" w:space="0" w:color="auto"/>
        <w:bottom w:val="none" w:sz="0" w:space="0" w:color="auto"/>
        <w:right w:val="none" w:sz="0" w:space="0" w:color="auto"/>
      </w:divBdr>
    </w:div>
    <w:div w:id="171844552">
      <w:bodyDiv w:val="1"/>
      <w:marLeft w:val="0"/>
      <w:marRight w:val="0"/>
      <w:marTop w:val="0"/>
      <w:marBottom w:val="0"/>
      <w:divBdr>
        <w:top w:val="none" w:sz="0" w:space="0" w:color="auto"/>
        <w:left w:val="none" w:sz="0" w:space="0" w:color="auto"/>
        <w:bottom w:val="none" w:sz="0" w:space="0" w:color="auto"/>
        <w:right w:val="none" w:sz="0" w:space="0" w:color="auto"/>
      </w:divBdr>
    </w:div>
    <w:div w:id="199320799">
      <w:bodyDiv w:val="1"/>
      <w:marLeft w:val="0"/>
      <w:marRight w:val="0"/>
      <w:marTop w:val="0"/>
      <w:marBottom w:val="0"/>
      <w:divBdr>
        <w:top w:val="none" w:sz="0" w:space="0" w:color="auto"/>
        <w:left w:val="none" w:sz="0" w:space="0" w:color="auto"/>
        <w:bottom w:val="none" w:sz="0" w:space="0" w:color="auto"/>
        <w:right w:val="none" w:sz="0" w:space="0" w:color="auto"/>
      </w:divBdr>
    </w:div>
    <w:div w:id="240719588">
      <w:bodyDiv w:val="1"/>
      <w:marLeft w:val="0"/>
      <w:marRight w:val="0"/>
      <w:marTop w:val="0"/>
      <w:marBottom w:val="0"/>
      <w:divBdr>
        <w:top w:val="none" w:sz="0" w:space="0" w:color="auto"/>
        <w:left w:val="none" w:sz="0" w:space="0" w:color="auto"/>
        <w:bottom w:val="none" w:sz="0" w:space="0" w:color="auto"/>
        <w:right w:val="none" w:sz="0" w:space="0" w:color="auto"/>
      </w:divBdr>
      <w:divsChild>
        <w:div w:id="196360561">
          <w:marLeft w:val="0"/>
          <w:marRight w:val="0"/>
          <w:marTop w:val="0"/>
          <w:marBottom w:val="0"/>
          <w:divBdr>
            <w:top w:val="none" w:sz="0" w:space="0" w:color="auto"/>
            <w:left w:val="none" w:sz="0" w:space="0" w:color="auto"/>
            <w:bottom w:val="none" w:sz="0" w:space="0" w:color="auto"/>
            <w:right w:val="none" w:sz="0" w:space="0" w:color="auto"/>
          </w:divBdr>
          <w:divsChild>
            <w:div w:id="95567296">
              <w:marLeft w:val="0"/>
              <w:marRight w:val="0"/>
              <w:marTop w:val="0"/>
              <w:marBottom w:val="0"/>
              <w:divBdr>
                <w:top w:val="none" w:sz="0" w:space="0" w:color="auto"/>
                <w:left w:val="none" w:sz="0" w:space="0" w:color="auto"/>
                <w:bottom w:val="none" w:sz="0" w:space="0" w:color="auto"/>
                <w:right w:val="none" w:sz="0" w:space="0" w:color="auto"/>
              </w:divBdr>
              <w:divsChild>
                <w:div w:id="2128618222">
                  <w:marLeft w:val="0"/>
                  <w:marRight w:val="0"/>
                  <w:marTop w:val="0"/>
                  <w:marBottom w:val="0"/>
                  <w:divBdr>
                    <w:top w:val="none" w:sz="0" w:space="0" w:color="auto"/>
                    <w:left w:val="none" w:sz="0" w:space="0" w:color="auto"/>
                    <w:bottom w:val="none" w:sz="0" w:space="0" w:color="auto"/>
                    <w:right w:val="none" w:sz="0" w:space="0" w:color="auto"/>
                  </w:divBdr>
                  <w:divsChild>
                    <w:div w:id="1819220754">
                      <w:marLeft w:val="0"/>
                      <w:marRight w:val="0"/>
                      <w:marTop w:val="0"/>
                      <w:marBottom w:val="0"/>
                      <w:divBdr>
                        <w:top w:val="none" w:sz="0" w:space="0" w:color="auto"/>
                        <w:left w:val="none" w:sz="0" w:space="0" w:color="auto"/>
                        <w:bottom w:val="none" w:sz="0" w:space="0" w:color="auto"/>
                        <w:right w:val="none" w:sz="0" w:space="0" w:color="auto"/>
                      </w:divBdr>
                      <w:divsChild>
                        <w:div w:id="965114828">
                          <w:marLeft w:val="0"/>
                          <w:marRight w:val="0"/>
                          <w:marTop w:val="0"/>
                          <w:marBottom w:val="0"/>
                          <w:divBdr>
                            <w:top w:val="none" w:sz="0" w:space="0" w:color="auto"/>
                            <w:left w:val="none" w:sz="0" w:space="0" w:color="auto"/>
                            <w:bottom w:val="none" w:sz="0" w:space="0" w:color="auto"/>
                            <w:right w:val="none" w:sz="0" w:space="0" w:color="auto"/>
                          </w:divBdr>
                          <w:divsChild>
                            <w:div w:id="76030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434560">
          <w:marLeft w:val="0"/>
          <w:marRight w:val="0"/>
          <w:marTop w:val="0"/>
          <w:marBottom w:val="0"/>
          <w:divBdr>
            <w:top w:val="none" w:sz="0" w:space="0" w:color="auto"/>
            <w:left w:val="none" w:sz="0" w:space="0" w:color="auto"/>
            <w:bottom w:val="none" w:sz="0" w:space="0" w:color="auto"/>
            <w:right w:val="none" w:sz="0" w:space="0" w:color="auto"/>
          </w:divBdr>
          <w:divsChild>
            <w:div w:id="1100756168">
              <w:marLeft w:val="0"/>
              <w:marRight w:val="0"/>
              <w:marTop w:val="0"/>
              <w:marBottom w:val="0"/>
              <w:divBdr>
                <w:top w:val="none" w:sz="0" w:space="0" w:color="auto"/>
                <w:left w:val="none" w:sz="0" w:space="0" w:color="auto"/>
                <w:bottom w:val="none" w:sz="0" w:space="0" w:color="auto"/>
                <w:right w:val="none" w:sz="0" w:space="0" w:color="auto"/>
              </w:divBdr>
              <w:divsChild>
                <w:div w:id="717239611">
                  <w:marLeft w:val="0"/>
                  <w:marRight w:val="0"/>
                  <w:marTop w:val="0"/>
                  <w:marBottom w:val="0"/>
                  <w:divBdr>
                    <w:top w:val="none" w:sz="0" w:space="0" w:color="auto"/>
                    <w:left w:val="none" w:sz="0" w:space="0" w:color="auto"/>
                    <w:bottom w:val="none" w:sz="0" w:space="0" w:color="auto"/>
                    <w:right w:val="none" w:sz="0" w:space="0" w:color="auto"/>
                  </w:divBdr>
                  <w:divsChild>
                    <w:div w:id="1504541919">
                      <w:marLeft w:val="0"/>
                      <w:marRight w:val="0"/>
                      <w:marTop w:val="0"/>
                      <w:marBottom w:val="0"/>
                      <w:divBdr>
                        <w:top w:val="none" w:sz="0" w:space="0" w:color="auto"/>
                        <w:left w:val="none" w:sz="0" w:space="0" w:color="auto"/>
                        <w:bottom w:val="none" w:sz="0" w:space="0" w:color="auto"/>
                        <w:right w:val="none" w:sz="0" w:space="0" w:color="auto"/>
                      </w:divBdr>
                      <w:divsChild>
                        <w:div w:id="144471824">
                          <w:marLeft w:val="0"/>
                          <w:marRight w:val="0"/>
                          <w:marTop w:val="0"/>
                          <w:marBottom w:val="0"/>
                          <w:divBdr>
                            <w:top w:val="none" w:sz="0" w:space="0" w:color="auto"/>
                            <w:left w:val="none" w:sz="0" w:space="0" w:color="auto"/>
                            <w:bottom w:val="none" w:sz="0" w:space="0" w:color="auto"/>
                            <w:right w:val="none" w:sz="0" w:space="0" w:color="auto"/>
                          </w:divBdr>
                          <w:divsChild>
                            <w:div w:id="11187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014723">
          <w:marLeft w:val="0"/>
          <w:marRight w:val="0"/>
          <w:marTop w:val="0"/>
          <w:marBottom w:val="0"/>
          <w:divBdr>
            <w:top w:val="none" w:sz="0" w:space="0" w:color="auto"/>
            <w:left w:val="none" w:sz="0" w:space="0" w:color="auto"/>
            <w:bottom w:val="none" w:sz="0" w:space="0" w:color="auto"/>
            <w:right w:val="none" w:sz="0" w:space="0" w:color="auto"/>
          </w:divBdr>
          <w:divsChild>
            <w:div w:id="1495147221">
              <w:marLeft w:val="0"/>
              <w:marRight w:val="0"/>
              <w:marTop w:val="0"/>
              <w:marBottom w:val="0"/>
              <w:divBdr>
                <w:top w:val="none" w:sz="0" w:space="0" w:color="auto"/>
                <w:left w:val="none" w:sz="0" w:space="0" w:color="auto"/>
                <w:bottom w:val="none" w:sz="0" w:space="0" w:color="auto"/>
                <w:right w:val="none" w:sz="0" w:space="0" w:color="auto"/>
              </w:divBdr>
              <w:divsChild>
                <w:div w:id="581448543">
                  <w:marLeft w:val="0"/>
                  <w:marRight w:val="0"/>
                  <w:marTop w:val="0"/>
                  <w:marBottom w:val="0"/>
                  <w:divBdr>
                    <w:top w:val="none" w:sz="0" w:space="0" w:color="auto"/>
                    <w:left w:val="none" w:sz="0" w:space="0" w:color="auto"/>
                    <w:bottom w:val="none" w:sz="0" w:space="0" w:color="auto"/>
                    <w:right w:val="none" w:sz="0" w:space="0" w:color="auto"/>
                  </w:divBdr>
                  <w:divsChild>
                    <w:div w:id="1574925331">
                      <w:marLeft w:val="0"/>
                      <w:marRight w:val="0"/>
                      <w:marTop w:val="0"/>
                      <w:marBottom w:val="0"/>
                      <w:divBdr>
                        <w:top w:val="none" w:sz="0" w:space="0" w:color="auto"/>
                        <w:left w:val="none" w:sz="0" w:space="0" w:color="auto"/>
                        <w:bottom w:val="none" w:sz="0" w:space="0" w:color="auto"/>
                        <w:right w:val="none" w:sz="0" w:space="0" w:color="auto"/>
                      </w:divBdr>
                      <w:divsChild>
                        <w:div w:id="1426732255">
                          <w:marLeft w:val="0"/>
                          <w:marRight w:val="0"/>
                          <w:marTop w:val="0"/>
                          <w:marBottom w:val="0"/>
                          <w:divBdr>
                            <w:top w:val="none" w:sz="0" w:space="0" w:color="auto"/>
                            <w:left w:val="none" w:sz="0" w:space="0" w:color="auto"/>
                            <w:bottom w:val="none" w:sz="0" w:space="0" w:color="auto"/>
                            <w:right w:val="none" w:sz="0" w:space="0" w:color="auto"/>
                          </w:divBdr>
                          <w:divsChild>
                            <w:div w:id="141269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215671">
          <w:marLeft w:val="0"/>
          <w:marRight w:val="0"/>
          <w:marTop w:val="0"/>
          <w:marBottom w:val="0"/>
          <w:divBdr>
            <w:top w:val="none" w:sz="0" w:space="0" w:color="auto"/>
            <w:left w:val="none" w:sz="0" w:space="0" w:color="auto"/>
            <w:bottom w:val="none" w:sz="0" w:space="0" w:color="auto"/>
            <w:right w:val="none" w:sz="0" w:space="0" w:color="auto"/>
          </w:divBdr>
          <w:divsChild>
            <w:div w:id="501552492">
              <w:marLeft w:val="0"/>
              <w:marRight w:val="0"/>
              <w:marTop w:val="0"/>
              <w:marBottom w:val="0"/>
              <w:divBdr>
                <w:top w:val="none" w:sz="0" w:space="0" w:color="auto"/>
                <w:left w:val="none" w:sz="0" w:space="0" w:color="auto"/>
                <w:bottom w:val="none" w:sz="0" w:space="0" w:color="auto"/>
                <w:right w:val="none" w:sz="0" w:space="0" w:color="auto"/>
              </w:divBdr>
              <w:divsChild>
                <w:div w:id="1083719905">
                  <w:marLeft w:val="0"/>
                  <w:marRight w:val="0"/>
                  <w:marTop w:val="0"/>
                  <w:marBottom w:val="0"/>
                  <w:divBdr>
                    <w:top w:val="none" w:sz="0" w:space="0" w:color="auto"/>
                    <w:left w:val="none" w:sz="0" w:space="0" w:color="auto"/>
                    <w:bottom w:val="none" w:sz="0" w:space="0" w:color="auto"/>
                    <w:right w:val="none" w:sz="0" w:space="0" w:color="auto"/>
                  </w:divBdr>
                  <w:divsChild>
                    <w:div w:id="307781553">
                      <w:marLeft w:val="0"/>
                      <w:marRight w:val="0"/>
                      <w:marTop w:val="0"/>
                      <w:marBottom w:val="0"/>
                      <w:divBdr>
                        <w:top w:val="none" w:sz="0" w:space="0" w:color="auto"/>
                        <w:left w:val="none" w:sz="0" w:space="0" w:color="auto"/>
                        <w:bottom w:val="none" w:sz="0" w:space="0" w:color="auto"/>
                        <w:right w:val="none" w:sz="0" w:space="0" w:color="auto"/>
                      </w:divBdr>
                      <w:divsChild>
                        <w:div w:id="2058160583">
                          <w:marLeft w:val="0"/>
                          <w:marRight w:val="0"/>
                          <w:marTop w:val="0"/>
                          <w:marBottom w:val="0"/>
                          <w:divBdr>
                            <w:top w:val="none" w:sz="0" w:space="0" w:color="auto"/>
                            <w:left w:val="none" w:sz="0" w:space="0" w:color="auto"/>
                            <w:bottom w:val="none" w:sz="0" w:space="0" w:color="auto"/>
                            <w:right w:val="none" w:sz="0" w:space="0" w:color="auto"/>
                          </w:divBdr>
                          <w:divsChild>
                            <w:div w:id="72341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14208">
          <w:marLeft w:val="0"/>
          <w:marRight w:val="0"/>
          <w:marTop w:val="0"/>
          <w:marBottom w:val="0"/>
          <w:divBdr>
            <w:top w:val="none" w:sz="0" w:space="0" w:color="auto"/>
            <w:left w:val="none" w:sz="0" w:space="0" w:color="auto"/>
            <w:bottom w:val="none" w:sz="0" w:space="0" w:color="auto"/>
            <w:right w:val="none" w:sz="0" w:space="0" w:color="auto"/>
          </w:divBdr>
          <w:divsChild>
            <w:div w:id="73476326">
              <w:marLeft w:val="0"/>
              <w:marRight w:val="0"/>
              <w:marTop w:val="0"/>
              <w:marBottom w:val="0"/>
              <w:divBdr>
                <w:top w:val="none" w:sz="0" w:space="0" w:color="auto"/>
                <w:left w:val="none" w:sz="0" w:space="0" w:color="auto"/>
                <w:bottom w:val="none" w:sz="0" w:space="0" w:color="auto"/>
                <w:right w:val="none" w:sz="0" w:space="0" w:color="auto"/>
              </w:divBdr>
              <w:divsChild>
                <w:div w:id="20670638">
                  <w:marLeft w:val="0"/>
                  <w:marRight w:val="0"/>
                  <w:marTop w:val="0"/>
                  <w:marBottom w:val="0"/>
                  <w:divBdr>
                    <w:top w:val="none" w:sz="0" w:space="0" w:color="auto"/>
                    <w:left w:val="none" w:sz="0" w:space="0" w:color="auto"/>
                    <w:bottom w:val="none" w:sz="0" w:space="0" w:color="auto"/>
                    <w:right w:val="none" w:sz="0" w:space="0" w:color="auto"/>
                  </w:divBdr>
                  <w:divsChild>
                    <w:div w:id="385690720">
                      <w:marLeft w:val="0"/>
                      <w:marRight w:val="0"/>
                      <w:marTop w:val="0"/>
                      <w:marBottom w:val="0"/>
                      <w:divBdr>
                        <w:top w:val="none" w:sz="0" w:space="0" w:color="auto"/>
                        <w:left w:val="none" w:sz="0" w:space="0" w:color="auto"/>
                        <w:bottom w:val="none" w:sz="0" w:space="0" w:color="auto"/>
                        <w:right w:val="none" w:sz="0" w:space="0" w:color="auto"/>
                      </w:divBdr>
                      <w:divsChild>
                        <w:div w:id="1977754587">
                          <w:marLeft w:val="0"/>
                          <w:marRight w:val="0"/>
                          <w:marTop w:val="0"/>
                          <w:marBottom w:val="0"/>
                          <w:divBdr>
                            <w:top w:val="none" w:sz="0" w:space="0" w:color="auto"/>
                            <w:left w:val="none" w:sz="0" w:space="0" w:color="auto"/>
                            <w:bottom w:val="none" w:sz="0" w:space="0" w:color="auto"/>
                            <w:right w:val="none" w:sz="0" w:space="0" w:color="auto"/>
                          </w:divBdr>
                          <w:divsChild>
                            <w:div w:id="4248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9140408">
      <w:bodyDiv w:val="1"/>
      <w:marLeft w:val="0"/>
      <w:marRight w:val="0"/>
      <w:marTop w:val="0"/>
      <w:marBottom w:val="0"/>
      <w:divBdr>
        <w:top w:val="none" w:sz="0" w:space="0" w:color="auto"/>
        <w:left w:val="none" w:sz="0" w:space="0" w:color="auto"/>
        <w:bottom w:val="none" w:sz="0" w:space="0" w:color="auto"/>
        <w:right w:val="none" w:sz="0" w:space="0" w:color="auto"/>
      </w:divBdr>
    </w:div>
    <w:div w:id="315769215">
      <w:bodyDiv w:val="1"/>
      <w:marLeft w:val="0"/>
      <w:marRight w:val="0"/>
      <w:marTop w:val="0"/>
      <w:marBottom w:val="0"/>
      <w:divBdr>
        <w:top w:val="none" w:sz="0" w:space="0" w:color="auto"/>
        <w:left w:val="none" w:sz="0" w:space="0" w:color="auto"/>
        <w:bottom w:val="none" w:sz="0" w:space="0" w:color="auto"/>
        <w:right w:val="none" w:sz="0" w:space="0" w:color="auto"/>
      </w:divBdr>
    </w:div>
    <w:div w:id="647170000">
      <w:bodyDiv w:val="1"/>
      <w:marLeft w:val="0"/>
      <w:marRight w:val="0"/>
      <w:marTop w:val="0"/>
      <w:marBottom w:val="0"/>
      <w:divBdr>
        <w:top w:val="none" w:sz="0" w:space="0" w:color="auto"/>
        <w:left w:val="none" w:sz="0" w:space="0" w:color="auto"/>
        <w:bottom w:val="none" w:sz="0" w:space="0" w:color="auto"/>
        <w:right w:val="none" w:sz="0" w:space="0" w:color="auto"/>
      </w:divBdr>
    </w:div>
    <w:div w:id="674890070">
      <w:bodyDiv w:val="1"/>
      <w:marLeft w:val="0"/>
      <w:marRight w:val="0"/>
      <w:marTop w:val="0"/>
      <w:marBottom w:val="0"/>
      <w:divBdr>
        <w:top w:val="none" w:sz="0" w:space="0" w:color="auto"/>
        <w:left w:val="none" w:sz="0" w:space="0" w:color="auto"/>
        <w:bottom w:val="none" w:sz="0" w:space="0" w:color="auto"/>
        <w:right w:val="none" w:sz="0" w:space="0" w:color="auto"/>
      </w:divBdr>
    </w:div>
    <w:div w:id="755439484">
      <w:bodyDiv w:val="1"/>
      <w:marLeft w:val="0"/>
      <w:marRight w:val="0"/>
      <w:marTop w:val="0"/>
      <w:marBottom w:val="0"/>
      <w:divBdr>
        <w:top w:val="none" w:sz="0" w:space="0" w:color="auto"/>
        <w:left w:val="none" w:sz="0" w:space="0" w:color="auto"/>
        <w:bottom w:val="none" w:sz="0" w:space="0" w:color="auto"/>
        <w:right w:val="none" w:sz="0" w:space="0" w:color="auto"/>
      </w:divBdr>
    </w:div>
    <w:div w:id="832256637">
      <w:bodyDiv w:val="1"/>
      <w:marLeft w:val="0"/>
      <w:marRight w:val="0"/>
      <w:marTop w:val="0"/>
      <w:marBottom w:val="0"/>
      <w:divBdr>
        <w:top w:val="none" w:sz="0" w:space="0" w:color="auto"/>
        <w:left w:val="none" w:sz="0" w:space="0" w:color="auto"/>
        <w:bottom w:val="none" w:sz="0" w:space="0" w:color="auto"/>
        <w:right w:val="none" w:sz="0" w:space="0" w:color="auto"/>
      </w:divBdr>
    </w:div>
    <w:div w:id="854267747">
      <w:bodyDiv w:val="1"/>
      <w:marLeft w:val="0"/>
      <w:marRight w:val="0"/>
      <w:marTop w:val="0"/>
      <w:marBottom w:val="0"/>
      <w:divBdr>
        <w:top w:val="none" w:sz="0" w:space="0" w:color="auto"/>
        <w:left w:val="none" w:sz="0" w:space="0" w:color="auto"/>
        <w:bottom w:val="none" w:sz="0" w:space="0" w:color="auto"/>
        <w:right w:val="none" w:sz="0" w:space="0" w:color="auto"/>
      </w:divBdr>
    </w:div>
    <w:div w:id="855925611">
      <w:bodyDiv w:val="1"/>
      <w:marLeft w:val="0"/>
      <w:marRight w:val="0"/>
      <w:marTop w:val="0"/>
      <w:marBottom w:val="0"/>
      <w:divBdr>
        <w:top w:val="none" w:sz="0" w:space="0" w:color="auto"/>
        <w:left w:val="none" w:sz="0" w:space="0" w:color="auto"/>
        <w:bottom w:val="none" w:sz="0" w:space="0" w:color="auto"/>
        <w:right w:val="none" w:sz="0" w:space="0" w:color="auto"/>
      </w:divBdr>
    </w:div>
    <w:div w:id="914435155">
      <w:bodyDiv w:val="1"/>
      <w:marLeft w:val="0"/>
      <w:marRight w:val="0"/>
      <w:marTop w:val="0"/>
      <w:marBottom w:val="0"/>
      <w:divBdr>
        <w:top w:val="none" w:sz="0" w:space="0" w:color="auto"/>
        <w:left w:val="none" w:sz="0" w:space="0" w:color="auto"/>
        <w:bottom w:val="none" w:sz="0" w:space="0" w:color="auto"/>
        <w:right w:val="none" w:sz="0" w:space="0" w:color="auto"/>
      </w:divBdr>
    </w:div>
    <w:div w:id="956066264">
      <w:bodyDiv w:val="1"/>
      <w:marLeft w:val="0"/>
      <w:marRight w:val="0"/>
      <w:marTop w:val="0"/>
      <w:marBottom w:val="0"/>
      <w:divBdr>
        <w:top w:val="none" w:sz="0" w:space="0" w:color="auto"/>
        <w:left w:val="none" w:sz="0" w:space="0" w:color="auto"/>
        <w:bottom w:val="none" w:sz="0" w:space="0" w:color="auto"/>
        <w:right w:val="none" w:sz="0" w:space="0" w:color="auto"/>
      </w:divBdr>
    </w:div>
    <w:div w:id="965698146">
      <w:bodyDiv w:val="1"/>
      <w:marLeft w:val="0"/>
      <w:marRight w:val="0"/>
      <w:marTop w:val="0"/>
      <w:marBottom w:val="0"/>
      <w:divBdr>
        <w:top w:val="none" w:sz="0" w:space="0" w:color="auto"/>
        <w:left w:val="none" w:sz="0" w:space="0" w:color="auto"/>
        <w:bottom w:val="none" w:sz="0" w:space="0" w:color="auto"/>
        <w:right w:val="none" w:sz="0" w:space="0" w:color="auto"/>
      </w:divBdr>
    </w:div>
    <w:div w:id="1082291213">
      <w:bodyDiv w:val="1"/>
      <w:marLeft w:val="0"/>
      <w:marRight w:val="0"/>
      <w:marTop w:val="0"/>
      <w:marBottom w:val="0"/>
      <w:divBdr>
        <w:top w:val="none" w:sz="0" w:space="0" w:color="auto"/>
        <w:left w:val="none" w:sz="0" w:space="0" w:color="auto"/>
        <w:bottom w:val="none" w:sz="0" w:space="0" w:color="auto"/>
        <w:right w:val="none" w:sz="0" w:space="0" w:color="auto"/>
      </w:divBdr>
    </w:div>
    <w:div w:id="1329360709">
      <w:bodyDiv w:val="1"/>
      <w:marLeft w:val="0"/>
      <w:marRight w:val="0"/>
      <w:marTop w:val="0"/>
      <w:marBottom w:val="0"/>
      <w:divBdr>
        <w:top w:val="none" w:sz="0" w:space="0" w:color="auto"/>
        <w:left w:val="none" w:sz="0" w:space="0" w:color="auto"/>
        <w:bottom w:val="none" w:sz="0" w:space="0" w:color="auto"/>
        <w:right w:val="none" w:sz="0" w:space="0" w:color="auto"/>
      </w:divBdr>
    </w:div>
    <w:div w:id="1472595637">
      <w:bodyDiv w:val="1"/>
      <w:marLeft w:val="0"/>
      <w:marRight w:val="0"/>
      <w:marTop w:val="0"/>
      <w:marBottom w:val="0"/>
      <w:divBdr>
        <w:top w:val="none" w:sz="0" w:space="0" w:color="auto"/>
        <w:left w:val="none" w:sz="0" w:space="0" w:color="auto"/>
        <w:bottom w:val="none" w:sz="0" w:space="0" w:color="auto"/>
        <w:right w:val="none" w:sz="0" w:space="0" w:color="auto"/>
      </w:divBdr>
    </w:div>
    <w:div w:id="1510173734">
      <w:bodyDiv w:val="1"/>
      <w:marLeft w:val="0"/>
      <w:marRight w:val="0"/>
      <w:marTop w:val="0"/>
      <w:marBottom w:val="0"/>
      <w:divBdr>
        <w:top w:val="none" w:sz="0" w:space="0" w:color="auto"/>
        <w:left w:val="none" w:sz="0" w:space="0" w:color="auto"/>
        <w:bottom w:val="none" w:sz="0" w:space="0" w:color="auto"/>
        <w:right w:val="none" w:sz="0" w:space="0" w:color="auto"/>
      </w:divBdr>
    </w:div>
    <w:div w:id="1522233862">
      <w:bodyDiv w:val="1"/>
      <w:marLeft w:val="0"/>
      <w:marRight w:val="0"/>
      <w:marTop w:val="0"/>
      <w:marBottom w:val="0"/>
      <w:divBdr>
        <w:top w:val="none" w:sz="0" w:space="0" w:color="auto"/>
        <w:left w:val="none" w:sz="0" w:space="0" w:color="auto"/>
        <w:bottom w:val="none" w:sz="0" w:space="0" w:color="auto"/>
        <w:right w:val="none" w:sz="0" w:space="0" w:color="auto"/>
      </w:divBdr>
    </w:div>
    <w:div w:id="1677340321">
      <w:bodyDiv w:val="1"/>
      <w:marLeft w:val="0"/>
      <w:marRight w:val="0"/>
      <w:marTop w:val="0"/>
      <w:marBottom w:val="0"/>
      <w:divBdr>
        <w:top w:val="none" w:sz="0" w:space="0" w:color="auto"/>
        <w:left w:val="none" w:sz="0" w:space="0" w:color="auto"/>
        <w:bottom w:val="none" w:sz="0" w:space="0" w:color="auto"/>
        <w:right w:val="none" w:sz="0" w:space="0" w:color="auto"/>
      </w:divBdr>
    </w:div>
    <w:div w:id="1748841036">
      <w:bodyDiv w:val="1"/>
      <w:marLeft w:val="0"/>
      <w:marRight w:val="0"/>
      <w:marTop w:val="0"/>
      <w:marBottom w:val="0"/>
      <w:divBdr>
        <w:top w:val="none" w:sz="0" w:space="0" w:color="auto"/>
        <w:left w:val="none" w:sz="0" w:space="0" w:color="auto"/>
        <w:bottom w:val="none" w:sz="0" w:space="0" w:color="auto"/>
        <w:right w:val="none" w:sz="0" w:space="0" w:color="auto"/>
      </w:divBdr>
    </w:div>
    <w:div w:id="1791238333">
      <w:bodyDiv w:val="1"/>
      <w:marLeft w:val="0"/>
      <w:marRight w:val="0"/>
      <w:marTop w:val="0"/>
      <w:marBottom w:val="0"/>
      <w:divBdr>
        <w:top w:val="none" w:sz="0" w:space="0" w:color="auto"/>
        <w:left w:val="none" w:sz="0" w:space="0" w:color="auto"/>
        <w:bottom w:val="none" w:sz="0" w:space="0" w:color="auto"/>
        <w:right w:val="none" w:sz="0" w:space="0" w:color="auto"/>
      </w:divBdr>
    </w:div>
    <w:div w:id="1809976748">
      <w:bodyDiv w:val="1"/>
      <w:marLeft w:val="0"/>
      <w:marRight w:val="0"/>
      <w:marTop w:val="0"/>
      <w:marBottom w:val="0"/>
      <w:divBdr>
        <w:top w:val="none" w:sz="0" w:space="0" w:color="auto"/>
        <w:left w:val="none" w:sz="0" w:space="0" w:color="auto"/>
        <w:bottom w:val="none" w:sz="0" w:space="0" w:color="auto"/>
        <w:right w:val="none" w:sz="0" w:space="0" w:color="auto"/>
      </w:divBdr>
    </w:div>
    <w:div w:id="2018077623">
      <w:bodyDiv w:val="1"/>
      <w:marLeft w:val="0"/>
      <w:marRight w:val="0"/>
      <w:marTop w:val="0"/>
      <w:marBottom w:val="0"/>
      <w:divBdr>
        <w:top w:val="none" w:sz="0" w:space="0" w:color="auto"/>
        <w:left w:val="none" w:sz="0" w:space="0" w:color="auto"/>
        <w:bottom w:val="none" w:sz="0" w:space="0" w:color="auto"/>
        <w:right w:val="none" w:sz="0" w:space="0" w:color="auto"/>
      </w:divBdr>
    </w:div>
    <w:div w:id="2031907823">
      <w:bodyDiv w:val="1"/>
      <w:marLeft w:val="0"/>
      <w:marRight w:val="0"/>
      <w:marTop w:val="0"/>
      <w:marBottom w:val="0"/>
      <w:divBdr>
        <w:top w:val="none" w:sz="0" w:space="0" w:color="auto"/>
        <w:left w:val="none" w:sz="0" w:space="0" w:color="auto"/>
        <w:bottom w:val="none" w:sz="0" w:space="0" w:color="auto"/>
        <w:right w:val="none" w:sz="0" w:space="0" w:color="auto"/>
      </w:divBdr>
    </w:div>
    <w:div w:id="204370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deinsurance.co.uk/public-liability-insurance-events/?utm_source=chatgpt.com" TargetMode="External"/><Relationship Id="rId18" Type="http://schemas.openxmlformats.org/officeDocument/2006/relationships/hyperlink" Target="https://www.casemine.com/judgement/uk/5a8ff8cb60d03e7f57ecd7f3" TargetMode="External"/><Relationship Id="rId26" Type="http://schemas.openxmlformats.org/officeDocument/2006/relationships/hyperlink" Target="https://assets.publishing.service.gov.uk/media/5a75a34840f0b67f59fce70f/0525.pd" TargetMode="External"/><Relationship Id="rId21" Type="http://schemas.openxmlformats.org/officeDocument/2006/relationships/hyperlink" Target="https://publications.parliament.uk/pa/ld199899/ldjudgmt/jd981203/white01.htm" TargetMode="External"/><Relationship Id="rId34" Type="http://schemas.openxmlformats.org/officeDocument/2006/relationships/hyperlink" Target="https://www.iracmethod.com/irac-methodology" TargetMode="External"/><Relationship Id="rId7" Type="http://schemas.openxmlformats.org/officeDocument/2006/relationships/endnotes" Target="endnotes.xml"/><Relationship Id="rId12" Type="http://schemas.openxmlformats.org/officeDocument/2006/relationships/hyperlink" Target="https://www.legislation.gov.uk/uksi/2004/1836/contents" TargetMode="External"/><Relationship Id="rId17" Type="http://schemas.openxmlformats.org/officeDocument/2006/relationships/hyperlink" Target="https://www.casemine.com/judgement/uk/5b4dc2512c94e07cccd23e8d" TargetMode="External"/><Relationship Id="rId25" Type="http://schemas.openxmlformats.org/officeDocument/2006/relationships/hyperlink" Target="https://publications.parliament.uk/pa/ld199899/ldjudgmt/jd981203/white04.htm?__cf_chl_f_tk=B6k1zy7ws88R9eZYtLwbFW1eHv.DNQnshhK3EddmRiI-1746199218-1.0.1.1-_JgX.bxkYWPTOn6LAmjl4Xmum4eDfyyURi611G.5EsQ" TargetMode="External"/><Relationship Id="rId33" Type="http://schemas.openxmlformats.org/officeDocument/2006/relationships/hyperlink" Target="https://supremecourt.uk/cases/uksc-2012-0093"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xisnexis.co.uk/legal/glossary/occupiers-liability" TargetMode="External"/><Relationship Id="rId20" Type="http://schemas.openxmlformats.org/officeDocument/2006/relationships/hyperlink" Target="https://www.eventinsurancedirect.co.uk/public-liability-insurance-for-events/?utm_source=chatgpt.com" TargetMode="External"/><Relationship Id="rId29" Type="http://schemas.openxmlformats.org/officeDocument/2006/relationships/hyperlink" Target="https://commonslibrary.parliament.uk/research-briefings/sn057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Eliz2/5-6/31/contents" TargetMode="External"/><Relationship Id="rId24" Type="http://schemas.openxmlformats.org/officeDocument/2006/relationships/hyperlink" Target="https://professionalnegligenceclaimsolicitors.co.uk/wp-content/uploads/Caparo-Industries-Plcs-v-Dickman-1990-LexLaw-Duty-of-care-Professional-Negligence.pdf" TargetMode="External"/><Relationship Id="rId32" Type="http://schemas.openxmlformats.org/officeDocument/2006/relationships/hyperlink" Target="https://www.lexisnexis.co.uk/legal/guidance/psychiatric-injury-establishing-liabilit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se.gov.uk/legislation/hswa.htm" TargetMode="External"/><Relationship Id="rId23" Type="http://schemas.openxmlformats.org/officeDocument/2006/relationships/hyperlink" Target="https://treasury.gov.au/sites/default/files/2019-03/R2002-001_Foreseeability.pdf" TargetMode="External"/><Relationship Id="rId28" Type="http://schemas.openxmlformats.org/officeDocument/2006/relationships/hyperlink" Target="https://sgsa.org.uk/physical-factors/structures-and-installations/pre-event-inspections-and-tests/?utm_source=chatgpt.com" TargetMode="External"/><Relationship Id="rId36" Type="http://schemas.openxmlformats.org/officeDocument/2006/relationships/footer" Target="footer1.xml"/><Relationship Id="rId10" Type="http://schemas.openxmlformats.org/officeDocument/2006/relationships/hyperlink" Target="https://www.lexisnexis.co.uk/legal/glossary/duty-of-care" TargetMode="External"/><Relationship Id="rId19" Type="http://schemas.openxmlformats.org/officeDocument/2006/relationships/hyperlink" Target="https://www.lexisnexis.co.uk/legal/guidance/psychiatric-injury-establishing-liability" TargetMode="External"/><Relationship Id="rId31" Type="http://schemas.openxmlformats.org/officeDocument/2006/relationships/hyperlink" Target="https://www.casemine.com/judgement/uk/5a8ff8cb60d03e7f57ecd7f3" TargetMode="External"/><Relationship Id="rId4" Type="http://schemas.openxmlformats.org/officeDocument/2006/relationships/settings" Target="settings.xml"/><Relationship Id="rId9" Type="http://schemas.openxmlformats.org/officeDocument/2006/relationships/hyperlink" Target="https://www.lexisnexis.co.uk/legal/guidance/negligence-key-elements-to-establish-a-negligence-claim" TargetMode="External"/><Relationship Id="rId14" Type="http://schemas.openxmlformats.org/officeDocument/2006/relationships/hyperlink" Target="https://www.casemine.com/judgement/uk/5a938b4360d03e5f6b82c1b9" TargetMode="External"/><Relationship Id="rId22" Type="http://schemas.openxmlformats.org/officeDocument/2006/relationships/hyperlink" Target="https://www.oxfordlawtrove.com/display/10.1093/he/9780198747963.001.0001/he-9780198747963" TargetMode="External"/><Relationship Id="rId27" Type="http://schemas.openxmlformats.org/officeDocument/2006/relationships/hyperlink" Target="https://www.scotlawcom.gov.uk/files/7812/7892/7069/dp120_psychiatric_injury.pdf" TargetMode="External"/><Relationship Id="rId30" Type="http://schemas.openxmlformats.org/officeDocument/2006/relationships/hyperlink" Target="https://www.casemine.com/judgement/uk/5a8ff87860d03e7f57ec1054" TargetMode="External"/><Relationship Id="rId35" Type="http://schemas.openxmlformats.org/officeDocument/2006/relationships/header" Target="header1.xml"/><Relationship Id="rId8" Type="http://schemas.openxmlformats.org/officeDocument/2006/relationships/hyperlink" Target="https://www.lexisnexis.co.uk/legal/guidance/breach-of-statutory-dut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1C7A9-A4E0-4746-AD60-BD1279CF0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6528</Words>
  <Characters>36363</Characters>
  <Application>Microsoft Office Word</Application>
  <DocSecurity>0</DocSecurity>
  <Lines>1346</Lines>
  <Paragraphs>184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Alexandra Maria Baloi (2315118)</cp:lastModifiedBy>
  <cp:revision>2</cp:revision>
  <dcterms:created xsi:type="dcterms:W3CDTF">2025-05-02T18:13:00Z</dcterms:created>
  <dcterms:modified xsi:type="dcterms:W3CDTF">2025-05-02T18:13:00Z</dcterms:modified>
</cp:coreProperties>
</file>