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3AE8546A" w:rsidR="00DD5969" w:rsidRPr="00981072" w:rsidRDefault="00DD5969" w:rsidP="00DD5969">
      <w:pPr>
        <w:spacing w:before="212"/>
        <w:rPr>
          <w:rFonts w:ascii="Arial"/>
          <w:bCs/>
          <w:sz w:val="48"/>
          <w:szCs w:val="48"/>
        </w:rPr>
      </w:pPr>
      <w:r w:rsidRPr="00DD5969">
        <w:rPr>
          <w:rFonts w:ascii="Arial"/>
          <w:b/>
          <w:sz w:val="48"/>
          <w:szCs w:val="48"/>
        </w:rPr>
        <w:t>MODULE CODE:</w:t>
      </w:r>
      <w:r w:rsidR="00981072">
        <w:rPr>
          <w:rFonts w:ascii="Arial"/>
          <w:b/>
          <w:sz w:val="48"/>
          <w:szCs w:val="48"/>
        </w:rPr>
        <w:t xml:space="preserve"> </w:t>
      </w:r>
      <w:r w:rsidR="00981072" w:rsidRPr="00981072">
        <w:rPr>
          <w:rFonts w:ascii="Arial"/>
          <w:bCs/>
          <w:sz w:val="48"/>
          <w:szCs w:val="48"/>
        </w:rPr>
        <w:t>ECDE7015</w:t>
      </w:r>
    </w:p>
    <w:p w14:paraId="5051A2D5" w14:textId="77777777" w:rsidR="00347EA1" w:rsidRDefault="00347EA1" w:rsidP="00DD5969">
      <w:pPr>
        <w:spacing w:before="212"/>
        <w:rPr>
          <w:rFonts w:ascii="Arial"/>
          <w:b/>
          <w:sz w:val="48"/>
          <w:szCs w:val="48"/>
        </w:rPr>
      </w:pPr>
    </w:p>
    <w:p w14:paraId="52D012F0" w14:textId="6270F318" w:rsidR="00347EA1" w:rsidRPr="00DD5969" w:rsidRDefault="00347EA1" w:rsidP="00DD5969">
      <w:pPr>
        <w:spacing w:before="212"/>
        <w:rPr>
          <w:rFonts w:ascii="Arial"/>
          <w:b/>
          <w:sz w:val="48"/>
          <w:szCs w:val="48"/>
        </w:rPr>
      </w:pPr>
      <w:r>
        <w:rPr>
          <w:rFonts w:ascii="Arial"/>
          <w:b/>
          <w:sz w:val="48"/>
          <w:szCs w:val="48"/>
        </w:rPr>
        <w:t>ASSESSMENT COMPONENT:</w:t>
      </w:r>
      <w:r w:rsidR="00981072">
        <w:rPr>
          <w:rFonts w:ascii="Arial"/>
          <w:b/>
          <w:sz w:val="48"/>
          <w:szCs w:val="48"/>
        </w:rPr>
        <w:t xml:space="preserve"> </w:t>
      </w:r>
      <w:r w:rsidR="00981072" w:rsidRPr="00981072">
        <w:rPr>
          <w:rFonts w:ascii="Arial"/>
          <w:bCs/>
          <w:sz w:val="48"/>
          <w:szCs w:val="48"/>
        </w:rPr>
        <w:t>B</w:t>
      </w:r>
      <w:r w:rsidR="00981072">
        <w:rPr>
          <w:rFonts w:ascii="Arial"/>
          <w:bCs/>
          <w:sz w:val="48"/>
          <w:szCs w:val="48"/>
        </w:rPr>
        <w:t>log</w:t>
      </w:r>
    </w:p>
    <w:p w14:paraId="6AA1A7DC" w14:textId="77777777" w:rsidR="00DD5969" w:rsidRDefault="00DD5969" w:rsidP="00DD5969">
      <w:pPr>
        <w:spacing w:before="7"/>
        <w:jc w:val="center"/>
        <w:rPr>
          <w:rFonts w:ascii="Arial"/>
          <w:b/>
          <w:sz w:val="44"/>
        </w:rPr>
      </w:pPr>
    </w:p>
    <w:p w14:paraId="7681432B" w14:textId="34BA0FD4" w:rsidR="00DD5969" w:rsidRPr="00DD5969" w:rsidRDefault="00DD5969" w:rsidP="00DD5969">
      <w:pPr>
        <w:spacing w:before="3"/>
        <w:rPr>
          <w:rFonts w:ascii="Arial"/>
          <w:b/>
          <w:sz w:val="48"/>
          <w:szCs w:val="48"/>
        </w:rPr>
      </w:pPr>
      <w:r w:rsidRPr="00DD5969">
        <w:rPr>
          <w:rFonts w:ascii="Arial"/>
          <w:b/>
          <w:sz w:val="48"/>
          <w:szCs w:val="48"/>
        </w:rPr>
        <w:t>STUDENT NAME:</w:t>
      </w:r>
      <w:r w:rsidR="00981072">
        <w:rPr>
          <w:rFonts w:ascii="Arial"/>
          <w:b/>
          <w:sz w:val="48"/>
          <w:szCs w:val="48"/>
        </w:rPr>
        <w:t xml:space="preserve"> </w:t>
      </w:r>
      <w:r w:rsidR="00981072" w:rsidRPr="00981072">
        <w:rPr>
          <w:rFonts w:ascii="Arial"/>
          <w:bCs/>
          <w:sz w:val="48"/>
          <w:szCs w:val="48"/>
        </w:rPr>
        <w:t>Rachel Bendall</w:t>
      </w:r>
    </w:p>
    <w:p w14:paraId="0D16D138" w14:textId="77777777" w:rsidR="00DD5969" w:rsidRPr="00DD5969" w:rsidRDefault="00DD5969" w:rsidP="00DD5969">
      <w:pPr>
        <w:spacing w:before="3"/>
        <w:rPr>
          <w:rFonts w:ascii="Arial"/>
          <w:b/>
          <w:sz w:val="48"/>
          <w:szCs w:val="48"/>
        </w:rPr>
      </w:pPr>
    </w:p>
    <w:p w14:paraId="18107AFF" w14:textId="09D9815F"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981072">
        <w:rPr>
          <w:rFonts w:ascii="Arial"/>
          <w:b/>
          <w:sz w:val="48"/>
          <w:szCs w:val="48"/>
        </w:rPr>
        <w:t xml:space="preserve"> </w:t>
      </w:r>
      <w:r w:rsidR="00981072" w:rsidRPr="00981072">
        <w:rPr>
          <w:rFonts w:ascii="Arial"/>
          <w:bCs/>
          <w:sz w:val="48"/>
          <w:szCs w:val="48"/>
        </w:rPr>
        <w:t>1658035</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472E640F" w14:textId="542E752C" w:rsidR="00DD5969" w:rsidRPr="00192D3C" w:rsidRDefault="00DD5969" w:rsidP="00DD5969">
      <w:pPr>
        <w:ind w:left="100"/>
        <w:rPr>
          <w:rFonts w:ascii="Arial"/>
          <w:b/>
          <w:sz w:val="47"/>
        </w:rPr>
      </w:pPr>
      <w:r w:rsidRPr="00192D3C">
        <w:rPr>
          <w:rFonts w:ascii="Arial"/>
          <w:b/>
          <w:sz w:val="47"/>
        </w:rPr>
        <w:t>Doctorate in Education (EdD)</w:t>
      </w:r>
    </w:p>
    <w:p w14:paraId="69F83F2B" w14:textId="77777777" w:rsidR="00DD5969" w:rsidRPr="00192D3C" w:rsidRDefault="00DD5969" w:rsidP="00DD5969">
      <w:pPr>
        <w:jc w:val="center"/>
        <w:rPr>
          <w:rFonts w:ascii="Arial"/>
          <w:b/>
          <w:sz w:val="40"/>
        </w:rPr>
      </w:pPr>
    </w:p>
    <w:p w14:paraId="35F8404C" w14:textId="222AD343" w:rsidR="00E243A8" w:rsidRPr="00981072" w:rsidRDefault="00B103B9" w:rsidP="00DD5969">
      <w:pPr>
        <w:rPr>
          <w:b/>
          <w:bCs/>
          <w:sz w:val="32"/>
          <w:szCs w:val="32"/>
          <w:u w:val="single"/>
        </w:rPr>
      </w:pPr>
      <w:r w:rsidRPr="00E243A8">
        <w:rPr>
          <w:b/>
          <w:bCs/>
          <w:sz w:val="32"/>
          <w:szCs w:val="32"/>
          <w:u w:val="single"/>
        </w:rPr>
        <w:t>AI Acknowledgement</w:t>
      </w:r>
    </w:p>
    <w:p w14:paraId="44C358F6" w14:textId="3B20A841" w:rsidR="00DD5969" w:rsidRPr="00DD5969" w:rsidRDefault="00DD5969" w:rsidP="00DD5969">
      <w:r w:rsidRPr="00DD5969">
        <w:t xml:space="preserve">I acknowledge the use of </w:t>
      </w:r>
      <w:r w:rsidR="00981072">
        <w:t xml:space="preserve">ChatGPT </w:t>
      </w:r>
      <w:hyperlink r:id="rId7" w:history="1">
        <w:r w:rsidR="00981072" w:rsidRPr="00434426">
          <w:rPr>
            <w:rStyle w:val="Hyperlink"/>
          </w:rPr>
          <w:t>https://chatgpt.com/</w:t>
        </w:r>
      </w:hyperlink>
      <w:r w:rsidR="00981072">
        <w:t xml:space="preserve"> </w:t>
      </w:r>
      <w:r w:rsidRPr="00DD5969">
        <w:t xml:space="preserve">on </w:t>
      </w:r>
      <w:r w:rsidR="00981072">
        <w:t>02.01.26</w:t>
      </w:r>
      <w:r w:rsidRPr="00DD5969">
        <w:t xml:space="preserve"> to </w:t>
      </w:r>
      <w:r w:rsidR="00981072">
        <w:t xml:space="preserve">proof-read </w:t>
      </w:r>
      <w:r w:rsidRPr="00DD5969">
        <w:t xml:space="preserve">my work. I used the prompt(s): </w:t>
      </w:r>
    </w:p>
    <w:p w14:paraId="15389F66" w14:textId="1EA750AD" w:rsidR="00DD5969" w:rsidRPr="00DD5969" w:rsidRDefault="00DD5969" w:rsidP="00DD5969">
      <w:r w:rsidRPr="00DD5969">
        <w:t xml:space="preserve">1. </w:t>
      </w:r>
      <w:r w:rsidR="00981072">
        <w:t>Check spelling, grammar and punctuation for accuracy</w:t>
      </w:r>
      <w:r w:rsidR="00D450DB">
        <w:t>.</w:t>
      </w:r>
      <w:r w:rsidRPr="00DD5969">
        <w:t xml:space="preserve"> </w:t>
      </w:r>
    </w:p>
    <w:p w14:paraId="3847D137" w14:textId="100E0235" w:rsidR="00DD5969" w:rsidRPr="00DD5969" w:rsidRDefault="00DD5969" w:rsidP="00DD5969">
      <w:r w:rsidRPr="00DD5969">
        <w:t xml:space="preserve">2. </w:t>
      </w:r>
      <w:r w:rsidR="00981072">
        <w:t>Are the structure and sub-headings used suitable for a blog?</w:t>
      </w:r>
    </w:p>
    <w:p w14:paraId="35F2F4DA" w14:textId="3CFE4780" w:rsidR="00DD5969" w:rsidRPr="00DD5969" w:rsidRDefault="00DD5969" w:rsidP="00DD5969">
      <w:r w:rsidRPr="00DD5969">
        <w:t xml:space="preserve">3. </w:t>
      </w:r>
      <w:r w:rsidR="00981072">
        <w:t>Is there any repetitive content that I can remove to reduce the word count?</w:t>
      </w:r>
      <w:r w:rsidRPr="00DD5969">
        <w:t xml:space="preserve"> </w:t>
      </w:r>
    </w:p>
    <w:p w14:paraId="4008D193" w14:textId="77777777" w:rsidR="00E243A8" w:rsidRDefault="00DD5969" w:rsidP="00DD5969">
      <w:r w:rsidRPr="00DD5969">
        <w:t xml:space="preserve">I confirm that I have not presented any AI generated text as my own work. </w:t>
      </w:r>
    </w:p>
    <w:p w14:paraId="44A8291C" w14:textId="080D3142" w:rsidR="00DD5969"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4121D0F7" w14:textId="77777777" w:rsidR="00B103B9" w:rsidRDefault="00B103B9" w:rsidP="00DD5969"/>
    <w:p w14:paraId="154EB214" w14:textId="77777777" w:rsidR="00E243A8" w:rsidRDefault="00E243A8" w:rsidP="00DD5969"/>
    <w:p w14:paraId="187A0FDC" w14:textId="77777777" w:rsidR="00B103B9" w:rsidRDefault="00B103B9" w:rsidP="00DD5969"/>
    <w:p w14:paraId="5DE045AC" w14:textId="77777777" w:rsidR="00E10797" w:rsidRDefault="00E10797" w:rsidP="00DD5969"/>
    <w:p w14:paraId="71946F6B" w14:textId="77777777" w:rsidR="00B96D97" w:rsidRDefault="00B96D97" w:rsidP="00DD5969"/>
    <w:p w14:paraId="585077FF" w14:textId="77777777" w:rsidR="00B96D97" w:rsidRDefault="00B96D97" w:rsidP="00DD5969"/>
    <w:p w14:paraId="1A0E6DBE" w14:textId="77777777" w:rsidR="00B96D97" w:rsidRDefault="00B96D97" w:rsidP="00DD5969"/>
    <w:p w14:paraId="081B46A1" w14:textId="77777777" w:rsidR="00B96D97" w:rsidRDefault="00B96D97" w:rsidP="00DD5969"/>
    <w:p w14:paraId="26F429D0" w14:textId="77777777" w:rsidR="00B96D97" w:rsidRDefault="00B96D97" w:rsidP="00DD5969"/>
    <w:p w14:paraId="6E8CC8B9" w14:textId="77777777" w:rsidR="00B96D97" w:rsidRDefault="00B96D97" w:rsidP="00DD5969"/>
    <w:p w14:paraId="743EFC8D" w14:textId="77777777" w:rsidR="00B96D97" w:rsidRDefault="00B96D97" w:rsidP="00DD5969"/>
    <w:p w14:paraId="4D9346D4" w14:textId="77777777" w:rsidR="00B96D97" w:rsidRDefault="00B96D97" w:rsidP="00DD5969"/>
    <w:p w14:paraId="789F8E49" w14:textId="77777777" w:rsidR="00B96D97" w:rsidRDefault="00B96D97" w:rsidP="00DD5969"/>
    <w:p w14:paraId="731B9E70" w14:textId="77777777" w:rsidR="00B96D97" w:rsidRDefault="00B96D97" w:rsidP="00DD5969"/>
    <w:p w14:paraId="04C3ECA6" w14:textId="77777777" w:rsidR="00B96D97" w:rsidRDefault="00B96D97" w:rsidP="00DD5969"/>
    <w:p w14:paraId="02602115" w14:textId="77777777" w:rsidR="00B96D97" w:rsidRDefault="00B96D97" w:rsidP="00DD5969"/>
    <w:p w14:paraId="3F7AD480" w14:textId="77777777" w:rsidR="00B96D97" w:rsidRDefault="00B96D97" w:rsidP="00DD5969"/>
    <w:p w14:paraId="67A7E55F" w14:textId="77777777" w:rsidR="00B96D97" w:rsidRDefault="00B96D97" w:rsidP="00DD5969"/>
    <w:p w14:paraId="70CDF646" w14:textId="518CFA32" w:rsidR="00B96D97" w:rsidRPr="002E4F1E" w:rsidRDefault="00B96D97" w:rsidP="00B96D97">
      <w:pPr>
        <w:rPr>
          <w:rFonts w:ascii="Calibri" w:hAnsi="Calibri" w:cs="Calibri"/>
          <w:b/>
          <w:bCs/>
        </w:rPr>
      </w:pPr>
      <w:r w:rsidRPr="002E4F1E">
        <w:rPr>
          <w:rFonts w:ascii="Calibri" w:hAnsi="Calibri" w:cs="Calibri"/>
          <w:b/>
          <w:bCs/>
        </w:rPr>
        <w:lastRenderedPageBreak/>
        <w:t xml:space="preserve">Just enough education to perform: A Welsh teacher educator's moral dilemma </w:t>
      </w:r>
    </w:p>
    <w:p w14:paraId="286DD770" w14:textId="77777777" w:rsidR="00B96D97" w:rsidRPr="001F3683" w:rsidRDefault="00B96D97" w:rsidP="00B96D97">
      <w:pPr>
        <w:jc w:val="both"/>
        <w:rPr>
          <w:rFonts w:ascii="Calibri" w:hAnsi="Calibri" w:cs="Calibri"/>
          <w:sz w:val="22"/>
          <w:szCs w:val="22"/>
        </w:rPr>
      </w:pPr>
      <w:r w:rsidRPr="001F3683">
        <w:rPr>
          <w:rFonts w:ascii="Calibri" w:hAnsi="Calibri" w:cs="Calibri"/>
          <w:sz w:val="22"/>
          <w:szCs w:val="22"/>
        </w:rPr>
        <w:t xml:space="preserve">In 2024, the Welsh Government </w:t>
      </w:r>
      <w:r>
        <w:rPr>
          <w:rFonts w:ascii="Calibri" w:hAnsi="Calibri" w:cs="Calibri"/>
          <w:sz w:val="22"/>
          <w:szCs w:val="22"/>
        </w:rPr>
        <w:t>conf</w:t>
      </w:r>
      <w:r w:rsidRPr="001F3683">
        <w:rPr>
          <w:rFonts w:ascii="Calibri" w:hAnsi="Calibri" w:cs="Calibri"/>
          <w:sz w:val="22"/>
          <w:szCs w:val="22"/>
        </w:rPr>
        <w:t>irmed the Curriculum for Wales (</w:t>
      </w:r>
      <w:proofErr w:type="spellStart"/>
      <w:r w:rsidRPr="001F3683">
        <w:rPr>
          <w:rFonts w:ascii="Calibri" w:hAnsi="Calibri" w:cs="Calibri"/>
          <w:sz w:val="22"/>
          <w:szCs w:val="22"/>
        </w:rPr>
        <w:t>CfW</w:t>
      </w:r>
      <w:proofErr w:type="spellEnd"/>
      <w:r w:rsidRPr="001F3683">
        <w:rPr>
          <w:rFonts w:ascii="Calibri" w:hAnsi="Calibri" w:cs="Calibri"/>
          <w:sz w:val="22"/>
          <w:szCs w:val="22"/>
        </w:rPr>
        <w:t xml:space="preserve">) as a </w:t>
      </w:r>
      <w:r w:rsidRPr="001F3683">
        <w:rPr>
          <w:rFonts w:ascii="Calibri" w:hAnsi="Calibri" w:cs="Calibri"/>
          <w:i/>
          <w:iCs/>
          <w:sz w:val="22"/>
          <w:szCs w:val="22"/>
        </w:rPr>
        <w:t>“purpose-led, process-orientated”</w:t>
      </w:r>
      <w:r w:rsidRPr="001F3683">
        <w:rPr>
          <w:rFonts w:ascii="Calibri" w:hAnsi="Calibri" w:cs="Calibri"/>
          <w:sz w:val="22"/>
          <w:szCs w:val="22"/>
        </w:rPr>
        <w:t xml:space="preserve"> curriculum, positioning it as a fundamental challenge to traditional, performative models of schooling. This blog examines the moral dilemma this presents for Welsh teacher educators: how can student-teachers be authentically prepared for a curriculum that disrupts the very accountability structures through which they themselves are assessed and </w:t>
      </w:r>
      <w:r>
        <w:rPr>
          <w:rFonts w:ascii="Calibri" w:hAnsi="Calibri" w:cs="Calibri"/>
          <w:sz w:val="22"/>
          <w:szCs w:val="22"/>
        </w:rPr>
        <w:t>educat</w:t>
      </w:r>
      <w:r w:rsidRPr="001F3683">
        <w:rPr>
          <w:rFonts w:ascii="Calibri" w:hAnsi="Calibri" w:cs="Calibri"/>
          <w:sz w:val="22"/>
          <w:szCs w:val="22"/>
        </w:rPr>
        <w:t>ed? Addressing this tension demands more than pedagogical adjustment. It requires a re-evaluation of professional autonomy, collaboration, and the metrics by which educational success is judged.</w:t>
      </w:r>
    </w:p>
    <w:p w14:paraId="18AA0B7F" w14:textId="1BEF3994" w:rsidR="00B96D97" w:rsidRPr="00B96D97" w:rsidRDefault="00B96D97" w:rsidP="00B96D97">
      <w:pPr>
        <w:jc w:val="both"/>
        <w:rPr>
          <w:rFonts w:ascii="Calibri" w:hAnsi="Calibri" w:cs="Calibri"/>
          <w:b/>
          <w:bCs/>
          <w:sz w:val="22"/>
          <w:szCs w:val="22"/>
        </w:rPr>
      </w:pPr>
      <w:r>
        <w:rPr>
          <w:rFonts w:ascii="Calibri" w:hAnsi="Calibri" w:cs="Calibri"/>
          <w:b/>
          <w:bCs/>
          <w:sz w:val="22"/>
          <w:szCs w:val="22"/>
        </w:rPr>
        <w:t>T</w:t>
      </w:r>
      <w:r w:rsidRPr="00B96D97">
        <w:rPr>
          <w:rFonts w:ascii="Calibri" w:hAnsi="Calibri" w:cs="Calibri"/>
          <w:b/>
          <w:bCs/>
          <w:sz w:val="22"/>
          <w:szCs w:val="22"/>
        </w:rPr>
        <w:t>he Blog’s Title</w:t>
      </w:r>
    </w:p>
    <w:p w14:paraId="18EEAED8" w14:textId="3930D1C2" w:rsidR="00B96D97" w:rsidRPr="002E4F1E" w:rsidRDefault="00B96D97" w:rsidP="00B96D97">
      <w:pPr>
        <w:jc w:val="both"/>
        <w:rPr>
          <w:rFonts w:ascii="Calibri" w:hAnsi="Calibri" w:cs="Calibri"/>
          <w:sz w:val="22"/>
          <w:szCs w:val="22"/>
        </w:rPr>
      </w:pPr>
      <w:r w:rsidRPr="001F3683">
        <w:rPr>
          <w:rFonts w:ascii="Calibri" w:hAnsi="Calibri" w:cs="Calibri"/>
          <w:sz w:val="22"/>
          <w:szCs w:val="22"/>
        </w:rPr>
        <w:t>Th</w:t>
      </w:r>
      <w:r>
        <w:rPr>
          <w:rFonts w:ascii="Calibri" w:hAnsi="Calibri" w:cs="Calibri"/>
          <w:sz w:val="22"/>
          <w:szCs w:val="22"/>
        </w:rPr>
        <w:t>is</w:t>
      </w:r>
      <w:r w:rsidRPr="001F3683">
        <w:rPr>
          <w:rFonts w:ascii="Calibri" w:hAnsi="Calibri" w:cs="Calibri"/>
          <w:sz w:val="22"/>
          <w:szCs w:val="22"/>
        </w:rPr>
        <w:t xml:space="preserve"> dilemma can be framed through</w:t>
      </w:r>
      <w:r>
        <w:rPr>
          <w:rFonts w:ascii="Calibri" w:hAnsi="Calibri" w:cs="Calibri"/>
          <w:sz w:val="22"/>
          <w:szCs w:val="22"/>
        </w:rPr>
        <w:t xml:space="preserve"> the Welsh band,</w:t>
      </w:r>
      <w:r w:rsidRPr="001F3683">
        <w:rPr>
          <w:rFonts w:ascii="Calibri" w:hAnsi="Calibri" w:cs="Calibri"/>
          <w:sz w:val="22"/>
          <w:szCs w:val="22"/>
        </w:rPr>
        <w:t xml:space="preserve"> Stereophonics’ 2001 album </w:t>
      </w:r>
      <w:r w:rsidRPr="001F3683">
        <w:rPr>
          <w:rFonts w:ascii="Calibri" w:hAnsi="Calibri" w:cs="Calibri"/>
          <w:i/>
          <w:iCs/>
          <w:sz w:val="22"/>
          <w:szCs w:val="22"/>
        </w:rPr>
        <w:t>Just Enough Education to Perform</w:t>
      </w:r>
      <w:r w:rsidRPr="001F3683">
        <w:rPr>
          <w:rFonts w:ascii="Calibri" w:hAnsi="Calibri" w:cs="Calibri"/>
          <w:sz w:val="22"/>
          <w:szCs w:val="22"/>
        </w:rPr>
        <w:t>. Drawing on critiques of performativity within the music industry, the album</w:t>
      </w:r>
      <w:r>
        <w:rPr>
          <w:rFonts w:ascii="Calibri" w:hAnsi="Calibri" w:cs="Calibri"/>
          <w:sz w:val="22"/>
          <w:szCs w:val="22"/>
        </w:rPr>
        <w:t>’s title</w:t>
      </w:r>
      <w:r w:rsidRPr="001F3683">
        <w:rPr>
          <w:rFonts w:ascii="Calibri" w:hAnsi="Calibri" w:cs="Calibri"/>
          <w:sz w:val="22"/>
          <w:szCs w:val="22"/>
        </w:rPr>
        <w:t xml:space="preserve"> </w:t>
      </w:r>
      <w:r>
        <w:rPr>
          <w:rFonts w:ascii="Calibri" w:hAnsi="Calibri" w:cs="Calibri"/>
          <w:sz w:val="22"/>
          <w:szCs w:val="22"/>
        </w:rPr>
        <w:t xml:space="preserve">refers to the band’s </w:t>
      </w:r>
      <w:r w:rsidRPr="001F3683">
        <w:rPr>
          <w:rFonts w:ascii="Calibri" w:hAnsi="Calibri" w:cs="Calibri"/>
          <w:sz w:val="22"/>
          <w:szCs w:val="22"/>
        </w:rPr>
        <w:t>views</w:t>
      </w:r>
      <w:r>
        <w:rPr>
          <w:rFonts w:ascii="Calibri" w:hAnsi="Calibri" w:cs="Calibri"/>
          <w:sz w:val="22"/>
          <w:szCs w:val="22"/>
        </w:rPr>
        <w:t xml:space="preserve"> on </w:t>
      </w:r>
      <w:r w:rsidRPr="001F3683">
        <w:rPr>
          <w:rFonts w:ascii="Calibri" w:hAnsi="Calibri" w:cs="Calibri"/>
          <w:sz w:val="22"/>
          <w:szCs w:val="22"/>
        </w:rPr>
        <w:t xml:space="preserve">how systems can prioritise surface compliance over deep understanding. Similarly, teacher educators must ask whether </w:t>
      </w:r>
      <w:proofErr w:type="spellStart"/>
      <w:r w:rsidRPr="001F3683">
        <w:rPr>
          <w:rFonts w:ascii="Calibri" w:hAnsi="Calibri" w:cs="Calibri"/>
          <w:sz w:val="22"/>
          <w:szCs w:val="22"/>
        </w:rPr>
        <w:t>CfW</w:t>
      </w:r>
      <w:proofErr w:type="spellEnd"/>
      <w:r w:rsidRPr="001F3683">
        <w:rPr>
          <w:rFonts w:ascii="Calibri" w:hAnsi="Calibri" w:cs="Calibri"/>
          <w:sz w:val="22"/>
          <w:szCs w:val="22"/>
        </w:rPr>
        <w:t xml:space="preserve"> is being enacted as transformative educational reform or reduced to performative compliance</w:t>
      </w:r>
      <w:r>
        <w:rPr>
          <w:rFonts w:ascii="Calibri" w:hAnsi="Calibri" w:cs="Calibri"/>
          <w:sz w:val="22"/>
          <w:szCs w:val="22"/>
        </w:rPr>
        <w:t xml:space="preserve"> with</w:t>
      </w:r>
      <w:r w:rsidR="004B3A82">
        <w:rPr>
          <w:rFonts w:ascii="Calibri" w:hAnsi="Calibri" w:cs="Calibri"/>
          <w:sz w:val="22"/>
          <w:szCs w:val="22"/>
        </w:rPr>
        <w:t xml:space="preserve"> student-teachers being given</w:t>
      </w:r>
      <w:r>
        <w:rPr>
          <w:rFonts w:ascii="Calibri" w:hAnsi="Calibri" w:cs="Calibri"/>
          <w:sz w:val="22"/>
          <w:szCs w:val="22"/>
        </w:rPr>
        <w:t xml:space="preserve"> just enough knowledge to get by.</w:t>
      </w:r>
    </w:p>
    <w:p w14:paraId="17B64F11" w14:textId="77777777" w:rsidR="00B96D97" w:rsidRPr="002E4F1E" w:rsidRDefault="00B96D97" w:rsidP="00B96D97">
      <w:pPr>
        <w:jc w:val="both"/>
        <w:rPr>
          <w:rFonts w:ascii="Calibri" w:hAnsi="Calibri" w:cs="Calibri"/>
          <w:b/>
          <w:bCs/>
          <w:sz w:val="22"/>
          <w:szCs w:val="22"/>
        </w:rPr>
      </w:pPr>
      <w:r w:rsidRPr="002E4F1E">
        <w:rPr>
          <w:rFonts w:ascii="Calibri" w:hAnsi="Calibri" w:cs="Calibri"/>
          <w:b/>
          <w:bCs/>
          <w:sz w:val="22"/>
          <w:szCs w:val="22"/>
        </w:rPr>
        <w:t>A Change of Mindset: from Product to Process</w:t>
      </w:r>
    </w:p>
    <w:p w14:paraId="4803F44D" w14:textId="77777777" w:rsidR="00B96D97" w:rsidRPr="002E4F1E" w:rsidRDefault="00B96D97" w:rsidP="00B96D97">
      <w:pPr>
        <w:jc w:val="both"/>
        <w:rPr>
          <w:rFonts w:ascii="Calibri" w:hAnsi="Calibri" w:cs="Calibri"/>
          <w:sz w:val="22"/>
          <w:szCs w:val="22"/>
        </w:rPr>
      </w:pPr>
      <w:r w:rsidRPr="002E4F1E">
        <w:rPr>
          <w:rFonts w:ascii="Calibri" w:hAnsi="Calibri" w:cs="Calibri"/>
          <w:sz w:val="22"/>
          <w:szCs w:val="22"/>
        </w:rPr>
        <w:t xml:space="preserve">Despite Donaldson highlighting the </w:t>
      </w:r>
      <w:r w:rsidRPr="002E4F1E">
        <w:rPr>
          <w:rFonts w:ascii="Calibri" w:hAnsi="Calibri" w:cs="Calibri"/>
          <w:i/>
          <w:iCs/>
          <w:sz w:val="22"/>
          <w:szCs w:val="22"/>
        </w:rPr>
        <w:t>“pernicious effect”</w:t>
      </w:r>
      <w:r w:rsidRPr="002E4F1E">
        <w:rPr>
          <w:rFonts w:ascii="Calibri" w:hAnsi="Calibri" w:cs="Calibri"/>
          <w:sz w:val="22"/>
          <w:szCs w:val="22"/>
        </w:rPr>
        <w:t xml:space="preserve"> of poverty on Welsh</w:t>
      </w:r>
      <w:r>
        <w:rPr>
          <w:rFonts w:ascii="Calibri" w:hAnsi="Calibri" w:cs="Calibri"/>
          <w:sz w:val="22"/>
          <w:szCs w:val="22"/>
        </w:rPr>
        <w:t xml:space="preserve"> children’s</w:t>
      </w:r>
      <w:r w:rsidRPr="002E4F1E">
        <w:rPr>
          <w:rFonts w:ascii="Calibri" w:hAnsi="Calibri" w:cs="Calibri"/>
          <w:sz w:val="22"/>
          <w:szCs w:val="22"/>
        </w:rPr>
        <w:t xml:space="preserve"> education, the pivotal role of the </w:t>
      </w:r>
      <w:proofErr w:type="spellStart"/>
      <w:r w:rsidRPr="002E4F1E">
        <w:rPr>
          <w:rFonts w:ascii="Calibri" w:hAnsi="Calibri" w:cs="Calibri"/>
          <w:sz w:val="22"/>
          <w:szCs w:val="22"/>
        </w:rPr>
        <w:t>CfW</w:t>
      </w:r>
      <w:proofErr w:type="spellEnd"/>
      <w:r w:rsidRPr="002E4F1E">
        <w:rPr>
          <w:rFonts w:ascii="Calibri" w:hAnsi="Calibri" w:cs="Calibri"/>
          <w:sz w:val="22"/>
          <w:szCs w:val="22"/>
        </w:rPr>
        <w:t xml:space="preserve"> in breaking the link between disadvantage and destiny hasn</w:t>
      </w:r>
      <w:r>
        <w:rPr>
          <w:rFonts w:ascii="Calibri" w:hAnsi="Calibri" w:cs="Calibri"/>
          <w:sz w:val="22"/>
          <w:szCs w:val="22"/>
        </w:rPr>
        <w:t xml:space="preserve">’t </w:t>
      </w:r>
      <w:r w:rsidRPr="002E4F1E">
        <w:rPr>
          <w:rFonts w:ascii="Calibri" w:hAnsi="Calibri" w:cs="Calibri"/>
          <w:sz w:val="22"/>
          <w:szCs w:val="22"/>
        </w:rPr>
        <w:t xml:space="preserve">been made clear. The Welsh Government-supported </w:t>
      </w:r>
      <w:proofErr w:type="spellStart"/>
      <w:r w:rsidRPr="002E4F1E">
        <w:rPr>
          <w:rFonts w:ascii="Calibri" w:hAnsi="Calibri" w:cs="Calibri"/>
          <w:i/>
          <w:iCs/>
          <w:sz w:val="22"/>
          <w:szCs w:val="22"/>
        </w:rPr>
        <w:t>Camau</w:t>
      </w:r>
      <w:proofErr w:type="spellEnd"/>
      <w:r w:rsidRPr="002E4F1E">
        <w:rPr>
          <w:rFonts w:ascii="Calibri" w:hAnsi="Calibri" w:cs="Calibri"/>
          <w:i/>
          <w:iCs/>
          <w:sz w:val="22"/>
          <w:szCs w:val="22"/>
        </w:rPr>
        <w:t xml:space="preserve"> </w:t>
      </w:r>
      <w:proofErr w:type="spellStart"/>
      <w:r w:rsidRPr="002E4F1E">
        <w:rPr>
          <w:rFonts w:ascii="Calibri" w:hAnsi="Calibri" w:cs="Calibri"/>
          <w:i/>
          <w:iCs/>
          <w:sz w:val="22"/>
          <w:szCs w:val="22"/>
        </w:rPr>
        <w:t>i’r</w:t>
      </w:r>
      <w:proofErr w:type="spellEnd"/>
      <w:r w:rsidRPr="002E4F1E">
        <w:rPr>
          <w:rFonts w:ascii="Calibri" w:hAnsi="Calibri" w:cs="Calibri"/>
          <w:i/>
          <w:iCs/>
          <w:sz w:val="22"/>
          <w:szCs w:val="22"/>
        </w:rPr>
        <w:t xml:space="preserve"> </w:t>
      </w:r>
      <w:proofErr w:type="spellStart"/>
      <w:r w:rsidRPr="002E4F1E">
        <w:rPr>
          <w:rFonts w:ascii="Calibri" w:hAnsi="Calibri" w:cs="Calibri"/>
          <w:i/>
          <w:iCs/>
          <w:sz w:val="22"/>
          <w:szCs w:val="22"/>
        </w:rPr>
        <w:t>Dyfodol</w:t>
      </w:r>
      <w:proofErr w:type="spellEnd"/>
      <w:r w:rsidRPr="002E4F1E">
        <w:rPr>
          <w:rFonts w:ascii="Calibri" w:hAnsi="Calibri" w:cs="Calibri"/>
          <w:sz w:val="22"/>
          <w:szCs w:val="22"/>
        </w:rPr>
        <w:t xml:space="preserve"> project, a partnership between the University of Wales Trinity Saint David (UWTSD), Glasgow University and</w:t>
      </w:r>
      <w:r>
        <w:rPr>
          <w:rFonts w:ascii="Calibri" w:hAnsi="Calibri" w:cs="Calibri"/>
          <w:sz w:val="22"/>
          <w:szCs w:val="22"/>
        </w:rPr>
        <w:t xml:space="preserve"> </w:t>
      </w:r>
      <w:r w:rsidRPr="002E4F1E">
        <w:rPr>
          <w:rFonts w:ascii="Calibri" w:hAnsi="Calibri" w:cs="Calibri"/>
          <w:sz w:val="22"/>
          <w:szCs w:val="22"/>
        </w:rPr>
        <w:t xml:space="preserve">teachers, has begun to clarify the process orientation underpinning the </w:t>
      </w:r>
      <w:proofErr w:type="spellStart"/>
      <w:r w:rsidRPr="002E4F1E">
        <w:rPr>
          <w:rFonts w:ascii="Calibri" w:hAnsi="Calibri" w:cs="Calibri"/>
          <w:sz w:val="22"/>
          <w:szCs w:val="22"/>
        </w:rPr>
        <w:t>CfW</w:t>
      </w:r>
      <w:proofErr w:type="spellEnd"/>
      <w:r w:rsidRPr="002E4F1E">
        <w:rPr>
          <w:rFonts w:ascii="Calibri" w:hAnsi="Calibri" w:cs="Calibri"/>
          <w:sz w:val="22"/>
          <w:szCs w:val="22"/>
        </w:rPr>
        <w:t xml:space="preserve"> – an approach that sets it apart from what has gone before and has the potential to transform education in Wales.</w:t>
      </w:r>
    </w:p>
    <w:p w14:paraId="5ABFFF7E" w14:textId="77777777" w:rsidR="00B96D97" w:rsidRPr="002E4F1E" w:rsidRDefault="00B96D97" w:rsidP="00B96D97">
      <w:pPr>
        <w:jc w:val="both"/>
        <w:rPr>
          <w:rFonts w:ascii="Calibri" w:hAnsi="Calibri" w:cs="Calibri"/>
          <w:sz w:val="22"/>
          <w:szCs w:val="22"/>
        </w:rPr>
      </w:pPr>
      <w:r w:rsidRPr="002E4F1E">
        <w:rPr>
          <w:rFonts w:ascii="Calibri" w:hAnsi="Calibri" w:cs="Calibri"/>
          <w:sz w:val="22"/>
          <w:szCs w:val="22"/>
        </w:rPr>
        <w:t>This shift requires a complete change of mindset – from what Kelly calls content- and product-orientated approaches to curriculum design to a process-orientated approach to curriculum making.</w:t>
      </w:r>
    </w:p>
    <w:p w14:paraId="70075552" w14:textId="77777777" w:rsidR="00B96D97" w:rsidRPr="002E4F1E" w:rsidRDefault="00B96D97" w:rsidP="00B96D97">
      <w:pPr>
        <w:jc w:val="both"/>
        <w:rPr>
          <w:rFonts w:ascii="Calibri" w:hAnsi="Calibri" w:cs="Calibri"/>
          <w:sz w:val="22"/>
          <w:szCs w:val="22"/>
        </w:rPr>
      </w:pPr>
      <w:r w:rsidRPr="002E4F1E">
        <w:rPr>
          <w:rFonts w:ascii="Calibri" w:hAnsi="Calibri" w:cs="Calibri"/>
          <w:sz w:val="22"/>
          <w:szCs w:val="22"/>
        </w:rPr>
        <w:t xml:space="preserve">As a member of the </w:t>
      </w:r>
      <w:proofErr w:type="spellStart"/>
      <w:r w:rsidRPr="002E4F1E">
        <w:rPr>
          <w:rFonts w:ascii="Calibri" w:hAnsi="Calibri" w:cs="Calibri"/>
          <w:i/>
          <w:iCs/>
          <w:sz w:val="22"/>
          <w:szCs w:val="22"/>
        </w:rPr>
        <w:t>Camau</w:t>
      </w:r>
      <w:proofErr w:type="spellEnd"/>
      <w:r w:rsidRPr="002E4F1E">
        <w:rPr>
          <w:rFonts w:ascii="Calibri" w:hAnsi="Calibri" w:cs="Calibri"/>
          <w:i/>
          <w:iCs/>
          <w:sz w:val="22"/>
          <w:szCs w:val="22"/>
        </w:rPr>
        <w:t xml:space="preserve"> </w:t>
      </w:r>
      <w:proofErr w:type="spellStart"/>
      <w:r w:rsidRPr="002E4F1E">
        <w:rPr>
          <w:rFonts w:ascii="Calibri" w:hAnsi="Calibri" w:cs="Calibri"/>
          <w:i/>
          <w:iCs/>
          <w:sz w:val="22"/>
          <w:szCs w:val="22"/>
        </w:rPr>
        <w:t>i’r</w:t>
      </w:r>
      <w:proofErr w:type="spellEnd"/>
      <w:r w:rsidRPr="002E4F1E">
        <w:rPr>
          <w:rFonts w:ascii="Calibri" w:hAnsi="Calibri" w:cs="Calibri"/>
          <w:i/>
          <w:iCs/>
          <w:sz w:val="22"/>
          <w:szCs w:val="22"/>
        </w:rPr>
        <w:t xml:space="preserve"> </w:t>
      </w:r>
      <w:proofErr w:type="spellStart"/>
      <w:r w:rsidRPr="002E4F1E">
        <w:rPr>
          <w:rFonts w:ascii="Calibri" w:hAnsi="Calibri" w:cs="Calibri"/>
          <w:i/>
          <w:iCs/>
          <w:sz w:val="22"/>
          <w:szCs w:val="22"/>
        </w:rPr>
        <w:t>Dyfodol</w:t>
      </w:r>
      <w:proofErr w:type="spellEnd"/>
      <w:r w:rsidRPr="002E4F1E">
        <w:rPr>
          <w:rFonts w:ascii="Calibri" w:hAnsi="Calibri" w:cs="Calibri"/>
          <w:sz w:val="22"/>
          <w:szCs w:val="22"/>
        </w:rPr>
        <w:t xml:space="preserve"> research team, the challenges of shifting a deeply ingrained product-oriented mindset quickly became clear. For example, how can lesson aims and learning intentions copied down and stuck in books be replaced by broad, overarching, evolving aims? How can the prescribed content that once existed now be decided based on what McKernan describes as its </w:t>
      </w:r>
      <w:r w:rsidRPr="002E4F1E">
        <w:rPr>
          <w:rFonts w:ascii="Calibri" w:hAnsi="Calibri" w:cs="Calibri"/>
          <w:i/>
          <w:iCs/>
          <w:sz w:val="22"/>
          <w:szCs w:val="22"/>
        </w:rPr>
        <w:t xml:space="preserve">worthwhileness </w:t>
      </w:r>
      <w:r w:rsidRPr="002E4F1E">
        <w:rPr>
          <w:rFonts w:ascii="Calibri" w:hAnsi="Calibri" w:cs="Calibri"/>
          <w:sz w:val="22"/>
          <w:szCs w:val="22"/>
        </w:rPr>
        <w:t>for learners? How can the predefined outcomes and rigid, tick-box success criteria given to learners be reimagined as pupil-centred ‘</w:t>
      </w:r>
      <w:r w:rsidRPr="002E4F1E">
        <w:rPr>
          <w:rFonts w:ascii="Calibri" w:hAnsi="Calibri" w:cs="Calibri"/>
          <w:i/>
          <w:iCs/>
          <w:sz w:val="22"/>
          <w:szCs w:val="22"/>
        </w:rPr>
        <w:t xml:space="preserve">fuzzy </w:t>
      </w:r>
      <w:proofErr w:type="gramStart"/>
      <w:r w:rsidRPr="002E4F1E">
        <w:rPr>
          <w:rFonts w:ascii="Calibri" w:hAnsi="Calibri" w:cs="Calibri"/>
          <w:i/>
          <w:iCs/>
          <w:sz w:val="22"/>
          <w:szCs w:val="22"/>
        </w:rPr>
        <w:t>outcomes</w:t>
      </w:r>
      <w:r>
        <w:rPr>
          <w:rFonts w:ascii="Calibri" w:hAnsi="Calibri" w:cs="Calibri"/>
          <w:i/>
          <w:iCs/>
          <w:sz w:val="22"/>
          <w:szCs w:val="22"/>
        </w:rPr>
        <w:t>’</w:t>
      </w:r>
      <w:proofErr w:type="gramEnd"/>
      <w:r w:rsidRPr="002E4F1E">
        <w:rPr>
          <w:rFonts w:ascii="Calibri" w:hAnsi="Calibri" w:cs="Calibri"/>
          <w:sz w:val="22"/>
          <w:szCs w:val="22"/>
        </w:rPr>
        <w:t xml:space="preserve">? How can assessing learners' performance in tasks and tests move to more individualistic, divergent ways of evaluating learning? Collaborating with colleagues to make sense of this </w:t>
      </w:r>
      <w:r>
        <w:rPr>
          <w:rFonts w:ascii="Calibri" w:hAnsi="Calibri" w:cs="Calibri"/>
          <w:sz w:val="22"/>
          <w:szCs w:val="22"/>
        </w:rPr>
        <w:t>different</w:t>
      </w:r>
      <w:r w:rsidRPr="002E4F1E">
        <w:rPr>
          <w:rFonts w:ascii="Calibri" w:hAnsi="Calibri" w:cs="Calibri"/>
          <w:sz w:val="22"/>
          <w:szCs w:val="22"/>
        </w:rPr>
        <w:t xml:space="preserve"> way of thinking revealed the scale of the challenge ahead in educating student-teachers about the </w:t>
      </w:r>
      <w:proofErr w:type="spellStart"/>
      <w:r w:rsidRPr="002E4F1E">
        <w:rPr>
          <w:rFonts w:ascii="Calibri" w:hAnsi="Calibri" w:cs="Calibri"/>
          <w:sz w:val="22"/>
          <w:szCs w:val="22"/>
        </w:rPr>
        <w:t>CfW</w:t>
      </w:r>
      <w:proofErr w:type="spellEnd"/>
      <w:r w:rsidRPr="002E4F1E">
        <w:rPr>
          <w:rFonts w:ascii="Calibri" w:hAnsi="Calibri" w:cs="Calibri"/>
          <w:sz w:val="22"/>
          <w:szCs w:val="22"/>
        </w:rPr>
        <w:t>.</w:t>
      </w:r>
    </w:p>
    <w:p w14:paraId="64611C27" w14:textId="77777777" w:rsidR="00B96D97" w:rsidRPr="002E4F1E" w:rsidRDefault="00B96D97" w:rsidP="00B96D97">
      <w:pPr>
        <w:jc w:val="both"/>
        <w:rPr>
          <w:rFonts w:ascii="Calibri" w:hAnsi="Calibri" w:cs="Calibri"/>
          <w:b/>
          <w:bCs/>
          <w:sz w:val="22"/>
          <w:szCs w:val="22"/>
        </w:rPr>
      </w:pPr>
      <w:r w:rsidRPr="002E4F1E">
        <w:rPr>
          <w:rFonts w:ascii="Calibri" w:hAnsi="Calibri" w:cs="Calibri"/>
          <w:b/>
          <w:bCs/>
          <w:sz w:val="22"/>
          <w:szCs w:val="22"/>
        </w:rPr>
        <w:t>The Moral Dilemma</w:t>
      </w:r>
    </w:p>
    <w:p w14:paraId="7C81FDA0" w14:textId="77777777" w:rsidR="00B96D97" w:rsidRPr="002E4F1E" w:rsidRDefault="00B96D97" w:rsidP="00B96D97">
      <w:pPr>
        <w:jc w:val="both"/>
        <w:rPr>
          <w:rFonts w:ascii="Calibri" w:hAnsi="Calibri" w:cs="Calibri"/>
          <w:sz w:val="22"/>
          <w:szCs w:val="22"/>
        </w:rPr>
      </w:pPr>
      <w:r w:rsidRPr="002E4F1E">
        <w:rPr>
          <w:rFonts w:ascii="Calibri" w:hAnsi="Calibri" w:cs="Calibri"/>
          <w:sz w:val="22"/>
          <w:szCs w:val="22"/>
        </w:rPr>
        <w:t>Here lies the moral dilemma: how can teacher educators authentically prepare tomorrow’s teachers for a process-orientated curriculum when university systems remain product-driven, beginner teacher learning is already complex, and schools hosting student-teachers for their Professional Teaching Experiences</w:t>
      </w:r>
      <w:r>
        <w:rPr>
          <w:rFonts w:ascii="Calibri" w:hAnsi="Calibri" w:cs="Calibri"/>
          <w:sz w:val="22"/>
          <w:szCs w:val="22"/>
        </w:rPr>
        <w:t xml:space="preserve"> </w:t>
      </w:r>
      <w:r w:rsidRPr="002E4F1E">
        <w:rPr>
          <w:rFonts w:ascii="Calibri" w:hAnsi="Calibri" w:cs="Calibri"/>
          <w:sz w:val="22"/>
          <w:szCs w:val="22"/>
        </w:rPr>
        <w:t>often lack opportunities to engage with the theory and practice of process-orientated curriculum making?</w:t>
      </w:r>
    </w:p>
    <w:p w14:paraId="21EBCDD3" w14:textId="77777777" w:rsidR="00B96D97" w:rsidRPr="002E4F1E" w:rsidRDefault="00B96D97" w:rsidP="00B96D97">
      <w:pPr>
        <w:jc w:val="both"/>
        <w:rPr>
          <w:rFonts w:ascii="Calibri" w:hAnsi="Calibri" w:cs="Calibri"/>
          <w:sz w:val="22"/>
          <w:szCs w:val="22"/>
        </w:rPr>
      </w:pPr>
      <w:r w:rsidRPr="002E4F1E">
        <w:rPr>
          <w:rFonts w:ascii="Calibri" w:hAnsi="Calibri" w:cs="Calibri"/>
          <w:sz w:val="22"/>
          <w:szCs w:val="22"/>
        </w:rPr>
        <w:lastRenderedPageBreak/>
        <w:t>The lesson planning template, used to teach student-teachers how to plan, illustrates this tension. The purpose of learning to plan should be to help student-teachers</w:t>
      </w:r>
      <w:r w:rsidRPr="002E4F1E">
        <w:rPr>
          <w:rFonts w:ascii="Calibri" w:hAnsi="Calibri" w:cs="Calibri"/>
          <w:b/>
          <w:bCs/>
          <w:sz w:val="22"/>
          <w:szCs w:val="22"/>
        </w:rPr>
        <w:t xml:space="preserve"> </w:t>
      </w:r>
      <w:r w:rsidRPr="002E4F1E">
        <w:rPr>
          <w:rFonts w:ascii="Calibri" w:hAnsi="Calibri" w:cs="Calibri"/>
          <w:sz w:val="22"/>
          <w:szCs w:val="22"/>
        </w:rPr>
        <w:t xml:space="preserve">develop an understanding of teaching as a responsive process. However, the use of a planning template promotes planning as a fixed, predetermined product. While educating student-teachers about the process-orientation of the </w:t>
      </w:r>
      <w:proofErr w:type="spellStart"/>
      <w:r w:rsidRPr="002E4F1E">
        <w:rPr>
          <w:rFonts w:ascii="Calibri" w:hAnsi="Calibri" w:cs="Calibri"/>
          <w:sz w:val="22"/>
          <w:szCs w:val="22"/>
        </w:rPr>
        <w:t>CfW</w:t>
      </w:r>
      <w:proofErr w:type="spellEnd"/>
      <w:r w:rsidRPr="002E4F1E">
        <w:rPr>
          <w:rFonts w:ascii="Calibri" w:hAnsi="Calibri" w:cs="Calibri"/>
          <w:sz w:val="22"/>
          <w:szCs w:val="22"/>
        </w:rPr>
        <w:t>, the use of a lesson planning template to teach about planning simultaneously reinforces prescription, pre-definition, and performativity. Its additional use as an accountability tool</w:t>
      </w:r>
      <w:r>
        <w:rPr>
          <w:rFonts w:ascii="Calibri" w:hAnsi="Calibri" w:cs="Calibri"/>
          <w:sz w:val="22"/>
          <w:szCs w:val="22"/>
        </w:rPr>
        <w:t>,</w:t>
      </w:r>
      <w:r w:rsidRPr="002E4F1E">
        <w:rPr>
          <w:rFonts w:ascii="Calibri" w:hAnsi="Calibri" w:cs="Calibri"/>
          <w:sz w:val="22"/>
          <w:szCs w:val="22"/>
        </w:rPr>
        <w:t xml:space="preserve"> as described by Anderson, risks reducing planning to a box-filling exercise rather than a reflective, creative process.</w:t>
      </w:r>
    </w:p>
    <w:p w14:paraId="6E43E44D" w14:textId="77777777" w:rsidR="00B96D97" w:rsidRPr="002E4F1E" w:rsidRDefault="00B96D97" w:rsidP="00B96D97">
      <w:pPr>
        <w:jc w:val="both"/>
        <w:rPr>
          <w:rFonts w:ascii="Calibri" w:hAnsi="Calibri" w:cs="Calibri"/>
          <w:b/>
          <w:bCs/>
          <w:sz w:val="22"/>
          <w:szCs w:val="22"/>
        </w:rPr>
      </w:pPr>
      <w:r w:rsidRPr="002E4F1E">
        <w:rPr>
          <w:rFonts w:ascii="Calibri" w:hAnsi="Calibri" w:cs="Calibri"/>
          <w:b/>
          <w:bCs/>
          <w:sz w:val="22"/>
          <w:szCs w:val="22"/>
        </w:rPr>
        <w:t>Balancing Accountability and Professional Autonomy</w:t>
      </w:r>
    </w:p>
    <w:p w14:paraId="3D9A5735" w14:textId="77777777" w:rsidR="00B96D97" w:rsidRPr="002E4F1E" w:rsidRDefault="00B96D97" w:rsidP="00B96D97">
      <w:pPr>
        <w:jc w:val="both"/>
        <w:rPr>
          <w:rFonts w:ascii="Calibri" w:hAnsi="Calibri" w:cs="Calibri"/>
          <w:sz w:val="22"/>
          <w:szCs w:val="22"/>
        </w:rPr>
      </w:pPr>
      <w:r w:rsidRPr="002E4F1E">
        <w:rPr>
          <w:rFonts w:ascii="Calibri" w:hAnsi="Calibri" w:cs="Calibri"/>
          <w:sz w:val="22"/>
          <w:szCs w:val="22"/>
        </w:rPr>
        <w:t xml:space="preserve">Another pressing tension emerging from this moral dilemma is the balance between accountability and professional autonomy. The </w:t>
      </w:r>
      <w:proofErr w:type="spellStart"/>
      <w:r w:rsidRPr="002E4F1E">
        <w:rPr>
          <w:rFonts w:ascii="Calibri" w:hAnsi="Calibri" w:cs="Calibri"/>
          <w:sz w:val="22"/>
          <w:szCs w:val="22"/>
        </w:rPr>
        <w:t>CfW</w:t>
      </w:r>
      <w:proofErr w:type="spellEnd"/>
      <w:r w:rsidRPr="002E4F1E">
        <w:rPr>
          <w:rFonts w:ascii="Calibri" w:hAnsi="Calibri" w:cs="Calibri"/>
          <w:sz w:val="22"/>
          <w:szCs w:val="22"/>
        </w:rPr>
        <w:t xml:space="preserve"> positions teachers as curriculum-makers who exercise informed judgment, creativity, and critical reflection in developing learning experiences. Yet, the systems within which they operate – university programmes, inspection frameworks, and school accountability measures – continue to promote performative indicators of success. This creates a professional mismatch for both student-teachers and teacher educators: they are expected to think and act autonomously while simultaneously demonstrating compliance with product-based standards. For teacher educators, the challenge lies in modelling autonomy within constraints – finding ways to teach about uncertainty, exploration, and professional risk-taking in spaces still governed by measurable outputs. </w:t>
      </w:r>
    </w:p>
    <w:p w14:paraId="65106232" w14:textId="77777777" w:rsidR="00B96D97" w:rsidRPr="002E4F1E" w:rsidRDefault="00B96D97" w:rsidP="00B96D97">
      <w:pPr>
        <w:jc w:val="both"/>
        <w:rPr>
          <w:rFonts w:ascii="Calibri" w:hAnsi="Calibri" w:cs="Calibri"/>
          <w:b/>
          <w:bCs/>
          <w:sz w:val="22"/>
          <w:szCs w:val="22"/>
        </w:rPr>
      </w:pPr>
      <w:r w:rsidRPr="002E4F1E">
        <w:rPr>
          <w:rFonts w:ascii="Calibri" w:hAnsi="Calibri" w:cs="Calibri"/>
          <w:b/>
          <w:bCs/>
          <w:sz w:val="22"/>
          <w:szCs w:val="22"/>
        </w:rPr>
        <w:t>Building Shared Understanding</w:t>
      </w:r>
    </w:p>
    <w:p w14:paraId="4093FF1E" w14:textId="77777777" w:rsidR="00B96D97" w:rsidRPr="002E4F1E" w:rsidRDefault="00B96D97" w:rsidP="00B96D97">
      <w:pPr>
        <w:jc w:val="both"/>
        <w:rPr>
          <w:rFonts w:ascii="Calibri" w:hAnsi="Calibri" w:cs="Calibri"/>
          <w:sz w:val="22"/>
          <w:szCs w:val="22"/>
        </w:rPr>
      </w:pPr>
      <w:r w:rsidRPr="002E4F1E">
        <w:rPr>
          <w:rFonts w:ascii="Calibri" w:hAnsi="Calibri" w:cs="Calibri"/>
          <w:sz w:val="22"/>
          <w:szCs w:val="22"/>
        </w:rPr>
        <w:t xml:space="preserve">For the </w:t>
      </w:r>
      <w:proofErr w:type="spellStart"/>
      <w:r w:rsidRPr="002E4F1E">
        <w:rPr>
          <w:rFonts w:ascii="Calibri" w:hAnsi="Calibri" w:cs="Calibri"/>
          <w:sz w:val="22"/>
          <w:szCs w:val="22"/>
        </w:rPr>
        <w:t>CfW</w:t>
      </w:r>
      <w:proofErr w:type="spellEnd"/>
      <w:r w:rsidRPr="002E4F1E">
        <w:rPr>
          <w:rFonts w:ascii="Calibri" w:hAnsi="Calibri" w:cs="Calibri"/>
          <w:sz w:val="22"/>
          <w:szCs w:val="22"/>
        </w:rPr>
        <w:t xml:space="preserve"> to achieve its transformative potential, collaboration between universities, schools, and policymakers as witnessed as part of the </w:t>
      </w:r>
      <w:proofErr w:type="spellStart"/>
      <w:r w:rsidRPr="002E4F1E">
        <w:rPr>
          <w:rFonts w:ascii="Calibri" w:hAnsi="Calibri" w:cs="Calibri"/>
          <w:i/>
          <w:iCs/>
          <w:sz w:val="22"/>
          <w:szCs w:val="22"/>
        </w:rPr>
        <w:t>Camau</w:t>
      </w:r>
      <w:proofErr w:type="spellEnd"/>
      <w:r w:rsidRPr="002E4F1E">
        <w:rPr>
          <w:rFonts w:ascii="Calibri" w:hAnsi="Calibri" w:cs="Calibri"/>
          <w:i/>
          <w:iCs/>
          <w:sz w:val="22"/>
          <w:szCs w:val="22"/>
        </w:rPr>
        <w:t xml:space="preserve"> </w:t>
      </w:r>
      <w:proofErr w:type="spellStart"/>
      <w:r w:rsidRPr="002E4F1E">
        <w:rPr>
          <w:rFonts w:ascii="Calibri" w:hAnsi="Calibri" w:cs="Calibri"/>
          <w:i/>
          <w:iCs/>
          <w:sz w:val="22"/>
          <w:szCs w:val="22"/>
        </w:rPr>
        <w:t>i’r</w:t>
      </w:r>
      <w:proofErr w:type="spellEnd"/>
      <w:r w:rsidRPr="002E4F1E">
        <w:rPr>
          <w:rFonts w:ascii="Calibri" w:hAnsi="Calibri" w:cs="Calibri"/>
          <w:i/>
          <w:iCs/>
          <w:sz w:val="22"/>
          <w:szCs w:val="22"/>
        </w:rPr>
        <w:t xml:space="preserve"> </w:t>
      </w:r>
      <w:proofErr w:type="spellStart"/>
      <w:r w:rsidRPr="002E4F1E">
        <w:rPr>
          <w:rFonts w:ascii="Calibri" w:hAnsi="Calibri" w:cs="Calibri"/>
          <w:i/>
          <w:iCs/>
          <w:sz w:val="22"/>
          <w:szCs w:val="22"/>
        </w:rPr>
        <w:t>Dyfodol</w:t>
      </w:r>
      <w:proofErr w:type="spellEnd"/>
      <w:r w:rsidRPr="002E4F1E">
        <w:rPr>
          <w:rFonts w:ascii="Calibri" w:hAnsi="Calibri" w:cs="Calibri"/>
          <w:i/>
          <w:iCs/>
          <w:sz w:val="22"/>
          <w:szCs w:val="22"/>
        </w:rPr>
        <w:t xml:space="preserve"> </w:t>
      </w:r>
      <w:r w:rsidRPr="002E4F1E">
        <w:rPr>
          <w:rFonts w:ascii="Calibri" w:hAnsi="Calibri" w:cs="Calibri"/>
          <w:sz w:val="22"/>
          <w:szCs w:val="22"/>
        </w:rPr>
        <w:t xml:space="preserve">project is essential. Teacher educators cannot drive this change in isolation, nor should student-teachers be viewed as agents of reform on behalf of the system. There is a moral duty to protect developing teachers from being positioned as instruments of change before they have had time to build confidence, understanding, and professional identity. Instead, the focus must be on collective capacity building – creating shared spaces where educators at all stages can co-construct meaning, align theory and practice, and develop a common language to realise the </w:t>
      </w:r>
      <w:proofErr w:type="spellStart"/>
      <w:r w:rsidRPr="002E4F1E">
        <w:rPr>
          <w:rFonts w:ascii="Calibri" w:hAnsi="Calibri" w:cs="Calibri"/>
          <w:sz w:val="22"/>
          <w:szCs w:val="22"/>
        </w:rPr>
        <w:t>CfW’s</w:t>
      </w:r>
      <w:proofErr w:type="spellEnd"/>
      <w:r w:rsidRPr="002E4F1E">
        <w:rPr>
          <w:rFonts w:ascii="Calibri" w:hAnsi="Calibri" w:cs="Calibri"/>
          <w:sz w:val="22"/>
          <w:szCs w:val="22"/>
        </w:rPr>
        <w:t xml:space="preserve"> process-orientated vision.</w:t>
      </w:r>
    </w:p>
    <w:p w14:paraId="08AEEB68" w14:textId="77777777" w:rsidR="00B96D97" w:rsidRPr="002E4F1E" w:rsidRDefault="00B96D97" w:rsidP="00B96D97">
      <w:pPr>
        <w:jc w:val="both"/>
        <w:rPr>
          <w:rFonts w:ascii="Calibri" w:hAnsi="Calibri" w:cs="Calibri"/>
          <w:b/>
          <w:bCs/>
          <w:sz w:val="22"/>
          <w:szCs w:val="22"/>
        </w:rPr>
      </w:pPr>
      <w:r w:rsidRPr="002E4F1E">
        <w:rPr>
          <w:rFonts w:ascii="Calibri" w:hAnsi="Calibri" w:cs="Calibri"/>
          <w:b/>
          <w:bCs/>
          <w:sz w:val="22"/>
          <w:szCs w:val="22"/>
        </w:rPr>
        <w:t>Concluding Reflections</w:t>
      </w:r>
    </w:p>
    <w:p w14:paraId="3989AF87" w14:textId="77777777" w:rsidR="00B96D97" w:rsidRDefault="00B96D97" w:rsidP="00B96D97">
      <w:pPr>
        <w:jc w:val="both"/>
        <w:rPr>
          <w:rFonts w:ascii="Calibri" w:hAnsi="Calibri" w:cs="Calibri"/>
          <w:sz w:val="22"/>
          <w:szCs w:val="22"/>
        </w:rPr>
      </w:pPr>
      <w:r w:rsidRPr="002E4F1E">
        <w:rPr>
          <w:rFonts w:ascii="Calibri" w:hAnsi="Calibri" w:cs="Calibri"/>
          <w:sz w:val="22"/>
          <w:szCs w:val="22"/>
        </w:rPr>
        <w:t xml:space="preserve">The moral dilemma for Welsh teacher educators is clear: how can we </w:t>
      </w:r>
      <w:r>
        <w:rPr>
          <w:rFonts w:ascii="Calibri" w:hAnsi="Calibri" w:cs="Calibri"/>
          <w:sz w:val="22"/>
          <w:szCs w:val="22"/>
        </w:rPr>
        <w:t>educate</w:t>
      </w:r>
      <w:r w:rsidRPr="002E4F1E">
        <w:rPr>
          <w:rFonts w:ascii="Calibri" w:hAnsi="Calibri" w:cs="Calibri"/>
          <w:sz w:val="22"/>
          <w:szCs w:val="22"/>
        </w:rPr>
        <w:t xml:space="preserve"> tomorrow’s teachers for a process-orientated </w:t>
      </w:r>
      <w:proofErr w:type="spellStart"/>
      <w:r w:rsidRPr="002E4F1E">
        <w:rPr>
          <w:rFonts w:ascii="Calibri" w:hAnsi="Calibri" w:cs="Calibri"/>
          <w:sz w:val="22"/>
          <w:szCs w:val="22"/>
        </w:rPr>
        <w:t>CfW</w:t>
      </w:r>
      <w:proofErr w:type="spellEnd"/>
      <w:r w:rsidRPr="002E4F1E">
        <w:rPr>
          <w:rFonts w:ascii="Calibri" w:hAnsi="Calibri" w:cs="Calibri"/>
          <w:sz w:val="22"/>
          <w:szCs w:val="22"/>
        </w:rPr>
        <w:t xml:space="preserve"> when our systems – and mindsets – remain rooted in product-based traditions? The tension between </w:t>
      </w:r>
      <w:proofErr w:type="spellStart"/>
      <w:r w:rsidRPr="002E4F1E">
        <w:rPr>
          <w:rFonts w:ascii="Calibri" w:hAnsi="Calibri" w:cs="Calibri"/>
          <w:sz w:val="22"/>
          <w:szCs w:val="22"/>
        </w:rPr>
        <w:t>CfW’s</w:t>
      </w:r>
      <w:proofErr w:type="spellEnd"/>
      <w:r w:rsidRPr="002E4F1E">
        <w:rPr>
          <w:rFonts w:ascii="Calibri" w:hAnsi="Calibri" w:cs="Calibri"/>
          <w:sz w:val="22"/>
          <w:szCs w:val="22"/>
        </w:rPr>
        <w:t xml:space="preserve"> transformative aims and institutional demands for accountability and performance persists. Ultimately, If the </w:t>
      </w:r>
      <w:proofErr w:type="spellStart"/>
      <w:r w:rsidRPr="002E4F1E">
        <w:rPr>
          <w:rFonts w:ascii="Calibri" w:hAnsi="Calibri" w:cs="Calibri"/>
          <w:sz w:val="22"/>
          <w:szCs w:val="22"/>
        </w:rPr>
        <w:t>CfW’s</w:t>
      </w:r>
      <w:proofErr w:type="spellEnd"/>
      <w:r w:rsidRPr="002E4F1E">
        <w:rPr>
          <w:rFonts w:ascii="Calibri" w:hAnsi="Calibri" w:cs="Calibri"/>
          <w:sz w:val="22"/>
          <w:szCs w:val="22"/>
        </w:rPr>
        <w:t xml:space="preserve"> process orientation is to be authentically realised, we must ask whether we are giving student-teachers just enough education to perform</w:t>
      </w:r>
      <w:r>
        <w:rPr>
          <w:rFonts w:ascii="Calibri" w:hAnsi="Calibri" w:cs="Calibri"/>
          <w:sz w:val="22"/>
          <w:szCs w:val="22"/>
        </w:rPr>
        <w:t xml:space="preserve"> </w:t>
      </w:r>
      <w:r w:rsidRPr="002E4F1E">
        <w:rPr>
          <w:rFonts w:ascii="Calibri" w:hAnsi="Calibri" w:cs="Calibri"/>
          <w:sz w:val="22"/>
          <w:szCs w:val="22"/>
        </w:rPr>
        <w:t xml:space="preserve">or the deep, reflective understanding the </w:t>
      </w:r>
      <w:proofErr w:type="spellStart"/>
      <w:r w:rsidRPr="002E4F1E">
        <w:rPr>
          <w:rFonts w:ascii="Calibri" w:hAnsi="Calibri" w:cs="Calibri"/>
          <w:sz w:val="22"/>
          <w:szCs w:val="22"/>
        </w:rPr>
        <w:t>CfW</w:t>
      </w:r>
      <w:proofErr w:type="spellEnd"/>
      <w:r w:rsidRPr="002E4F1E">
        <w:rPr>
          <w:rFonts w:ascii="Calibri" w:hAnsi="Calibri" w:cs="Calibri"/>
          <w:sz w:val="22"/>
          <w:szCs w:val="22"/>
        </w:rPr>
        <w:t xml:space="preserve"> truly demands.</w:t>
      </w:r>
    </w:p>
    <w:p w14:paraId="721F911A" w14:textId="111CBFB3" w:rsidR="00B96D97" w:rsidRPr="00B96D97" w:rsidRDefault="00B96D97" w:rsidP="00B96D97">
      <w:pPr>
        <w:jc w:val="both"/>
        <w:rPr>
          <w:rFonts w:ascii="Calibri" w:hAnsi="Calibri" w:cs="Calibri"/>
          <w:b/>
          <w:bCs/>
          <w:sz w:val="22"/>
          <w:szCs w:val="22"/>
        </w:rPr>
      </w:pPr>
      <w:r w:rsidRPr="00B96D97">
        <w:rPr>
          <w:rFonts w:ascii="Calibri" w:hAnsi="Calibri" w:cs="Calibri"/>
          <w:b/>
          <w:bCs/>
          <w:sz w:val="22"/>
          <w:szCs w:val="22"/>
        </w:rPr>
        <w:t>Word count: 87</w:t>
      </w:r>
      <w:r w:rsidR="004B3A82">
        <w:rPr>
          <w:rFonts w:ascii="Calibri" w:hAnsi="Calibri" w:cs="Calibri"/>
          <w:b/>
          <w:bCs/>
          <w:sz w:val="22"/>
          <w:szCs w:val="22"/>
        </w:rPr>
        <w:t>7</w:t>
      </w:r>
    </w:p>
    <w:p w14:paraId="2F1B4B33" w14:textId="77777777" w:rsidR="00B96D97" w:rsidRDefault="00B96D97" w:rsidP="00DD5969"/>
    <w:p w14:paraId="790AB640" w14:textId="77777777" w:rsidR="00E10797" w:rsidRDefault="00E10797" w:rsidP="00DD5969"/>
    <w:p w14:paraId="2AE1CF9A" w14:textId="77777777" w:rsidR="000C541C" w:rsidRPr="00B103B9" w:rsidRDefault="000C541C" w:rsidP="00DD5969">
      <w:pPr>
        <w:rPr>
          <w:sz w:val="16"/>
          <w:szCs w:val="16"/>
        </w:rPr>
      </w:pPr>
    </w:p>
    <w:sectPr w:rsidR="000C541C" w:rsidRPr="00B103B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4BDD2" w14:textId="77777777" w:rsidR="00C14803" w:rsidRDefault="00C14803" w:rsidP="00B96D97">
      <w:pPr>
        <w:spacing w:after="0" w:line="240" w:lineRule="auto"/>
      </w:pPr>
      <w:r>
        <w:separator/>
      </w:r>
    </w:p>
  </w:endnote>
  <w:endnote w:type="continuationSeparator" w:id="0">
    <w:p w14:paraId="40173D35" w14:textId="77777777" w:rsidR="00C14803" w:rsidRDefault="00C14803" w:rsidP="00B96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40436" w14:textId="77777777" w:rsidR="00C14803" w:rsidRDefault="00C14803" w:rsidP="00B96D97">
      <w:pPr>
        <w:spacing w:after="0" w:line="240" w:lineRule="auto"/>
      </w:pPr>
      <w:r>
        <w:separator/>
      </w:r>
    </w:p>
  </w:footnote>
  <w:footnote w:type="continuationSeparator" w:id="0">
    <w:p w14:paraId="75D62315" w14:textId="77777777" w:rsidR="00C14803" w:rsidRDefault="00C14803" w:rsidP="00B96D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A24D6" w14:textId="292E0C58" w:rsidR="00B96D97" w:rsidRPr="00410ED5" w:rsidRDefault="00B96D97" w:rsidP="00B96D97">
    <w:pPr>
      <w:pStyle w:val="Header"/>
      <w:rPr>
        <w:rFonts w:ascii="Calibri" w:hAnsi="Calibri" w:cs="Calibri"/>
        <w:b/>
        <w:bCs/>
      </w:rPr>
    </w:pPr>
    <w:r w:rsidRPr="00410ED5">
      <w:rPr>
        <w:rFonts w:ascii="Calibri" w:hAnsi="Calibri" w:cs="Calibri"/>
        <w:b/>
        <w:bCs/>
      </w:rPr>
      <w:t>Rachel Bendall                                                                                               Doctorate in Education</w:t>
    </w:r>
  </w:p>
  <w:p w14:paraId="47E41E60" w14:textId="77777777" w:rsidR="00B96D97" w:rsidRPr="00410ED5" w:rsidRDefault="00B96D97" w:rsidP="00B96D97">
    <w:pPr>
      <w:pStyle w:val="Header"/>
      <w:rPr>
        <w:rFonts w:ascii="Calibri" w:hAnsi="Calibri" w:cs="Calibri"/>
        <w:b/>
        <w:bCs/>
      </w:rPr>
    </w:pPr>
    <w:r w:rsidRPr="00410ED5">
      <w:rPr>
        <w:rFonts w:ascii="Calibri" w:hAnsi="Calibri" w:cs="Calibri"/>
        <w:b/>
        <w:bCs/>
      </w:rPr>
      <w:t>1658035                                                                                                           Module: ECDE7015</w:t>
    </w:r>
  </w:p>
  <w:p w14:paraId="57AEC097" w14:textId="77777777" w:rsidR="00B96D97" w:rsidRDefault="00B96D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61BBC"/>
    <w:rsid w:val="00063ADC"/>
    <w:rsid w:val="000A2E17"/>
    <w:rsid w:val="000A470F"/>
    <w:rsid w:val="000C144A"/>
    <w:rsid w:val="000C541C"/>
    <w:rsid w:val="000C68CB"/>
    <w:rsid w:val="000D5B34"/>
    <w:rsid w:val="0010406A"/>
    <w:rsid w:val="001118FB"/>
    <w:rsid w:val="00115538"/>
    <w:rsid w:val="00135DD1"/>
    <w:rsid w:val="001435B7"/>
    <w:rsid w:val="001819DF"/>
    <w:rsid w:val="001B086C"/>
    <w:rsid w:val="001C6E70"/>
    <w:rsid w:val="00262DC1"/>
    <w:rsid w:val="002F243A"/>
    <w:rsid w:val="00301906"/>
    <w:rsid w:val="00302BB1"/>
    <w:rsid w:val="003341DF"/>
    <w:rsid w:val="00347EA1"/>
    <w:rsid w:val="00382546"/>
    <w:rsid w:val="003A709B"/>
    <w:rsid w:val="003D223A"/>
    <w:rsid w:val="00417AB6"/>
    <w:rsid w:val="00487D95"/>
    <w:rsid w:val="004B3A82"/>
    <w:rsid w:val="004D474C"/>
    <w:rsid w:val="00536CFB"/>
    <w:rsid w:val="00543F5E"/>
    <w:rsid w:val="00584970"/>
    <w:rsid w:val="005B783A"/>
    <w:rsid w:val="005F42D0"/>
    <w:rsid w:val="005F7C42"/>
    <w:rsid w:val="0062310A"/>
    <w:rsid w:val="00664B16"/>
    <w:rsid w:val="006B52C3"/>
    <w:rsid w:val="007203C3"/>
    <w:rsid w:val="007352C0"/>
    <w:rsid w:val="00743752"/>
    <w:rsid w:val="007D3AE1"/>
    <w:rsid w:val="007E01E0"/>
    <w:rsid w:val="00803155"/>
    <w:rsid w:val="00840BEE"/>
    <w:rsid w:val="00851EDB"/>
    <w:rsid w:val="008F1086"/>
    <w:rsid w:val="009060A0"/>
    <w:rsid w:val="0091355A"/>
    <w:rsid w:val="00917008"/>
    <w:rsid w:val="00935B8D"/>
    <w:rsid w:val="00981072"/>
    <w:rsid w:val="009B164A"/>
    <w:rsid w:val="00A23D6E"/>
    <w:rsid w:val="00AD7313"/>
    <w:rsid w:val="00AE2AA9"/>
    <w:rsid w:val="00AE3307"/>
    <w:rsid w:val="00B028A8"/>
    <w:rsid w:val="00B103B9"/>
    <w:rsid w:val="00B51B61"/>
    <w:rsid w:val="00B724BB"/>
    <w:rsid w:val="00B96D97"/>
    <w:rsid w:val="00BE2A35"/>
    <w:rsid w:val="00BE3554"/>
    <w:rsid w:val="00C129B8"/>
    <w:rsid w:val="00C14803"/>
    <w:rsid w:val="00C24461"/>
    <w:rsid w:val="00C2550A"/>
    <w:rsid w:val="00C4699D"/>
    <w:rsid w:val="00CC70DB"/>
    <w:rsid w:val="00CF32AC"/>
    <w:rsid w:val="00D24ADF"/>
    <w:rsid w:val="00D26517"/>
    <w:rsid w:val="00D450DB"/>
    <w:rsid w:val="00DC55F3"/>
    <w:rsid w:val="00DD5969"/>
    <w:rsid w:val="00E10797"/>
    <w:rsid w:val="00E243A8"/>
    <w:rsid w:val="00E466C6"/>
    <w:rsid w:val="00E6747C"/>
    <w:rsid w:val="00EA0B9A"/>
    <w:rsid w:val="00EA15D1"/>
    <w:rsid w:val="00EA6220"/>
    <w:rsid w:val="00EC1771"/>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character" w:styleId="Hyperlink">
    <w:name w:val="Hyperlink"/>
    <w:basedOn w:val="DefaultParagraphFont"/>
    <w:uiPriority w:val="99"/>
    <w:unhideWhenUsed/>
    <w:rsid w:val="00981072"/>
    <w:rPr>
      <w:color w:val="467886" w:themeColor="hyperlink"/>
      <w:u w:val="single"/>
    </w:rPr>
  </w:style>
  <w:style w:type="character" w:styleId="UnresolvedMention">
    <w:name w:val="Unresolved Mention"/>
    <w:basedOn w:val="DefaultParagraphFont"/>
    <w:uiPriority w:val="99"/>
    <w:semiHidden/>
    <w:unhideWhenUsed/>
    <w:rsid w:val="00981072"/>
    <w:rPr>
      <w:color w:val="605E5C"/>
      <w:shd w:val="clear" w:color="auto" w:fill="E1DFDD"/>
    </w:rPr>
  </w:style>
  <w:style w:type="paragraph" w:styleId="Header">
    <w:name w:val="header"/>
    <w:basedOn w:val="Normal"/>
    <w:link w:val="HeaderChar"/>
    <w:uiPriority w:val="99"/>
    <w:unhideWhenUsed/>
    <w:rsid w:val="00B96D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D97"/>
  </w:style>
  <w:style w:type="paragraph" w:styleId="Footer">
    <w:name w:val="footer"/>
    <w:basedOn w:val="Normal"/>
    <w:link w:val="FooterChar"/>
    <w:uiPriority w:val="99"/>
    <w:unhideWhenUsed/>
    <w:rsid w:val="00B96D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D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chatgp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986</Words>
  <Characters>6104</Characters>
  <Application>Microsoft Office Word</Application>
  <DocSecurity>0</DocSecurity>
  <Lines>83</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Ian Bendall</cp:lastModifiedBy>
  <cp:revision>3</cp:revision>
  <dcterms:created xsi:type="dcterms:W3CDTF">2026-01-02T15:00:00Z</dcterms:created>
  <dcterms:modified xsi:type="dcterms:W3CDTF">2026-01-02T15:04:00Z</dcterms:modified>
</cp:coreProperties>
</file>