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5238D"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62618075"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5189F719"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34D957D1"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110ACFAF"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66CE2F7C" w14:textId="77777777"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p>
    <w:p w14:paraId="0E0923DD" w14:textId="174D34F4" w:rsidR="00DC3C10"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32"/>
          <w:szCs w:val="32"/>
          <w:lang w:val="en-GB"/>
        </w:rPr>
      </w:pPr>
      <w:r w:rsidRPr="00673AEA">
        <w:rPr>
          <w:rFonts w:ascii="Times New Roman" w:eastAsia="Times New Roman" w:hAnsi="Times New Roman" w:cs="Times New Roman"/>
          <w:b/>
          <w:color w:val="13343B"/>
          <w:sz w:val="32"/>
          <w:szCs w:val="32"/>
          <w:lang w:val="en-GB"/>
        </w:rPr>
        <w:t>INTERNATIONAL FINANCIAL MANAGEMENT</w:t>
      </w:r>
    </w:p>
    <w:p w14:paraId="24B07B8C" w14:textId="0F904B43"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24"/>
          <w:szCs w:val="24"/>
          <w:lang w:val="en-GB"/>
        </w:rPr>
      </w:pPr>
      <w:r w:rsidRPr="00673AEA">
        <w:rPr>
          <w:rFonts w:ascii="Times New Roman" w:eastAsia="Times New Roman" w:hAnsi="Times New Roman" w:cs="Times New Roman"/>
          <w:b/>
          <w:color w:val="13343B"/>
          <w:sz w:val="24"/>
          <w:szCs w:val="24"/>
          <w:lang w:val="en-GB"/>
        </w:rPr>
        <w:t>Programme: BA Business Management</w:t>
      </w:r>
    </w:p>
    <w:p w14:paraId="2DA3F387" w14:textId="6B309A89"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24"/>
          <w:szCs w:val="24"/>
          <w:lang w:val="en-GB"/>
        </w:rPr>
      </w:pPr>
      <w:r w:rsidRPr="00673AEA">
        <w:rPr>
          <w:rFonts w:ascii="Times New Roman" w:eastAsia="Times New Roman" w:hAnsi="Times New Roman" w:cs="Times New Roman"/>
          <w:b/>
          <w:color w:val="13343B"/>
          <w:sz w:val="24"/>
          <w:szCs w:val="24"/>
          <w:lang w:val="en-GB"/>
        </w:rPr>
        <w:t>Module: International Financial Management</w:t>
      </w:r>
    </w:p>
    <w:p w14:paraId="42A57A92" w14:textId="279710FA" w:rsidR="00592ECB" w:rsidRPr="00673AEA" w:rsidRDefault="00592ECB" w:rsidP="00673AEA">
      <w:pPr>
        <w:spacing w:before="100" w:beforeAutospacing="1" w:after="100" w:afterAutospacing="1" w:line="360" w:lineRule="auto"/>
        <w:jc w:val="center"/>
        <w:rPr>
          <w:rFonts w:ascii="Times New Roman" w:eastAsia="Times New Roman" w:hAnsi="Times New Roman" w:cs="Times New Roman"/>
          <w:b/>
          <w:color w:val="13343B"/>
          <w:sz w:val="24"/>
          <w:szCs w:val="24"/>
          <w:lang w:val="en-GB"/>
        </w:rPr>
      </w:pPr>
      <w:r w:rsidRPr="00673AEA">
        <w:rPr>
          <w:rFonts w:ascii="Times New Roman" w:eastAsia="Times New Roman" w:hAnsi="Times New Roman" w:cs="Times New Roman"/>
          <w:b/>
          <w:color w:val="13343B"/>
          <w:sz w:val="24"/>
          <w:szCs w:val="24"/>
          <w:lang w:val="en-GB"/>
        </w:rPr>
        <w:t>Module code: LCBB6002</w:t>
      </w:r>
    </w:p>
    <w:p w14:paraId="69731D23" w14:textId="0372184E" w:rsidR="00592ECB" w:rsidRPr="00326F77" w:rsidRDefault="00FB4026" w:rsidP="00673AEA">
      <w:pPr>
        <w:spacing w:before="100" w:beforeAutospacing="1" w:after="100" w:afterAutospacing="1" w:line="360" w:lineRule="auto"/>
        <w:jc w:val="center"/>
        <w:rPr>
          <w:rFonts w:ascii="Times New Roman" w:eastAsia="Times New Roman" w:hAnsi="Times New Roman" w:cs="Times New Roman"/>
          <w:b/>
          <w:color w:val="13343B"/>
          <w:sz w:val="24"/>
          <w:szCs w:val="24"/>
          <w:lang w:val="nl-NL"/>
        </w:rPr>
      </w:pPr>
      <w:r w:rsidRPr="00326F77">
        <w:rPr>
          <w:rFonts w:ascii="Times New Roman" w:eastAsia="Times New Roman" w:hAnsi="Times New Roman" w:cs="Times New Roman"/>
          <w:b/>
          <w:color w:val="13343B"/>
          <w:sz w:val="24"/>
          <w:szCs w:val="24"/>
          <w:lang w:val="nl-NL"/>
        </w:rPr>
        <w:t xml:space="preserve">Student Name : George </w:t>
      </w:r>
      <w:proofErr w:type="spellStart"/>
      <w:r w:rsidRPr="00326F77">
        <w:rPr>
          <w:rFonts w:ascii="Times New Roman" w:eastAsia="Times New Roman" w:hAnsi="Times New Roman" w:cs="Times New Roman"/>
          <w:b/>
          <w:color w:val="13343B"/>
          <w:sz w:val="24"/>
          <w:szCs w:val="24"/>
          <w:lang w:val="nl-NL"/>
        </w:rPr>
        <w:t>Nitulescu</w:t>
      </w:r>
      <w:proofErr w:type="spellEnd"/>
      <w:r w:rsidR="00326F77" w:rsidRPr="00326F77">
        <w:rPr>
          <w:rFonts w:ascii="Times New Roman" w:eastAsia="Times New Roman" w:hAnsi="Times New Roman" w:cs="Times New Roman"/>
          <w:b/>
          <w:color w:val="13343B"/>
          <w:sz w:val="24"/>
          <w:szCs w:val="24"/>
          <w:lang w:val="nl-NL"/>
        </w:rPr>
        <w:t xml:space="preserve">                </w:t>
      </w:r>
      <w:r w:rsidR="00326F77">
        <w:rPr>
          <w:rFonts w:ascii="Times New Roman" w:eastAsia="Times New Roman" w:hAnsi="Times New Roman" w:cs="Times New Roman"/>
          <w:b/>
          <w:color w:val="13343B"/>
          <w:sz w:val="24"/>
          <w:szCs w:val="24"/>
          <w:lang w:val="nl-NL"/>
        </w:rPr>
        <w:t xml:space="preserve">                                                                                    </w:t>
      </w:r>
      <w:r w:rsidR="00592ECB" w:rsidRPr="00326F77">
        <w:rPr>
          <w:rFonts w:ascii="Times New Roman" w:eastAsia="Times New Roman" w:hAnsi="Times New Roman" w:cs="Times New Roman"/>
          <w:b/>
          <w:color w:val="13343B"/>
          <w:sz w:val="24"/>
          <w:szCs w:val="24"/>
          <w:lang w:val="nl-NL"/>
        </w:rPr>
        <w:t>Student ID:</w:t>
      </w:r>
      <w:r w:rsidRPr="00326F77">
        <w:rPr>
          <w:rFonts w:ascii="Times New Roman" w:eastAsia="Times New Roman" w:hAnsi="Times New Roman" w:cs="Times New Roman"/>
          <w:b/>
          <w:color w:val="13343B"/>
          <w:sz w:val="24"/>
          <w:szCs w:val="24"/>
          <w:lang w:val="nl-NL"/>
        </w:rPr>
        <w:t xml:space="preserve">2123688 </w:t>
      </w:r>
    </w:p>
    <w:p w14:paraId="77801E04" w14:textId="77777777" w:rsidR="00DC3C10" w:rsidRPr="00326F77" w:rsidRDefault="00DC3C10" w:rsidP="00673AEA">
      <w:pPr>
        <w:spacing w:before="100" w:beforeAutospacing="1" w:after="100" w:afterAutospacing="1" w:line="360" w:lineRule="auto"/>
        <w:jc w:val="both"/>
        <w:rPr>
          <w:rFonts w:ascii="Times New Roman" w:eastAsia="Times New Roman" w:hAnsi="Times New Roman" w:cs="Times New Roman"/>
          <w:b/>
          <w:color w:val="13343B"/>
          <w:sz w:val="24"/>
          <w:szCs w:val="24"/>
          <w:lang w:val="nl-NL"/>
        </w:rPr>
      </w:pPr>
    </w:p>
    <w:p w14:paraId="22B1858F" w14:textId="77777777" w:rsidR="00592ECB" w:rsidRPr="00326F77" w:rsidRDefault="00592ECB" w:rsidP="00673AEA">
      <w:pPr>
        <w:spacing w:before="100" w:beforeAutospacing="1" w:after="100" w:afterAutospacing="1" w:line="360" w:lineRule="auto"/>
        <w:rPr>
          <w:rFonts w:ascii="Times New Roman" w:eastAsia="Times New Roman" w:hAnsi="Times New Roman" w:cs="Times New Roman"/>
          <w:b/>
          <w:color w:val="13343B"/>
          <w:sz w:val="24"/>
          <w:szCs w:val="24"/>
          <w:lang w:val="nl-NL"/>
        </w:rPr>
      </w:pPr>
      <w:r w:rsidRPr="00326F77">
        <w:rPr>
          <w:rFonts w:ascii="Times New Roman" w:eastAsia="Times New Roman" w:hAnsi="Times New Roman" w:cs="Times New Roman"/>
          <w:b/>
          <w:color w:val="13343B"/>
          <w:sz w:val="24"/>
          <w:szCs w:val="24"/>
          <w:lang w:val="nl-NL"/>
        </w:rPr>
        <w:br w:type="page"/>
      </w:r>
    </w:p>
    <w:sdt>
      <w:sdtPr>
        <w:rPr>
          <w:rFonts w:ascii="Arial" w:eastAsia="Arial" w:hAnsi="Arial" w:cs="Arial"/>
          <w:b/>
          <w:bCs/>
          <w:color w:val="auto"/>
          <w:sz w:val="22"/>
          <w:szCs w:val="22"/>
          <w:lang w:val="en" w:eastAsia="en-IN"/>
        </w:rPr>
        <w:id w:val="2093435648"/>
        <w:docPartObj>
          <w:docPartGallery w:val="Table of Contents"/>
          <w:docPartUnique/>
        </w:docPartObj>
      </w:sdtPr>
      <w:sdtEndPr>
        <w:rPr>
          <w:rFonts w:ascii="Times New Roman" w:hAnsi="Times New Roman" w:cs="Times New Roman"/>
          <w:noProof/>
          <w:sz w:val="24"/>
          <w:szCs w:val="24"/>
        </w:rPr>
      </w:sdtEndPr>
      <w:sdtContent>
        <w:p w14:paraId="2C627AD4" w14:textId="13BB1A6A" w:rsidR="00673AEA" w:rsidRPr="00673AEA" w:rsidRDefault="00673AEA" w:rsidP="00673AEA">
          <w:pPr>
            <w:pStyle w:val="TOCHeading"/>
            <w:spacing w:before="100" w:beforeAutospacing="1" w:after="100" w:afterAutospacing="1" w:line="360" w:lineRule="auto"/>
            <w:jc w:val="both"/>
            <w:rPr>
              <w:rFonts w:ascii="Times New Roman" w:hAnsi="Times New Roman" w:cs="Times New Roman"/>
              <w:b/>
              <w:bCs/>
              <w:color w:val="auto"/>
              <w:sz w:val="24"/>
              <w:szCs w:val="24"/>
            </w:rPr>
          </w:pPr>
          <w:r w:rsidRPr="00673AEA">
            <w:rPr>
              <w:rFonts w:ascii="Times New Roman" w:hAnsi="Times New Roman" w:cs="Times New Roman"/>
              <w:b/>
              <w:bCs/>
              <w:color w:val="auto"/>
              <w:sz w:val="24"/>
              <w:szCs w:val="24"/>
            </w:rPr>
            <w:t>Table of Contents</w:t>
          </w:r>
        </w:p>
        <w:p w14:paraId="41FF0442" w14:textId="77777777" w:rsidR="00673AEA" w:rsidRPr="00673AEA" w:rsidRDefault="00673AEA" w:rsidP="00673AEA">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r w:rsidRPr="00673AEA">
            <w:rPr>
              <w:rFonts w:ascii="Times New Roman" w:hAnsi="Times New Roman" w:cs="Times New Roman"/>
              <w:sz w:val="24"/>
              <w:szCs w:val="24"/>
            </w:rPr>
            <w:fldChar w:fldCharType="begin"/>
          </w:r>
          <w:r w:rsidRPr="00673AEA">
            <w:rPr>
              <w:rFonts w:ascii="Times New Roman" w:hAnsi="Times New Roman" w:cs="Times New Roman"/>
              <w:sz w:val="24"/>
              <w:szCs w:val="24"/>
            </w:rPr>
            <w:instrText xml:space="preserve"> TOC \o "1-3" \h \z \u </w:instrText>
          </w:r>
          <w:r w:rsidRPr="00673AEA">
            <w:rPr>
              <w:rFonts w:ascii="Times New Roman" w:hAnsi="Times New Roman" w:cs="Times New Roman"/>
              <w:sz w:val="24"/>
              <w:szCs w:val="24"/>
            </w:rPr>
            <w:fldChar w:fldCharType="separate"/>
          </w:r>
          <w:hyperlink w:anchor="_Toc162387988" w:history="1">
            <w:r w:rsidRPr="00673AEA">
              <w:rPr>
                <w:rStyle w:val="Hyperlink"/>
                <w:rFonts w:ascii="Times New Roman" w:hAnsi="Times New Roman" w:cs="Times New Roman"/>
                <w:noProof/>
                <w:color w:val="auto"/>
                <w:sz w:val="24"/>
                <w:szCs w:val="24"/>
                <w:lang w:val="en-GB"/>
              </w:rPr>
              <w:t>Introduction</w:t>
            </w:r>
            <w:r w:rsidRPr="00673AEA">
              <w:rPr>
                <w:rFonts w:ascii="Times New Roman" w:hAnsi="Times New Roman" w:cs="Times New Roman"/>
                <w:noProof/>
                <w:webHidden/>
                <w:sz w:val="24"/>
                <w:szCs w:val="24"/>
              </w:rPr>
              <w:tab/>
            </w:r>
            <w:r w:rsidRPr="00673AEA">
              <w:rPr>
                <w:rFonts w:ascii="Times New Roman" w:hAnsi="Times New Roman" w:cs="Times New Roman"/>
                <w:noProof/>
                <w:webHidden/>
                <w:sz w:val="24"/>
                <w:szCs w:val="24"/>
              </w:rPr>
              <w:fldChar w:fldCharType="begin"/>
            </w:r>
            <w:r w:rsidRPr="00673AEA">
              <w:rPr>
                <w:rFonts w:ascii="Times New Roman" w:hAnsi="Times New Roman" w:cs="Times New Roman"/>
                <w:noProof/>
                <w:webHidden/>
                <w:sz w:val="24"/>
                <w:szCs w:val="24"/>
              </w:rPr>
              <w:instrText xml:space="preserve"> PAGEREF _Toc162387988 \h </w:instrText>
            </w:r>
            <w:r w:rsidRPr="00673AEA">
              <w:rPr>
                <w:rFonts w:ascii="Times New Roman" w:hAnsi="Times New Roman" w:cs="Times New Roman"/>
                <w:noProof/>
                <w:webHidden/>
                <w:sz w:val="24"/>
                <w:szCs w:val="24"/>
              </w:rPr>
            </w:r>
            <w:r w:rsidRPr="00673AEA">
              <w:rPr>
                <w:rFonts w:ascii="Times New Roman" w:hAnsi="Times New Roman" w:cs="Times New Roman"/>
                <w:noProof/>
                <w:webHidden/>
                <w:sz w:val="24"/>
                <w:szCs w:val="24"/>
              </w:rPr>
              <w:fldChar w:fldCharType="separate"/>
            </w:r>
            <w:r w:rsidRPr="00673AEA">
              <w:rPr>
                <w:rFonts w:ascii="Times New Roman" w:hAnsi="Times New Roman" w:cs="Times New Roman"/>
                <w:noProof/>
                <w:webHidden/>
                <w:sz w:val="24"/>
                <w:szCs w:val="24"/>
              </w:rPr>
              <w:t>3</w:t>
            </w:r>
            <w:r w:rsidRPr="00673AEA">
              <w:rPr>
                <w:rFonts w:ascii="Times New Roman" w:hAnsi="Times New Roman" w:cs="Times New Roman"/>
                <w:noProof/>
                <w:webHidden/>
                <w:sz w:val="24"/>
                <w:szCs w:val="24"/>
              </w:rPr>
              <w:fldChar w:fldCharType="end"/>
            </w:r>
          </w:hyperlink>
        </w:p>
        <w:p w14:paraId="6F5340F3" w14:textId="77777777" w:rsidR="00673AEA" w:rsidRPr="00673AEA" w:rsidRDefault="00000000" w:rsidP="00673AEA">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62387989" w:history="1">
            <w:r w:rsidR="00673AEA" w:rsidRPr="00673AEA">
              <w:rPr>
                <w:rStyle w:val="Hyperlink"/>
                <w:rFonts w:ascii="Times New Roman" w:hAnsi="Times New Roman" w:cs="Times New Roman"/>
                <w:noProof/>
                <w:color w:val="auto"/>
                <w:sz w:val="24"/>
                <w:szCs w:val="24"/>
                <w:lang w:val="en-GB"/>
              </w:rPr>
              <w:t>Main Body</w:t>
            </w:r>
            <w:r w:rsidR="00673AEA" w:rsidRPr="00673AEA">
              <w:rPr>
                <w:rFonts w:ascii="Times New Roman" w:hAnsi="Times New Roman" w:cs="Times New Roman"/>
                <w:noProof/>
                <w:webHidden/>
                <w:sz w:val="24"/>
                <w:szCs w:val="24"/>
              </w:rPr>
              <w:tab/>
            </w:r>
            <w:r w:rsidR="00673AEA" w:rsidRPr="00673AEA">
              <w:rPr>
                <w:rFonts w:ascii="Times New Roman" w:hAnsi="Times New Roman" w:cs="Times New Roman"/>
                <w:noProof/>
                <w:webHidden/>
                <w:sz w:val="24"/>
                <w:szCs w:val="24"/>
              </w:rPr>
              <w:fldChar w:fldCharType="begin"/>
            </w:r>
            <w:r w:rsidR="00673AEA" w:rsidRPr="00673AEA">
              <w:rPr>
                <w:rFonts w:ascii="Times New Roman" w:hAnsi="Times New Roman" w:cs="Times New Roman"/>
                <w:noProof/>
                <w:webHidden/>
                <w:sz w:val="24"/>
                <w:szCs w:val="24"/>
              </w:rPr>
              <w:instrText xml:space="preserve"> PAGEREF _Toc162387989 \h </w:instrText>
            </w:r>
            <w:r w:rsidR="00673AEA" w:rsidRPr="00673AEA">
              <w:rPr>
                <w:rFonts w:ascii="Times New Roman" w:hAnsi="Times New Roman" w:cs="Times New Roman"/>
                <w:noProof/>
                <w:webHidden/>
                <w:sz w:val="24"/>
                <w:szCs w:val="24"/>
              </w:rPr>
            </w:r>
            <w:r w:rsidR="00673AEA" w:rsidRPr="00673AEA">
              <w:rPr>
                <w:rFonts w:ascii="Times New Roman" w:hAnsi="Times New Roman" w:cs="Times New Roman"/>
                <w:noProof/>
                <w:webHidden/>
                <w:sz w:val="24"/>
                <w:szCs w:val="24"/>
              </w:rPr>
              <w:fldChar w:fldCharType="separate"/>
            </w:r>
            <w:r w:rsidR="00673AEA" w:rsidRPr="00673AEA">
              <w:rPr>
                <w:rFonts w:ascii="Times New Roman" w:hAnsi="Times New Roman" w:cs="Times New Roman"/>
                <w:noProof/>
                <w:webHidden/>
                <w:sz w:val="24"/>
                <w:szCs w:val="24"/>
              </w:rPr>
              <w:t>3</w:t>
            </w:r>
            <w:r w:rsidR="00673AEA" w:rsidRPr="00673AEA">
              <w:rPr>
                <w:rFonts w:ascii="Times New Roman" w:hAnsi="Times New Roman" w:cs="Times New Roman"/>
                <w:noProof/>
                <w:webHidden/>
                <w:sz w:val="24"/>
                <w:szCs w:val="24"/>
              </w:rPr>
              <w:fldChar w:fldCharType="end"/>
            </w:r>
          </w:hyperlink>
        </w:p>
        <w:p w14:paraId="67EF9679" w14:textId="77777777" w:rsidR="00673AEA" w:rsidRPr="00673AEA" w:rsidRDefault="00000000" w:rsidP="00673AEA">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62387990" w:history="1">
            <w:r w:rsidR="00673AEA" w:rsidRPr="00673AEA">
              <w:rPr>
                <w:rStyle w:val="Hyperlink"/>
                <w:rFonts w:ascii="Times New Roman" w:hAnsi="Times New Roman" w:cs="Times New Roman"/>
                <w:noProof/>
                <w:color w:val="auto"/>
                <w:sz w:val="24"/>
                <w:szCs w:val="24"/>
                <w:lang w:val="en-GB"/>
              </w:rPr>
              <w:t>Evaluation and Critical Analysis</w:t>
            </w:r>
            <w:r w:rsidR="00673AEA" w:rsidRPr="00673AEA">
              <w:rPr>
                <w:rFonts w:ascii="Times New Roman" w:hAnsi="Times New Roman" w:cs="Times New Roman"/>
                <w:noProof/>
                <w:webHidden/>
                <w:sz w:val="24"/>
                <w:szCs w:val="24"/>
              </w:rPr>
              <w:tab/>
            </w:r>
            <w:r w:rsidR="00673AEA" w:rsidRPr="00673AEA">
              <w:rPr>
                <w:rFonts w:ascii="Times New Roman" w:hAnsi="Times New Roman" w:cs="Times New Roman"/>
                <w:noProof/>
                <w:webHidden/>
                <w:sz w:val="24"/>
                <w:szCs w:val="24"/>
              </w:rPr>
              <w:fldChar w:fldCharType="begin"/>
            </w:r>
            <w:r w:rsidR="00673AEA" w:rsidRPr="00673AEA">
              <w:rPr>
                <w:rFonts w:ascii="Times New Roman" w:hAnsi="Times New Roman" w:cs="Times New Roman"/>
                <w:noProof/>
                <w:webHidden/>
                <w:sz w:val="24"/>
                <w:szCs w:val="24"/>
              </w:rPr>
              <w:instrText xml:space="preserve"> PAGEREF _Toc162387990 \h </w:instrText>
            </w:r>
            <w:r w:rsidR="00673AEA" w:rsidRPr="00673AEA">
              <w:rPr>
                <w:rFonts w:ascii="Times New Roman" w:hAnsi="Times New Roman" w:cs="Times New Roman"/>
                <w:noProof/>
                <w:webHidden/>
                <w:sz w:val="24"/>
                <w:szCs w:val="24"/>
              </w:rPr>
            </w:r>
            <w:r w:rsidR="00673AEA" w:rsidRPr="00673AEA">
              <w:rPr>
                <w:rFonts w:ascii="Times New Roman" w:hAnsi="Times New Roman" w:cs="Times New Roman"/>
                <w:noProof/>
                <w:webHidden/>
                <w:sz w:val="24"/>
                <w:szCs w:val="24"/>
              </w:rPr>
              <w:fldChar w:fldCharType="separate"/>
            </w:r>
            <w:r w:rsidR="00673AEA" w:rsidRPr="00673AEA">
              <w:rPr>
                <w:rFonts w:ascii="Times New Roman" w:hAnsi="Times New Roman" w:cs="Times New Roman"/>
                <w:noProof/>
                <w:webHidden/>
                <w:sz w:val="24"/>
                <w:szCs w:val="24"/>
              </w:rPr>
              <w:t>6</w:t>
            </w:r>
            <w:r w:rsidR="00673AEA" w:rsidRPr="00673AEA">
              <w:rPr>
                <w:rFonts w:ascii="Times New Roman" w:hAnsi="Times New Roman" w:cs="Times New Roman"/>
                <w:noProof/>
                <w:webHidden/>
                <w:sz w:val="24"/>
                <w:szCs w:val="24"/>
              </w:rPr>
              <w:fldChar w:fldCharType="end"/>
            </w:r>
          </w:hyperlink>
        </w:p>
        <w:p w14:paraId="6D6C84E2" w14:textId="77777777" w:rsidR="00673AEA" w:rsidRPr="00673AEA" w:rsidRDefault="00000000" w:rsidP="00673AEA">
          <w:pPr>
            <w:pStyle w:val="TOC1"/>
            <w:tabs>
              <w:tab w:val="right" w:leader="dot" w:pos="9350"/>
            </w:tabs>
            <w:spacing w:before="100" w:beforeAutospacing="1" w:afterAutospacing="1" w:line="360" w:lineRule="auto"/>
            <w:jc w:val="both"/>
            <w:rPr>
              <w:rFonts w:ascii="Times New Roman" w:hAnsi="Times New Roman" w:cs="Times New Roman"/>
              <w:noProof/>
              <w:sz w:val="24"/>
              <w:szCs w:val="24"/>
            </w:rPr>
          </w:pPr>
          <w:hyperlink w:anchor="_Toc162387991" w:history="1">
            <w:r w:rsidR="00673AEA" w:rsidRPr="00673AEA">
              <w:rPr>
                <w:rStyle w:val="Hyperlink"/>
                <w:rFonts w:ascii="Times New Roman" w:hAnsi="Times New Roman" w:cs="Times New Roman"/>
                <w:noProof/>
                <w:color w:val="auto"/>
                <w:sz w:val="24"/>
                <w:szCs w:val="24"/>
                <w:lang w:val="en-GB"/>
              </w:rPr>
              <w:t>Conclusion</w:t>
            </w:r>
            <w:r w:rsidR="00673AEA" w:rsidRPr="00673AEA">
              <w:rPr>
                <w:rFonts w:ascii="Times New Roman" w:hAnsi="Times New Roman" w:cs="Times New Roman"/>
                <w:noProof/>
                <w:webHidden/>
                <w:sz w:val="24"/>
                <w:szCs w:val="24"/>
              </w:rPr>
              <w:tab/>
            </w:r>
            <w:r w:rsidR="00673AEA" w:rsidRPr="00673AEA">
              <w:rPr>
                <w:rFonts w:ascii="Times New Roman" w:hAnsi="Times New Roman" w:cs="Times New Roman"/>
                <w:noProof/>
                <w:webHidden/>
                <w:sz w:val="24"/>
                <w:szCs w:val="24"/>
              </w:rPr>
              <w:fldChar w:fldCharType="begin"/>
            </w:r>
            <w:r w:rsidR="00673AEA" w:rsidRPr="00673AEA">
              <w:rPr>
                <w:rFonts w:ascii="Times New Roman" w:hAnsi="Times New Roman" w:cs="Times New Roman"/>
                <w:noProof/>
                <w:webHidden/>
                <w:sz w:val="24"/>
                <w:szCs w:val="24"/>
              </w:rPr>
              <w:instrText xml:space="preserve"> PAGEREF _Toc162387991 \h </w:instrText>
            </w:r>
            <w:r w:rsidR="00673AEA" w:rsidRPr="00673AEA">
              <w:rPr>
                <w:rFonts w:ascii="Times New Roman" w:hAnsi="Times New Roman" w:cs="Times New Roman"/>
                <w:noProof/>
                <w:webHidden/>
                <w:sz w:val="24"/>
                <w:szCs w:val="24"/>
              </w:rPr>
            </w:r>
            <w:r w:rsidR="00673AEA" w:rsidRPr="00673AEA">
              <w:rPr>
                <w:rFonts w:ascii="Times New Roman" w:hAnsi="Times New Roman" w:cs="Times New Roman"/>
                <w:noProof/>
                <w:webHidden/>
                <w:sz w:val="24"/>
                <w:szCs w:val="24"/>
              </w:rPr>
              <w:fldChar w:fldCharType="separate"/>
            </w:r>
            <w:r w:rsidR="00673AEA" w:rsidRPr="00673AEA">
              <w:rPr>
                <w:rFonts w:ascii="Times New Roman" w:hAnsi="Times New Roman" w:cs="Times New Roman"/>
                <w:noProof/>
                <w:webHidden/>
                <w:sz w:val="24"/>
                <w:szCs w:val="24"/>
              </w:rPr>
              <w:t>7</w:t>
            </w:r>
            <w:r w:rsidR="00673AEA" w:rsidRPr="00673AEA">
              <w:rPr>
                <w:rFonts w:ascii="Times New Roman" w:hAnsi="Times New Roman" w:cs="Times New Roman"/>
                <w:noProof/>
                <w:webHidden/>
                <w:sz w:val="24"/>
                <w:szCs w:val="24"/>
              </w:rPr>
              <w:fldChar w:fldCharType="end"/>
            </w:r>
          </w:hyperlink>
        </w:p>
        <w:p w14:paraId="590ED38E" w14:textId="4082002A" w:rsidR="00673AEA" w:rsidRPr="00673AEA" w:rsidRDefault="00000000" w:rsidP="00673AEA">
          <w:pPr>
            <w:pStyle w:val="TOC1"/>
            <w:tabs>
              <w:tab w:val="right" w:leader="dot" w:pos="9350"/>
            </w:tabs>
            <w:spacing w:before="100" w:beforeAutospacing="1" w:afterAutospacing="1" w:line="360" w:lineRule="auto"/>
            <w:jc w:val="both"/>
            <w:rPr>
              <w:rFonts w:ascii="Times New Roman" w:hAnsi="Times New Roman" w:cs="Times New Roman"/>
              <w:sz w:val="24"/>
              <w:szCs w:val="24"/>
            </w:rPr>
          </w:pPr>
          <w:hyperlink w:anchor="_Toc162387992" w:history="1">
            <w:r w:rsidR="00673AEA" w:rsidRPr="00673AEA">
              <w:rPr>
                <w:rStyle w:val="Hyperlink"/>
                <w:rFonts w:ascii="Times New Roman" w:hAnsi="Times New Roman" w:cs="Times New Roman"/>
                <w:noProof/>
                <w:color w:val="auto"/>
                <w:sz w:val="24"/>
                <w:szCs w:val="24"/>
                <w:lang w:val="en-GB"/>
              </w:rPr>
              <w:t>Reference List</w:t>
            </w:r>
            <w:r w:rsidR="00673AEA" w:rsidRPr="00673AEA">
              <w:rPr>
                <w:rFonts w:ascii="Times New Roman" w:hAnsi="Times New Roman" w:cs="Times New Roman"/>
                <w:noProof/>
                <w:webHidden/>
                <w:sz w:val="24"/>
                <w:szCs w:val="24"/>
              </w:rPr>
              <w:tab/>
            </w:r>
            <w:r w:rsidR="00673AEA" w:rsidRPr="00673AEA">
              <w:rPr>
                <w:rFonts w:ascii="Times New Roman" w:hAnsi="Times New Roman" w:cs="Times New Roman"/>
                <w:noProof/>
                <w:webHidden/>
                <w:sz w:val="24"/>
                <w:szCs w:val="24"/>
              </w:rPr>
              <w:fldChar w:fldCharType="begin"/>
            </w:r>
            <w:r w:rsidR="00673AEA" w:rsidRPr="00673AEA">
              <w:rPr>
                <w:rFonts w:ascii="Times New Roman" w:hAnsi="Times New Roman" w:cs="Times New Roman"/>
                <w:noProof/>
                <w:webHidden/>
                <w:sz w:val="24"/>
                <w:szCs w:val="24"/>
              </w:rPr>
              <w:instrText xml:space="preserve"> PAGEREF _Toc162387992 \h </w:instrText>
            </w:r>
            <w:r w:rsidR="00673AEA" w:rsidRPr="00673AEA">
              <w:rPr>
                <w:rFonts w:ascii="Times New Roman" w:hAnsi="Times New Roman" w:cs="Times New Roman"/>
                <w:noProof/>
                <w:webHidden/>
                <w:sz w:val="24"/>
                <w:szCs w:val="24"/>
              </w:rPr>
            </w:r>
            <w:r w:rsidR="00673AEA" w:rsidRPr="00673AEA">
              <w:rPr>
                <w:rFonts w:ascii="Times New Roman" w:hAnsi="Times New Roman" w:cs="Times New Roman"/>
                <w:noProof/>
                <w:webHidden/>
                <w:sz w:val="24"/>
                <w:szCs w:val="24"/>
              </w:rPr>
              <w:fldChar w:fldCharType="separate"/>
            </w:r>
            <w:r w:rsidR="00673AEA" w:rsidRPr="00673AEA">
              <w:rPr>
                <w:rFonts w:ascii="Times New Roman" w:hAnsi="Times New Roman" w:cs="Times New Roman"/>
                <w:noProof/>
                <w:webHidden/>
                <w:sz w:val="24"/>
                <w:szCs w:val="24"/>
              </w:rPr>
              <w:t>8</w:t>
            </w:r>
            <w:r w:rsidR="00673AEA" w:rsidRPr="00673AEA">
              <w:rPr>
                <w:rFonts w:ascii="Times New Roman" w:hAnsi="Times New Roman" w:cs="Times New Roman"/>
                <w:noProof/>
                <w:webHidden/>
                <w:sz w:val="24"/>
                <w:szCs w:val="24"/>
              </w:rPr>
              <w:fldChar w:fldCharType="end"/>
            </w:r>
          </w:hyperlink>
          <w:r w:rsidR="00673AEA" w:rsidRPr="00673AEA">
            <w:rPr>
              <w:rFonts w:ascii="Times New Roman" w:hAnsi="Times New Roman" w:cs="Times New Roman"/>
              <w:b/>
              <w:bCs/>
              <w:noProof/>
              <w:sz w:val="24"/>
              <w:szCs w:val="24"/>
            </w:rPr>
            <w:fldChar w:fldCharType="end"/>
          </w:r>
        </w:p>
      </w:sdtContent>
    </w:sdt>
    <w:p w14:paraId="130F0254" w14:textId="77777777" w:rsidR="00592ECB" w:rsidRPr="00673AEA" w:rsidRDefault="00592ECB" w:rsidP="00673AEA">
      <w:pPr>
        <w:spacing w:before="100" w:beforeAutospacing="1" w:after="100" w:afterAutospacing="1" w:line="360" w:lineRule="auto"/>
        <w:rPr>
          <w:rFonts w:ascii="Times New Roman" w:eastAsia="Times New Roman" w:hAnsi="Times New Roman" w:cs="Times New Roman"/>
          <w:b/>
          <w:color w:val="13343B"/>
          <w:sz w:val="24"/>
          <w:szCs w:val="24"/>
          <w:lang w:val="en-GB"/>
        </w:rPr>
      </w:pPr>
      <w:r w:rsidRPr="00673AEA">
        <w:rPr>
          <w:rFonts w:ascii="Times New Roman" w:eastAsia="Times New Roman" w:hAnsi="Times New Roman" w:cs="Times New Roman"/>
          <w:b/>
          <w:color w:val="13343B"/>
          <w:sz w:val="24"/>
          <w:szCs w:val="24"/>
          <w:lang w:val="en-GB"/>
        </w:rPr>
        <w:br w:type="page"/>
      </w:r>
    </w:p>
    <w:p w14:paraId="27C9622B" w14:textId="0F5D8DA1" w:rsidR="00A718F1" w:rsidRPr="00673AEA" w:rsidRDefault="00893D01" w:rsidP="00673AEA">
      <w:pPr>
        <w:pStyle w:val="Heading1"/>
        <w:rPr>
          <w:lang w:val="en-GB"/>
        </w:rPr>
      </w:pPr>
      <w:bookmarkStart w:id="0" w:name="_Toc162387988"/>
      <w:r w:rsidRPr="00673AEA">
        <w:rPr>
          <w:lang w:val="en-GB"/>
        </w:rPr>
        <w:t>Introduction</w:t>
      </w:r>
      <w:bookmarkEnd w:id="0"/>
      <w:r w:rsidRPr="00673AEA">
        <w:rPr>
          <w:lang w:val="en-GB"/>
        </w:rPr>
        <w:t xml:space="preserve"> </w:t>
      </w:r>
    </w:p>
    <w:p w14:paraId="73C7CF6E" w14:textId="39B1398E" w:rsidR="00A718F1" w:rsidRPr="00673AEA" w:rsidRDefault="00893D01" w:rsidP="00673AEA">
      <w:pPr>
        <w:pBdr>
          <w:top w:val="none" w:sz="0" w:space="0" w:color="E5E7EB"/>
          <w:left w:val="none" w:sz="0" w:space="0" w:color="E5E7EB"/>
          <w:bottom w:val="none" w:sz="0" w:space="0" w:color="E5E7EB"/>
          <w:right w:val="none" w:sz="0" w:space="0" w:color="E5E7EB"/>
          <w:between w:val="none" w:sz="0" w:space="0" w:color="E5E7EB"/>
        </w:pBd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A significant aspect of the subject of international financial management (IFM) is the handling of foreign exchange risk, and the management of foreign currency risk is one of the essential features of the operations of multinational corporations within global markets. The comprehensive study of different sets of literature along with proper dealings with exchange risk managers of these corporations point towards diverse approaches of these corporations for the resolution of foreign exchange risk. The strategies of multinational corporations to regulate foreign exchange risks are complex, diversified</w:t>
      </w:r>
      <w:r w:rsidR="00FE49D5" w:rsidRPr="00673AEA">
        <w:rPr>
          <w:rFonts w:ascii="Times New Roman" w:eastAsia="Times New Roman" w:hAnsi="Times New Roman" w:cs="Times New Roman"/>
          <w:sz w:val="24"/>
          <w:szCs w:val="24"/>
          <w:lang w:val="en-GB"/>
        </w:rPr>
        <w:t>,</w:t>
      </w:r>
      <w:r w:rsidRPr="00673AEA">
        <w:rPr>
          <w:rFonts w:ascii="Times New Roman" w:eastAsia="Times New Roman" w:hAnsi="Times New Roman" w:cs="Times New Roman"/>
          <w:sz w:val="24"/>
          <w:szCs w:val="24"/>
          <w:lang w:val="en-GB"/>
        </w:rPr>
        <w:t xml:space="preserve"> and tactical, targeting </w:t>
      </w:r>
      <w:r w:rsidR="00FE49D5" w:rsidRPr="00673AEA">
        <w:rPr>
          <w:rFonts w:ascii="Times New Roman" w:eastAsia="Times New Roman" w:hAnsi="Times New Roman" w:cs="Times New Roman"/>
          <w:sz w:val="24"/>
          <w:szCs w:val="24"/>
          <w:lang w:val="en-GB"/>
        </w:rPr>
        <w:t xml:space="preserve">an </w:t>
      </w:r>
      <w:r w:rsidRPr="00673AEA">
        <w:rPr>
          <w:rFonts w:ascii="Times New Roman" w:eastAsia="Times New Roman" w:hAnsi="Times New Roman" w:cs="Times New Roman"/>
          <w:sz w:val="24"/>
          <w:szCs w:val="24"/>
          <w:lang w:val="en-GB"/>
        </w:rPr>
        <w:t>increased degree of risk</w:t>
      </w:r>
      <w:r w:rsidR="00673AEA">
        <w:rPr>
          <w:rFonts w:ascii="Times New Roman" w:eastAsia="Times New Roman" w:hAnsi="Times New Roman" w:cs="Times New Roman"/>
          <w:sz w:val="24"/>
          <w:szCs w:val="24"/>
          <w:lang w:val="en-GB"/>
        </w:rPr>
        <w:t xml:space="preserve"> control and return rate optimis</w:t>
      </w:r>
      <w:r w:rsidRPr="00673AEA">
        <w:rPr>
          <w:rFonts w:ascii="Times New Roman" w:eastAsia="Times New Roman" w:hAnsi="Times New Roman" w:cs="Times New Roman"/>
          <w:sz w:val="24"/>
          <w:szCs w:val="24"/>
          <w:lang w:val="en-GB"/>
        </w:rPr>
        <w:t>ation. These practices involve scenic hedging, prospects of forward contracts, options, netting, leadership and delaying, and the employing of technology and automation.</w:t>
      </w:r>
      <w:r w:rsidR="00592ECB"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sz w:val="24"/>
          <w:szCs w:val="24"/>
          <w:lang w:val="en-GB"/>
        </w:rPr>
        <w:t xml:space="preserve">Natural hedging involves converting revenues and costs into a single currency </w:t>
      </w:r>
      <w:r w:rsidR="00FE49D5" w:rsidRPr="00673AEA">
        <w:rPr>
          <w:rFonts w:ascii="Times New Roman" w:eastAsia="Times New Roman" w:hAnsi="Times New Roman" w:cs="Times New Roman"/>
          <w:sz w:val="24"/>
          <w:szCs w:val="24"/>
          <w:lang w:val="en-GB"/>
        </w:rPr>
        <w:t>to</w:t>
      </w:r>
      <w:r w:rsidRPr="00673AEA">
        <w:rPr>
          <w:rFonts w:ascii="Times New Roman" w:eastAsia="Times New Roman" w:hAnsi="Times New Roman" w:cs="Times New Roman"/>
          <w:sz w:val="24"/>
          <w:szCs w:val="24"/>
          <w:lang w:val="en-GB"/>
        </w:rPr>
        <w:t xml:space="preserve"> manage foreign currency exposure and avoid risks via exchange rate fluctuations. Forward contracts and options deploy techniques for securing rates, exchanging</w:t>
      </w:r>
      <w:r w:rsidR="00FE49D5" w:rsidRPr="00673AEA">
        <w:rPr>
          <w:rFonts w:ascii="Times New Roman" w:eastAsia="Times New Roman" w:hAnsi="Times New Roman" w:cs="Times New Roman"/>
          <w:sz w:val="24"/>
          <w:szCs w:val="24"/>
          <w:lang w:val="en-GB"/>
        </w:rPr>
        <w:t>,</w:t>
      </w:r>
      <w:r w:rsidR="00673AEA">
        <w:rPr>
          <w:rFonts w:ascii="Times New Roman" w:eastAsia="Times New Roman" w:hAnsi="Times New Roman" w:cs="Times New Roman"/>
          <w:sz w:val="24"/>
          <w:szCs w:val="24"/>
          <w:lang w:val="en-GB"/>
        </w:rPr>
        <w:t xml:space="preserve"> and minimis</w:t>
      </w:r>
      <w:r w:rsidRPr="00673AEA">
        <w:rPr>
          <w:rFonts w:ascii="Times New Roman" w:eastAsia="Times New Roman" w:hAnsi="Times New Roman" w:cs="Times New Roman"/>
          <w:sz w:val="24"/>
          <w:szCs w:val="24"/>
          <w:lang w:val="en-GB"/>
        </w:rPr>
        <w:t>ing possibilities to make losses. Meshing remunerates organi</w:t>
      </w:r>
      <w:r w:rsidR="00673AEA">
        <w:rPr>
          <w:rFonts w:ascii="Times New Roman" w:eastAsia="Times New Roman" w:hAnsi="Times New Roman" w:cs="Times New Roman"/>
          <w:sz w:val="24"/>
          <w:szCs w:val="24"/>
          <w:lang w:val="en-GB"/>
        </w:rPr>
        <w:t>s</w:t>
      </w:r>
      <w:r w:rsidRPr="00673AEA">
        <w:rPr>
          <w:rFonts w:ascii="Times New Roman" w:eastAsia="Times New Roman" w:hAnsi="Times New Roman" w:cs="Times New Roman"/>
          <w:sz w:val="24"/>
          <w:szCs w:val="24"/>
          <w:lang w:val="en-GB"/>
        </w:rPr>
        <w:t>ations with the opportunity to combine payables and receivables in different currencies which will in turn deduct their vulnerability to foreign exchange risk. In the forward and spot foreign exchange strategies the trading is time-dependent and dependent on anticipated exchange rate changes for profit maxi</w:t>
      </w:r>
      <w:r w:rsidR="00673AEA">
        <w:rPr>
          <w:rFonts w:ascii="Times New Roman" w:eastAsia="Times New Roman" w:hAnsi="Times New Roman" w:cs="Times New Roman"/>
          <w:sz w:val="24"/>
          <w:szCs w:val="24"/>
          <w:lang w:val="en-GB"/>
        </w:rPr>
        <w:t>mis</w:t>
      </w:r>
      <w:r w:rsidRPr="00673AEA">
        <w:rPr>
          <w:rFonts w:ascii="Times New Roman" w:eastAsia="Times New Roman" w:hAnsi="Times New Roman" w:cs="Times New Roman"/>
          <w:sz w:val="24"/>
          <w:szCs w:val="24"/>
          <w:lang w:val="en-GB"/>
        </w:rPr>
        <w:t xml:space="preserve">ation. </w:t>
      </w:r>
    </w:p>
    <w:p w14:paraId="22F6CB4B" w14:textId="77777777" w:rsidR="00A718F1" w:rsidRPr="00673AEA" w:rsidRDefault="00893D01" w:rsidP="00673AEA">
      <w:pPr>
        <w:pStyle w:val="Heading1"/>
        <w:rPr>
          <w:lang w:val="en-GB"/>
        </w:rPr>
      </w:pPr>
      <w:bookmarkStart w:id="1" w:name="_Toc162387989"/>
      <w:r w:rsidRPr="00673AEA">
        <w:rPr>
          <w:lang w:val="en-GB"/>
        </w:rPr>
        <w:t>Main Body</w:t>
      </w:r>
      <w:bookmarkEnd w:id="1"/>
    </w:p>
    <w:p w14:paraId="70E1C78C" w14:textId="77777777" w:rsidR="00A718F1" w:rsidRPr="00673AEA" w:rsidRDefault="00893D01" w:rsidP="00673AEA">
      <w:pPr>
        <w:pBdr>
          <w:top w:val="none" w:sz="0" w:space="0" w:color="E5E7EB"/>
          <w:left w:val="none" w:sz="0" w:space="0" w:color="E5E7EB"/>
          <w:bottom w:val="none" w:sz="0" w:space="0" w:color="E5E7EB"/>
          <w:right w:val="none" w:sz="0" w:space="0" w:color="E5E7EB"/>
          <w:between w:val="none" w:sz="0" w:space="0" w:color="E5E7EB"/>
        </w:pBd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In accordance with the data from different sources related to foreign exchange risk management, multinational enterprises use some tactics to mitigate the risk that can be brought by foreign exchange risk.</w:t>
      </w:r>
    </w:p>
    <w:p w14:paraId="731C9B98" w14:textId="5BB6E5E8" w:rsidR="00A718F1" w:rsidRPr="00673AEA" w:rsidRDefault="00893D01" w:rsidP="00673AEA">
      <w:pPr>
        <w:pBdr>
          <w:top w:val="none" w:sz="0" w:space="0" w:color="E5E7EB"/>
          <w:left w:val="none" w:sz="0" w:space="0" w:color="E5E7EB"/>
          <w:bottom w:val="none" w:sz="0" w:space="0" w:color="E5E7EB"/>
          <w:right w:val="none" w:sz="0" w:space="0" w:color="E5E7EB"/>
          <w:between w:val="none" w:sz="0" w:space="0" w:color="E5E7EB"/>
        </w:pBd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Natural Hedging</w:t>
      </w:r>
      <w:r w:rsidR="00592ECB" w:rsidRPr="00673AEA">
        <w:rPr>
          <w:rFonts w:ascii="Times New Roman" w:eastAsia="Times New Roman" w:hAnsi="Times New Roman" w:cs="Times New Roman"/>
          <w:b/>
          <w:sz w:val="24"/>
          <w:szCs w:val="24"/>
          <w:lang w:val="en-GB"/>
        </w:rPr>
        <w:t xml:space="preserve">: </w:t>
      </w:r>
      <w:r w:rsidRPr="00673AEA">
        <w:rPr>
          <w:rFonts w:ascii="Times New Roman" w:hAnsi="Times New Roman" w:cs="Times New Roman"/>
          <w:sz w:val="24"/>
          <w:szCs w:val="24"/>
          <w:lang w:val="en-GB"/>
        </w:rPr>
        <w:t>Diversification into natural hedging is among the most frequently used tools by multinational companies for the protection of their foreign exchange risk exposure (</w:t>
      </w:r>
      <w:r w:rsidRPr="00673AEA">
        <w:rPr>
          <w:rFonts w:ascii="Times New Roman" w:hAnsi="Times New Roman" w:cs="Times New Roman"/>
          <w:color w:val="222222"/>
          <w:sz w:val="24"/>
          <w:szCs w:val="24"/>
          <w:lang w:val="en-GB"/>
        </w:rPr>
        <w:t xml:space="preserve">Devina and </w:t>
      </w:r>
      <w:proofErr w:type="spellStart"/>
      <w:r w:rsidRPr="00673AEA">
        <w:rPr>
          <w:rFonts w:ascii="Times New Roman" w:hAnsi="Times New Roman" w:cs="Times New Roman"/>
          <w:color w:val="222222"/>
          <w:sz w:val="24"/>
          <w:szCs w:val="24"/>
          <w:lang w:val="en-GB"/>
        </w:rPr>
        <w:t>Dalimunthe</w:t>
      </w:r>
      <w:proofErr w:type="spellEnd"/>
      <w:r w:rsidRPr="00673AEA">
        <w:rPr>
          <w:rFonts w:ascii="Times New Roman" w:hAnsi="Times New Roman" w:cs="Times New Roman"/>
          <w:color w:val="222222"/>
          <w:sz w:val="24"/>
          <w:szCs w:val="24"/>
          <w:lang w:val="en-GB"/>
        </w:rPr>
        <w:t>, 2021)</w:t>
      </w:r>
      <w:r w:rsidRPr="00673AEA">
        <w:rPr>
          <w:rFonts w:ascii="Times New Roman" w:hAnsi="Times New Roman" w:cs="Times New Roman"/>
          <w:sz w:val="24"/>
          <w:szCs w:val="24"/>
          <w:lang w:val="en-GB"/>
        </w:rPr>
        <w:t xml:space="preserve">. It is this method which entails equating the revenues and costs pursuing the same currency that serves as a natural contradiction against FX rate fluctuations. Companies can balance their cash in/out by introducing the currency used in both directions, it is how they will make exchange rate impact less to their financial performance. </w:t>
      </w:r>
      <w:r w:rsidRPr="00673AEA">
        <w:rPr>
          <w:rFonts w:ascii="Times New Roman" w:eastAsia="Times New Roman" w:hAnsi="Times New Roman" w:cs="Times New Roman"/>
          <w:sz w:val="24"/>
          <w:szCs w:val="24"/>
          <w:lang w:val="en-GB"/>
        </w:rPr>
        <w:t>A major benefit the producers have while using natural hedging is its simplicity and cheapness.</w:t>
      </w:r>
      <w:r w:rsidR="00592ECB"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sz w:val="24"/>
          <w:szCs w:val="24"/>
          <w:lang w:val="en-GB"/>
        </w:rPr>
        <w:t xml:space="preserve">As per </w:t>
      </w:r>
      <w:r w:rsidRPr="00673AEA">
        <w:rPr>
          <w:rFonts w:ascii="Times New Roman" w:hAnsi="Times New Roman" w:cs="Times New Roman"/>
          <w:color w:val="222222"/>
          <w:sz w:val="24"/>
          <w:szCs w:val="24"/>
          <w:highlight w:val="white"/>
          <w:lang w:val="en-GB"/>
        </w:rPr>
        <w:t xml:space="preserve">Alkhouri (2024), </w:t>
      </w:r>
      <w:r w:rsidRPr="00673AEA">
        <w:rPr>
          <w:rFonts w:ascii="Times New Roman" w:eastAsia="Times New Roman" w:hAnsi="Times New Roman" w:cs="Times New Roman"/>
          <w:sz w:val="24"/>
          <w:szCs w:val="24"/>
          <w:lang w:val="en-GB"/>
        </w:rPr>
        <w:t>differentiated from financial instruments such as forward contracts and options that attract fees and additional costs natural hedges do not. What is more, it enables them to avoid all the complications with financial transactions, and is therefore the most preferable way for companies to get rid of the risk through a simple method. Experimentally verified data also shows that the use of natural hedging is an effective solution in dealing with market risks. An examination concluded that companies, presumably, with large volumes of foreign sales and foreign assets choose to purchase more foreign currency and engage more in unnatural hedge strategies. In other words, there exists a positive correlation between the involvement of the firm in international business and the application of this method.</w:t>
      </w:r>
    </w:p>
    <w:p w14:paraId="7BF4F325" w14:textId="5A7C72F6"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Forward Contracts</w:t>
      </w:r>
      <w:r w:rsidR="00592ECB" w:rsidRPr="00673AEA">
        <w:rPr>
          <w:rFonts w:ascii="Times New Roman" w:eastAsia="Times New Roman" w:hAnsi="Times New Roman" w:cs="Times New Roman"/>
          <w:b/>
          <w:sz w:val="24"/>
          <w:szCs w:val="24"/>
          <w:lang w:val="en-GB"/>
        </w:rPr>
        <w:t xml:space="preserve">: </w:t>
      </w:r>
      <w:r w:rsidRPr="00673AEA">
        <w:rPr>
          <w:rFonts w:ascii="Times New Roman" w:eastAsia="Times New Roman" w:hAnsi="Times New Roman" w:cs="Times New Roman"/>
          <w:sz w:val="24"/>
          <w:szCs w:val="24"/>
          <w:lang w:val="en-GB"/>
        </w:rPr>
        <w:t xml:space="preserve">As per </w:t>
      </w:r>
      <w:r w:rsidRPr="00673AEA">
        <w:rPr>
          <w:rFonts w:ascii="Times New Roman" w:hAnsi="Times New Roman" w:cs="Times New Roman"/>
          <w:color w:val="222222"/>
          <w:sz w:val="24"/>
          <w:szCs w:val="24"/>
          <w:highlight w:val="white"/>
          <w:lang w:val="en-GB"/>
        </w:rPr>
        <w:t xml:space="preserve">Bergman and Rosén (2021), </w:t>
      </w:r>
      <w:r w:rsidR="00592ECB" w:rsidRPr="00673AEA">
        <w:rPr>
          <w:rFonts w:ascii="Times New Roman" w:eastAsia="Times New Roman" w:hAnsi="Times New Roman" w:cs="Times New Roman"/>
          <w:sz w:val="24"/>
          <w:szCs w:val="24"/>
          <w:lang w:val="en-GB"/>
        </w:rPr>
        <w:t>f</w:t>
      </w:r>
      <w:r w:rsidRPr="00673AEA">
        <w:rPr>
          <w:rFonts w:ascii="Times New Roman" w:eastAsia="Times New Roman" w:hAnsi="Times New Roman" w:cs="Times New Roman"/>
          <w:sz w:val="24"/>
          <w:szCs w:val="24"/>
          <w:lang w:val="en-GB"/>
        </w:rPr>
        <w:t xml:space="preserve">orward contracts are what transnational corporations that wish to cover against the currency risks widely resort to. Such contracts are intended to deal with a transaction where either side agrees to purchase or sell a certain quantity of currency with </w:t>
      </w:r>
      <w:r w:rsidR="00DC3C10" w:rsidRPr="00673AEA">
        <w:rPr>
          <w:rFonts w:ascii="Times New Roman" w:eastAsia="Times New Roman" w:hAnsi="Times New Roman" w:cs="Times New Roman"/>
          <w:sz w:val="24"/>
          <w:szCs w:val="24"/>
          <w:lang w:val="en-GB"/>
        </w:rPr>
        <w:t xml:space="preserve">an </w:t>
      </w:r>
      <w:r w:rsidRPr="00673AEA">
        <w:rPr>
          <w:rFonts w:ascii="Times New Roman" w:eastAsia="Times New Roman" w:hAnsi="Times New Roman" w:cs="Times New Roman"/>
          <w:sz w:val="24"/>
          <w:szCs w:val="24"/>
          <w:lang w:val="en-GB"/>
        </w:rPr>
        <w:t xml:space="preserve">agreeably lowered exchange rate at some </w:t>
      </w:r>
      <w:r w:rsidR="00DC3C10" w:rsidRPr="00673AEA">
        <w:rPr>
          <w:rFonts w:ascii="Times New Roman" w:eastAsia="Times New Roman" w:hAnsi="Times New Roman" w:cs="Times New Roman"/>
          <w:sz w:val="24"/>
          <w:szCs w:val="24"/>
          <w:lang w:val="en-GB"/>
        </w:rPr>
        <w:t>agreed-upon</w:t>
      </w:r>
      <w:r w:rsidRPr="00673AEA">
        <w:rPr>
          <w:rFonts w:ascii="Times New Roman" w:eastAsia="Times New Roman" w:hAnsi="Times New Roman" w:cs="Times New Roman"/>
          <w:sz w:val="24"/>
          <w:szCs w:val="24"/>
          <w:lang w:val="en-GB"/>
        </w:rPr>
        <w:t xml:space="preserve"> time in future. The de-fronting of </w:t>
      </w:r>
      <w:r w:rsidR="00DC3C10" w:rsidRPr="00673AEA">
        <w:rPr>
          <w:rFonts w:ascii="Times New Roman" w:eastAsia="Times New Roman" w:hAnsi="Times New Roman" w:cs="Times New Roman"/>
          <w:sz w:val="24"/>
          <w:szCs w:val="24"/>
          <w:lang w:val="en-GB"/>
        </w:rPr>
        <w:t xml:space="preserve">the </w:t>
      </w:r>
      <w:r w:rsidRPr="00673AEA">
        <w:rPr>
          <w:rFonts w:ascii="Times New Roman" w:eastAsia="Times New Roman" w:hAnsi="Times New Roman" w:cs="Times New Roman"/>
          <w:sz w:val="24"/>
          <w:szCs w:val="24"/>
          <w:lang w:val="en-GB"/>
        </w:rPr>
        <w:t>exchange rate, thus, shield companies from the impact of the undesirable movements of currency against their financial performance.</w:t>
      </w:r>
      <w:r w:rsidR="00FE49D5" w:rsidRPr="00673AEA">
        <w:rPr>
          <w:rFonts w:ascii="Times New Roman" w:eastAsia="Times New Roman" w:hAnsi="Times New Roman" w:cs="Times New Roman"/>
          <w:sz w:val="24"/>
          <w:szCs w:val="24"/>
          <w:lang w:val="en-GB"/>
        </w:rPr>
        <w:t xml:space="preserve"> </w:t>
      </w:r>
      <w:r w:rsidR="00673AEA">
        <w:rPr>
          <w:rFonts w:ascii="Times New Roman" w:eastAsia="Times New Roman" w:hAnsi="Times New Roman" w:cs="Times New Roman"/>
          <w:sz w:val="24"/>
          <w:szCs w:val="24"/>
          <w:lang w:val="en-GB"/>
        </w:rPr>
        <w:t>The utilis</w:t>
      </w:r>
      <w:r w:rsidRPr="00673AEA">
        <w:rPr>
          <w:rFonts w:ascii="Times New Roman" w:eastAsia="Times New Roman" w:hAnsi="Times New Roman" w:cs="Times New Roman"/>
          <w:sz w:val="24"/>
          <w:szCs w:val="24"/>
          <w:lang w:val="en-GB"/>
        </w:rPr>
        <w:t>ation of forward contracts in the international commerce activities for big companies is especially huge among multinational firms that have diversified financials or large-scale foreign operations</w:t>
      </w:r>
      <w:r w:rsidR="00DC3C10" w:rsidRPr="00673AEA">
        <w:rPr>
          <w:rFonts w:ascii="Times New Roman" w:eastAsia="Times New Roman" w:hAnsi="Times New Roman" w:cs="Times New Roman"/>
          <w:sz w:val="24"/>
          <w:szCs w:val="24"/>
          <w:lang w:val="en-GB"/>
        </w:rPr>
        <w:t xml:space="preserve"> (</w:t>
      </w:r>
      <w:r w:rsidR="00DC3C10" w:rsidRPr="00673AEA">
        <w:rPr>
          <w:rFonts w:ascii="Times New Roman" w:hAnsi="Times New Roman" w:cs="Times New Roman"/>
          <w:color w:val="222222"/>
          <w:sz w:val="24"/>
          <w:szCs w:val="24"/>
          <w:shd w:val="clear" w:color="auto" w:fill="FFFFFF"/>
          <w:lang w:val="en-GB"/>
        </w:rPr>
        <w:t xml:space="preserve">Pons </w:t>
      </w:r>
      <w:r w:rsidR="00DC3C10" w:rsidRPr="00673AEA">
        <w:rPr>
          <w:rFonts w:ascii="Times New Roman" w:hAnsi="Times New Roman" w:cs="Times New Roman"/>
          <w:i/>
          <w:iCs/>
          <w:color w:val="222222"/>
          <w:sz w:val="24"/>
          <w:szCs w:val="24"/>
          <w:shd w:val="clear" w:color="auto" w:fill="FFFFFF"/>
          <w:lang w:val="en-GB"/>
        </w:rPr>
        <w:t>et al.,</w:t>
      </w:r>
      <w:r w:rsidR="00DC3C10" w:rsidRPr="00673AEA">
        <w:rPr>
          <w:rFonts w:ascii="Times New Roman" w:hAnsi="Times New Roman" w:cs="Times New Roman"/>
          <w:color w:val="222222"/>
          <w:sz w:val="24"/>
          <w:szCs w:val="24"/>
          <w:shd w:val="clear" w:color="auto" w:fill="FFFFFF"/>
          <w:lang w:val="en-GB"/>
        </w:rPr>
        <w:t xml:space="preserve"> 2021)</w:t>
      </w:r>
      <w:r w:rsidRPr="00673AEA">
        <w:rPr>
          <w:rFonts w:ascii="Times New Roman" w:eastAsia="Times New Roman" w:hAnsi="Times New Roman" w:cs="Times New Roman"/>
          <w:sz w:val="24"/>
          <w:szCs w:val="24"/>
          <w:lang w:val="en-GB"/>
        </w:rPr>
        <w:t xml:space="preserve">. For instance, it was discovered that some enterprises selling abroad at a higher level stand more chance of using currency </w:t>
      </w:r>
      <w:r w:rsidR="00DC3C10" w:rsidRPr="00673AEA">
        <w:rPr>
          <w:rFonts w:ascii="Times New Roman" w:eastAsia="Times New Roman" w:hAnsi="Times New Roman" w:cs="Times New Roman"/>
          <w:sz w:val="24"/>
          <w:szCs w:val="24"/>
          <w:lang w:val="en-GB"/>
        </w:rPr>
        <w:t>baskets</w:t>
      </w:r>
      <w:r w:rsidRPr="00673AEA">
        <w:rPr>
          <w:rFonts w:ascii="Times New Roman" w:eastAsia="Times New Roman" w:hAnsi="Times New Roman" w:cs="Times New Roman"/>
          <w:sz w:val="24"/>
          <w:szCs w:val="24"/>
          <w:lang w:val="en-GB"/>
        </w:rPr>
        <w:t xml:space="preserve"> for risk coverage, especially through various methods like forward contracts and so on.</w:t>
      </w:r>
      <w:r w:rsidR="00FE49D5"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sz w:val="24"/>
          <w:szCs w:val="24"/>
          <w:lang w:val="en-GB"/>
        </w:rPr>
        <w:t xml:space="preserve">Forward contracts have </w:t>
      </w:r>
      <w:r w:rsidR="00DC3C10" w:rsidRPr="00673AEA">
        <w:rPr>
          <w:rFonts w:ascii="Times New Roman" w:eastAsia="Times New Roman" w:hAnsi="Times New Roman" w:cs="Times New Roman"/>
          <w:sz w:val="24"/>
          <w:szCs w:val="24"/>
          <w:lang w:val="en-GB"/>
        </w:rPr>
        <w:t>several</w:t>
      </w:r>
      <w:r w:rsidRPr="00673AEA">
        <w:rPr>
          <w:rFonts w:ascii="Times New Roman" w:eastAsia="Times New Roman" w:hAnsi="Times New Roman" w:cs="Times New Roman"/>
          <w:sz w:val="24"/>
          <w:szCs w:val="24"/>
          <w:lang w:val="en-GB"/>
        </w:rPr>
        <w:t xml:space="preserve"> benefits, ranging from fixing the exchange rates in case of future transactions to providing certainty in cash flow. Among the pros of multinational trade, there are cons as well. Opportunity loss</w:t>
      </w:r>
      <w:r w:rsidR="00DC3C10" w:rsidRPr="00673AEA">
        <w:rPr>
          <w:rFonts w:ascii="Times New Roman" w:eastAsia="Times New Roman" w:hAnsi="Times New Roman" w:cs="Times New Roman"/>
          <w:sz w:val="24"/>
          <w:szCs w:val="24"/>
          <w:lang w:val="en-GB"/>
        </w:rPr>
        <w:t xml:space="preserve">, while exchange rates move in </w:t>
      </w:r>
      <w:proofErr w:type="spellStart"/>
      <w:r w:rsidR="00DC3C10" w:rsidRPr="00673AEA">
        <w:rPr>
          <w:rFonts w:ascii="Times New Roman" w:eastAsia="Times New Roman" w:hAnsi="Times New Roman" w:cs="Times New Roman"/>
          <w:sz w:val="24"/>
          <w:szCs w:val="24"/>
          <w:lang w:val="en-GB"/>
        </w:rPr>
        <w:t>favor</w:t>
      </w:r>
      <w:proofErr w:type="spellEnd"/>
      <w:r w:rsidR="00DC3C10" w:rsidRPr="00673AEA">
        <w:rPr>
          <w:rFonts w:ascii="Times New Roman" w:eastAsia="Times New Roman" w:hAnsi="Times New Roman" w:cs="Times New Roman"/>
          <w:sz w:val="24"/>
          <w:szCs w:val="24"/>
          <w:lang w:val="en-GB"/>
        </w:rPr>
        <w:t xml:space="preserve"> of someone and risks of counterparty which don't </w:t>
      </w:r>
      <w:proofErr w:type="spellStart"/>
      <w:r w:rsidR="00DC3C10" w:rsidRPr="00673AEA">
        <w:rPr>
          <w:rFonts w:ascii="Times New Roman" w:eastAsia="Times New Roman" w:hAnsi="Times New Roman" w:cs="Times New Roman"/>
          <w:sz w:val="24"/>
          <w:szCs w:val="24"/>
          <w:lang w:val="en-GB"/>
        </w:rPr>
        <w:t>fulfill</w:t>
      </w:r>
      <w:proofErr w:type="spellEnd"/>
      <w:r w:rsidR="00DC3C10" w:rsidRPr="00673AEA">
        <w:rPr>
          <w:rFonts w:ascii="Times New Roman" w:eastAsia="Times New Roman" w:hAnsi="Times New Roman" w:cs="Times New Roman"/>
          <w:sz w:val="24"/>
          <w:szCs w:val="24"/>
          <w:lang w:val="en-GB"/>
        </w:rPr>
        <w:t xml:space="preserve"> their obligations,</w:t>
      </w:r>
      <w:r w:rsidRPr="00673AEA">
        <w:rPr>
          <w:rFonts w:ascii="Times New Roman" w:eastAsia="Times New Roman" w:hAnsi="Times New Roman" w:cs="Times New Roman"/>
          <w:sz w:val="24"/>
          <w:szCs w:val="24"/>
          <w:lang w:val="en-GB"/>
        </w:rPr>
        <w:t xml:space="preserve"> are everywhere.</w:t>
      </w:r>
    </w:p>
    <w:p w14:paraId="30F87E85" w14:textId="0994182C"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Options</w:t>
      </w:r>
      <w:r w:rsidR="00592ECB" w:rsidRPr="00673AEA">
        <w:rPr>
          <w:rFonts w:ascii="Times New Roman" w:eastAsia="Times New Roman" w:hAnsi="Times New Roman" w:cs="Times New Roman"/>
          <w:b/>
          <w:sz w:val="24"/>
          <w:szCs w:val="24"/>
          <w:lang w:val="en-GB"/>
        </w:rPr>
        <w:t xml:space="preserve">: </w:t>
      </w:r>
      <w:r w:rsidRPr="00673AEA">
        <w:rPr>
          <w:rFonts w:ascii="Times New Roman" w:eastAsia="Times New Roman" w:hAnsi="Times New Roman" w:cs="Times New Roman"/>
          <w:sz w:val="24"/>
          <w:szCs w:val="24"/>
          <w:lang w:val="en-GB"/>
        </w:rPr>
        <w:t>Numerous multinational companies resort to the financial instrument called options as a way to deal effectively with foreign exchange risks.</w:t>
      </w:r>
      <w:r w:rsidR="00FE49D5"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sz w:val="24"/>
          <w:szCs w:val="24"/>
          <w:lang w:val="en-GB"/>
        </w:rPr>
        <w:t xml:space="preserve">Options differ from the forward contracts because while options offer a right, but not a requirement to buy or sell a currency against an expense rate before a specified date, forward contracts demand doing just that. The use of options is the best option if </w:t>
      </w:r>
      <w:r w:rsidR="00FE49D5" w:rsidRPr="00673AEA">
        <w:rPr>
          <w:rFonts w:ascii="Times New Roman" w:eastAsia="Times New Roman" w:hAnsi="Times New Roman" w:cs="Times New Roman"/>
          <w:sz w:val="24"/>
          <w:szCs w:val="24"/>
          <w:lang w:val="en-GB"/>
        </w:rPr>
        <w:t>one is</w:t>
      </w:r>
      <w:r w:rsidRPr="00673AEA">
        <w:rPr>
          <w:rFonts w:ascii="Times New Roman" w:eastAsia="Times New Roman" w:hAnsi="Times New Roman" w:cs="Times New Roman"/>
          <w:sz w:val="24"/>
          <w:szCs w:val="24"/>
          <w:lang w:val="en-GB"/>
        </w:rPr>
        <w:t xml:space="preserve"> a company seeking to add flexibility in the management of foreign exchange risk. It can be used rather as a recommendation and walk away if not. Within this, one can see its actual value be reflected in volatile currency markets and when there is speculations about an upcoming change in exchange rates. The observations demonstrate that large multinational companies use more method of the foreign exchange risk management compared to small companies. An analysis that identifies the multi-national large-scale firms which have the most aggressive foreign operations as those who more often apply currency options to decrease their FX risk outlook.</w:t>
      </w:r>
    </w:p>
    <w:p w14:paraId="38A32EDA" w14:textId="3EF69871"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Netting</w:t>
      </w:r>
      <w:r w:rsidR="00592ECB" w:rsidRPr="00673AEA">
        <w:rPr>
          <w:rFonts w:ascii="Times New Roman" w:eastAsia="Times New Roman" w:hAnsi="Times New Roman" w:cs="Times New Roman"/>
          <w:b/>
          <w:sz w:val="24"/>
          <w:szCs w:val="24"/>
          <w:lang w:val="en-GB"/>
        </w:rPr>
        <w:t xml:space="preserve">: </w:t>
      </w:r>
      <w:r w:rsidR="00592ECB" w:rsidRPr="00673AEA">
        <w:rPr>
          <w:rFonts w:ascii="Times New Roman" w:eastAsia="Times New Roman" w:hAnsi="Times New Roman" w:cs="Times New Roman"/>
          <w:bCs/>
          <w:sz w:val="24"/>
          <w:szCs w:val="24"/>
          <w:lang w:val="en-GB"/>
        </w:rPr>
        <w:t>T</w:t>
      </w:r>
      <w:r w:rsidRPr="00673AEA">
        <w:rPr>
          <w:rFonts w:ascii="Times New Roman" w:eastAsia="Times New Roman" w:hAnsi="Times New Roman" w:cs="Times New Roman"/>
          <w:sz w:val="24"/>
          <w:szCs w:val="24"/>
          <w:lang w:val="en-GB"/>
        </w:rPr>
        <w:t>he netting technique for multinational companies is a strategy which is used to reduce the exposure to foreign exchange risks when settling liabilities in different currency amounts by matching payables vs receivables. Such Means considers collection of ITA within the Company, hence, transacting internal currency be less requiring an external settlement. The netting can play a critical role in the case of the corporations having subsidiaries in different countries and thus having business in different currencies (</w:t>
      </w:r>
      <w:proofErr w:type="spellStart"/>
      <w:r w:rsidRPr="00673AEA">
        <w:rPr>
          <w:rFonts w:ascii="Times New Roman" w:hAnsi="Times New Roman" w:cs="Times New Roman"/>
          <w:color w:val="222222"/>
          <w:sz w:val="24"/>
          <w:szCs w:val="24"/>
          <w:highlight w:val="white"/>
          <w:lang w:val="en-GB"/>
        </w:rPr>
        <w:t>Mourtas</w:t>
      </w:r>
      <w:proofErr w:type="spellEnd"/>
      <w:r w:rsidRPr="00673AEA">
        <w:rPr>
          <w:rFonts w:ascii="Times New Roman" w:hAnsi="Times New Roman" w:cs="Times New Roman"/>
          <w:i/>
          <w:color w:val="222222"/>
          <w:sz w:val="24"/>
          <w:szCs w:val="24"/>
          <w:highlight w:val="white"/>
          <w:lang w:val="en-GB"/>
        </w:rPr>
        <w:t xml:space="preserve"> et al</w:t>
      </w:r>
      <w:r w:rsidRPr="00673AEA">
        <w:rPr>
          <w:rFonts w:ascii="Times New Roman" w:hAnsi="Times New Roman" w:cs="Times New Roman"/>
          <w:color w:val="222222"/>
          <w:sz w:val="24"/>
          <w:szCs w:val="24"/>
          <w:highlight w:val="white"/>
          <w:lang w:val="en-GB"/>
        </w:rPr>
        <w:t xml:space="preserve">., 2023). </w:t>
      </w:r>
      <w:r w:rsidRPr="00673AEA">
        <w:rPr>
          <w:rFonts w:ascii="Times New Roman" w:eastAsia="Times New Roman" w:hAnsi="Times New Roman" w:cs="Times New Roman"/>
          <w:sz w:val="24"/>
          <w:szCs w:val="24"/>
          <w:lang w:val="en-GB"/>
        </w:rPr>
        <w:t xml:space="preserve">Through intercompany trading, </w:t>
      </w:r>
      <w:r w:rsidR="00673AEA">
        <w:rPr>
          <w:rFonts w:ascii="Times New Roman" w:eastAsia="Times New Roman" w:hAnsi="Times New Roman" w:cs="Times New Roman"/>
          <w:sz w:val="24"/>
          <w:szCs w:val="24"/>
          <w:lang w:val="en-GB"/>
        </w:rPr>
        <w:t>businesses are able to neutralis</w:t>
      </w:r>
      <w:r w:rsidRPr="00673AEA">
        <w:rPr>
          <w:rFonts w:ascii="Times New Roman" w:eastAsia="Times New Roman" w:hAnsi="Times New Roman" w:cs="Times New Roman"/>
          <w:sz w:val="24"/>
          <w:szCs w:val="24"/>
          <w:lang w:val="en-GB"/>
        </w:rPr>
        <w:t>e the effect of currency fluctuations acr</w:t>
      </w:r>
      <w:r w:rsidR="00673AEA">
        <w:rPr>
          <w:rFonts w:ascii="Times New Roman" w:eastAsia="Times New Roman" w:hAnsi="Times New Roman" w:cs="Times New Roman"/>
          <w:sz w:val="24"/>
          <w:szCs w:val="24"/>
          <w:lang w:val="en-GB"/>
        </w:rPr>
        <w:t>oss all divisions, hence minimis</w:t>
      </w:r>
      <w:r w:rsidRPr="00673AEA">
        <w:rPr>
          <w:rFonts w:ascii="Times New Roman" w:eastAsia="Times New Roman" w:hAnsi="Times New Roman" w:cs="Times New Roman"/>
          <w:sz w:val="24"/>
          <w:szCs w:val="24"/>
          <w:lang w:val="en-GB"/>
        </w:rPr>
        <w:t>ing Overall Cash Flows and Financial performance. Cases from practice provide evidence that netting is an effective tool to deal with foreign exchange risks. An article was published which reported that firms whose foreign sales and assets are higher the more frequently they use the netting strategy, thus they are positively correlated with each other.</w:t>
      </w:r>
    </w:p>
    <w:p w14:paraId="300104B2" w14:textId="41BE4911"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Leading and Lagging</w:t>
      </w:r>
      <w:r w:rsidR="00592ECB" w:rsidRPr="00673AEA">
        <w:rPr>
          <w:rFonts w:ascii="Times New Roman" w:eastAsia="Times New Roman" w:hAnsi="Times New Roman" w:cs="Times New Roman"/>
          <w:b/>
          <w:sz w:val="24"/>
          <w:szCs w:val="24"/>
          <w:lang w:val="en-GB"/>
        </w:rPr>
        <w:t xml:space="preserve">: </w:t>
      </w:r>
      <w:r w:rsidRPr="00673AEA">
        <w:rPr>
          <w:rFonts w:ascii="Times New Roman" w:eastAsia="Times New Roman" w:hAnsi="Times New Roman" w:cs="Times New Roman"/>
          <w:sz w:val="24"/>
          <w:szCs w:val="24"/>
          <w:lang w:val="en-GB"/>
        </w:rPr>
        <w:t xml:space="preserve">Upward and downward trends are tactics that make foreign currency movements, a decision </w:t>
      </w:r>
      <w:r w:rsidR="00DC3C10" w:rsidRPr="00673AEA">
        <w:rPr>
          <w:rFonts w:ascii="Times New Roman" w:eastAsia="Times New Roman" w:hAnsi="Times New Roman" w:cs="Times New Roman"/>
          <w:sz w:val="24"/>
          <w:szCs w:val="24"/>
          <w:lang w:val="en-GB"/>
        </w:rPr>
        <w:t>that</w:t>
      </w:r>
      <w:r w:rsidRPr="00673AEA">
        <w:rPr>
          <w:rFonts w:ascii="Times New Roman" w:eastAsia="Times New Roman" w:hAnsi="Times New Roman" w:cs="Times New Roman"/>
          <w:sz w:val="24"/>
          <w:szCs w:val="24"/>
          <w:lang w:val="en-GB"/>
        </w:rPr>
        <w:t xml:space="preserve"> is presumably an operation of expected foreign currency price movements. Fastening means payment arises in </w:t>
      </w:r>
      <w:r w:rsidR="00DC3C10" w:rsidRPr="00673AEA">
        <w:rPr>
          <w:rFonts w:ascii="Times New Roman" w:eastAsia="Times New Roman" w:hAnsi="Times New Roman" w:cs="Times New Roman"/>
          <w:sz w:val="24"/>
          <w:szCs w:val="24"/>
          <w:lang w:val="en-GB"/>
        </w:rPr>
        <w:t>high-valued</w:t>
      </w:r>
      <w:r w:rsidRPr="00673AEA">
        <w:rPr>
          <w:rFonts w:ascii="Times New Roman" w:eastAsia="Times New Roman" w:hAnsi="Times New Roman" w:cs="Times New Roman"/>
          <w:sz w:val="24"/>
          <w:szCs w:val="24"/>
          <w:lang w:val="en-GB"/>
        </w:rPr>
        <w:t xml:space="preserve"> currency that is expected to go up; in the same manner, slowing means the receipt comes in </w:t>
      </w:r>
      <w:r w:rsidR="00DC3C10" w:rsidRPr="00673AEA">
        <w:rPr>
          <w:rFonts w:ascii="Times New Roman" w:eastAsia="Times New Roman" w:hAnsi="Times New Roman" w:cs="Times New Roman"/>
          <w:sz w:val="24"/>
          <w:szCs w:val="24"/>
          <w:lang w:val="en-GB"/>
        </w:rPr>
        <w:t xml:space="preserve">a </w:t>
      </w:r>
      <w:r w:rsidRPr="00673AEA">
        <w:rPr>
          <w:rFonts w:ascii="Times New Roman" w:eastAsia="Times New Roman" w:hAnsi="Times New Roman" w:cs="Times New Roman"/>
          <w:sz w:val="24"/>
          <w:szCs w:val="24"/>
          <w:lang w:val="en-GB"/>
        </w:rPr>
        <w:t>currency that is expected to depreciate. These strategies are most efficient for multinational corporations and their foreign operations and for corporations that are widely spread and have a lot of volatile currencies under their influence</w:t>
      </w:r>
      <w:r w:rsidR="00DC3C10" w:rsidRPr="00673AEA">
        <w:rPr>
          <w:rFonts w:ascii="Times New Roman" w:eastAsia="Times New Roman" w:hAnsi="Times New Roman" w:cs="Times New Roman"/>
          <w:sz w:val="24"/>
          <w:szCs w:val="24"/>
          <w:lang w:val="en-GB"/>
        </w:rPr>
        <w:t xml:space="preserve"> (</w:t>
      </w:r>
      <w:r w:rsidR="00DC3C10" w:rsidRPr="00673AEA">
        <w:rPr>
          <w:rFonts w:ascii="Times New Roman" w:hAnsi="Times New Roman" w:cs="Times New Roman"/>
          <w:color w:val="222222"/>
          <w:sz w:val="24"/>
          <w:szCs w:val="24"/>
          <w:shd w:val="clear" w:color="auto" w:fill="FFFFFF"/>
          <w:lang w:val="en-GB"/>
        </w:rPr>
        <w:t>Wilkins, 2023)</w:t>
      </w:r>
      <w:r w:rsidRPr="00673AEA">
        <w:rPr>
          <w:rFonts w:ascii="Times New Roman" w:eastAsia="Times New Roman" w:hAnsi="Times New Roman" w:cs="Times New Roman"/>
          <w:sz w:val="24"/>
          <w:szCs w:val="24"/>
          <w:lang w:val="en-GB"/>
        </w:rPr>
        <w:t xml:space="preserve">. Through the timely transaction, companies can therefore possibly better mitigate the effect of a deteriorating exchange rate and moreover capture the </w:t>
      </w:r>
      <w:proofErr w:type="spellStart"/>
      <w:r w:rsidRPr="00673AEA">
        <w:rPr>
          <w:rFonts w:ascii="Times New Roman" w:eastAsia="Times New Roman" w:hAnsi="Times New Roman" w:cs="Times New Roman"/>
          <w:sz w:val="24"/>
          <w:szCs w:val="24"/>
          <w:lang w:val="en-GB"/>
        </w:rPr>
        <w:t>favorable</w:t>
      </w:r>
      <w:proofErr w:type="spellEnd"/>
      <w:r w:rsidRPr="00673AEA">
        <w:rPr>
          <w:rFonts w:ascii="Times New Roman" w:eastAsia="Times New Roman" w:hAnsi="Times New Roman" w:cs="Times New Roman"/>
          <w:sz w:val="24"/>
          <w:szCs w:val="24"/>
          <w:lang w:val="en-GB"/>
        </w:rPr>
        <w:t xml:space="preserve"> rates of exchange. In this regard, however, it is essential to mention that both leading and lagging strategies involve precise prediction of exchange rate fluctuations, a feat that is quite hard to achieve due to instability of the currency market. </w:t>
      </w:r>
    </w:p>
    <w:p w14:paraId="42DEB6E3" w14:textId="5993F218"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b/>
          <w:sz w:val="24"/>
          <w:szCs w:val="24"/>
          <w:lang w:val="en-GB"/>
        </w:rPr>
        <w:t>Technology and Automation</w:t>
      </w:r>
      <w:r w:rsidR="00592ECB" w:rsidRPr="00673AEA">
        <w:rPr>
          <w:rFonts w:ascii="Times New Roman" w:eastAsia="Times New Roman" w:hAnsi="Times New Roman" w:cs="Times New Roman"/>
          <w:b/>
          <w:sz w:val="24"/>
          <w:szCs w:val="24"/>
          <w:lang w:val="en-GB"/>
        </w:rPr>
        <w:t xml:space="preserve">: </w:t>
      </w:r>
      <w:r w:rsidRPr="00673AEA">
        <w:rPr>
          <w:rFonts w:ascii="Times New Roman" w:eastAsia="Times New Roman" w:hAnsi="Times New Roman" w:cs="Times New Roman"/>
          <w:sz w:val="24"/>
          <w:szCs w:val="24"/>
          <w:lang w:val="en-GB"/>
        </w:rPr>
        <w:t xml:space="preserve">In this digital age, international corporations have tended to achieve efficiency in their overseas transactions by implementing technology and automation to their foreign exchange risk management. </w:t>
      </w:r>
      <w:r w:rsidR="00592ECB" w:rsidRPr="00673AEA">
        <w:rPr>
          <w:rFonts w:ascii="Times New Roman" w:eastAsia="Times New Roman" w:hAnsi="Times New Roman" w:cs="Times New Roman"/>
          <w:sz w:val="24"/>
          <w:szCs w:val="24"/>
          <w:lang w:val="en-GB"/>
        </w:rPr>
        <w:t>People</w:t>
      </w:r>
      <w:r w:rsidRPr="00673AEA">
        <w:rPr>
          <w:rFonts w:ascii="Times New Roman" w:eastAsia="Times New Roman" w:hAnsi="Times New Roman" w:cs="Times New Roman"/>
          <w:sz w:val="24"/>
          <w:szCs w:val="24"/>
          <w:lang w:val="en-GB"/>
        </w:rPr>
        <w:t xml:space="preserve"> can use advanced software solutions with automated systems that ramp up the level of currency exposure monitoring, execution of hedging strategies, and cash </w:t>
      </w:r>
      <w:r w:rsidR="00DC3C10" w:rsidRPr="00673AEA">
        <w:rPr>
          <w:rFonts w:ascii="Times New Roman" w:eastAsia="Times New Roman" w:hAnsi="Times New Roman" w:cs="Times New Roman"/>
          <w:sz w:val="24"/>
          <w:szCs w:val="24"/>
          <w:lang w:val="en-GB"/>
        </w:rPr>
        <w:t>flow</w:t>
      </w:r>
      <w:r w:rsidRPr="00673AEA">
        <w:rPr>
          <w:rFonts w:ascii="Times New Roman" w:eastAsia="Times New Roman" w:hAnsi="Times New Roman" w:cs="Times New Roman"/>
          <w:sz w:val="24"/>
          <w:szCs w:val="24"/>
          <w:lang w:val="en-GB"/>
        </w:rPr>
        <w:t xml:space="preserve"> management, among others. Emerging technology and automation have proven to assist in achieving better reporting by improving the accuracy, thereby eliminating manual errors and offering the </w:t>
      </w:r>
      <w:r w:rsidR="00DC3C10" w:rsidRPr="00673AEA">
        <w:rPr>
          <w:rFonts w:ascii="Times New Roman" w:eastAsia="Times New Roman" w:hAnsi="Times New Roman" w:cs="Times New Roman"/>
          <w:sz w:val="24"/>
          <w:szCs w:val="24"/>
          <w:lang w:val="en-GB"/>
        </w:rPr>
        <w:t>real-time</w:t>
      </w:r>
      <w:r w:rsidRPr="00673AEA">
        <w:rPr>
          <w:rFonts w:ascii="Times New Roman" w:eastAsia="Times New Roman" w:hAnsi="Times New Roman" w:cs="Times New Roman"/>
          <w:sz w:val="24"/>
          <w:szCs w:val="24"/>
          <w:lang w:val="en-GB"/>
        </w:rPr>
        <w:t xml:space="preserve"> monitoring of currency exposures. </w:t>
      </w:r>
      <w:r w:rsidR="00DC3C10" w:rsidRPr="00673AEA">
        <w:rPr>
          <w:rFonts w:ascii="Times New Roman" w:eastAsia="Times New Roman" w:hAnsi="Times New Roman" w:cs="Times New Roman"/>
          <w:sz w:val="24"/>
          <w:szCs w:val="24"/>
          <w:lang w:val="en-GB"/>
        </w:rPr>
        <w:t xml:space="preserve">As per </w:t>
      </w:r>
      <w:r w:rsidR="00DC3C10" w:rsidRPr="00673AEA">
        <w:rPr>
          <w:rFonts w:ascii="Times New Roman" w:hAnsi="Times New Roman" w:cs="Times New Roman"/>
          <w:color w:val="222222"/>
          <w:sz w:val="24"/>
          <w:szCs w:val="24"/>
          <w:shd w:val="clear" w:color="auto" w:fill="FFFFFF"/>
          <w:lang w:val="en-GB"/>
        </w:rPr>
        <w:t xml:space="preserve">McDowell (2021), </w:t>
      </w:r>
      <w:r w:rsidR="00DC3C10" w:rsidRPr="00673AEA">
        <w:rPr>
          <w:rFonts w:ascii="Times New Roman" w:eastAsia="Times New Roman" w:hAnsi="Times New Roman" w:cs="Times New Roman"/>
          <w:sz w:val="24"/>
          <w:szCs w:val="24"/>
          <w:lang w:val="en-GB"/>
        </w:rPr>
        <w:t>o</w:t>
      </w:r>
      <w:r w:rsidRPr="00673AEA">
        <w:rPr>
          <w:rFonts w:ascii="Times New Roman" w:eastAsia="Times New Roman" w:hAnsi="Times New Roman" w:cs="Times New Roman"/>
          <w:sz w:val="24"/>
          <w:szCs w:val="24"/>
          <w:lang w:val="en-GB"/>
        </w:rPr>
        <w:t xml:space="preserve">n top of that, robotic systems are capable of carrying out the implementation of a whole array of methods, including forward contracts or options, in a timely and precise fashion. The experience shows that </w:t>
      </w:r>
      <w:r w:rsidR="00DC3C10" w:rsidRPr="00673AEA">
        <w:rPr>
          <w:rFonts w:ascii="Times New Roman" w:eastAsia="Times New Roman" w:hAnsi="Times New Roman" w:cs="Times New Roman"/>
          <w:sz w:val="24"/>
          <w:szCs w:val="24"/>
          <w:lang w:val="en-GB"/>
        </w:rPr>
        <w:t xml:space="preserve">the </w:t>
      </w:r>
      <w:r w:rsidRPr="00673AEA">
        <w:rPr>
          <w:rFonts w:ascii="Times New Roman" w:eastAsia="Times New Roman" w:hAnsi="Times New Roman" w:cs="Times New Roman"/>
          <w:sz w:val="24"/>
          <w:szCs w:val="24"/>
          <w:lang w:val="en-GB"/>
        </w:rPr>
        <w:t>incorporation of technology and automation in foreign exchang</w:t>
      </w:r>
      <w:r w:rsidR="00673AEA">
        <w:rPr>
          <w:rFonts w:ascii="Times New Roman" w:eastAsia="Times New Roman" w:hAnsi="Times New Roman" w:cs="Times New Roman"/>
          <w:sz w:val="24"/>
          <w:szCs w:val="24"/>
          <w:lang w:val="en-GB"/>
        </w:rPr>
        <w:t>e risk management is a recognise</w:t>
      </w:r>
      <w:r w:rsidRPr="00673AEA">
        <w:rPr>
          <w:rFonts w:ascii="Times New Roman" w:eastAsia="Times New Roman" w:hAnsi="Times New Roman" w:cs="Times New Roman"/>
          <w:sz w:val="24"/>
          <w:szCs w:val="24"/>
          <w:lang w:val="en-GB"/>
        </w:rPr>
        <w:t>d tool for financial advancement and risk reduction. Research proved that enterprises had increased savings in technologies and automation for currency risk management, as they have higher levels of foreign sales and foreign assets, meaning that foreign engagement positively correlates with the use of such tools by the enterprises.</w:t>
      </w:r>
    </w:p>
    <w:p w14:paraId="08BD2D12" w14:textId="77777777" w:rsidR="00A718F1" w:rsidRPr="00673AEA" w:rsidRDefault="00893D01" w:rsidP="00673AEA">
      <w:pPr>
        <w:pStyle w:val="Heading1"/>
        <w:rPr>
          <w:lang w:val="en-GB"/>
        </w:rPr>
      </w:pPr>
      <w:bookmarkStart w:id="2" w:name="_Toc162387990"/>
      <w:r w:rsidRPr="00673AEA">
        <w:rPr>
          <w:lang w:val="en-GB"/>
        </w:rPr>
        <w:t>Evaluation and Critical Analysis</w:t>
      </w:r>
      <w:bookmarkEnd w:id="2"/>
    </w:p>
    <w:p w14:paraId="5C76C89B" w14:textId="586C26E0"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 xml:space="preserve">As </w:t>
      </w:r>
      <w:r w:rsidR="00DC3C10" w:rsidRPr="00673AEA">
        <w:rPr>
          <w:rFonts w:ascii="Times New Roman" w:eastAsia="Times New Roman" w:hAnsi="Times New Roman" w:cs="Times New Roman"/>
          <w:sz w:val="24"/>
          <w:szCs w:val="24"/>
          <w:lang w:val="en-GB"/>
        </w:rPr>
        <w:t xml:space="preserve">per </w:t>
      </w:r>
      <w:proofErr w:type="spellStart"/>
      <w:r w:rsidR="00DC3C10" w:rsidRPr="00673AEA">
        <w:rPr>
          <w:rFonts w:ascii="Times New Roman" w:hAnsi="Times New Roman" w:cs="Times New Roman"/>
          <w:color w:val="222222"/>
          <w:sz w:val="24"/>
          <w:szCs w:val="24"/>
          <w:shd w:val="clear" w:color="auto" w:fill="FFFFFF"/>
          <w:lang w:val="en-GB"/>
        </w:rPr>
        <w:t>Alabdullah</w:t>
      </w:r>
      <w:proofErr w:type="spellEnd"/>
      <w:r w:rsidR="00DC3C10" w:rsidRPr="00673AEA">
        <w:rPr>
          <w:rFonts w:ascii="Times New Roman" w:hAnsi="Times New Roman" w:cs="Times New Roman"/>
          <w:color w:val="222222"/>
          <w:sz w:val="24"/>
          <w:szCs w:val="24"/>
          <w:shd w:val="clear" w:color="auto" w:fill="FFFFFF"/>
          <w:lang w:val="en-GB"/>
        </w:rPr>
        <w:t xml:space="preserve"> and Hussein (2023), </w:t>
      </w:r>
      <w:r w:rsidRPr="00673AEA">
        <w:rPr>
          <w:rFonts w:ascii="Times New Roman" w:eastAsia="Times New Roman" w:hAnsi="Times New Roman" w:cs="Times New Roman"/>
          <w:sz w:val="24"/>
          <w:szCs w:val="24"/>
          <w:lang w:val="en-GB"/>
        </w:rPr>
        <w:t>it was said before, strategies have their methods and they have different ways of managing foreign exchange risks, thus, it is good to critically evaluate their effectiveness as well as their limitations. One example of this can be the inescapability of the natural hedging strategy. Certain compa</w:t>
      </w:r>
      <w:r w:rsidR="00673AEA">
        <w:rPr>
          <w:rFonts w:ascii="Times New Roman" w:eastAsia="Times New Roman" w:hAnsi="Times New Roman" w:cs="Times New Roman"/>
          <w:sz w:val="24"/>
          <w:szCs w:val="24"/>
          <w:lang w:val="en-GB"/>
        </w:rPr>
        <w:t>nies might not be able to utilis</w:t>
      </w:r>
      <w:r w:rsidRPr="00673AEA">
        <w:rPr>
          <w:rFonts w:ascii="Times New Roman" w:eastAsia="Times New Roman" w:hAnsi="Times New Roman" w:cs="Times New Roman"/>
          <w:sz w:val="24"/>
          <w:szCs w:val="24"/>
          <w:lang w:val="en-GB"/>
        </w:rPr>
        <w:t>e this option efficiently due to their limited operational flexibility or because their revenues and expenses are not denominated in the same currency.</w:t>
      </w:r>
    </w:p>
    <w:p w14:paraId="44329CB2" w14:textId="77777777" w:rsidR="00592ECB"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Forward contracts and options are an effective tool to reduce exposure to changes in prices and to mitigate the risks, however, these instruments have certain limitations which are opportunity costs and counterparty risk. A system of subsidiaries’ netting may be remarkable for the big companies, but it might not be very appropriate for the small companies and the ones with a few or a zero-percent contribution of intercompany transactions</w:t>
      </w:r>
      <w:r w:rsidR="00DC3C10" w:rsidRPr="00673AEA">
        <w:rPr>
          <w:rFonts w:ascii="Times New Roman" w:eastAsia="Times New Roman" w:hAnsi="Times New Roman" w:cs="Times New Roman"/>
          <w:sz w:val="24"/>
          <w:szCs w:val="24"/>
          <w:lang w:val="en-GB"/>
        </w:rPr>
        <w:t xml:space="preserve"> (</w:t>
      </w:r>
      <w:proofErr w:type="spellStart"/>
      <w:r w:rsidR="00DC3C10" w:rsidRPr="00673AEA">
        <w:rPr>
          <w:rFonts w:ascii="Times New Roman" w:hAnsi="Times New Roman" w:cs="Times New Roman"/>
          <w:color w:val="222222"/>
          <w:sz w:val="24"/>
          <w:szCs w:val="24"/>
          <w:shd w:val="clear" w:color="auto" w:fill="FFFFFF"/>
          <w:lang w:val="en-GB"/>
        </w:rPr>
        <w:t>Crovini</w:t>
      </w:r>
      <w:proofErr w:type="spellEnd"/>
      <w:r w:rsidR="00DC3C10" w:rsidRPr="00673AEA">
        <w:rPr>
          <w:rFonts w:ascii="Times New Roman" w:hAnsi="Times New Roman" w:cs="Times New Roman"/>
          <w:color w:val="222222"/>
          <w:sz w:val="24"/>
          <w:szCs w:val="24"/>
          <w:shd w:val="clear" w:color="auto" w:fill="FFFFFF"/>
          <w:lang w:val="en-GB"/>
        </w:rPr>
        <w:t xml:space="preserve">, Ossola and </w:t>
      </w:r>
      <w:proofErr w:type="spellStart"/>
      <w:r w:rsidR="00DC3C10" w:rsidRPr="00673AEA">
        <w:rPr>
          <w:rFonts w:ascii="Times New Roman" w:hAnsi="Times New Roman" w:cs="Times New Roman"/>
          <w:color w:val="222222"/>
          <w:sz w:val="24"/>
          <w:szCs w:val="24"/>
          <w:shd w:val="clear" w:color="auto" w:fill="FFFFFF"/>
          <w:lang w:val="en-GB"/>
        </w:rPr>
        <w:t>Britzelmaier</w:t>
      </w:r>
      <w:proofErr w:type="spellEnd"/>
      <w:r w:rsidR="00DC3C10" w:rsidRPr="00673AEA">
        <w:rPr>
          <w:rFonts w:ascii="Times New Roman" w:hAnsi="Times New Roman" w:cs="Times New Roman"/>
          <w:color w:val="222222"/>
          <w:sz w:val="24"/>
          <w:szCs w:val="24"/>
          <w:shd w:val="clear" w:color="auto" w:fill="FFFFFF"/>
          <w:lang w:val="en-GB"/>
        </w:rPr>
        <w:t>, 2021)</w:t>
      </w:r>
      <w:r w:rsidRPr="00673AEA">
        <w:rPr>
          <w:rFonts w:ascii="Times New Roman" w:eastAsia="Times New Roman" w:hAnsi="Times New Roman" w:cs="Times New Roman"/>
          <w:sz w:val="24"/>
          <w:szCs w:val="24"/>
          <w:lang w:val="en-GB"/>
        </w:rPr>
        <w:t>.</w:t>
      </w:r>
      <w:r w:rsidR="00DC3C10"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sz w:val="24"/>
          <w:szCs w:val="24"/>
          <w:lang w:val="en-GB"/>
        </w:rPr>
        <w:t>One the reason behind that the leading and lagging strategies req</w:t>
      </w:r>
      <w:r w:rsidR="00592ECB" w:rsidRPr="00673AEA">
        <w:rPr>
          <w:rFonts w:ascii="Times New Roman" w:eastAsia="Times New Roman" w:hAnsi="Times New Roman" w:cs="Times New Roman"/>
          <w:sz w:val="24"/>
          <w:szCs w:val="24"/>
          <w:lang w:val="en-GB"/>
        </w:rPr>
        <w:t>uire a strong currency forecast and that</w:t>
      </w:r>
      <w:r w:rsidRPr="00673AEA">
        <w:rPr>
          <w:rFonts w:ascii="Times New Roman" w:eastAsia="Times New Roman" w:hAnsi="Times New Roman" w:cs="Times New Roman"/>
          <w:sz w:val="24"/>
          <w:szCs w:val="24"/>
          <w:lang w:val="en-GB"/>
        </w:rPr>
        <w:t xml:space="preserve"> is the reason of </w:t>
      </w:r>
      <w:r w:rsidR="00DC3C10" w:rsidRPr="00673AEA">
        <w:rPr>
          <w:rFonts w:ascii="Times New Roman" w:eastAsia="Times New Roman" w:hAnsi="Times New Roman" w:cs="Times New Roman"/>
          <w:sz w:val="24"/>
          <w:szCs w:val="24"/>
          <w:lang w:val="en-GB"/>
        </w:rPr>
        <w:t>economic</w:t>
      </w:r>
      <w:r w:rsidRPr="00673AEA">
        <w:rPr>
          <w:rFonts w:ascii="Times New Roman" w:eastAsia="Times New Roman" w:hAnsi="Times New Roman" w:cs="Times New Roman"/>
          <w:sz w:val="24"/>
          <w:szCs w:val="24"/>
          <w:lang w:val="en-GB"/>
        </w:rPr>
        <w:t xml:space="preserve"> uncertainty besides the currency volatility. </w:t>
      </w:r>
      <w:r w:rsidR="00DC3C10" w:rsidRPr="00673AEA">
        <w:rPr>
          <w:rFonts w:ascii="Times New Roman" w:eastAsia="Times New Roman" w:hAnsi="Times New Roman" w:cs="Times New Roman"/>
          <w:sz w:val="24"/>
          <w:szCs w:val="24"/>
          <w:lang w:val="en-GB"/>
        </w:rPr>
        <w:t>In</w:t>
      </w:r>
      <w:r w:rsidRPr="00673AEA">
        <w:rPr>
          <w:rFonts w:ascii="Times New Roman" w:eastAsia="Times New Roman" w:hAnsi="Times New Roman" w:cs="Times New Roman"/>
          <w:sz w:val="24"/>
          <w:szCs w:val="24"/>
          <w:lang w:val="en-GB"/>
        </w:rPr>
        <w:t xml:space="preserve"> the same run, these strategies might not be contemplated by companies with tight payment terms, strict trading hatches or insufficient flexibility in timing transactions.</w:t>
      </w:r>
    </w:p>
    <w:p w14:paraId="376B2FBC" w14:textId="64B2442F" w:rsidR="00A718F1" w:rsidRPr="00673AEA" w:rsidRDefault="00893D01" w:rsidP="00673AEA">
      <w:pPr>
        <w:pStyle w:val="Heading1"/>
        <w:rPr>
          <w:lang w:val="en-GB"/>
        </w:rPr>
      </w:pPr>
      <w:bookmarkStart w:id="3" w:name="_Toc162387991"/>
      <w:r w:rsidRPr="00673AEA">
        <w:rPr>
          <w:lang w:val="en-GB"/>
        </w:rPr>
        <w:t>Conclusion</w:t>
      </w:r>
      <w:bookmarkEnd w:id="3"/>
    </w:p>
    <w:p w14:paraId="2613038F" w14:textId="775F5E7F" w:rsidR="00A718F1" w:rsidRPr="00673AEA" w:rsidRDefault="00893D01"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The risk management of foreign exchange is a key area to be concerned for the MNCs that are deeply involved in the global market. The corporations do their analysis and read a lot of ma</w:t>
      </w:r>
      <w:r w:rsidR="00673AEA">
        <w:rPr>
          <w:rFonts w:ascii="Times New Roman" w:eastAsia="Times New Roman" w:hAnsi="Times New Roman" w:cs="Times New Roman"/>
          <w:sz w:val="24"/>
          <w:szCs w:val="24"/>
          <w:lang w:val="en-GB"/>
        </w:rPr>
        <w:t>terials, and they come to realis</w:t>
      </w:r>
      <w:r w:rsidRPr="00673AEA">
        <w:rPr>
          <w:rFonts w:ascii="Times New Roman" w:eastAsia="Times New Roman" w:hAnsi="Times New Roman" w:cs="Times New Roman"/>
          <w:sz w:val="24"/>
          <w:szCs w:val="24"/>
          <w:lang w:val="en-GB"/>
        </w:rPr>
        <w:t xml:space="preserve">e that there are various strategies that they choose in mitigation of their currency exchange risk. </w:t>
      </w:r>
      <w:r w:rsidR="00DC3C10" w:rsidRPr="00673AEA">
        <w:rPr>
          <w:rFonts w:ascii="Times New Roman" w:eastAsia="Times New Roman" w:hAnsi="Times New Roman" w:cs="Times New Roman"/>
          <w:sz w:val="24"/>
          <w:szCs w:val="24"/>
          <w:lang w:val="en-GB"/>
        </w:rPr>
        <w:t xml:space="preserve">As per </w:t>
      </w:r>
      <w:r w:rsidR="00DC3C10" w:rsidRPr="00673AEA">
        <w:rPr>
          <w:rFonts w:ascii="Times New Roman" w:hAnsi="Times New Roman" w:cs="Times New Roman"/>
          <w:color w:val="222222"/>
          <w:sz w:val="24"/>
          <w:szCs w:val="24"/>
          <w:shd w:val="clear" w:color="auto" w:fill="FFFFFF"/>
          <w:lang w:val="en-GB"/>
        </w:rPr>
        <w:t xml:space="preserve">Giglio (2021), </w:t>
      </w:r>
      <w:r w:rsidR="00DC3C10" w:rsidRPr="00673AEA">
        <w:rPr>
          <w:rFonts w:ascii="Times New Roman" w:eastAsia="Times New Roman" w:hAnsi="Times New Roman" w:cs="Times New Roman"/>
          <w:sz w:val="24"/>
          <w:szCs w:val="24"/>
          <w:lang w:val="en-GB"/>
        </w:rPr>
        <w:t>t</w:t>
      </w:r>
      <w:r w:rsidRPr="00673AEA">
        <w:rPr>
          <w:rFonts w:ascii="Times New Roman" w:eastAsia="Times New Roman" w:hAnsi="Times New Roman" w:cs="Times New Roman"/>
          <w:sz w:val="24"/>
          <w:szCs w:val="24"/>
          <w:lang w:val="en-GB"/>
        </w:rPr>
        <w:t>hey practice natural hedging, forward contracts, options among other strategies which enable them to protect their shareholders’ wealth and investments. Various instruments, namely netting, outpacing and automation, along with other cautionary measures, simply define their dexterity in handling the issues of currency risk management.</w:t>
      </w:r>
    </w:p>
    <w:p w14:paraId="427C4AA2" w14:textId="25EEB204" w:rsidR="00592ECB" w:rsidRPr="00673AEA" w:rsidRDefault="00592ECB" w:rsidP="00673AEA">
      <w:pPr>
        <w:spacing w:before="100" w:beforeAutospacing="1" w:after="100" w:afterAutospacing="1" w:line="360" w:lineRule="auto"/>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br w:type="page"/>
      </w:r>
    </w:p>
    <w:p w14:paraId="53218CDC" w14:textId="1CDFB5A2" w:rsidR="00A718F1" w:rsidRPr="00673AEA" w:rsidRDefault="00592ECB" w:rsidP="00673AEA">
      <w:pPr>
        <w:pStyle w:val="Heading1"/>
        <w:rPr>
          <w:lang w:val="en-GB"/>
        </w:rPr>
      </w:pPr>
      <w:bookmarkStart w:id="4" w:name="_Toc162387992"/>
      <w:r w:rsidRPr="00673AEA">
        <w:rPr>
          <w:lang w:val="en-GB"/>
        </w:rPr>
        <w:t>Reference List</w:t>
      </w:r>
      <w:bookmarkEnd w:id="4"/>
    </w:p>
    <w:p w14:paraId="037B58BA"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673AEA">
        <w:rPr>
          <w:rFonts w:ascii="Times New Roman" w:eastAsia="Times New Roman" w:hAnsi="Times New Roman" w:cs="Times New Roman"/>
          <w:sz w:val="24"/>
          <w:szCs w:val="24"/>
          <w:lang w:val="en-GB"/>
        </w:rPr>
        <w:t>Alabdullah</w:t>
      </w:r>
      <w:proofErr w:type="spellEnd"/>
      <w:r w:rsidRPr="00673AEA">
        <w:rPr>
          <w:rFonts w:ascii="Times New Roman" w:eastAsia="Times New Roman" w:hAnsi="Times New Roman" w:cs="Times New Roman"/>
          <w:sz w:val="24"/>
          <w:szCs w:val="24"/>
          <w:lang w:val="en-GB"/>
        </w:rPr>
        <w:t>, T.T.Y. and Hussein, Z.A.A., 2023. Risk Management, Female Leadership and Project Management Performance: A study in Oman. </w:t>
      </w:r>
      <w:r w:rsidRPr="00673AEA">
        <w:rPr>
          <w:rFonts w:ascii="Times New Roman" w:eastAsia="Times New Roman" w:hAnsi="Times New Roman" w:cs="Times New Roman"/>
          <w:i/>
          <w:iCs/>
          <w:sz w:val="24"/>
          <w:szCs w:val="24"/>
          <w:lang w:val="en-GB"/>
        </w:rPr>
        <w:t>International Journal of Scientific and Management Research</w:t>
      </w:r>
      <w:r w:rsidRPr="00673AEA">
        <w:rPr>
          <w:rFonts w:ascii="Times New Roman" w:eastAsia="Times New Roman" w:hAnsi="Times New Roman" w:cs="Times New Roman"/>
          <w:sz w:val="24"/>
          <w:szCs w:val="24"/>
          <w:lang w:val="en-GB"/>
        </w:rPr>
        <w:t>, </w:t>
      </w:r>
      <w:r w:rsidRPr="00673AEA">
        <w:rPr>
          <w:rFonts w:ascii="Times New Roman" w:eastAsia="Times New Roman" w:hAnsi="Times New Roman" w:cs="Times New Roman"/>
          <w:i/>
          <w:iCs/>
          <w:sz w:val="24"/>
          <w:szCs w:val="24"/>
          <w:lang w:val="en-GB"/>
        </w:rPr>
        <w:t>6</w:t>
      </w:r>
      <w:r w:rsidRPr="00673AEA">
        <w:rPr>
          <w:rFonts w:ascii="Times New Roman" w:eastAsia="Times New Roman" w:hAnsi="Times New Roman" w:cs="Times New Roman"/>
          <w:sz w:val="24"/>
          <w:szCs w:val="24"/>
          <w:lang w:val="en-GB"/>
        </w:rPr>
        <w:t>(6), pp.77-94.</w:t>
      </w:r>
    </w:p>
    <w:p w14:paraId="2E078B92"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Alkhouri, M., 2024. An investigation of the use of foreign exchange rate risk management tools in practice.</w:t>
      </w:r>
    </w:p>
    <w:p w14:paraId="72823C20"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Bergman, F. and Rosén, M., 2021. Strategies for mitigating foreign exchange risk.</w:t>
      </w:r>
    </w:p>
    <w:p w14:paraId="09497A89"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FB4026">
        <w:rPr>
          <w:rFonts w:ascii="Times New Roman" w:eastAsia="Times New Roman" w:hAnsi="Times New Roman" w:cs="Times New Roman"/>
          <w:sz w:val="24"/>
          <w:szCs w:val="24"/>
          <w:lang w:val="it-IT"/>
        </w:rPr>
        <w:t>Crovini</w:t>
      </w:r>
      <w:proofErr w:type="spellEnd"/>
      <w:r w:rsidRPr="00FB4026">
        <w:rPr>
          <w:rFonts w:ascii="Times New Roman" w:eastAsia="Times New Roman" w:hAnsi="Times New Roman" w:cs="Times New Roman"/>
          <w:sz w:val="24"/>
          <w:szCs w:val="24"/>
          <w:lang w:val="it-IT"/>
        </w:rPr>
        <w:t xml:space="preserve">, C., Ossola, G. and </w:t>
      </w:r>
      <w:proofErr w:type="spellStart"/>
      <w:r w:rsidRPr="00FB4026">
        <w:rPr>
          <w:rFonts w:ascii="Times New Roman" w:eastAsia="Times New Roman" w:hAnsi="Times New Roman" w:cs="Times New Roman"/>
          <w:sz w:val="24"/>
          <w:szCs w:val="24"/>
          <w:lang w:val="it-IT"/>
        </w:rPr>
        <w:t>Britzelmaier</w:t>
      </w:r>
      <w:proofErr w:type="spellEnd"/>
      <w:r w:rsidRPr="00FB4026">
        <w:rPr>
          <w:rFonts w:ascii="Times New Roman" w:eastAsia="Times New Roman" w:hAnsi="Times New Roman" w:cs="Times New Roman"/>
          <w:sz w:val="24"/>
          <w:szCs w:val="24"/>
          <w:lang w:val="it-IT"/>
        </w:rPr>
        <w:t xml:space="preserve">, B., 2021. </w:t>
      </w:r>
      <w:r w:rsidRPr="00673AEA">
        <w:rPr>
          <w:rFonts w:ascii="Times New Roman" w:eastAsia="Times New Roman" w:hAnsi="Times New Roman" w:cs="Times New Roman"/>
          <w:sz w:val="24"/>
          <w:szCs w:val="24"/>
          <w:lang w:val="en-GB"/>
        </w:rPr>
        <w:t>How to reconsider risk management in SMEs? An advanced, reasoned and organised literature review. </w:t>
      </w:r>
      <w:r w:rsidRPr="00673AEA">
        <w:rPr>
          <w:rFonts w:ascii="Times New Roman" w:eastAsia="Times New Roman" w:hAnsi="Times New Roman" w:cs="Times New Roman"/>
          <w:i/>
          <w:iCs/>
          <w:sz w:val="24"/>
          <w:szCs w:val="24"/>
          <w:lang w:val="en-GB"/>
        </w:rPr>
        <w:t>European Management Journal</w:t>
      </w:r>
      <w:r w:rsidRPr="00673AEA">
        <w:rPr>
          <w:rFonts w:ascii="Times New Roman" w:eastAsia="Times New Roman" w:hAnsi="Times New Roman" w:cs="Times New Roman"/>
          <w:sz w:val="24"/>
          <w:szCs w:val="24"/>
          <w:lang w:val="en-GB"/>
        </w:rPr>
        <w:t>, </w:t>
      </w:r>
      <w:r w:rsidRPr="00673AEA">
        <w:rPr>
          <w:rFonts w:ascii="Times New Roman" w:eastAsia="Times New Roman" w:hAnsi="Times New Roman" w:cs="Times New Roman"/>
          <w:i/>
          <w:iCs/>
          <w:sz w:val="24"/>
          <w:szCs w:val="24"/>
          <w:lang w:val="en-GB"/>
        </w:rPr>
        <w:t>39</w:t>
      </w:r>
      <w:r w:rsidRPr="00673AEA">
        <w:rPr>
          <w:rFonts w:ascii="Times New Roman" w:eastAsia="Times New Roman" w:hAnsi="Times New Roman" w:cs="Times New Roman"/>
          <w:sz w:val="24"/>
          <w:szCs w:val="24"/>
          <w:lang w:val="en-GB"/>
        </w:rPr>
        <w:t>(1), pp.118-134.</w:t>
      </w:r>
    </w:p>
    <w:p w14:paraId="62EE8441"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 xml:space="preserve">Devina, L. and </w:t>
      </w:r>
      <w:proofErr w:type="spellStart"/>
      <w:r w:rsidRPr="00673AEA">
        <w:rPr>
          <w:rFonts w:ascii="Times New Roman" w:eastAsia="Times New Roman" w:hAnsi="Times New Roman" w:cs="Times New Roman"/>
          <w:sz w:val="24"/>
          <w:szCs w:val="24"/>
          <w:lang w:val="en-GB"/>
        </w:rPr>
        <w:t>Dalimunthe</w:t>
      </w:r>
      <w:proofErr w:type="spellEnd"/>
      <w:r w:rsidRPr="00673AEA">
        <w:rPr>
          <w:rFonts w:ascii="Times New Roman" w:eastAsia="Times New Roman" w:hAnsi="Times New Roman" w:cs="Times New Roman"/>
          <w:sz w:val="24"/>
          <w:szCs w:val="24"/>
          <w:lang w:val="en-GB"/>
        </w:rPr>
        <w:t xml:space="preserve">, Z., 2021. Does Using Hedging Instruments Reduce Foreign Exchange Exposure?. In </w:t>
      </w:r>
      <w:r w:rsidRPr="00673AEA">
        <w:rPr>
          <w:rFonts w:ascii="Times New Roman" w:eastAsia="Times New Roman" w:hAnsi="Times New Roman" w:cs="Times New Roman"/>
          <w:i/>
          <w:sz w:val="24"/>
          <w:szCs w:val="24"/>
          <w:lang w:val="en-GB"/>
        </w:rPr>
        <w:t>The Proceedings of International Management &amp; Accounting Conference (IMAC)</w:t>
      </w:r>
      <w:r w:rsidRPr="00673AEA">
        <w:rPr>
          <w:rFonts w:ascii="Times New Roman" w:eastAsia="Times New Roman" w:hAnsi="Times New Roman" w:cs="Times New Roman"/>
          <w:sz w:val="24"/>
          <w:szCs w:val="24"/>
          <w:lang w:val="en-GB"/>
        </w:rPr>
        <w:t xml:space="preserve"> (Vol. 10, pp. 186-187).</w:t>
      </w:r>
    </w:p>
    <w:p w14:paraId="73548B13"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Giglio, F., 2021. Fintech: A literature review. </w:t>
      </w:r>
      <w:r w:rsidRPr="00673AEA">
        <w:rPr>
          <w:rFonts w:ascii="Times New Roman" w:eastAsia="Times New Roman" w:hAnsi="Times New Roman" w:cs="Times New Roman"/>
          <w:i/>
          <w:iCs/>
          <w:sz w:val="24"/>
          <w:szCs w:val="24"/>
          <w:lang w:val="en-GB"/>
        </w:rPr>
        <w:t>European Research Studies Journal</w:t>
      </w:r>
      <w:r w:rsidRPr="00673AEA">
        <w:rPr>
          <w:rFonts w:ascii="Times New Roman" w:eastAsia="Times New Roman" w:hAnsi="Times New Roman" w:cs="Times New Roman"/>
          <w:sz w:val="24"/>
          <w:szCs w:val="24"/>
          <w:lang w:val="en-GB"/>
        </w:rPr>
        <w:t>, </w:t>
      </w:r>
      <w:r w:rsidRPr="00673AEA">
        <w:rPr>
          <w:rFonts w:ascii="Times New Roman" w:eastAsia="Times New Roman" w:hAnsi="Times New Roman" w:cs="Times New Roman"/>
          <w:i/>
          <w:iCs/>
          <w:sz w:val="24"/>
          <w:szCs w:val="24"/>
          <w:lang w:val="en-GB"/>
        </w:rPr>
        <w:t>24</w:t>
      </w:r>
      <w:r w:rsidRPr="00673AEA">
        <w:rPr>
          <w:rFonts w:ascii="Times New Roman" w:eastAsia="Times New Roman" w:hAnsi="Times New Roman" w:cs="Times New Roman"/>
          <w:sz w:val="24"/>
          <w:szCs w:val="24"/>
          <w:lang w:val="en-GB"/>
        </w:rPr>
        <w:t>(2B), pp.600-627.</w:t>
      </w:r>
    </w:p>
    <w:p w14:paraId="0D685376"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McDowell, D., 2021. Financial sanctions and political risk in the international currency system. </w:t>
      </w:r>
      <w:r w:rsidRPr="00673AEA">
        <w:rPr>
          <w:rFonts w:ascii="Times New Roman" w:eastAsia="Times New Roman" w:hAnsi="Times New Roman" w:cs="Times New Roman"/>
          <w:i/>
          <w:iCs/>
          <w:sz w:val="24"/>
          <w:szCs w:val="24"/>
          <w:lang w:val="en-GB"/>
        </w:rPr>
        <w:t>Review of International Political Economy</w:t>
      </w:r>
      <w:r w:rsidRPr="00673AEA">
        <w:rPr>
          <w:rFonts w:ascii="Times New Roman" w:eastAsia="Times New Roman" w:hAnsi="Times New Roman" w:cs="Times New Roman"/>
          <w:sz w:val="24"/>
          <w:szCs w:val="24"/>
          <w:lang w:val="en-GB"/>
        </w:rPr>
        <w:t>, </w:t>
      </w:r>
      <w:r w:rsidRPr="00673AEA">
        <w:rPr>
          <w:rFonts w:ascii="Times New Roman" w:eastAsia="Times New Roman" w:hAnsi="Times New Roman" w:cs="Times New Roman"/>
          <w:i/>
          <w:iCs/>
          <w:sz w:val="24"/>
          <w:szCs w:val="24"/>
          <w:lang w:val="en-GB"/>
        </w:rPr>
        <w:t>28</w:t>
      </w:r>
      <w:r w:rsidRPr="00673AEA">
        <w:rPr>
          <w:rFonts w:ascii="Times New Roman" w:eastAsia="Times New Roman" w:hAnsi="Times New Roman" w:cs="Times New Roman"/>
          <w:sz w:val="24"/>
          <w:szCs w:val="24"/>
          <w:lang w:val="en-GB"/>
        </w:rPr>
        <w:t>(3), pp.635-661.</w:t>
      </w:r>
    </w:p>
    <w:p w14:paraId="76569D92"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673AEA">
        <w:rPr>
          <w:rFonts w:ascii="Times New Roman" w:eastAsia="Times New Roman" w:hAnsi="Times New Roman" w:cs="Times New Roman"/>
          <w:sz w:val="24"/>
          <w:szCs w:val="24"/>
          <w:lang w:val="en-GB"/>
        </w:rPr>
        <w:t>Mourtas</w:t>
      </w:r>
      <w:proofErr w:type="spellEnd"/>
      <w:r w:rsidRPr="00673AEA">
        <w:rPr>
          <w:rFonts w:ascii="Times New Roman" w:eastAsia="Times New Roman" w:hAnsi="Times New Roman" w:cs="Times New Roman"/>
          <w:sz w:val="24"/>
          <w:szCs w:val="24"/>
          <w:lang w:val="en-GB"/>
        </w:rPr>
        <w:t xml:space="preserve">, S.D., Katsikis, V.N., </w:t>
      </w:r>
      <w:proofErr w:type="spellStart"/>
      <w:r w:rsidRPr="00673AEA">
        <w:rPr>
          <w:rFonts w:ascii="Times New Roman" w:eastAsia="Times New Roman" w:hAnsi="Times New Roman" w:cs="Times New Roman"/>
          <w:sz w:val="24"/>
          <w:szCs w:val="24"/>
          <w:lang w:val="en-GB"/>
        </w:rPr>
        <w:t>Drakonakis</w:t>
      </w:r>
      <w:proofErr w:type="spellEnd"/>
      <w:r w:rsidRPr="00673AEA">
        <w:rPr>
          <w:rFonts w:ascii="Times New Roman" w:eastAsia="Times New Roman" w:hAnsi="Times New Roman" w:cs="Times New Roman"/>
          <w:sz w:val="24"/>
          <w:szCs w:val="24"/>
          <w:lang w:val="en-GB"/>
        </w:rPr>
        <w:t xml:space="preserve">, E. and </w:t>
      </w:r>
      <w:proofErr w:type="spellStart"/>
      <w:r w:rsidRPr="00673AEA">
        <w:rPr>
          <w:rFonts w:ascii="Times New Roman" w:eastAsia="Times New Roman" w:hAnsi="Times New Roman" w:cs="Times New Roman"/>
          <w:sz w:val="24"/>
          <w:szCs w:val="24"/>
          <w:lang w:val="en-GB"/>
        </w:rPr>
        <w:t>Kotsios</w:t>
      </w:r>
      <w:proofErr w:type="spellEnd"/>
      <w:r w:rsidRPr="00673AEA">
        <w:rPr>
          <w:rFonts w:ascii="Times New Roman" w:eastAsia="Times New Roman" w:hAnsi="Times New Roman" w:cs="Times New Roman"/>
          <w:sz w:val="24"/>
          <w:szCs w:val="24"/>
          <w:lang w:val="en-GB"/>
        </w:rPr>
        <w:t xml:space="preserve">, S., 2023. Stabilization of stochastic exchange rate dynamics under central bank intervention using </w:t>
      </w:r>
      <w:proofErr w:type="spellStart"/>
      <w:r w:rsidRPr="00673AEA">
        <w:rPr>
          <w:rFonts w:ascii="Times New Roman" w:eastAsia="Times New Roman" w:hAnsi="Times New Roman" w:cs="Times New Roman"/>
          <w:sz w:val="24"/>
          <w:szCs w:val="24"/>
          <w:lang w:val="en-GB"/>
        </w:rPr>
        <w:t>neuronets</w:t>
      </w:r>
      <w:proofErr w:type="spellEnd"/>
      <w:r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i/>
          <w:sz w:val="24"/>
          <w:szCs w:val="24"/>
          <w:lang w:val="en-GB"/>
        </w:rPr>
        <w:t>International Journal of Information Technology &amp; Decision Making</w:t>
      </w:r>
      <w:r w:rsidRPr="00673AEA">
        <w:rPr>
          <w:rFonts w:ascii="Times New Roman" w:eastAsia="Times New Roman" w:hAnsi="Times New Roman" w:cs="Times New Roman"/>
          <w:sz w:val="24"/>
          <w:szCs w:val="24"/>
          <w:lang w:val="en-GB"/>
        </w:rPr>
        <w:t xml:space="preserve">, </w:t>
      </w:r>
      <w:r w:rsidRPr="00673AEA">
        <w:rPr>
          <w:rFonts w:ascii="Times New Roman" w:eastAsia="Times New Roman" w:hAnsi="Times New Roman" w:cs="Times New Roman"/>
          <w:i/>
          <w:sz w:val="24"/>
          <w:szCs w:val="24"/>
          <w:lang w:val="en-GB"/>
        </w:rPr>
        <w:t>22</w:t>
      </w:r>
      <w:r w:rsidRPr="00673AEA">
        <w:rPr>
          <w:rFonts w:ascii="Times New Roman" w:eastAsia="Times New Roman" w:hAnsi="Times New Roman" w:cs="Times New Roman"/>
          <w:sz w:val="24"/>
          <w:szCs w:val="24"/>
          <w:lang w:val="en-GB"/>
        </w:rPr>
        <w:t>(02), pp.855-883.</w:t>
      </w:r>
    </w:p>
    <w:p w14:paraId="73E7E3B8"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 xml:space="preserve">Pons, A., Cristobal-Fransi, E., </w:t>
      </w:r>
      <w:proofErr w:type="spellStart"/>
      <w:r w:rsidRPr="00673AEA">
        <w:rPr>
          <w:rFonts w:ascii="Times New Roman" w:eastAsia="Times New Roman" w:hAnsi="Times New Roman" w:cs="Times New Roman"/>
          <w:sz w:val="24"/>
          <w:szCs w:val="24"/>
          <w:lang w:val="en-GB"/>
        </w:rPr>
        <w:t>Vintrò</w:t>
      </w:r>
      <w:proofErr w:type="spellEnd"/>
      <w:r w:rsidRPr="00673AEA">
        <w:rPr>
          <w:rFonts w:ascii="Times New Roman" w:eastAsia="Times New Roman" w:hAnsi="Times New Roman" w:cs="Times New Roman"/>
          <w:sz w:val="24"/>
          <w:szCs w:val="24"/>
          <w:lang w:val="en-GB"/>
        </w:rPr>
        <w:t>, C., Rius, J., Querol, O. and Vilaplana, J., 2021. An Application of the IFM Method for the Risk Assessment of Financial Instruments. </w:t>
      </w:r>
      <w:r w:rsidRPr="00673AEA">
        <w:rPr>
          <w:rFonts w:ascii="Times New Roman" w:eastAsia="Times New Roman" w:hAnsi="Times New Roman" w:cs="Times New Roman"/>
          <w:i/>
          <w:iCs/>
          <w:sz w:val="24"/>
          <w:szCs w:val="24"/>
          <w:lang w:val="en-GB"/>
        </w:rPr>
        <w:t>Computational Economics</w:t>
      </w:r>
      <w:r w:rsidRPr="00673AEA">
        <w:rPr>
          <w:rFonts w:ascii="Times New Roman" w:eastAsia="Times New Roman" w:hAnsi="Times New Roman" w:cs="Times New Roman"/>
          <w:sz w:val="24"/>
          <w:szCs w:val="24"/>
          <w:lang w:val="en-GB"/>
        </w:rPr>
        <w:t>, pp.1-21.</w:t>
      </w:r>
    </w:p>
    <w:p w14:paraId="22180973" w14:textId="77777777" w:rsidR="00673AEA" w:rsidRPr="00673AEA" w:rsidRDefault="00673AEA" w:rsidP="00673AEA">
      <w:pPr>
        <w:spacing w:before="100" w:beforeAutospacing="1" w:after="100" w:afterAutospacing="1" w:line="360" w:lineRule="auto"/>
        <w:jc w:val="both"/>
        <w:rPr>
          <w:rFonts w:ascii="Times New Roman" w:eastAsia="Times New Roman" w:hAnsi="Times New Roman" w:cs="Times New Roman"/>
          <w:sz w:val="24"/>
          <w:szCs w:val="24"/>
          <w:lang w:val="en-GB"/>
        </w:rPr>
      </w:pPr>
      <w:r w:rsidRPr="00673AEA">
        <w:rPr>
          <w:rFonts w:ascii="Times New Roman" w:eastAsia="Times New Roman" w:hAnsi="Times New Roman" w:cs="Times New Roman"/>
          <w:sz w:val="24"/>
          <w:szCs w:val="24"/>
          <w:lang w:val="en-GB"/>
        </w:rPr>
        <w:t>Wilkins, T., 2023. Middle power hedging in the era of security/economic disconnect: Australia, Japan, and the ‘Special Strategic Partnership’. </w:t>
      </w:r>
      <w:r w:rsidRPr="00673AEA">
        <w:rPr>
          <w:rFonts w:ascii="Times New Roman" w:eastAsia="Times New Roman" w:hAnsi="Times New Roman" w:cs="Times New Roman"/>
          <w:i/>
          <w:iCs/>
          <w:sz w:val="24"/>
          <w:szCs w:val="24"/>
          <w:lang w:val="en-GB"/>
        </w:rPr>
        <w:t>International Relations of the Asia-Pacific</w:t>
      </w:r>
      <w:r w:rsidRPr="00673AEA">
        <w:rPr>
          <w:rFonts w:ascii="Times New Roman" w:eastAsia="Times New Roman" w:hAnsi="Times New Roman" w:cs="Times New Roman"/>
          <w:sz w:val="24"/>
          <w:szCs w:val="24"/>
          <w:lang w:val="en-GB"/>
        </w:rPr>
        <w:t>, </w:t>
      </w:r>
      <w:r w:rsidRPr="00673AEA">
        <w:rPr>
          <w:rFonts w:ascii="Times New Roman" w:eastAsia="Times New Roman" w:hAnsi="Times New Roman" w:cs="Times New Roman"/>
          <w:i/>
          <w:iCs/>
          <w:sz w:val="24"/>
          <w:szCs w:val="24"/>
          <w:lang w:val="en-GB"/>
        </w:rPr>
        <w:t>23</w:t>
      </w:r>
      <w:r w:rsidRPr="00673AEA">
        <w:rPr>
          <w:rFonts w:ascii="Times New Roman" w:eastAsia="Times New Roman" w:hAnsi="Times New Roman" w:cs="Times New Roman"/>
          <w:sz w:val="24"/>
          <w:szCs w:val="24"/>
          <w:lang w:val="en-GB"/>
        </w:rPr>
        <w:t>(1), pp.93-127.</w:t>
      </w:r>
    </w:p>
    <w:sectPr w:rsidR="00673AEA" w:rsidRPr="00673AE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AE4E8" w14:textId="77777777" w:rsidR="00B902E2" w:rsidRDefault="00B902E2" w:rsidP="00673AEA">
      <w:pPr>
        <w:spacing w:line="240" w:lineRule="auto"/>
      </w:pPr>
      <w:r>
        <w:separator/>
      </w:r>
    </w:p>
  </w:endnote>
  <w:endnote w:type="continuationSeparator" w:id="0">
    <w:p w14:paraId="4490D476" w14:textId="77777777" w:rsidR="00B902E2" w:rsidRDefault="00B902E2" w:rsidP="00673A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2283647"/>
      <w:docPartObj>
        <w:docPartGallery w:val="Page Numbers (Bottom of Page)"/>
        <w:docPartUnique/>
      </w:docPartObj>
    </w:sdtPr>
    <w:sdtEndPr>
      <w:rPr>
        <w:noProof/>
      </w:rPr>
    </w:sdtEndPr>
    <w:sdtContent>
      <w:p w14:paraId="3703B4A9" w14:textId="593E2132" w:rsidR="00673AEA" w:rsidRDefault="00673AEA">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9D3AF9F" w14:textId="77777777" w:rsidR="00673AEA" w:rsidRDefault="00673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DCEF3" w14:textId="77777777" w:rsidR="00B902E2" w:rsidRDefault="00B902E2" w:rsidP="00673AEA">
      <w:pPr>
        <w:spacing w:line="240" w:lineRule="auto"/>
      </w:pPr>
      <w:r>
        <w:separator/>
      </w:r>
    </w:p>
  </w:footnote>
  <w:footnote w:type="continuationSeparator" w:id="0">
    <w:p w14:paraId="2CC531A1" w14:textId="77777777" w:rsidR="00B902E2" w:rsidRDefault="00B902E2" w:rsidP="00673A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EA4053"/>
    <w:multiLevelType w:val="hybridMultilevel"/>
    <w:tmpl w:val="BED483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9520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8F1"/>
    <w:rsid w:val="00326F77"/>
    <w:rsid w:val="00592ECB"/>
    <w:rsid w:val="00673AEA"/>
    <w:rsid w:val="00893D01"/>
    <w:rsid w:val="00A718F1"/>
    <w:rsid w:val="00B902E2"/>
    <w:rsid w:val="00DC3C10"/>
    <w:rsid w:val="00FB4026"/>
    <w:rsid w:val="00FE49D5"/>
  </w:rsids>
  <m:mathPr>
    <m:mathFont m:val="Cambria Math"/>
    <m:brkBin m:val="before"/>
    <m:brkBinSub m:val="--"/>
    <m:smallFrac m:val="0"/>
    <m:dispDef/>
    <m:lMargin m:val="0"/>
    <m:rMargin m:val="0"/>
    <m:defJc m:val="centerGroup"/>
    <m:wrapIndent m:val="1440"/>
    <m:intLim m:val="subSup"/>
    <m:naryLim m:val="undOvr"/>
  </m:mathPr>
  <w:themeFontLang w:val="en-IN" w:bidi="dz-B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70F17"/>
  <w15:docId w15:val="{36B4CE1A-D5C5-4FFF-A214-39C21E7B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92ECB"/>
    <w:pPr>
      <w:spacing w:before="100" w:beforeAutospacing="1" w:after="100" w:afterAutospacing="1" w:line="360" w:lineRule="auto"/>
      <w:jc w:val="both"/>
      <w:outlineLvl w:val="0"/>
    </w:pPr>
    <w:rPr>
      <w:rFonts w:ascii="Times New Roman" w:eastAsia="Times New Roman" w:hAnsi="Times New Roman" w:cs="Times New Roman"/>
      <w:b/>
      <w:color w:val="13343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E49D5"/>
    <w:pPr>
      <w:ind w:left="720"/>
      <w:contextualSpacing/>
    </w:pPr>
  </w:style>
  <w:style w:type="paragraph" w:styleId="TOCHeading">
    <w:name w:val="TOC Heading"/>
    <w:basedOn w:val="Heading1"/>
    <w:next w:val="Normal"/>
    <w:uiPriority w:val="39"/>
    <w:unhideWhenUsed/>
    <w:qFormat/>
    <w:rsid w:val="00673AEA"/>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73AEA"/>
    <w:pPr>
      <w:spacing w:after="100"/>
    </w:pPr>
  </w:style>
  <w:style w:type="character" w:styleId="Hyperlink">
    <w:name w:val="Hyperlink"/>
    <w:basedOn w:val="DefaultParagraphFont"/>
    <w:uiPriority w:val="99"/>
    <w:unhideWhenUsed/>
    <w:rsid w:val="00673AEA"/>
    <w:rPr>
      <w:color w:val="0000FF" w:themeColor="hyperlink"/>
      <w:u w:val="single"/>
    </w:rPr>
  </w:style>
  <w:style w:type="paragraph" w:styleId="Header">
    <w:name w:val="header"/>
    <w:basedOn w:val="Normal"/>
    <w:link w:val="HeaderChar"/>
    <w:uiPriority w:val="99"/>
    <w:unhideWhenUsed/>
    <w:rsid w:val="00673AEA"/>
    <w:pPr>
      <w:tabs>
        <w:tab w:val="center" w:pos="4513"/>
        <w:tab w:val="right" w:pos="9026"/>
      </w:tabs>
      <w:spacing w:line="240" w:lineRule="auto"/>
    </w:pPr>
  </w:style>
  <w:style w:type="character" w:customStyle="1" w:styleId="HeaderChar">
    <w:name w:val="Header Char"/>
    <w:basedOn w:val="DefaultParagraphFont"/>
    <w:link w:val="Header"/>
    <w:uiPriority w:val="99"/>
    <w:rsid w:val="00673AEA"/>
  </w:style>
  <w:style w:type="paragraph" w:styleId="Footer">
    <w:name w:val="footer"/>
    <w:basedOn w:val="Normal"/>
    <w:link w:val="FooterChar"/>
    <w:uiPriority w:val="99"/>
    <w:unhideWhenUsed/>
    <w:rsid w:val="00673AEA"/>
    <w:pPr>
      <w:tabs>
        <w:tab w:val="center" w:pos="4513"/>
        <w:tab w:val="right" w:pos="9026"/>
      </w:tabs>
      <w:spacing w:line="240" w:lineRule="auto"/>
    </w:pPr>
  </w:style>
  <w:style w:type="character" w:customStyle="1" w:styleId="FooterChar">
    <w:name w:val="Footer Char"/>
    <w:basedOn w:val="DefaultParagraphFont"/>
    <w:link w:val="Footer"/>
    <w:uiPriority w:val="99"/>
    <w:rsid w:val="00673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A4342-BE19-4A33-B8C8-E8E91495F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2014</Words>
  <Characters>11486</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2024-03-26T12:16:00Z</dcterms:created>
  <dcterms:modified xsi:type="dcterms:W3CDTF">2024-03-29T13:39:00Z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feee17a7a5178641d02fcd170b785903c771d1605458a4d2122b5f12a8e76094</vt:lpwstr>
  </property>
</Properties>
</file>