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32471740"/>
        <w:docPartObj>
          <w:docPartGallery w:val="Cover Pages"/>
          <w:docPartUnique/>
        </w:docPartObj>
      </w:sdtPr>
      <w:sdtEndPr>
        <w:rPr>
          <w:color w:val="FFFFFF" w:themeColor="background1"/>
          <w:sz w:val="21"/>
          <w:szCs w:val="21"/>
        </w:rPr>
      </w:sdtEndPr>
      <w:sdtContent>
        <w:p w14:paraId="23913129" w14:textId="7F05643B" w:rsidR="001136BA" w:rsidRDefault="001136BA">
          <w:r>
            <w:rPr>
              <w:noProof/>
            </w:rPr>
            <mc:AlternateContent>
              <mc:Choice Requires="wps">
                <w:drawing>
                  <wp:anchor distT="0" distB="0" distL="114300" distR="114300" simplePos="0" relativeHeight="251659264" behindDoc="1" locked="0" layoutInCell="1" allowOverlap="0" wp14:anchorId="1417C225" wp14:editId="6E7FCD85">
                    <wp:simplePos x="0" y="0"/>
                    <wp:positionH relativeFrom="page">
                      <wp:align>center</wp:align>
                    </wp:positionH>
                    <wp:positionV relativeFrom="page">
                      <wp:align>center</wp:align>
                    </wp:positionV>
                    <wp:extent cx="6858000" cy="9144000"/>
                    <wp:effectExtent l="0" t="0" r="0" b="0"/>
                    <wp:wrapNone/>
                    <wp:docPr id="1" name="Text Box 2"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136BA" w14:paraId="3C515217" w14:textId="77777777">
                                  <w:trPr>
                                    <w:trHeight w:hRule="exact" w:val="9360"/>
                                  </w:trPr>
                                  <w:tc>
                                    <w:tcPr>
                                      <w:tcW w:w="9350" w:type="dxa"/>
                                    </w:tcPr>
                                    <w:p w14:paraId="20537236" w14:textId="07963C35" w:rsidR="001136BA" w:rsidRDefault="001136BA">
                                      <w:r>
                                        <w:rPr>
                                          <w:noProof/>
                                        </w:rPr>
                                        <w:drawing>
                                          <wp:inline distT="0" distB="0" distL="0" distR="0" wp14:anchorId="2990645E" wp14:editId="7D583176">
                                            <wp:extent cx="6844665" cy="5867400"/>
                                            <wp:effectExtent l="0" t="0" r="0" b="0"/>
                                            <wp:docPr id="999537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537578" name="Picture 999537578"/>
                                                    <pic:cNvPicPr/>
                                                  </pic:nvPicPr>
                                                  <pic:blipFill>
                                                    <a:blip r:embed="rId8">
                                                      <a:extLst>
                                                        <a:ext uri="{28A0092B-C50C-407E-A947-70E740481C1C}">
                                                          <a14:useLocalDpi xmlns:a14="http://schemas.microsoft.com/office/drawing/2010/main" val="0"/>
                                                        </a:ext>
                                                      </a:extLst>
                                                    </a:blip>
                                                    <a:stretch>
                                                      <a:fillRect/>
                                                    </a:stretch>
                                                  </pic:blipFill>
                                                  <pic:spPr>
                                                    <a:xfrm>
                                                      <a:off x="0" y="0"/>
                                                      <a:ext cx="6881070" cy="5898607"/>
                                                    </a:xfrm>
                                                    <a:prstGeom prst="rect">
                                                      <a:avLst/>
                                                    </a:prstGeom>
                                                  </pic:spPr>
                                                </pic:pic>
                                              </a:graphicData>
                                            </a:graphic>
                                          </wp:inline>
                                        </w:drawing>
                                      </w:r>
                                    </w:p>
                                  </w:tc>
                                </w:tr>
                                <w:tr w:rsidR="001136BA" w14:paraId="5463438A" w14:textId="77777777">
                                  <w:trPr>
                                    <w:trHeight w:hRule="exact" w:val="4320"/>
                                  </w:trPr>
                                  <w:tc>
                                    <w:tcPr>
                                      <w:tcW w:w="9350" w:type="dxa"/>
                                      <w:shd w:val="clear" w:color="auto" w:fill="0E2841" w:themeFill="text2"/>
                                      <w:vAlign w:val="center"/>
                                    </w:tcPr>
                                    <w:p w14:paraId="16C71958" w14:textId="17CE8D7A" w:rsidR="001136BA"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87AFCFF721A242E28910487F2ECB6480"/>
                                          </w:placeholder>
                                          <w:dataBinding w:prefixMappings="xmlns:ns0='http://purl.org/dc/elements/1.1/' xmlns:ns1='http://schemas.openxmlformats.org/package/2006/metadata/core-properties' " w:xpath="/ns1:coreProperties[1]/ns0:title[1]" w:storeItemID="{6C3C8BC8-F283-45AE-878A-BAB7291924A1}"/>
                                          <w:text/>
                                        </w:sdtPr>
                                        <w:sdtContent>
                                          <w:r w:rsidR="001136BA">
                                            <w:rPr>
                                              <w:rFonts w:asciiTheme="majorHAnsi" w:hAnsiTheme="majorHAnsi"/>
                                              <w:color w:val="FFFFFF" w:themeColor="background1"/>
                                              <w:sz w:val="96"/>
                                              <w:szCs w:val="96"/>
                                            </w:rPr>
                                            <w:t>DATA SECURITY AND COMPLIANCE</w:t>
                                          </w:r>
                                        </w:sdtContent>
                                      </w:sdt>
                                    </w:p>
                                    <w:p w14:paraId="6F240867" w14:textId="4584F609" w:rsidR="001136BA"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C6EB0E6152FF428699DFAC22607F5F8A"/>
                                          </w:placeholder>
                                          <w:dataBinding w:prefixMappings="xmlns:ns0='http://purl.org/dc/elements/1.1/' xmlns:ns1='http://schemas.openxmlformats.org/package/2006/metadata/core-properties' " w:xpath="/ns1:coreProperties[1]/ns0:subject[1]" w:storeItemID="{6C3C8BC8-F283-45AE-878A-BAB7291924A1}"/>
                                          <w:text/>
                                        </w:sdtPr>
                                        <w:sdtContent>
                                          <w:r w:rsidR="001136BA" w:rsidRPr="001136BA">
                                            <w:rPr>
                                              <w:color w:val="FFFFFF" w:themeColor="background1"/>
                                              <w:sz w:val="32"/>
                                              <w:szCs w:val="32"/>
                                            </w:rPr>
                                            <w:t>ACCA5034</w:t>
                                          </w:r>
                                        </w:sdtContent>
                                      </w:sdt>
                                    </w:p>
                                  </w:tc>
                                </w:tr>
                                <w:tr w:rsidR="001136BA" w14:paraId="3DDEEA95"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1136BA" w14:paraId="3C0069A3" w14:textId="77777777">
                                        <w:trPr>
                                          <w:trHeight w:hRule="exact" w:val="720"/>
                                        </w:trPr>
                                        <w:tc>
                                          <w:tcPr>
                                            <w:tcW w:w="3590" w:type="dxa"/>
                                            <w:vAlign w:val="center"/>
                                          </w:tcPr>
                                          <w:p w14:paraId="7F22E32A" w14:textId="59CDE970" w:rsidR="001136BA" w:rsidRDefault="00000000">
                                            <w:pPr>
                                              <w:pStyle w:val="NoSpacing"/>
                                              <w:ind w:left="720" w:right="144"/>
                                              <w:rPr>
                                                <w:color w:val="FFFFFF" w:themeColor="background1"/>
                                              </w:rPr>
                                            </w:pPr>
                                            <w:sdt>
                                              <w:sdtPr>
                                                <w:rPr>
                                                  <w:color w:val="FFFFFF" w:themeColor="background1"/>
                                                </w:rPr>
                                                <w:alias w:val="Author"/>
                                                <w:tag w:val=""/>
                                                <w:id w:val="942812742"/>
                                                <w:placeholder>
                                                  <w:docPart w:val="0558628E5E7B4A3D8769AB3216C562A9"/>
                                                </w:placeholder>
                                                <w:dataBinding w:prefixMappings="xmlns:ns0='http://purl.org/dc/elements/1.1/' xmlns:ns1='http://schemas.openxmlformats.org/package/2006/metadata/core-properties' " w:xpath="/ns1:coreProperties[1]/ns0:creator[1]" w:storeItemID="{6C3C8BC8-F283-45AE-878A-BAB7291924A1}"/>
                                                <w:text/>
                                              </w:sdtPr>
                                              <w:sdtContent>
                                                <w:r w:rsidR="001136BA">
                                                  <w:rPr>
                                                    <w:color w:val="FFFFFF" w:themeColor="background1"/>
                                                  </w:rPr>
                                                  <w:t>Darina Tsoneva</w:t>
                                                </w:r>
                                              </w:sdtContent>
                                            </w:sdt>
                                          </w:p>
                                        </w:tc>
                                        <w:tc>
                                          <w:tcPr>
                                            <w:tcW w:w="3591" w:type="dxa"/>
                                            <w:vAlign w:val="center"/>
                                          </w:tcPr>
                                          <w:sdt>
                                            <w:sdtPr>
                                              <w:rPr>
                                                <w:color w:val="FFFFFF" w:themeColor="background1"/>
                                              </w:rPr>
                                              <w:alias w:val="Date"/>
                                              <w:tag w:val=""/>
                                              <w:id w:val="748164578"/>
                                              <w:placeholder>
                                                <w:docPart w:val="E7E1656F731F48F08F42D89BE0768C89"/>
                                              </w:placeholder>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7871C0E2" w14:textId="77777777" w:rsidR="001136BA" w:rsidRDefault="001136BA">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5923909"/>
                                            <w:placeholder>
                                              <w:docPart w:val="46D245B4C1FF40468FFF1C7DD8B23C75"/>
                                            </w:placeholder>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F019D68" w14:textId="77777777" w:rsidR="001136BA" w:rsidRDefault="001136BA">
                                                <w:pPr>
                                                  <w:pStyle w:val="NoSpacing"/>
                                                  <w:ind w:left="144" w:right="720"/>
                                                  <w:jc w:val="right"/>
                                                  <w:rPr>
                                                    <w:color w:val="FFFFFF" w:themeColor="background1"/>
                                                  </w:rPr>
                                                </w:pPr>
                                                <w:r>
                                                  <w:rPr>
                                                    <w:color w:val="FFFFFF" w:themeColor="background1"/>
                                                  </w:rPr>
                                                  <w:t>[Course title]</w:t>
                                                </w:r>
                                              </w:p>
                                            </w:tc>
                                          </w:sdtContent>
                                        </w:sdt>
                                      </w:tr>
                                    </w:tbl>
                                    <w:p w14:paraId="76E1574C" w14:textId="77777777" w:rsidR="001136BA" w:rsidRDefault="001136BA"/>
                                  </w:tc>
                                </w:tr>
                              </w:tbl>
                              <w:p w14:paraId="2BDA263B" w14:textId="77777777" w:rsidR="001136BA" w:rsidRDefault="001136B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417C225" id="_x0000_t202" coordsize="21600,21600" o:spt="202" path="m,l,21600r21600,l21600,xe">
                    <v:stroke joinstyle="miter"/>
                    <v:path gradientshapeok="t" o:connecttype="rect"/>
                  </v:shapetype>
                  <v:shape id="Text Box 2"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1136BA" w14:paraId="3C515217" w14:textId="77777777">
                            <w:trPr>
                              <w:trHeight w:hRule="exact" w:val="9360"/>
                            </w:trPr>
                            <w:tc>
                              <w:tcPr>
                                <w:tcW w:w="9350" w:type="dxa"/>
                              </w:tcPr>
                              <w:p w14:paraId="20537236" w14:textId="07963C35" w:rsidR="001136BA" w:rsidRDefault="001136BA">
                                <w:r>
                                  <w:rPr>
                                    <w:noProof/>
                                  </w:rPr>
                                  <w:drawing>
                                    <wp:inline distT="0" distB="0" distL="0" distR="0" wp14:anchorId="2990645E" wp14:editId="7D583176">
                                      <wp:extent cx="6844665" cy="5867400"/>
                                      <wp:effectExtent l="0" t="0" r="0" b="0"/>
                                      <wp:docPr id="999537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537578" name="Picture 999537578"/>
                                              <pic:cNvPicPr/>
                                            </pic:nvPicPr>
                                            <pic:blipFill>
                                              <a:blip r:embed="rId8">
                                                <a:extLst>
                                                  <a:ext uri="{28A0092B-C50C-407E-A947-70E740481C1C}">
                                                    <a14:useLocalDpi xmlns:a14="http://schemas.microsoft.com/office/drawing/2010/main" val="0"/>
                                                  </a:ext>
                                                </a:extLst>
                                              </a:blip>
                                              <a:stretch>
                                                <a:fillRect/>
                                              </a:stretch>
                                            </pic:blipFill>
                                            <pic:spPr>
                                              <a:xfrm>
                                                <a:off x="0" y="0"/>
                                                <a:ext cx="6881070" cy="5898607"/>
                                              </a:xfrm>
                                              <a:prstGeom prst="rect">
                                                <a:avLst/>
                                              </a:prstGeom>
                                            </pic:spPr>
                                          </pic:pic>
                                        </a:graphicData>
                                      </a:graphic>
                                    </wp:inline>
                                  </w:drawing>
                                </w:r>
                              </w:p>
                            </w:tc>
                          </w:tr>
                          <w:tr w:rsidR="001136BA" w14:paraId="5463438A" w14:textId="77777777">
                            <w:trPr>
                              <w:trHeight w:hRule="exact" w:val="4320"/>
                            </w:trPr>
                            <w:tc>
                              <w:tcPr>
                                <w:tcW w:w="9350" w:type="dxa"/>
                                <w:shd w:val="clear" w:color="auto" w:fill="0E2841" w:themeFill="text2"/>
                                <w:vAlign w:val="center"/>
                              </w:tcPr>
                              <w:p w14:paraId="16C71958" w14:textId="17CE8D7A" w:rsidR="001136BA"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87AFCFF721A242E28910487F2ECB6480"/>
                                    </w:placeholder>
                                    <w:dataBinding w:prefixMappings="xmlns:ns0='http://purl.org/dc/elements/1.1/' xmlns:ns1='http://schemas.openxmlformats.org/package/2006/metadata/core-properties' " w:xpath="/ns1:coreProperties[1]/ns0:title[1]" w:storeItemID="{6C3C8BC8-F283-45AE-878A-BAB7291924A1}"/>
                                    <w:text/>
                                  </w:sdtPr>
                                  <w:sdtContent>
                                    <w:r w:rsidR="001136BA">
                                      <w:rPr>
                                        <w:rFonts w:asciiTheme="majorHAnsi" w:hAnsiTheme="majorHAnsi"/>
                                        <w:color w:val="FFFFFF" w:themeColor="background1"/>
                                        <w:sz w:val="96"/>
                                        <w:szCs w:val="96"/>
                                      </w:rPr>
                                      <w:t>DATA SECURITY AND COMPLIANCE</w:t>
                                    </w:r>
                                  </w:sdtContent>
                                </w:sdt>
                              </w:p>
                              <w:p w14:paraId="6F240867" w14:textId="4584F609" w:rsidR="001136BA"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C6EB0E6152FF428699DFAC22607F5F8A"/>
                                    </w:placeholder>
                                    <w:dataBinding w:prefixMappings="xmlns:ns0='http://purl.org/dc/elements/1.1/' xmlns:ns1='http://schemas.openxmlformats.org/package/2006/metadata/core-properties' " w:xpath="/ns1:coreProperties[1]/ns0:subject[1]" w:storeItemID="{6C3C8BC8-F283-45AE-878A-BAB7291924A1}"/>
                                    <w:text/>
                                  </w:sdtPr>
                                  <w:sdtContent>
                                    <w:r w:rsidR="001136BA" w:rsidRPr="001136BA">
                                      <w:rPr>
                                        <w:color w:val="FFFFFF" w:themeColor="background1"/>
                                        <w:sz w:val="32"/>
                                        <w:szCs w:val="32"/>
                                      </w:rPr>
                                      <w:t>ACCA5034</w:t>
                                    </w:r>
                                  </w:sdtContent>
                                </w:sdt>
                              </w:p>
                            </w:tc>
                          </w:tr>
                          <w:tr w:rsidR="001136BA" w14:paraId="3DDEEA95"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1136BA" w14:paraId="3C0069A3" w14:textId="77777777">
                                  <w:trPr>
                                    <w:trHeight w:hRule="exact" w:val="720"/>
                                  </w:trPr>
                                  <w:tc>
                                    <w:tcPr>
                                      <w:tcW w:w="3590" w:type="dxa"/>
                                      <w:vAlign w:val="center"/>
                                    </w:tcPr>
                                    <w:p w14:paraId="7F22E32A" w14:textId="59CDE970" w:rsidR="001136BA" w:rsidRDefault="00000000">
                                      <w:pPr>
                                        <w:pStyle w:val="NoSpacing"/>
                                        <w:ind w:left="720" w:right="144"/>
                                        <w:rPr>
                                          <w:color w:val="FFFFFF" w:themeColor="background1"/>
                                        </w:rPr>
                                      </w:pPr>
                                      <w:sdt>
                                        <w:sdtPr>
                                          <w:rPr>
                                            <w:color w:val="FFFFFF" w:themeColor="background1"/>
                                          </w:rPr>
                                          <w:alias w:val="Author"/>
                                          <w:tag w:val=""/>
                                          <w:id w:val="942812742"/>
                                          <w:placeholder>
                                            <w:docPart w:val="0558628E5E7B4A3D8769AB3216C562A9"/>
                                          </w:placeholder>
                                          <w:dataBinding w:prefixMappings="xmlns:ns0='http://purl.org/dc/elements/1.1/' xmlns:ns1='http://schemas.openxmlformats.org/package/2006/metadata/core-properties' " w:xpath="/ns1:coreProperties[1]/ns0:creator[1]" w:storeItemID="{6C3C8BC8-F283-45AE-878A-BAB7291924A1}"/>
                                          <w:text/>
                                        </w:sdtPr>
                                        <w:sdtContent>
                                          <w:r w:rsidR="001136BA">
                                            <w:rPr>
                                              <w:color w:val="FFFFFF" w:themeColor="background1"/>
                                            </w:rPr>
                                            <w:t>Darina Tsoneva</w:t>
                                          </w:r>
                                        </w:sdtContent>
                                      </w:sdt>
                                    </w:p>
                                  </w:tc>
                                  <w:tc>
                                    <w:tcPr>
                                      <w:tcW w:w="3591" w:type="dxa"/>
                                      <w:vAlign w:val="center"/>
                                    </w:tcPr>
                                    <w:sdt>
                                      <w:sdtPr>
                                        <w:rPr>
                                          <w:color w:val="FFFFFF" w:themeColor="background1"/>
                                        </w:rPr>
                                        <w:alias w:val="Date"/>
                                        <w:tag w:val=""/>
                                        <w:id w:val="748164578"/>
                                        <w:placeholder>
                                          <w:docPart w:val="E7E1656F731F48F08F42D89BE0768C89"/>
                                        </w:placeholder>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7871C0E2" w14:textId="77777777" w:rsidR="001136BA" w:rsidRDefault="001136BA">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5923909"/>
                                      <w:placeholder>
                                        <w:docPart w:val="46D245B4C1FF40468FFF1C7DD8B23C75"/>
                                      </w:placeholder>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F019D68" w14:textId="77777777" w:rsidR="001136BA" w:rsidRDefault="001136BA">
                                          <w:pPr>
                                            <w:pStyle w:val="NoSpacing"/>
                                            <w:ind w:left="144" w:right="720"/>
                                            <w:jc w:val="right"/>
                                            <w:rPr>
                                              <w:color w:val="FFFFFF" w:themeColor="background1"/>
                                            </w:rPr>
                                          </w:pPr>
                                          <w:r>
                                            <w:rPr>
                                              <w:color w:val="FFFFFF" w:themeColor="background1"/>
                                            </w:rPr>
                                            <w:t>[Course title]</w:t>
                                          </w:r>
                                        </w:p>
                                      </w:tc>
                                    </w:sdtContent>
                                  </w:sdt>
                                </w:tr>
                              </w:tbl>
                              <w:p w14:paraId="76E1574C" w14:textId="77777777" w:rsidR="001136BA" w:rsidRDefault="001136BA"/>
                            </w:tc>
                          </w:tr>
                        </w:tbl>
                        <w:p w14:paraId="2BDA263B" w14:textId="77777777" w:rsidR="001136BA" w:rsidRDefault="001136BA"/>
                      </w:txbxContent>
                    </v:textbox>
                    <w10:wrap anchorx="page" anchory="page"/>
                  </v:shape>
                </w:pict>
              </mc:Fallback>
            </mc:AlternateContent>
          </w:r>
        </w:p>
        <w:p w14:paraId="691B32BF" w14:textId="42CE4A4E" w:rsidR="001136BA" w:rsidRDefault="001136BA">
          <w:pPr>
            <w:rPr>
              <w:color w:val="FFFFFF" w:themeColor="background1"/>
              <w:sz w:val="21"/>
              <w:szCs w:val="21"/>
            </w:rPr>
          </w:pPr>
          <w:r>
            <w:rPr>
              <w:color w:val="FFFFFF" w:themeColor="background1"/>
              <w:sz w:val="21"/>
              <w:szCs w:val="21"/>
            </w:rPr>
            <w:br w:type="page"/>
          </w:r>
        </w:p>
      </w:sdtContent>
    </w:sdt>
    <w:sdt>
      <w:sdtPr>
        <w:rPr>
          <w:rFonts w:asciiTheme="minorHAnsi" w:eastAsiaTheme="minorHAnsi" w:hAnsiTheme="minorHAnsi" w:cstheme="minorBidi"/>
          <w:color w:val="auto"/>
          <w:kern w:val="2"/>
          <w:sz w:val="24"/>
          <w:szCs w:val="24"/>
          <w:lang w:val="en-GB"/>
          <w14:ligatures w14:val="standardContextual"/>
        </w:rPr>
        <w:id w:val="-272941357"/>
        <w:docPartObj>
          <w:docPartGallery w:val="Table of Contents"/>
          <w:docPartUnique/>
        </w:docPartObj>
      </w:sdtPr>
      <w:sdtEndPr>
        <w:rPr>
          <w:b/>
          <w:bCs/>
          <w:noProof/>
        </w:rPr>
      </w:sdtEndPr>
      <w:sdtContent>
        <w:p w14:paraId="5A5D47A7" w14:textId="3EE609F5" w:rsidR="00C9407E" w:rsidRDefault="00C9407E">
          <w:pPr>
            <w:pStyle w:val="TOCHeading"/>
          </w:pPr>
          <w:r>
            <w:t>Contents</w:t>
          </w:r>
        </w:p>
        <w:p w14:paraId="40F97858" w14:textId="7984B669" w:rsidR="00E22201" w:rsidRDefault="00C9407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447724" w:history="1">
            <w:r w:rsidR="00E22201" w:rsidRPr="0016271A">
              <w:rPr>
                <w:rStyle w:val="Hyperlink"/>
                <w:noProof/>
              </w:rPr>
              <w:t>Task 1: Governance of AI and Machine Learning Systems: Managing Risk, Ethics, and Compliance for AI Data and Models</w:t>
            </w:r>
            <w:r w:rsidR="00E22201">
              <w:rPr>
                <w:noProof/>
                <w:webHidden/>
              </w:rPr>
              <w:tab/>
            </w:r>
            <w:r w:rsidR="00E22201">
              <w:rPr>
                <w:noProof/>
                <w:webHidden/>
              </w:rPr>
              <w:fldChar w:fldCharType="begin"/>
            </w:r>
            <w:r w:rsidR="00E22201">
              <w:rPr>
                <w:noProof/>
                <w:webHidden/>
              </w:rPr>
              <w:instrText xml:space="preserve"> PAGEREF _Toc235447724 \h </w:instrText>
            </w:r>
            <w:r w:rsidR="00E22201">
              <w:rPr>
                <w:noProof/>
                <w:webHidden/>
              </w:rPr>
            </w:r>
            <w:r w:rsidR="00E22201">
              <w:rPr>
                <w:noProof/>
                <w:webHidden/>
              </w:rPr>
              <w:fldChar w:fldCharType="separate"/>
            </w:r>
            <w:r w:rsidR="00E22201">
              <w:rPr>
                <w:noProof/>
                <w:webHidden/>
              </w:rPr>
              <w:t>2</w:t>
            </w:r>
            <w:r w:rsidR="00E22201">
              <w:rPr>
                <w:noProof/>
                <w:webHidden/>
              </w:rPr>
              <w:fldChar w:fldCharType="end"/>
            </w:r>
          </w:hyperlink>
        </w:p>
        <w:p w14:paraId="3D8AA003" w14:textId="678D2849" w:rsidR="00E22201" w:rsidRDefault="00E22201">
          <w:pPr>
            <w:pStyle w:val="TOC2"/>
            <w:tabs>
              <w:tab w:val="right" w:leader="dot" w:pos="9016"/>
            </w:tabs>
            <w:rPr>
              <w:rFonts w:eastAsiaTheme="minorEastAsia"/>
              <w:noProof/>
              <w:lang w:eastAsia="en-GB"/>
            </w:rPr>
          </w:pPr>
          <w:hyperlink w:anchor="_Toc235447725" w:history="1">
            <w:r w:rsidRPr="0016271A">
              <w:rPr>
                <w:rStyle w:val="Hyperlink"/>
                <w:noProof/>
              </w:rPr>
              <w:t>1.1 Introduction [6][7][16]</w:t>
            </w:r>
            <w:r>
              <w:rPr>
                <w:noProof/>
                <w:webHidden/>
              </w:rPr>
              <w:tab/>
            </w:r>
            <w:r>
              <w:rPr>
                <w:noProof/>
                <w:webHidden/>
              </w:rPr>
              <w:fldChar w:fldCharType="begin"/>
            </w:r>
            <w:r>
              <w:rPr>
                <w:noProof/>
                <w:webHidden/>
              </w:rPr>
              <w:instrText xml:space="preserve"> PAGEREF _Toc235447725 \h </w:instrText>
            </w:r>
            <w:r>
              <w:rPr>
                <w:noProof/>
                <w:webHidden/>
              </w:rPr>
            </w:r>
            <w:r>
              <w:rPr>
                <w:noProof/>
                <w:webHidden/>
              </w:rPr>
              <w:fldChar w:fldCharType="separate"/>
            </w:r>
            <w:r>
              <w:rPr>
                <w:noProof/>
                <w:webHidden/>
              </w:rPr>
              <w:t>2</w:t>
            </w:r>
            <w:r>
              <w:rPr>
                <w:noProof/>
                <w:webHidden/>
              </w:rPr>
              <w:fldChar w:fldCharType="end"/>
            </w:r>
          </w:hyperlink>
        </w:p>
        <w:p w14:paraId="0A2956FA" w14:textId="58A9D2FD" w:rsidR="00E22201" w:rsidRDefault="00E22201">
          <w:pPr>
            <w:pStyle w:val="TOC2"/>
            <w:tabs>
              <w:tab w:val="right" w:leader="dot" w:pos="9016"/>
            </w:tabs>
            <w:rPr>
              <w:rFonts w:eastAsiaTheme="minorEastAsia"/>
              <w:noProof/>
              <w:lang w:eastAsia="en-GB"/>
            </w:rPr>
          </w:pPr>
          <w:hyperlink w:anchor="_Toc235447726" w:history="1">
            <w:r w:rsidRPr="0016271A">
              <w:rPr>
                <w:rStyle w:val="Hyperlink"/>
                <w:noProof/>
              </w:rPr>
              <w:t>1.2 The Landscape of AI Governance [2][4][16][21]</w:t>
            </w:r>
            <w:r>
              <w:rPr>
                <w:noProof/>
                <w:webHidden/>
              </w:rPr>
              <w:tab/>
            </w:r>
            <w:r>
              <w:rPr>
                <w:noProof/>
                <w:webHidden/>
              </w:rPr>
              <w:fldChar w:fldCharType="begin"/>
            </w:r>
            <w:r>
              <w:rPr>
                <w:noProof/>
                <w:webHidden/>
              </w:rPr>
              <w:instrText xml:space="preserve"> PAGEREF _Toc235447726 \h </w:instrText>
            </w:r>
            <w:r>
              <w:rPr>
                <w:noProof/>
                <w:webHidden/>
              </w:rPr>
            </w:r>
            <w:r>
              <w:rPr>
                <w:noProof/>
                <w:webHidden/>
              </w:rPr>
              <w:fldChar w:fldCharType="separate"/>
            </w:r>
            <w:r>
              <w:rPr>
                <w:noProof/>
                <w:webHidden/>
              </w:rPr>
              <w:t>2</w:t>
            </w:r>
            <w:r>
              <w:rPr>
                <w:noProof/>
                <w:webHidden/>
              </w:rPr>
              <w:fldChar w:fldCharType="end"/>
            </w:r>
          </w:hyperlink>
        </w:p>
        <w:p w14:paraId="6EFA7E06" w14:textId="30A193C9" w:rsidR="00E22201" w:rsidRDefault="00E22201">
          <w:pPr>
            <w:pStyle w:val="TOC2"/>
            <w:tabs>
              <w:tab w:val="right" w:leader="dot" w:pos="9016"/>
            </w:tabs>
            <w:rPr>
              <w:rFonts w:eastAsiaTheme="minorEastAsia"/>
              <w:noProof/>
              <w:lang w:eastAsia="en-GB"/>
            </w:rPr>
          </w:pPr>
          <w:hyperlink w:anchor="_Toc235447727" w:history="1">
            <w:r w:rsidRPr="0016271A">
              <w:rPr>
                <w:rStyle w:val="Hyperlink"/>
                <w:noProof/>
              </w:rPr>
              <w:t>1.3 Key Risk Dimensions in AI and ML Governance</w:t>
            </w:r>
            <w:r>
              <w:rPr>
                <w:noProof/>
                <w:webHidden/>
              </w:rPr>
              <w:tab/>
            </w:r>
            <w:r>
              <w:rPr>
                <w:noProof/>
                <w:webHidden/>
              </w:rPr>
              <w:fldChar w:fldCharType="begin"/>
            </w:r>
            <w:r>
              <w:rPr>
                <w:noProof/>
                <w:webHidden/>
              </w:rPr>
              <w:instrText xml:space="preserve"> PAGEREF _Toc235447727 \h </w:instrText>
            </w:r>
            <w:r>
              <w:rPr>
                <w:noProof/>
                <w:webHidden/>
              </w:rPr>
            </w:r>
            <w:r>
              <w:rPr>
                <w:noProof/>
                <w:webHidden/>
              </w:rPr>
              <w:fldChar w:fldCharType="separate"/>
            </w:r>
            <w:r>
              <w:rPr>
                <w:noProof/>
                <w:webHidden/>
              </w:rPr>
              <w:t>3</w:t>
            </w:r>
            <w:r>
              <w:rPr>
                <w:noProof/>
                <w:webHidden/>
              </w:rPr>
              <w:fldChar w:fldCharType="end"/>
            </w:r>
          </w:hyperlink>
        </w:p>
        <w:p w14:paraId="1AC197C8" w14:textId="7EBB5B13" w:rsidR="00E22201" w:rsidRDefault="00E22201">
          <w:pPr>
            <w:pStyle w:val="TOC3"/>
            <w:tabs>
              <w:tab w:val="right" w:leader="dot" w:pos="9016"/>
            </w:tabs>
            <w:rPr>
              <w:rFonts w:eastAsiaTheme="minorEastAsia"/>
              <w:noProof/>
              <w:lang w:eastAsia="en-GB"/>
            </w:rPr>
          </w:pPr>
          <w:hyperlink w:anchor="_Toc235447728" w:history="1">
            <w:r w:rsidRPr="0016271A">
              <w:rPr>
                <w:rStyle w:val="Hyperlink"/>
                <w:noProof/>
              </w:rPr>
              <w:t>1.3.1 Data Integrity and Privacy Risk [10][4]21]</w:t>
            </w:r>
            <w:r>
              <w:rPr>
                <w:noProof/>
                <w:webHidden/>
              </w:rPr>
              <w:tab/>
            </w:r>
            <w:r>
              <w:rPr>
                <w:noProof/>
                <w:webHidden/>
              </w:rPr>
              <w:fldChar w:fldCharType="begin"/>
            </w:r>
            <w:r>
              <w:rPr>
                <w:noProof/>
                <w:webHidden/>
              </w:rPr>
              <w:instrText xml:space="preserve"> PAGEREF _Toc235447728 \h </w:instrText>
            </w:r>
            <w:r>
              <w:rPr>
                <w:noProof/>
                <w:webHidden/>
              </w:rPr>
            </w:r>
            <w:r>
              <w:rPr>
                <w:noProof/>
                <w:webHidden/>
              </w:rPr>
              <w:fldChar w:fldCharType="separate"/>
            </w:r>
            <w:r>
              <w:rPr>
                <w:noProof/>
                <w:webHidden/>
              </w:rPr>
              <w:t>3</w:t>
            </w:r>
            <w:r>
              <w:rPr>
                <w:noProof/>
                <w:webHidden/>
              </w:rPr>
              <w:fldChar w:fldCharType="end"/>
            </w:r>
          </w:hyperlink>
        </w:p>
        <w:p w14:paraId="0FE880D7" w14:textId="026EE444" w:rsidR="00E22201" w:rsidRDefault="00E22201">
          <w:pPr>
            <w:pStyle w:val="TOC3"/>
            <w:tabs>
              <w:tab w:val="right" w:leader="dot" w:pos="9016"/>
            </w:tabs>
            <w:rPr>
              <w:rFonts w:eastAsiaTheme="minorEastAsia"/>
              <w:noProof/>
              <w:lang w:eastAsia="en-GB"/>
            </w:rPr>
          </w:pPr>
          <w:hyperlink w:anchor="_Toc235447729" w:history="1">
            <w:r w:rsidRPr="0016271A">
              <w:rPr>
                <w:rStyle w:val="Hyperlink"/>
                <w:noProof/>
              </w:rPr>
              <w:t>1.3.2 Algorithmic Bias and Ethical Risk[1][3][5]</w:t>
            </w:r>
            <w:r>
              <w:rPr>
                <w:noProof/>
                <w:webHidden/>
              </w:rPr>
              <w:tab/>
            </w:r>
            <w:r>
              <w:rPr>
                <w:noProof/>
                <w:webHidden/>
              </w:rPr>
              <w:fldChar w:fldCharType="begin"/>
            </w:r>
            <w:r>
              <w:rPr>
                <w:noProof/>
                <w:webHidden/>
              </w:rPr>
              <w:instrText xml:space="preserve"> PAGEREF _Toc235447729 \h </w:instrText>
            </w:r>
            <w:r>
              <w:rPr>
                <w:noProof/>
                <w:webHidden/>
              </w:rPr>
            </w:r>
            <w:r>
              <w:rPr>
                <w:noProof/>
                <w:webHidden/>
              </w:rPr>
              <w:fldChar w:fldCharType="separate"/>
            </w:r>
            <w:r>
              <w:rPr>
                <w:noProof/>
                <w:webHidden/>
              </w:rPr>
              <w:t>4</w:t>
            </w:r>
            <w:r>
              <w:rPr>
                <w:noProof/>
                <w:webHidden/>
              </w:rPr>
              <w:fldChar w:fldCharType="end"/>
            </w:r>
          </w:hyperlink>
        </w:p>
        <w:p w14:paraId="65A37FE3" w14:textId="3C3147EB" w:rsidR="00E22201" w:rsidRDefault="00E22201">
          <w:pPr>
            <w:pStyle w:val="TOC3"/>
            <w:tabs>
              <w:tab w:val="right" w:leader="dot" w:pos="9016"/>
            </w:tabs>
            <w:rPr>
              <w:rFonts w:eastAsiaTheme="minorEastAsia"/>
              <w:noProof/>
              <w:lang w:eastAsia="en-GB"/>
            </w:rPr>
          </w:pPr>
          <w:hyperlink w:anchor="_Toc235447730" w:history="1">
            <w:r w:rsidRPr="0016271A">
              <w:rPr>
                <w:rStyle w:val="Hyperlink"/>
                <w:noProof/>
              </w:rPr>
              <w:t>1.3.3 Adversarial Attacks and Model Security[19]</w:t>
            </w:r>
            <w:r>
              <w:rPr>
                <w:noProof/>
                <w:webHidden/>
              </w:rPr>
              <w:tab/>
            </w:r>
            <w:r>
              <w:rPr>
                <w:noProof/>
                <w:webHidden/>
              </w:rPr>
              <w:fldChar w:fldCharType="begin"/>
            </w:r>
            <w:r>
              <w:rPr>
                <w:noProof/>
                <w:webHidden/>
              </w:rPr>
              <w:instrText xml:space="preserve"> PAGEREF _Toc235447730 \h </w:instrText>
            </w:r>
            <w:r>
              <w:rPr>
                <w:noProof/>
                <w:webHidden/>
              </w:rPr>
            </w:r>
            <w:r>
              <w:rPr>
                <w:noProof/>
                <w:webHidden/>
              </w:rPr>
              <w:fldChar w:fldCharType="separate"/>
            </w:r>
            <w:r>
              <w:rPr>
                <w:noProof/>
                <w:webHidden/>
              </w:rPr>
              <w:t>4</w:t>
            </w:r>
            <w:r>
              <w:rPr>
                <w:noProof/>
                <w:webHidden/>
              </w:rPr>
              <w:fldChar w:fldCharType="end"/>
            </w:r>
          </w:hyperlink>
        </w:p>
        <w:p w14:paraId="4C6E01C1" w14:textId="3C6EC6CE" w:rsidR="00E22201" w:rsidRDefault="00E22201">
          <w:pPr>
            <w:pStyle w:val="TOC3"/>
            <w:tabs>
              <w:tab w:val="right" w:leader="dot" w:pos="9016"/>
            </w:tabs>
            <w:rPr>
              <w:rFonts w:eastAsiaTheme="minorEastAsia"/>
              <w:noProof/>
              <w:lang w:eastAsia="en-GB"/>
            </w:rPr>
          </w:pPr>
          <w:hyperlink w:anchor="_Toc235447731" w:history="1">
            <w:r w:rsidRPr="0016271A">
              <w:rPr>
                <w:rStyle w:val="Hyperlink"/>
                <w:noProof/>
              </w:rPr>
              <w:t>1.3.4 Model Transparency and Explainability[20]</w:t>
            </w:r>
            <w:r>
              <w:rPr>
                <w:noProof/>
                <w:webHidden/>
              </w:rPr>
              <w:tab/>
            </w:r>
            <w:r>
              <w:rPr>
                <w:noProof/>
                <w:webHidden/>
              </w:rPr>
              <w:fldChar w:fldCharType="begin"/>
            </w:r>
            <w:r>
              <w:rPr>
                <w:noProof/>
                <w:webHidden/>
              </w:rPr>
              <w:instrText xml:space="preserve"> PAGEREF _Toc235447731 \h </w:instrText>
            </w:r>
            <w:r>
              <w:rPr>
                <w:noProof/>
                <w:webHidden/>
              </w:rPr>
            </w:r>
            <w:r>
              <w:rPr>
                <w:noProof/>
                <w:webHidden/>
              </w:rPr>
              <w:fldChar w:fldCharType="separate"/>
            </w:r>
            <w:r>
              <w:rPr>
                <w:noProof/>
                <w:webHidden/>
              </w:rPr>
              <w:t>4</w:t>
            </w:r>
            <w:r>
              <w:rPr>
                <w:noProof/>
                <w:webHidden/>
              </w:rPr>
              <w:fldChar w:fldCharType="end"/>
            </w:r>
          </w:hyperlink>
        </w:p>
        <w:p w14:paraId="33461E3C" w14:textId="6C40CF5D" w:rsidR="00E22201" w:rsidRDefault="00E22201">
          <w:pPr>
            <w:pStyle w:val="TOC2"/>
            <w:tabs>
              <w:tab w:val="right" w:leader="dot" w:pos="9016"/>
            </w:tabs>
            <w:rPr>
              <w:rFonts w:eastAsiaTheme="minorEastAsia"/>
              <w:noProof/>
              <w:lang w:eastAsia="en-GB"/>
            </w:rPr>
          </w:pPr>
          <w:hyperlink w:anchor="_Toc235447732" w:history="1">
            <w:r w:rsidRPr="0016271A">
              <w:rPr>
                <w:rStyle w:val="Hyperlink"/>
                <w:noProof/>
              </w:rPr>
              <w:t>1.4 Regulatory and Framework Analysis</w:t>
            </w:r>
            <w:r>
              <w:rPr>
                <w:noProof/>
                <w:webHidden/>
              </w:rPr>
              <w:tab/>
            </w:r>
            <w:r>
              <w:rPr>
                <w:noProof/>
                <w:webHidden/>
              </w:rPr>
              <w:fldChar w:fldCharType="begin"/>
            </w:r>
            <w:r>
              <w:rPr>
                <w:noProof/>
                <w:webHidden/>
              </w:rPr>
              <w:instrText xml:space="preserve"> PAGEREF _Toc235447732 \h </w:instrText>
            </w:r>
            <w:r>
              <w:rPr>
                <w:noProof/>
                <w:webHidden/>
              </w:rPr>
            </w:r>
            <w:r>
              <w:rPr>
                <w:noProof/>
                <w:webHidden/>
              </w:rPr>
              <w:fldChar w:fldCharType="separate"/>
            </w:r>
            <w:r>
              <w:rPr>
                <w:noProof/>
                <w:webHidden/>
              </w:rPr>
              <w:t>5</w:t>
            </w:r>
            <w:r>
              <w:rPr>
                <w:noProof/>
                <w:webHidden/>
              </w:rPr>
              <w:fldChar w:fldCharType="end"/>
            </w:r>
          </w:hyperlink>
        </w:p>
        <w:p w14:paraId="2402A476" w14:textId="3870CC22" w:rsidR="00E22201" w:rsidRDefault="00E22201">
          <w:pPr>
            <w:pStyle w:val="TOC3"/>
            <w:tabs>
              <w:tab w:val="right" w:leader="dot" w:pos="9016"/>
            </w:tabs>
            <w:rPr>
              <w:rFonts w:eastAsiaTheme="minorEastAsia"/>
              <w:noProof/>
              <w:lang w:eastAsia="en-GB"/>
            </w:rPr>
          </w:pPr>
          <w:hyperlink w:anchor="_Toc235447733" w:history="1">
            <w:r w:rsidRPr="0016271A">
              <w:rPr>
                <w:rStyle w:val="Hyperlink"/>
                <w:noProof/>
              </w:rPr>
              <w:t>1.4.1 The EU AI Act [6]</w:t>
            </w:r>
            <w:r>
              <w:rPr>
                <w:noProof/>
                <w:webHidden/>
              </w:rPr>
              <w:tab/>
            </w:r>
            <w:r>
              <w:rPr>
                <w:noProof/>
                <w:webHidden/>
              </w:rPr>
              <w:fldChar w:fldCharType="begin"/>
            </w:r>
            <w:r>
              <w:rPr>
                <w:noProof/>
                <w:webHidden/>
              </w:rPr>
              <w:instrText xml:space="preserve"> PAGEREF _Toc235447733 \h </w:instrText>
            </w:r>
            <w:r>
              <w:rPr>
                <w:noProof/>
                <w:webHidden/>
              </w:rPr>
            </w:r>
            <w:r>
              <w:rPr>
                <w:noProof/>
                <w:webHidden/>
              </w:rPr>
              <w:fldChar w:fldCharType="separate"/>
            </w:r>
            <w:r>
              <w:rPr>
                <w:noProof/>
                <w:webHidden/>
              </w:rPr>
              <w:t>5</w:t>
            </w:r>
            <w:r>
              <w:rPr>
                <w:noProof/>
                <w:webHidden/>
              </w:rPr>
              <w:fldChar w:fldCharType="end"/>
            </w:r>
          </w:hyperlink>
        </w:p>
        <w:p w14:paraId="146C1358" w14:textId="6494AC46" w:rsidR="00E22201" w:rsidRDefault="00E22201">
          <w:pPr>
            <w:pStyle w:val="TOC3"/>
            <w:tabs>
              <w:tab w:val="right" w:leader="dot" w:pos="9016"/>
            </w:tabs>
            <w:rPr>
              <w:rFonts w:eastAsiaTheme="minorEastAsia"/>
              <w:noProof/>
              <w:lang w:eastAsia="en-GB"/>
            </w:rPr>
          </w:pPr>
          <w:hyperlink w:anchor="_Toc235447734" w:history="1">
            <w:r w:rsidRPr="0016271A">
              <w:rPr>
                <w:rStyle w:val="Hyperlink"/>
                <w:noProof/>
              </w:rPr>
              <w:t>1.4.2 NIST AI Risk Management Framework</w:t>
            </w:r>
            <w:r>
              <w:rPr>
                <w:noProof/>
                <w:webHidden/>
              </w:rPr>
              <w:tab/>
            </w:r>
            <w:r>
              <w:rPr>
                <w:noProof/>
                <w:webHidden/>
              </w:rPr>
              <w:fldChar w:fldCharType="begin"/>
            </w:r>
            <w:r>
              <w:rPr>
                <w:noProof/>
                <w:webHidden/>
              </w:rPr>
              <w:instrText xml:space="preserve"> PAGEREF _Toc235447734 \h </w:instrText>
            </w:r>
            <w:r>
              <w:rPr>
                <w:noProof/>
                <w:webHidden/>
              </w:rPr>
            </w:r>
            <w:r>
              <w:rPr>
                <w:noProof/>
                <w:webHidden/>
              </w:rPr>
              <w:fldChar w:fldCharType="separate"/>
            </w:r>
            <w:r>
              <w:rPr>
                <w:noProof/>
                <w:webHidden/>
              </w:rPr>
              <w:t>5</w:t>
            </w:r>
            <w:r>
              <w:rPr>
                <w:noProof/>
                <w:webHidden/>
              </w:rPr>
              <w:fldChar w:fldCharType="end"/>
            </w:r>
          </w:hyperlink>
        </w:p>
        <w:p w14:paraId="112ECD98" w14:textId="7CC7C67B" w:rsidR="00E22201" w:rsidRDefault="00E22201">
          <w:pPr>
            <w:pStyle w:val="TOC3"/>
            <w:tabs>
              <w:tab w:val="right" w:leader="dot" w:pos="9016"/>
            </w:tabs>
            <w:rPr>
              <w:rFonts w:eastAsiaTheme="minorEastAsia"/>
              <w:noProof/>
              <w:lang w:eastAsia="en-GB"/>
            </w:rPr>
          </w:pPr>
          <w:hyperlink w:anchor="_Toc235447735" w:history="1">
            <w:r w:rsidRPr="0016271A">
              <w:rPr>
                <w:rStyle w:val="Hyperlink"/>
                <w:noProof/>
              </w:rPr>
              <w:t>1.4.3 ISO/IEC [16][23]</w:t>
            </w:r>
            <w:r>
              <w:rPr>
                <w:noProof/>
                <w:webHidden/>
              </w:rPr>
              <w:tab/>
            </w:r>
            <w:r>
              <w:rPr>
                <w:noProof/>
                <w:webHidden/>
              </w:rPr>
              <w:fldChar w:fldCharType="begin"/>
            </w:r>
            <w:r>
              <w:rPr>
                <w:noProof/>
                <w:webHidden/>
              </w:rPr>
              <w:instrText xml:space="preserve"> PAGEREF _Toc235447735 \h </w:instrText>
            </w:r>
            <w:r>
              <w:rPr>
                <w:noProof/>
                <w:webHidden/>
              </w:rPr>
            </w:r>
            <w:r>
              <w:rPr>
                <w:noProof/>
                <w:webHidden/>
              </w:rPr>
              <w:fldChar w:fldCharType="separate"/>
            </w:r>
            <w:r>
              <w:rPr>
                <w:noProof/>
                <w:webHidden/>
              </w:rPr>
              <w:t>6</w:t>
            </w:r>
            <w:r>
              <w:rPr>
                <w:noProof/>
                <w:webHidden/>
              </w:rPr>
              <w:fldChar w:fldCharType="end"/>
            </w:r>
          </w:hyperlink>
        </w:p>
        <w:p w14:paraId="4B9203A7" w14:textId="4E5B34A1" w:rsidR="00E22201" w:rsidRDefault="00E22201">
          <w:pPr>
            <w:pStyle w:val="TOC2"/>
            <w:tabs>
              <w:tab w:val="right" w:leader="dot" w:pos="9016"/>
            </w:tabs>
            <w:rPr>
              <w:rFonts w:eastAsiaTheme="minorEastAsia"/>
              <w:noProof/>
              <w:lang w:eastAsia="en-GB"/>
            </w:rPr>
          </w:pPr>
          <w:hyperlink w:anchor="_Toc235447736" w:history="1">
            <w:r w:rsidRPr="0016271A">
              <w:rPr>
                <w:rStyle w:val="Hyperlink"/>
                <w:noProof/>
              </w:rPr>
              <w:t>1.5 Implementation Challenges and Critical Evaluation</w:t>
            </w:r>
            <w:r>
              <w:rPr>
                <w:noProof/>
                <w:webHidden/>
              </w:rPr>
              <w:tab/>
            </w:r>
            <w:r>
              <w:rPr>
                <w:noProof/>
                <w:webHidden/>
              </w:rPr>
              <w:fldChar w:fldCharType="begin"/>
            </w:r>
            <w:r>
              <w:rPr>
                <w:noProof/>
                <w:webHidden/>
              </w:rPr>
              <w:instrText xml:space="preserve"> PAGEREF _Toc235447736 \h </w:instrText>
            </w:r>
            <w:r>
              <w:rPr>
                <w:noProof/>
                <w:webHidden/>
              </w:rPr>
            </w:r>
            <w:r>
              <w:rPr>
                <w:noProof/>
                <w:webHidden/>
              </w:rPr>
              <w:fldChar w:fldCharType="separate"/>
            </w:r>
            <w:r>
              <w:rPr>
                <w:noProof/>
                <w:webHidden/>
              </w:rPr>
              <w:t>6</w:t>
            </w:r>
            <w:r>
              <w:rPr>
                <w:noProof/>
                <w:webHidden/>
              </w:rPr>
              <w:fldChar w:fldCharType="end"/>
            </w:r>
          </w:hyperlink>
        </w:p>
        <w:p w14:paraId="3BA309CA" w14:textId="1DA6970A" w:rsidR="00E22201" w:rsidRDefault="00E22201">
          <w:pPr>
            <w:pStyle w:val="TOC2"/>
            <w:tabs>
              <w:tab w:val="right" w:leader="dot" w:pos="9016"/>
            </w:tabs>
            <w:rPr>
              <w:rFonts w:eastAsiaTheme="minorEastAsia"/>
              <w:noProof/>
              <w:lang w:eastAsia="en-GB"/>
            </w:rPr>
          </w:pPr>
          <w:hyperlink w:anchor="_Toc235447737" w:history="1">
            <w:r w:rsidRPr="0016271A">
              <w:rPr>
                <w:rStyle w:val="Hyperlink"/>
                <w:noProof/>
              </w:rPr>
              <w:t>1.6 Brief explanation</w:t>
            </w:r>
            <w:r>
              <w:rPr>
                <w:noProof/>
                <w:webHidden/>
              </w:rPr>
              <w:tab/>
            </w:r>
            <w:r>
              <w:rPr>
                <w:noProof/>
                <w:webHidden/>
              </w:rPr>
              <w:fldChar w:fldCharType="begin"/>
            </w:r>
            <w:r>
              <w:rPr>
                <w:noProof/>
                <w:webHidden/>
              </w:rPr>
              <w:instrText xml:space="preserve"> PAGEREF _Toc235447737 \h </w:instrText>
            </w:r>
            <w:r>
              <w:rPr>
                <w:noProof/>
                <w:webHidden/>
              </w:rPr>
            </w:r>
            <w:r>
              <w:rPr>
                <w:noProof/>
                <w:webHidden/>
              </w:rPr>
              <w:fldChar w:fldCharType="separate"/>
            </w:r>
            <w:r>
              <w:rPr>
                <w:noProof/>
                <w:webHidden/>
              </w:rPr>
              <w:t>7</w:t>
            </w:r>
            <w:r>
              <w:rPr>
                <w:noProof/>
                <w:webHidden/>
              </w:rPr>
              <w:fldChar w:fldCharType="end"/>
            </w:r>
          </w:hyperlink>
        </w:p>
        <w:p w14:paraId="78BB6857" w14:textId="7D714788" w:rsidR="00E22201" w:rsidRDefault="00E22201">
          <w:pPr>
            <w:pStyle w:val="TOC1"/>
            <w:tabs>
              <w:tab w:val="right" w:leader="dot" w:pos="9016"/>
            </w:tabs>
            <w:rPr>
              <w:rFonts w:eastAsiaTheme="minorEastAsia"/>
              <w:noProof/>
              <w:lang w:eastAsia="en-GB"/>
            </w:rPr>
          </w:pPr>
          <w:hyperlink w:anchor="_Toc235447738" w:history="1">
            <w:r w:rsidRPr="0016271A">
              <w:rPr>
                <w:rStyle w:val="Hyperlink"/>
                <w:noProof/>
              </w:rPr>
              <w:t>Task 2: Case Scenario – Designing a Cybersecurity Programme Based on the 2017 Equifax Data Breach</w:t>
            </w:r>
            <w:r>
              <w:rPr>
                <w:noProof/>
                <w:webHidden/>
              </w:rPr>
              <w:tab/>
            </w:r>
            <w:r>
              <w:rPr>
                <w:noProof/>
                <w:webHidden/>
              </w:rPr>
              <w:fldChar w:fldCharType="begin"/>
            </w:r>
            <w:r>
              <w:rPr>
                <w:noProof/>
                <w:webHidden/>
              </w:rPr>
              <w:instrText xml:space="preserve"> PAGEREF _Toc235447738 \h </w:instrText>
            </w:r>
            <w:r>
              <w:rPr>
                <w:noProof/>
                <w:webHidden/>
              </w:rPr>
            </w:r>
            <w:r>
              <w:rPr>
                <w:noProof/>
                <w:webHidden/>
              </w:rPr>
              <w:fldChar w:fldCharType="separate"/>
            </w:r>
            <w:r>
              <w:rPr>
                <w:noProof/>
                <w:webHidden/>
              </w:rPr>
              <w:t>7</w:t>
            </w:r>
            <w:r>
              <w:rPr>
                <w:noProof/>
                <w:webHidden/>
              </w:rPr>
              <w:fldChar w:fldCharType="end"/>
            </w:r>
          </w:hyperlink>
        </w:p>
        <w:p w14:paraId="489EC944" w14:textId="042E412D" w:rsidR="00E22201" w:rsidRDefault="00E22201">
          <w:pPr>
            <w:pStyle w:val="TOC2"/>
            <w:tabs>
              <w:tab w:val="right" w:leader="dot" w:pos="9016"/>
            </w:tabs>
            <w:rPr>
              <w:rFonts w:eastAsiaTheme="minorEastAsia"/>
              <w:noProof/>
              <w:lang w:eastAsia="en-GB"/>
            </w:rPr>
          </w:pPr>
          <w:hyperlink w:anchor="_Toc235447739" w:history="1">
            <w:r w:rsidRPr="0016271A">
              <w:rPr>
                <w:rStyle w:val="Hyperlink"/>
                <w:noProof/>
              </w:rPr>
              <w:t>2.1 Organisational Structure and Accountability</w:t>
            </w:r>
            <w:r>
              <w:rPr>
                <w:noProof/>
                <w:webHidden/>
              </w:rPr>
              <w:tab/>
            </w:r>
            <w:r>
              <w:rPr>
                <w:noProof/>
                <w:webHidden/>
              </w:rPr>
              <w:fldChar w:fldCharType="begin"/>
            </w:r>
            <w:r>
              <w:rPr>
                <w:noProof/>
                <w:webHidden/>
              </w:rPr>
              <w:instrText xml:space="preserve"> PAGEREF _Toc235447739 \h </w:instrText>
            </w:r>
            <w:r>
              <w:rPr>
                <w:noProof/>
                <w:webHidden/>
              </w:rPr>
            </w:r>
            <w:r>
              <w:rPr>
                <w:noProof/>
                <w:webHidden/>
              </w:rPr>
              <w:fldChar w:fldCharType="separate"/>
            </w:r>
            <w:r>
              <w:rPr>
                <w:noProof/>
                <w:webHidden/>
              </w:rPr>
              <w:t>7</w:t>
            </w:r>
            <w:r>
              <w:rPr>
                <w:noProof/>
                <w:webHidden/>
              </w:rPr>
              <w:fldChar w:fldCharType="end"/>
            </w:r>
          </w:hyperlink>
        </w:p>
        <w:p w14:paraId="0E9C12B1" w14:textId="42F9F32F" w:rsidR="00E22201" w:rsidRDefault="00E22201">
          <w:pPr>
            <w:pStyle w:val="TOC2"/>
            <w:tabs>
              <w:tab w:val="right" w:leader="dot" w:pos="9016"/>
            </w:tabs>
            <w:rPr>
              <w:rFonts w:eastAsiaTheme="minorEastAsia"/>
              <w:noProof/>
              <w:lang w:eastAsia="en-GB"/>
            </w:rPr>
          </w:pPr>
          <w:hyperlink w:anchor="_Toc235447740" w:history="1">
            <w:r w:rsidRPr="0016271A">
              <w:rPr>
                <w:rStyle w:val="Hyperlink"/>
                <w:noProof/>
              </w:rPr>
              <w:t>2.2 Policies and Procedures</w:t>
            </w:r>
            <w:r>
              <w:rPr>
                <w:noProof/>
                <w:webHidden/>
              </w:rPr>
              <w:tab/>
            </w:r>
            <w:r>
              <w:rPr>
                <w:noProof/>
                <w:webHidden/>
              </w:rPr>
              <w:fldChar w:fldCharType="begin"/>
            </w:r>
            <w:r>
              <w:rPr>
                <w:noProof/>
                <w:webHidden/>
              </w:rPr>
              <w:instrText xml:space="preserve"> PAGEREF _Toc235447740 \h </w:instrText>
            </w:r>
            <w:r>
              <w:rPr>
                <w:noProof/>
                <w:webHidden/>
              </w:rPr>
            </w:r>
            <w:r>
              <w:rPr>
                <w:noProof/>
                <w:webHidden/>
              </w:rPr>
              <w:fldChar w:fldCharType="separate"/>
            </w:r>
            <w:r>
              <w:rPr>
                <w:noProof/>
                <w:webHidden/>
              </w:rPr>
              <w:t>9</w:t>
            </w:r>
            <w:r>
              <w:rPr>
                <w:noProof/>
                <w:webHidden/>
              </w:rPr>
              <w:fldChar w:fldCharType="end"/>
            </w:r>
          </w:hyperlink>
        </w:p>
        <w:p w14:paraId="1485D3BD" w14:textId="51727B79" w:rsidR="00E22201" w:rsidRDefault="00E22201">
          <w:pPr>
            <w:pStyle w:val="TOC2"/>
            <w:tabs>
              <w:tab w:val="right" w:leader="dot" w:pos="9016"/>
            </w:tabs>
            <w:rPr>
              <w:rFonts w:eastAsiaTheme="minorEastAsia"/>
              <w:noProof/>
              <w:lang w:eastAsia="en-GB"/>
            </w:rPr>
          </w:pPr>
          <w:hyperlink w:anchor="_Toc235447741" w:history="1">
            <w:r w:rsidRPr="0016271A">
              <w:rPr>
                <w:rStyle w:val="Hyperlink"/>
                <w:noProof/>
              </w:rPr>
              <w:t>2.3 Governance and Strategic Alignment – NIST CSF 2.0</w:t>
            </w:r>
            <w:r>
              <w:rPr>
                <w:noProof/>
                <w:webHidden/>
              </w:rPr>
              <w:tab/>
            </w:r>
            <w:r>
              <w:rPr>
                <w:noProof/>
                <w:webHidden/>
              </w:rPr>
              <w:fldChar w:fldCharType="begin"/>
            </w:r>
            <w:r>
              <w:rPr>
                <w:noProof/>
                <w:webHidden/>
              </w:rPr>
              <w:instrText xml:space="preserve"> PAGEREF _Toc235447741 \h </w:instrText>
            </w:r>
            <w:r>
              <w:rPr>
                <w:noProof/>
                <w:webHidden/>
              </w:rPr>
            </w:r>
            <w:r>
              <w:rPr>
                <w:noProof/>
                <w:webHidden/>
              </w:rPr>
              <w:fldChar w:fldCharType="separate"/>
            </w:r>
            <w:r>
              <w:rPr>
                <w:noProof/>
                <w:webHidden/>
              </w:rPr>
              <w:t>10</w:t>
            </w:r>
            <w:r>
              <w:rPr>
                <w:noProof/>
                <w:webHidden/>
              </w:rPr>
              <w:fldChar w:fldCharType="end"/>
            </w:r>
          </w:hyperlink>
        </w:p>
        <w:p w14:paraId="6D18BF6A" w14:textId="4A68F0E7" w:rsidR="00E22201" w:rsidRDefault="00E22201">
          <w:pPr>
            <w:pStyle w:val="TOC2"/>
            <w:tabs>
              <w:tab w:val="right" w:leader="dot" w:pos="9016"/>
            </w:tabs>
            <w:rPr>
              <w:rFonts w:eastAsiaTheme="minorEastAsia"/>
              <w:noProof/>
              <w:lang w:eastAsia="en-GB"/>
            </w:rPr>
          </w:pPr>
          <w:hyperlink w:anchor="_Toc235447742" w:history="1">
            <w:r w:rsidRPr="0016271A">
              <w:rPr>
                <w:rStyle w:val="Hyperlink"/>
                <w:noProof/>
              </w:rPr>
              <w:t>2.4 Risk Management and Assessment</w:t>
            </w:r>
            <w:r>
              <w:rPr>
                <w:noProof/>
                <w:webHidden/>
              </w:rPr>
              <w:tab/>
            </w:r>
            <w:r>
              <w:rPr>
                <w:noProof/>
                <w:webHidden/>
              </w:rPr>
              <w:fldChar w:fldCharType="begin"/>
            </w:r>
            <w:r>
              <w:rPr>
                <w:noProof/>
                <w:webHidden/>
              </w:rPr>
              <w:instrText xml:space="preserve"> PAGEREF _Toc235447742 \h </w:instrText>
            </w:r>
            <w:r>
              <w:rPr>
                <w:noProof/>
                <w:webHidden/>
              </w:rPr>
            </w:r>
            <w:r>
              <w:rPr>
                <w:noProof/>
                <w:webHidden/>
              </w:rPr>
              <w:fldChar w:fldCharType="separate"/>
            </w:r>
            <w:r>
              <w:rPr>
                <w:noProof/>
                <w:webHidden/>
              </w:rPr>
              <w:t>12</w:t>
            </w:r>
            <w:r>
              <w:rPr>
                <w:noProof/>
                <w:webHidden/>
              </w:rPr>
              <w:fldChar w:fldCharType="end"/>
            </w:r>
          </w:hyperlink>
        </w:p>
        <w:p w14:paraId="697449D4" w14:textId="7DF40025" w:rsidR="00E22201" w:rsidRDefault="00E22201">
          <w:pPr>
            <w:pStyle w:val="TOC2"/>
            <w:tabs>
              <w:tab w:val="right" w:leader="dot" w:pos="9016"/>
            </w:tabs>
            <w:rPr>
              <w:rFonts w:eastAsiaTheme="minorEastAsia"/>
              <w:noProof/>
              <w:lang w:eastAsia="en-GB"/>
            </w:rPr>
          </w:pPr>
          <w:hyperlink w:anchor="_Toc235447743" w:history="1">
            <w:r w:rsidRPr="0016271A">
              <w:rPr>
                <w:rStyle w:val="Hyperlink"/>
                <w:noProof/>
              </w:rPr>
              <w:t>2.5 Compliance, Incident Response, and Protection Controls</w:t>
            </w:r>
            <w:r>
              <w:rPr>
                <w:noProof/>
                <w:webHidden/>
              </w:rPr>
              <w:tab/>
            </w:r>
            <w:r>
              <w:rPr>
                <w:noProof/>
                <w:webHidden/>
              </w:rPr>
              <w:fldChar w:fldCharType="begin"/>
            </w:r>
            <w:r>
              <w:rPr>
                <w:noProof/>
                <w:webHidden/>
              </w:rPr>
              <w:instrText xml:space="preserve"> PAGEREF _Toc235447743 \h </w:instrText>
            </w:r>
            <w:r>
              <w:rPr>
                <w:noProof/>
                <w:webHidden/>
              </w:rPr>
            </w:r>
            <w:r>
              <w:rPr>
                <w:noProof/>
                <w:webHidden/>
              </w:rPr>
              <w:fldChar w:fldCharType="separate"/>
            </w:r>
            <w:r>
              <w:rPr>
                <w:noProof/>
                <w:webHidden/>
              </w:rPr>
              <w:t>13</w:t>
            </w:r>
            <w:r>
              <w:rPr>
                <w:noProof/>
                <w:webHidden/>
              </w:rPr>
              <w:fldChar w:fldCharType="end"/>
            </w:r>
          </w:hyperlink>
        </w:p>
        <w:p w14:paraId="2D4141D4" w14:textId="376069FC" w:rsidR="00E22201" w:rsidRDefault="00E22201">
          <w:pPr>
            <w:pStyle w:val="TOC3"/>
            <w:tabs>
              <w:tab w:val="right" w:leader="dot" w:pos="9016"/>
            </w:tabs>
            <w:rPr>
              <w:rFonts w:eastAsiaTheme="minorEastAsia"/>
              <w:noProof/>
              <w:lang w:eastAsia="en-GB"/>
            </w:rPr>
          </w:pPr>
          <w:hyperlink w:anchor="_Toc235447744" w:history="1">
            <w:r w:rsidRPr="0016271A">
              <w:rPr>
                <w:rStyle w:val="Hyperlink"/>
                <w:noProof/>
              </w:rPr>
              <w:t>2.5.1 Regulatory Alignment and Breach Notification</w:t>
            </w:r>
            <w:r>
              <w:rPr>
                <w:noProof/>
                <w:webHidden/>
              </w:rPr>
              <w:tab/>
            </w:r>
            <w:r>
              <w:rPr>
                <w:noProof/>
                <w:webHidden/>
              </w:rPr>
              <w:fldChar w:fldCharType="begin"/>
            </w:r>
            <w:r>
              <w:rPr>
                <w:noProof/>
                <w:webHidden/>
              </w:rPr>
              <w:instrText xml:space="preserve"> PAGEREF _Toc235447744 \h </w:instrText>
            </w:r>
            <w:r>
              <w:rPr>
                <w:noProof/>
                <w:webHidden/>
              </w:rPr>
            </w:r>
            <w:r>
              <w:rPr>
                <w:noProof/>
                <w:webHidden/>
              </w:rPr>
              <w:fldChar w:fldCharType="separate"/>
            </w:r>
            <w:r>
              <w:rPr>
                <w:noProof/>
                <w:webHidden/>
              </w:rPr>
              <w:t>13</w:t>
            </w:r>
            <w:r>
              <w:rPr>
                <w:noProof/>
                <w:webHidden/>
              </w:rPr>
              <w:fldChar w:fldCharType="end"/>
            </w:r>
          </w:hyperlink>
        </w:p>
        <w:p w14:paraId="3B872680" w14:textId="7FF876A4" w:rsidR="00E22201" w:rsidRDefault="00E22201">
          <w:pPr>
            <w:pStyle w:val="TOC3"/>
            <w:tabs>
              <w:tab w:val="right" w:leader="dot" w:pos="9016"/>
            </w:tabs>
            <w:rPr>
              <w:rFonts w:eastAsiaTheme="minorEastAsia"/>
              <w:noProof/>
              <w:lang w:eastAsia="en-GB"/>
            </w:rPr>
          </w:pPr>
          <w:hyperlink w:anchor="_Toc235447745" w:history="1">
            <w:r w:rsidRPr="0016271A">
              <w:rPr>
                <w:rStyle w:val="Hyperlink"/>
                <w:noProof/>
              </w:rPr>
              <w:t>2.5.2 Incident Response and Disaster Recovery</w:t>
            </w:r>
            <w:r>
              <w:rPr>
                <w:noProof/>
                <w:webHidden/>
              </w:rPr>
              <w:tab/>
            </w:r>
            <w:r>
              <w:rPr>
                <w:noProof/>
                <w:webHidden/>
              </w:rPr>
              <w:fldChar w:fldCharType="begin"/>
            </w:r>
            <w:r>
              <w:rPr>
                <w:noProof/>
                <w:webHidden/>
              </w:rPr>
              <w:instrText xml:space="preserve"> PAGEREF _Toc235447745 \h </w:instrText>
            </w:r>
            <w:r>
              <w:rPr>
                <w:noProof/>
                <w:webHidden/>
              </w:rPr>
            </w:r>
            <w:r>
              <w:rPr>
                <w:noProof/>
                <w:webHidden/>
              </w:rPr>
              <w:fldChar w:fldCharType="separate"/>
            </w:r>
            <w:r>
              <w:rPr>
                <w:noProof/>
                <w:webHidden/>
              </w:rPr>
              <w:t>14</w:t>
            </w:r>
            <w:r>
              <w:rPr>
                <w:noProof/>
                <w:webHidden/>
              </w:rPr>
              <w:fldChar w:fldCharType="end"/>
            </w:r>
          </w:hyperlink>
        </w:p>
        <w:p w14:paraId="4ADCD717" w14:textId="7E0400EA" w:rsidR="00E22201" w:rsidRDefault="00E22201">
          <w:pPr>
            <w:pStyle w:val="TOC3"/>
            <w:tabs>
              <w:tab w:val="right" w:leader="dot" w:pos="9016"/>
            </w:tabs>
            <w:rPr>
              <w:rFonts w:eastAsiaTheme="minorEastAsia"/>
              <w:noProof/>
              <w:lang w:eastAsia="en-GB"/>
            </w:rPr>
          </w:pPr>
          <w:hyperlink w:anchor="_Toc235447746" w:history="1">
            <w:r w:rsidRPr="0016271A">
              <w:rPr>
                <w:rStyle w:val="Hyperlink"/>
                <w:noProof/>
              </w:rPr>
              <w:t>2.5.3 Technical Safeguards and How They Reduce Dwell Time</w:t>
            </w:r>
            <w:r>
              <w:rPr>
                <w:noProof/>
                <w:webHidden/>
              </w:rPr>
              <w:tab/>
            </w:r>
            <w:r>
              <w:rPr>
                <w:noProof/>
                <w:webHidden/>
              </w:rPr>
              <w:fldChar w:fldCharType="begin"/>
            </w:r>
            <w:r>
              <w:rPr>
                <w:noProof/>
                <w:webHidden/>
              </w:rPr>
              <w:instrText xml:space="preserve"> PAGEREF _Toc235447746 \h </w:instrText>
            </w:r>
            <w:r>
              <w:rPr>
                <w:noProof/>
                <w:webHidden/>
              </w:rPr>
            </w:r>
            <w:r>
              <w:rPr>
                <w:noProof/>
                <w:webHidden/>
              </w:rPr>
              <w:fldChar w:fldCharType="separate"/>
            </w:r>
            <w:r>
              <w:rPr>
                <w:noProof/>
                <w:webHidden/>
              </w:rPr>
              <w:t>14</w:t>
            </w:r>
            <w:r>
              <w:rPr>
                <w:noProof/>
                <w:webHidden/>
              </w:rPr>
              <w:fldChar w:fldCharType="end"/>
            </w:r>
          </w:hyperlink>
        </w:p>
        <w:p w14:paraId="153457FD" w14:textId="0454896F" w:rsidR="00E22201" w:rsidRDefault="00E22201">
          <w:pPr>
            <w:pStyle w:val="TOC3"/>
            <w:tabs>
              <w:tab w:val="right" w:leader="dot" w:pos="9016"/>
            </w:tabs>
            <w:rPr>
              <w:rFonts w:eastAsiaTheme="minorEastAsia"/>
              <w:noProof/>
              <w:lang w:eastAsia="en-GB"/>
            </w:rPr>
          </w:pPr>
          <w:hyperlink w:anchor="_Toc235447747" w:history="1">
            <w:r w:rsidRPr="0016271A">
              <w:rPr>
                <w:rStyle w:val="Hyperlink"/>
                <w:noProof/>
              </w:rPr>
              <w:t>2.5.4 Justification of Control Integration</w:t>
            </w:r>
            <w:r>
              <w:rPr>
                <w:noProof/>
                <w:webHidden/>
              </w:rPr>
              <w:tab/>
            </w:r>
            <w:r>
              <w:rPr>
                <w:noProof/>
                <w:webHidden/>
              </w:rPr>
              <w:fldChar w:fldCharType="begin"/>
            </w:r>
            <w:r>
              <w:rPr>
                <w:noProof/>
                <w:webHidden/>
              </w:rPr>
              <w:instrText xml:space="preserve"> PAGEREF _Toc235447747 \h </w:instrText>
            </w:r>
            <w:r>
              <w:rPr>
                <w:noProof/>
                <w:webHidden/>
              </w:rPr>
            </w:r>
            <w:r>
              <w:rPr>
                <w:noProof/>
                <w:webHidden/>
              </w:rPr>
              <w:fldChar w:fldCharType="separate"/>
            </w:r>
            <w:r>
              <w:rPr>
                <w:noProof/>
                <w:webHidden/>
              </w:rPr>
              <w:t>16</w:t>
            </w:r>
            <w:r>
              <w:rPr>
                <w:noProof/>
                <w:webHidden/>
              </w:rPr>
              <w:fldChar w:fldCharType="end"/>
            </w:r>
          </w:hyperlink>
        </w:p>
        <w:p w14:paraId="4792B5C6" w14:textId="14203518" w:rsidR="00C9407E" w:rsidRDefault="00C9407E">
          <w:r>
            <w:rPr>
              <w:b/>
              <w:bCs/>
              <w:noProof/>
            </w:rPr>
            <w:fldChar w:fldCharType="end"/>
          </w:r>
        </w:p>
      </w:sdtContent>
    </w:sdt>
    <w:p w14:paraId="55CEA547" w14:textId="77777777" w:rsidR="00C9407E" w:rsidRDefault="00C9407E" w:rsidP="00C9407E">
      <w:pPr>
        <w:pStyle w:val="Heading1"/>
      </w:pPr>
    </w:p>
    <w:p w14:paraId="7B00FADD" w14:textId="77777777" w:rsidR="00C9407E" w:rsidRDefault="00C9407E" w:rsidP="00C9407E">
      <w:pPr>
        <w:pStyle w:val="Heading1"/>
      </w:pPr>
    </w:p>
    <w:p w14:paraId="23BC5367" w14:textId="77777777" w:rsidR="00C9407E" w:rsidRDefault="00C9407E" w:rsidP="00C9407E">
      <w:pPr>
        <w:pStyle w:val="Heading1"/>
      </w:pPr>
    </w:p>
    <w:p w14:paraId="2A51FCEE" w14:textId="77777777" w:rsidR="00C9407E" w:rsidRDefault="00C9407E" w:rsidP="00C9407E">
      <w:pPr>
        <w:pStyle w:val="Heading1"/>
      </w:pPr>
    </w:p>
    <w:p w14:paraId="70D89863" w14:textId="77777777" w:rsidR="00C9407E" w:rsidRDefault="00C9407E" w:rsidP="00C9407E">
      <w:pPr>
        <w:pStyle w:val="Heading1"/>
      </w:pPr>
    </w:p>
    <w:p w14:paraId="6EDC1DEA" w14:textId="2660F660" w:rsidR="00D44DCF" w:rsidRPr="00043295" w:rsidRDefault="00D44DCF" w:rsidP="00C9407E">
      <w:pPr>
        <w:pStyle w:val="Heading1"/>
      </w:pPr>
      <w:bookmarkStart w:id="0" w:name="_Toc235447724"/>
      <w:r w:rsidRPr="00043295">
        <w:t>Task 1: Governance of AI and Machine Learning Systems: Managing Risk, Ethics, and Compliance for AI Data and Models</w:t>
      </w:r>
      <w:bookmarkEnd w:id="0"/>
    </w:p>
    <w:p w14:paraId="0D747E31" w14:textId="01555DD5" w:rsidR="00D44DCF" w:rsidRPr="00043295" w:rsidRDefault="00D44DCF" w:rsidP="00C9407E">
      <w:pPr>
        <w:pStyle w:val="Heading2"/>
        <w:jc w:val="both"/>
      </w:pPr>
      <w:bookmarkStart w:id="1" w:name="_Toc235447725"/>
      <w:r w:rsidRPr="00043295">
        <w:t>1.1 Introduction</w:t>
      </w:r>
      <w:r w:rsidR="00B06B80">
        <w:t xml:space="preserve"> [6][7][16]</w:t>
      </w:r>
      <w:bookmarkEnd w:id="1"/>
    </w:p>
    <w:p w14:paraId="7DA9AC08" w14:textId="50797DC6" w:rsidR="00D44DCF" w:rsidRPr="00043295" w:rsidRDefault="00D44DCF" w:rsidP="00C9407E">
      <w:pPr>
        <w:jc w:val="both"/>
      </w:pPr>
      <w:r w:rsidRPr="00043295">
        <w:t>The integration of Artificial Intelligence (AI) and Machine Learning (ML) into organisational workflows has fundamentally altered the threat landscape for information security. Unlike traditional software systems, AI models are characterised by opacity, probabilistic behaviour, and dependency on vast, often sensitive datasets, all of which introduce novel vectors of risk that conventional governance frameworks are ill-equipped to address (</w:t>
      </w:r>
      <w:r w:rsidR="00D958F3">
        <w:t>7</w:t>
      </w:r>
      <w:r w:rsidRPr="00043295">
        <w:t>). The European Union's AI Act, enacted in 2024, and the National Institute of Standards and Technology (NIST) AI Risk Management Framework mark the beginning of a regulatory epoch in which organisations are no longer merely expected to secure data, but to govern the systems that process it in an accountable, transparent, and equitable manner.</w:t>
      </w:r>
      <w:r w:rsidR="00C9407E">
        <w:t xml:space="preserve"> </w:t>
      </w:r>
      <w:r w:rsidRPr="00043295">
        <w:t>This research paper critically analyses how modern organisations can construct a governance environment for AI and ML systems that anticipates emerging threats, protects sensitive model assets and training data, detects anomalous behaviour arising from model manipulation, and responds automatically to governance breaches. The analysis draws upon contemporary regulatory instruments, industry standards, and academic scholarship to evaluate both the promise and the limitations of current approaches.</w:t>
      </w:r>
      <w:r w:rsidR="00C93B27" w:rsidRPr="00C93B27">
        <w:rPr>
          <w:b/>
          <w:bCs/>
        </w:rPr>
        <w:t xml:space="preserve"> </w:t>
      </w:r>
    </w:p>
    <w:p w14:paraId="7139ACB5" w14:textId="75FE9808" w:rsidR="00D44DCF" w:rsidRPr="00043295" w:rsidRDefault="00D44DCF" w:rsidP="00C9407E">
      <w:pPr>
        <w:pStyle w:val="Heading2"/>
      </w:pPr>
      <w:bookmarkStart w:id="2" w:name="_Toc235447726"/>
      <w:r w:rsidRPr="00043295">
        <w:t>1.2 The Landscape of AI Governance</w:t>
      </w:r>
      <w:r w:rsidR="00C93B27">
        <w:t xml:space="preserve"> [2][4][16][21]</w:t>
      </w:r>
      <w:bookmarkEnd w:id="2"/>
    </w:p>
    <w:p w14:paraId="45EECA6B" w14:textId="5F196EBF" w:rsidR="00D44DCF" w:rsidRPr="00043295" w:rsidRDefault="00D44DCF" w:rsidP="00C9407E">
      <w:pPr>
        <w:jc w:val="both"/>
      </w:pPr>
      <w:r w:rsidRPr="00043295">
        <w:t xml:space="preserve">AI governance can be understood as the ensemble of policies, standards, processes, and accountability mechanisms through which organisations manage AI systems across </w:t>
      </w:r>
      <w:r w:rsidRPr="00043295">
        <w:lastRenderedPageBreak/>
        <w:t>their lifecycle, from data ingestion and model training to deployment, monitoring, and decommissioning (</w:t>
      </w:r>
      <w:r w:rsidR="00D958F3">
        <w:t>16</w:t>
      </w:r>
      <w:r w:rsidRPr="00043295">
        <w:t>). The challenge is multi-dimensional: AI systems simultaneously introduce technical risks (model failure, adversarial manipulation), ethical risks (discrimination, privacy violation), and compliance risks (breach of sector-specific regulation).</w:t>
      </w:r>
      <w:r w:rsidR="00C9407E">
        <w:t xml:space="preserve"> </w:t>
      </w:r>
      <w:r w:rsidRPr="00043295">
        <w:t xml:space="preserve">The proliferation of AI in high-stakes domains, including healthcare diagnostics, financial credit scoring, law enforcement predictive tools, and critical infrastructure management, has amplified these risks considerably. A model that is biased in its training data can produce systematically discriminatory outcomes at scale; a model that has been subjected to data poisoning can produce </w:t>
      </w:r>
      <w:proofErr w:type="spellStart"/>
      <w:r w:rsidRPr="00043295">
        <w:t>adversarially</w:t>
      </w:r>
      <w:proofErr w:type="spellEnd"/>
      <w:r w:rsidRPr="00043295">
        <w:t xml:space="preserve"> corrupted outputs that undermine business decisions or national security</w:t>
      </w:r>
      <w:r w:rsidR="00B06B80">
        <w:t>.</w:t>
      </w:r>
      <w:r w:rsidRPr="00043295">
        <w:t xml:space="preserve"> These are not merely technical failures but governance failures, arising when accountability structures, oversight mechanisms, and audit trails are absent or inadequate.</w:t>
      </w:r>
      <w:r w:rsidR="00C9407E">
        <w:t xml:space="preserve"> </w:t>
      </w:r>
      <w:r w:rsidRPr="00043295">
        <w:t>The field has converged around several core governance principles: transparency, accountability, fairness, safety, privacy, and security. The OECD Principles on Artificial Intelligence, which have been adopted by over fifty countries, enshrine these as normative foundations. However, principles alone are insufficient without operationalisation. The critical question is how organisations translate abstract governance commitments into enforceable controls, measurable metrics, and documented assurance processes.</w:t>
      </w:r>
    </w:p>
    <w:p w14:paraId="74D856D7" w14:textId="77777777" w:rsidR="00D44DCF" w:rsidRPr="00043295" w:rsidRDefault="00D44DCF" w:rsidP="00C9407E">
      <w:pPr>
        <w:pStyle w:val="Heading2"/>
      </w:pPr>
      <w:bookmarkStart w:id="3" w:name="_Toc235447727"/>
      <w:r w:rsidRPr="00043295">
        <w:t>1.3 Key Risk Dimensions in AI and ML Governance</w:t>
      </w:r>
      <w:bookmarkEnd w:id="3"/>
    </w:p>
    <w:p w14:paraId="2A886C7E" w14:textId="232CCD92" w:rsidR="00D44DCF" w:rsidRPr="00043295" w:rsidRDefault="00D44DCF" w:rsidP="00C9407E">
      <w:pPr>
        <w:pStyle w:val="Heading3"/>
      </w:pPr>
      <w:bookmarkStart w:id="4" w:name="_Toc235447728"/>
      <w:r w:rsidRPr="00043295">
        <w:t>1.3.1 Data Integrity and Privacy Risk</w:t>
      </w:r>
      <w:r w:rsidR="00C93B27">
        <w:t xml:space="preserve"> [10][4]21]</w:t>
      </w:r>
      <w:bookmarkEnd w:id="4"/>
    </w:p>
    <w:p w14:paraId="4EB6F750" w14:textId="77777777" w:rsidR="00D44DCF" w:rsidRPr="00043295" w:rsidRDefault="00D44DCF" w:rsidP="00C9407E">
      <w:pPr>
        <w:jc w:val="both"/>
      </w:pPr>
      <w:r w:rsidRPr="00043295">
        <w:t>AI models are only as trustworthy as the data on which they are trained. Data quality failures, including label errors, sampling bias, and temporal drift, produce models that perform well in test conditions but fail under real-world deployment (Gebru et al., 2021). More critically, training datasets frequently contain personally identifiable information (PII) and sensitive attributes. Under the General Data Protection Regulation (GDPR) (EU) 2016/679, processing such data for model training constitutes a significant compliance obligation, requiring a lawful basis, data minimisation, and robust security measures. The right to erasure under GDPR Article 17 presents a particular challenge for ML governance: if an individual exercises their right to be forgotten, organisations must be able to demonstrate that the individual's data has not only been deleted from storage but also that its influence on trained model weights can be addressed, a technically complex problem known as 'machine unlearning' (Cao and Yang, 2015).</w:t>
      </w:r>
    </w:p>
    <w:p w14:paraId="5C3A9439" w14:textId="77777777" w:rsidR="00D44DCF" w:rsidRPr="00043295" w:rsidRDefault="00D44DCF" w:rsidP="00C9407E">
      <w:pPr>
        <w:jc w:val="both"/>
      </w:pPr>
      <w:r w:rsidRPr="00043295">
        <w:t>Furthermore, trained models themselves can function as privacy attack vectors. Membership inference attacks, in which an adversary determines whether a specific record was included in a model's training set, have been demonstrated against production ML systems (Shokri et al., 2017). Model inversion attacks can reconstruct sensitive training data from model outputs. These attack classes demonstrate that data protection obligations do not terminate at the point of model training but extend to the deployed model artefact itself.</w:t>
      </w:r>
    </w:p>
    <w:p w14:paraId="4E553895" w14:textId="67806164" w:rsidR="00D44DCF" w:rsidRPr="00043295" w:rsidRDefault="00D44DCF" w:rsidP="00C9407E">
      <w:pPr>
        <w:pStyle w:val="Heading3"/>
        <w:jc w:val="both"/>
      </w:pPr>
      <w:bookmarkStart w:id="5" w:name="_Toc235447729"/>
      <w:r w:rsidRPr="00043295">
        <w:lastRenderedPageBreak/>
        <w:t xml:space="preserve">1.3.2 Algorithmic Bias and Ethical </w:t>
      </w:r>
      <w:proofErr w:type="gramStart"/>
      <w:r w:rsidRPr="00043295">
        <w:t>Risk</w:t>
      </w:r>
      <w:r w:rsidR="00C93B27">
        <w:t>[</w:t>
      </w:r>
      <w:proofErr w:type="gramEnd"/>
      <w:r w:rsidR="00C93B27">
        <w:t>1][3][5]</w:t>
      </w:r>
      <w:bookmarkEnd w:id="5"/>
    </w:p>
    <w:p w14:paraId="366878DB" w14:textId="77777777" w:rsidR="00D44DCF" w:rsidRPr="00043295" w:rsidRDefault="00D44DCF" w:rsidP="00C9407E">
      <w:pPr>
        <w:jc w:val="both"/>
      </w:pPr>
      <w:r w:rsidRPr="00043295">
        <w:t xml:space="preserve">Algorithmic bias emerges when AI systems produce systematically differential outcomes across demographic groups, typically </w:t>
      </w:r>
      <w:proofErr w:type="gramStart"/>
      <w:r w:rsidRPr="00043295">
        <w:t>as a consequence of</w:t>
      </w:r>
      <w:proofErr w:type="gramEnd"/>
      <w:r w:rsidRPr="00043295">
        <w:t xml:space="preserve"> historical inequities encoded in training data. High-profile cases, including discriminatory recidivism prediction tools (Angwin et al., 2016) and facial recognition systems with significantly higher error rates for darker-skinned individuals (</w:t>
      </w:r>
      <w:proofErr w:type="spellStart"/>
      <w:r w:rsidRPr="00043295">
        <w:t>Buolamwini</w:t>
      </w:r>
      <w:proofErr w:type="spellEnd"/>
      <w:r w:rsidRPr="00043295">
        <w:t xml:space="preserve"> and Gebru, 2018), have galvanised regulatory attention and public scrutiny. From a governance perspective, bias is not merely an ethical concern but a legal and reputational risk. The EU AI Act classifies certain AI systems as 'high-risk' and mandates conformity assessments, bias audits, and human oversight mechanisms.</w:t>
      </w:r>
    </w:p>
    <w:p w14:paraId="60F14365" w14:textId="54DFAB97" w:rsidR="00D44DCF" w:rsidRPr="00043295" w:rsidRDefault="00D44DCF" w:rsidP="00C9407E">
      <w:pPr>
        <w:jc w:val="both"/>
      </w:pPr>
      <w:r w:rsidRPr="00043295">
        <w:t>Fairness, however, is not a single concept but a family of competing mathematical definitions, including demographic parity, equalised odds, and individual fairness, which are provably incompatible in certain settings. Governance frameworks must therefore specify which fairness criteria are applicable in which contexts, requiring active ethical deliberation rather than passive algorithmic compliance.</w:t>
      </w:r>
    </w:p>
    <w:p w14:paraId="22B371BB" w14:textId="4E5B5703" w:rsidR="00D44DCF" w:rsidRPr="00043295" w:rsidRDefault="00D44DCF" w:rsidP="00C9407E">
      <w:pPr>
        <w:pStyle w:val="Heading3"/>
        <w:jc w:val="both"/>
      </w:pPr>
      <w:bookmarkStart w:id="6" w:name="_Toc235447730"/>
      <w:r w:rsidRPr="00043295">
        <w:t xml:space="preserve">1.3.3 Adversarial Attacks and Model </w:t>
      </w:r>
      <w:proofErr w:type="gramStart"/>
      <w:r w:rsidRPr="00043295">
        <w:t>Security</w:t>
      </w:r>
      <w:r w:rsidR="00C93B27">
        <w:t>[</w:t>
      </w:r>
      <w:proofErr w:type="gramEnd"/>
      <w:r w:rsidR="00C93B27">
        <w:t>19]</w:t>
      </w:r>
      <w:bookmarkEnd w:id="6"/>
    </w:p>
    <w:p w14:paraId="591EC5F5" w14:textId="77777777" w:rsidR="00D44DCF" w:rsidRPr="00043295" w:rsidRDefault="00D44DCF" w:rsidP="00C9407E">
      <w:pPr>
        <w:jc w:val="both"/>
      </w:pPr>
      <w:r w:rsidRPr="00043295">
        <w:t>AI systems face a distinct category of cybersecurity threat: adversarial attacks specifically crafted to manipulate model behaviour. Data poisoning attacks corrupt the training pipeline by injecting malicious samples that cause the model to learn incorrect or backdoored behaviours. Evasion attacks manipulate input data at inference time to cause misclassification. Model extraction attacks reverse-engineer proprietary model functionality through strategic querying. These attack surfaces are qualitatively different from traditional software vulnerabilities and require dedicated security controls within the AI governance framework (</w:t>
      </w:r>
      <w:proofErr w:type="spellStart"/>
      <w:r w:rsidRPr="00043295">
        <w:t>Papernot</w:t>
      </w:r>
      <w:proofErr w:type="spellEnd"/>
      <w:r w:rsidRPr="00043295">
        <w:t xml:space="preserve"> et al., 2018).</w:t>
      </w:r>
    </w:p>
    <w:p w14:paraId="0C9D3C99" w14:textId="77777777" w:rsidR="00D44DCF" w:rsidRPr="00043295" w:rsidRDefault="00D44DCF" w:rsidP="00C9407E">
      <w:pPr>
        <w:jc w:val="both"/>
      </w:pPr>
      <w:r w:rsidRPr="00043295">
        <w:t>The integration of AI into Security Information and Event Management (SIEM) and Security Orchestration, Automation, and Response (SOAR) platforms, while enhancing threat detection capabilities, simultaneously introduces new attack surfaces. An adversary who poisons the training data of an anomaly detection model could effectively blind the SIEM to a specific attack signature, demonstrating that AI security is not separable from enterprise security architecture.</w:t>
      </w:r>
    </w:p>
    <w:p w14:paraId="072A5EFA" w14:textId="32D597B6" w:rsidR="00D44DCF" w:rsidRPr="00043295" w:rsidRDefault="00D44DCF" w:rsidP="00C9407E">
      <w:pPr>
        <w:pStyle w:val="Heading3"/>
        <w:jc w:val="both"/>
      </w:pPr>
      <w:bookmarkStart w:id="7" w:name="_Toc235447731"/>
      <w:r w:rsidRPr="00043295">
        <w:t xml:space="preserve">1.3.4 Model Transparency and </w:t>
      </w:r>
      <w:proofErr w:type="gramStart"/>
      <w:r w:rsidRPr="00043295">
        <w:t>Explainability</w:t>
      </w:r>
      <w:r w:rsidR="00C93B27">
        <w:t>[</w:t>
      </w:r>
      <w:proofErr w:type="gramEnd"/>
      <w:r w:rsidR="00C93B27">
        <w:t>20]</w:t>
      </w:r>
      <w:bookmarkEnd w:id="7"/>
    </w:p>
    <w:p w14:paraId="7F8A426E" w14:textId="77777777" w:rsidR="00D44DCF" w:rsidRPr="00043295" w:rsidRDefault="00D44DCF" w:rsidP="00C9407E">
      <w:pPr>
        <w:jc w:val="both"/>
      </w:pPr>
      <w:r w:rsidRPr="00043295">
        <w:t xml:space="preserve">The opacity of complex ML models, particularly deep neural networks, presents a fundamental governance challenge. Decision-makers and regulators require the ability to understand, challenge, and audit model outputs. GDPR Article 22 grants individuals the right not to be subject to purely automated decisions with significant </w:t>
      </w:r>
      <w:proofErr w:type="gramStart"/>
      <w:r w:rsidRPr="00043295">
        <w:t>effects, and</w:t>
      </w:r>
      <w:proofErr w:type="gramEnd"/>
      <w:r w:rsidRPr="00043295">
        <w:t xml:space="preserve"> requires that organisations provide 'meaningful information about the logic involved'. This creates a direct tension with the deployment of black-box models in consequential domains.</w:t>
      </w:r>
    </w:p>
    <w:p w14:paraId="76237D34" w14:textId="77777777" w:rsidR="00D44DCF" w:rsidRPr="00043295" w:rsidRDefault="00D44DCF" w:rsidP="00C9407E">
      <w:pPr>
        <w:jc w:val="both"/>
      </w:pPr>
      <w:r w:rsidRPr="00043295">
        <w:lastRenderedPageBreak/>
        <w:t>Explainable AI (XAI) techniques, such as LIME (Local Interpretable Model-agnostic Explanations) and SHAP (</w:t>
      </w:r>
      <w:proofErr w:type="spellStart"/>
      <w:r w:rsidRPr="00043295">
        <w:t>SHapley</w:t>
      </w:r>
      <w:proofErr w:type="spellEnd"/>
      <w:r w:rsidRPr="00043295">
        <w:t xml:space="preserve"> Additive </w:t>
      </w:r>
      <w:proofErr w:type="spellStart"/>
      <w:r w:rsidRPr="00043295">
        <w:t>exPlanations</w:t>
      </w:r>
      <w:proofErr w:type="spellEnd"/>
      <w:r w:rsidRPr="00043295">
        <w:t>), offer post-hoc approximations of model reasoning but are themselves subject to critique. Rudin (2019) argues persuasively that organisations should prioritise inherently interpretable models in high-stakes domains rather than relying on explanations of opaque ones. This represents a governance design choice with profound implications for model selection, deployment, and accountability architecture.</w:t>
      </w:r>
    </w:p>
    <w:p w14:paraId="4A872ED9" w14:textId="77777777" w:rsidR="00D44DCF" w:rsidRPr="00043295" w:rsidRDefault="00D44DCF" w:rsidP="00C9407E">
      <w:pPr>
        <w:pStyle w:val="Heading2"/>
        <w:jc w:val="both"/>
      </w:pPr>
      <w:bookmarkStart w:id="8" w:name="_Toc235447732"/>
      <w:r w:rsidRPr="00043295">
        <w:t>1.4 Regulatory and Framework Analysis</w:t>
      </w:r>
      <w:bookmarkEnd w:id="8"/>
    </w:p>
    <w:p w14:paraId="3F1D1785" w14:textId="6F6691E2" w:rsidR="00D44DCF" w:rsidRPr="00043295" w:rsidRDefault="00D44DCF" w:rsidP="00C9407E">
      <w:pPr>
        <w:pStyle w:val="Heading3"/>
        <w:jc w:val="both"/>
      </w:pPr>
      <w:bookmarkStart w:id="9" w:name="_Toc235447733"/>
      <w:r w:rsidRPr="00043295">
        <w:t xml:space="preserve">1.4.1 The EU AI Act </w:t>
      </w:r>
      <w:r w:rsidR="00C93B27">
        <w:t>[6]</w:t>
      </w:r>
      <w:bookmarkEnd w:id="9"/>
    </w:p>
    <w:p w14:paraId="5A1C173E" w14:textId="77777777" w:rsidR="00D44DCF" w:rsidRPr="00043295" w:rsidRDefault="00D44DCF" w:rsidP="00C9407E">
      <w:pPr>
        <w:jc w:val="both"/>
      </w:pPr>
      <w:r w:rsidRPr="00043295">
        <w:t>The EU AI Act establishes a risk-tiered regulatory approach. Systems classified as 'unacceptable risk', including social scoring systems and real-time biometric surveillance in public spaces, are prohibited outright. 'High-risk' systems, encompassing AI used in critical infrastructure, education, employment, and law enforcement, are subject to mandatory requirements including conformity assessments, registration in an EU database, post-market monitoring, and technical documentation. 'Limited risk' systems face transparency obligations, while 'minimal risk' systems remain largely unregulated.</w:t>
      </w:r>
    </w:p>
    <w:p w14:paraId="02B47BC5" w14:textId="77777777" w:rsidR="00D44DCF" w:rsidRPr="00043295" w:rsidRDefault="00D44DCF" w:rsidP="00C9407E">
      <w:pPr>
        <w:jc w:val="both"/>
      </w:pPr>
      <w:r w:rsidRPr="00043295">
        <w:t>The Act's territorial scope, applying to any AI system placed on the EU market regardless of where its provider is established, mirrors the extraterritorial reach of GDPR and signals a regulatory model that will constrain global AI supply chains. Organisations must conduct AI impact assessments, maintain comprehensive technical documentation, and implement human oversight mechanisms for high-risk deployments. Non-compliance carries fines of up to €35 million or 7% of global annual turnover (European Parliament, 2024).</w:t>
      </w:r>
    </w:p>
    <w:p w14:paraId="60FCEAAA" w14:textId="3315F0E3" w:rsidR="00D44DCF" w:rsidRPr="00043295" w:rsidRDefault="00D44DCF" w:rsidP="00C9407E">
      <w:pPr>
        <w:pStyle w:val="Heading3"/>
        <w:jc w:val="both"/>
      </w:pPr>
      <w:bookmarkStart w:id="10" w:name="_Toc235447734"/>
      <w:r w:rsidRPr="00043295">
        <w:t>1.4.2 NIST AI Risk Management Framework</w:t>
      </w:r>
      <w:bookmarkEnd w:id="10"/>
      <w:r w:rsidRPr="00043295">
        <w:t xml:space="preserve"> </w:t>
      </w:r>
    </w:p>
    <w:p w14:paraId="61C35B24" w14:textId="77777777" w:rsidR="00D44DCF" w:rsidRPr="00043295" w:rsidRDefault="00D44DCF" w:rsidP="00C9407E">
      <w:pPr>
        <w:jc w:val="both"/>
      </w:pPr>
      <w:r w:rsidRPr="00043295">
        <w:t>The NIST AI RMF (2023) provides a voluntary, outcomes-based framework structured around four core functions: GOVERN, MAP, MEASURE, and MANAGE. The GOVERN function addresses the organisational culture, policies, and accountability structures required for trustworthy AI. MAP identifies and categorises AI risks across context, stakeholders, and system characteristics. MEASURE implements quantitative and qualitative assessment of identified risks. MANAGE implements response strategies and monitors ongoing risk posture.</w:t>
      </w:r>
    </w:p>
    <w:p w14:paraId="1E8C6DB0" w14:textId="77777777" w:rsidR="00D44DCF" w:rsidRPr="00043295" w:rsidRDefault="00D44DCF" w:rsidP="00C9407E">
      <w:pPr>
        <w:jc w:val="both"/>
      </w:pPr>
      <w:r w:rsidRPr="00043295">
        <w:t xml:space="preserve">The AI RMF's strength lies in its contextual flexibility and its integration with existing enterprise risk management processes, including alignment with ISO 31000. Its weakness, acknowledged by NIST itself, is that it does not provide prescriptive technical controls, leaving considerable discretion to implementing organisations. In practice, this </w:t>
      </w:r>
      <w:r w:rsidRPr="00043295">
        <w:lastRenderedPageBreak/>
        <w:t>may result in superficial compliance rather than substantive risk reduction, particularly in organisations lacking mature AI governance capabilities.</w:t>
      </w:r>
    </w:p>
    <w:p w14:paraId="0C58CB36" w14:textId="326EE9B7" w:rsidR="00D44DCF" w:rsidRPr="00043295" w:rsidRDefault="00D44DCF" w:rsidP="00C9407E">
      <w:pPr>
        <w:pStyle w:val="Heading3"/>
        <w:jc w:val="both"/>
      </w:pPr>
      <w:bookmarkStart w:id="11" w:name="_Toc235447735"/>
      <w:r w:rsidRPr="00043295">
        <w:t xml:space="preserve">1.4.3 ISO/IEC </w:t>
      </w:r>
      <w:r w:rsidR="00C93B27">
        <w:t>[16][23]</w:t>
      </w:r>
      <w:bookmarkEnd w:id="11"/>
    </w:p>
    <w:p w14:paraId="45789B07" w14:textId="77777777" w:rsidR="00D44DCF" w:rsidRPr="00043295" w:rsidRDefault="00D44DCF" w:rsidP="00C9407E">
      <w:pPr>
        <w:jc w:val="both"/>
      </w:pPr>
      <w:r w:rsidRPr="00043295">
        <w:t>ISO/IEC 42001, the first international standard for AI management systems, published in December 2023, provides a certifiable framework analogous to ISO 27001 for information security. It establishes requirements for an AI Management System (AIMS), covering organisational context, leadership, planning, support, operational controls, performance evaluation, and continual improvement. Its adoption provides organisations with a structured vehicle for demonstrating AI governance maturity to regulators, customers, and investors. The standard explicitly addresses AI-specific concerns including impact assessment, data quality management, and the documentation of AI system objectives and intended use.</w:t>
      </w:r>
    </w:p>
    <w:p w14:paraId="3EE02F2A" w14:textId="7461419B" w:rsidR="00D44DCF" w:rsidRPr="00043295" w:rsidRDefault="00D44DCF" w:rsidP="00C9407E">
      <w:pPr>
        <w:pStyle w:val="Heading2"/>
        <w:jc w:val="both"/>
      </w:pPr>
      <w:bookmarkStart w:id="12" w:name="_Toc235447736"/>
      <w:r w:rsidRPr="00043295">
        <w:t xml:space="preserve">1.5 Implementation Challenges and Critical </w:t>
      </w:r>
      <w:proofErr w:type="gramStart"/>
      <w:r w:rsidRPr="00043295">
        <w:t>Evaluation</w:t>
      </w:r>
      <w:bookmarkEnd w:id="12"/>
      <w:r w:rsidR="00E22201">
        <w:t>[</w:t>
      </w:r>
      <w:proofErr w:type="gramEnd"/>
      <w:r w:rsidR="00E22201">
        <w:t>23][7][13]</w:t>
      </w:r>
    </w:p>
    <w:p w14:paraId="404AD5AF" w14:textId="5B4067B8" w:rsidR="00D44DCF" w:rsidRPr="00043295" w:rsidRDefault="00D44DCF" w:rsidP="00C9407E">
      <w:pPr>
        <w:jc w:val="both"/>
      </w:pPr>
      <w:r w:rsidRPr="00043295">
        <w:t>Despite the proliferation of frameworks and regulations, significant implementation challenges persist. First, there is a profound shortage of professionals who combine deep AI technical expertise with governance, risk, and compliance knowledge, a capability gap that impedes the practical operationalisation of governance requirements</w:t>
      </w:r>
      <w:r w:rsidR="00B06B80">
        <w:t xml:space="preserve">. </w:t>
      </w:r>
      <w:r w:rsidRPr="00043295">
        <w:t>Second, the pace of AI development consistently outstrips regulatory capacity; organisations deploying large language models or generative AI systems are operating in spaces that neither the EU AI Act nor the NIST AI RMF were fully designed to address. Third, the multi-vendor nature of modern AI deployments, in which organisations consume models from cloud providers, fine-tune them on proprietary data, and integrate them via APIs, creates a fragmented accountability landscape in which it is unclear where governance obligations reside.</w:t>
      </w:r>
      <w:r w:rsidR="00C9407E">
        <w:t xml:space="preserve"> </w:t>
      </w:r>
      <w:r w:rsidRPr="00043295">
        <w:t xml:space="preserve">A further critical observation concerns the risk of governance theatre: the adoption of frameworks and the completion of documentation without genuine organisational commitment to trustworthy AI. ISO/IEC 42001 certification, like ISO 27001 before it, may become a compliance checkbox rather than a substantive assurance mechanism if auditing standards are insufficiently rigorous. </w:t>
      </w:r>
      <w:proofErr w:type="spellStart"/>
      <w:r w:rsidRPr="00043295">
        <w:t>Floridi</w:t>
      </w:r>
      <w:proofErr w:type="spellEnd"/>
      <w:r w:rsidRPr="00043295">
        <w:t xml:space="preserve"> et al. warn that soft governance instruments may legitimate AI deployment rather than constrain it, providing political cover for organisations resistant to substantive accountability.</w:t>
      </w:r>
      <w:r w:rsidR="00C9407E">
        <w:t xml:space="preserve"> </w:t>
      </w:r>
      <w:r w:rsidRPr="00043295">
        <w:t>Supply chain risk in AI governance is an emerging concern that warrants particular attention. When an organisation integrates a third-party AI model into a critical business process, it inherits the model's embedded biases, security vulnerabilities, and compliance exposures. This is directly analogous to the software supply chain vulnerabilities exploited in major breaches, including the 2020 SolarWinds compromise. AI governance frameworks must therefore extend to third-party AI vendors, requiring contractual assurance, independent audit rights, and model documentation standards such as model cards as conditions of procurement.</w:t>
      </w:r>
    </w:p>
    <w:p w14:paraId="11F47E15" w14:textId="03657381" w:rsidR="00D44DCF" w:rsidRPr="00043295" w:rsidRDefault="00D44DCF" w:rsidP="00C9407E">
      <w:pPr>
        <w:pStyle w:val="Heading2"/>
        <w:jc w:val="both"/>
      </w:pPr>
      <w:bookmarkStart w:id="13" w:name="_Toc235447737"/>
      <w:r w:rsidRPr="00043295">
        <w:lastRenderedPageBreak/>
        <w:t xml:space="preserve">1.6 </w:t>
      </w:r>
      <w:r w:rsidR="00C9407E">
        <w:t>Brief explanation</w:t>
      </w:r>
      <w:bookmarkEnd w:id="13"/>
    </w:p>
    <w:p w14:paraId="674791FE" w14:textId="54ADE8AA" w:rsidR="00D44DCF" w:rsidRPr="00043295" w:rsidRDefault="00D44DCF" w:rsidP="00C9407E">
      <w:pPr>
        <w:jc w:val="both"/>
      </w:pPr>
      <w:r w:rsidRPr="00043295">
        <w:t>The governance of AI and ML systems represents one of the most complex and consequential challenges in contemporary information security and compliance. The convergence of technical opacity, regulatory fragmentation, and rapid capability advancement creates an environment in which governance frameworks risk perpetual obsolescence. Nevertheless, the emergence of the EU AI Act, NIST AI RMF, and ISO/IEC 42001 provides a foundation from which organisations can construct principled, auditable governance architectures.</w:t>
      </w:r>
      <w:r w:rsidR="00C9407E">
        <w:t xml:space="preserve"> </w:t>
      </w:r>
      <w:r w:rsidRPr="00043295">
        <w:t>Critically, effective AI governance cannot be delegated to a compliance function: it requires deep integration across technical, legal, ethical, and executive domains. Organisations must invest in AI-literate governance professionals, implement lifecycle risk management processes, and extend their third-party risk frameworks to encompass AI supply chains. The insights derived from this analysis directly inform the cybersecurity programme design in Task 2, where governance structure, accountability mechanisms, and risk-informed policy design are applied to a real-world breach context.</w:t>
      </w:r>
    </w:p>
    <w:p w14:paraId="3FB8BBFA" w14:textId="77777777" w:rsidR="00D44DCF" w:rsidRPr="00043295" w:rsidRDefault="00D44DCF" w:rsidP="00C9407E">
      <w:pPr>
        <w:pStyle w:val="Heading1"/>
        <w:jc w:val="both"/>
      </w:pPr>
      <w:bookmarkStart w:id="14" w:name="_Toc235447738"/>
      <w:r w:rsidRPr="00043295">
        <w:t>Task 2: Case Scenario – Designing a Cybersecurity Programme Based on the 2017 Equifax Data Breach</w:t>
      </w:r>
      <w:bookmarkEnd w:id="14"/>
    </w:p>
    <w:p w14:paraId="2D104595" w14:textId="08E50439" w:rsidR="00D44DCF" w:rsidRPr="00043295" w:rsidRDefault="00D44DCF" w:rsidP="00C9407E">
      <w:pPr>
        <w:jc w:val="both"/>
      </w:pPr>
      <w:r w:rsidRPr="00043295">
        <w:t xml:space="preserve">The 2017 Equifax breach, in which the personal data of approximately 147 million individuals was exfiltrated following exploitation of an unpatched Apache Struts </w:t>
      </w:r>
      <w:proofErr w:type="gramStart"/>
      <w:r w:rsidRPr="00043295">
        <w:t xml:space="preserve">vulnerability </w:t>
      </w:r>
      <w:r w:rsidR="00B06B80">
        <w:t>,</w:t>
      </w:r>
      <w:r w:rsidRPr="00043295">
        <w:t>represents</w:t>
      </w:r>
      <w:proofErr w:type="gramEnd"/>
      <w:r w:rsidRPr="00043295">
        <w:t xml:space="preserve"> a canonical failure of cybersecurity governance. Attackers maintained undetected access for 78 days, extracting highly sensitive data including Social Security numbers, dates of birth, and financial information. The breach resulted in a settlement of approximately US$575 million with the US Federal Trade Commission and exposed systemic weaknesses across governance, policy, risk management, and compliance </w:t>
      </w:r>
      <w:proofErr w:type="gramStart"/>
      <w:r w:rsidRPr="00043295">
        <w:t>dimensions .</w:t>
      </w:r>
      <w:proofErr w:type="gramEnd"/>
      <w:r w:rsidRPr="00043295">
        <w:t xml:space="preserve"> The following sections design a structured cybersecurity programme that addresses these failures using the NIST Cybersecurity Framework (CSF) 2.0 as the strategic architecture.</w:t>
      </w:r>
    </w:p>
    <w:p w14:paraId="644A1DD9" w14:textId="77777777" w:rsidR="00D44DCF" w:rsidRPr="00043295" w:rsidRDefault="00D44DCF" w:rsidP="00C9407E">
      <w:pPr>
        <w:pStyle w:val="Heading2"/>
        <w:jc w:val="both"/>
      </w:pPr>
      <w:bookmarkStart w:id="15" w:name="_Toc235447739"/>
      <w:r w:rsidRPr="00043295">
        <w:t>2.1 Organisational Structure and Accountability</w:t>
      </w:r>
      <w:bookmarkEnd w:id="15"/>
    </w:p>
    <w:p w14:paraId="0A67FAEE" w14:textId="77777777" w:rsidR="00D44DCF" w:rsidRPr="00043295" w:rsidRDefault="00D44DCF" w:rsidP="00C9407E">
      <w:pPr>
        <w:jc w:val="both"/>
      </w:pPr>
      <w:r w:rsidRPr="00043295">
        <w:t>The Equifax breach was exacerbated by fragmented accountability: no single executive held unambiguous responsibility for enterprise security posture, and critical vulnerability intelligence failed to propagate from technical teams to decision-makers. The proposed governance structure addresses this through a clearly delineated, board-visible security hierarchy.</w:t>
      </w:r>
    </w:p>
    <w:p w14:paraId="521241EB" w14:textId="77777777" w:rsidR="00D44DCF" w:rsidRPr="00043295" w:rsidRDefault="00D44DCF" w:rsidP="00C9407E">
      <w:pPr>
        <w:jc w:val="both"/>
      </w:pPr>
    </w:p>
    <w:tbl>
      <w:tblPr>
        <w:tblW w:w="89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700"/>
        <w:gridCol w:w="2200"/>
        <w:gridCol w:w="4060"/>
      </w:tblGrid>
      <w:tr w:rsidR="00D44DCF" w:rsidRPr="00043295" w14:paraId="1F40EA32" w14:textId="77777777" w:rsidTr="00D36993">
        <w:tc>
          <w:tcPr>
            <w:tcW w:w="2700" w:type="dxa"/>
            <w:tcBorders>
              <w:top w:val="single" w:sz="2" w:space="0" w:color="AAAAAA"/>
              <w:left w:val="single" w:sz="2" w:space="0" w:color="AAAAAA"/>
              <w:bottom w:val="single" w:sz="2" w:space="0" w:color="AAAAAA"/>
              <w:right w:val="single" w:sz="2" w:space="0" w:color="AAAAAA"/>
            </w:tcBorders>
            <w:shd w:val="clear" w:color="auto" w:fill="2E4057"/>
            <w:tcMar>
              <w:top w:w="80" w:type="dxa"/>
              <w:left w:w="120" w:type="dxa"/>
              <w:bottom w:w="80" w:type="dxa"/>
              <w:right w:w="120" w:type="dxa"/>
            </w:tcMar>
            <w:hideMark/>
          </w:tcPr>
          <w:p w14:paraId="2177BCD3" w14:textId="77777777" w:rsidR="00D44DCF" w:rsidRPr="00043295" w:rsidRDefault="00D44DCF" w:rsidP="00C9407E">
            <w:pPr>
              <w:jc w:val="both"/>
            </w:pPr>
            <w:r w:rsidRPr="00043295">
              <w:rPr>
                <w:b/>
                <w:bCs/>
              </w:rPr>
              <w:lastRenderedPageBreak/>
              <w:t>Role</w:t>
            </w:r>
          </w:p>
        </w:tc>
        <w:tc>
          <w:tcPr>
            <w:tcW w:w="2200" w:type="dxa"/>
            <w:tcBorders>
              <w:top w:val="single" w:sz="2" w:space="0" w:color="AAAAAA"/>
              <w:left w:val="single" w:sz="2" w:space="0" w:color="AAAAAA"/>
              <w:bottom w:val="single" w:sz="2" w:space="0" w:color="AAAAAA"/>
              <w:right w:val="single" w:sz="2" w:space="0" w:color="AAAAAA"/>
            </w:tcBorders>
            <w:shd w:val="clear" w:color="auto" w:fill="2E4057"/>
            <w:tcMar>
              <w:top w:w="80" w:type="dxa"/>
              <w:left w:w="120" w:type="dxa"/>
              <w:bottom w:w="80" w:type="dxa"/>
              <w:right w:w="120" w:type="dxa"/>
            </w:tcMar>
            <w:hideMark/>
          </w:tcPr>
          <w:p w14:paraId="0993A613" w14:textId="77777777" w:rsidR="00D44DCF" w:rsidRPr="00043295" w:rsidRDefault="00D44DCF" w:rsidP="00C9407E">
            <w:pPr>
              <w:jc w:val="both"/>
            </w:pPr>
            <w:r w:rsidRPr="00043295">
              <w:rPr>
                <w:b/>
                <w:bCs/>
              </w:rPr>
              <w:t>Reporting Line</w:t>
            </w:r>
          </w:p>
        </w:tc>
        <w:tc>
          <w:tcPr>
            <w:tcW w:w="4060" w:type="dxa"/>
            <w:tcBorders>
              <w:top w:val="single" w:sz="2" w:space="0" w:color="AAAAAA"/>
              <w:left w:val="single" w:sz="2" w:space="0" w:color="AAAAAA"/>
              <w:bottom w:val="single" w:sz="2" w:space="0" w:color="AAAAAA"/>
              <w:right w:val="single" w:sz="2" w:space="0" w:color="AAAAAA"/>
            </w:tcBorders>
            <w:shd w:val="clear" w:color="auto" w:fill="2E4057"/>
            <w:tcMar>
              <w:top w:w="80" w:type="dxa"/>
              <w:left w:w="120" w:type="dxa"/>
              <w:bottom w:w="80" w:type="dxa"/>
              <w:right w:w="120" w:type="dxa"/>
            </w:tcMar>
            <w:hideMark/>
          </w:tcPr>
          <w:p w14:paraId="0056DBF5" w14:textId="77777777" w:rsidR="00D44DCF" w:rsidRPr="00043295" w:rsidRDefault="00D44DCF" w:rsidP="00C9407E">
            <w:pPr>
              <w:jc w:val="both"/>
            </w:pPr>
            <w:r w:rsidRPr="00043295">
              <w:rPr>
                <w:b/>
                <w:bCs/>
              </w:rPr>
              <w:t>Key Responsibilities</w:t>
            </w:r>
          </w:p>
        </w:tc>
      </w:tr>
      <w:tr w:rsidR="00D44DCF" w:rsidRPr="00043295" w14:paraId="2A4444DA" w14:textId="77777777" w:rsidTr="00D36993">
        <w:tc>
          <w:tcPr>
            <w:tcW w:w="27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18654FBE" w14:textId="77777777" w:rsidR="00D44DCF" w:rsidRPr="00043295" w:rsidRDefault="00D44DCF" w:rsidP="00C9407E">
            <w:pPr>
              <w:jc w:val="both"/>
            </w:pPr>
            <w:r w:rsidRPr="00043295">
              <w:t>Chief Information Security Officer (CISO)</w:t>
            </w:r>
          </w:p>
        </w:tc>
        <w:tc>
          <w:tcPr>
            <w:tcW w:w="22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01B0EA25" w14:textId="77777777" w:rsidR="00D44DCF" w:rsidRPr="00043295" w:rsidRDefault="00D44DCF" w:rsidP="00C9407E">
            <w:pPr>
              <w:jc w:val="both"/>
            </w:pPr>
            <w:r w:rsidRPr="00043295">
              <w:t>Board of Directors / CEO</w:t>
            </w:r>
          </w:p>
        </w:tc>
        <w:tc>
          <w:tcPr>
            <w:tcW w:w="406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7B1330CE" w14:textId="77777777" w:rsidR="00D44DCF" w:rsidRPr="00043295" w:rsidRDefault="00D44DCF" w:rsidP="00C9407E">
            <w:pPr>
              <w:jc w:val="both"/>
            </w:pPr>
            <w:r w:rsidRPr="00043295">
              <w:t>Enterprise security strategy, risk appetite definition, board reporting, regulatory liaison</w:t>
            </w:r>
          </w:p>
        </w:tc>
      </w:tr>
      <w:tr w:rsidR="00D44DCF" w:rsidRPr="00043295" w14:paraId="63379FED" w14:textId="77777777" w:rsidTr="00D36993">
        <w:tc>
          <w:tcPr>
            <w:tcW w:w="27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8122CE6" w14:textId="77777777" w:rsidR="00D44DCF" w:rsidRPr="00043295" w:rsidRDefault="00D44DCF" w:rsidP="00C9407E">
            <w:pPr>
              <w:jc w:val="both"/>
            </w:pPr>
            <w:r w:rsidRPr="00043295">
              <w:t>Deputy CISO – Architecture</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C5134E5" w14:textId="77777777" w:rsidR="00D44DCF" w:rsidRPr="00043295" w:rsidRDefault="00D44DCF" w:rsidP="00C9407E">
            <w:pPr>
              <w:jc w:val="both"/>
            </w:pPr>
            <w:r w:rsidRPr="00043295">
              <w:t>CISO</w:t>
            </w:r>
          </w:p>
        </w:tc>
        <w:tc>
          <w:tcPr>
            <w:tcW w:w="40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266F7A8" w14:textId="77777777" w:rsidR="00D44DCF" w:rsidRPr="00043295" w:rsidRDefault="00D44DCF" w:rsidP="00C9407E">
            <w:pPr>
              <w:jc w:val="both"/>
            </w:pPr>
            <w:r w:rsidRPr="00043295">
              <w:t>Security architecture design, zero-trust implementation, technology roadmap</w:t>
            </w:r>
          </w:p>
        </w:tc>
      </w:tr>
      <w:tr w:rsidR="00D44DCF" w:rsidRPr="00043295" w14:paraId="689D3499" w14:textId="77777777" w:rsidTr="00D36993">
        <w:tc>
          <w:tcPr>
            <w:tcW w:w="27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67FF3444" w14:textId="77777777" w:rsidR="00D44DCF" w:rsidRPr="00043295" w:rsidRDefault="00D44DCF" w:rsidP="00C9407E">
            <w:pPr>
              <w:jc w:val="both"/>
            </w:pPr>
            <w:r w:rsidRPr="00043295">
              <w:t>Deputy CISO – Compliance &amp; Risk</w:t>
            </w:r>
          </w:p>
        </w:tc>
        <w:tc>
          <w:tcPr>
            <w:tcW w:w="22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4485077E" w14:textId="77777777" w:rsidR="00D44DCF" w:rsidRPr="00043295" w:rsidRDefault="00D44DCF" w:rsidP="00C9407E">
            <w:pPr>
              <w:jc w:val="both"/>
            </w:pPr>
            <w:r w:rsidRPr="00043295">
              <w:t>CISO</w:t>
            </w:r>
          </w:p>
        </w:tc>
        <w:tc>
          <w:tcPr>
            <w:tcW w:w="406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3E7D511A" w14:textId="77777777" w:rsidR="00D44DCF" w:rsidRPr="00043295" w:rsidRDefault="00D44DCF" w:rsidP="00C9407E">
            <w:pPr>
              <w:jc w:val="both"/>
            </w:pPr>
            <w:r w:rsidRPr="00043295">
              <w:t>Regulatory compliance (GDPR, CCPA, DORA), risk register ownership, audit coordination</w:t>
            </w:r>
          </w:p>
        </w:tc>
      </w:tr>
      <w:tr w:rsidR="00D44DCF" w:rsidRPr="00043295" w14:paraId="2AD43741" w14:textId="77777777" w:rsidTr="00D36993">
        <w:tc>
          <w:tcPr>
            <w:tcW w:w="27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71F7CFD5" w14:textId="77777777" w:rsidR="00D44DCF" w:rsidRPr="00043295" w:rsidRDefault="00D44DCF" w:rsidP="00C9407E">
            <w:pPr>
              <w:jc w:val="both"/>
            </w:pPr>
            <w:r w:rsidRPr="00043295">
              <w:t>Security Operations Centre (SOC) Director</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4AED210E" w14:textId="77777777" w:rsidR="00D44DCF" w:rsidRPr="00043295" w:rsidRDefault="00D44DCF" w:rsidP="00C9407E">
            <w:pPr>
              <w:jc w:val="both"/>
            </w:pPr>
            <w:r w:rsidRPr="00043295">
              <w:t>CISO</w:t>
            </w:r>
          </w:p>
        </w:tc>
        <w:tc>
          <w:tcPr>
            <w:tcW w:w="40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619E789" w14:textId="77777777" w:rsidR="00D44DCF" w:rsidRPr="00043295" w:rsidRDefault="00D44DCF" w:rsidP="00C9407E">
            <w:pPr>
              <w:jc w:val="both"/>
            </w:pPr>
            <w:r w:rsidRPr="00043295">
              <w:t>24/7 threat monitoring, SIEM/SOAR operations, incident triage and escalation</w:t>
            </w:r>
          </w:p>
        </w:tc>
      </w:tr>
      <w:tr w:rsidR="00D44DCF" w:rsidRPr="00043295" w14:paraId="22E9D9E5" w14:textId="77777777" w:rsidTr="00D36993">
        <w:tc>
          <w:tcPr>
            <w:tcW w:w="27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2A589334" w14:textId="77777777" w:rsidR="00D44DCF" w:rsidRPr="00043295" w:rsidRDefault="00D44DCF" w:rsidP="00C9407E">
            <w:pPr>
              <w:jc w:val="both"/>
            </w:pPr>
            <w:r w:rsidRPr="00043295">
              <w:t>Head of Vulnerability Management</w:t>
            </w:r>
          </w:p>
        </w:tc>
        <w:tc>
          <w:tcPr>
            <w:tcW w:w="22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2313FC85" w14:textId="77777777" w:rsidR="00D44DCF" w:rsidRPr="00043295" w:rsidRDefault="00D44DCF" w:rsidP="00C9407E">
            <w:pPr>
              <w:jc w:val="both"/>
            </w:pPr>
            <w:r w:rsidRPr="00043295">
              <w:t>Deputy CISO – Architecture</w:t>
            </w:r>
          </w:p>
        </w:tc>
        <w:tc>
          <w:tcPr>
            <w:tcW w:w="406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50CB50DC" w14:textId="77777777" w:rsidR="00D44DCF" w:rsidRPr="00043295" w:rsidRDefault="00D44DCF" w:rsidP="00C9407E">
            <w:pPr>
              <w:jc w:val="both"/>
            </w:pPr>
            <w:r w:rsidRPr="00043295">
              <w:t>Patch lifecycle management, vulnerability scanning, CVE prioritisation</w:t>
            </w:r>
          </w:p>
        </w:tc>
      </w:tr>
      <w:tr w:rsidR="00D44DCF" w:rsidRPr="00043295" w14:paraId="6502CC9D" w14:textId="77777777" w:rsidTr="00D36993">
        <w:tc>
          <w:tcPr>
            <w:tcW w:w="27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058F518" w14:textId="77777777" w:rsidR="00D44DCF" w:rsidRPr="00043295" w:rsidRDefault="00D44DCF" w:rsidP="00C9407E">
            <w:pPr>
              <w:jc w:val="both"/>
            </w:pPr>
            <w:r w:rsidRPr="00043295">
              <w:t>Secure Development Lead</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6FBF5775" w14:textId="77777777" w:rsidR="00D44DCF" w:rsidRPr="00043295" w:rsidRDefault="00D44DCF" w:rsidP="00C9407E">
            <w:pPr>
              <w:jc w:val="both"/>
            </w:pPr>
            <w:r w:rsidRPr="00043295">
              <w:t>Deputy CISO – Architecture</w:t>
            </w:r>
          </w:p>
        </w:tc>
        <w:tc>
          <w:tcPr>
            <w:tcW w:w="40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A8B171F" w14:textId="77777777" w:rsidR="00D44DCF" w:rsidRPr="00043295" w:rsidRDefault="00D44DCF" w:rsidP="00C9407E">
            <w:pPr>
              <w:jc w:val="both"/>
            </w:pPr>
            <w:r w:rsidRPr="00043295">
              <w:t>SDLC security gates, code review standards, developer security training</w:t>
            </w:r>
          </w:p>
        </w:tc>
      </w:tr>
      <w:tr w:rsidR="00D44DCF" w:rsidRPr="00043295" w14:paraId="54916581" w14:textId="77777777" w:rsidTr="00D36993">
        <w:tc>
          <w:tcPr>
            <w:tcW w:w="27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37708066" w14:textId="77777777" w:rsidR="00D44DCF" w:rsidRPr="00043295" w:rsidRDefault="00D44DCF" w:rsidP="00C9407E">
            <w:pPr>
              <w:jc w:val="both"/>
            </w:pPr>
            <w:r w:rsidRPr="00043295">
              <w:t>Data Protection Officer (DPO)</w:t>
            </w:r>
          </w:p>
        </w:tc>
        <w:tc>
          <w:tcPr>
            <w:tcW w:w="22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71FA88F7" w14:textId="77777777" w:rsidR="00D44DCF" w:rsidRPr="00043295" w:rsidRDefault="00D44DCF" w:rsidP="00C9407E">
            <w:pPr>
              <w:jc w:val="both"/>
            </w:pPr>
            <w:r w:rsidRPr="00043295">
              <w:t>Board / Legal</w:t>
            </w:r>
          </w:p>
        </w:tc>
        <w:tc>
          <w:tcPr>
            <w:tcW w:w="406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3365699C" w14:textId="77777777" w:rsidR="00D44DCF" w:rsidRPr="00043295" w:rsidRDefault="00D44DCF" w:rsidP="00C9407E">
            <w:pPr>
              <w:jc w:val="both"/>
            </w:pPr>
            <w:r w:rsidRPr="00043295">
              <w:t>GDPR compliance, privacy impact assessments, breach notification</w:t>
            </w:r>
          </w:p>
        </w:tc>
      </w:tr>
      <w:tr w:rsidR="00D44DCF" w:rsidRPr="00043295" w14:paraId="34944B2B" w14:textId="77777777" w:rsidTr="00D36993">
        <w:tc>
          <w:tcPr>
            <w:tcW w:w="27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68EFEBEA" w14:textId="77777777" w:rsidR="00D44DCF" w:rsidRPr="00043295" w:rsidRDefault="00D44DCF" w:rsidP="00C9407E">
            <w:pPr>
              <w:jc w:val="both"/>
            </w:pPr>
            <w:r w:rsidRPr="00043295">
              <w:t>Business Continuity Manager</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573A58FB" w14:textId="77777777" w:rsidR="00D44DCF" w:rsidRPr="00043295" w:rsidRDefault="00D44DCF" w:rsidP="00C9407E">
            <w:pPr>
              <w:jc w:val="both"/>
            </w:pPr>
            <w:r w:rsidRPr="00043295">
              <w:t>Deputy CISO – Compliance &amp; Risk</w:t>
            </w:r>
          </w:p>
        </w:tc>
        <w:tc>
          <w:tcPr>
            <w:tcW w:w="40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74748161" w14:textId="77777777" w:rsidR="00D44DCF" w:rsidRPr="00043295" w:rsidRDefault="00D44DCF" w:rsidP="00C9407E">
            <w:pPr>
              <w:jc w:val="both"/>
            </w:pPr>
            <w:r w:rsidRPr="00043295">
              <w:t>BCP/DRP design, resilience testing, crisis communications</w:t>
            </w:r>
          </w:p>
        </w:tc>
      </w:tr>
    </w:tbl>
    <w:p w14:paraId="38147DDF" w14:textId="77777777" w:rsidR="00D44DCF" w:rsidRPr="00043295" w:rsidRDefault="00D44DCF" w:rsidP="00E22201">
      <w:pPr>
        <w:pStyle w:val="Heading4"/>
      </w:pPr>
      <w:r w:rsidRPr="00043295">
        <w:t>Table 1: Proposed Security Governance Structure and Reporting Lines</w:t>
      </w:r>
    </w:p>
    <w:p w14:paraId="052DB845" w14:textId="01081D28" w:rsidR="00D44DCF" w:rsidRPr="00043295" w:rsidRDefault="00D44DCF" w:rsidP="00C9407E">
      <w:pPr>
        <w:jc w:val="both"/>
      </w:pPr>
      <w:r w:rsidRPr="00043295">
        <w:t xml:space="preserve">The CISO reports directly to the Board of Directors, ensuring that security risk is treated as a board-level fiduciary matter rather than an operational IT concern. This structural choice directly addresses the Equifax failure mode in which security concerns were filtered through IT leadership before reaching executive level. A dedicated Data Protection Officer, structurally independent of the CISO, ensures that privacy compliance obligations under GDPR are not subordinated to security operational priorities. The separation of Architecture and Compliance/Risk functions under distinct Deputy CISOs prevents the conflation of technical control implementation with </w:t>
      </w:r>
      <w:r w:rsidRPr="00043295">
        <w:lastRenderedPageBreak/>
        <w:t xml:space="preserve">independent risk assurance, a principle consistent with the three-lines-of-defence model advocated by the Institute of Internal </w:t>
      </w:r>
      <w:proofErr w:type="gramStart"/>
      <w:r w:rsidRPr="00043295">
        <w:t>Auditors .</w:t>
      </w:r>
      <w:proofErr w:type="gramEnd"/>
    </w:p>
    <w:p w14:paraId="4602E3E4" w14:textId="26E85A3A" w:rsidR="00D44DCF" w:rsidRPr="00043295" w:rsidRDefault="00D44DCF" w:rsidP="00C9407E">
      <w:pPr>
        <w:pStyle w:val="Heading2"/>
        <w:jc w:val="both"/>
      </w:pPr>
      <w:bookmarkStart w:id="16" w:name="_Toc235447740"/>
      <w:r w:rsidRPr="00043295">
        <w:t xml:space="preserve">2.2 Policies and </w:t>
      </w:r>
      <w:proofErr w:type="gramStart"/>
      <w:r w:rsidRPr="00043295">
        <w:t>Procedures</w:t>
      </w:r>
      <w:bookmarkEnd w:id="16"/>
      <w:r w:rsidR="00E22201">
        <w:t>[</w:t>
      </w:r>
      <w:proofErr w:type="gramEnd"/>
      <w:r w:rsidR="00E22201">
        <w:t>15]</w:t>
      </w:r>
    </w:p>
    <w:p w14:paraId="77ED7DD6" w14:textId="77777777" w:rsidR="00D44DCF" w:rsidRPr="00043295" w:rsidRDefault="00D44DCF" w:rsidP="00C9407E">
      <w:pPr>
        <w:jc w:val="both"/>
      </w:pPr>
      <w:r w:rsidRPr="00043295">
        <w:t>The Equifax breach was enabled by a documented vulnerability management failure: CVE-2017-5638 had been publicly disclosed and patched by Apache on 7 March 2017, yet Equifax had not applied the patch to affected internet-facing systems prior to the breach commencing on 12 May 2017. This represents a policy failure, not merely an operational oversight. The following policy framework is designed to be measurable, auditable, and aligned to enterprise risk.</w:t>
      </w:r>
    </w:p>
    <w:p w14:paraId="6D017D0A" w14:textId="77777777" w:rsidR="00D44DCF" w:rsidRPr="00043295" w:rsidRDefault="00D44DCF" w:rsidP="00C9407E">
      <w:pPr>
        <w:jc w:val="both"/>
      </w:pPr>
    </w:p>
    <w:tbl>
      <w:tblPr>
        <w:tblW w:w="79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774"/>
        <w:gridCol w:w="2492"/>
        <w:gridCol w:w="2306"/>
        <w:gridCol w:w="1388"/>
      </w:tblGrid>
      <w:tr w:rsidR="00D44DCF" w:rsidRPr="00043295" w14:paraId="43E361E3" w14:textId="77777777" w:rsidTr="00D36993">
        <w:tc>
          <w:tcPr>
            <w:tcW w:w="1800" w:type="dxa"/>
            <w:tcBorders>
              <w:top w:val="single" w:sz="2" w:space="0" w:color="AAAAAA"/>
              <w:left w:val="single" w:sz="2" w:space="0" w:color="AAAAAA"/>
              <w:bottom w:val="single" w:sz="2" w:space="0" w:color="AAAAAA"/>
              <w:right w:val="single" w:sz="2" w:space="0" w:color="AAAAAA"/>
            </w:tcBorders>
            <w:shd w:val="clear" w:color="auto" w:fill="2E4057"/>
            <w:tcMar>
              <w:top w:w="80" w:type="dxa"/>
              <w:left w:w="120" w:type="dxa"/>
              <w:bottom w:w="80" w:type="dxa"/>
              <w:right w:w="120" w:type="dxa"/>
            </w:tcMar>
            <w:hideMark/>
          </w:tcPr>
          <w:p w14:paraId="6D26E40A" w14:textId="77777777" w:rsidR="00D44DCF" w:rsidRPr="00043295" w:rsidRDefault="00D44DCF" w:rsidP="00C9407E">
            <w:pPr>
              <w:jc w:val="both"/>
            </w:pPr>
            <w:r w:rsidRPr="00043295">
              <w:rPr>
                <w:b/>
                <w:bCs/>
              </w:rPr>
              <w:t>Policy Domain</w:t>
            </w:r>
          </w:p>
        </w:tc>
        <w:tc>
          <w:tcPr>
            <w:tcW w:w="2600" w:type="dxa"/>
            <w:tcBorders>
              <w:top w:val="single" w:sz="2" w:space="0" w:color="AAAAAA"/>
              <w:left w:val="single" w:sz="2" w:space="0" w:color="AAAAAA"/>
              <w:bottom w:val="single" w:sz="2" w:space="0" w:color="AAAAAA"/>
              <w:right w:val="single" w:sz="2" w:space="0" w:color="AAAAAA"/>
            </w:tcBorders>
            <w:shd w:val="clear" w:color="auto" w:fill="2E4057"/>
            <w:tcMar>
              <w:top w:w="80" w:type="dxa"/>
              <w:left w:w="120" w:type="dxa"/>
              <w:bottom w:w="80" w:type="dxa"/>
              <w:right w:w="120" w:type="dxa"/>
            </w:tcMar>
            <w:hideMark/>
          </w:tcPr>
          <w:p w14:paraId="080733C5" w14:textId="77777777" w:rsidR="00D44DCF" w:rsidRPr="00043295" w:rsidRDefault="00D44DCF" w:rsidP="00C9407E">
            <w:pPr>
              <w:jc w:val="both"/>
            </w:pPr>
            <w:r w:rsidRPr="00043295">
              <w:rPr>
                <w:b/>
                <w:bCs/>
              </w:rPr>
              <w:t>Key Requirements</w:t>
            </w:r>
          </w:p>
        </w:tc>
        <w:tc>
          <w:tcPr>
            <w:tcW w:w="2400" w:type="dxa"/>
            <w:tcBorders>
              <w:top w:val="single" w:sz="2" w:space="0" w:color="AAAAAA"/>
              <w:left w:val="single" w:sz="2" w:space="0" w:color="AAAAAA"/>
              <w:bottom w:val="single" w:sz="2" w:space="0" w:color="AAAAAA"/>
              <w:right w:val="single" w:sz="2" w:space="0" w:color="AAAAAA"/>
            </w:tcBorders>
            <w:shd w:val="clear" w:color="auto" w:fill="2E4057"/>
            <w:tcMar>
              <w:top w:w="80" w:type="dxa"/>
              <w:left w:w="120" w:type="dxa"/>
              <w:bottom w:w="80" w:type="dxa"/>
              <w:right w:w="120" w:type="dxa"/>
            </w:tcMar>
            <w:hideMark/>
          </w:tcPr>
          <w:p w14:paraId="1759C1D8" w14:textId="77777777" w:rsidR="00D44DCF" w:rsidRPr="00043295" w:rsidRDefault="00D44DCF" w:rsidP="00C9407E">
            <w:pPr>
              <w:jc w:val="both"/>
            </w:pPr>
            <w:r w:rsidRPr="00043295">
              <w:rPr>
                <w:b/>
                <w:bCs/>
              </w:rPr>
              <w:t>Measurable Control</w:t>
            </w:r>
          </w:p>
        </w:tc>
        <w:tc>
          <w:tcPr>
            <w:tcW w:w="1160" w:type="dxa"/>
            <w:tcBorders>
              <w:top w:val="single" w:sz="2" w:space="0" w:color="AAAAAA"/>
              <w:left w:val="single" w:sz="2" w:space="0" w:color="AAAAAA"/>
              <w:bottom w:val="single" w:sz="2" w:space="0" w:color="AAAAAA"/>
              <w:right w:val="single" w:sz="2" w:space="0" w:color="AAAAAA"/>
            </w:tcBorders>
            <w:shd w:val="clear" w:color="auto" w:fill="2E4057"/>
            <w:tcMar>
              <w:top w:w="80" w:type="dxa"/>
              <w:left w:w="120" w:type="dxa"/>
              <w:bottom w:w="80" w:type="dxa"/>
              <w:right w:w="120" w:type="dxa"/>
            </w:tcMar>
            <w:hideMark/>
          </w:tcPr>
          <w:p w14:paraId="696E3490" w14:textId="77777777" w:rsidR="00D44DCF" w:rsidRPr="00043295" w:rsidRDefault="00D44DCF" w:rsidP="00C9407E">
            <w:pPr>
              <w:jc w:val="both"/>
            </w:pPr>
            <w:r w:rsidRPr="00043295">
              <w:rPr>
                <w:b/>
                <w:bCs/>
              </w:rPr>
              <w:t>Review Frequency</w:t>
            </w:r>
          </w:p>
        </w:tc>
      </w:tr>
      <w:tr w:rsidR="00D44DCF" w:rsidRPr="00043295" w14:paraId="488E4934" w14:textId="77777777" w:rsidTr="00D36993">
        <w:tc>
          <w:tcPr>
            <w:tcW w:w="18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052F18AF" w14:textId="77777777" w:rsidR="00D44DCF" w:rsidRPr="00043295" w:rsidRDefault="00D44DCF" w:rsidP="00C9407E">
            <w:pPr>
              <w:jc w:val="both"/>
            </w:pPr>
            <w:r w:rsidRPr="00043295">
              <w:t>Vulnerability Management</w:t>
            </w:r>
          </w:p>
        </w:tc>
        <w:tc>
          <w:tcPr>
            <w:tcW w:w="26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7AD2B588" w14:textId="77777777" w:rsidR="00D44DCF" w:rsidRPr="00043295" w:rsidRDefault="00D44DCF" w:rsidP="00C9407E">
            <w:pPr>
              <w:jc w:val="both"/>
            </w:pPr>
            <w:r w:rsidRPr="00043295">
              <w:t>All critical and high CVEs patched within 15 days; internet-facing assets within 72 hours</w:t>
            </w:r>
          </w:p>
        </w:tc>
        <w:tc>
          <w:tcPr>
            <w:tcW w:w="24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008B18F2" w14:textId="77777777" w:rsidR="00D44DCF" w:rsidRPr="00043295" w:rsidRDefault="00D44DCF" w:rsidP="00C9407E">
            <w:pPr>
              <w:jc w:val="both"/>
            </w:pPr>
            <w:r w:rsidRPr="00043295">
              <w:t>Patch compliance rate ≥ 99%; mean time to remediate (MTTR) tracked weekly</w:t>
            </w:r>
          </w:p>
        </w:tc>
        <w:tc>
          <w:tcPr>
            <w:tcW w:w="116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7348BD2C" w14:textId="77777777" w:rsidR="00D44DCF" w:rsidRPr="00043295" w:rsidRDefault="00D44DCF" w:rsidP="00C9407E">
            <w:pPr>
              <w:jc w:val="both"/>
            </w:pPr>
            <w:r w:rsidRPr="00043295">
              <w:t>Quarterly</w:t>
            </w:r>
          </w:p>
        </w:tc>
      </w:tr>
      <w:tr w:rsidR="00D44DCF" w:rsidRPr="00043295" w14:paraId="3F0FF421" w14:textId="77777777" w:rsidTr="00D36993">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59B3DD0" w14:textId="77777777" w:rsidR="00D44DCF" w:rsidRPr="00043295" w:rsidRDefault="00D44DCF" w:rsidP="00C9407E">
            <w:pPr>
              <w:jc w:val="both"/>
            </w:pPr>
            <w:r w:rsidRPr="00043295">
              <w:t>Patch Management</w:t>
            </w:r>
          </w:p>
        </w:tc>
        <w:tc>
          <w:tcPr>
            <w:tcW w:w="26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7F9F19F1" w14:textId="77777777" w:rsidR="00D44DCF" w:rsidRPr="00043295" w:rsidRDefault="00D44DCF" w:rsidP="00C9407E">
            <w:pPr>
              <w:jc w:val="both"/>
            </w:pPr>
            <w:r w:rsidRPr="00043295">
              <w:t>Automated patch deployment for approved patches; emergency patch process with CISO approval</w:t>
            </w:r>
          </w:p>
        </w:tc>
        <w:tc>
          <w:tcPr>
            <w:tcW w:w="2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5B33A66" w14:textId="77777777" w:rsidR="00D44DCF" w:rsidRPr="00043295" w:rsidRDefault="00D44DCF" w:rsidP="00C9407E">
            <w:pPr>
              <w:jc w:val="both"/>
            </w:pPr>
            <w:r w:rsidRPr="00043295">
              <w:t>Automated patching coverage ≥ 95%; patch backlog &lt; 5 critical items</w:t>
            </w:r>
          </w:p>
        </w:tc>
        <w:tc>
          <w:tcPr>
            <w:tcW w:w="11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7D41AAC" w14:textId="77777777" w:rsidR="00D44DCF" w:rsidRPr="00043295" w:rsidRDefault="00D44DCF" w:rsidP="00C9407E">
            <w:pPr>
              <w:jc w:val="both"/>
            </w:pPr>
            <w:r w:rsidRPr="00043295">
              <w:t>Monthly</w:t>
            </w:r>
          </w:p>
        </w:tc>
      </w:tr>
      <w:tr w:rsidR="00D44DCF" w:rsidRPr="00043295" w14:paraId="1B208C8D" w14:textId="77777777" w:rsidTr="00D36993">
        <w:tc>
          <w:tcPr>
            <w:tcW w:w="18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62155FF1" w14:textId="77777777" w:rsidR="00D44DCF" w:rsidRPr="00043295" w:rsidRDefault="00D44DCF" w:rsidP="00C9407E">
            <w:pPr>
              <w:jc w:val="both"/>
            </w:pPr>
            <w:r w:rsidRPr="00043295">
              <w:t>Secure SDLC</w:t>
            </w:r>
          </w:p>
        </w:tc>
        <w:tc>
          <w:tcPr>
            <w:tcW w:w="26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690E851A" w14:textId="77777777" w:rsidR="00D44DCF" w:rsidRPr="00043295" w:rsidRDefault="00D44DCF" w:rsidP="00C9407E">
            <w:pPr>
              <w:jc w:val="both"/>
            </w:pPr>
            <w:r w:rsidRPr="00043295">
              <w:t>Security gates at design, development, and pre-release stages; mandatory OWASP Top 10 testing</w:t>
            </w:r>
          </w:p>
        </w:tc>
        <w:tc>
          <w:tcPr>
            <w:tcW w:w="24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6D152D81" w14:textId="77777777" w:rsidR="00D44DCF" w:rsidRPr="00043295" w:rsidRDefault="00D44DCF" w:rsidP="00C9407E">
            <w:pPr>
              <w:jc w:val="both"/>
            </w:pPr>
            <w:r w:rsidRPr="00043295">
              <w:t>Zero critical/high vulnerabilities at release; 100% SAST/DAST scan coverage</w:t>
            </w:r>
          </w:p>
        </w:tc>
        <w:tc>
          <w:tcPr>
            <w:tcW w:w="116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607F9FC1" w14:textId="77777777" w:rsidR="00D44DCF" w:rsidRPr="00043295" w:rsidRDefault="00D44DCF" w:rsidP="00C9407E">
            <w:pPr>
              <w:jc w:val="both"/>
            </w:pPr>
            <w:r w:rsidRPr="00043295">
              <w:t>Per release</w:t>
            </w:r>
          </w:p>
        </w:tc>
      </w:tr>
      <w:tr w:rsidR="00D44DCF" w:rsidRPr="00043295" w14:paraId="7C127A67" w14:textId="77777777" w:rsidTr="00D36993">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4ABCC41B" w14:textId="77777777" w:rsidR="00D44DCF" w:rsidRPr="00043295" w:rsidRDefault="00D44DCF" w:rsidP="00C9407E">
            <w:pPr>
              <w:jc w:val="both"/>
            </w:pPr>
            <w:r w:rsidRPr="00043295">
              <w:t>Asset Inventory &amp; Visibility</w:t>
            </w:r>
          </w:p>
        </w:tc>
        <w:tc>
          <w:tcPr>
            <w:tcW w:w="26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46BC1334" w14:textId="77777777" w:rsidR="00D44DCF" w:rsidRPr="00043295" w:rsidRDefault="00D44DCF" w:rsidP="00C9407E">
            <w:pPr>
              <w:jc w:val="both"/>
            </w:pPr>
            <w:r w:rsidRPr="00043295">
              <w:t>Complete and continuously updated CMDB; all internet-facing assets tagged and monitored</w:t>
            </w:r>
          </w:p>
        </w:tc>
        <w:tc>
          <w:tcPr>
            <w:tcW w:w="2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8399219" w14:textId="77777777" w:rsidR="00D44DCF" w:rsidRPr="00043295" w:rsidRDefault="00D44DCF" w:rsidP="00C9407E">
            <w:pPr>
              <w:jc w:val="both"/>
            </w:pPr>
            <w:r w:rsidRPr="00043295">
              <w:t>CMDB accuracy ≥ 99%; discovery scan discrepancy &lt; 1%</w:t>
            </w:r>
          </w:p>
        </w:tc>
        <w:tc>
          <w:tcPr>
            <w:tcW w:w="11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3A6AB9E" w14:textId="77777777" w:rsidR="00D44DCF" w:rsidRPr="00043295" w:rsidRDefault="00D44DCF" w:rsidP="00C9407E">
            <w:pPr>
              <w:jc w:val="both"/>
            </w:pPr>
            <w:r w:rsidRPr="00043295">
              <w:t>Weekly</w:t>
            </w:r>
          </w:p>
        </w:tc>
      </w:tr>
      <w:tr w:rsidR="00D44DCF" w:rsidRPr="00043295" w14:paraId="670E7D4D" w14:textId="77777777" w:rsidTr="00D36993">
        <w:tc>
          <w:tcPr>
            <w:tcW w:w="18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6BEEAF7C" w14:textId="77777777" w:rsidR="00D44DCF" w:rsidRPr="00043295" w:rsidRDefault="00D44DCF" w:rsidP="00C9407E">
            <w:pPr>
              <w:jc w:val="both"/>
            </w:pPr>
            <w:r w:rsidRPr="00043295">
              <w:lastRenderedPageBreak/>
              <w:t>Data Protection</w:t>
            </w:r>
          </w:p>
        </w:tc>
        <w:tc>
          <w:tcPr>
            <w:tcW w:w="26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3ECF21CE" w14:textId="77777777" w:rsidR="00D44DCF" w:rsidRPr="00043295" w:rsidRDefault="00D44DCF" w:rsidP="00C9407E">
            <w:pPr>
              <w:jc w:val="both"/>
            </w:pPr>
            <w:r w:rsidRPr="00043295">
              <w:t>Data classification at ingestion; encryption in transit (TLS 1.3+) and at rest (AES-256)</w:t>
            </w:r>
          </w:p>
        </w:tc>
        <w:tc>
          <w:tcPr>
            <w:tcW w:w="24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2B50BC1F" w14:textId="77777777" w:rsidR="00D44DCF" w:rsidRPr="00043295" w:rsidRDefault="00D44DCF" w:rsidP="00C9407E">
            <w:pPr>
              <w:jc w:val="both"/>
            </w:pPr>
            <w:r w:rsidRPr="00043295">
              <w:t>100% classified data encrypted; quarterly encryption audit</w:t>
            </w:r>
          </w:p>
        </w:tc>
        <w:tc>
          <w:tcPr>
            <w:tcW w:w="116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534DB466" w14:textId="77777777" w:rsidR="00D44DCF" w:rsidRPr="00043295" w:rsidRDefault="00D44DCF" w:rsidP="00C9407E">
            <w:pPr>
              <w:jc w:val="both"/>
            </w:pPr>
            <w:r w:rsidRPr="00043295">
              <w:t>Quarterly</w:t>
            </w:r>
          </w:p>
        </w:tc>
      </w:tr>
      <w:tr w:rsidR="00D44DCF" w:rsidRPr="00043295" w14:paraId="12638F10" w14:textId="77777777" w:rsidTr="00D36993">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1E9E16B" w14:textId="77777777" w:rsidR="00D44DCF" w:rsidRPr="00043295" w:rsidRDefault="00D44DCF" w:rsidP="00C9407E">
            <w:pPr>
              <w:jc w:val="both"/>
            </w:pPr>
            <w:r w:rsidRPr="00043295">
              <w:t>Access Control &amp; MFA</w:t>
            </w:r>
          </w:p>
        </w:tc>
        <w:tc>
          <w:tcPr>
            <w:tcW w:w="26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747995AB" w14:textId="77777777" w:rsidR="00D44DCF" w:rsidRPr="00043295" w:rsidRDefault="00D44DCF" w:rsidP="00C9407E">
            <w:pPr>
              <w:jc w:val="both"/>
            </w:pPr>
            <w:r w:rsidRPr="00043295">
              <w:t>Role-based access control; MFA mandatory for all privileged and remote access</w:t>
            </w:r>
          </w:p>
        </w:tc>
        <w:tc>
          <w:tcPr>
            <w:tcW w:w="2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776FAC1E" w14:textId="77777777" w:rsidR="00D44DCF" w:rsidRPr="00043295" w:rsidRDefault="00D44DCF" w:rsidP="00C9407E">
            <w:pPr>
              <w:jc w:val="both"/>
            </w:pPr>
            <w:r w:rsidRPr="00043295">
              <w:t>100% privileged accounts MFA-enrolled; access review completion rate ≥ 98%</w:t>
            </w:r>
          </w:p>
        </w:tc>
        <w:tc>
          <w:tcPr>
            <w:tcW w:w="11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22AE36D" w14:textId="77777777" w:rsidR="00D44DCF" w:rsidRPr="00043295" w:rsidRDefault="00D44DCF" w:rsidP="00C9407E">
            <w:pPr>
              <w:jc w:val="both"/>
            </w:pPr>
            <w:r w:rsidRPr="00043295">
              <w:t>Monthly</w:t>
            </w:r>
          </w:p>
        </w:tc>
      </w:tr>
      <w:tr w:rsidR="00D44DCF" w:rsidRPr="00043295" w14:paraId="6555BFF5" w14:textId="77777777" w:rsidTr="00D36993">
        <w:tc>
          <w:tcPr>
            <w:tcW w:w="18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107410B6" w14:textId="77777777" w:rsidR="00D44DCF" w:rsidRPr="00043295" w:rsidRDefault="00D44DCF" w:rsidP="00C9407E">
            <w:pPr>
              <w:jc w:val="both"/>
            </w:pPr>
            <w:r w:rsidRPr="00043295">
              <w:t>Third-Party Risk</w:t>
            </w:r>
          </w:p>
        </w:tc>
        <w:tc>
          <w:tcPr>
            <w:tcW w:w="26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4FB1DCEC" w14:textId="77777777" w:rsidR="00D44DCF" w:rsidRPr="00043295" w:rsidRDefault="00D44DCF" w:rsidP="00C9407E">
            <w:pPr>
              <w:jc w:val="both"/>
            </w:pPr>
            <w:r w:rsidRPr="00043295">
              <w:t>Security assessment before onboarding; annual vendor risk review; contractual security obligations</w:t>
            </w:r>
          </w:p>
        </w:tc>
        <w:tc>
          <w:tcPr>
            <w:tcW w:w="24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75753C86" w14:textId="77777777" w:rsidR="00D44DCF" w:rsidRPr="00043295" w:rsidRDefault="00D44DCF" w:rsidP="00C9407E">
            <w:pPr>
              <w:jc w:val="both"/>
            </w:pPr>
            <w:r w:rsidRPr="00043295">
              <w:t>100% critical vendors assessed; vendor SLA breach rate tracked</w:t>
            </w:r>
          </w:p>
        </w:tc>
        <w:tc>
          <w:tcPr>
            <w:tcW w:w="116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2D9FC503" w14:textId="77777777" w:rsidR="00D44DCF" w:rsidRPr="00043295" w:rsidRDefault="00D44DCF" w:rsidP="00C9407E">
            <w:pPr>
              <w:jc w:val="both"/>
            </w:pPr>
            <w:r w:rsidRPr="00043295">
              <w:t>Annual</w:t>
            </w:r>
          </w:p>
        </w:tc>
      </w:tr>
      <w:tr w:rsidR="00D44DCF" w:rsidRPr="00043295" w14:paraId="62D0A7C3" w14:textId="77777777" w:rsidTr="00D36993">
        <w:tc>
          <w:tcPr>
            <w:tcW w:w="1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5B1F8DD" w14:textId="77777777" w:rsidR="00D44DCF" w:rsidRPr="00043295" w:rsidRDefault="00D44DCF" w:rsidP="00C9407E">
            <w:pPr>
              <w:jc w:val="both"/>
            </w:pPr>
            <w:r w:rsidRPr="00043295">
              <w:t>Incident Response</w:t>
            </w:r>
          </w:p>
        </w:tc>
        <w:tc>
          <w:tcPr>
            <w:tcW w:w="26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7A50E7A" w14:textId="77777777" w:rsidR="00D44DCF" w:rsidRPr="00043295" w:rsidRDefault="00D44DCF" w:rsidP="00C9407E">
            <w:pPr>
              <w:jc w:val="both"/>
            </w:pPr>
            <w:r w:rsidRPr="00043295">
              <w:t>Defined playbooks for all Tier 1-3 incidents; 72-hour breach notification protocol under GDPR</w:t>
            </w:r>
          </w:p>
        </w:tc>
        <w:tc>
          <w:tcPr>
            <w:tcW w:w="24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52293024" w14:textId="77777777" w:rsidR="00D44DCF" w:rsidRPr="00043295" w:rsidRDefault="00D44DCF" w:rsidP="00C9407E">
            <w:pPr>
              <w:jc w:val="both"/>
            </w:pPr>
            <w:r w:rsidRPr="00043295">
              <w:t>Mean time to detect (MTTD) ≤ 4 hours; mean time to respond (MTTR) ≤ 8 hours</w:t>
            </w:r>
          </w:p>
        </w:tc>
        <w:tc>
          <w:tcPr>
            <w:tcW w:w="11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128BC68" w14:textId="77777777" w:rsidR="00D44DCF" w:rsidRPr="00043295" w:rsidRDefault="00D44DCF" w:rsidP="00C9407E">
            <w:pPr>
              <w:jc w:val="both"/>
            </w:pPr>
            <w:r w:rsidRPr="00043295">
              <w:t>Quarterly test</w:t>
            </w:r>
          </w:p>
        </w:tc>
      </w:tr>
    </w:tbl>
    <w:p w14:paraId="79C0D6B4" w14:textId="77777777" w:rsidR="00D44DCF" w:rsidRPr="00043295" w:rsidRDefault="00D44DCF" w:rsidP="00E22201">
      <w:pPr>
        <w:pStyle w:val="Heading4"/>
      </w:pPr>
      <w:r w:rsidRPr="00043295">
        <w:t>Table 2: Proposed Policy Framework with Measurable Controls</w:t>
      </w:r>
    </w:p>
    <w:p w14:paraId="75F9A2AF" w14:textId="16E39F51" w:rsidR="00D44DCF" w:rsidRPr="00043295" w:rsidRDefault="00D44DCF" w:rsidP="00C9407E">
      <w:pPr>
        <w:jc w:val="both"/>
      </w:pPr>
      <w:r w:rsidRPr="00043295">
        <w:t>These policies are designed to be operationally actionable and independently auditable. The 72-hour patch window for internet-facing critical assets directly addresses the Equifax failure mode and aligns with vulnerability prioritisation guidance in NIST SP 800-40 Rev. 4. The 72-hour breach notification control reflects GDPR Article 33 obligations. Each policy is assigned a measurable control metric, enabling objective assessment of compliance through automated tooling integrated with the Security Information and Event Management platform.</w:t>
      </w:r>
    </w:p>
    <w:p w14:paraId="04E317FA" w14:textId="5053A141" w:rsidR="00D44DCF" w:rsidRPr="00043295" w:rsidRDefault="00D44DCF" w:rsidP="00C9407E">
      <w:pPr>
        <w:pStyle w:val="Heading2"/>
        <w:jc w:val="both"/>
      </w:pPr>
      <w:bookmarkStart w:id="17" w:name="_Toc235447741"/>
      <w:r w:rsidRPr="00043295">
        <w:t xml:space="preserve">2.3 Governance and Strategic Alignment </w:t>
      </w:r>
      <w:bookmarkEnd w:id="17"/>
      <w:r w:rsidR="00E22201">
        <w:t>[17]</w:t>
      </w:r>
    </w:p>
    <w:p w14:paraId="171B83CD" w14:textId="5FD37A69" w:rsidR="00D44DCF" w:rsidRPr="00043295" w:rsidRDefault="00D44DCF" w:rsidP="00C9407E">
      <w:pPr>
        <w:jc w:val="both"/>
      </w:pPr>
      <w:r w:rsidRPr="00043295">
        <w:t>The NIST Cybersecurity Framework 2.0</w:t>
      </w:r>
      <w:r w:rsidR="00E22201">
        <w:t xml:space="preserve"> </w:t>
      </w:r>
      <w:r w:rsidRPr="00043295">
        <w:t>provides the strategic architecture for this programme. CSF 2.0 introduces a sixth function, GOVERN, alongside the original five: IDENTIFY, PROTECT, DETECT, RESPOND, and RECOVER. This addition is particularly significant in the Equifax context: the breach was fundamentally a governance failure before it was a technical one. The framework mapping below demonstrates the alignment of programme components to CSF 2.0 functions.</w:t>
      </w:r>
    </w:p>
    <w:p w14:paraId="159C08DF" w14:textId="77777777" w:rsidR="00D44DCF" w:rsidRPr="00043295" w:rsidRDefault="00D44DCF" w:rsidP="00C9407E">
      <w:pPr>
        <w:jc w:val="both"/>
      </w:pPr>
    </w:p>
    <w:tbl>
      <w:tblPr>
        <w:tblW w:w="89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00"/>
        <w:gridCol w:w="2700"/>
        <w:gridCol w:w="4360"/>
      </w:tblGrid>
      <w:tr w:rsidR="00D44DCF" w:rsidRPr="00043295" w14:paraId="3564F250" w14:textId="77777777" w:rsidTr="00D36993">
        <w:tc>
          <w:tcPr>
            <w:tcW w:w="1900" w:type="dxa"/>
            <w:tcBorders>
              <w:top w:val="single" w:sz="2" w:space="0" w:color="AAAAAA"/>
              <w:left w:val="single" w:sz="2" w:space="0" w:color="AAAAAA"/>
              <w:bottom w:val="single" w:sz="2" w:space="0" w:color="AAAAAA"/>
              <w:right w:val="single" w:sz="2" w:space="0" w:color="AAAAAA"/>
            </w:tcBorders>
            <w:shd w:val="clear" w:color="auto" w:fill="2E4057"/>
            <w:tcMar>
              <w:top w:w="80" w:type="dxa"/>
              <w:left w:w="120" w:type="dxa"/>
              <w:bottom w:w="80" w:type="dxa"/>
              <w:right w:w="120" w:type="dxa"/>
            </w:tcMar>
            <w:hideMark/>
          </w:tcPr>
          <w:p w14:paraId="1E0D0BBC" w14:textId="77777777" w:rsidR="00D44DCF" w:rsidRPr="00043295" w:rsidRDefault="00D44DCF" w:rsidP="00C9407E">
            <w:pPr>
              <w:jc w:val="both"/>
            </w:pPr>
            <w:r w:rsidRPr="00043295">
              <w:rPr>
                <w:b/>
                <w:bCs/>
              </w:rPr>
              <w:lastRenderedPageBreak/>
              <w:t>CSF 2.0 Function</w:t>
            </w:r>
          </w:p>
        </w:tc>
        <w:tc>
          <w:tcPr>
            <w:tcW w:w="2700" w:type="dxa"/>
            <w:tcBorders>
              <w:top w:val="single" w:sz="2" w:space="0" w:color="AAAAAA"/>
              <w:left w:val="single" w:sz="2" w:space="0" w:color="AAAAAA"/>
              <w:bottom w:val="single" w:sz="2" w:space="0" w:color="AAAAAA"/>
              <w:right w:val="single" w:sz="2" w:space="0" w:color="AAAAAA"/>
            </w:tcBorders>
            <w:shd w:val="clear" w:color="auto" w:fill="2E4057"/>
            <w:tcMar>
              <w:top w:w="80" w:type="dxa"/>
              <w:left w:w="120" w:type="dxa"/>
              <w:bottom w:w="80" w:type="dxa"/>
              <w:right w:w="120" w:type="dxa"/>
            </w:tcMar>
            <w:hideMark/>
          </w:tcPr>
          <w:p w14:paraId="7587F207" w14:textId="77777777" w:rsidR="00D44DCF" w:rsidRPr="00043295" w:rsidRDefault="00D44DCF" w:rsidP="00C9407E">
            <w:pPr>
              <w:jc w:val="both"/>
            </w:pPr>
            <w:r w:rsidRPr="00043295">
              <w:rPr>
                <w:b/>
                <w:bCs/>
              </w:rPr>
              <w:t>Equifax Gap Addressed</w:t>
            </w:r>
          </w:p>
        </w:tc>
        <w:tc>
          <w:tcPr>
            <w:tcW w:w="4360" w:type="dxa"/>
            <w:tcBorders>
              <w:top w:val="single" w:sz="2" w:space="0" w:color="AAAAAA"/>
              <w:left w:val="single" w:sz="2" w:space="0" w:color="AAAAAA"/>
              <w:bottom w:val="single" w:sz="2" w:space="0" w:color="AAAAAA"/>
              <w:right w:val="single" w:sz="2" w:space="0" w:color="AAAAAA"/>
            </w:tcBorders>
            <w:shd w:val="clear" w:color="auto" w:fill="2E4057"/>
            <w:tcMar>
              <w:top w:w="80" w:type="dxa"/>
              <w:left w:w="120" w:type="dxa"/>
              <w:bottom w:w="80" w:type="dxa"/>
              <w:right w:w="120" w:type="dxa"/>
            </w:tcMar>
            <w:hideMark/>
          </w:tcPr>
          <w:p w14:paraId="7B5CE25D" w14:textId="77777777" w:rsidR="00D44DCF" w:rsidRPr="00043295" w:rsidRDefault="00D44DCF" w:rsidP="00C9407E">
            <w:pPr>
              <w:jc w:val="both"/>
            </w:pPr>
            <w:r w:rsidRPr="00043295">
              <w:rPr>
                <w:b/>
                <w:bCs/>
              </w:rPr>
              <w:t>Programme Controls</w:t>
            </w:r>
          </w:p>
        </w:tc>
      </w:tr>
      <w:tr w:rsidR="00D44DCF" w:rsidRPr="00043295" w14:paraId="29BE7897" w14:textId="77777777" w:rsidTr="00D36993">
        <w:tc>
          <w:tcPr>
            <w:tcW w:w="19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7CB0A985" w14:textId="77777777" w:rsidR="00D44DCF" w:rsidRPr="00043295" w:rsidRDefault="00D44DCF" w:rsidP="00C9407E">
            <w:pPr>
              <w:jc w:val="both"/>
            </w:pPr>
            <w:r w:rsidRPr="00043295">
              <w:t>GOVERN</w:t>
            </w:r>
          </w:p>
        </w:tc>
        <w:tc>
          <w:tcPr>
            <w:tcW w:w="27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206457F1" w14:textId="77777777" w:rsidR="00D44DCF" w:rsidRPr="00043295" w:rsidRDefault="00D44DCF" w:rsidP="00C9407E">
            <w:pPr>
              <w:jc w:val="both"/>
            </w:pPr>
            <w:r w:rsidRPr="00043295">
              <w:t>No board-visible security strategy; unclear accountability</w:t>
            </w:r>
          </w:p>
        </w:tc>
        <w:tc>
          <w:tcPr>
            <w:tcW w:w="436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448E7F82" w14:textId="77777777" w:rsidR="00D44DCF" w:rsidRPr="00043295" w:rsidRDefault="00D44DCF" w:rsidP="00C9407E">
            <w:pPr>
              <w:jc w:val="both"/>
            </w:pPr>
            <w:r w:rsidRPr="00043295">
              <w:t>CISO board reporting; Security Committee charter; Risk appetite statement; AI/ML governance policy</w:t>
            </w:r>
          </w:p>
        </w:tc>
      </w:tr>
      <w:tr w:rsidR="00D44DCF" w:rsidRPr="00043295" w14:paraId="28290F29" w14:textId="77777777" w:rsidTr="00D36993">
        <w:tc>
          <w:tcPr>
            <w:tcW w:w="19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B2514F2" w14:textId="77777777" w:rsidR="00D44DCF" w:rsidRPr="00043295" w:rsidRDefault="00D44DCF" w:rsidP="00C9407E">
            <w:pPr>
              <w:jc w:val="both"/>
            </w:pPr>
            <w:r w:rsidRPr="00043295">
              <w:t>IDENTIFY</w:t>
            </w:r>
          </w:p>
        </w:tc>
        <w:tc>
          <w:tcPr>
            <w:tcW w:w="27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8A14475" w14:textId="77777777" w:rsidR="00D44DCF" w:rsidRPr="00043295" w:rsidRDefault="00D44DCF" w:rsidP="00C9407E">
            <w:pPr>
              <w:jc w:val="both"/>
            </w:pPr>
            <w:r w:rsidRPr="00043295">
              <w:t>Incomplete asset inventory; untracked internet-facing systems</w:t>
            </w:r>
          </w:p>
        </w:tc>
        <w:tc>
          <w:tcPr>
            <w:tcW w:w="43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4DCC0D5A" w14:textId="77777777" w:rsidR="00D44DCF" w:rsidRPr="00043295" w:rsidRDefault="00D44DCF" w:rsidP="00C9407E">
            <w:pPr>
              <w:jc w:val="both"/>
            </w:pPr>
            <w:r w:rsidRPr="00043295">
              <w:t>Continuous CMDB updates; automated discovery scans; data flow mapping; third-party risk register</w:t>
            </w:r>
          </w:p>
        </w:tc>
      </w:tr>
      <w:tr w:rsidR="00D44DCF" w:rsidRPr="00043295" w14:paraId="5B95E7B3" w14:textId="77777777" w:rsidTr="00D36993">
        <w:tc>
          <w:tcPr>
            <w:tcW w:w="19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4A376D16" w14:textId="77777777" w:rsidR="00D44DCF" w:rsidRPr="00043295" w:rsidRDefault="00D44DCF" w:rsidP="00C9407E">
            <w:pPr>
              <w:jc w:val="both"/>
            </w:pPr>
            <w:r w:rsidRPr="00043295">
              <w:t>PROTECT</w:t>
            </w:r>
          </w:p>
        </w:tc>
        <w:tc>
          <w:tcPr>
            <w:tcW w:w="27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4B60D2FD" w14:textId="77777777" w:rsidR="00D44DCF" w:rsidRPr="00043295" w:rsidRDefault="00D44DCF" w:rsidP="00C9407E">
            <w:pPr>
              <w:jc w:val="both"/>
            </w:pPr>
            <w:r w:rsidRPr="00043295">
              <w:t>Unpatched critical vulnerability; no network segmentation</w:t>
            </w:r>
          </w:p>
        </w:tc>
        <w:tc>
          <w:tcPr>
            <w:tcW w:w="436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5C8B0043" w14:textId="77777777" w:rsidR="00D44DCF" w:rsidRPr="00043295" w:rsidRDefault="00D44DCF" w:rsidP="00C9407E">
            <w:pPr>
              <w:jc w:val="both"/>
            </w:pPr>
            <w:r w:rsidRPr="00043295">
              <w:t>Automated patch deployment; MFA enforcement; network micro-segmentation; DLP controls; encryption standards</w:t>
            </w:r>
          </w:p>
        </w:tc>
      </w:tr>
      <w:tr w:rsidR="00D44DCF" w:rsidRPr="00043295" w14:paraId="58C9A498" w14:textId="77777777" w:rsidTr="00D36993">
        <w:tc>
          <w:tcPr>
            <w:tcW w:w="19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0E6A44F" w14:textId="77777777" w:rsidR="00D44DCF" w:rsidRPr="00043295" w:rsidRDefault="00D44DCF" w:rsidP="00C9407E">
            <w:pPr>
              <w:jc w:val="both"/>
            </w:pPr>
            <w:r w:rsidRPr="00043295">
              <w:t>DETECT</w:t>
            </w:r>
          </w:p>
        </w:tc>
        <w:tc>
          <w:tcPr>
            <w:tcW w:w="27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4B3A1BDA" w14:textId="77777777" w:rsidR="00D44DCF" w:rsidRPr="00043295" w:rsidRDefault="00D44DCF" w:rsidP="00C9407E">
            <w:pPr>
              <w:jc w:val="both"/>
            </w:pPr>
            <w:r w:rsidRPr="00043295">
              <w:t>78-day dwell time; no effective anomaly detection</w:t>
            </w:r>
          </w:p>
        </w:tc>
        <w:tc>
          <w:tcPr>
            <w:tcW w:w="43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F4B5A08" w14:textId="77777777" w:rsidR="00D44DCF" w:rsidRPr="00043295" w:rsidRDefault="00D44DCF" w:rsidP="00C9407E">
            <w:pPr>
              <w:jc w:val="both"/>
            </w:pPr>
            <w:r w:rsidRPr="00043295">
              <w:t>SIEM with UEBA; continuous vulnerability scanning; EDR on all endpoints; threat intelligence feeds; 24/7 SOC</w:t>
            </w:r>
          </w:p>
        </w:tc>
      </w:tr>
      <w:tr w:rsidR="00D44DCF" w:rsidRPr="00043295" w14:paraId="5EE245DA" w14:textId="77777777" w:rsidTr="00D36993">
        <w:tc>
          <w:tcPr>
            <w:tcW w:w="19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4ABC4431" w14:textId="77777777" w:rsidR="00D44DCF" w:rsidRPr="00043295" w:rsidRDefault="00D44DCF" w:rsidP="00C9407E">
            <w:pPr>
              <w:jc w:val="both"/>
            </w:pPr>
            <w:r w:rsidRPr="00043295">
              <w:t>RESPOND</w:t>
            </w:r>
          </w:p>
        </w:tc>
        <w:tc>
          <w:tcPr>
            <w:tcW w:w="27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3390F800" w14:textId="77777777" w:rsidR="00D44DCF" w:rsidRPr="00043295" w:rsidRDefault="00D44DCF" w:rsidP="00C9407E">
            <w:pPr>
              <w:jc w:val="both"/>
            </w:pPr>
            <w:r w:rsidRPr="00043295">
              <w:t>No structured incident response; delayed disclosure</w:t>
            </w:r>
          </w:p>
        </w:tc>
        <w:tc>
          <w:tcPr>
            <w:tcW w:w="436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5B86D690" w14:textId="77777777" w:rsidR="00D44DCF" w:rsidRPr="00043295" w:rsidRDefault="00D44DCF" w:rsidP="00C9407E">
            <w:pPr>
              <w:jc w:val="both"/>
            </w:pPr>
            <w:r w:rsidRPr="00043295">
              <w:t>Tiered IR playbooks; automated SOAR response; legal/comms escalation paths; 72-hour GDPR notification</w:t>
            </w:r>
          </w:p>
        </w:tc>
      </w:tr>
      <w:tr w:rsidR="00D44DCF" w:rsidRPr="00043295" w14:paraId="389E9B1B" w14:textId="77777777" w:rsidTr="00D36993">
        <w:tc>
          <w:tcPr>
            <w:tcW w:w="19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99E997C" w14:textId="77777777" w:rsidR="00D44DCF" w:rsidRPr="00043295" w:rsidRDefault="00D44DCF" w:rsidP="00C9407E">
            <w:pPr>
              <w:jc w:val="both"/>
            </w:pPr>
            <w:r w:rsidRPr="00043295">
              <w:t>RECOVER</w:t>
            </w:r>
          </w:p>
        </w:tc>
        <w:tc>
          <w:tcPr>
            <w:tcW w:w="27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4472E2FE" w14:textId="77777777" w:rsidR="00D44DCF" w:rsidRPr="00043295" w:rsidRDefault="00D44DCF" w:rsidP="00C9407E">
            <w:pPr>
              <w:jc w:val="both"/>
            </w:pPr>
            <w:r w:rsidRPr="00043295">
              <w:t>No documented BCP/DRP; prolonged customer impact</w:t>
            </w:r>
          </w:p>
        </w:tc>
        <w:tc>
          <w:tcPr>
            <w:tcW w:w="43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67B05EA" w14:textId="77777777" w:rsidR="00D44DCF" w:rsidRPr="00043295" w:rsidRDefault="00D44DCF" w:rsidP="00C9407E">
            <w:pPr>
              <w:jc w:val="both"/>
            </w:pPr>
            <w:r w:rsidRPr="00043295">
              <w:t>Business continuity plan; DR site with 4-hour RTO; post-incident lessons-learned; stakeholder communications plan</w:t>
            </w:r>
          </w:p>
        </w:tc>
      </w:tr>
    </w:tbl>
    <w:p w14:paraId="37B11E05" w14:textId="77777777" w:rsidR="00D44DCF" w:rsidRPr="00043295" w:rsidRDefault="00D44DCF" w:rsidP="00E22201">
      <w:pPr>
        <w:pStyle w:val="Heading4"/>
      </w:pPr>
      <w:r w:rsidRPr="00043295">
        <w:t>Table 3: NIST CSF 2.0 Framework Alignment to Equifax Gap Analysis</w:t>
      </w:r>
    </w:p>
    <w:p w14:paraId="20D97D09" w14:textId="441B3BC2" w:rsidR="00D44DCF" w:rsidRPr="00043295" w:rsidRDefault="00D44DCF" w:rsidP="00C9407E">
      <w:pPr>
        <w:jc w:val="both"/>
      </w:pPr>
      <w:r w:rsidRPr="00043295">
        <w:t>The linkage between cybersecurity strategy and business continuity is explicit in the RECOVER function: the Equifax breach caused estimated losses exceeding US$1.7 billion when accounting for remediation, legal settlements, and reputational damage. A mature RECOVER capability, including defined Recovery Time Objectives (RTO) and Recovery Point Objectives (RPO), directly reduces financial exposure and preserves customer trust. The GOVERN function anchors the framework by ensuring that security strategy is derived from organisational objectives, risk appetite, and stakeholder obligations rather than ad-hoc technical decisions, consistent with ISO 27001:2022 clause 4 (context of the organisation).</w:t>
      </w:r>
    </w:p>
    <w:p w14:paraId="529E863B" w14:textId="53057620" w:rsidR="00D44DCF" w:rsidRPr="00043295" w:rsidRDefault="00D44DCF" w:rsidP="00C9407E">
      <w:pPr>
        <w:pStyle w:val="Heading2"/>
        <w:jc w:val="both"/>
      </w:pPr>
      <w:bookmarkStart w:id="18" w:name="_Toc235447742"/>
      <w:r w:rsidRPr="00043295">
        <w:lastRenderedPageBreak/>
        <w:t xml:space="preserve">2.4 Risk Management and </w:t>
      </w:r>
      <w:proofErr w:type="gramStart"/>
      <w:r w:rsidRPr="00043295">
        <w:t>Assessment</w:t>
      </w:r>
      <w:bookmarkEnd w:id="18"/>
      <w:r w:rsidR="00E22201">
        <w:t>[</w:t>
      </w:r>
      <w:proofErr w:type="gramEnd"/>
      <w:r w:rsidR="00E22201">
        <w:t>14][17][22]</w:t>
      </w:r>
    </w:p>
    <w:p w14:paraId="2690559C" w14:textId="77777777" w:rsidR="00D44DCF" w:rsidRPr="00043295" w:rsidRDefault="00D44DCF" w:rsidP="00C9407E">
      <w:pPr>
        <w:jc w:val="both"/>
      </w:pPr>
      <w:r w:rsidRPr="00043295">
        <w:t>The following risk assessment applies a qualitative risk methodology, scoring likelihood and impact on a five-point scale to produce an indicative risk rating. Risks are drawn from the Equifax case and informed by the NIST SP 800-30 Rev. 1 threat catalogue.</w:t>
      </w:r>
    </w:p>
    <w:p w14:paraId="0A3102CA" w14:textId="77777777" w:rsidR="00D44DCF" w:rsidRPr="00043295" w:rsidRDefault="00D44DCF" w:rsidP="00C9407E">
      <w:pPr>
        <w:jc w:val="both"/>
      </w:pPr>
    </w:p>
    <w:tbl>
      <w:tblPr>
        <w:tblW w:w="99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09"/>
        <w:gridCol w:w="2000"/>
        <w:gridCol w:w="1374"/>
        <w:gridCol w:w="1013"/>
        <w:gridCol w:w="941"/>
        <w:gridCol w:w="1218"/>
        <w:gridCol w:w="2705"/>
      </w:tblGrid>
      <w:tr w:rsidR="00D44DCF" w:rsidRPr="00043295" w14:paraId="4F3AB0BB" w14:textId="77777777" w:rsidTr="00D36993">
        <w:tc>
          <w:tcPr>
            <w:tcW w:w="680" w:type="dxa"/>
            <w:tcBorders>
              <w:top w:val="single" w:sz="2" w:space="0" w:color="AAAAAA"/>
              <w:left w:val="single" w:sz="2" w:space="0" w:color="AAAAAA"/>
              <w:bottom w:val="single" w:sz="2" w:space="0" w:color="AAAAAA"/>
              <w:right w:val="single" w:sz="2" w:space="0" w:color="AAAAAA"/>
            </w:tcBorders>
            <w:shd w:val="clear" w:color="auto" w:fill="2E4057"/>
            <w:tcMar>
              <w:top w:w="80" w:type="dxa"/>
              <w:left w:w="120" w:type="dxa"/>
              <w:bottom w:w="80" w:type="dxa"/>
              <w:right w:w="120" w:type="dxa"/>
            </w:tcMar>
            <w:hideMark/>
          </w:tcPr>
          <w:p w14:paraId="1544ACF1" w14:textId="77777777" w:rsidR="00D44DCF" w:rsidRPr="00043295" w:rsidRDefault="00D44DCF" w:rsidP="00C9407E">
            <w:pPr>
              <w:jc w:val="both"/>
            </w:pPr>
            <w:r w:rsidRPr="00043295">
              <w:rPr>
                <w:b/>
                <w:bCs/>
              </w:rPr>
              <w:t>Risk ID</w:t>
            </w:r>
          </w:p>
        </w:tc>
        <w:tc>
          <w:tcPr>
            <w:tcW w:w="2200" w:type="dxa"/>
            <w:tcBorders>
              <w:top w:val="single" w:sz="2" w:space="0" w:color="AAAAAA"/>
              <w:left w:val="single" w:sz="2" w:space="0" w:color="AAAAAA"/>
              <w:bottom w:val="single" w:sz="2" w:space="0" w:color="AAAAAA"/>
              <w:right w:val="single" w:sz="2" w:space="0" w:color="AAAAAA"/>
            </w:tcBorders>
            <w:shd w:val="clear" w:color="auto" w:fill="2E4057"/>
            <w:tcMar>
              <w:top w:w="80" w:type="dxa"/>
              <w:left w:w="120" w:type="dxa"/>
              <w:bottom w:w="80" w:type="dxa"/>
              <w:right w:w="120" w:type="dxa"/>
            </w:tcMar>
            <w:hideMark/>
          </w:tcPr>
          <w:p w14:paraId="06AB5DD0" w14:textId="77777777" w:rsidR="00D44DCF" w:rsidRPr="00043295" w:rsidRDefault="00D44DCF" w:rsidP="00C9407E">
            <w:pPr>
              <w:jc w:val="both"/>
            </w:pPr>
            <w:r w:rsidRPr="00043295">
              <w:rPr>
                <w:b/>
                <w:bCs/>
              </w:rPr>
              <w:t>Risk Description</w:t>
            </w:r>
          </w:p>
        </w:tc>
        <w:tc>
          <w:tcPr>
            <w:tcW w:w="1050" w:type="dxa"/>
            <w:tcBorders>
              <w:top w:val="single" w:sz="2" w:space="0" w:color="AAAAAA"/>
              <w:left w:val="single" w:sz="2" w:space="0" w:color="AAAAAA"/>
              <w:bottom w:val="single" w:sz="2" w:space="0" w:color="AAAAAA"/>
              <w:right w:val="single" w:sz="2" w:space="0" w:color="AAAAAA"/>
            </w:tcBorders>
            <w:shd w:val="clear" w:color="auto" w:fill="2E4057"/>
            <w:tcMar>
              <w:top w:w="80" w:type="dxa"/>
              <w:left w:w="120" w:type="dxa"/>
              <w:bottom w:w="80" w:type="dxa"/>
              <w:right w:w="120" w:type="dxa"/>
            </w:tcMar>
            <w:hideMark/>
          </w:tcPr>
          <w:p w14:paraId="773ABA3E" w14:textId="77777777" w:rsidR="00D44DCF" w:rsidRPr="00043295" w:rsidRDefault="00D44DCF" w:rsidP="00C9407E">
            <w:pPr>
              <w:jc w:val="both"/>
            </w:pPr>
            <w:r w:rsidRPr="00043295">
              <w:rPr>
                <w:b/>
                <w:bCs/>
              </w:rPr>
              <w:t>Likelihood (1-5)</w:t>
            </w:r>
          </w:p>
        </w:tc>
        <w:tc>
          <w:tcPr>
            <w:tcW w:w="900" w:type="dxa"/>
            <w:tcBorders>
              <w:top w:val="single" w:sz="2" w:space="0" w:color="AAAAAA"/>
              <w:left w:val="single" w:sz="2" w:space="0" w:color="AAAAAA"/>
              <w:bottom w:val="single" w:sz="2" w:space="0" w:color="AAAAAA"/>
              <w:right w:val="single" w:sz="2" w:space="0" w:color="AAAAAA"/>
            </w:tcBorders>
            <w:shd w:val="clear" w:color="auto" w:fill="2E4057"/>
            <w:tcMar>
              <w:top w:w="80" w:type="dxa"/>
              <w:left w:w="120" w:type="dxa"/>
              <w:bottom w:w="80" w:type="dxa"/>
              <w:right w:w="120" w:type="dxa"/>
            </w:tcMar>
            <w:hideMark/>
          </w:tcPr>
          <w:p w14:paraId="2307D9E1" w14:textId="77777777" w:rsidR="00D44DCF" w:rsidRPr="00043295" w:rsidRDefault="00D44DCF" w:rsidP="00C9407E">
            <w:pPr>
              <w:jc w:val="both"/>
            </w:pPr>
            <w:r w:rsidRPr="00043295">
              <w:rPr>
                <w:b/>
                <w:bCs/>
              </w:rPr>
              <w:t>Impact (1-5)</w:t>
            </w:r>
          </w:p>
        </w:tc>
        <w:tc>
          <w:tcPr>
            <w:tcW w:w="980" w:type="dxa"/>
            <w:tcBorders>
              <w:top w:val="single" w:sz="2" w:space="0" w:color="AAAAAA"/>
              <w:left w:val="single" w:sz="2" w:space="0" w:color="AAAAAA"/>
              <w:bottom w:val="single" w:sz="2" w:space="0" w:color="AAAAAA"/>
              <w:right w:val="single" w:sz="2" w:space="0" w:color="AAAAAA"/>
            </w:tcBorders>
            <w:shd w:val="clear" w:color="auto" w:fill="2E4057"/>
            <w:tcMar>
              <w:top w:w="80" w:type="dxa"/>
              <w:left w:w="120" w:type="dxa"/>
              <w:bottom w:w="80" w:type="dxa"/>
              <w:right w:w="120" w:type="dxa"/>
            </w:tcMar>
            <w:hideMark/>
          </w:tcPr>
          <w:p w14:paraId="7F3E623A" w14:textId="77777777" w:rsidR="00D44DCF" w:rsidRPr="00043295" w:rsidRDefault="00D44DCF" w:rsidP="00C9407E">
            <w:pPr>
              <w:jc w:val="both"/>
            </w:pPr>
            <w:r w:rsidRPr="00043295">
              <w:rPr>
                <w:b/>
                <w:bCs/>
              </w:rPr>
              <w:t>Risk Score</w:t>
            </w:r>
          </w:p>
        </w:tc>
        <w:tc>
          <w:tcPr>
            <w:tcW w:w="870" w:type="dxa"/>
            <w:tcBorders>
              <w:top w:val="single" w:sz="2" w:space="0" w:color="AAAAAA"/>
              <w:left w:val="single" w:sz="2" w:space="0" w:color="AAAAAA"/>
              <w:bottom w:val="single" w:sz="2" w:space="0" w:color="AAAAAA"/>
              <w:right w:val="single" w:sz="2" w:space="0" w:color="AAAAAA"/>
            </w:tcBorders>
            <w:shd w:val="clear" w:color="auto" w:fill="2E4057"/>
            <w:tcMar>
              <w:top w:w="80" w:type="dxa"/>
              <w:left w:w="120" w:type="dxa"/>
              <w:bottom w:w="80" w:type="dxa"/>
              <w:right w:w="120" w:type="dxa"/>
            </w:tcMar>
            <w:hideMark/>
          </w:tcPr>
          <w:p w14:paraId="174B54F1" w14:textId="77777777" w:rsidR="00D44DCF" w:rsidRPr="00043295" w:rsidRDefault="00D44DCF" w:rsidP="00C9407E">
            <w:pPr>
              <w:jc w:val="both"/>
            </w:pPr>
            <w:r w:rsidRPr="00043295">
              <w:rPr>
                <w:b/>
                <w:bCs/>
              </w:rPr>
              <w:t>Priority</w:t>
            </w:r>
          </w:p>
        </w:tc>
        <w:tc>
          <w:tcPr>
            <w:tcW w:w="3280" w:type="dxa"/>
            <w:tcBorders>
              <w:top w:val="single" w:sz="2" w:space="0" w:color="AAAAAA"/>
              <w:left w:val="single" w:sz="2" w:space="0" w:color="AAAAAA"/>
              <w:bottom w:val="single" w:sz="2" w:space="0" w:color="AAAAAA"/>
              <w:right w:val="single" w:sz="2" w:space="0" w:color="AAAAAA"/>
            </w:tcBorders>
            <w:shd w:val="clear" w:color="auto" w:fill="2E4057"/>
            <w:tcMar>
              <w:top w:w="80" w:type="dxa"/>
              <w:left w:w="120" w:type="dxa"/>
              <w:bottom w:w="80" w:type="dxa"/>
              <w:right w:w="120" w:type="dxa"/>
            </w:tcMar>
            <w:hideMark/>
          </w:tcPr>
          <w:p w14:paraId="40065D6B" w14:textId="77777777" w:rsidR="00D44DCF" w:rsidRPr="00043295" w:rsidRDefault="00D44DCF" w:rsidP="00C9407E">
            <w:pPr>
              <w:jc w:val="both"/>
            </w:pPr>
            <w:r w:rsidRPr="00043295">
              <w:rPr>
                <w:b/>
                <w:bCs/>
              </w:rPr>
              <w:t>Mitigation Strategy</w:t>
            </w:r>
          </w:p>
        </w:tc>
      </w:tr>
      <w:tr w:rsidR="00D44DCF" w:rsidRPr="00043295" w14:paraId="5F687657" w14:textId="77777777" w:rsidTr="00D36993">
        <w:tc>
          <w:tcPr>
            <w:tcW w:w="68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199ACE20" w14:textId="77777777" w:rsidR="00D44DCF" w:rsidRPr="00043295" w:rsidRDefault="00D44DCF" w:rsidP="00C9407E">
            <w:pPr>
              <w:jc w:val="both"/>
            </w:pPr>
            <w:r w:rsidRPr="00043295">
              <w:t>R-01</w:t>
            </w:r>
          </w:p>
        </w:tc>
        <w:tc>
          <w:tcPr>
            <w:tcW w:w="22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62E27372" w14:textId="77777777" w:rsidR="00D44DCF" w:rsidRPr="00043295" w:rsidRDefault="00D44DCF" w:rsidP="00C9407E">
            <w:pPr>
              <w:jc w:val="both"/>
            </w:pPr>
            <w:r w:rsidRPr="00043295">
              <w:t>Exploitation of unpatched internet-facing vulnerability</w:t>
            </w:r>
          </w:p>
        </w:tc>
        <w:tc>
          <w:tcPr>
            <w:tcW w:w="105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2473C3BE" w14:textId="77777777" w:rsidR="00D44DCF" w:rsidRPr="00043295" w:rsidRDefault="00D44DCF" w:rsidP="00C9407E">
            <w:pPr>
              <w:jc w:val="both"/>
            </w:pPr>
            <w:r w:rsidRPr="00043295">
              <w:t>5</w:t>
            </w:r>
          </w:p>
        </w:tc>
        <w:tc>
          <w:tcPr>
            <w:tcW w:w="9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08291603" w14:textId="77777777" w:rsidR="00D44DCF" w:rsidRPr="00043295" w:rsidRDefault="00D44DCF" w:rsidP="00C9407E">
            <w:pPr>
              <w:jc w:val="both"/>
            </w:pPr>
            <w:r w:rsidRPr="00043295">
              <w:t>5</w:t>
            </w:r>
          </w:p>
        </w:tc>
        <w:tc>
          <w:tcPr>
            <w:tcW w:w="98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2B3E173B" w14:textId="77777777" w:rsidR="00D44DCF" w:rsidRPr="00043295" w:rsidRDefault="00D44DCF" w:rsidP="00C9407E">
            <w:pPr>
              <w:jc w:val="both"/>
            </w:pPr>
            <w:r w:rsidRPr="00043295">
              <w:t>25</w:t>
            </w:r>
          </w:p>
        </w:tc>
        <w:tc>
          <w:tcPr>
            <w:tcW w:w="87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080DF75F" w14:textId="77777777" w:rsidR="00D44DCF" w:rsidRPr="00043295" w:rsidRDefault="00D44DCF" w:rsidP="00C9407E">
            <w:pPr>
              <w:jc w:val="both"/>
            </w:pPr>
            <w:r w:rsidRPr="00043295">
              <w:t>CRITICAL</w:t>
            </w:r>
          </w:p>
        </w:tc>
        <w:tc>
          <w:tcPr>
            <w:tcW w:w="328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1AD7AF30" w14:textId="77777777" w:rsidR="00D44DCF" w:rsidRPr="00043295" w:rsidRDefault="00D44DCF" w:rsidP="00C9407E">
            <w:pPr>
              <w:jc w:val="both"/>
            </w:pPr>
            <w:r w:rsidRPr="00043295">
              <w:t>Automated patching; 72hr critical patch SLA; continuous vulnerability scanning</w:t>
            </w:r>
          </w:p>
        </w:tc>
      </w:tr>
      <w:tr w:rsidR="00D44DCF" w:rsidRPr="00043295" w14:paraId="1AA6C4D6" w14:textId="77777777" w:rsidTr="00D36993">
        <w:tc>
          <w:tcPr>
            <w:tcW w:w="6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4590C065" w14:textId="77777777" w:rsidR="00D44DCF" w:rsidRPr="00043295" w:rsidRDefault="00D44DCF" w:rsidP="00C9407E">
            <w:pPr>
              <w:jc w:val="both"/>
            </w:pPr>
            <w:r w:rsidRPr="00043295">
              <w:t>R-02</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5D31C5E5" w14:textId="77777777" w:rsidR="00D44DCF" w:rsidRPr="00043295" w:rsidRDefault="00D44DCF" w:rsidP="00C9407E">
            <w:pPr>
              <w:jc w:val="both"/>
            </w:pPr>
            <w:r w:rsidRPr="00043295">
              <w:t>Extended attacker dwell time due to insufficient detection</w:t>
            </w:r>
          </w:p>
        </w:tc>
        <w:tc>
          <w:tcPr>
            <w:tcW w:w="105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5981CEE9" w14:textId="77777777" w:rsidR="00D44DCF" w:rsidRPr="00043295" w:rsidRDefault="00D44DCF" w:rsidP="00C9407E">
            <w:pPr>
              <w:jc w:val="both"/>
            </w:pPr>
            <w:r w:rsidRPr="00043295">
              <w:t>4</w:t>
            </w:r>
          </w:p>
        </w:tc>
        <w:tc>
          <w:tcPr>
            <w:tcW w:w="9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63EBAFFC" w14:textId="77777777" w:rsidR="00D44DCF" w:rsidRPr="00043295" w:rsidRDefault="00D44DCF" w:rsidP="00C9407E">
            <w:pPr>
              <w:jc w:val="both"/>
            </w:pPr>
            <w:r w:rsidRPr="00043295">
              <w:t>5</w:t>
            </w:r>
          </w:p>
        </w:tc>
        <w:tc>
          <w:tcPr>
            <w:tcW w:w="9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63CB539A" w14:textId="77777777" w:rsidR="00D44DCF" w:rsidRPr="00043295" w:rsidRDefault="00D44DCF" w:rsidP="00C9407E">
            <w:pPr>
              <w:jc w:val="both"/>
            </w:pPr>
            <w:r w:rsidRPr="00043295">
              <w:t>20</w:t>
            </w:r>
          </w:p>
        </w:tc>
        <w:tc>
          <w:tcPr>
            <w:tcW w:w="87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A531ADB" w14:textId="77777777" w:rsidR="00D44DCF" w:rsidRPr="00043295" w:rsidRDefault="00D44DCF" w:rsidP="00C9407E">
            <w:pPr>
              <w:jc w:val="both"/>
            </w:pPr>
            <w:r w:rsidRPr="00043295">
              <w:t>CRITICAL</w:t>
            </w:r>
          </w:p>
        </w:tc>
        <w:tc>
          <w:tcPr>
            <w:tcW w:w="32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13A0A38" w14:textId="77777777" w:rsidR="00D44DCF" w:rsidRPr="00043295" w:rsidRDefault="00D44DCF" w:rsidP="00C9407E">
            <w:pPr>
              <w:jc w:val="both"/>
            </w:pPr>
            <w:r w:rsidRPr="00043295">
              <w:t>SIEM with UEBA; EDR; 24/7 SOC; threat hunting programme</w:t>
            </w:r>
          </w:p>
        </w:tc>
      </w:tr>
      <w:tr w:rsidR="00D44DCF" w:rsidRPr="00043295" w14:paraId="02414409" w14:textId="77777777" w:rsidTr="00D36993">
        <w:tc>
          <w:tcPr>
            <w:tcW w:w="68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0ADA0BF4" w14:textId="77777777" w:rsidR="00D44DCF" w:rsidRPr="00043295" w:rsidRDefault="00D44DCF" w:rsidP="00C9407E">
            <w:pPr>
              <w:jc w:val="both"/>
            </w:pPr>
            <w:r w:rsidRPr="00043295">
              <w:t>R-03</w:t>
            </w:r>
          </w:p>
        </w:tc>
        <w:tc>
          <w:tcPr>
            <w:tcW w:w="22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6A094AAF" w14:textId="77777777" w:rsidR="00D44DCF" w:rsidRPr="00043295" w:rsidRDefault="00D44DCF" w:rsidP="00C9407E">
            <w:pPr>
              <w:jc w:val="both"/>
            </w:pPr>
            <w:r w:rsidRPr="00043295">
              <w:t>Data exfiltration of PII/financial data</w:t>
            </w:r>
          </w:p>
        </w:tc>
        <w:tc>
          <w:tcPr>
            <w:tcW w:w="105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0182FA83" w14:textId="77777777" w:rsidR="00D44DCF" w:rsidRPr="00043295" w:rsidRDefault="00D44DCF" w:rsidP="00C9407E">
            <w:pPr>
              <w:jc w:val="both"/>
            </w:pPr>
            <w:r w:rsidRPr="00043295">
              <w:t>4</w:t>
            </w:r>
          </w:p>
        </w:tc>
        <w:tc>
          <w:tcPr>
            <w:tcW w:w="9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18D12C63" w14:textId="77777777" w:rsidR="00D44DCF" w:rsidRPr="00043295" w:rsidRDefault="00D44DCF" w:rsidP="00C9407E">
            <w:pPr>
              <w:jc w:val="both"/>
            </w:pPr>
            <w:r w:rsidRPr="00043295">
              <w:t>5</w:t>
            </w:r>
          </w:p>
        </w:tc>
        <w:tc>
          <w:tcPr>
            <w:tcW w:w="98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2BA09FAB" w14:textId="77777777" w:rsidR="00D44DCF" w:rsidRPr="00043295" w:rsidRDefault="00D44DCF" w:rsidP="00C9407E">
            <w:pPr>
              <w:jc w:val="both"/>
            </w:pPr>
            <w:r w:rsidRPr="00043295">
              <w:t>20</w:t>
            </w:r>
          </w:p>
        </w:tc>
        <w:tc>
          <w:tcPr>
            <w:tcW w:w="87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4C1A2FF6" w14:textId="77777777" w:rsidR="00D44DCF" w:rsidRPr="00043295" w:rsidRDefault="00D44DCF" w:rsidP="00C9407E">
            <w:pPr>
              <w:jc w:val="both"/>
            </w:pPr>
            <w:r w:rsidRPr="00043295">
              <w:t>CRITICAL</w:t>
            </w:r>
          </w:p>
        </w:tc>
        <w:tc>
          <w:tcPr>
            <w:tcW w:w="328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23AEC17B" w14:textId="77777777" w:rsidR="00D44DCF" w:rsidRPr="00043295" w:rsidRDefault="00D44DCF" w:rsidP="00C9407E">
            <w:pPr>
              <w:jc w:val="both"/>
            </w:pPr>
            <w:r w:rsidRPr="00043295">
              <w:t>Network segmentation; DLP; encryption at rest and in transit; egress monitoring</w:t>
            </w:r>
          </w:p>
        </w:tc>
      </w:tr>
      <w:tr w:rsidR="00D44DCF" w:rsidRPr="00043295" w14:paraId="54D7AA58" w14:textId="77777777" w:rsidTr="00D36993">
        <w:tc>
          <w:tcPr>
            <w:tcW w:w="6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CDBB12A" w14:textId="77777777" w:rsidR="00D44DCF" w:rsidRPr="00043295" w:rsidRDefault="00D44DCF" w:rsidP="00C9407E">
            <w:pPr>
              <w:jc w:val="both"/>
            </w:pPr>
            <w:r w:rsidRPr="00043295">
              <w:t>R-04</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3284BF6" w14:textId="77777777" w:rsidR="00D44DCF" w:rsidRPr="00043295" w:rsidRDefault="00D44DCF" w:rsidP="00C9407E">
            <w:pPr>
              <w:jc w:val="both"/>
            </w:pPr>
            <w:r w:rsidRPr="00043295">
              <w:t>Insufficient network segmentation enabling lateral movement</w:t>
            </w:r>
          </w:p>
        </w:tc>
        <w:tc>
          <w:tcPr>
            <w:tcW w:w="105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BF6F396" w14:textId="77777777" w:rsidR="00D44DCF" w:rsidRPr="00043295" w:rsidRDefault="00D44DCF" w:rsidP="00C9407E">
            <w:pPr>
              <w:jc w:val="both"/>
            </w:pPr>
            <w:r w:rsidRPr="00043295">
              <w:t>4</w:t>
            </w:r>
          </w:p>
        </w:tc>
        <w:tc>
          <w:tcPr>
            <w:tcW w:w="9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BEB8574" w14:textId="77777777" w:rsidR="00D44DCF" w:rsidRPr="00043295" w:rsidRDefault="00D44DCF" w:rsidP="00C9407E">
            <w:pPr>
              <w:jc w:val="both"/>
            </w:pPr>
            <w:r w:rsidRPr="00043295">
              <w:t>4</w:t>
            </w:r>
          </w:p>
        </w:tc>
        <w:tc>
          <w:tcPr>
            <w:tcW w:w="9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556B8350" w14:textId="77777777" w:rsidR="00D44DCF" w:rsidRPr="00043295" w:rsidRDefault="00D44DCF" w:rsidP="00C9407E">
            <w:pPr>
              <w:jc w:val="both"/>
            </w:pPr>
            <w:r w:rsidRPr="00043295">
              <w:t>16</w:t>
            </w:r>
          </w:p>
        </w:tc>
        <w:tc>
          <w:tcPr>
            <w:tcW w:w="87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8997B8B" w14:textId="77777777" w:rsidR="00D44DCF" w:rsidRPr="00043295" w:rsidRDefault="00D44DCF" w:rsidP="00C9407E">
            <w:pPr>
              <w:jc w:val="both"/>
            </w:pPr>
            <w:r w:rsidRPr="00043295">
              <w:t>HIGH</w:t>
            </w:r>
          </w:p>
        </w:tc>
        <w:tc>
          <w:tcPr>
            <w:tcW w:w="32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5325310D" w14:textId="77777777" w:rsidR="00D44DCF" w:rsidRPr="00043295" w:rsidRDefault="00D44DCF" w:rsidP="00C9407E">
            <w:pPr>
              <w:jc w:val="both"/>
            </w:pPr>
            <w:r w:rsidRPr="00043295">
              <w:t>Micro-segmentation; zero-trust network architecture; privileged access management</w:t>
            </w:r>
          </w:p>
        </w:tc>
      </w:tr>
      <w:tr w:rsidR="00D44DCF" w:rsidRPr="00043295" w14:paraId="2696E4D9" w14:textId="77777777" w:rsidTr="00D36993">
        <w:tc>
          <w:tcPr>
            <w:tcW w:w="68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70AEDE03" w14:textId="77777777" w:rsidR="00D44DCF" w:rsidRPr="00043295" w:rsidRDefault="00D44DCF" w:rsidP="00C9407E">
            <w:pPr>
              <w:jc w:val="both"/>
            </w:pPr>
            <w:r w:rsidRPr="00043295">
              <w:t>R-05</w:t>
            </w:r>
          </w:p>
        </w:tc>
        <w:tc>
          <w:tcPr>
            <w:tcW w:w="22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7F881671" w14:textId="77777777" w:rsidR="00D44DCF" w:rsidRPr="00043295" w:rsidRDefault="00D44DCF" w:rsidP="00C9407E">
            <w:pPr>
              <w:jc w:val="both"/>
            </w:pPr>
            <w:r w:rsidRPr="00043295">
              <w:t>Third-party/supply chain compromise</w:t>
            </w:r>
          </w:p>
        </w:tc>
        <w:tc>
          <w:tcPr>
            <w:tcW w:w="105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22D1E8E9" w14:textId="77777777" w:rsidR="00D44DCF" w:rsidRPr="00043295" w:rsidRDefault="00D44DCF" w:rsidP="00C9407E">
            <w:pPr>
              <w:jc w:val="both"/>
            </w:pPr>
            <w:r w:rsidRPr="00043295">
              <w:t>3</w:t>
            </w:r>
          </w:p>
        </w:tc>
        <w:tc>
          <w:tcPr>
            <w:tcW w:w="9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69E0EFDC" w14:textId="77777777" w:rsidR="00D44DCF" w:rsidRPr="00043295" w:rsidRDefault="00D44DCF" w:rsidP="00C9407E">
            <w:pPr>
              <w:jc w:val="both"/>
            </w:pPr>
            <w:r w:rsidRPr="00043295">
              <w:t>5</w:t>
            </w:r>
          </w:p>
        </w:tc>
        <w:tc>
          <w:tcPr>
            <w:tcW w:w="98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755EB41E" w14:textId="77777777" w:rsidR="00D44DCF" w:rsidRPr="00043295" w:rsidRDefault="00D44DCF" w:rsidP="00C9407E">
            <w:pPr>
              <w:jc w:val="both"/>
            </w:pPr>
            <w:r w:rsidRPr="00043295">
              <w:t>15</w:t>
            </w:r>
          </w:p>
        </w:tc>
        <w:tc>
          <w:tcPr>
            <w:tcW w:w="87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4D30E400" w14:textId="77777777" w:rsidR="00D44DCF" w:rsidRPr="00043295" w:rsidRDefault="00D44DCF" w:rsidP="00C9407E">
            <w:pPr>
              <w:jc w:val="both"/>
            </w:pPr>
            <w:r w:rsidRPr="00043295">
              <w:t>HIGH</w:t>
            </w:r>
          </w:p>
        </w:tc>
        <w:tc>
          <w:tcPr>
            <w:tcW w:w="328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67A7ACA3" w14:textId="77777777" w:rsidR="00D44DCF" w:rsidRPr="00043295" w:rsidRDefault="00D44DCF" w:rsidP="00C9407E">
            <w:pPr>
              <w:jc w:val="both"/>
            </w:pPr>
            <w:r w:rsidRPr="00043295">
              <w:t>Vendor security assessments; contractual security obligations; API security controls</w:t>
            </w:r>
          </w:p>
        </w:tc>
      </w:tr>
      <w:tr w:rsidR="00D44DCF" w:rsidRPr="00043295" w14:paraId="54F6170C" w14:textId="77777777" w:rsidTr="00D36993">
        <w:tc>
          <w:tcPr>
            <w:tcW w:w="6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5D62770" w14:textId="77777777" w:rsidR="00D44DCF" w:rsidRPr="00043295" w:rsidRDefault="00D44DCF" w:rsidP="00C9407E">
            <w:pPr>
              <w:jc w:val="both"/>
            </w:pPr>
            <w:r w:rsidRPr="00043295">
              <w:lastRenderedPageBreak/>
              <w:t>R-06</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3B3958F" w14:textId="77777777" w:rsidR="00D44DCF" w:rsidRPr="00043295" w:rsidRDefault="00D44DCF" w:rsidP="00C9407E">
            <w:pPr>
              <w:jc w:val="both"/>
            </w:pPr>
            <w:r w:rsidRPr="00043295">
              <w:t>Insider threat – privileged access misuse</w:t>
            </w:r>
          </w:p>
        </w:tc>
        <w:tc>
          <w:tcPr>
            <w:tcW w:w="105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B7D4653" w14:textId="77777777" w:rsidR="00D44DCF" w:rsidRPr="00043295" w:rsidRDefault="00D44DCF" w:rsidP="00C9407E">
            <w:pPr>
              <w:jc w:val="both"/>
            </w:pPr>
            <w:r w:rsidRPr="00043295">
              <w:t>3</w:t>
            </w:r>
          </w:p>
        </w:tc>
        <w:tc>
          <w:tcPr>
            <w:tcW w:w="9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FFF9A8C" w14:textId="77777777" w:rsidR="00D44DCF" w:rsidRPr="00043295" w:rsidRDefault="00D44DCF" w:rsidP="00C9407E">
            <w:pPr>
              <w:jc w:val="both"/>
            </w:pPr>
            <w:r w:rsidRPr="00043295">
              <w:t>4</w:t>
            </w:r>
          </w:p>
        </w:tc>
        <w:tc>
          <w:tcPr>
            <w:tcW w:w="9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7BD8AFC4" w14:textId="77777777" w:rsidR="00D44DCF" w:rsidRPr="00043295" w:rsidRDefault="00D44DCF" w:rsidP="00C9407E">
            <w:pPr>
              <w:jc w:val="both"/>
            </w:pPr>
            <w:r w:rsidRPr="00043295">
              <w:t>12</w:t>
            </w:r>
          </w:p>
        </w:tc>
        <w:tc>
          <w:tcPr>
            <w:tcW w:w="87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42DBFA46" w14:textId="77777777" w:rsidR="00D44DCF" w:rsidRPr="00043295" w:rsidRDefault="00D44DCF" w:rsidP="00C9407E">
            <w:pPr>
              <w:jc w:val="both"/>
            </w:pPr>
            <w:r w:rsidRPr="00043295">
              <w:t>HIGH</w:t>
            </w:r>
          </w:p>
        </w:tc>
        <w:tc>
          <w:tcPr>
            <w:tcW w:w="32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C1D23E1" w14:textId="77777777" w:rsidR="00D44DCF" w:rsidRPr="00043295" w:rsidRDefault="00D44DCF" w:rsidP="00C9407E">
            <w:pPr>
              <w:jc w:val="both"/>
            </w:pPr>
            <w:r w:rsidRPr="00043295">
              <w:t>PAM solution; behaviour analytics; least-privilege enforcement; segregation of duties</w:t>
            </w:r>
          </w:p>
        </w:tc>
      </w:tr>
      <w:tr w:rsidR="00D44DCF" w:rsidRPr="00043295" w14:paraId="69C1F136" w14:textId="77777777" w:rsidTr="00D36993">
        <w:tc>
          <w:tcPr>
            <w:tcW w:w="68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7FDF1CEB" w14:textId="77777777" w:rsidR="00D44DCF" w:rsidRPr="00043295" w:rsidRDefault="00D44DCF" w:rsidP="00C9407E">
            <w:pPr>
              <w:jc w:val="both"/>
            </w:pPr>
            <w:r w:rsidRPr="00043295">
              <w:t>R-07</w:t>
            </w:r>
          </w:p>
        </w:tc>
        <w:tc>
          <w:tcPr>
            <w:tcW w:w="22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2D65635A" w14:textId="77777777" w:rsidR="00D44DCF" w:rsidRPr="00043295" w:rsidRDefault="00D44DCF" w:rsidP="00C9407E">
            <w:pPr>
              <w:jc w:val="both"/>
            </w:pPr>
            <w:r w:rsidRPr="00043295">
              <w:t>Regulatory non-compliance (GDPR, CCPA)</w:t>
            </w:r>
          </w:p>
        </w:tc>
        <w:tc>
          <w:tcPr>
            <w:tcW w:w="105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25A13077" w14:textId="77777777" w:rsidR="00D44DCF" w:rsidRPr="00043295" w:rsidRDefault="00D44DCF" w:rsidP="00C9407E">
            <w:pPr>
              <w:jc w:val="both"/>
            </w:pPr>
            <w:r w:rsidRPr="00043295">
              <w:t>3</w:t>
            </w:r>
          </w:p>
        </w:tc>
        <w:tc>
          <w:tcPr>
            <w:tcW w:w="9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33CD049F" w14:textId="77777777" w:rsidR="00D44DCF" w:rsidRPr="00043295" w:rsidRDefault="00D44DCF" w:rsidP="00C9407E">
            <w:pPr>
              <w:jc w:val="both"/>
            </w:pPr>
            <w:r w:rsidRPr="00043295">
              <w:t>4</w:t>
            </w:r>
          </w:p>
        </w:tc>
        <w:tc>
          <w:tcPr>
            <w:tcW w:w="98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5B3714DD" w14:textId="77777777" w:rsidR="00D44DCF" w:rsidRPr="00043295" w:rsidRDefault="00D44DCF" w:rsidP="00C9407E">
            <w:pPr>
              <w:jc w:val="both"/>
            </w:pPr>
            <w:r w:rsidRPr="00043295">
              <w:t>12</w:t>
            </w:r>
          </w:p>
        </w:tc>
        <w:tc>
          <w:tcPr>
            <w:tcW w:w="87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6B28389A" w14:textId="77777777" w:rsidR="00D44DCF" w:rsidRPr="00043295" w:rsidRDefault="00D44DCF" w:rsidP="00C9407E">
            <w:pPr>
              <w:jc w:val="both"/>
            </w:pPr>
            <w:r w:rsidRPr="00043295">
              <w:t>HIGH</w:t>
            </w:r>
          </w:p>
        </w:tc>
        <w:tc>
          <w:tcPr>
            <w:tcW w:w="328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01104F61" w14:textId="77777777" w:rsidR="00D44DCF" w:rsidRPr="00043295" w:rsidRDefault="00D44DCF" w:rsidP="00C9407E">
            <w:pPr>
              <w:jc w:val="both"/>
            </w:pPr>
            <w:r w:rsidRPr="00043295">
              <w:t>Compliance monitoring; DPO oversight; breach notification playbook; privacy by design</w:t>
            </w:r>
          </w:p>
        </w:tc>
      </w:tr>
      <w:tr w:rsidR="00D44DCF" w:rsidRPr="00043295" w14:paraId="098CBA1B" w14:textId="77777777" w:rsidTr="00D36993">
        <w:tc>
          <w:tcPr>
            <w:tcW w:w="6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504F8E91" w14:textId="77777777" w:rsidR="00D44DCF" w:rsidRPr="00043295" w:rsidRDefault="00D44DCF" w:rsidP="00C9407E">
            <w:pPr>
              <w:jc w:val="both"/>
            </w:pPr>
            <w:r w:rsidRPr="00043295">
              <w:t>R-08</w:t>
            </w:r>
          </w:p>
        </w:tc>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71D2FD6" w14:textId="77777777" w:rsidR="00D44DCF" w:rsidRPr="00043295" w:rsidRDefault="00D44DCF" w:rsidP="00C9407E">
            <w:pPr>
              <w:jc w:val="both"/>
            </w:pPr>
            <w:r w:rsidRPr="00043295">
              <w:t>Inadequate business continuity in the event of major incident</w:t>
            </w:r>
          </w:p>
        </w:tc>
        <w:tc>
          <w:tcPr>
            <w:tcW w:w="105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55C0F271" w14:textId="77777777" w:rsidR="00D44DCF" w:rsidRPr="00043295" w:rsidRDefault="00D44DCF" w:rsidP="00C9407E">
            <w:pPr>
              <w:jc w:val="both"/>
            </w:pPr>
            <w:r w:rsidRPr="00043295">
              <w:t>2</w:t>
            </w:r>
          </w:p>
        </w:tc>
        <w:tc>
          <w:tcPr>
            <w:tcW w:w="9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6621C0C0" w14:textId="77777777" w:rsidR="00D44DCF" w:rsidRPr="00043295" w:rsidRDefault="00D44DCF" w:rsidP="00C9407E">
            <w:pPr>
              <w:jc w:val="both"/>
            </w:pPr>
            <w:r w:rsidRPr="00043295">
              <w:t>5</w:t>
            </w:r>
          </w:p>
        </w:tc>
        <w:tc>
          <w:tcPr>
            <w:tcW w:w="9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7EC6E93" w14:textId="77777777" w:rsidR="00D44DCF" w:rsidRPr="00043295" w:rsidRDefault="00D44DCF" w:rsidP="00C9407E">
            <w:pPr>
              <w:jc w:val="both"/>
            </w:pPr>
            <w:r w:rsidRPr="00043295">
              <w:t>10</w:t>
            </w:r>
          </w:p>
        </w:tc>
        <w:tc>
          <w:tcPr>
            <w:tcW w:w="87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45ADBAB" w14:textId="77777777" w:rsidR="00D44DCF" w:rsidRPr="00043295" w:rsidRDefault="00D44DCF" w:rsidP="00C9407E">
            <w:pPr>
              <w:jc w:val="both"/>
            </w:pPr>
            <w:r w:rsidRPr="00043295">
              <w:t>MEDIUM</w:t>
            </w:r>
          </w:p>
        </w:tc>
        <w:tc>
          <w:tcPr>
            <w:tcW w:w="328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CA9CF91" w14:textId="77777777" w:rsidR="00D44DCF" w:rsidRPr="00043295" w:rsidRDefault="00D44DCF" w:rsidP="00C9407E">
            <w:pPr>
              <w:jc w:val="both"/>
            </w:pPr>
            <w:r w:rsidRPr="00043295">
              <w:t>Tested BCP/DRP; DR site; regular simulation exercises; stakeholder comms plan</w:t>
            </w:r>
          </w:p>
        </w:tc>
      </w:tr>
    </w:tbl>
    <w:p w14:paraId="76CC5BC5" w14:textId="77777777" w:rsidR="00D44DCF" w:rsidRPr="00043295" w:rsidRDefault="00D44DCF" w:rsidP="00E22201">
      <w:pPr>
        <w:pStyle w:val="Heading4"/>
      </w:pPr>
      <w:r w:rsidRPr="00043295">
        <w:t>Table 4: High-Level Risk Register (NIST SP 800-30 Methodology)</w:t>
      </w:r>
    </w:p>
    <w:p w14:paraId="18E99D17" w14:textId="77777777" w:rsidR="00D44DCF" w:rsidRPr="00043295" w:rsidRDefault="00D44DCF" w:rsidP="00C9407E">
      <w:pPr>
        <w:jc w:val="both"/>
      </w:pPr>
      <w:r w:rsidRPr="00043295">
        <w:t>R-01 and R-02 are prioritised as critical not only because of their combined likelihood and impact scores but because they represent the precise failure mode that enabled the Equifax breach: a known, exploitable vulnerability combined with an absence of effective detection capability. Risk R-04 reflects the fact that Equifax's flat network architecture allowed attackers to move laterally from the initial foothold to unrelated databases containing sensitive consumer data. Network micro-segmentation, enforced through a zero-trust architecture aligned with the NIST SP 800-207 standard (NIST, 2020), would have constrained the blast radius of the initial exploitation significantly.</w:t>
      </w:r>
    </w:p>
    <w:p w14:paraId="553C2D08" w14:textId="77777777" w:rsidR="00D44DCF" w:rsidRPr="00043295" w:rsidRDefault="00D44DCF" w:rsidP="00C9407E">
      <w:pPr>
        <w:jc w:val="both"/>
      </w:pPr>
      <w:r w:rsidRPr="00043295">
        <w:t xml:space="preserve">Supply chain risk (R-05) is elevated to high priority </w:t>
      </w:r>
      <w:proofErr w:type="gramStart"/>
      <w:r w:rsidRPr="00043295">
        <w:t>in light of</w:t>
      </w:r>
      <w:proofErr w:type="gramEnd"/>
      <w:r w:rsidRPr="00043295">
        <w:t xml:space="preserve"> the insight from Task 1: organisations that consume third-party software components, AI models, or cloud services inherit their security posture. The Apache Struts vulnerability was itself a third-party component risk, and the governance framework must extend vendor risk management to all software dependencies, enforcing Software Bill of Materials (SBOM) practices consistent with US Executive Order 14028 (White House, 2021).</w:t>
      </w:r>
    </w:p>
    <w:p w14:paraId="00987629" w14:textId="449C12DF" w:rsidR="00D44DCF" w:rsidRPr="00043295" w:rsidRDefault="00D44DCF" w:rsidP="00C9407E">
      <w:pPr>
        <w:pStyle w:val="Heading2"/>
        <w:jc w:val="both"/>
      </w:pPr>
      <w:bookmarkStart w:id="19" w:name="_Toc235447743"/>
      <w:r w:rsidRPr="00043295">
        <w:t xml:space="preserve">2.5 Compliance, Incident Response, and Protection </w:t>
      </w:r>
      <w:proofErr w:type="gramStart"/>
      <w:r w:rsidRPr="00043295">
        <w:t>Controls</w:t>
      </w:r>
      <w:bookmarkEnd w:id="19"/>
      <w:r w:rsidR="00E22201">
        <w:t>[</w:t>
      </w:r>
      <w:proofErr w:type="gramEnd"/>
      <w:r w:rsidR="00E22201">
        <w:t>6]</w:t>
      </w:r>
    </w:p>
    <w:p w14:paraId="73F9A5BC" w14:textId="77777777" w:rsidR="00D44DCF" w:rsidRPr="00043295" w:rsidRDefault="00D44DCF" w:rsidP="00C9407E">
      <w:pPr>
        <w:pStyle w:val="Heading3"/>
        <w:jc w:val="both"/>
      </w:pPr>
      <w:bookmarkStart w:id="20" w:name="_Toc235447744"/>
      <w:r w:rsidRPr="00043295">
        <w:t>2.5.1 Regulatory Alignment and Breach Notification</w:t>
      </w:r>
      <w:bookmarkEnd w:id="20"/>
    </w:p>
    <w:p w14:paraId="4B5808E5" w14:textId="612765D4" w:rsidR="00D44DCF" w:rsidRPr="00043295" w:rsidRDefault="00D44DCF" w:rsidP="00C9407E">
      <w:pPr>
        <w:jc w:val="both"/>
      </w:pPr>
      <w:r w:rsidRPr="00043295">
        <w:t xml:space="preserve">Equifax's disclosure of the breach occurred 41 days after discovery, a timeline that would now violate GDPR's 72-hour supervisory authority notification obligation under Article 33, as well as state-level breach notification laws in multiple US jurisdictions. The proposed </w:t>
      </w:r>
      <w:r w:rsidRPr="00043295">
        <w:lastRenderedPageBreak/>
        <w:t>programme implements a regulatory compliance matrix encompassing GDPR (EU), CCPA/CPRA</w:t>
      </w:r>
      <w:r w:rsidR="00E22201">
        <w:t>,</w:t>
      </w:r>
      <w:r w:rsidRPr="00043295">
        <w:t xml:space="preserve"> and sector-specific instruments applicable to credit reporting entities.</w:t>
      </w:r>
    </w:p>
    <w:p w14:paraId="0B5A1847" w14:textId="578665F2" w:rsidR="00D44DCF" w:rsidRPr="00043295" w:rsidRDefault="00D44DCF" w:rsidP="00C9407E">
      <w:pPr>
        <w:jc w:val="both"/>
      </w:pPr>
      <w:r w:rsidRPr="00043295">
        <w:t xml:space="preserve">A documented breach notification playbook </w:t>
      </w:r>
      <w:r w:rsidR="00E22201" w:rsidRPr="00043295">
        <w:t>specifies</w:t>
      </w:r>
      <w:r w:rsidRPr="00043295">
        <w:t xml:space="preserve"> immediate containment and forensic preservation actions upon detection; notification to the DPO within 2 hours of confirmed breach; supervisory authority notification within 72 hours; and affected individual notification within a legally specified timeframe as determined by applicable jurisdiction. Legal counsel, the communications function, and senior executive leadership are included in the escalation chain to ensure that disclosure decisions incorporate legal, reputational, and operational considerations.</w:t>
      </w:r>
    </w:p>
    <w:p w14:paraId="1A622287" w14:textId="77777777" w:rsidR="00D44DCF" w:rsidRPr="00043295" w:rsidRDefault="00D44DCF" w:rsidP="00C9407E">
      <w:pPr>
        <w:pStyle w:val="Heading3"/>
        <w:jc w:val="both"/>
      </w:pPr>
      <w:bookmarkStart w:id="21" w:name="_Toc235447745"/>
      <w:r w:rsidRPr="00043295">
        <w:t>2.5.2 Incident Response and Disaster Recovery</w:t>
      </w:r>
      <w:bookmarkEnd w:id="21"/>
    </w:p>
    <w:p w14:paraId="41D35A80" w14:textId="77777777" w:rsidR="00D44DCF" w:rsidRPr="00043295" w:rsidRDefault="00D44DCF" w:rsidP="00C9407E">
      <w:pPr>
        <w:jc w:val="both"/>
      </w:pPr>
      <w:r w:rsidRPr="00043295">
        <w:t>The incident response programme is structured around a tiered severity model, with automated SOAR playbooks handling Tier 1 incidents (known attack patterns with established remediation) and human-led response teams managing Tier 2 and Tier 3 incidents. This design directly addresses the Equifax dwell time failure: automated response capabilities can isolate compromised systems, revoke active sessions, and apply emergency network segmentation rules within minutes of detection, dramatically reducing the window of attacker access.</w:t>
      </w:r>
    </w:p>
    <w:p w14:paraId="6443C8F3" w14:textId="77777777" w:rsidR="00D44DCF" w:rsidRPr="00043295" w:rsidRDefault="00D44DCF" w:rsidP="00C9407E">
      <w:pPr>
        <w:jc w:val="both"/>
      </w:pPr>
      <w:r w:rsidRPr="00043295">
        <w:t>Disaster recovery planning establishes a Recovery Time Objective of four hours and a Recovery Point Objective of one hour for critical systems, supported by geographically distributed data replicas and pre-tested failover procedures. Annual tabletop exercises and semi-annual technical disaster recovery tests ensure that plans remain current and that response teams are practiced. Post-incident review processes, mandated within five business days of any Tier 2 or higher incident, feed lessons learned back into the risk register, policy framework, and security control set.</w:t>
      </w:r>
    </w:p>
    <w:p w14:paraId="1780F410" w14:textId="30FDE7B9" w:rsidR="00D44DCF" w:rsidRPr="00043295" w:rsidRDefault="00D44DCF" w:rsidP="00C9407E">
      <w:pPr>
        <w:pStyle w:val="Heading3"/>
        <w:jc w:val="both"/>
      </w:pPr>
      <w:bookmarkStart w:id="22" w:name="_Toc235447746"/>
      <w:r w:rsidRPr="00043295">
        <w:t xml:space="preserve">2.5.3 Technical Safeguards and How They Reduce Dwell </w:t>
      </w:r>
      <w:proofErr w:type="gramStart"/>
      <w:r w:rsidRPr="00043295">
        <w:t>Time</w:t>
      </w:r>
      <w:bookmarkEnd w:id="22"/>
      <w:r w:rsidR="00E22201">
        <w:t>[</w:t>
      </w:r>
      <w:proofErr w:type="gramEnd"/>
      <w:r w:rsidR="00E22201">
        <w:t>12]</w:t>
      </w:r>
    </w:p>
    <w:p w14:paraId="491FBEDD" w14:textId="17AF634D" w:rsidR="00D44DCF" w:rsidRPr="00043295" w:rsidRDefault="00D44DCF" w:rsidP="00C9407E">
      <w:pPr>
        <w:jc w:val="both"/>
      </w:pPr>
      <w:r w:rsidRPr="00043295">
        <w:t xml:space="preserve">The technical control architecture is designed with explicit attention to dwell time reduction, the metric that most directly correlates with breach impact. Industry data from Mandiant's M-Trends report indicates that the global median attacker dwell time in 2023 was 10 </w:t>
      </w:r>
      <w:proofErr w:type="gramStart"/>
      <w:r w:rsidRPr="00043295">
        <w:t>days  the</w:t>
      </w:r>
      <w:proofErr w:type="gramEnd"/>
      <w:r w:rsidRPr="00043295">
        <w:t xml:space="preserve"> Equifax breach's 78-day dwell time reflects a control environment approximately seven times more permissive than the contemporary average.</w:t>
      </w:r>
    </w:p>
    <w:p w14:paraId="61E9EED6" w14:textId="77777777" w:rsidR="00D44DCF" w:rsidRPr="00043295" w:rsidRDefault="00D44DCF" w:rsidP="00C9407E">
      <w:pPr>
        <w:jc w:val="both"/>
      </w:pPr>
    </w:p>
    <w:tbl>
      <w:tblPr>
        <w:tblW w:w="89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2800"/>
        <w:gridCol w:w="3960"/>
      </w:tblGrid>
      <w:tr w:rsidR="00D44DCF" w:rsidRPr="00043295" w14:paraId="4170078C" w14:textId="77777777" w:rsidTr="00D36993">
        <w:tc>
          <w:tcPr>
            <w:tcW w:w="2200" w:type="dxa"/>
            <w:tcBorders>
              <w:top w:val="single" w:sz="2" w:space="0" w:color="AAAAAA"/>
              <w:left w:val="single" w:sz="2" w:space="0" w:color="AAAAAA"/>
              <w:bottom w:val="single" w:sz="2" w:space="0" w:color="AAAAAA"/>
              <w:right w:val="single" w:sz="2" w:space="0" w:color="AAAAAA"/>
            </w:tcBorders>
            <w:shd w:val="clear" w:color="auto" w:fill="2E4057"/>
            <w:tcMar>
              <w:top w:w="80" w:type="dxa"/>
              <w:left w:w="120" w:type="dxa"/>
              <w:bottom w:w="80" w:type="dxa"/>
              <w:right w:w="120" w:type="dxa"/>
            </w:tcMar>
            <w:hideMark/>
          </w:tcPr>
          <w:p w14:paraId="667C7DAD" w14:textId="77777777" w:rsidR="00D44DCF" w:rsidRPr="00043295" w:rsidRDefault="00D44DCF" w:rsidP="00C9407E">
            <w:pPr>
              <w:jc w:val="both"/>
            </w:pPr>
            <w:r w:rsidRPr="00043295">
              <w:rPr>
                <w:b/>
                <w:bCs/>
              </w:rPr>
              <w:t>Control Category</w:t>
            </w:r>
          </w:p>
        </w:tc>
        <w:tc>
          <w:tcPr>
            <w:tcW w:w="2800" w:type="dxa"/>
            <w:tcBorders>
              <w:top w:val="single" w:sz="2" w:space="0" w:color="AAAAAA"/>
              <w:left w:val="single" w:sz="2" w:space="0" w:color="AAAAAA"/>
              <w:bottom w:val="single" w:sz="2" w:space="0" w:color="AAAAAA"/>
              <w:right w:val="single" w:sz="2" w:space="0" w:color="AAAAAA"/>
            </w:tcBorders>
            <w:shd w:val="clear" w:color="auto" w:fill="2E4057"/>
            <w:tcMar>
              <w:top w:w="80" w:type="dxa"/>
              <w:left w:w="120" w:type="dxa"/>
              <w:bottom w:w="80" w:type="dxa"/>
              <w:right w:w="120" w:type="dxa"/>
            </w:tcMar>
            <w:hideMark/>
          </w:tcPr>
          <w:p w14:paraId="50EE524E" w14:textId="77777777" w:rsidR="00D44DCF" w:rsidRPr="00043295" w:rsidRDefault="00D44DCF" w:rsidP="00C9407E">
            <w:pPr>
              <w:jc w:val="both"/>
            </w:pPr>
            <w:r w:rsidRPr="00043295">
              <w:rPr>
                <w:b/>
                <w:bCs/>
              </w:rPr>
              <w:t>Technology / Approach</w:t>
            </w:r>
          </w:p>
        </w:tc>
        <w:tc>
          <w:tcPr>
            <w:tcW w:w="3960" w:type="dxa"/>
            <w:tcBorders>
              <w:top w:val="single" w:sz="2" w:space="0" w:color="AAAAAA"/>
              <w:left w:val="single" w:sz="2" w:space="0" w:color="AAAAAA"/>
              <w:bottom w:val="single" w:sz="2" w:space="0" w:color="AAAAAA"/>
              <w:right w:val="single" w:sz="2" w:space="0" w:color="AAAAAA"/>
            </w:tcBorders>
            <w:shd w:val="clear" w:color="auto" w:fill="2E4057"/>
            <w:tcMar>
              <w:top w:w="80" w:type="dxa"/>
              <w:left w:w="120" w:type="dxa"/>
              <w:bottom w:w="80" w:type="dxa"/>
              <w:right w:w="120" w:type="dxa"/>
            </w:tcMar>
            <w:hideMark/>
          </w:tcPr>
          <w:p w14:paraId="61D848DC" w14:textId="77777777" w:rsidR="00D44DCF" w:rsidRPr="00043295" w:rsidRDefault="00D44DCF" w:rsidP="00C9407E">
            <w:pPr>
              <w:jc w:val="both"/>
            </w:pPr>
            <w:r w:rsidRPr="00043295">
              <w:rPr>
                <w:b/>
                <w:bCs/>
              </w:rPr>
              <w:t>Dwell Time / Impact Reduction Mechanism</w:t>
            </w:r>
          </w:p>
        </w:tc>
      </w:tr>
      <w:tr w:rsidR="00D44DCF" w:rsidRPr="00043295" w14:paraId="3FB78ECC" w14:textId="77777777" w:rsidTr="00D36993">
        <w:tc>
          <w:tcPr>
            <w:tcW w:w="22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01DE67B8" w14:textId="77777777" w:rsidR="00D44DCF" w:rsidRPr="00043295" w:rsidRDefault="00D44DCF" w:rsidP="00C9407E">
            <w:pPr>
              <w:jc w:val="both"/>
            </w:pPr>
            <w:r w:rsidRPr="00043295">
              <w:lastRenderedPageBreak/>
              <w:t>Continuous Vulnerability Scanning</w:t>
            </w:r>
          </w:p>
        </w:tc>
        <w:tc>
          <w:tcPr>
            <w:tcW w:w="28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4C3DB9DC" w14:textId="77777777" w:rsidR="00D44DCF" w:rsidRPr="00043295" w:rsidRDefault="00D44DCF" w:rsidP="00C9407E">
            <w:pPr>
              <w:jc w:val="both"/>
            </w:pPr>
            <w:r w:rsidRPr="00043295">
              <w:t>Qualys or Tenable.io with daily scan cadence</w:t>
            </w:r>
          </w:p>
        </w:tc>
        <w:tc>
          <w:tcPr>
            <w:tcW w:w="396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771019B8" w14:textId="77777777" w:rsidR="00D44DCF" w:rsidRPr="00043295" w:rsidRDefault="00D44DCF" w:rsidP="00C9407E">
            <w:pPr>
              <w:jc w:val="both"/>
            </w:pPr>
            <w:r w:rsidRPr="00043295">
              <w:t>Eliminates the months-long exposure window created by infrequent manual scanning</w:t>
            </w:r>
          </w:p>
        </w:tc>
      </w:tr>
      <w:tr w:rsidR="00D44DCF" w:rsidRPr="00043295" w14:paraId="7E443149" w14:textId="77777777" w:rsidTr="00D36993">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7FEDF1C3" w14:textId="77777777" w:rsidR="00D44DCF" w:rsidRPr="00043295" w:rsidRDefault="00D44DCF" w:rsidP="00C9407E">
            <w:pPr>
              <w:jc w:val="both"/>
            </w:pPr>
            <w:r w:rsidRPr="00043295">
              <w:t>Endpoint Detection &amp; Response (EDR)</w:t>
            </w:r>
          </w:p>
        </w:tc>
        <w:tc>
          <w:tcPr>
            <w:tcW w:w="2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6660B4E2" w14:textId="77777777" w:rsidR="00D44DCF" w:rsidRPr="00043295" w:rsidRDefault="00D44DCF" w:rsidP="00C9407E">
            <w:pPr>
              <w:jc w:val="both"/>
            </w:pPr>
            <w:r w:rsidRPr="00043295">
              <w:t>CrowdStrike Falcon or Microsoft Defender for Endpoint</w:t>
            </w:r>
          </w:p>
        </w:tc>
        <w:tc>
          <w:tcPr>
            <w:tcW w:w="39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708236F" w14:textId="77777777" w:rsidR="00D44DCF" w:rsidRPr="00043295" w:rsidRDefault="00D44DCF" w:rsidP="00C9407E">
            <w:pPr>
              <w:jc w:val="both"/>
            </w:pPr>
            <w:r w:rsidRPr="00043295">
              <w:t>Behavioural anomaly detection on endpoints; automated isolation of compromised hosts</w:t>
            </w:r>
          </w:p>
        </w:tc>
      </w:tr>
      <w:tr w:rsidR="00D44DCF" w:rsidRPr="00043295" w14:paraId="59695BA7" w14:textId="77777777" w:rsidTr="00D36993">
        <w:tc>
          <w:tcPr>
            <w:tcW w:w="22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1923C72A" w14:textId="77777777" w:rsidR="00D44DCF" w:rsidRPr="00043295" w:rsidRDefault="00D44DCF" w:rsidP="00C9407E">
            <w:pPr>
              <w:jc w:val="both"/>
            </w:pPr>
            <w:r w:rsidRPr="00043295">
              <w:t>SIEM with UEBA</w:t>
            </w:r>
          </w:p>
        </w:tc>
        <w:tc>
          <w:tcPr>
            <w:tcW w:w="28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0C9C63AA" w14:textId="77777777" w:rsidR="00D44DCF" w:rsidRPr="00043295" w:rsidRDefault="00D44DCF" w:rsidP="00C9407E">
            <w:pPr>
              <w:jc w:val="both"/>
            </w:pPr>
            <w:r w:rsidRPr="00043295">
              <w:t>Microsoft Sentinel / Splunk with user and entity behaviour analytics</w:t>
            </w:r>
          </w:p>
        </w:tc>
        <w:tc>
          <w:tcPr>
            <w:tcW w:w="396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66A81638" w14:textId="77777777" w:rsidR="00D44DCF" w:rsidRPr="00043295" w:rsidRDefault="00D44DCF" w:rsidP="00C9407E">
            <w:pPr>
              <w:jc w:val="both"/>
            </w:pPr>
            <w:r w:rsidRPr="00043295">
              <w:t>Detects lateral movement and credential misuse that signature-based tools miss</w:t>
            </w:r>
          </w:p>
        </w:tc>
      </w:tr>
      <w:tr w:rsidR="00D44DCF" w:rsidRPr="00043295" w14:paraId="5BB6B10C" w14:textId="77777777" w:rsidTr="00D36993">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9EDF26E" w14:textId="77777777" w:rsidR="00D44DCF" w:rsidRPr="00043295" w:rsidRDefault="00D44DCF" w:rsidP="00C9407E">
            <w:pPr>
              <w:jc w:val="both"/>
            </w:pPr>
            <w:r w:rsidRPr="00043295">
              <w:t>SOAR Automation</w:t>
            </w:r>
          </w:p>
        </w:tc>
        <w:tc>
          <w:tcPr>
            <w:tcW w:w="2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787A3ADA" w14:textId="77777777" w:rsidR="00D44DCF" w:rsidRPr="00043295" w:rsidRDefault="00D44DCF" w:rsidP="00C9407E">
            <w:pPr>
              <w:jc w:val="both"/>
            </w:pPr>
            <w:r w:rsidRPr="00043295">
              <w:t>Palo Alto XSOAR or Splunk SOAR automated playbooks</w:t>
            </w:r>
          </w:p>
        </w:tc>
        <w:tc>
          <w:tcPr>
            <w:tcW w:w="39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430B5AF" w14:textId="77777777" w:rsidR="00D44DCF" w:rsidRPr="00043295" w:rsidRDefault="00D44DCF" w:rsidP="00C9407E">
            <w:pPr>
              <w:jc w:val="both"/>
            </w:pPr>
            <w:r w:rsidRPr="00043295">
              <w:t>Sub-minute automated containment response versus hours-long manual investigation</w:t>
            </w:r>
          </w:p>
        </w:tc>
      </w:tr>
      <w:tr w:rsidR="00D44DCF" w:rsidRPr="00043295" w14:paraId="09C14913" w14:textId="77777777" w:rsidTr="00D36993">
        <w:tc>
          <w:tcPr>
            <w:tcW w:w="22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0AB2F53A" w14:textId="77777777" w:rsidR="00D44DCF" w:rsidRPr="00043295" w:rsidRDefault="00D44DCF" w:rsidP="00C9407E">
            <w:pPr>
              <w:jc w:val="both"/>
            </w:pPr>
            <w:r w:rsidRPr="00043295">
              <w:t>Network Micro-Segmentation</w:t>
            </w:r>
          </w:p>
        </w:tc>
        <w:tc>
          <w:tcPr>
            <w:tcW w:w="28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0E7659B6" w14:textId="77777777" w:rsidR="00D44DCF" w:rsidRPr="00043295" w:rsidRDefault="00D44DCF" w:rsidP="00C9407E">
            <w:pPr>
              <w:jc w:val="both"/>
            </w:pPr>
            <w:r w:rsidRPr="00043295">
              <w:t>Zero-trust network architecture; east-west traffic controls</w:t>
            </w:r>
          </w:p>
        </w:tc>
        <w:tc>
          <w:tcPr>
            <w:tcW w:w="396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6D5C51F6" w14:textId="77777777" w:rsidR="00D44DCF" w:rsidRPr="00043295" w:rsidRDefault="00D44DCF" w:rsidP="00C9407E">
            <w:pPr>
              <w:jc w:val="both"/>
            </w:pPr>
            <w:r w:rsidRPr="00043295">
              <w:t>Limits blast radius; contains breach to compromised segment only</w:t>
            </w:r>
          </w:p>
        </w:tc>
      </w:tr>
      <w:tr w:rsidR="00D44DCF" w:rsidRPr="00043295" w14:paraId="261E6AB8" w14:textId="77777777" w:rsidTr="00D36993">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571D175F" w14:textId="77777777" w:rsidR="00D44DCF" w:rsidRPr="00043295" w:rsidRDefault="00D44DCF" w:rsidP="00C9407E">
            <w:pPr>
              <w:jc w:val="both"/>
            </w:pPr>
            <w:r w:rsidRPr="00043295">
              <w:t>Data Loss Prevention (DLP)</w:t>
            </w:r>
          </w:p>
        </w:tc>
        <w:tc>
          <w:tcPr>
            <w:tcW w:w="2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2167D91" w14:textId="77777777" w:rsidR="00D44DCF" w:rsidRPr="00043295" w:rsidRDefault="00D44DCF" w:rsidP="00C9407E">
            <w:pPr>
              <w:jc w:val="both"/>
            </w:pPr>
            <w:r w:rsidRPr="00043295">
              <w:t>Microsoft Purview or Symantec DLP with egress monitoring</w:t>
            </w:r>
          </w:p>
        </w:tc>
        <w:tc>
          <w:tcPr>
            <w:tcW w:w="39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3DBE64B" w14:textId="77777777" w:rsidR="00D44DCF" w:rsidRPr="00043295" w:rsidRDefault="00D44DCF" w:rsidP="00C9407E">
            <w:pPr>
              <w:jc w:val="both"/>
            </w:pPr>
            <w:r w:rsidRPr="00043295">
              <w:t>Detects and blocks anomalous data exfiltration patterns in real time</w:t>
            </w:r>
          </w:p>
        </w:tc>
      </w:tr>
      <w:tr w:rsidR="00D44DCF" w:rsidRPr="00043295" w14:paraId="261B5308" w14:textId="77777777" w:rsidTr="00D36993">
        <w:tc>
          <w:tcPr>
            <w:tcW w:w="22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77F0D368" w14:textId="77777777" w:rsidR="00D44DCF" w:rsidRPr="00043295" w:rsidRDefault="00D44DCF" w:rsidP="00C9407E">
            <w:pPr>
              <w:jc w:val="both"/>
            </w:pPr>
            <w:r w:rsidRPr="00043295">
              <w:t>Privileged Access Management (PAM)</w:t>
            </w:r>
          </w:p>
        </w:tc>
        <w:tc>
          <w:tcPr>
            <w:tcW w:w="28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6CEB3051" w14:textId="77777777" w:rsidR="00D44DCF" w:rsidRPr="00043295" w:rsidRDefault="00D44DCF" w:rsidP="00C9407E">
            <w:pPr>
              <w:jc w:val="both"/>
            </w:pPr>
            <w:r w:rsidRPr="00043295">
              <w:t xml:space="preserve">CyberArk or </w:t>
            </w:r>
            <w:proofErr w:type="spellStart"/>
            <w:r w:rsidRPr="00043295">
              <w:t>BeyondTrust</w:t>
            </w:r>
            <w:proofErr w:type="spellEnd"/>
            <w:r w:rsidRPr="00043295">
              <w:t xml:space="preserve"> with session recording</w:t>
            </w:r>
          </w:p>
        </w:tc>
        <w:tc>
          <w:tcPr>
            <w:tcW w:w="396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15A9973A" w14:textId="77777777" w:rsidR="00D44DCF" w:rsidRPr="00043295" w:rsidRDefault="00D44DCF" w:rsidP="00C9407E">
            <w:pPr>
              <w:jc w:val="both"/>
            </w:pPr>
            <w:r w:rsidRPr="00043295">
              <w:t>Prevents credential escalation; provides forensic audit trail for privileged activity</w:t>
            </w:r>
          </w:p>
        </w:tc>
      </w:tr>
      <w:tr w:rsidR="00D44DCF" w:rsidRPr="00043295" w14:paraId="45FF4B6E" w14:textId="77777777" w:rsidTr="00D36993">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14D0DE9" w14:textId="77777777" w:rsidR="00D44DCF" w:rsidRPr="00043295" w:rsidRDefault="00D44DCF" w:rsidP="00C9407E">
            <w:pPr>
              <w:jc w:val="both"/>
            </w:pPr>
            <w:r w:rsidRPr="00043295">
              <w:t>Encryption</w:t>
            </w:r>
          </w:p>
        </w:tc>
        <w:tc>
          <w:tcPr>
            <w:tcW w:w="2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41B595F" w14:textId="77777777" w:rsidR="00D44DCF" w:rsidRPr="00043295" w:rsidRDefault="00D44DCF" w:rsidP="00C9407E">
            <w:pPr>
              <w:jc w:val="both"/>
            </w:pPr>
            <w:r w:rsidRPr="00043295">
              <w:t>TLS 1.3 in transit; AES-256 at rest; HSM for key management</w:t>
            </w:r>
          </w:p>
        </w:tc>
        <w:tc>
          <w:tcPr>
            <w:tcW w:w="39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28404E0F" w14:textId="77777777" w:rsidR="00D44DCF" w:rsidRPr="00043295" w:rsidRDefault="00D44DCF" w:rsidP="00C9407E">
            <w:pPr>
              <w:jc w:val="both"/>
            </w:pPr>
            <w:r w:rsidRPr="00043295">
              <w:t>Renders exfiltrated data unintelligible to adversaries without decryption keys</w:t>
            </w:r>
          </w:p>
        </w:tc>
      </w:tr>
      <w:tr w:rsidR="00D44DCF" w:rsidRPr="00043295" w14:paraId="0616D09B" w14:textId="77777777" w:rsidTr="00D36993">
        <w:tc>
          <w:tcPr>
            <w:tcW w:w="22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6DFD9B6E" w14:textId="77777777" w:rsidR="00D44DCF" w:rsidRPr="00043295" w:rsidRDefault="00D44DCF" w:rsidP="00C9407E">
            <w:pPr>
              <w:jc w:val="both"/>
            </w:pPr>
            <w:r w:rsidRPr="00043295">
              <w:t>Multi-Factor Authentication (MFA)</w:t>
            </w:r>
          </w:p>
        </w:tc>
        <w:tc>
          <w:tcPr>
            <w:tcW w:w="280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3540B2AA" w14:textId="77777777" w:rsidR="00D44DCF" w:rsidRPr="00043295" w:rsidRDefault="00D44DCF" w:rsidP="00C9407E">
            <w:pPr>
              <w:jc w:val="both"/>
            </w:pPr>
            <w:r w:rsidRPr="00043295">
              <w:t>FIDO2/</w:t>
            </w:r>
            <w:proofErr w:type="spellStart"/>
            <w:r w:rsidRPr="00043295">
              <w:t>WebAuthn</w:t>
            </w:r>
            <w:proofErr w:type="spellEnd"/>
            <w:r w:rsidRPr="00043295">
              <w:t xml:space="preserve"> hardware tokens for privileged access</w:t>
            </w:r>
          </w:p>
        </w:tc>
        <w:tc>
          <w:tcPr>
            <w:tcW w:w="3960" w:type="dxa"/>
            <w:tcBorders>
              <w:top w:val="single" w:sz="2" w:space="0" w:color="AAAAAA"/>
              <w:left w:val="single" w:sz="2" w:space="0" w:color="AAAAAA"/>
              <w:bottom w:val="single" w:sz="2" w:space="0" w:color="AAAAAA"/>
              <w:right w:val="single" w:sz="2" w:space="0" w:color="AAAAAA"/>
            </w:tcBorders>
            <w:shd w:val="clear" w:color="auto" w:fill="F2F4F7"/>
            <w:tcMar>
              <w:top w:w="80" w:type="dxa"/>
              <w:left w:w="120" w:type="dxa"/>
              <w:bottom w:w="80" w:type="dxa"/>
              <w:right w:w="120" w:type="dxa"/>
            </w:tcMar>
            <w:hideMark/>
          </w:tcPr>
          <w:p w14:paraId="0E12E639" w14:textId="77777777" w:rsidR="00D44DCF" w:rsidRPr="00043295" w:rsidRDefault="00D44DCF" w:rsidP="00C9407E">
            <w:pPr>
              <w:jc w:val="both"/>
            </w:pPr>
            <w:r w:rsidRPr="00043295">
              <w:t>Prevents credential-based lateral movement even if passwords are compromised</w:t>
            </w:r>
          </w:p>
        </w:tc>
      </w:tr>
      <w:tr w:rsidR="00D44DCF" w:rsidRPr="00043295" w14:paraId="51898CD7" w14:textId="77777777" w:rsidTr="00D36993">
        <w:tc>
          <w:tcPr>
            <w:tcW w:w="22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344D911E" w14:textId="77777777" w:rsidR="00D44DCF" w:rsidRPr="00043295" w:rsidRDefault="00D44DCF" w:rsidP="00C9407E">
            <w:pPr>
              <w:jc w:val="both"/>
            </w:pPr>
            <w:r w:rsidRPr="00043295">
              <w:t>Threat Intelligence Integration</w:t>
            </w:r>
          </w:p>
        </w:tc>
        <w:tc>
          <w:tcPr>
            <w:tcW w:w="280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1EC4F854" w14:textId="77777777" w:rsidR="00D44DCF" w:rsidRPr="00043295" w:rsidRDefault="00D44DCF" w:rsidP="00C9407E">
            <w:pPr>
              <w:jc w:val="both"/>
            </w:pPr>
            <w:r w:rsidRPr="00043295">
              <w:t>MISP / commercial TI feeds integrated with SIEM</w:t>
            </w:r>
          </w:p>
        </w:tc>
        <w:tc>
          <w:tcPr>
            <w:tcW w:w="3960" w:type="dxa"/>
            <w:tcBorders>
              <w:top w:val="single" w:sz="2" w:space="0" w:color="AAAAAA"/>
              <w:left w:val="single" w:sz="2" w:space="0" w:color="AAAAAA"/>
              <w:bottom w:val="single" w:sz="2" w:space="0" w:color="AAAAAA"/>
              <w:right w:val="single" w:sz="2" w:space="0" w:color="AAAAAA"/>
            </w:tcBorders>
            <w:shd w:val="clear" w:color="auto" w:fill="FFFFFF"/>
            <w:tcMar>
              <w:top w:w="80" w:type="dxa"/>
              <w:left w:w="120" w:type="dxa"/>
              <w:bottom w:w="80" w:type="dxa"/>
              <w:right w:w="120" w:type="dxa"/>
            </w:tcMar>
            <w:hideMark/>
          </w:tcPr>
          <w:p w14:paraId="05776C7C" w14:textId="77777777" w:rsidR="00D44DCF" w:rsidRPr="00043295" w:rsidRDefault="00D44DCF" w:rsidP="00C9407E">
            <w:pPr>
              <w:jc w:val="both"/>
            </w:pPr>
            <w:r w:rsidRPr="00043295">
              <w:t>Enables proactive detection of known threat actor TTPs before exploitation</w:t>
            </w:r>
          </w:p>
        </w:tc>
      </w:tr>
    </w:tbl>
    <w:p w14:paraId="24ECEC00" w14:textId="77777777" w:rsidR="00D44DCF" w:rsidRPr="00043295" w:rsidRDefault="00D44DCF" w:rsidP="00E22201">
      <w:pPr>
        <w:pStyle w:val="Heading4"/>
      </w:pPr>
      <w:r w:rsidRPr="00043295">
        <w:lastRenderedPageBreak/>
        <w:t>Table 5: Technical Safeguards and Their Role in Dwell Time Reduction</w:t>
      </w:r>
    </w:p>
    <w:p w14:paraId="302671F3" w14:textId="77777777" w:rsidR="00D44DCF" w:rsidRPr="00043295" w:rsidRDefault="00D44DCF" w:rsidP="00C9407E">
      <w:pPr>
        <w:jc w:val="both"/>
      </w:pPr>
      <w:r w:rsidRPr="00043295">
        <w:t>The layered defence architecture instantiated by these controls reflects the principle of defence-in-depth: no single control is relied upon exclusively, and the failure of any one control does not create an unacceptable exposure. The combination of continuous vulnerability scanning with automated patch deployment directly addresses R-01; SIEM/UEBA and EDR in combination address R-02 by ensuring that attacker activity is detected within hours rather than weeks; DLP and encryption in combination address R-03 by both detecting and degrading the value of any successful exfiltration.</w:t>
      </w:r>
    </w:p>
    <w:p w14:paraId="4DEE48B9" w14:textId="77777777" w:rsidR="00D44DCF" w:rsidRPr="00043295" w:rsidRDefault="00D44DCF" w:rsidP="00C9407E">
      <w:pPr>
        <w:jc w:val="both"/>
      </w:pPr>
      <w:r w:rsidRPr="00043295">
        <w:t>The adoption of AI-powered behavioural analytics within SIEM and EDR platforms is directly informed by the Task 1 analysis: these systems must themselves be subject to the AI governance framework proposed therein. Training data for anomaly detection models must be curated and audited to prevent the introduction of biases that would cause the model to learn 'normal' attacker behaviour as legitimate. This cross-task interdependency demonstrates that AI governance and cybersecurity governance are not parallel disciplines but deeply integrated dimensions of a unified enterprise risk management function.</w:t>
      </w:r>
    </w:p>
    <w:p w14:paraId="4968CC0E" w14:textId="77777777" w:rsidR="00D44DCF" w:rsidRPr="00043295" w:rsidRDefault="00D44DCF" w:rsidP="00C9407E">
      <w:pPr>
        <w:pStyle w:val="Heading3"/>
        <w:jc w:val="both"/>
      </w:pPr>
      <w:bookmarkStart w:id="23" w:name="_Toc235447747"/>
      <w:r w:rsidRPr="00043295">
        <w:t>2.5.4 Justification of Control Integration</w:t>
      </w:r>
      <w:bookmarkEnd w:id="23"/>
    </w:p>
    <w:p w14:paraId="54690FAC" w14:textId="77777777" w:rsidR="00D44DCF" w:rsidRPr="00043295" w:rsidRDefault="00D44DCF" w:rsidP="00C9407E">
      <w:pPr>
        <w:jc w:val="both"/>
      </w:pPr>
      <w:r w:rsidRPr="00043295">
        <w:t>The proposed control architecture achieves measurable impact reduction across three dimensions. First, with respect to dwell time: the combination of continuous scanning, UEBA, and automated SOAR response reduces the mean time to detect to a target of four hours and mean time to contain to eight hours, compared to Equifax's 78-day dwell time. Second, with respect to data exposure: network segmentation and DLP controls ensure that even if an initial foothold is established, the adversary's ability to access and exfiltrate data from unrelated systems is substantially constrained. Third, with respect to regulatory impact: the breach notification playbook and embedded GDPR compliance controls ensure that in the event of a breach, regulatory exposure is minimised through timely, accurate notification, avoiding the compounding reputational and financial damage that Equifax suffered through delayed disclosure.</w:t>
      </w:r>
    </w:p>
    <w:p w14:paraId="5D8B2A7A" w14:textId="77777777" w:rsidR="00D44DCF" w:rsidRPr="00043295" w:rsidRDefault="00D44DCF" w:rsidP="00C9407E">
      <w:pPr>
        <w:jc w:val="both"/>
      </w:pPr>
      <w:r w:rsidRPr="00043295">
        <w:t>Critically, the programme is designed for continuous improvement rather than static compliance. Quarterly policy reviews, annual risk assessments, semi-annual tabletop exercises, and post-incident lessons-learned processes ensure that the governance architecture remains responsive to the evolving threat landscape. This operationalises the NIST CSF 2.0 principle that cybersecurity is a continuous, adaptive process rather than a point-in-time state.</w:t>
      </w:r>
    </w:p>
    <w:p w14:paraId="3EE960DD" w14:textId="77777777" w:rsidR="00D44DCF" w:rsidRPr="00043295" w:rsidRDefault="00D44DCF" w:rsidP="00C9407E">
      <w:pPr>
        <w:jc w:val="both"/>
      </w:pPr>
      <w:r w:rsidRPr="00043295">
        <w:br w:type="page"/>
      </w:r>
    </w:p>
    <w:p w14:paraId="476E03A9" w14:textId="05747171" w:rsidR="00BD15EC" w:rsidRPr="00BD15EC" w:rsidRDefault="00BD15EC" w:rsidP="00BD15EC">
      <w:pPr>
        <w:jc w:val="both"/>
        <w:rPr>
          <w:b/>
          <w:bCs/>
        </w:rPr>
      </w:pPr>
      <w:r w:rsidRPr="00BD15EC">
        <w:rPr>
          <w:b/>
          <w:bCs/>
        </w:rPr>
        <w:lastRenderedPageBreak/>
        <w:t xml:space="preserve">References </w:t>
      </w:r>
    </w:p>
    <w:p w14:paraId="6C1C875C" w14:textId="577BF709" w:rsidR="00C93B27" w:rsidRDefault="00C93B27" w:rsidP="00C93B27">
      <w:pPr>
        <w:jc w:val="both"/>
      </w:pPr>
      <w:r>
        <w:t>[1] J. Angwin, J. Larson, S. Mattu, and L. Kirchner, "Machine Bias," ProPublica, 2016. [Online]. Available: https://www.propublica.org/article/machine-bias-risk-assessments-in-criminal-sentencing. [Accessed: Jun. 26, 2026].</w:t>
      </w:r>
    </w:p>
    <w:p w14:paraId="16C726E5" w14:textId="6E809FB6" w:rsidR="00C93B27" w:rsidRDefault="00C93B27" w:rsidP="00C93B27">
      <w:pPr>
        <w:jc w:val="both"/>
      </w:pPr>
      <w:r>
        <w:t>[2] S. Barocas, M. Hardt, and A. Narayanan, Fairness and Machine Learning. 2019. [Online]. Available: https://fairmlbook.org. [Accessed: Jun. 26, 2026].</w:t>
      </w:r>
    </w:p>
    <w:p w14:paraId="3AEA0886" w14:textId="7FEAD1D4" w:rsidR="00C93B27" w:rsidRDefault="00C93B27" w:rsidP="00C93B27">
      <w:pPr>
        <w:jc w:val="both"/>
      </w:pPr>
      <w:r>
        <w:t xml:space="preserve">[3] J. </w:t>
      </w:r>
      <w:proofErr w:type="spellStart"/>
      <w:r>
        <w:t>Buolamwini</w:t>
      </w:r>
      <w:proofErr w:type="spellEnd"/>
      <w:r>
        <w:t xml:space="preserve"> and T. Gebru, "Gender Shades: Intersectional Accuracy Disparities in Commercial Gender Classification," Proc. Mach. Learn. Res., vol. 81, pp. 1–15, 2018.</w:t>
      </w:r>
    </w:p>
    <w:p w14:paraId="5AFC7F06" w14:textId="0326BB44" w:rsidR="00C93B27" w:rsidRDefault="00C93B27" w:rsidP="00C93B27">
      <w:pPr>
        <w:jc w:val="both"/>
      </w:pPr>
      <w:r>
        <w:t>[4] Y. Cao and J. Yang, "Towards Making Systems Forget with Machine Unlearning," in Proc. IEEE Symp. Security and Privacy, 2015, pp. 463–480.</w:t>
      </w:r>
    </w:p>
    <w:p w14:paraId="13AED294" w14:textId="1C339D50" w:rsidR="00C93B27" w:rsidRDefault="00C93B27" w:rsidP="00C93B27">
      <w:pPr>
        <w:jc w:val="both"/>
      </w:pPr>
      <w:r>
        <w:t xml:space="preserve">[5] A. </w:t>
      </w:r>
      <w:proofErr w:type="spellStart"/>
      <w:r>
        <w:t>Chouldechova</w:t>
      </w:r>
      <w:proofErr w:type="spellEnd"/>
      <w:r>
        <w:t>, "Fair Prediction with Disparate Impact: A Study of Bias in Recidivism Prediction Instruments," Big Data, vol. 5, no. 2, pp. 153–163, 2017.</w:t>
      </w:r>
    </w:p>
    <w:p w14:paraId="599122E1" w14:textId="3C4247F4" w:rsidR="00C93B27" w:rsidRDefault="00C93B27" w:rsidP="00C93B27">
      <w:pPr>
        <w:jc w:val="both"/>
      </w:pPr>
      <w:r>
        <w:t>[6] European Parliament, Artificial Intelligence Act, Brussels, Belgium, 2024.</w:t>
      </w:r>
    </w:p>
    <w:p w14:paraId="403069EE" w14:textId="66EFE511" w:rsidR="00C93B27" w:rsidRDefault="00C93B27" w:rsidP="00C93B27">
      <w:pPr>
        <w:jc w:val="both"/>
      </w:pPr>
      <w:r>
        <w:t xml:space="preserve">[7] L. </w:t>
      </w:r>
      <w:proofErr w:type="spellStart"/>
      <w:r>
        <w:t>Floridi</w:t>
      </w:r>
      <w:proofErr w:type="spellEnd"/>
      <w:r>
        <w:t xml:space="preserve"> et al., "An Ethical Framework for a Good AI Society," Minds Mach., vol. 28, no. 4, pp. 689–707, 2021.</w:t>
      </w:r>
    </w:p>
    <w:p w14:paraId="2BFFA7D1" w14:textId="55CF3315" w:rsidR="00C93B27" w:rsidRDefault="00C93B27" w:rsidP="00C93B27">
      <w:pPr>
        <w:jc w:val="both"/>
      </w:pPr>
      <w:r>
        <w:t xml:space="preserve">[8] J. </w:t>
      </w:r>
      <w:proofErr w:type="spellStart"/>
      <w:r>
        <w:t>Fruhlinger</w:t>
      </w:r>
      <w:proofErr w:type="spellEnd"/>
      <w:r>
        <w:t>, "Equifax Data Breach FAQ: What Happened, Who Was Affected, What Was the Impact?" CSO Online, 2020. [Online]. Available: https://www.csoonline.com/article/3444488/the-equifax-breach.html. [Accessed: Jun. 26, 2026].</w:t>
      </w:r>
    </w:p>
    <w:p w14:paraId="67F3D908" w14:textId="08E7857F" w:rsidR="00C93B27" w:rsidRDefault="00C93B27" w:rsidP="00C93B27">
      <w:pPr>
        <w:jc w:val="both"/>
      </w:pPr>
      <w:r>
        <w:t>[9] Federal Trade Commission, "Equifax Data Breach Settlement," Washington, DC, USA, 2019. [Online]. Available: https://www.ftc.gov/enforcement/refunds/equifax-data-breach-settlement. [Accessed: Jun. 26, 2026].</w:t>
      </w:r>
    </w:p>
    <w:p w14:paraId="17816B54" w14:textId="34F91CF3" w:rsidR="00C93B27" w:rsidRDefault="00C93B27" w:rsidP="00C93B27">
      <w:pPr>
        <w:jc w:val="both"/>
      </w:pPr>
      <w:r>
        <w:t>[10] T. Gebru et al., "Datasheets for Datasets," Commun. ACM, vol. 64, no. 12, pp. 86–92, 2021.</w:t>
      </w:r>
    </w:p>
    <w:p w14:paraId="5AFF3E6B" w14:textId="77777777" w:rsidR="00C93B27" w:rsidRDefault="00C93B27" w:rsidP="00C93B27">
      <w:pPr>
        <w:jc w:val="both"/>
      </w:pPr>
      <w:r>
        <w:t>[11] Institute of Internal Auditors, The Three Lines Model. Lake Mary, FL, USA, 2020.</w:t>
      </w:r>
    </w:p>
    <w:p w14:paraId="0D0A84F6" w14:textId="77777777" w:rsidR="00C93B27" w:rsidRDefault="00C93B27" w:rsidP="00C93B27">
      <w:pPr>
        <w:jc w:val="both"/>
      </w:pPr>
    </w:p>
    <w:p w14:paraId="55CB128D" w14:textId="6DD3B6BB" w:rsidR="00C93B27" w:rsidRDefault="00C93B27" w:rsidP="00C93B27">
      <w:pPr>
        <w:jc w:val="both"/>
      </w:pPr>
      <w:r>
        <w:t>[12] Mandiant, M-Trends 2024 Special Report, 2024. [Online]. Available: https://www.mandiant.com/resources/m-trends. [Accessed: Jun. 26, 2026].</w:t>
      </w:r>
    </w:p>
    <w:p w14:paraId="3A922F65" w14:textId="2BA180B7" w:rsidR="00C93B27" w:rsidRDefault="00C93B27" w:rsidP="00C93B27">
      <w:pPr>
        <w:jc w:val="both"/>
      </w:pPr>
      <w:r>
        <w:t>[13] M. Mitchell et al., "Model Cards for Model Reporting," in Proc. ACM Conf. Fairness, Accountability, and Transparency (</w:t>
      </w:r>
      <w:proofErr w:type="spellStart"/>
      <w:r>
        <w:t>FAccT</w:t>
      </w:r>
      <w:proofErr w:type="spellEnd"/>
      <w:r>
        <w:t>), 2019, pp. 220–229.</w:t>
      </w:r>
    </w:p>
    <w:p w14:paraId="17081C41" w14:textId="63FAE7F5" w:rsidR="00C93B27" w:rsidRDefault="00C93B27" w:rsidP="00C93B27">
      <w:pPr>
        <w:jc w:val="both"/>
      </w:pPr>
      <w:r>
        <w:t>[14] National Institute of Standards and Technology, NIST SP 800-207: Zero Trust Architecture. Gaithersburg, MD, USA, 2020.</w:t>
      </w:r>
    </w:p>
    <w:p w14:paraId="3C0498AB" w14:textId="52D22C50" w:rsidR="00C93B27" w:rsidRDefault="00C93B27" w:rsidP="00C93B27">
      <w:pPr>
        <w:jc w:val="both"/>
      </w:pPr>
      <w:r>
        <w:lastRenderedPageBreak/>
        <w:t>[15] National Institute of Standards and Technology, NIST SP 800-40 Rev. 4: Guide to Enterprise Patch Management Planning. Gaithersburg, MD, USA, 2022.</w:t>
      </w:r>
    </w:p>
    <w:p w14:paraId="17FB12CE" w14:textId="01486EE0" w:rsidR="00C93B27" w:rsidRDefault="00C93B27" w:rsidP="00C93B27">
      <w:pPr>
        <w:jc w:val="both"/>
      </w:pPr>
      <w:r>
        <w:t xml:space="preserve">[16] National Institute of Standards and Technology, Artificial Intelligence Risk </w:t>
      </w:r>
      <w:proofErr w:type="spellStart"/>
      <w:r>
        <w:t>anagement</w:t>
      </w:r>
      <w:proofErr w:type="spellEnd"/>
      <w:r>
        <w:t xml:space="preserve"> Framework (AI RMF 1.0). Gaithersburg, MD, USA, 2023.</w:t>
      </w:r>
    </w:p>
    <w:p w14:paraId="0F68C1B9" w14:textId="0DDAC0D9" w:rsidR="00C93B27" w:rsidRDefault="00C93B27" w:rsidP="00C93B27">
      <w:pPr>
        <w:jc w:val="both"/>
      </w:pPr>
      <w:r>
        <w:t>[17] National Institute of Standards and Technology, Cybersecurity Framework (CSF) 2.0. Gaithersburg, MD, USA, 2024.</w:t>
      </w:r>
    </w:p>
    <w:p w14:paraId="66645E36" w14:textId="627DC426" w:rsidR="00C93B27" w:rsidRDefault="00C93B27" w:rsidP="00C93B27">
      <w:pPr>
        <w:jc w:val="both"/>
      </w:pPr>
      <w:r>
        <w:t>[18] Organisation for Economic Co-operation and Development, OECD Principles on Artificial Intelligence. Paris, France, 2019.</w:t>
      </w:r>
    </w:p>
    <w:p w14:paraId="3117CE1F" w14:textId="6E16245C" w:rsidR="00C93B27" w:rsidRDefault="00C93B27" w:rsidP="00C93B27">
      <w:pPr>
        <w:jc w:val="both"/>
      </w:pPr>
      <w:r>
        <w:t xml:space="preserve">[19] N. </w:t>
      </w:r>
      <w:proofErr w:type="spellStart"/>
      <w:r>
        <w:t>Papernot</w:t>
      </w:r>
      <w:proofErr w:type="spellEnd"/>
      <w:r>
        <w:t>, P. McDaniel, A. Sinha, and M. Wellman, "</w:t>
      </w:r>
      <w:proofErr w:type="spellStart"/>
      <w:r>
        <w:t>SoK</w:t>
      </w:r>
      <w:proofErr w:type="spellEnd"/>
      <w:r>
        <w:t>: Security and Privacy in Machine Learning," in Proc. IEEE Eur. Symp. Security and Privacy, 2018, pp. 399–414.</w:t>
      </w:r>
    </w:p>
    <w:p w14:paraId="5771B61F" w14:textId="1C24EC8C" w:rsidR="00C93B27" w:rsidRDefault="00C93B27" w:rsidP="00C93B27">
      <w:pPr>
        <w:jc w:val="both"/>
      </w:pPr>
      <w:r>
        <w:t>[20] C. Rudin, "Stop Explaining Black Box Machine Learning Models for High Stakes Decisions and Use Interpretable Models Instead," Nature Mach. Intell., vol. 1, no. 5, pp. 206–215, 2019.</w:t>
      </w:r>
    </w:p>
    <w:p w14:paraId="6E6D45CE" w14:textId="4F9374AD" w:rsidR="00C93B27" w:rsidRDefault="00C93B27" w:rsidP="00C93B27">
      <w:pPr>
        <w:jc w:val="both"/>
      </w:pPr>
      <w:r>
        <w:t xml:space="preserve">[21] R. Shokri, M. </w:t>
      </w:r>
      <w:proofErr w:type="spellStart"/>
      <w:r>
        <w:t>Stronati</w:t>
      </w:r>
      <w:proofErr w:type="spellEnd"/>
      <w:r>
        <w:t>, C. Song, and V. Shmatikov, "Membership Inference Attacks Against Machine Learning Models," in Proc. IEEE Symp. Security and Privacy, 2017, pp. 3–18.</w:t>
      </w:r>
    </w:p>
    <w:p w14:paraId="5630D443" w14:textId="53D85883" w:rsidR="00C93B27" w:rsidRDefault="00C93B27" w:rsidP="00C93B27">
      <w:pPr>
        <w:jc w:val="both"/>
      </w:pPr>
      <w:r>
        <w:t>[22] The White House, Executive Order 14028: Improving the Nation's Cybersecurity. Washington, DC, USA, 2021.</w:t>
      </w:r>
    </w:p>
    <w:p w14:paraId="03F9C6FC" w14:textId="2A4BE2A3" w:rsidR="00640E15" w:rsidRDefault="00C93B27" w:rsidP="00C93B27">
      <w:pPr>
        <w:jc w:val="both"/>
      </w:pPr>
      <w:r>
        <w:t>[23] World Economic Forum, The Future of Jobs Report 2023. Geneva, Switzerland, 2023.</w:t>
      </w:r>
    </w:p>
    <w:sectPr w:rsidR="00640E15" w:rsidSect="001136B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6BA"/>
    <w:rsid w:val="000E7FF9"/>
    <w:rsid w:val="001136BA"/>
    <w:rsid w:val="00166693"/>
    <w:rsid w:val="00195BE6"/>
    <w:rsid w:val="00496584"/>
    <w:rsid w:val="00523100"/>
    <w:rsid w:val="00584F2B"/>
    <w:rsid w:val="00640E15"/>
    <w:rsid w:val="00B06B80"/>
    <w:rsid w:val="00B879E9"/>
    <w:rsid w:val="00BD15EC"/>
    <w:rsid w:val="00C93B27"/>
    <w:rsid w:val="00C9407E"/>
    <w:rsid w:val="00D027BB"/>
    <w:rsid w:val="00D44DCF"/>
    <w:rsid w:val="00D958F3"/>
    <w:rsid w:val="00E22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1699E"/>
  <w15:chartTrackingRefBased/>
  <w15:docId w15:val="{C2BB467A-FCD6-47F2-9B79-37AD09C6B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36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36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36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136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36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36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36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36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36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6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36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36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136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36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36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36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36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36BA"/>
    <w:rPr>
      <w:rFonts w:eastAsiaTheme="majorEastAsia" w:cstheme="majorBidi"/>
      <w:color w:val="272727" w:themeColor="text1" w:themeTint="D8"/>
    </w:rPr>
  </w:style>
  <w:style w:type="paragraph" w:styleId="Title">
    <w:name w:val="Title"/>
    <w:basedOn w:val="Normal"/>
    <w:next w:val="Normal"/>
    <w:link w:val="TitleChar"/>
    <w:uiPriority w:val="10"/>
    <w:qFormat/>
    <w:rsid w:val="001136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6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36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36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36BA"/>
    <w:pPr>
      <w:spacing w:before="160"/>
      <w:jc w:val="center"/>
    </w:pPr>
    <w:rPr>
      <w:i/>
      <w:iCs/>
      <w:color w:val="404040" w:themeColor="text1" w:themeTint="BF"/>
    </w:rPr>
  </w:style>
  <w:style w:type="character" w:customStyle="1" w:styleId="QuoteChar">
    <w:name w:val="Quote Char"/>
    <w:basedOn w:val="DefaultParagraphFont"/>
    <w:link w:val="Quote"/>
    <w:uiPriority w:val="29"/>
    <w:rsid w:val="001136BA"/>
    <w:rPr>
      <w:i/>
      <w:iCs/>
      <w:color w:val="404040" w:themeColor="text1" w:themeTint="BF"/>
    </w:rPr>
  </w:style>
  <w:style w:type="paragraph" w:styleId="ListParagraph">
    <w:name w:val="List Paragraph"/>
    <w:basedOn w:val="Normal"/>
    <w:uiPriority w:val="34"/>
    <w:qFormat/>
    <w:rsid w:val="001136BA"/>
    <w:pPr>
      <w:ind w:left="720"/>
      <w:contextualSpacing/>
    </w:pPr>
  </w:style>
  <w:style w:type="character" w:styleId="IntenseEmphasis">
    <w:name w:val="Intense Emphasis"/>
    <w:basedOn w:val="DefaultParagraphFont"/>
    <w:uiPriority w:val="21"/>
    <w:qFormat/>
    <w:rsid w:val="001136BA"/>
    <w:rPr>
      <w:i/>
      <w:iCs/>
      <w:color w:val="0F4761" w:themeColor="accent1" w:themeShade="BF"/>
    </w:rPr>
  </w:style>
  <w:style w:type="paragraph" w:styleId="IntenseQuote">
    <w:name w:val="Intense Quote"/>
    <w:basedOn w:val="Normal"/>
    <w:next w:val="Normal"/>
    <w:link w:val="IntenseQuoteChar"/>
    <w:uiPriority w:val="30"/>
    <w:qFormat/>
    <w:rsid w:val="001136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36BA"/>
    <w:rPr>
      <w:i/>
      <w:iCs/>
      <w:color w:val="0F4761" w:themeColor="accent1" w:themeShade="BF"/>
    </w:rPr>
  </w:style>
  <w:style w:type="character" w:styleId="IntenseReference">
    <w:name w:val="Intense Reference"/>
    <w:basedOn w:val="DefaultParagraphFont"/>
    <w:uiPriority w:val="32"/>
    <w:qFormat/>
    <w:rsid w:val="001136BA"/>
    <w:rPr>
      <w:b/>
      <w:bCs/>
      <w:smallCaps/>
      <w:color w:val="0F4761" w:themeColor="accent1" w:themeShade="BF"/>
      <w:spacing w:val="5"/>
    </w:rPr>
  </w:style>
  <w:style w:type="paragraph" w:styleId="NoSpacing">
    <w:name w:val="No Spacing"/>
    <w:uiPriority w:val="1"/>
    <w:qFormat/>
    <w:rsid w:val="001136BA"/>
    <w:pPr>
      <w:spacing w:after="0" w:line="240" w:lineRule="auto"/>
    </w:pPr>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C9407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9407E"/>
    <w:pPr>
      <w:spacing w:after="100"/>
    </w:pPr>
  </w:style>
  <w:style w:type="paragraph" w:styleId="TOC2">
    <w:name w:val="toc 2"/>
    <w:basedOn w:val="Normal"/>
    <w:next w:val="Normal"/>
    <w:autoRedefine/>
    <w:uiPriority w:val="39"/>
    <w:unhideWhenUsed/>
    <w:rsid w:val="00C9407E"/>
    <w:pPr>
      <w:spacing w:after="100"/>
      <w:ind w:left="240"/>
    </w:pPr>
  </w:style>
  <w:style w:type="paragraph" w:styleId="TOC3">
    <w:name w:val="toc 3"/>
    <w:basedOn w:val="Normal"/>
    <w:next w:val="Normal"/>
    <w:autoRedefine/>
    <w:uiPriority w:val="39"/>
    <w:unhideWhenUsed/>
    <w:rsid w:val="00C9407E"/>
    <w:pPr>
      <w:spacing w:after="100"/>
      <w:ind w:left="480"/>
    </w:pPr>
  </w:style>
  <w:style w:type="character" w:styleId="Hyperlink">
    <w:name w:val="Hyperlink"/>
    <w:basedOn w:val="DefaultParagraphFont"/>
    <w:uiPriority w:val="99"/>
    <w:unhideWhenUsed/>
    <w:rsid w:val="00C9407E"/>
    <w:rPr>
      <w:color w:val="467886" w:themeColor="hyperlink"/>
      <w:u w:val="single"/>
    </w:rPr>
  </w:style>
  <w:style w:type="character" w:styleId="UnresolvedMention">
    <w:name w:val="Unresolved Mention"/>
    <w:basedOn w:val="DefaultParagraphFont"/>
    <w:uiPriority w:val="99"/>
    <w:semiHidden/>
    <w:unhideWhenUsed/>
    <w:rsid w:val="00BD15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7AFCFF721A242E28910487F2ECB6480"/>
        <w:category>
          <w:name w:val="General"/>
          <w:gallery w:val="placeholder"/>
        </w:category>
        <w:types>
          <w:type w:val="bbPlcHdr"/>
        </w:types>
        <w:behaviors>
          <w:behavior w:val="content"/>
        </w:behaviors>
        <w:guid w:val="{98D3C021-53A6-4F66-A981-E4366024A707}"/>
      </w:docPartPr>
      <w:docPartBody>
        <w:p w:rsidR="00B76A2A" w:rsidRDefault="00DF1132" w:rsidP="00DF1132">
          <w:pPr>
            <w:pStyle w:val="87AFCFF721A242E28910487F2ECB6480"/>
          </w:pPr>
          <w:r>
            <w:rPr>
              <w:rFonts w:asciiTheme="majorHAnsi" w:hAnsiTheme="majorHAnsi"/>
              <w:color w:val="FFFFFF" w:themeColor="background1"/>
              <w:sz w:val="96"/>
              <w:szCs w:val="96"/>
            </w:rPr>
            <w:t>[Document title]</w:t>
          </w:r>
        </w:p>
      </w:docPartBody>
    </w:docPart>
    <w:docPart>
      <w:docPartPr>
        <w:name w:val="C6EB0E6152FF428699DFAC22607F5F8A"/>
        <w:category>
          <w:name w:val="General"/>
          <w:gallery w:val="placeholder"/>
        </w:category>
        <w:types>
          <w:type w:val="bbPlcHdr"/>
        </w:types>
        <w:behaviors>
          <w:behavior w:val="content"/>
        </w:behaviors>
        <w:guid w:val="{3A66FD47-2DC7-43AB-B3E5-0678BE6860C2}"/>
      </w:docPartPr>
      <w:docPartBody>
        <w:p w:rsidR="00B76A2A" w:rsidRDefault="00DF1132" w:rsidP="00DF1132">
          <w:pPr>
            <w:pStyle w:val="C6EB0E6152FF428699DFAC22607F5F8A"/>
          </w:pPr>
          <w:r>
            <w:rPr>
              <w:color w:val="FFFFFF" w:themeColor="background1"/>
              <w:sz w:val="32"/>
              <w:szCs w:val="32"/>
            </w:rPr>
            <w:t>[Document subtitle]</w:t>
          </w:r>
        </w:p>
      </w:docPartBody>
    </w:docPart>
    <w:docPart>
      <w:docPartPr>
        <w:name w:val="0558628E5E7B4A3D8769AB3216C562A9"/>
        <w:category>
          <w:name w:val="General"/>
          <w:gallery w:val="placeholder"/>
        </w:category>
        <w:types>
          <w:type w:val="bbPlcHdr"/>
        </w:types>
        <w:behaviors>
          <w:behavior w:val="content"/>
        </w:behaviors>
        <w:guid w:val="{7219A39C-74BE-4C01-A744-191B26D13D2A}"/>
      </w:docPartPr>
      <w:docPartBody>
        <w:p w:rsidR="00B76A2A" w:rsidRDefault="00DF1132" w:rsidP="00DF1132">
          <w:pPr>
            <w:pStyle w:val="0558628E5E7B4A3D8769AB3216C562A9"/>
          </w:pPr>
          <w:r>
            <w:rPr>
              <w:color w:val="FFFFFF" w:themeColor="background1"/>
            </w:rPr>
            <w:t>[Author name]</w:t>
          </w:r>
        </w:p>
      </w:docPartBody>
    </w:docPart>
    <w:docPart>
      <w:docPartPr>
        <w:name w:val="E7E1656F731F48F08F42D89BE0768C89"/>
        <w:category>
          <w:name w:val="General"/>
          <w:gallery w:val="placeholder"/>
        </w:category>
        <w:types>
          <w:type w:val="bbPlcHdr"/>
        </w:types>
        <w:behaviors>
          <w:behavior w:val="content"/>
        </w:behaviors>
        <w:guid w:val="{3740EEF8-E6D7-43D2-953D-D5DEECA99E9D}"/>
      </w:docPartPr>
      <w:docPartBody>
        <w:p w:rsidR="00B76A2A" w:rsidRDefault="00DF1132" w:rsidP="00DF1132">
          <w:pPr>
            <w:pStyle w:val="E7E1656F731F48F08F42D89BE0768C89"/>
          </w:pPr>
          <w:r>
            <w:rPr>
              <w:color w:val="FFFFFF" w:themeColor="background1"/>
            </w:rPr>
            <w:t>[Date]</w:t>
          </w:r>
        </w:p>
      </w:docPartBody>
    </w:docPart>
    <w:docPart>
      <w:docPartPr>
        <w:name w:val="46D245B4C1FF40468FFF1C7DD8B23C75"/>
        <w:category>
          <w:name w:val="General"/>
          <w:gallery w:val="placeholder"/>
        </w:category>
        <w:types>
          <w:type w:val="bbPlcHdr"/>
        </w:types>
        <w:behaviors>
          <w:behavior w:val="content"/>
        </w:behaviors>
        <w:guid w:val="{4BA35609-AFD4-4380-AD7A-2670E7D26D21}"/>
      </w:docPartPr>
      <w:docPartBody>
        <w:p w:rsidR="00B76A2A" w:rsidRDefault="00DF1132" w:rsidP="00DF1132">
          <w:pPr>
            <w:pStyle w:val="46D245B4C1FF40468FFF1C7DD8B23C75"/>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132"/>
    <w:rsid w:val="000E7FF9"/>
    <w:rsid w:val="00166693"/>
    <w:rsid w:val="003478B8"/>
    <w:rsid w:val="00B76A2A"/>
    <w:rsid w:val="00D027BB"/>
    <w:rsid w:val="00DF1132"/>
    <w:rsid w:val="00E91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AFCFF721A242E28910487F2ECB6480">
    <w:name w:val="87AFCFF721A242E28910487F2ECB6480"/>
    <w:rsid w:val="00DF1132"/>
  </w:style>
  <w:style w:type="paragraph" w:customStyle="1" w:styleId="C6EB0E6152FF428699DFAC22607F5F8A">
    <w:name w:val="C6EB0E6152FF428699DFAC22607F5F8A"/>
    <w:rsid w:val="00DF1132"/>
  </w:style>
  <w:style w:type="paragraph" w:customStyle="1" w:styleId="0558628E5E7B4A3D8769AB3216C562A9">
    <w:name w:val="0558628E5E7B4A3D8769AB3216C562A9"/>
    <w:rsid w:val="00DF1132"/>
  </w:style>
  <w:style w:type="paragraph" w:customStyle="1" w:styleId="E7E1656F731F48F08F42D89BE0768C89">
    <w:name w:val="E7E1656F731F48F08F42D89BE0768C89"/>
    <w:rsid w:val="00DF1132"/>
  </w:style>
  <w:style w:type="paragraph" w:customStyle="1" w:styleId="46D245B4C1FF40468FFF1C7DD8B23C75">
    <w:name w:val="46D245B4C1FF40468FFF1C7DD8B23C75"/>
    <w:rsid w:val="00DF11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963F00DD86A5341A2D5394CEE49D5ED" ma:contentTypeVersion="8" ma:contentTypeDescription="Create a new document." ma:contentTypeScope="" ma:versionID="e1ccb04203568a609d1d55fcb6cad246">
  <xsd:schema xmlns:xsd="http://www.w3.org/2001/XMLSchema" xmlns:xs="http://www.w3.org/2001/XMLSchema" xmlns:p="http://schemas.microsoft.com/office/2006/metadata/properties" xmlns:ns3="cdcf1c4a-302f-47bf-be53-bb9498227cbf" targetNamespace="http://schemas.microsoft.com/office/2006/metadata/properties" ma:root="true" ma:fieldsID="ab7047016159682aabaf85e845dfee27" ns3:_="">
    <xsd:import namespace="cdcf1c4a-302f-47bf-be53-bb9498227cb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cf1c4a-302f-47bf-be53-bb9498227cb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A7F97B0-58F0-4AB7-A0C9-3CA9CFFF2B0F}">
  <ds:schemaRefs>
    <ds:schemaRef ds:uri="http://schemas.openxmlformats.org/officeDocument/2006/bibliography"/>
  </ds:schemaRefs>
</ds:datastoreItem>
</file>

<file path=customXml/itemProps2.xml><?xml version="1.0" encoding="utf-8"?>
<ds:datastoreItem xmlns:ds="http://schemas.openxmlformats.org/officeDocument/2006/customXml" ds:itemID="{790B5F02-AFE3-4522-901D-AED8B3A161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cf1c4a-302f-47bf-be53-bb9498227c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16401DE-B571-4DDA-A24A-1CD958B20354}">
  <ds:schemaRefs>
    <ds:schemaRef ds:uri="http://schemas.microsoft.com/sharepoint/v3/contenttype/forms"/>
  </ds:schemaRefs>
</ds:datastoreItem>
</file>

<file path=customXml/itemProps4.xml><?xml version="1.0" encoding="utf-8"?>
<ds:datastoreItem xmlns:ds="http://schemas.openxmlformats.org/officeDocument/2006/customXml" ds:itemID="{2E565A86-B3F2-405F-91B3-7926D97D01F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19</Pages>
  <Words>5227</Words>
  <Characters>33669</Characters>
  <Application>Microsoft Office Word</Application>
  <DocSecurity>0</DocSecurity>
  <Lines>886</Lines>
  <Paragraphs>350</Paragraphs>
  <ScaleCrop>false</ScaleCrop>
  <HeadingPairs>
    <vt:vector size="2" baseType="variant">
      <vt:variant>
        <vt:lpstr>Title</vt:lpstr>
      </vt:variant>
      <vt:variant>
        <vt:i4>1</vt:i4>
      </vt:variant>
    </vt:vector>
  </HeadingPairs>
  <TitlesOfParts>
    <vt:vector size="1" baseType="lpstr">
      <vt:lpstr>DATA SECURITY AND COMPLIANCE</vt:lpstr>
    </vt:vector>
  </TitlesOfParts>
  <Company/>
  <LinksUpToDate>false</LinksUpToDate>
  <CharactersWithSpaces>38546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dc:title>
  <dc:subject>ACCA5034</dc:subject>
  <dc:creator>Darina Tsoneva</dc:creator>
  <cp:keywords/>
  <dc:description/>
  <cp:lastModifiedBy>Nikola Velev</cp:lastModifiedBy>
  <cp:revision>4</cp:revision>
  <dcterms:created xsi:type="dcterms:W3CDTF">2026-06-15T13:03:00Z</dcterms:created>
  <dcterms:modified xsi:type="dcterms:W3CDTF">2026-07-20T12:53:00Z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0x0101008963F00DD86A5341A2D5394CEE49D5ED</vt:lpwstr>
  </property>
</Properties>
</file>