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F2D65" w14:textId="77777777" w:rsidR="0079089C" w:rsidRPr="0079089C" w:rsidRDefault="0079089C" w:rsidP="0079089C">
      <w:pPr>
        <w:spacing w:after="165" w:line="360" w:lineRule="auto"/>
        <w:jc w:val="center"/>
        <w:rPr>
          <w:rFonts w:asciiTheme="majorHAnsi" w:eastAsia="Tahoma" w:hAnsiTheme="majorHAnsi" w:cstheme="majorHAnsi"/>
          <w:b/>
          <w:sz w:val="24"/>
          <w:szCs w:val="24"/>
        </w:rPr>
      </w:pPr>
      <w:r w:rsidRPr="0079089C">
        <w:rPr>
          <w:rFonts w:asciiTheme="majorHAnsi" w:hAnsiTheme="majorHAnsi" w:cstheme="majorHAnsi"/>
          <w:b/>
          <w:noProof/>
          <w:sz w:val="24"/>
          <w:szCs w:val="24"/>
        </w:rPr>
        <w:drawing>
          <wp:inline distT="0" distB="0" distL="0" distR="0" wp14:anchorId="1D27A5A3" wp14:editId="150A1FC8">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517D54EE" w14:textId="77777777" w:rsidR="0079089C" w:rsidRPr="0079089C" w:rsidRDefault="0079089C" w:rsidP="0079089C">
      <w:pPr>
        <w:spacing w:after="165" w:line="360" w:lineRule="auto"/>
        <w:jc w:val="center"/>
        <w:rPr>
          <w:rFonts w:asciiTheme="majorHAnsi" w:eastAsia="Tahoma" w:hAnsiTheme="majorHAnsi" w:cstheme="majorHAnsi"/>
          <w:b/>
          <w:sz w:val="24"/>
          <w:szCs w:val="24"/>
        </w:rPr>
      </w:pPr>
      <w:r w:rsidRPr="0079089C">
        <w:rPr>
          <w:rFonts w:asciiTheme="majorHAnsi" w:eastAsia="Tahoma" w:hAnsiTheme="majorHAnsi" w:cstheme="majorHAnsi"/>
          <w:b/>
          <w:sz w:val="24"/>
          <w:szCs w:val="24"/>
        </w:rPr>
        <w:t>Student Name – Michelle Bradshaw</w:t>
      </w:r>
    </w:p>
    <w:p w14:paraId="5030151D" w14:textId="77777777" w:rsidR="0079089C" w:rsidRPr="0079089C" w:rsidRDefault="0079089C" w:rsidP="0079089C">
      <w:pPr>
        <w:spacing w:after="165" w:line="360" w:lineRule="auto"/>
        <w:jc w:val="center"/>
        <w:rPr>
          <w:rFonts w:asciiTheme="majorHAnsi" w:eastAsia="Tahoma" w:hAnsiTheme="majorHAnsi" w:cstheme="majorHAnsi"/>
          <w:b/>
          <w:sz w:val="24"/>
          <w:szCs w:val="24"/>
        </w:rPr>
      </w:pPr>
      <w:r w:rsidRPr="0079089C">
        <w:rPr>
          <w:rFonts w:asciiTheme="majorHAnsi" w:eastAsia="Tahoma" w:hAnsiTheme="majorHAnsi" w:cstheme="majorHAnsi"/>
          <w:b/>
          <w:sz w:val="24"/>
          <w:szCs w:val="24"/>
        </w:rPr>
        <w:t>Student Number – 2432614</w:t>
      </w:r>
    </w:p>
    <w:p w14:paraId="5490F837" w14:textId="648729A0" w:rsidR="00FE687B" w:rsidRPr="0079089C" w:rsidRDefault="0079089C" w:rsidP="0079089C">
      <w:pPr>
        <w:spacing w:line="360" w:lineRule="auto"/>
        <w:jc w:val="center"/>
        <w:rPr>
          <w:rFonts w:asciiTheme="majorHAnsi" w:hAnsiTheme="majorHAnsi" w:cstheme="majorHAnsi"/>
          <w:b/>
          <w:sz w:val="24"/>
          <w:szCs w:val="24"/>
        </w:rPr>
      </w:pPr>
      <w:r w:rsidRPr="0079089C">
        <w:rPr>
          <w:rFonts w:asciiTheme="majorHAnsi" w:hAnsiTheme="majorHAnsi" w:cstheme="majorHAnsi"/>
          <w:b/>
          <w:sz w:val="24"/>
          <w:szCs w:val="24"/>
        </w:rPr>
        <w:t xml:space="preserve">Module Number - </w:t>
      </w:r>
      <w:r w:rsidR="00000000" w:rsidRPr="0079089C">
        <w:rPr>
          <w:rFonts w:asciiTheme="majorHAnsi" w:hAnsiTheme="majorHAnsi" w:cstheme="majorHAnsi"/>
          <w:b/>
          <w:sz w:val="24"/>
          <w:szCs w:val="24"/>
        </w:rPr>
        <w:t>BMSK5010</w:t>
      </w:r>
    </w:p>
    <w:p w14:paraId="32CFC69D" w14:textId="6804916F" w:rsidR="009755D5" w:rsidRPr="0079089C" w:rsidRDefault="00000000" w:rsidP="0079089C">
      <w:pPr>
        <w:spacing w:line="360" w:lineRule="auto"/>
        <w:jc w:val="center"/>
        <w:rPr>
          <w:rFonts w:asciiTheme="majorHAnsi" w:hAnsiTheme="majorHAnsi" w:cstheme="majorHAnsi"/>
          <w:b/>
          <w:sz w:val="24"/>
          <w:szCs w:val="24"/>
        </w:rPr>
      </w:pPr>
      <w:r w:rsidRPr="0079089C">
        <w:rPr>
          <w:rFonts w:asciiTheme="majorHAnsi" w:hAnsiTheme="majorHAnsi" w:cstheme="majorHAnsi"/>
          <w:b/>
          <w:sz w:val="24"/>
          <w:szCs w:val="24"/>
        </w:rPr>
        <w:t xml:space="preserve">Developing the Learning </w:t>
      </w:r>
      <w:proofErr w:type="spellStart"/>
      <w:r w:rsidRPr="0079089C">
        <w:rPr>
          <w:rFonts w:asciiTheme="majorHAnsi" w:hAnsiTheme="majorHAnsi" w:cstheme="majorHAnsi"/>
          <w:b/>
          <w:sz w:val="24"/>
          <w:szCs w:val="24"/>
        </w:rPr>
        <w:t>Organisation</w:t>
      </w:r>
      <w:proofErr w:type="spellEnd"/>
    </w:p>
    <w:p w14:paraId="37CA53FB" w14:textId="10638FF5" w:rsidR="004E1D3B" w:rsidRPr="0079089C" w:rsidRDefault="009755D5" w:rsidP="0079089C">
      <w:pPr>
        <w:spacing w:line="360" w:lineRule="auto"/>
        <w:jc w:val="center"/>
        <w:rPr>
          <w:rFonts w:asciiTheme="majorHAnsi" w:hAnsiTheme="majorHAnsi" w:cstheme="majorHAnsi"/>
          <w:b/>
          <w:sz w:val="24"/>
          <w:szCs w:val="24"/>
        </w:rPr>
      </w:pPr>
      <w:r w:rsidRPr="0079089C">
        <w:rPr>
          <w:rFonts w:asciiTheme="majorHAnsi" w:hAnsiTheme="majorHAnsi" w:cstheme="majorHAnsi"/>
          <w:b/>
          <w:sz w:val="24"/>
          <w:szCs w:val="24"/>
        </w:rPr>
        <w:br w:type="page"/>
      </w:r>
    </w:p>
    <w:sdt>
      <w:sdtPr>
        <w:rPr>
          <w:rFonts w:eastAsia="Calibri" w:cstheme="majorHAnsi"/>
          <w:b/>
          <w:color w:val="auto"/>
          <w:sz w:val="24"/>
          <w:szCs w:val="24"/>
          <w:lang w:eastAsia="en-GB"/>
        </w:rPr>
        <w:id w:val="-1453018418"/>
        <w:docPartObj>
          <w:docPartGallery w:val="Table of Contents"/>
          <w:docPartUnique/>
        </w:docPartObj>
      </w:sdtPr>
      <w:sdtEndPr>
        <w:rPr>
          <w:noProof/>
        </w:rPr>
      </w:sdtEndPr>
      <w:sdtContent>
        <w:p w14:paraId="7BE4F14A" w14:textId="7B40BAEB" w:rsidR="009755D5" w:rsidRPr="0079089C" w:rsidRDefault="009755D5" w:rsidP="0079089C">
          <w:pPr>
            <w:pStyle w:val="TOCHeading"/>
            <w:spacing w:line="360" w:lineRule="auto"/>
            <w:jc w:val="center"/>
            <w:rPr>
              <w:rFonts w:cstheme="majorHAnsi"/>
              <w:b/>
              <w:color w:val="auto"/>
              <w:sz w:val="24"/>
              <w:szCs w:val="24"/>
            </w:rPr>
          </w:pPr>
          <w:r w:rsidRPr="0079089C">
            <w:rPr>
              <w:rFonts w:cstheme="majorHAnsi"/>
              <w:b/>
              <w:color w:val="auto"/>
              <w:sz w:val="24"/>
              <w:szCs w:val="24"/>
            </w:rPr>
            <w:t>Contents</w:t>
          </w:r>
        </w:p>
        <w:p w14:paraId="1B762BE0" w14:textId="342BD2FB" w:rsidR="0079089C" w:rsidRDefault="009755D5">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r w:rsidRPr="0079089C">
            <w:rPr>
              <w:rFonts w:asciiTheme="majorHAnsi" w:hAnsiTheme="majorHAnsi" w:cstheme="majorHAnsi"/>
              <w:b/>
              <w:sz w:val="24"/>
              <w:szCs w:val="24"/>
            </w:rPr>
            <w:fldChar w:fldCharType="begin"/>
          </w:r>
          <w:r w:rsidRPr="0079089C">
            <w:rPr>
              <w:rFonts w:asciiTheme="majorHAnsi" w:hAnsiTheme="majorHAnsi" w:cstheme="majorHAnsi"/>
              <w:b/>
              <w:sz w:val="24"/>
              <w:szCs w:val="24"/>
            </w:rPr>
            <w:instrText xml:space="preserve"> TOC \o "1-3" \h \z \u </w:instrText>
          </w:r>
          <w:r w:rsidRPr="0079089C">
            <w:rPr>
              <w:rFonts w:asciiTheme="majorHAnsi" w:hAnsiTheme="majorHAnsi" w:cstheme="majorHAnsi"/>
              <w:b/>
              <w:sz w:val="24"/>
              <w:szCs w:val="24"/>
            </w:rPr>
            <w:fldChar w:fldCharType="separate"/>
          </w:r>
          <w:hyperlink w:anchor="_Toc239145736" w:history="1">
            <w:r w:rsidR="0079089C" w:rsidRPr="00682CC0">
              <w:rPr>
                <w:rStyle w:val="Hyperlink"/>
                <w:rFonts w:asciiTheme="majorHAnsi" w:hAnsiTheme="majorHAnsi" w:cstheme="majorHAnsi"/>
                <w:noProof/>
              </w:rPr>
              <w:t>Executive summary</w:t>
            </w:r>
            <w:r w:rsidR="0079089C">
              <w:rPr>
                <w:noProof/>
                <w:webHidden/>
              </w:rPr>
              <w:tab/>
            </w:r>
            <w:r w:rsidR="0079089C">
              <w:rPr>
                <w:noProof/>
                <w:webHidden/>
              </w:rPr>
              <w:fldChar w:fldCharType="begin"/>
            </w:r>
            <w:r w:rsidR="0079089C">
              <w:rPr>
                <w:noProof/>
                <w:webHidden/>
              </w:rPr>
              <w:instrText xml:space="preserve"> PAGEREF _Toc239145736 \h </w:instrText>
            </w:r>
            <w:r w:rsidR="0079089C">
              <w:rPr>
                <w:noProof/>
                <w:webHidden/>
              </w:rPr>
            </w:r>
            <w:r w:rsidR="0079089C">
              <w:rPr>
                <w:noProof/>
                <w:webHidden/>
              </w:rPr>
              <w:fldChar w:fldCharType="separate"/>
            </w:r>
            <w:r w:rsidR="0079089C">
              <w:rPr>
                <w:noProof/>
                <w:webHidden/>
              </w:rPr>
              <w:t>3</w:t>
            </w:r>
            <w:r w:rsidR="0079089C">
              <w:rPr>
                <w:noProof/>
                <w:webHidden/>
              </w:rPr>
              <w:fldChar w:fldCharType="end"/>
            </w:r>
          </w:hyperlink>
        </w:p>
        <w:p w14:paraId="1F7DF4A3" w14:textId="774E228F" w:rsidR="0079089C" w:rsidRDefault="0079089C">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37" w:history="1">
            <w:r w:rsidRPr="00682CC0">
              <w:rPr>
                <w:rStyle w:val="Hyperlink"/>
                <w:rFonts w:asciiTheme="majorHAnsi" w:hAnsiTheme="majorHAnsi" w:cstheme="majorHAnsi"/>
                <w:noProof/>
              </w:rPr>
              <w:t>1. Introduction</w:t>
            </w:r>
            <w:r>
              <w:rPr>
                <w:noProof/>
                <w:webHidden/>
              </w:rPr>
              <w:tab/>
            </w:r>
            <w:r>
              <w:rPr>
                <w:noProof/>
                <w:webHidden/>
              </w:rPr>
              <w:fldChar w:fldCharType="begin"/>
            </w:r>
            <w:r>
              <w:rPr>
                <w:noProof/>
                <w:webHidden/>
              </w:rPr>
              <w:instrText xml:space="preserve"> PAGEREF _Toc239145737 \h </w:instrText>
            </w:r>
            <w:r>
              <w:rPr>
                <w:noProof/>
                <w:webHidden/>
              </w:rPr>
            </w:r>
            <w:r>
              <w:rPr>
                <w:noProof/>
                <w:webHidden/>
              </w:rPr>
              <w:fldChar w:fldCharType="separate"/>
            </w:r>
            <w:r>
              <w:rPr>
                <w:noProof/>
                <w:webHidden/>
              </w:rPr>
              <w:t>3</w:t>
            </w:r>
            <w:r>
              <w:rPr>
                <w:noProof/>
                <w:webHidden/>
              </w:rPr>
              <w:fldChar w:fldCharType="end"/>
            </w:r>
          </w:hyperlink>
        </w:p>
        <w:p w14:paraId="3E1ED6E6" w14:textId="48C37B4C" w:rsidR="0079089C" w:rsidRDefault="0079089C">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38" w:history="1">
            <w:r w:rsidRPr="00682CC0">
              <w:rPr>
                <w:rStyle w:val="Hyperlink"/>
                <w:rFonts w:asciiTheme="majorHAnsi" w:hAnsiTheme="majorHAnsi" w:cstheme="majorHAnsi"/>
                <w:noProof/>
              </w:rPr>
              <w:t>2. Workplace relationships and collaboration</w:t>
            </w:r>
            <w:r>
              <w:rPr>
                <w:noProof/>
                <w:webHidden/>
              </w:rPr>
              <w:tab/>
            </w:r>
            <w:r>
              <w:rPr>
                <w:noProof/>
                <w:webHidden/>
              </w:rPr>
              <w:fldChar w:fldCharType="begin"/>
            </w:r>
            <w:r>
              <w:rPr>
                <w:noProof/>
                <w:webHidden/>
              </w:rPr>
              <w:instrText xml:space="preserve"> PAGEREF _Toc239145738 \h </w:instrText>
            </w:r>
            <w:r>
              <w:rPr>
                <w:noProof/>
                <w:webHidden/>
              </w:rPr>
            </w:r>
            <w:r>
              <w:rPr>
                <w:noProof/>
                <w:webHidden/>
              </w:rPr>
              <w:fldChar w:fldCharType="separate"/>
            </w:r>
            <w:r>
              <w:rPr>
                <w:noProof/>
                <w:webHidden/>
              </w:rPr>
              <w:t>4</w:t>
            </w:r>
            <w:r>
              <w:rPr>
                <w:noProof/>
                <w:webHidden/>
              </w:rPr>
              <w:fldChar w:fldCharType="end"/>
            </w:r>
          </w:hyperlink>
        </w:p>
        <w:p w14:paraId="40270C8C" w14:textId="4766C55E" w:rsidR="0079089C" w:rsidRDefault="0079089C">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39" w:history="1">
            <w:r w:rsidRPr="00682CC0">
              <w:rPr>
                <w:rStyle w:val="Hyperlink"/>
                <w:rFonts w:asciiTheme="majorHAnsi" w:hAnsiTheme="majorHAnsi" w:cstheme="majorHAnsi"/>
                <w:noProof/>
              </w:rPr>
              <w:t>3. Benefits of developing individuals (Learning Outcome 1)</w:t>
            </w:r>
            <w:r>
              <w:rPr>
                <w:noProof/>
                <w:webHidden/>
              </w:rPr>
              <w:tab/>
            </w:r>
            <w:r>
              <w:rPr>
                <w:noProof/>
                <w:webHidden/>
              </w:rPr>
              <w:fldChar w:fldCharType="begin"/>
            </w:r>
            <w:r>
              <w:rPr>
                <w:noProof/>
                <w:webHidden/>
              </w:rPr>
              <w:instrText xml:space="preserve"> PAGEREF _Toc239145739 \h </w:instrText>
            </w:r>
            <w:r>
              <w:rPr>
                <w:noProof/>
                <w:webHidden/>
              </w:rPr>
            </w:r>
            <w:r>
              <w:rPr>
                <w:noProof/>
                <w:webHidden/>
              </w:rPr>
              <w:fldChar w:fldCharType="separate"/>
            </w:r>
            <w:r>
              <w:rPr>
                <w:noProof/>
                <w:webHidden/>
              </w:rPr>
              <w:t>5</w:t>
            </w:r>
            <w:r>
              <w:rPr>
                <w:noProof/>
                <w:webHidden/>
              </w:rPr>
              <w:fldChar w:fldCharType="end"/>
            </w:r>
          </w:hyperlink>
        </w:p>
        <w:p w14:paraId="35192C47" w14:textId="5DB11A6B" w:rsidR="0079089C" w:rsidRDefault="0079089C">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40" w:history="1">
            <w:r w:rsidRPr="00682CC0">
              <w:rPr>
                <w:rStyle w:val="Hyperlink"/>
                <w:rFonts w:asciiTheme="majorHAnsi" w:hAnsiTheme="majorHAnsi" w:cstheme="majorHAnsi"/>
                <w:noProof/>
              </w:rPr>
              <w:t>3.1 Benefits to the organisation</w:t>
            </w:r>
            <w:r>
              <w:rPr>
                <w:noProof/>
                <w:webHidden/>
              </w:rPr>
              <w:tab/>
            </w:r>
            <w:r>
              <w:rPr>
                <w:noProof/>
                <w:webHidden/>
              </w:rPr>
              <w:fldChar w:fldCharType="begin"/>
            </w:r>
            <w:r>
              <w:rPr>
                <w:noProof/>
                <w:webHidden/>
              </w:rPr>
              <w:instrText xml:space="preserve"> PAGEREF _Toc239145740 \h </w:instrText>
            </w:r>
            <w:r>
              <w:rPr>
                <w:noProof/>
                <w:webHidden/>
              </w:rPr>
            </w:r>
            <w:r>
              <w:rPr>
                <w:noProof/>
                <w:webHidden/>
              </w:rPr>
              <w:fldChar w:fldCharType="separate"/>
            </w:r>
            <w:r>
              <w:rPr>
                <w:noProof/>
                <w:webHidden/>
              </w:rPr>
              <w:t>5</w:t>
            </w:r>
            <w:r>
              <w:rPr>
                <w:noProof/>
                <w:webHidden/>
              </w:rPr>
              <w:fldChar w:fldCharType="end"/>
            </w:r>
          </w:hyperlink>
        </w:p>
        <w:p w14:paraId="21C47C55" w14:textId="74913A5D" w:rsidR="0079089C" w:rsidRDefault="0079089C">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41" w:history="1">
            <w:r w:rsidRPr="00682CC0">
              <w:rPr>
                <w:rStyle w:val="Hyperlink"/>
                <w:rFonts w:asciiTheme="majorHAnsi" w:hAnsiTheme="majorHAnsi" w:cstheme="majorHAnsi"/>
                <w:noProof/>
              </w:rPr>
              <w:t>3.2 Benefits to the individual</w:t>
            </w:r>
            <w:r>
              <w:rPr>
                <w:noProof/>
                <w:webHidden/>
              </w:rPr>
              <w:tab/>
            </w:r>
            <w:r>
              <w:rPr>
                <w:noProof/>
                <w:webHidden/>
              </w:rPr>
              <w:fldChar w:fldCharType="begin"/>
            </w:r>
            <w:r>
              <w:rPr>
                <w:noProof/>
                <w:webHidden/>
              </w:rPr>
              <w:instrText xml:space="preserve"> PAGEREF _Toc239145741 \h </w:instrText>
            </w:r>
            <w:r>
              <w:rPr>
                <w:noProof/>
                <w:webHidden/>
              </w:rPr>
            </w:r>
            <w:r>
              <w:rPr>
                <w:noProof/>
                <w:webHidden/>
              </w:rPr>
              <w:fldChar w:fldCharType="separate"/>
            </w:r>
            <w:r>
              <w:rPr>
                <w:noProof/>
                <w:webHidden/>
              </w:rPr>
              <w:t>7</w:t>
            </w:r>
            <w:r>
              <w:rPr>
                <w:noProof/>
                <w:webHidden/>
              </w:rPr>
              <w:fldChar w:fldCharType="end"/>
            </w:r>
          </w:hyperlink>
        </w:p>
        <w:p w14:paraId="09E288DF" w14:textId="76346554" w:rsidR="0079089C" w:rsidRDefault="0079089C">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42" w:history="1">
            <w:r w:rsidRPr="00682CC0">
              <w:rPr>
                <w:rStyle w:val="Hyperlink"/>
                <w:rFonts w:asciiTheme="majorHAnsi" w:hAnsiTheme="majorHAnsi" w:cstheme="majorHAnsi"/>
                <w:noProof/>
              </w:rPr>
              <w:t>3.3 Critical judgement</w:t>
            </w:r>
            <w:r>
              <w:rPr>
                <w:noProof/>
                <w:webHidden/>
              </w:rPr>
              <w:tab/>
            </w:r>
            <w:r>
              <w:rPr>
                <w:noProof/>
                <w:webHidden/>
              </w:rPr>
              <w:fldChar w:fldCharType="begin"/>
            </w:r>
            <w:r>
              <w:rPr>
                <w:noProof/>
                <w:webHidden/>
              </w:rPr>
              <w:instrText xml:space="preserve"> PAGEREF _Toc239145742 \h </w:instrText>
            </w:r>
            <w:r>
              <w:rPr>
                <w:noProof/>
                <w:webHidden/>
              </w:rPr>
            </w:r>
            <w:r>
              <w:rPr>
                <w:noProof/>
                <w:webHidden/>
              </w:rPr>
              <w:fldChar w:fldCharType="separate"/>
            </w:r>
            <w:r>
              <w:rPr>
                <w:noProof/>
                <w:webHidden/>
              </w:rPr>
              <w:t>7</w:t>
            </w:r>
            <w:r>
              <w:rPr>
                <w:noProof/>
                <w:webHidden/>
              </w:rPr>
              <w:fldChar w:fldCharType="end"/>
            </w:r>
          </w:hyperlink>
        </w:p>
        <w:p w14:paraId="52A98B22" w14:textId="16AEBAA4" w:rsidR="0079089C" w:rsidRDefault="0079089C">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43" w:history="1">
            <w:r w:rsidRPr="00682CC0">
              <w:rPr>
                <w:rStyle w:val="Hyperlink"/>
                <w:rFonts w:asciiTheme="majorHAnsi" w:hAnsiTheme="majorHAnsi" w:cstheme="majorHAnsi"/>
                <w:noProof/>
              </w:rPr>
              <w:t>4. Managing the individual's expectations (Learning Outcome 2)</w:t>
            </w:r>
            <w:r>
              <w:rPr>
                <w:noProof/>
                <w:webHidden/>
              </w:rPr>
              <w:tab/>
            </w:r>
            <w:r>
              <w:rPr>
                <w:noProof/>
                <w:webHidden/>
              </w:rPr>
              <w:fldChar w:fldCharType="begin"/>
            </w:r>
            <w:r>
              <w:rPr>
                <w:noProof/>
                <w:webHidden/>
              </w:rPr>
              <w:instrText xml:space="preserve"> PAGEREF _Toc239145743 \h </w:instrText>
            </w:r>
            <w:r>
              <w:rPr>
                <w:noProof/>
                <w:webHidden/>
              </w:rPr>
            </w:r>
            <w:r>
              <w:rPr>
                <w:noProof/>
                <w:webHidden/>
              </w:rPr>
              <w:fldChar w:fldCharType="separate"/>
            </w:r>
            <w:r>
              <w:rPr>
                <w:noProof/>
                <w:webHidden/>
              </w:rPr>
              <w:t>8</w:t>
            </w:r>
            <w:r>
              <w:rPr>
                <w:noProof/>
                <w:webHidden/>
              </w:rPr>
              <w:fldChar w:fldCharType="end"/>
            </w:r>
          </w:hyperlink>
        </w:p>
        <w:p w14:paraId="4D4B7310" w14:textId="18013918" w:rsidR="0079089C" w:rsidRDefault="0079089C">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44" w:history="1">
            <w:r w:rsidRPr="00682CC0">
              <w:rPr>
                <w:rStyle w:val="Hyperlink"/>
                <w:rFonts w:asciiTheme="majorHAnsi" w:hAnsiTheme="majorHAnsi" w:cstheme="majorHAnsi"/>
                <w:noProof/>
              </w:rPr>
              <w:t>5. Evaluating development vehicles (Learning Outcome 3)</w:t>
            </w:r>
            <w:r>
              <w:rPr>
                <w:noProof/>
                <w:webHidden/>
              </w:rPr>
              <w:tab/>
            </w:r>
            <w:r>
              <w:rPr>
                <w:noProof/>
                <w:webHidden/>
              </w:rPr>
              <w:fldChar w:fldCharType="begin"/>
            </w:r>
            <w:r>
              <w:rPr>
                <w:noProof/>
                <w:webHidden/>
              </w:rPr>
              <w:instrText xml:space="preserve"> PAGEREF _Toc239145744 \h </w:instrText>
            </w:r>
            <w:r>
              <w:rPr>
                <w:noProof/>
                <w:webHidden/>
              </w:rPr>
            </w:r>
            <w:r>
              <w:rPr>
                <w:noProof/>
                <w:webHidden/>
              </w:rPr>
              <w:fldChar w:fldCharType="separate"/>
            </w:r>
            <w:r>
              <w:rPr>
                <w:noProof/>
                <w:webHidden/>
              </w:rPr>
              <w:t>9</w:t>
            </w:r>
            <w:r>
              <w:rPr>
                <w:noProof/>
                <w:webHidden/>
              </w:rPr>
              <w:fldChar w:fldCharType="end"/>
            </w:r>
          </w:hyperlink>
        </w:p>
        <w:p w14:paraId="628A133D" w14:textId="21921581" w:rsidR="0079089C" w:rsidRDefault="0079089C">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45" w:history="1">
            <w:r w:rsidRPr="00682CC0">
              <w:rPr>
                <w:rStyle w:val="Hyperlink"/>
                <w:rFonts w:asciiTheme="majorHAnsi" w:hAnsiTheme="majorHAnsi" w:cstheme="majorHAnsi"/>
                <w:noProof/>
              </w:rPr>
              <w:t>6. Development plan and performance management (Learning Outcome 4)</w:t>
            </w:r>
            <w:r>
              <w:rPr>
                <w:noProof/>
                <w:webHidden/>
              </w:rPr>
              <w:tab/>
            </w:r>
            <w:r>
              <w:rPr>
                <w:noProof/>
                <w:webHidden/>
              </w:rPr>
              <w:fldChar w:fldCharType="begin"/>
            </w:r>
            <w:r>
              <w:rPr>
                <w:noProof/>
                <w:webHidden/>
              </w:rPr>
              <w:instrText xml:space="preserve"> PAGEREF _Toc239145745 \h </w:instrText>
            </w:r>
            <w:r>
              <w:rPr>
                <w:noProof/>
                <w:webHidden/>
              </w:rPr>
            </w:r>
            <w:r>
              <w:rPr>
                <w:noProof/>
                <w:webHidden/>
              </w:rPr>
              <w:fldChar w:fldCharType="separate"/>
            </w:r>
            <w:r>
              <w:rPr>
                <w:noProof/>
                <w:webHidden/>
              </w:rPr>
              <w:t>12</w:t>
            </w:r>
            <w:r>
              <w:rPr>
                <w:noProof/>
                <w:webHidden/>
              </w:rPr>
              <w:fldChar w:fldCharType="end"/>
            </w:r>
          </w:hyperlink>
        </w:p>
        <w:p w14:paraId="6610F09C" w14:textId="18316AFF" w:rsidR="0079089C" w:rsidRDefault="0079089C">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46" w:history="1">
            <w:r w:rsidRPr="00682CC0">
              <w:rPr>
                <w:rStyle w:val="Hyperlink"/>
                <w:rFonts w:asciiTheme="majorHAnsi" w:hAnsiTheme="majorHAnsi" w:cstheme="majorHAnsi"/>
                <w:noProof/>
              </w:rPr>
              <w:t>6.1 Identifying needs and capturing information</w:t>
            </w:r>
            <w:r>
              <w:rPr>
                <w:noProof/>
                <w:webHidden/>
              </w:rPr>
              <w:tab/>
            </w:r>
            <w:r>
              <w:rPr>
                <w:noProof/>
                <w:webHidden/>
              </w:rPr>
              <w:fldChar w:fldCharType="begin"/>
            </w:r>
            <w:r>
              <w:rPr>
                <w:noProof/>
                <w:webHidden/>
              </w:rPr>
              <w:instrText xml:space="preserve"> PAGEREF _Toc239145746 \h </w:instrText>
            </w:r>
            <w:r>
              <w:rPr>
                <w:noProof/>
                <w:webHidden/>
              </w:rPr>
            </w:r>
            <w:r>
              <w:rPr>
                <w:noProof/>
                <w:webHidden/>
              </w:rPr>
              <w:fldChar w:fldCharType="separate"/>
            </w:r>
            <w:r>
              <w:rPr>
                <w:noProof/>
                <w:webHidden/>
              </w:rPr>
              <w:t>12</w:t>
            </w:r>
            <w:r>
              <w:rPr>
                <w:noProof/>
                <w:webHidden/>
              </w:rPr>
              <w:fldChar w:fldCharType="end"/>
            </w:r>
          </w:hyperlink>
        </w:p>
        <w:p w14:paraId="32EB8EA1" w14:textId="1E7F4200" w:rsidR="0079089C" w:rsidRDefault="0079089C">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47" w:history="1">
            <w:r w:rsidRPr="00682CC0">
              <w:rPr>
                <w:rStyle w:val="Hyperlink"/>
                <w:rFonts w:asciiTheme="majorHAnsi" w:hAnsiTheme="majorHAnsi" w:cstheme="majorHAnsi"/>
                <w:noProof/>
              </w:rPr>
              <w:t>6.2 The twelve-month plan</w:t>
            </w:r>
            <w:r>
              <w:rPr>
                <w:noProof/>
                <w:webHidden/>
              </w:rPr>
              <w:tab/>
            </w:r>
            <w:r>
              <w:rPr>
                <w:noProof/>
                <w:webHidden/>
              </w:rPr>
              <w:fldChar w:fldCharType="begin"/>
            </w:r>
            <w:r>
              <w:rPr>
                <w:noProof/>
                <w:webHidden/>
              </w:rPr>
              <w:instrText xml:space="preserve"> PAGEREF _Toc239145747 \h </w:instrText>
            </w:r>
            <w:r>
              <w:rPr>
                <w:noProof/>
                <w:webHidden/>
              </w:rPr>
            </w:r>
            <w:r>
              <w:rPr>
                <w:noProof/>
                <w:webHidden/>
              </w:rPr>
              <w:fldChar w:fldCharType="separate"/>
            </w:r>
            <w:r>
              <w:rPr>
                <w:noProof/>
                <w:webHidden/>
              </w:rPr>
              <w:t>12</w:t>
            </w:r>
            <w:r>
              <w:rPr>
                <w:noProof/>
                <w:webHidden/>
              </w:rPr>
              <w:fldChar w:fldCharType="end"/>
            </w:r>
          </w:hyperlink>
        </w:p>
        <w:p w14:paraId="11CB76EE" w14:textId="746EB8F0" w:rsidR="0079089C" w:rsidRDefault="0079089C">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48" w:history="1">
            <w:r w:rsidRPr="00682CC0">
              <w:rPr>
                <w:rStyle w:val="Hyperlink"/>
                <w:rFonts w:asciiTheme="majorHAnsi" w:hAnsiTheme="majorHAnsi" w:cstheme="majorHAnsi"/>
                <w:noProof/>
              </w:rPr>
              <w:t>6.3 Managing performance</w:t>
            </w:r>
            <w:r>
              <w:rPr>
                <w:noProof/>
                <w:webHidden/>
              </w:rPr>
              <w:tab/>
            </w:r>
            <w:r>
              <w:rPr>
                <w:noProof/>
                <w:webHidden/>
              </w:rPr>
              <w:fldChar w:fldCharType="begin"/>
            </w:r>
            <w:r>
              <w:rPr>
                <w:noProof/>
                <w:webHidden/>
              </w:rPr>
              <w:instrText xml:space="preserve"> PAGEREF _Toc239145748 \h </w:instrText>
            </w:r>
            <w:r>
              <w:rPr>
                <w:noProof/>
                <w:webHidden/>
              </w:rPr>
            </w:r>
            <w:r>
              <w:rPr>
                <w:noProof/>
                <w:webHidden/>
              </w:rPr>
              <w:fldChar w:fldCharType="separate"/>
            </w:r>
            <w:r>
              <w:rPr>
                <w:noProof/>
                <w:webHidden/>
              </w:rPr>
              <w:t>13</w:t>
            </w:r>
            <w:r>
              <w:rPr>
                <w:noProof/>
                <w:webHidden/>
              </w:rPr>
              <w:fldChar w:fldCharType="end"/>
            </w:r>
          </w:hyperlink>
        </w:p>
        <w:p w14:paraId="459E4407" w14:textId="30EE85BB" w:rsidR="0079089C" w:rsidRDefault="0079089C">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49" w:history="1">
            <w:r w:rsidRPr="00682CC0">
              <w:rPr>
                <w:rStyle w:val="Hyperlink"/>
                <w:rFonts w:asciiTheme="majorHAnsi" w:hAnsiTheme="majorHAnsi" w:cstheme="majorHAnsi"/>
                <w:noProof/>
              </w:rPr>
              <w:t>6.4 Evaluating effectiveness</w:t>
            </w:r>
            <w:r>
              <w:rPr>
                <w:noProof/>
                <w:webHidden/>
              </w:rPr>
              <w:tab/>
            </w:r>
            <w:r>
              <w:rPr>
                <w:noProof/>
                <w:webHidden/>
              </w:rPr>
              <w:fldChar w:fldCharType="begin"/>
            </w:r>
            <w:r>
              <w:rPr>
                <w:noProof/>
                <w:webHidden/>
              </w:rPr>
              <w:instrText xml:space="preserve"> PAGEREF _Toc239145749 \h </w:instrText>
            </w:r>
            <w:r>
              <w:rPr>
                <w:noProof/>
                <w:webHidden/>
              </w:rPr>
            </w:r>
            <w:r>
              <w:rPr>
                <w:noProof/>
                <w:webHidden/>
              </w:rPr>
              <w:fldChar w:fldCharType="separate"/>
            </w:r>
            <w:r>
              <w:rPr>
                <w:noProof/>
                <w:webHidden/>
              </w:rPr>
              <w:t>14</w:t>
            </w:r>
            <w:r>
              <w:rPr>
                <w:noProof/>
                <w:webHidden/>
              </w:rPr>
              <w:fldChar w:fldCharType="end"/>
            </w:r>
          </w:hyperlink>
        </w:p>
        <w:p w14:paraId="63A4A9E4" w14:textId="48CB8B25" w:rsidR="0079089C" w:rsidRDefault="0079089C">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50" w:history="1">
            <w:r w:rsidRPr="00682CC0">
              <w:rPr>
                <w:rStyle w:val="Hyperlink"/>
                <w:rFonts w:asciiTheme="majorHAnsi" w:hAnsiTheme="majorHAnsi" w:cstheme="majorHAnsi"/>
                <w:noProof/>
              </w:rPr>
              <w:t>6.5 Risks and contingencies</w:t>
            </w:r>
            <w:r>
              <w:rPr>
                <w:noProof/>
                <w:webHidden/>
              </w:rPr>
              <w:tab/>
            </w:r>
            <w:r>
              <w:rPr>
                <w:noProof/>
                <w:webHidden/>
              </w:rPr>
              <w:fldChar w:fldCharType="begin"/>
            </w:r>
            <w:r>
              <w:rPr>
                <w:noProof/>
                <w:webHidden/>
              </w:rPr>
              <w:instrText xml:space="preserve"> PAGEREF _Toc239145750 \h </w:instrText>
            </w:r>
            <w:r>
              <w:rPr>
                <w:noProof/>
                <w:webHidden/>
              </w:rPr>
            </w:r>
            <w:r>
              <w:rPr>
                <w:noProof/>
                <w:webHidden/>
              </w:rPr>
              <w:fldChar w:fldCharType="separate"/>
            </w:r>
            <w:r>
              <w:rPr>
                <w:noProof/>
                <w:webHidden/>
              </w:rPr>
              <w:t>15</w:t>
            </w:r>
            <w:r>
              <w:rPr>
                <w:noProof/>
                <w:webHidden/>
              </w:rPr>
              <w:fldChar w:fldCharType="end"/>
            </w:r>
          </w:hyperlink>
        </w:p>
        <w:p w14:paraId="3F167881" w14:textId="4DE5D352" w:rsidR="0079089C" w:rsidRDefault="0079089C">
          <w:pPr>
            <w:pStyle w:val="TOC3"/>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51" w:history="1">
            <w:r w:rsidRPr="00682CC0">
              <w:rPr>
                <w:rStyle w:val="Hyperlink"/>
                <w:rFonts w:asciiTheme="majorHAnsi" w:hAnsiTheme="majorHAnsi" w:cstheme="majorHAnsi"/>
                <w:noProof/>
              </w:rPr>
              <w:t>6.6 Sustainability and succession</w:t>
            </w:r>
            <w:r>
              <w:rPr>
                <w:noProof/>
                <w:webHidden/>
              </w:rPr>
              <w:tab/>
            </w:r>
            <w:r>
              <w:rPr>
                <w:noProof/>
                <w:webHidden/>
              </w:rPr>
              <w:fldChar w:fldCharType="begin"/>
            </w:r>
            <w:r>
              <w:rPr>
                <w:noProof/>
                <w:webHidden/>
              </w:rPr>
              <w:instrText xml:space="preserve"> PAGEREF _Toc239145751 \h </w:instrText>
            </w:r>
            <w:r>
              <w:rPr>
                <w:noProof/>
                <w:webHidden/>
              </w:rPr>
            </w:r>
            <w:r>
              <w:rPr>
                <w:noProof/>
                <w:webHidden/>
              </w:rPr>
              <w:fldChar w:fldCharType="separate"/>
            </w:r>
            <w:r>
              <w:rPr>
                <w:noProof/>
                <w:webHidden/>
              </w:rPr>
              <w:t>15</w:t>
            </w:r>
            <w:r>
              <w:rPr>
                <w:noProof/>
                <w:webHidden/>
              </w:rPr>
              <w:fldChar w:fldCharType="end"/>
            </w:r>
          </w:hyperlink>
        </w:p>
        <w:p w14:paraId="5C19BD2F" w14:textId="710E7B87" w:rsidR="0079089C" w:rsidRDefault="0079089C">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52" w:history="1">
            <w:r w:rsidRPr="00682CC0">
              <w:rPr>
                <w:rStyle w:val="Hyperlink"/>
                <w:rFonts w:asciiTheme="majorHAnsi" w:hAnsiTheme="majorHAnsi" w:cstheme="majorHAnsi"/>
                <w:noProof/>
              </w:rPr>
              <w:t>7. Conclusion and recommendations</w:t>
            </w:r>
            <w:r>
              <w:rPr>
                <w:noProof/>
                <w:webHidden/>
              </w:rPr>
              <w:tab/>
            </w:r>
            <w:r>
              <w:rPr>
                <w:noProof/>
                <w:webHidden/>
              </w:rPr>
              <w:fldChar w:fldCharType="begin"/>
            </w:r>
            <w:r>
              <w:rPr>
                <w:noProof/>
                <w:webHidden/>
              </w:rPr>
              <w:instrText xml:space="preserve"> PAGEREF _Toc239145752 \h </w:instrText>
            </w:r>
            <w:r>
              <w:rPr>
                <w:noProof/>
                <w:webHidden/>
              </w:rPr>
            </w:r>
            <w:r>
              <w:rPr>
                <w:noProof/>
                <w:webHidden/>
              </w:rPr>
              <w:fldChar w:fldCharType="separate"/>
            </w:r>
            <w:r>
              <w:rPr>
                <w:noProof/>
                <w:webHidden/>
              </w:rPr>
              <w:t>15</w:t>
            </w:r>
            <w:r>
              <w:rPr>
                <w:noProof/>
                <w:webHidden/>
              </w:rPr>
              <w:fldChar w:fldCharType="end"/>
            </w:r>
          </w:hyperlink>
        </w:p>
        <w:p w14:paraId="627BA97C" w14:textId="1FBC1D30" w:rsidR="0079089C" w:rsidRDefault="0079089C">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53" w:history="1">
            <w:r w:rsidRPr="00682CC0">
              <w:rPr>
                <w:rStyle w:val="Hyperlink"/>
                <w:rFonts w:asciiTheme="majorHAnsi" w:hAnsiTheme="majorHAnsi" w:cstheme="majorHAnsi"/>
                <w:noProof/>
              </w:rPr>
              <w:t>References</w:t>
            </w:r>
            <w:r>
              <w:rPr>
                <w:noProof/>
                <w:webHidden/>
              </w:rPr>
              <w:tab/>
            </w:r>
            <w:r>
              <w:rPr>
                <w:noProof/>
                <w:webHidden/>
              </w:rPr>
              <w:fldChar w:fldCharType="begin"/>
            </w:r>
            <w:r>
              <w:rPr>
                <w:noProof/>
                <w:webHidden/>
              </w:rPr>
              <w:instrText xml:space="preserve"> PAGEREF _Toc239145753 \h </w:instrText>
            </w:r>
            <w:r>
              <w:rPr>
                <w:noProof/>
                <w:webHidden/>
              </w:rPr>
            </w:r>
            <w:r>
              <w:rPr>
                <w:noProof/>
                <w:webHidden/>
              </w:rPr>
              <w:fldChar w:fldCharType="separate"/>
            </w:r>
            <w:r>
              <w:rPr>
                <w:noProof/>
                <w:webHidden/>
              </w:rPr>
              <w:t>17</w:t>
            </w:r>
            <w:r>
              <w:rPr>
                <w:noProof/>
                <w:webHidden/>
              </w:rPr>
              <w:fldChar w:fldCharType="end"/>
            </w:r>
          </w:hyperlink>
        </w:p>
        <w:p w14:paraId="3D21EC17" w14:textId="5956E263" w:rsidR="0079089C" w:rsidRDefault="0079089C">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54" w:history="1">
            <w:r w:rsidRPr="00682CC0">
              <w:rPr>
                <w:rStyle w:val="Hyperlink"/>
                <w:rFonts w:asciiTheme="majorHAnsi" w:hAnsiTheme="majorHAnsi" w:cstheme="majorHAnsi"/>
                <w:noProof/>
              </w:rPr>
              <w:t>Appendix</w:t>
            </w:r>
            <w:r>
              <w:rPr>
                <w:noProof/>
                <w:webHidden/>
              </w:rPr>
              <w:tab/>
            </w:r>
            <w:r>
              <w:rPr>
                <w:noProof/>
                <w:webHidden/>
              </w:rPr>
              <w:fldChar w:fldCharType="begin"/>
            </w:r>
            <w:r>
              <w:rPr>
                <w:noProof/>
                <w:webHidden/>
              </w:rPr>
              <w:instrText xml:space="preserve"> PAGEREF _Toc239145754 \h </w:instrText>
            </w:r>
            <w:r>
              <w:rPr>
                <w:noProof/>
                <w:webHidden/>
              </w:rPr>
            </w:r>
            <w:r>
              <w:rPr>
                <w:noProof/>
                <w:webHidden/>
              </w:rPr>
              <w:fldChar w:fldCharType="separate"/>
            </w:r>
            <w:r>
              <w:rPr>
                <w:noProof/>
                <w:webHidden/>
              </w:rPr>
              <w:t>21</w:t>
            </w:r>
            <w:r>
              <w:rPr>
                <w:noProof/>
                <w:webHidden/>
              </w:rPr>
              <w:fldChar w:fldCharType="end"/>
            </w:r>
          </w:hyperlink>
        </w:p>
        <w:p w14:paraId="596AF35D" w14:textId="7A92FAFE" w:rsidR="0079089C" w:rsidRDefault="0079089C">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55" w:history="1">
            <w:r w:rsidRPr="00682CC0">
              <w:rPr>
                <w:rStyle w:val="Hyperlink"/>
                <w:rFonts w:asciiTheme="majorHAnsi" w:hAnsiTheme="majorHAnsi" w:cstheme="majorHAnsi"/>
                <w:noProof/>
              </w:rPr>
              <w:t>Appendix A: Competence matrix for Practitioner A (illustrative)</w:t>
            </w:r>
            <w:r>
              <w:rPr>
                <w:noProof/>
                <w:webHidden/>
              </w:rPr>
              <w:tab/>
            </w:r>
            <w:r>
              <w:rPr>
                <w:noProof/>
                <w:webHidden/>
              </w:rPr>
              <w:fldChar w:fldCharType="begin"/>
            </w:r>
            <w:r>
              <w:rPr>
                <w:noProof/>
                <w:webHidden/>
              </w:rPr>
              <w:instrText xml:space="preserve"> PAGEREF _Toc239145755 \h </w:instrText>
            </w:r>
            <w:r>
              <w:rPr>
                <w:noProof/>
                <w:webHidden/>
              </w:rPr>
            </w:r>
            <w:r>
              <w:rPr>
                <w:noProof/>
                <w:webHidden/>
              </w:rPr>
              <w:fldChar w:fldCharType="separate"/>
            </w:r>
            <w:r>
              <w:rPr>
                <w:noProof/>
                <w:webHidden/>
              </w:rPr>
              <w:t>21</w:t>
            </w:r>
            <w:r>
              <w:rPr>
                <w:noProof/>
                <w:webHidden/>
              </w:rPr>
              <w:fldChar w:fldCharType="end"/>
            </w:r>
          </w:hyperlink>
        </w:p>
        <w:p w14:paraId="77071BC9" w14:textId="56D63623" w:rsidR="0079089C" w:rsidRDefault="0079089C">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39145756" w:history="1">
            <w:r w:rsidRPr="00682CC0">
              <w:rPr>
                <w:rStyle w:val="Hyperlink"/>
                <w:rFonts w:asciiTheme="majorHAnsi" w:hAnsiTheme="majorHAnsi" w:cstheme="majorHAnsi"/>
                <w:noProof/>
                <w:highlight w:val="yellow"/>
              </w:rPr>
              <w:t>Appendix B: Development record and appraisal template (anonymised)</w:t>
            </w:r>
            <w:r>
              <w:rPr>
                <w:noProof/>
                <w:webHidden/>
              </w:rPr>
              <w:tab/>
            </w:r>
            <w:r>
              <w:rPr>
                <w:noProof/>
                <w:webHidden/>
              </w:rPr>
              <w:fldChar w:fldCharType="begin"/>
            </w:r>
            <w:r>
              <w:rPr>
                <w:noProof/>
                <w:webHidden/>
              </w:rPr>
              <w:instrText xml:space="preserve"> PAGEREF _Toc239145756 \h </w:instrText>
            </w:r>
            <w:r>
              <w:rPr>
                <w:noProof/>
                <w:webHidden/>
              </w:rPr>
            </w:r>
            <w:r>
              <w:rPr>
                <w:noProof/>
                <w:webHidden/>
              </w:rPr>
              <w:fldChar w:fldCharType="separate"/>
            </w:r>
            <w:r>
              <w:rPr>
                <w:noProof/>
                <w:webHidden/>
              </w:rPr>
              <w:t>22</w:t>
            </w:r>
            <w:r>
              <w:rPr>
                <w:noProof/>
                <w:webHidden/>
              </w:rPr>
              <w:fldChar w:fldCharType="end"/>
            </w:r>
          </w:hyperlink>
        </w:p>
        <w:p w14:paraId="1909964D" w14:textId="66C1E886" w:rsidR="009755D5" w:rsidRPr="0079089C" w:rsidRDefault="009755D5" w:rsidP="0079089C">
          <w:pPr>
            <w:spacing w:line="360" w:lineRule="auto"/>
            <w:jc w:val="center"/>
            <w:rPr>
              <w:rFonts w:asciiTheme="majorHAnsi" w:hAnsiTheme="majorHAnsi" w:cstheme="majorHAnsi"/>
              <w:b/>
              <w:sz w:val="24"/>
              <w:szCs w:val="24"/>
            </w:rPr>
          </w:pPr>
          <w:r w:rsidRPr="0079089C">
            <w:rPr>
              <w:rFonts w:asciiTheme="majorHAnsi" w:hAnsiTheme="majorHAnsi" w:cstheme="majorHAnsi"/>
              <w:b/>
              <w:noProof/>
              <w:sz w:val="24"/>
              <w:szCs w:val="24"/>
            </w:rPr>
            <w:fldChar w:fldCharType="end"/>
          </w:r>
        </w:p>
      </w:sdtContent>
    </w:sdt>
    <w:p w14:paraId="1D90608E" w14:textId="68E43E1E" w:rsidR="00FE687B" w:rsidRPr="0079089C" w:rsidRDefault="00FE687B" w:rsidP="0079089C">
      <w:pPr>
        <w:spacing w:line="360" w:lineRule="auto"/>
        <w:jc w:val="center"/>
        <w:rPr>
          <w:rFonts w:asciiTheme="majorHAnsi" w:hAnsiTheme="majorHAnsi" w:cstheme="majorHAnsi"/>
          <w:b/>
          <w:sz w:val="24"/>
          <w:szCs w:val="24"/>
        </w:rPr>
      </w:pPr>
    </w:p>
    <w:p w14:paraId="0D944070" w14:textId="77777777" w:rsidR="009755D5" w:rsidRPr="0079089C" w:rsidRDefault="009755D5" w:rsidP="0079089C">
      <w:pPr>
        <w:spacing w:line="360" w:lineRule="auto"/>
        <w:jc w:val="center"/>
        <w:rPr>
          <w:rFonts w:asciiTheme="majorHAnsi" w:hAnsiTheme="majorHAnsi" w:cstheme="majorHAnsi"/>
          <w:b/>
          <w:sz w:val="24"/>
          <w:szCs w:val="24"/>
        </w:rPr>
      </w:pPr>
      <w:r w:rsidRPr="0079089C">
        <w:rPr>
          <w:rFonts w:asciiTheme="majorHAnsi" w:hAnsiTheme="majorHAnsi" w:cstheme="majorHAnsi"/>
          <w:b/>
          <w:sz w:val="24"/>
          <w:szCs w:val="24"/>
        </w:rPr>
        <w:br w:type="page"/>
      </w:r>
    </w:p>
    <w:p w14:paraId="68033BC4" w14:textId="4E221BE0" w:rsidR="004E1D3B" w:rsidRPr="0079089C" w:rsidRDefault="00000000" w:rsidP="0079089C">
      <w:pPr>
        <w:pStyle w:val="Heading2"/>
        <w:spacing w:line="360" w:lineRule="auto"/>
        <w:rPr>
          <w:rFonts w:asciiTheme="majorHAnsi" w:hAnsiTheme="majorHAnsi" w:cstheme="majorHAnsi"/>
          <w:sz w:val="24"/>
          <w:szCs w:val="24"/>
        </w:rPr>
      </w:pPr>
      <w:bookmarkStart w:id="0" w:name="_Toc239145736"/>
      <w:r w:rsidRPr="0079089C">
        <w:rPr>
          <w:rFonts w:asciiTheme="majorHAnsi" w:hAnsiTheme="majorHAnsi" w:cstheme="majorHAnsi"/>
          <w:sz w:val="24"/>
          <w:szCs w:val="24"/>
        </w:rPr>
        <w:lastRenderedPageBreak/>
        <w:t>Executive summary</w:t>
      </w:r>
      <w:bookmarkEnd w:id="0"/>
    </w:p>
    <w:p w14:paraId="5F18BA06" w14:textId="4859718F" w:rsidR="004E1D3B" w:rsidRPr="0079089C" w:rsidRDefault="00FB620A"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Developing individuals adds to workplace relationships and achievement at The Honey-Love Beauty Box, the aesthetics salon and training academy by Michelle Honey-Love. It draws on 30 academic and professional sources and the BMSK5010 sessions. Analysis reveals that development is beneficial to the </w:t>
      </w:r>
      <w:proofErr w:type="spellStart"/>
      <w:r w:rsidRPr="0079089C">
        <w:rPr>
          <w:rFonts w:asciiTheme="majorHAnsi" w:hAnsiTheme="majorHAnsi" w:cstheme="majorHAnsi"/>
          <w:b/>
          <w:sz w:val="24"/>
          <w:szCs w:val="24"/>
        </w:rPr>
        <w:t>organisation</w:t>
      </w:r>
      <w:proofErr w:type="spellEnd"/>
      <w:r w:rsidRPr="0079089C">
        <w:rPr>
          <w:rFonts w:asciiTheme="majorHAnsi" w:hAnsiTheme="majorHAnsi" w:cstheme="majorHAnsi"/>
          <w:b/>
          <w:sz w:val="24"/>
          <w:szCs w:val="24"/>
        </w:rPr>
        <w:t xml:space="preserve"> in terms of safer practice, retention, knowledge continuity and reputation and to the individual in terms of competence, autonomy and </w:t>
      </w:r>
      <w:r w:rsidR="00E65D08" w:rsidRPr="0079089C">
        <w:rPr>
          <w:rFonts w:asciiTheme="majorHAnsi" w:hAnsiTheme="majorHAnsi" w:cstheme="majorHAnsi"/>
          <w:b/>
          <w:sz w:val="24"/>
          <w:szCs w:val="24"/>
        </w:rPr>
        <w:t xml:space="preserve">a </w:t>
      </w:r>
      <w:r w:rsidRPr="0079089C">
        <w:rPr>
          <w:rFonts w:asciiTheme="majorHAnsi" w:hAnsiTheme="majorHAnsi" w:cstheme="majorHAnsi"/>
          <w:b/>
          <w:sz w:val="24"/>
          <w:szCs w:val="24"/>
        </w:rPr>
        <w:t>sustainable career (De Vos et al., 2020; Ryan &amp; Deci, 2020). Expectations must be dealt with honestly</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and there is a risk that trained staff might leave a small firm (Acemoglu &amp; Pischke, 1999). There is a need for a mixed package of development vehicles, supported by proper learning and supervised practice. A 12-month plan is proposed for an anonymous practitioner, including targets, quarterly assessment and Kirkpatrick evaluation. This report does not contain any disclosure of the information of the clients.</w:t>
      </w:r>
    </w:p>
    <w:p w14:paraId="52A560A1" w14:textId="77777777" w:rsidR="004E1D3B" w:rsidRPr="0079089C" w:rsidRDefault="00000000" w:rsidP="0079089C">
      <w:pPr>
        <w:pStyle w:val="Heading2"/>
        <w:spacing w:line="360" w:lineRule="auto"/>
        <w:rPr>
          <w:rFonts w:asciiTheme="majorHAnsi" w:hAnsiTheme="majorHAnsi" w:cstheme="majorHAnsi"/>
          <w:sz w:val="24"/>
          <w:szCs w:val="24"/>
        </w:rPr>
      </w:pPr>
      <w:bookmarkStart w:id="1" w:name="_Toc239145737"/>
      <w:r w:rsidRPr="0079089C">
        <w:rPr>
          <w:rFonts w:asciiTheme="majorHAnsi" w:hAnsiTheme="majorHAnsi" w:cstheme="majorHAnsi"/>
          <w:sz w:val="24"/>
          <w:szCs w:val="24"/>
        </w:rPr>
        <w:t>1. Introduction</w:t>
      </w:r>
      <w:bookmarkEnd w:id="1"/>
    </w:p>
    <w:p w14:paraId="10C8B84B" w14:textId="7531E19B" w:rsidR="00613E2E" w:rsidRPr="0079089C" w:rsidRDefault="00613E2E"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Michelle's Honey-Love Aesthetics has been self-employed for more than four years. Today</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the business is operating a larger salon - The Honey-Love Beauty Box</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providing dermal filler, lip filler, botulinum toxin, B12 injections, fat-dissolving treatments and 'snatched contours' packages. I've also established a training academy for lip, facial contouring, B12</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as well as skin-booster methods</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and I'll be opening a second location, a sunbed shop. But it's no longer a one-person business</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it's a multi-service, multi-site operation that relies </w:t>
      </w:r>
      <w:proofErr w:type="gramStart"/>
      <w:r w:rsidRPr="0079089C">
        <w:rPr>
          <w:rFonts w:asciiTheme="majorHAnsi" w:hAnsiTheme="majorHAnsi" w:cstheme="majorHAnsi"/>
          <w:b/>
          <w:sz w:val="24"/>
          <w:szCs w:val="24"/>
        </w:rPr>
        <w:t>more and more</w:t>
      </w:r>
      <w:proofErr w:type="gramEnd"/>
      <w:r w:rsidRPr="0079089C">
        <w:rPr>
          <w:rFonts w:asciiTheme="majorHAnsi" w:hAnsiTheme="majorHAnsi" w:cstheme="majorHAnsi"/>
          <w:b/>
          <w:sz w:val="24"/>
          <w:szCs w:val="24"/>
        </w:rPr>
        <w:t xml:space="preserve"> on people other than me.</w:t>
      </w:r>
    </w:p>
    <w:p w14:paraId="7F52C6EC" w14:textId="77777777" w:rsidR="00613E2E" w:rsidRPr="0079089C" w:rsidRDefault="00613E2E"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This report answers the brief by highlighting the ways in which developing people can enhance workplace relationships and performance so that people are more likely to work together. It addresses the four learning outcomes: development benefits (Section 3), managing expectations (Section 4), evaluating development vehicles (Section 5), and a development and performance plan (Section 6).</w:t>
      </w:r>
    </w:p>
    <w:p w14:paraId="25A635FC" w14:textId="77777777" w:rsidR="00613E2E" w:rsidRPr="0079089C" w:rsidRDefault="00613E2E"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There are 2 framing decisions that are important. In the first place, the business is embedded in the knowledge economy, which is based on knowledge-intensive activities and intellectual capacity (Powell &amp; Snellman, 2004). My </w:t>
      </w:r>
      <w:proofErr w:type="spellStart"/>
      <w:r w:rsidRPr="0079089C">
        <w:rPr>
          <w:rFonts w:asciiTheme="majorHAnsi" w:hAnsiTheme="majorHAnsi" w:cstheme="majorHAnsi"/>
          <w:b/>
          <w:sz w:val="24"/>
          <w:szCs w:val="24"/>
        </w:rPr>
        <w:t>organisation's</w:t>
      </w:r>
      <w:proofErr w:type="spellEnd"/>
      <w:r w:rsidRPr="0079089C">
        <w:rPr>
          <w:rFonts w:asciiTheme="majorHAnsi" w:hAnsiTheme="majorHAnsi" w:cstheme="majorHAnsi"/>
          <w:b/>
          <w:sz w:val="24"/>
          <w:szCs w:val="24"/>
        </w:rPr>
        <w:t xml:space="preserve"> worth </w:t>
      </w:r>
      <w:proofErr w:type="gramStart"/>
      <w:r w:rsidRPr="0079089C">
        <w:rPr>
          <w:rFonts w:asciiTheme="majorHAnsi" w:hAnsiTheme="majorHAnsi" w:cstheme="majorHAnsi"/>
          <w:b/>
          <w:sz w:val="24"/>
          <w:szCs w:val="24"/>
        </w:rPr>
        <w:t>is in</w:t>
      </w:r>
      <w:proofErr w:type="gramEnd"/>
      <w:r w:rsidRPr="0079089C">
        <w:rPr>
          <w:rFonts w:asciiTheme="majorHAnsi" w:hAnsiTheme="majorHAnsi" w:cstheme="majorHAnsi"/>
          <w:b/>
          <w:sz w:val="24"/>
          <w:szCs w:val="24"/>
        </w:rPr>
        <w:t xml:space="preserve"> clinical judgement and </w:t>
      </w:r>
      <w:r w:rsidRPr="0079089C">
        <w:rPr>
          <w:rFonts w:asciiTheme="majorHAnsi" w:hAnsiTheme="majorHAnsi" w:cstheme="majorHAnsi"/>
          <w:b/>
          <w:sz w:val="24"/>
          <w:szCs w:val="24"/>
        </w:rPr>
        <w:lastRenderedPageBreak/>
        <w:t xml:space="preserve">technique, much of it tacit, and in the academy that codifies it. Secondly, </w:t>
      </w:r>
      <w:proofErr w:type="spellStart"/>
      <w:r w:rsidRPr="0079089C">
        <w:rPr>
          <w:rFonts w:asciiTheme="majorHAnsi" w:hAnsiTheme="majorHAnsi" w:cstheme="majorHAnsi"/>
          <w:b/>
          <w:sz w:val="24"/>
          <w:szCs w:val="24"/>
        </w:rPr>
        <w:t>organisations</w:t>
      </w:r>
      <w:proofErr w:type="spellEnd"/>
      <w:r w:rsidRPr="0079089C">
        <w:rPr>
          <w:rFonts w:asciiTheme="majorHAnsi" w:hAnsiTheme="majorHAnsi" w:cstheme="majorHAnsi"/>
          <w:b/>
          <w:sz w:val="24"/>
          <w:szCs w:val="24"/>
        </w:rPr>
        <w:t xml:space="preserve"> learn only through people who learn (Senge 1990/2006), and Garvin et al. (2008) give three factors, namely a learning environment, learning processes, and reinforcing leadership, as the building blocks of a learning </w:t>
      </w:r>
      <w:proofErr w:type="spellStart"/>
      <w:r w:rsidRPr="0079089C">
        <w:rPr>
          <w:rFonts w:asciiTheme="majorHAnsi" w:hAnsiTheme="majorHAnsi" w:cstheme="majorHAnsi"/>
          <w:b/>
          <w:sz w:val="24"/>
          <w:szCs w:val="24"/>
        </w:rPr>
        <w:t>organisation</w:t>
      </w:r>
      <w:proofErr w:type="spellEnd"/>
      <w:r w:rsidRPr="0079089C">
        <w:rPr>
          <w:rFonts w:asciiTheme="majorHAnsi" w:hAnsiTheme="majorHAnsi" w:cstheme="majorHAnsi"/>
          <w:b/>
          <w:sz w:val="24"/>
          <w:szCs w:val="24"/>
        </w:rPr>
        <w:t>. Both frame analysis.</w:t>
      </w:r>
    </w:p>
    <w:p w14:paraId="64F054BB" w14:textId="582FCB9D" w:rsidR="004E1D3B" w:rsidRPr="0079089C" w:rsidRDefault="00613E2E"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Confidentiality of the client is paramount</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and no information, </w:t>
      </w:r>
      <w:r w:rsidR="00E65D08" w:rsidRPr="0079089C">
        <w:rPr>
          <w:rFonts w:asciiTheme="majorHAnsi" w:hAnsiTheme="majorHAnsi" w:cstheme="majorHAnsi"/>
          <w:b/>
          <w:sz w:val="24"/>
          <w:szCs w:val="24"/>
        </w:rPr>
        <w:t>images,</w:t>
      </w:r>
      <w:r w:rsidRPr="0079089C">
        <w:rPr>
          <w:rFonts w:asciiTheme="majorHAnsi" w:hAnsiTheme="majorHAnsi" w:cstheme="majorHAnsi"/>
          <w:b/>
          <w:sz w:val="24"/>
          <w:szCs w:val="24"/>
        </w:rPr>
        <w:t xml:space="preserve"> or records of any client are displayed here. The individual spoken about is an anonymous composite of a junior practitioner joining the team and the plan can be used as a template. This report is a mix of critical </w:t>
      </w:r>
      <w:proofErr w:type="gramStart"/>
      <w:r w:rsidRPr="0079089C">
        <w:rPr>
          <w:rFonts w:asciiTheme="majorHAnsi" w:hAnsiTheme="majorHAnsi" w:cstheme="majorHAnsi"/>
          <w:b/>
          <w:sz w:val="24"/>
          <w:szCs w:val="24"/>
        </w:rPr>
        <w:t>reflection</w:t>
      </w:r>
      <w:proofErr w:type="gramEnd"/>
      <w:r w:rsidRPr="0079089C">
        <w:rPr>
          <w:rFonts w:asciiTheme="majorHAnsi" w:hAnsiTheme="majorHAnsi" w:cstheme="majorHAnsi"/>
          <w:b/>
          <w:sz w:val="24"/>
          <w:szCs w:val="24"/>
        </w:rPr>
        <w:t xml:space="preserve"> on my own practice and literature found on Google Scholar and publisher databases</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with a focus on peer-reviewed literature within the past 10 years.</w:t>
      </w:r>
    </w:p>
    <w:p w14:paraId="72EF8689" w14:textId="77777777" w:rsidR="004E1D3B" w:rsidRPr="0079089C" w:rsidRDefault="00000000" w:rsidP="0079089C">
      <w:pPr>
        <w:pStyle w:val="Heading2"/>
        <w:spacing w:line="360" w:lineRule="auto"/>
        <w:rPr>
          <w:rFonts w:asciiTheme="majorHAnsi" w:hAnsiTheme="majorHAnsi" w:cstheme="majorHAnsi"/>
          <w:sz w:val="24"/>
          <w:szCs w:val="24"/>
        </w:rPr>
      </w:pPr>
      <w:bookmarkStart w:id="2" w:name="_Toc239145738"/>
      <w:r w:rsidRPr="0079089C">
        <w:rPr>
          <w:rFonts w:asciiTheme="majorHAnsi" w:hAnsiTheme="majorHAnsi" w:cstheme="majorHAnsi"/>
          <w:sz w:val="24"/>
          <w:szCs w:val="24"/>
        </w:rPr>
        <w:t>2. Workplace relationships and collaboration</w:t>
      </w:r>
      <w:bookmarkEnd w:id="2"/>
    </w:p>
    <w:p w14:paraId="4440F09C" w14:textId="59E7D513" w:rsidR="00A579B4" w:rsidRPr="0079089C" w:rsidRDefault="00A579B4"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Relationships in the workplace are more than friendliness. Colbert et al. (2016) demonstrate that good working relationships (that are beyond transactional relationships of help) with mutual support, respect, and positive regard are associated with staff flourishing and performance. That is the quality that's necessary to work together. When it comes to sharing information and revealing what they don't know, only when the relationship is trusted.</w:t>
      </w:r>
    </w:p>
    <w:p w14:paraId="0A5B7C92" w14:textId="21AB6063" w:rsidR="00A579B4" w:rsidRPr="0079089C" w:rsidRDefault="00A579B4"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There are three concepts which explain how such relationships are developed. First, perceived </w:t>
      </w:r>
      <w:proofErr w:type="spellStart"/>
      <w:r w:rsidRPr="0079089C">
        <w:rPr>
          <w:rFonts w:asciiTheme="majorHAnsi" w:hAnsiTheme="majorHAnsi" w:cstheme="majorHAnsi"/>
          <w:b/>
          <w:sz w:val="24"/>
          <w:szCs w:val="24"/>
        </w:rPr>
        <w:t>organisational</w:t>
      </w:r>
      <w:proofErr w:type="spellEnd"/>
      <w:r w:rsidRPr="0079089C">
        <w:rPr>
          <w:rFonts w:asciiTheme="majorHAnsi" w:hAnsiTheme="majorHAnsi" w:cstheme="majorHAnsi"/>
          <w:b/>
          <w:sz w:val="24"/>
          <w:szCs w:val="24"/>
        </w:rPr>
        <w:t xml:space="preserve"> support</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a meta-analysis by </w:t>
      </w:r>
      <w:proofErr w:type="spellStart"/>
      <w:r w:rsidRPr="0079089C">
        <w:rPr>
          <w:rFonts w:asciiTheme="majorHAnsi" w:hAnsiTheme="majorHAnsi" w:cstheme="majorHAnsi"/>
          <w:b/>
          <w:sz w:val="24"/>
          <w:szCs w:val="24"/>
        </w:rPr>
        <w:t>Kurtessis</w:t>
      </w:r>
      <w:proofErr w:type="spellEnd"/>
      <w:r w:rsidRPr="0079089C">
        <w:rPr>
          <w:rFonts w:asciiTheme="majorHAnsi" w:hAnsiTheme="majorHAnsi" w:cstheme="majorHAnsi"/>
          <w:b/>
          <w:sz w:val="24"/>
          <w:szCs w:val="24"/>
        </w:rPr>
        <w:t xml:space="preserve"> et al. (2017) showed that people who feel valued, cared for, and validated are likely to be more committed and perform better, and that development is a clear indicator of this care. Second is psychological safety, which is a group's shared attitude that it is safe to speak up without punishment (Edmondson, 2019). This is not only a safety concern in aesthetics, but also a cultural one: a junior practitioner needs to be able to say, "I'm not sure I can do this injection site" or "I'm not sure about this injection site, but I did have a near miss. Thirdly, the job demands-resources model: development, feedback and autonomy as job resources buffer high demands and support engagement (Bakker et al., 2023).</w:t>
      </w:r>
    </w:p>
    <w:p w14:paraId="72C6B617" w14:textId="0395639A" w:rsidR="00A579B4" w:rsidRPr="0079089C" w:rsidRDefault="00A579B4"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This </w:t>
      </w:r>
      <w:proofErr w:type="gramStart"/>
      <w:r w:rsidRPr="0079089C">
        <w:rPr>
          <w:rFonts w:asciiTheme="majorHAnsi" w:hAnsiTheme="majorHAnsi" w:cstheme="majorHAnsi"/>
          <w:b/>
          <w:sz w:val="24"/>
          <w:szCs w:val="24"/>
        </w:rPr>
        <w:t>myself</w:t>
      </w:r>
      <w:proofErr w:type="gramEnd"/>
      <w:r w:rsidRPr="0079089C">
        <w:rPr>
          <w:rFonts w:asciiTheme="majorHAnsi" w:hAnsiTheme="majorHAnsi" w:cstheme="majorHAnsi"/>
          <w:b/>
          <w:sz w:val="24"/>
          <w:szCs w:val="24"/>
        </w:rPr>
        <w:t xml:space="preserve"> is an example. I </w:t>
      </w:r>
      <w:r w:rsidR="00E65D08" w:rsidRPr="0079089C">
        <w:rPr>
          <w:rFonts w:asciiTheme="majorHAnsi" w:hAnsiTheme="majorHAnsi" w:cstheme="majorHAnsi"/>
          <w:b/>
          <w:sz w:val="24"/>
          <w:szCs w:val="24"/>
        </w:rPr>
        <w:t>feel</w:t>
      </w:r>
      <w:r w:rsidRPr="0079089C">
        <w:rPr>
          <w:rFonts w:asciiTheme="majorHAnsi" w:hAnsiTheme="majorHAnsi" w:cstheme="majorHAnsi"/>
          <w:b/>
          <w:sz w:val="24"/>
          <w:szCs w:val="24"/>
        </w:rPr>
        <w:t xml:space="preserve"> valued at my work. But that feeling doesn't happen automatically; on reflection. It is based on recognition, independence and ongoing development, and it is a space in which, as a boss, I </w:t>
      </w:r>
      <w:proofErr w:type="gramStart"/>
      <w:r w:rsidRPr="0079089C">
        <w:rPr>
          <w:rFonts w:asciiTheme="majorHAnsi" w:hAnsiTheme="majorHAnsi" w:cstheme="majorHAnsi"/>
          <w:b/>
          <w:sz w:val="24"/>
          <w:szCs w:val="24"/>
        </w:rPr>
        <w:t>have to</w:t>
      </w:r>
      <w:proofErr w:type="gramEnd"/>
      <w:r w:rsidRPr="0079089C">
        <w:rPr>
          <w:rFonts w:asciiTheme="majorHAnsi" w:hAnsiTheme="majorHAnsi" w:cstheme="majorHAnsi"/>
          <w:b/>
          <w:sz w:val="24"/>
          <w:szCs w:val="24"/>
        </w:rPr>
        <w:t xml:space="preserve"> deliberately build these elements for the people </w:t>
      </w:r>
      <w:r w:rsidRPr="0079089C">
        <w:rPr>
          <w:rFonts w:asciiTheme="majorHAnsi" w:hAnsiTheme="majorHAnsi" w:cstheme="majorHAnsi"/>
          <w:b/>
          <w:sz w:val="24"/>
          <w:szCs w:val="24"/>
        </w:rPr>
        <w:lastRenderedPageBreak/>
        <w:t>that I'm working with and training. I am owner, manager, trainer, clinician and a colleague. It's a benefit, as relationships are close, and a danger, as there are blurred lines and feedback can come across as personal.</w:t>
      </w:r>
    </w:p>
    <w:p w14:paraId="4C449461" w14:textId="4E8771BB" w:rsidR="00A579B4" w:rsidRPr="0079089C" w:rsidRDefault="00A579B4"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Knowledge sharing is also critical to collaboration. However, even </w:t>
      </w:r>
      <w:proofErr w:type="gramStart"/>
      <w:r w:rsidRPr="0079089C">
        <w:rPr>
          <w:rFonts w:asciiTheme="majorHAnsi" w:hAnsiTheme="majorHAnsi" w:cstheme="majorHAnsi"/>
          <w:b/>
          <w:sz w:val="24"/>
          <w:szCs w:val="24"/>
        </w:rPr>
        <w:t>when</w:t>
      </w:r>
      <w:proofErr w:type="gramEnd"/>
      <w:r w:rsidRPr="0079089C">
        <w:rPr>
          <w:rFonts w:asciiTheme="majorHAnsi" w:hAnsiTheme="majorHAnsi" w:cstheme="majorHAnsi"/>
          <w:b/>
          <w:sz w:val="24"/>
          <w:szCs w:val="24"/>
        </w:rPr>
        <w:t xml:space="preserve"> the intentions to share tacit knowledge were positive, limited </w:t>
      </w:r>
      <w:proofErr w:type="spellStart"/>
      <w:r w:rsidRPr="0079089C">
        <w:rPr>
          <w:rFonts w:asciiTheme="majorHAnsi" w:hAnsiTheme="majorHAnsi" w:cstheme="majorHAnsi"/>
          <w:b/>
          <w:sz w:val="24"/>
          <w:szCs w:val="24"/>
        </w:rPr>
        <w:t>organisational</w:t>
      </w:r>
      <w:proofErr w:type="spellEnd"/>
      <w:r w:rsidRPr="0079089C">
        <w:rPr>
          <w:rFonts w:asciiTheme="majorHAnsi" w:hAnsiTheme="majorHAnsi" w:cstheme="majorHAnsi"/>
          <w:b/>
          <w:sz w:val="24"/>
          <w:szCs w:val="24"/>
        </w:rPr>
        <w:t xml:space="preserve"> investment, time for training and team involvement hindered by Castellani et al. (2021). A developing salon will be experiencing the same challenges. If planned, development turns individual learning into common </w:t>
      </w:r>
      <w:proofErr w:type="gramStart"/>
      <w:r w:rsidRPr="0079089C">
        <w:rPr>
          <w:rFonts w:asciiTheme="majorHAnsi" w:hAnsiTheme="majorHAnsi" w:cstheme="majorHAnsi"/>
          <w:b/>
          <w:sz w:val="24"/>
          <w:szCs w:val="24"/>
        </w:rPr>
        <w:t>capability, and</w:t>
      </w:r>
      <w:proofErr w:type="gramEnd"/>
      <w:r w:rsidRPr="0079089C">
        <w:rPr>
          <w:rFonts w:asciiTheme="majorHAnsi" w:hAnsiTheme="majorHAnsi" w:cstheme="majorHAnsi"/>
          <w:b/>
          <w:sz w:val="24"/>
          <w:szCs w:val="24"/>
        </w:rPr>
        <w:t xml:space="preserve"> is the way in which relationships and achievement are reinforced. A supportive learning environment, where differences are valued </w:t>
      </w:r>
      <w:r w:rsidR="00E65D08" w:rsidRPr="0079089C">
        <w:rPr>
          <w:rFonts w:asciiTheme="majorHAnsi" w:hAnsiTheme="majorHAnsi" w:cstheme="majorHAnsi"/>
          <w:b/>
          <w:sz w:val="24"/>
          <w:szCs w:val="24"/>
        </w:rPr>
        <w:t>and</w:t>
      </w:r>
      <w:r w:rsidRPr="0079089C">
        <w:rPr>
          <w:rFonts w:asciiTheme="majorHAnsi" w:hAnsiTheme="majorHAnsi" w:cstheme="majorHAnsi"/>
          <w:b/>
          <w:sz w:val="24"/>
          <w:szCs w:val="24"/>
        </w:rPr>
        <w:t xml:space="preserve"> mistakes </w:t>
      </w:r>
      <w:r w:rsidR="00E65D08" w:rsidRPr="0079089C">
        <w:rPr>
          <w:rFonts w:asciiTheme="majorHAnsi" w:hAnsiTheme="majorHAnsi" w:cstheme="majorHAnsi"/>
          <w:b/>
          <w:sz w:val="24"/>
          <w:szCs w:val="24"/>
        </w:rPr>
        <w:t xml:space="preserve">are </w:t>
      </w:r>
      <w:r w:rsidRPr="0079089C">
        <w:rPr>
          <w:rFonts w:asciiTheme="majorHAnsi" w:hAnsiTheme="majorHAnsi" w:cstheme="majorHAnsi"/>
          <w:b/>
          <w:sz w:val="24"/>
          <w:szCs w:val="24"/>
        </w:rPr>
        <w:t xml:space="preserve">treated as learning, is a prerequisite for </w:t>
      </w:r>
      <w:r w:rsidR="00E65D08" w:rsidRPr="0079089C">
        <w:rPr>
          <w:rFonts w:asciiTheme="majorHAnsi" w:hAnsiTheme="majorHAnsi" w:cstheme="majorHAnsi"/>
          <w:b/>
          <w:sz w:val="24"/>
          <w:szCs w:val="24"/>
        </w:rPr>
        <w:t xml:space="preserve">the </w:t>
      </w:r>
      <w:r w:rsidRPr="0079089C">
        <w:rPr>
          <w:rFonts w:asciiTheme="majorHAnsi" w:hAnsiTheme="majorHAnsi" w:cstheme="majorHAnsi"/>
          <w:b/>
          <w:sz w:val="24"/>
          <w:szCs w:val="24"/>
        </w:rPr>
        <w:t xml:space="preserve">learning processes which follow, as Garvin et al. (2008) state. The sections </w:t>
      </w:r>
      <w:proofErr w:type="gramStart"/>
      <w:r w:rsidRPr="0079089C">
        <w:rPr>
          <w:rFonts w:asciiTheme="majorHAnsi" w:hAnsiTheme="majorHAnsi" w:cstheme="majorHAnsi"/>
          <w:b/>
          <w:sz w:val="24"/>
          <w:szCs w:val="24"/>
        </w:rPr>
        <w:t>below then</w:t>
      </w:r>
      <w:proofErr w:type="gramEnd"/>
      <w:r w:rsidRPr="0079089C">
        <w:rPr>
          <w:rFonts w:asciiTheme="majorHAnsi" w:hAnsiTheme="majorHAnsi" w:cstheme="majorHAnsi"/>
          <w:b/>
          <w:sz w:val="24"/>
          <w:szCs w:val="24"/>
        </w:rPr>
        <w:t xml:space="preserve"> consider development not just a technical process, but also a relationship one.</w:t>
      </w:r>
    </w:p>
    <w:p w14:paraId="68CC600B" w14:textId="0E1BD638" w:rsidR="004E1D3B" w:rsidRPr="0079089C" w:rsidRDefault="00A579B4"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In practice, I would build these relationships through simple routines: a short weekly team huddle, </w:t>
      </w:r>
      <w:proofErr w:type="spellStart"/>
      <w:r w:rsidRPr="0079089C">
        <w:rPr>
          <w:rFonts w:asciiTheme="majorHAnsi" w:hAnsiTheme="majorHAnsi" w:cstheme="majorHAnsi"/>
          <w:b/>
          <w:sz w:val="24"/>
          <w:szCs w:val="24"/>
        </w:rPr>
        <w:t>anonymised</w:t>
      </w:r>
      <w:proofErr w:type="spellEnd"/>
      <w:r w:rsidRPr="0079089C">
        <w:rPr>
          <w:rFonts w:asciiTheme="majorHAnsi" w:hAnsiTheme="majorHAnsi" w:cstheme="majorHAnsi"/>
          <w:b/>
          <w:sz w:val="24"/>
          <w:szCs w:val="24"/>
        </w:rPr>
        <w:t xml:space="preserve"> case discussions in which treatment decisions and near misses are reviewed without blame, and explicit recognition of progress. All of these are not expensive, but each </w:t>
      </w:r>
      <w:proofErr w:type="gramStart"/>
      <w:r w:rsidRPr="0079089C">
        <w:rPr>
          <w:rFonts w:asciiTheme="majorHAnsi" w:hAnsiTheme="majorHAnsi" w:cstheme="majorHAnsi"/>
          <w:b/>
          <w:sz w:val="24"/>
          <w:szCs w:val="24"/>
        </w:rPr>
        <w:t>shows</w:t>
      </w:r>
      <w:proofErr w:type="gramEnd"/>
      <w:r w:rsidRPr="0079089C">
        <w:rPr>
          <w:rFonts w:asciiTheme="majorHAnsi" w:hAnsiTheme="majorHAnsi" w:cstheme="majorHAnsi"/>
          <w:b/>
          <w:sz w:val="24"/>
          <w:szCs w:val="24"/>
        </w:rPr>
        <w:t xml:space="preserve"> that learning is </w:t>
      </w:r>
      <w:proofErr w:type="gramStart"/>
      <w:r w:rsidRPr="0079089C">
        <w:rPr>
          <w:rFonts w:asciiTheme="majorHAnsi" w:hAnsiTheme="majorHAnsi" w:cstheme="majorHAnsi"/>
          <w:b/>
          <w:sz w:val="24"/>
          <w:szCs w:val="24"/>
        </w:rPr>
        <w:t>appreciated</w:t>
      </w:r>
      <w:proofErr w:type="gramEnd"/>
      <w:r w:rsidRPr="0079089C">
        <w:rPr>
          <w:rFonts w:asciiTheme="majorHAnsi" w:hAnsiTheme="majorHAnsi" w:cstheme="majorHAnsi"/>
          <w:b/>
          <w:sz w:val="24"/>
          <w:szCs w:val="24"/>
        </w:rPr>
        <w:t xml:space="preserve"> and people are seen as co-workers</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not capacity.</w:t>
      </w:r>
    </w:p>
    <w:p w14:paraId="038D70C6" w14:textId="77777777" w:rsidR="004E1D3B" w:rsidRPr="0079089C" w:rsidRDefault="00000000" w:rsidP="0079089C">
      <w:pPr>
        <w:pStyle w:val="Heading2"/>
        <w:spacing w:line="360" w:lineRule="auto"/>
        <w:rPr>
          <w:rFonts w:asciiTheme="majorHAnsi" w:hAnsiTheme="majorHAnsi" w:cstheme="majorHAnsi"/>
          <w:sz w:val="24"/>
          <w:szCs w:val="24"/>
        </w:rPr>
      </w:pPr>
      <w:bookmarkStart w:id="3" w:name="_Toc239145739"/>
      <w:r w:rsidRPr="0079089C">
        <w:rPr>
          <w:rFonts w:asciiTheme="majorHAnsi" w:hAnsiTheme="majorHAnsi" w:cstheme="majorHAnsi"/>
          <w:sz w:val="24"/>
          <w:szCs w:val="24"/>
        </w:rPr>
        <w:t>3. Benefits of developing individuals (Learning Outcome 1)</w:t>
      </w:r>
      <w:bookmarkEnd w:id="3"/>
    </w:p>
    <w:p w14:paraId="642C092F" w14:textId="656D7873" w:rsidR="004E1D3B" w:rsidRPr="0079089C" w:rsidRDefault="00A579B4"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Armstrong and Taylor (2023) note that training deals with a particular skill deficit and development refers to the growth of skills and capabilities over time, a process of learning and experience. This report is based on development in </w:t>
      </w:r>
      <w:proofErr w:type="gramStart"/>
      <w:r w:rsidRPr="0079089C">
        <w:rPr>
          <w:rFonts w:asciiTheme="majorHAnsi" w:hAnsiTheme="majorHAnsi" w:cstheme="majorHAnsi"/>
          <w:b/>
          <w:sz w:val="24"/>
          <w:szCs w:val="24"/>
        </w:rPr>
        <w:t>the</w:t>
      </w:r>
      <w:proofErr w:type="gramEnd"/>
      <w:r w:rsidRPr="0079089C">
        <w:rPr>
          <w:rFonts w:asciiTheme="majorHAnsi" w:hAnsiTheme="majorHAnsi" w:cstheme="majorHAnsi"/>
          <w:b/>
          <w:sz w:val="24"/>
          <w:szCs w:val="24"/>
        </w:rPr>
        <w:t xml:space="preserve"> broad context. The "individuals" are the practitioners, therapists and support staff that provide the service, and, via the academy, practitioners I teach.</w:t>
      </w:r>
    </w:p>
    <w:p w14:paraId="08694531" w14:textId="77777777" w:rsidR="004E1D3B" w:rsidRPr="0079089C" w:rsidRDefault="00000000" w:rsidP="0079089C">
      <w:pPr>
        <w:pStyle w:val="Heading3"/>
        <w:spacing w:line="360" w:lineRule="auto"/>
        <w:rPr>
          <w:rFonts w:asciiTheme="majorHAnsi" w:hAnsiTheme="majorHAnsi" w:cstheme="majorHAnsi"/>
          <w:szCs w:val="24"/>
        </w:rPr>
      </w:pPr>
      <w:bookmarkStart w:id="4" w:name="_Toc239145740"/>
      <w:r w:rsidRPr="0079089C">
        <w:rPr>
          <w:rFonts w:asciiTheme="majorHAnsi" w:hAnsiTheme="majorHAnsi" w:cstheme="majorHAnsi"/>
          <w:szCs w:val="24"/>
        </w:rPr>
        <w:t xml:space="preserve">3.1 Benefits to the </w:t>
      </w:r>
      <w:proofErr w:type="spellStart"/>
      <w:r w:rsidRPr="0079089C">
        <w:rPr>
          <w:rFonts w:asciiTheme="majorHAnsi" w:hAnsiTheme="majorHAnsi" w:cstheme="majorHAnsi"/>
          <w:szCs w:val="24"/>
        </w:rPr>
        <w:t>organisation</w:t>
      </w:r>
      <w:bookmarkEnd w:id="4"/>
      <w:proofErr w:type="spellEnd"/>
    </w:p>
    <w:p w14:paraId="4990189B" w14:textId="5206CC1D"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Safer, higher-quality practice. </w:t>
      </w:r>
      <w:r w:rsidR="00252C60" w:rsidRPr="0079089C">
        <w:rPr>
          <w:rFonts w:asciiTheme="majorHAnsi" w:hAnsiTheme="majorHAnsi" w:cstheme="majorHAnsi"/>
          <w:b/>
          <w:sz w:val="24"/>
          <w:szCs w:val="24"/>
        </w:rPr>
        <w:t xml:space="preserve">Competence in injectables is a client safety issue. They point out that inadequate training, which lacks structure and quality assurance, and inadequate anatomical knowledge are key risk factors for serious </w:t>
      </w:r>
      <w:proofErr w:type="gramStart"/>
      <w:r w:rsidR="00252C60" w:rsidRPr="0079089C">
        <w:rPr>
          <w:rFonts w:asciiTheme="majorHAnsi" w:hAnsiTheme="majorHAnsi" w:cstheme="majorHAnsi"/>
          <w:b/>
          <w:sz w:val="24"/>
          <w:szCs w:val="24"/>
        </w:rPr>
        <w:t>complications, and</w:t>
      </w:r>
      <w:proofErr w:type="gramEnd"/>
      <w:r w:rsidR="00252C60" w:rsidRPr="0079089C">
        <w:rPr>
          <w:rFonts w:asciiTheme="majorHAnsi" w:hAnsiTheme="majorHAnsi" w:cstheme="majorHAnsi"/>
          <w:b/>
          <w:sz w:val="24"/>
          <w:szCs w:val="24"/>
        </w:rPr>
        <w:t xml:space="preserve"> suggest regular complications management workshops. The </w:t>
      </w:r>
      <w:r w:rsidR="00E65D08" w:rsidRPr="0079089C">
        <w:rPr>
          <w:rFonts w:asciiTheme="majorHAnsi" w:hAnsiTheme="majorHAnsi" w:cstheme="majorHAnsi"/>
          <w:b/>
          <w:sz w:val="24"/>
          <w:szCs w:val="24"/>
        </w:rPr>
        <w:t>postgraduate-level</w:t>
      </w:r>
      <w:r w:rsidR="00252C60" w:rsidRPr="0079089C">
        <w:rPr>
          <w:rFonts w:asciiTheme="majorHAnsi" w:hAnsiTheme="majorHAnsi" w:cstheme="majorHAnsi"/>
          <w:b/>
          <w:sz w:val="24"/>
          <w:szCs w:val="24"/>
        </w:rPr>
        <w:t xml:space="preserve"> qualifications recommended by Health Education England (2015) for botulinum toxin and dermal fillers, in the main, are Level 7, </w:t>
      </w:r>
      <w:r w:rsidR="00252C60" w:rsidRPr="0079089C">
        <w:rPr>
          <w:rFonts w:asciiTheme="majorHAnsi" w:hAnsiTheme="majorHAnsi" w:cstheme="majorHAnsi"/>
          <w:b/>
          <w:sz w:val="24"/>
          <w:szCs w:val="24"/>
        </w:rPr>
        <w:lastRenderedPageBreak/>
        <w:t>along with supervised practice and annual updating. The Botulinum Toxin and Cosmetic Fillers (Children) Act 2021 already restricts treating under-18s, but wider training standards remain voluntary in England.</w:t>
      </w:r>
      <w:r w:rsidRPr="0079089C">
        <w:rPr>
          <w:rFonts w:asciiTheme="majorHAnsi" w:hAnsiTheme="majorHAnsi" w:cstheme="majorHAnsi"/>
          <w:b/>
          <w:sz w:val="24"/>
          <w:szCs w:val="24"/>
        </w:rPr>
        <w:t xml:space="preserve"> </w:t>
      </w:r>
      <w:r w:rsidR="00CB783C" w:rsidRPr="0079089C">
        <w:rPr>
          <w:rFonts w:asciiTheme="majorHAnsi" w:hAnsiTheme="majorHAnsi" w:cstheme="majorHAnsi"/>
          <w:b/>
          <w:sz w:val="24"/>
          <w:szCs w:val="24"/>
        </w:rPr>
        <w:t>The Health and Care Act 2022 currently proposes a licensing scheme</w:t>
      </w:r>
      <w:r w:rsidR="00E65D08" w:rsidRPr="0079089C">
        <w:rPr>
          <w:rFonts w:asciiTheme="majorHAnsi" w:hAnsiTheme="majorHAnsi" w:cstheme="majorHAnsi"/>
          <w:b/>
          <w:sz w:val="24"/>
          <w:szCs w:val="24"/>
        </w:rPr>
        <w:t>,</w:t>
      </w:r>
      <w:r w:rsidR="00CB783C" w:rsidRPr="0079089C">
        <w:rPr>
          <w:rFonts w:asciiTheme="majorHAnsi" w:hAnsiTheme="majorHAnsi" w:cstheme="majorHAnsi"/>
          <w:b/>
          <w:sz w:val="24"/>
          <w:szCs w:val="24"/>
        </w:rPr>
        <w:t xml:space="preserve"> and a government response in 2025 sets out a three-tiered, risk-based system (Balogun, 2025). Staff development protects clients and future-proofs the business against regulation.</w:t>
      </w:r>
    </w:p>
    <w:p w14:paraId="380CC7CD" w14:textId="3063B2F4"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Retention and engagement. </w:t>
      </w:r>
      <w:r w:rsidR="000D19A9" w:rsidRPr="0079089C">
        <w:rPr>
          <w:rFonts w:asciiTheme="majorHAnsi" w:hAnsiTheme="majorHAnsi" w:cstheme="majorHAnsi"/>
          <w:b/>
          <w:sz w:val="24"/>
          <w:szCs w:val="24"/>
        </w:rPr>
        <w:t>Development support increases P.O.S.</w:t>
      </w:r>
      <w:r w:rsidR="00E65D08" w:rsidRPr="0079089C">
        <w:rPr>
          <w:rFonts w:asciiTheme="majorHAnsi" w:hAnsiTheme="majorHAnsi" w:cstheme="majorHAnsi"/>
          <w:b/>
          <w:sz w:val="24"/>
          <w:szCs w:val="24"/>
        </w:rPr>
        <w:t>,</w:t>
      </w:r>
      <w:r w:rsidR="000D19A9" w:rsidRPr="0079089C">
        <w:rPr>
          <w:rFonts w:asciiTheme="majorHAnsi" w:hAnsiTheme="majorHAnsi" w:cstheme="majorHAnsi"/>
          <w:b/>
          <w:sz w:val="24"/>
          <w:szCs w:val="24"/>
        </w:rPr>
        <w:t xml:space="preserve"> which is associated with commitment and decreased turnover (</w:t>
      </w:r>
      <w:proofErr w:type="spellStart"/>
      <w:r w:rsidR="000D19A9" w:rsidRPr="0079089C">
        <w:rPr>
          <w:rFonts w:asciiTheme="majorHAnsi" w:hAnsiTheme="majorHAnsi" w:cstheme="majorHAnsi"/>
          <w:b/>
          <w:sz w:val="24"/>
          <w:szCs w:val="24"/>
        </w:rPr>
        <w:t>Kurtessis</w:t>
      </w:r>
      <w:proofErr w:type="spellEnd"/>
      <w:r w:rsidR="000D19A9" w:rsidRPr="0079089C">
        <w:rPr>
          <w:rFonts w:asciiTheme="majorHAnsi" w:hAnsiTheme="majorHAnsi" w:cstheme="majorHAnsi"/>
          <w:b/>
          <w:sz w:val="24"/>
          <w:szCs w:val="24"/>
        </w:rPr>
        <w:t xml:space="preserve"> et al., 2017). This matters because development is scarce: only 11% of UK workers took part in job-related training in 2024, and employer investment per trainee fell 27% between 2011 and 2022 (Crowley &amp; </w:t>
      </w:r>
      <w:proofErr w:type="spellStart"/>
      <w:r w:rsidR="000D19A9" w:rsidRPr="0079089C">
        <w:rPr>
          <w:rFonts w:asciiTheme="majorHAnsi" w:hAnsiTheme="majorHAnsi" w:cstheme="majorHAnsi"/>
          <w:b/>
          <w:sz w:val="24"/>
          <w:szCs w:val="24"/>
        </w:rPr>
        <w:t>Zemanik</w:t>
      </w:r>
      <w:proofErr w:type="spellEnd"/>
      <w:r w:rsidR="000D19A9" w:rsidRPr="0079089C">
        <w:rPr>
          <w:rFonts w:asciiTheme="majorHAnsi" w:hAnsiTheme="majorHAnsi" w:cstheme="majorHAnsi"/>
          <w:b/>
          <w:sz w:val="24"/>
          <w:szCs w:val="24"/>
        </w:rPr>
        <w:t>, 2025). A small employer who is visibly invested will stand out as an employer.</w:t>
      </w:r>
    </w:p>
    <w:p w14:paraId="5D59E6FA" w14:textId="7DF100AA"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Knowledge continuity and capacity. </w:t>
      </w:r>
      <w:r w:rsidR="000D19A9" w:rsidRPr="0079089C">
        <w:rPr>
          <w:rFonts w:asciiTheme="majorHAnsi" w:hAnsiTheme="majorHAnsi" w:cstheme="majorHAnsi"/>
          <w:b/>
          <w:sz w:val="24"/>
          <w:szCs w:val="24"/>
        </w:rPr>
        <w:t>Currently</w:t>
      </w:r>
      <w:r w:rsidR="00E65D08" w:rsidRPr="0079089C">
        <w:rPr>
          <w:rFonts w:asciiTheme="majorHAnsi" w:hAnsiTheme="majorHAnsi" w:cstheme="majorHAnsi"/>
          <w:b/>
          <w:sz w:val="24"/>
          <w:szCs w:val="24"/>
        </w:rPr>
        <w:t>,</w:t>
      </w:r>
      <w:r w:rsidR="000D19A9" w:rsidRPr="0079089C">
        <w:rPr>
          <w:rFonts w:asciiTheme="majorHAnsi" w:hAnsiTheme="majorHAnsi" w:cstheme="majorHAnsi"/>
          <w:b/>
          <w:sz w:val="24"/>
          <w:szCs w:val="24"/>
        </w:rPr>
        <w:t xml:space="preserve"> much of the business's expertise sits with me, a key-person dependency. </w:t>
      </w:r>
      <w:proofErr w:type="gramStart"/>
      <w:r w:rsidR="000D19A9" w:rsidRPr="0079089C">
        <w:rPr>
          <w:rFonts w:asciiTheme="majorHAnsi" w:hAnsiTheme="majorHAnsi" w:cstheme="majorHAnsi"/>
          <w:b/>
          <w:sz w:val="24"/>
          <w:szCs w:val="24"/>
        </w:rPr>
        <w:t>Systematic development spreads tacit knowledge,</w:t>
      </w:r>
      <w:proofErr w:type="gramEnd"/>
      <w:r w:rsidR="000D19A9" w:rsidRPr="0079089C">
        <w:rPr>
          <w:rFonts w:asciiTheme="majorHAnsi" w:hAnsiTheme="majorHAnsi" w:cstheme="majorHAnsi"/>
          <w:b/>
          <w:sz w:val="24"/>
          <w:szCs w:val="24"/>
        </w:rPr>
        <w:t xml:space="preserve"> supports the second site and gives the academy a pool of future trainers (Powell &amp; Snellman, 2004; Senge, 1990/2006).</w:t>
      </w:r>
    </w:p>
    <w:p w14:paraId="5CFEE70D" w14:textId="2AE3BF08"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Innovation, income and reputation. </w:t>
      </w:r>
      <w:r w:rsidR="000D19A9" w:rsidRPr="0079089C">
        <w:rPr>
          <w:rFonts w:asciiTheme="majorHAnsi" w:hAnsiTheme="majorHAnsi" w:cstheme="majorHAnsi"/>
          <w:b/>
          <w:sz w:val="24"/>
          <w:szCs w:val="24"/>
        </w:rPr>
        <w:t xml:space="preserve">The academy turns the expertise into an additional revenue stream and boosts the brand, but </w:t>
      </w:r>
      <w:r w:rsidR="00E65D08" w:rsidRPr="0079089C">
        <w:rPr>
          <w:rFonts w:asciiTheme="majorHAnsi" w:hAnsiTheme="majorHAnsi" w:cstheme="majorHAnsi"/>
          <w:b/>
          <w:sz w:val="24"/>
          <w:szCs w:val="24"/>
        </w:rPr>
        <w:t>only</w:t>
      </w:r>
      <w:r w:rsidR="000D19A9" w:rsidRPr="0079089C">
        <w:rPr>
          <w:rFonts w:asciiTheme="majorHAnsi" w:hAnsiTheme="majorHAnsi" w:cstheme="majorHAnsi"/>
          <w:b/>
          <w:sz w:val="24"/>
          <w:szCs w:val="24"/>
        </w:rPr>
        <w:t xml:space="preserve"> if the folks </w:t>
      </w:r>
      <w:proofErr w:type="gramStart"/>
      <w:r w:rsidR="000D19A9" w:rsidRPr="0079089C">
        <w:rPr>
          <w:rFonts w:asciiTheme="majorHAnsi" w:hAnsiTheme="majorHAnsi" w:cstheme="majorHAnsi"/>
          <w:b/>
          <w:sz w:val="24"/>
          <w:szCs w:val="24"/>
        </w:rPr>
        <w:t>offering</w:t>
      </w:r>
      <w:proofErr w:type="gramEnd"/>
      <w:r w:rsidR="000D19A9" w:rsidRPr="0079089C">
        <w:rPr>
          <w:rFonts w:asciiTheme="majorHAnsi" w:hAnsiTheme="majorHAnsi" w:cstheme="majorHAnsi"/>
          <w:b/>
          <w:sz w:val="24"/>
          <w:szCs w:val="24"/>
        </w:rPr>
        <w:t xml:space="preserve"> </w:t>
      </w:r>
      <w:r w:rsidR="00E65D08" w:rsidRPr="0079089C">
        <w:rPr>
          <w:rFonts w:asciiTheme="majorHAnsi" w:hAnsiTheme="majorHAnsi" w:cstheme="majorHAnsi"/>
          <w:b/>
          <w:sz w:val="24"/>
          <w:szCs w:val="24"/>
        </w:rPr>
        <w:t>it are</w:t>
      </w:r>
      <w:r w:rsidR="000D19A9" w:rsidRPr="0079089C">
        <w:rPr>
          <w:rFonts w:asciiTheme="majorHAnsi" w:hAnsiTheme="majorHAnsi" w:cstheme="majorHAnsi"/>
          <w:b/>
          <w:sz w:val="24"/>
          <w:szCs w:val="24"/>
        </w:rPr>
        <w:t xml:space="preserve"> believable. In the development culture, the </w:t>
      </w:r>
      <w:proofErr w:type="spellStart"/>
      <w:r w:rsidR="000D19A9" w:rsidRPr="0079089C">
        <w:rPr>
          <w:rFonts w:asciiTheme="majorHAnsi" w:hAnsiTheme="majorHAnsi" w:cstheme="majorHAnsi"/>
          <w:b/>
          <w:sz w:val="24"/>
          <w:szCs w:val="24"/>
        </w:rPr>
        <w:t>organisation</w:t>
      </w:r>
      <w:proofErr w:type="spellEnd"/>
      <w:r w:rsidR="000D19A9" w:rsidRPr="0079089C">
        <w:rPr>
          <w:rFonts w:asciiTheme="majorHAnsi" w:hAnsiTheme="majorHAnsi" w:cstheme="majorHAnsi"/>
          <w:b/>
          <w:sz w:val="24"/>
          <w:szCs w:val="24"/>
        </w:rPr>
        <w:t xml:space="preserve"> is also more flexible and able to adapt to new treatments and evolving client expectations, which Senge (1990/2006) calls generative learning as opposed to mere survival. Commercial development of people is </w:t>
      </w:r>
      <w:proofErr w:type="gramStart"/>
      <w:r w:rsidR="000D19A9" w:rsidRPr="0079089C">
        <w:rPr>
          <w:rFonts w:asciiTheme="majorHAnsi" w:hAnsiTheme="majorHAnsi" w:cstheme="majorHAnsi"/>
          <w:b/>
          <w:sz w:val="24"/>
          <w:szCs w:val="24"/>
        </w:rPr>
        <w:t>as well as</w:t>
      </w:r>
      <w:proofErr w:type="gramEnd"/>
      <w:r w:rsidR="000D19A9" w:rsidRPr="0079089C">
        <w:rPr>
          <w:rFonts w:asciiTheme="majorHAnsi" w:hAnsiTheme="majorHAnsi" w:cstheme="majorHAnsi"/>
          <w:b/>
          <w:sz w:val="24"/>
          <w:szCs w:val="24"/>
        </w:rPr>
        <w:t xml:space="preserve"> ethical, as reputation is driven by outcomes and safety in this sector.</w:t>
      </w:r>
    </w:p>
    <w:p w14:paraId="39F2BC95" w14:textId="0A979336"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Stronger working relationships. </w:t>
      </w:r>
      <w:r w:rsidR="00DB5A8D" w:rsidRPr="0079089C">
        <w:rPr>
          <w:rFonts w:asciiTheme="majorHAnsi" w:hAnsiTheme="majorHAnsi" w:cstheme="majorHAnsi"/>
          <w:b/>
          <w:sz w:val="24"/>
          <w:szCs w:val="24"/>
        </w:rPr>
        <w:t xml:space="preserve">The </w:t>
      </w:r>
      <w:proofErr w:type="spellStart"/>
      <w:r w:rsidR="00DB5A8D" w:rsidRPr="0079089C">
        <w:rPr>
          <w:rFonts w:asciiTheme="majorHAnsi" w:hAnsiTheme="majorHAnsi" w:cstheme="majorHAnsi"/>
          <w:b/>
          <w:sz w:val="24"/>
          <w:szCs w:val="24"/>
        </w:rPr>
        <w:t>organisation</w:t>
      </w:r>
      <w:proofErr w:type="spellEnd"/>
      <w:r w:rsidR="00DB5A8D" w:rsidRPr="0079089C">
        <w:rPr>
          <w:rFonts w:asciiTheme="majorHAnsi" w:hAnsiTheme="majorHAnsi" w:cstheme="majorHAnsi"/>
          <w:b/>
          <w:sz w:val="24"/>
          <w:szCs w:val="24"/>
        </w:rPr>
        <w:t xml:space="preserve"> is also indirectly supported by development, which focuses on the working environment. Staff learning together means they share the same language for assessment and consent</w:t>
      </w:r>
      <w:r w:rsidR="00E65D08" w:rsidRPr="0079089C">
        <w:rPr>
          <w:rFonts w:asciiTheme="majorHAnsi" w:hAnsiTheme="majorHAnsi" w:cstheme="majorHAnsi"/>
          <w:b/>
          <w:sz w:val="24"/>
          <w:szCs w:val="24"/>
        </w:rPr>
        <w:t>,</w:t>
      </w:r>
      <w:r w:rsidR="00DB5A8D" w:rsidRPr="0079089C">
        <w:rPr>
          <w:rFonts w:asciiTheme="majorHAnsi" w:hAnsiTheme="majorHAnsi" w:cstheme="majorHAnsi"/>
          <w:b/>
          <w:sz w:val="24"/>
          <w:szCs w:val="24"/>
        </w:rPr>
        <w:t xml:space="preserve"> and aftercare</w:t>
      </w:r>
      <w:r w:rsidR="00E65D08" w:rsidRPr="0079089C">
        <w:rPr>
          <w:rFonts w:asciiTheme="majorHAnsi" w:hAnsiTheme="majorHAnsi" w:cstheme="majorHAnsi"/>
          <w:b/>
          <w:sz w:val="24"/>
          <w:szCs w:val="24"/>
        </w:rPr>
        <w:t>;</w:t>
      </w:r>
      <w:r w:rsidR="00DB5A8D" w:rsidRPr="0079089C">
        <w:rPr>
          <w:rFonts w:asciiTheme="majorHAnsi" w:hAnsiTheme="majorHAnsi" w:cstheme="majorHAnsi"/>
          <w:b/>
          <w:sz w:val="24"/>
          <w:szCs w:val="24"/>
        </w:rPr>
        <w:t xml:space="preserve"> thus</w:t>
      </w:r>
      <w:r w:rsidR="00E65D08" w:rsidRPr="0079089C">
        <w:rPr>
          <w:rFonts w:asciiTheme="majorHAnsi" w:hAnsiTheme="majorHAnsi" w:cstheme="majorHAnsi"/>
          <w:b/>
          <w:sz w:val="24"/>
          <w:szCs w:val="24"/>
        </w:rPr>
        <w:t>,</w:t>
      </w:r>
      <w:r w:rsidR="00DB5A8D" w:rsidRPr="0079089C">
        <w:rPr>
          <w:rFonts w:asciiTheme="majorHAnsi" w:hAnsiTheme="majorHAnsi" w:cstheme="majorHAnsi"/>
          <w:b/>
          <w:sz w:val="24"/>
          <w:szCs w:val="24"/>
        </w:rPr>
        <w:t xml:space="preserve"> there is less misunderstanding</w:t>
      </w:r>
      <w:r w:rsidR="00E65D08" w:rsidRPr="0079089C">
        <w:rPr>
          <w:rFonts w:asciiTheme="majorHAnsi" w:hAnsiTheme="majorHAnsi" w:cstheme="majorHAnsi"/>
          <w:b/>
          <w:sz w:val="24"/>
          <w:szCs w:val="24"/>
        </w:rPr>
        <w:t>,</w:t>
      </w:r>
      <w:r w:rsidR="00DB5A8D" w:rsidRPr="0079089C">
        <w:rPr>
          <w:rFonts w:asciiTheme="majorHAnsi" w:hAnsiTheme="majorHAnsi" w:cstheme="majorHAnsi"/>
          <w:b/>
          <w:sz w:val="24"/>
          <w:szCs w:val="24"/>
        </w:rPr>
        <w:t xml:space="preserve"> and it is easier for them to challenge each other positively. It is a fundamental that helps build collaboration and </w:t>
      </w:r>
      <w:proofErr w:type="gramStart"/>
      <w:r w:rsidR="00E65D08" w:rsidRPr="0079089C">
        <w:rPr>
          <w:rFonts w:asciiTheme="majorHAnsi" w:hAnsiTheme="majorHAnsi" w:cstheme="majorHAnsi"/>
          <w:b/>
          <w:sz w:val="24"/>
          <w:szCs w:val="24"/>
        </w:rPr>
        <w:t xml:space="preserve">a </w:t>
      </w:r>
      <w:r w:rsidR="00DB5A8D" w:rsidRPr="0079089C">
        <w:rPr>
          <w:rFonts w:asciiTheme="majorHAnsi" w:hAnsiTheme="majorHAnsi" w:cstheme="majorHAnsi"/>
          <w:b/>
          <w:sz w:val="24"/>
          <w:szCs w:val="24"/>
        </w:rPr>
        <w:t>consistent</w:t>
      </w:r>
      <w:proofErr w:type="gramEnd"/>
      <w:r w:rsidR="00DB5A8D" w:rsidRPr="0079089C">
        <w:rPr>
          <w:rFonts w:asciiTheme="majorHAnsi" w:hAnsiTheme="majorHAnsi" w:cstheme="majorHAnsi"/>
          <w:b/>
          <w:sz w:val="24"/>
          <w:szCs w:val="24"/>
        </w:rPr>
        <w:t xml:space="preserve"> client experience in a small salon where everybody relies on another for cover and second opinions.</w:t>
      </w:r>
    </w:p>
    <w:p w14:paraId="30397852" w14:textId="77777777" w:rsidR="004E1D3B" w:rsidRPr="0079089C" w:rsidRDefault="00000000" w:rsidP="0079089C">
      <w:pPr>
        <w:pStyle w:val="Heading3"/>
        <w:spacing w:line="360" w:lineRule="auto"/>
        <w:rPr>
          <w:rFonts w:asciiTheme="majorHAnsi" w:hAnsiTheme="majorHAnsi" w:cstheme="majorHAnsi"/>
          <w:szCs w:val="24"/>
        </w:rPr>
      </w:pPr>
      <w:bookmarkStart w:id="5" w:name="_Toc239145741"/>
      <w:r w:rsidRPr="0079089C">
        <w:rPr>
          <w:rFonts w:asciiTheme="majorHAnsi" w:hAnsiTheme="majorHAnsi" w:cstheme="majorHAnsi"/>
          <w:szCs w:val="24"/>
        </w:rPr>
        <w:lastRenderedPageBreak/>
        <w:t>3.2 Benefits to the individual</w:t>
      </w:r>
      <w:bookmarkEnd w:id="5"/>
    </w:p>
    <w:p w14:paraId="27C9B39D" w14:textId="5B053EB4"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Competence, autonomy and confidence. </w:t>
      </w:r>
      <w:r w:rsidR="00E408F4" w:rsidRPr="0079089C">
        <w:rPr>
          <w:rFonts w:asciiTheme="majorHAnsi" w:hAnsiTheme="majorHAnsi" w:cstheme="majorHAnsi"/>
          <w:b/>
          <w:sz w:val="24"/>
          <w:szCs w:val="24"/>
        </w:rPr>
        <w:t>According to the self-determination theory, competence, autonomy and relatedness (C-A-R) are conditions required for motivation and wellbeing (Ryan &amp; Deci, 2020). Structured development builds competence, delegated responsibility builds autonomy, and shared learning builds relatedness.</w:t>
      </w:r>
    </w:p>
    <w:p w14:paraId="7FFC4EFF" w14:textId="4C5C9E41"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Employability and a sustainable career. </w:t>
      </w:r>
      <w:r w:rsidR="00E408F4" w:rsidRPr="0079089C">
        <w:rPr>
          <w:rFonts w:asciiTheme="majorHAnsi" w:hAnsiTheme="majorHAnsi" w:cstheme="majorHAnsi"/>
          <w:b/>
          <w:sz w:val="24"/>
          <w:szCs w:val="24"/>
        </w:rPr>
        <w:t xml:space="preserve">A sustainable career is a healthy, productive and fulfilling career over time, which involves ongoing learning and alignment of person and context (De Vos et al., 2020). Identifiable transferable skills help </w:t>
      </w:r>
      <w:r w:rsidR="00E65D08" w:rsidRPr="0079089C">
        <w:rPr>
          <w:rFonts w:asciiTheme="majorHAnsi" w:hAnsiTheme="majorHAnsi" w:cstheme="majorHAnsi"/>
          <w:b/>
          <w:sz w:val="24"/>
          <w:szCs w:val="24"/>
        </w:rPr>
        <w:t>a</w:t>
      </w:r>
      <w:r w:rsidR="00E408F4" w:rsidRPr="0079089C">
        <w:rPr>
          <w:rFonts w:asciiTheme="majorHAnsi" w:hAnsiTheme="majorHAnsi" w:cstheme="majorHAnsi"/>
          <w:b/>
          <w:sz w:val="24"/>
          <w:szCs w:val="24"/>
        </w:rPr>
        <w:t xml:space="preserve"> practitioner's value in the </w:t>
      </w:r>
      <w:r w:rsidR="00E65D08" w:rsidRPr="0079089C">
        <w:rPr>
          <w:rFonts w:asciiTheme="majorHAnsi" w:hAnsiTheme="majorHAnsi" w:cstheme="majorHAnsi"/>
          <w:b/>
          <w:sz w:val="24"/>
          <w:szCs w:val="24"/>
        </w:rPr>
        <w:t>long term</w:t>
      </w:r>
      <w:r w:rsidR="00E408F4" w:rsidRPr="0079089C">
        <w:rPr>
          <w:rFonts w:asciiTheme="majorHAnsi" w:hAnsiTheme="majorHAnsi" w:cstheme="majorHAnsi"/>
          <w:b/>
          <w:sz w:val="24"/>
          <w:szCs w:val="24"/>
        </w:rPr>
        <w:t>. Development is also a job resource that buffers against burnout during development (Bakker et al., 2023).</w:t>
      </w:r>
    </w:p>
    <w:p w14:paraId="0D6F78FD" w14:textId="77777777" w:rsidR="004E1D3B" w:rsidRPr="0079089C" w:rsidRDefault="00000000" w:rsidP="0079089C">
      <w:pPr>
        <w:pStyle w:val="Heading3"/>
        <w:spacing w:line="360" w:lineRule="auto"/>
        <w:rPr>
          <w:rFonts w:asciiTheme="majorHAnsi" w:hAnsiTheme="majorHAnsi" w:cstheme="majorHAnsi"/>
          <w:szCs w:val="24"/>
        </w:rPr>
      </w:pPr>
      <w:bookmarkStart w:id="6" w:name="_Toc239145742"/>
      <w:r w:rsidRPr="0079089C">
        <w:rPr>
          <w:rFonts w:asciiTheme="majorHAnsi" w:hAnsiTheme="majorHAnsi" w:cstheme="majorHAnsi"/>
          <w:szCs w:val="24"/>
        </w:rPr>
        <w:t>3.3 Critical judgement</w:t>
      </w:r>
      <w:bookmarkEnd w:id="6"/>
    </w:p>
    <w:p w14:paraId="5A410F50" w14:textId="1C0CC163" w:rsidR="0008716B" w:rsidRPr="0079089C" w:rsidRDefault="0008716B"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The benefits that the application offers are real but conditional. Many benefits are hard to measure, such as reputation, and training only helps when it is well designed and the trainee is supported to transfer it to practice (Salas et al., 2012). The most acute issue is “poaching.” Human-capital theory predicts firms will under-invest in general, portable skills because trained workers can leave, although </w:t>
      </w:r>
      <w:proofErr w:type="spellStart"/>
      <w:r w:rsidRPr="0079089C">
        <w:rPr>
          <w:rFonts w:asciiTheme="majorHAnsi" w:hAnsiTheme="majorHAnsi" w:cstheme="majorHAnsi"/>
          <w:b/>
          <w:sz w:val="24"/>
          <w:szCs w:val="24"/>
        </w:rPr>
        <w:t>labour</w:t>
      </w:r>
      <w:proofErr w:type="spellEnd"/>
      <w:r w:rsidRPr="0079089C">
        <w:rPr>
          <w:rFonts w:asciiTheme="majorHAnsi" w:hAnsiTheme="majorHAnsi" w:cstheme="majorHAnsi"/>
          <w:b/>
          <w:sz w:val="24"/>
          <w:szCs w:val="24"/>
        </w:rPr>
        <w:t xml:space="preserve">-market frictions can give firms reason to invest regardless (Acemoglu &amp; Pischke, 1999). </w:t>
      </w:r>
      <w:r w:rsidR="00E65D08" w:rsidRPr="0079089C">
        <w:rPr>
          <w:rFonts w:asciiTheme="majorHAnsi" w:hAnsiTheme="majorHAnsi" w:cstheme="majorHAnsi"/>
          <w:b/>
          <w:sz w:val="24"/>
          <w:szCs w:val="24"/>
        </w:rPr>
        <w:t>Aesthetic</w:t>
      </w:r>
      <w:r w:rsidRPr="0079089C">
        <w:rPr>
          <w:rFonts w:asciiTheme="majorHAnsi" w:hAnsiTheme="majorHAnsi" w:cstheme="majorHAnsi"/>
          <w:b/>
          <w:sz w:val="24"/>
          <w:szCs w:val="24"/>
        </w:rPr>
        <w:t xml:space="preserve"> skills are highly portable, and my academy deliberately trains people who may become competitors. Informality and resource </w:t>
      </w:r>
      <w:r w:rsidR="00E65D08" w:rsidRPr="0079089C">
        <w:rPr>
          <w:rFonts w:asciiTheme="majorHAnsi" w:hAnsiTheme="majorHAnsi" w:cstheme="majorHAnsi"/>
          <w:b/>
          <w:sz w:val="24"/>
          <w:szCs w:val="24"/>
        </w:rPr>
        <w:t>constraints in</w:t>
      </w:r>
      <w:r w:rsidRPr="0079089C">
        <w:rPr>
          <w:rFonts w:asciiTheme="majorHAnsi" w:hAnsiTheme="majorHAnsi" w:cstheme="majorHAnsi"/>
          <w:b/>
          <w:sz w:val="24"/>
          <w:szCs w:val="24"/>
        </w:rPr>
        <w:t xml:space="preserve"> people management </w:t>
      </w:r>
      <w:r w:rsidR="00E65D08" w:rsidRPr="0079089C">
        <w:rPr>
          <w:rFonts w:asciiTheme="majorHAnsi" w:hAnsiTheme="majorHAnsi" w:cstheme="majorHAnsi"/>
          <w:b/>
          <w:sz w:val="24"/>
          <w:szCs w:val="24"/>
        </w:rPr>
        <w:t>are</w:t>
      </w:r>
      <w:r w:rsidRPr="0079089C">
        <w:rPr>
          <w:rFonts w:asciiTheme="majorHAnsi" w:hAnsiTheme="majorHAnsi" w:cstheme="majorHAnsi"/>
          <w:b/>
          <w:sz w:val="24"/>
          <w:szCs w:val="24"/>
        </w:rPr>
        <w:t xml:space="preserve"> also mentioned, where the owner-manager is </w:t>
      </w:r>
      <w:r w:rsidR="00E65D08" w:rsidRPr="0079089C">
        <w:rPr>
          <w:rFonts w:asciiTheme="majorHAnsi" w:hAnsiTheme="majorHAnsi" w:cstheme="majorHAnsi"/>
          <w:b/>
          <w:sz w:val="24"/>
          <w:szCs w:val="24"/>
        </w:rPr>
        <w:t>at</w:t>
      </w:r>
      <w:r w:rsidRPr="0079089C">
        <w:rPr>
          <w:rFonts w:asciiTheme="majorHAnsi" w:hAnsiTheme="majorHAnsi" w:cstheme="majorHAnsi"/>
          <w:b/>
          <w:sz w:val="24"/>
          <w:szCs w:val="24"/>
        </w:rPr>
        <w:t xml:space="preserve"> the </w:t>
      </w:r>
      <w:proofErr w:type="spellStart"/>
      <w:r w:rsidR="00E65D08" w:rsidRPr="0079089C">
        <w:rPr>
          <w:rFonts w:asciiTheme="majorHAnsi" w:hAnsiTheme="majorHAnsi" w:cstheme="majorHAnsi"/>
          <w:b/>
          <w:sz w:val="24"/>
          <w:szCs w:val="24"/>
        </w:rPr>
        <w:t>centre</w:t>
      </w:r>
      <w:proofErr w:type="spellEnd"/>
      <w:r w:rsidRPr="0079089C">
        <w:rPr>
          <w:rFonts w:asciiTheme="majorHAnsi" w:hAnsiTheme="majorHAnsi" w:cstheme="majorHAnsi"/>
          <w:b/>
          <w:sz w:val="24"/>
          <w:szCs w:val="24"/>
        </w:rPr>
        <w:t xml:space="preserve"> (Harney &amp; Alkhalaf, 2021), and each day of a practitioner's learning is a day of missed revenue.</w:t>
      </w:r>
    </w:p>
    <w:p w14:paraId="5DEFFF66" w14:textId="20D79914" w:rsidR="004E1D3B" w:rsidRPr="0079089C" w:rsidRDefault="0008716B"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Another warning is due to the evidence base. Development and performance literature is derived from large </w:t>
      </w:r>
      <w:proofErr w:type="spellStart"/>
      <w:r w:rsidRPr="0079089C">
        <w:rPr>
          <w:rFonts w:asciiTheme="majorHAnsi" w:hAnsiTheme="majorHAnsi" w:cstheme="majorHAnsi"/>
          <w:b/>
          <w:sz w:val="24"/>
          <w:szCs w:val="24"/>
        </w:rPr>
        <w:t>organisations</w:t>
      </w:r>
      <w:proofErr w:type="spellEnd"/>
      <w:r w:rsidRPr="0079089C">
        <w:rPr>
          <w:rFonts w:asciiTheme="majorHAnsi" w:hAnsiTheme="majorHAnsi" w:cstheme="majorHAnsi"/>
          <w:b/>
          <w:sz w:val="24"/>
          <w:szCs w:val="24"/>
        </w:rPr>
        <w:t xml:space="preserve"> or self-reported </w:t>
      </w:r>
      <w:proofErr w:type="gramStart"/>
      <w:r w:rsidRPr="0079089C">
        <w:rPr>
          <w:rFonts w:asciiTheme="majorHAnsi" w:hAnsiTheme="majorHAnsi" w:cstheme="majorHAnsi"/>
          <w:b/>
          <w:sz w:val="24"/>
          <w:szCs w:val="24"/>
        </w:rPr>
        <w:t>measures</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or</w:t>
      </w:r>
      <w:proofErr w:type="gramEnd"/>
      <w:r w:rsidRPr="0079089C">
        <w:rPr>
          <w:rFonts w:asciiTheme="majorHAnsi" w:hAnsiTheme="majorHAnsi" w:cstheme="majorHAnsi"/>
          <w:b/>
          <w:sz w:val="24"/>
          <w:szCs w:val="24"/>
        </w:rPr>
        <w:t xml:space="preserve"> cannot distinguish the effect of training from the effect of a supportive employer in general, so it is an inference and not a certainty for a micro-business. The benefits to individuals and </w:t>
      </w:r>
      <w:proofErr w:type="spellStart"/>
      <w:r w:rsidRPr="0079089C">
        <w:rPr>
          <w:rFonts w:asciiTheme="majorHAnsi" w:hAnsiTheme="majorHAnsi" w:cstheme="majorHAnsi"/>
          <w:b/>
          <w:sz w:val="24"/>
          <w:szCs w:val="24"/>
        </w:rPr>
        <w:t>organisations</w:t>
      </w:r>
      <w:proofErr w:type="spellEnd"/>
      <w:r w:rsidRPr="0079089C">
        <w:rPr>
          <w:rFonts w:asciiTheme="majorHAnsi" w:hAnsiTheme="majorHAnsi" w:cstheme="majorHAnsi"/>
          <w:b/>
          <w:sz w:val="24"/>
          <w:szCs w:val="24"/>
        </w:rPr>
        <w:t xml:space="preserve"> also do not always coincide. Practitioner </w:t>
      </w:r>
      <w:proofErr w:type="gramStart"/>
      <w:r w:rsidRPr="0079089C">
        <w:rPr>
          <w:rFonts w:asciiTheme="majorHAnsi" w:hAnsiTheme="majorHAnsi" w:cstheme="majorHAnsi"/>
          <w:b/>
          <w:sz w:val="24"/>
          <w:szCs w:val="24"/>
        </w:rPr>
        <w:t>A has a preference for</w:t>
      </w:r>
      <w:proofErr w:type="gramEnd"/>
      <w:r w:rsidRPr="0079089C">
        <w:rPr>
          <w:rFonts w:asciiTheme="majorHAnsi" w:hAnsiTheme="majorHAnsi" w:cstheme="majorHAnsi"/>
          <w:b/>
          <w:sz w:val="24"/>
          <w:szCs w:val="24"/>
        </w:rPr>
        <w:t xml:space="preserve"> portability of credentials</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I </w:t>
      </w:r>
      <w:proofErr w:type="gramStart"/>
      <w:r w:rsidRPr="0079089C">
        <w:rPr>
          <w:rFonts w:asciiTheme="majorHAnsi" w:hAnsiTheme="majorHAnsi" w:cstheme="majorHAnsi"/>
          <w:b/>
          <w:sz w:val="24"/>
          <w:szCs w:val="24"/>
        </w:rPr>
        <w:t>have a preference for</w:t>
      </w:r>
      <w:proofErr w:type="gramEnd"/>
      <w:r w:rsidRPr="0079089C">
        <w:rPr>
          <w:rFonts w:asciiTheme="majorHAnsi" w:hAnsiTheme="majorHAnsi" w:cstheme="majorHAnsi"/>
          <w:b/>
          <w:sz w:val="24"/>
          <w:szCs w:val="24"/>
        </w:rPr>
        <w:t xml:space="preserve"> loyalty and reliability with a firm, so Section 4 is insisting that these differences be negotiated on the open market. On balance, I judge that the benefits outweigh the risks, provided the </w:t>
      </w:r>
      <w:proofErr w:type="spellStart"/>
      <w:r w:rsidRPr="0079089C">
        <w:rPr>
          <w:rFonts w:asciiTheme="majorHAnsi" w:hAnsiTheme="majorHAnsi" w:cstheme="majorHAnsi"/>
          <w:b/>
          <w:sz w:val="24"/>
          <w:szCs w:val="24"/>
        </w:rPr>
        <w:lastRenderedPageBreak/>
        <w:t>organisation</w:t>
      </w:r>
      <w:proofErr w:type="spellEnd"/>
      <w:r w:rsidRPr="0079089C">
        <w:rPr>
          <w:rFonts w:asciiTheme="majorHAnsi" w:hAnsiTheme="majorHAnsi" w:cstheme="majorHAnsi"/>
          <w:b/>
          <w:sz w:val="24"/>
          <w:szCs w:val="24"/>
        </w:rPr>
        <w:t xml:space="preserve"> invests selectively, links development to a visible progression path and builds relationships strong enough that staff want to stay.</w:t>
      </w:r>
    </w:p>
    <w:p w14:paraId="5B25C1D9" w14:textId="77777777" w:rsidR="004E1D3B" w:rsidRPr="0079089C" w:rsidRDefault="00000000" w:rsidP="0079089C">
      <w:pPr>
        <w:pStyle w:val="Heading2"/>
        <w:spacing w:line="360" w:lineRule="auto"/>
        <w:rPr>
          <w:rFonts w:asciiTheme="majorHAnsi" w:hAnsiTheme="majorHAnsi" w:cstheme="majorHAnsi"/>
          <w:sz w:val="24"/>
          <w:szCs w:val="24"/>
        </w:rPr>
      </w:pPr>
      <w:bookmarkStart w:id="7" w:name="_Toc239145743"/>
      <w:r w:rsidRPr="0079089C">
        <w:rPr>
          <w:rFonts w:asciiTheme="majorHAnsi" w:hAnsiTheme="majorHAnsi" w:cstheme="majorHAnsi"/>
          <w:sz w:val="24"/>
          <w:szCs w:val="24"/>
        </w:rPr>
        <w:t>4. Managing the individual's expectations (Learning Outcome 2)</w:t>
      </w:r>
      <w:bookmarkEnd w:id="7"/>
    </w:p>
    <w:p w14:paraId="528A7AD9" w14:textId="2D35CD70" w:rsidR="004E1D3B" w:rsidRPr="0079089C" w:rsidRDefault="0008716B"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Practitioner A brings in expectations such as </w:t>
      </w:r>
      <w:proofErr w:type="gramStart"/>
      <w:r w:rsidRPr="0079089C">
        <w:rPr>
          <w:rFonts w:asciiTheme="majorHAnsi" w:hAnsiTheme="majorHAnsi" w:cstheme="majorHAnsi"/>
          <w:b/>
          <w:sz w:val="24"/>
          <w:szCs w:val="24"/>
        </w:rPr>
        <w:t>getting to</w:t>
      </w:r>
      <w:proofErr w:type="gramEnd"/>
      <w:r w:rsidRPr="0079089C">
        <w:rPr>
          <w:rFonts w:asciiTheme="majorHAnsi" w:hAnsiTheme="majorHAnsi" w:cstheme="majorHAnsi"/>
          <w:b/>
          <w:sz w:val="24"/>
          <w:szCs w:val="24"/>
        </w:rPr>
        <w:t xml:space="preserve"> independent injecting quickly, sharing in the treatment revenue, receiving funded courses, protected learning time and recognition. The implicit agreement between an employer and employee is called the psychological contract, and these are part of the contract. If one side feels the other is in breach, commitment and trust drop (Armstrong &amp; Taylor, 2023). The contract is unwritten and </w:t>
      </w:r>
      <w:r w:rsidR="00E65D08" w:rsidRPr="0079089C">
        <w:rPr>
          <w:rFonts w:asciiTheme="majorHAnsi" w:hAnsiTheme="majorHAnsi" w:cstheme="majorHAnsi"/>
          <w:b/>
          <w:sz w:val="24"/>
          <w:szCs w:val="24"/>
        </w:rPr>
        <w:t>needs</w:t>
      </w:r>
      <w:r w:rsidRPr="0079089C">
        <w:rPr>
          <w:rFonts w:asciiTheme="majorHAnsi" w:hAnsiTheme="majorHAnsi" w:cstheme="majorHAnsi"/>
          <w:b/>
          <w:sz w:val="24"/>
          <w:szCs w:val="24"/>
        </w:rPr>
        <w:t xml:space="preserve"> to be surfaced.</w:t>
      </w:r>
    </w:p>
    <w:p w14:paraId="2597A895" w14:textId="6CE087F4"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Identifying expectations. </w:t>
      </w:r>
      <w:r w:rsidR="00886CA6" w:rsidRPr="0079089C">
        <w:rPr>
          <w:rFonts w:asciiTheme="majorHAnsi" w:hAnsiTheme="majorHAnsi" w:cstheme="majorHAnsi"/>
          <w:b/>
          <w:sz w:val="24"/>
          <w:szCs w:val="24"/>
        </w:rPr>
        <w:t xml:space="preserve">In the first month, I would have a formal career discussion discussing the Schein (1996) career anchors as a guide. Practitioner A may, for instance, be rooted in technical and functional skills and entrepreneurial creativity, indicating a desire for mastery and ultimately for a self-provided service. That kind of anchor will influence the development </w:t>
      </w:r>
      <w:proofErr w:type="gramStart"/>
      <w:r w:rsidR="00886CA6" w:rsidRPr="0079089C">
        <w:rPr>
          <w:rFonts w:asciiTheme="majorHAnsi" w:hAnsiTheme="majorHAnsi" w:cstheme="majorHAnsi"/>
          <w:b/>
          <w:sz w:val="24"/>
          <w:szCs w:val="24"/>
        </w:rPr>
        <w:t>provided, and</w:t>
      </w:r>
      <w:proofErr w:type="gramEnd"/>
      <w:r w:rsidR="00886CA6" w:rsidRPr="0079089C">
        <w:rPr>
          <w:rFonts w:asciiTheme="majorHAnsi" w:hAnsiTheme="majorHAnsi" w:cstheme="majorHAnsi"/>
          <w:b/>
          <w:sz w:val="24"/>
          <w:szCs w:val="24"/>
        </w:rPr>
        <w:t xml:space="preserve"> indicate that retention requires a viable path to freedom.</w:t>
      </w:r>
    </w:p>
    <w:p w14:paraId="462B1620" w14:textId="5E42492E"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Managing expectations. </w:t>
      </w:r>
      <w:r w:rsidR="00E3393B" w:rsidRPr="0079089C">
        <w:rPr>
          <w:rFonts w:asciiTheme="majorHAnsi" w:hAnsiTheme="majorHAnsi" w:cstheme="majorHAnsi"/>
          <w:b/>
          <w:sz w:val="24"/>
          <w:szCs w:val="24"/>
        </w:rPr>
        <w:t xml:space="preserve">Goal-setting theory shows that specific, challenging goals improve performance when people are committed and receive feedback, but that for complex tasks learning goals are more effective than outcome goals (Locke &amp; Latham, 2019). For Practitioner A, the complexity and risk of the injectable techniques would focus on learning and </w:t>
      </w:r>
      <w:proofErr w:type="gramStart"/>
      <w:r w:rsidR="00E3393B" w:rsidRPr="0079089C">
        <w:rPr>
          <w:rFonts w:asciiTheme="majorHAnsi" w:hAnsiTheme="majorHAnsi" w:cstheme="majorHAnsi"/>
          <w:b/>
          <w:sz w:val="24"/>
          <w:szCs w:val="24"/>
        </w:rPr>
        <w:t>demonstrated</w:t>
      </w:r>
      <w:proofErr w:type="gramEnd"/>
      <w:r w:rsidR="00E3393B" w:rsidRPr="0079089C">
        <w:rPr>
          <w:rFonts w:asciiTheme="majorHAnsi" w:hAnsiTheme="majorHAnsi" w:cstheme="majorHAnsi"/>
          <w:b/>
          <w:sz w:val="24"/>
          <w:szCs w:val="24"/>
        </w:rPr>
        <w:t xml:space="preserve"> competence, including supervised treatments and a consent audit, before any revenue target. Each objective I would choose to be SMART: specific, measurable, attainable, relevant and </w:t>
      </w:r>
      <w:proofErr w:type="gramStart"/>
      <w:r w:rsidR="00E3393B" w:rsidRPr="0079089C">
        <w:rPr>
          <w:rFonts w:asciiTheme="majorHAnsi" w:hAnsiTheme="majorHAnsi" w:cstheme="majorHAnsi"/>
          <w:b/>
          <w:sz w:val="24"/>
          <w:szCs w:val="24"/>
        </w:rPr>
        <w:t>time-bound</w:t>
      </w:r>
      <w:proofErr w:type="gramEnd"/>
      <w:r w:rsidR="00E3393B" w:rsidRPr="0079089C">
        <w:rPr>
          <w:rFonts w:asciiTheme="majorHAnsi" w:hAnsiTheme="majorHAnsi" w:cstheme="majorHAnsi"/>
          <w:b/>
          <w:sz w:val="24"/>
          <w:szCs w:val="24"/>
        </w:rPr>
        <w:t>.</w:t>
      </w:r>
    </w:p>
    <w:p w14:paraId="3BF272A4" w14:textId="77777777" w:rsidR="00A13E33" w:rsidRPr="0079089C" w:rsidRDefault="00A13E33"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The second lever is Honesty. I can guarantee you accredited training and supervised practice, coaching monthly and a review at 3, 6 and 12 months. I don't promise independence until competence is signed off, a promotion date, or income dependent upon bookings which are market driven. These would be outlined in a </w:t>
      </w:r>
      <w:proofErr w:type="gramStart"/>
      <w:r w:rsidRPr="0079089C">
        <w:rPr>
          <w:rFonts w:asciiTheme="majorHAnsi" w:hAnsiTheme="majorHAnsi" w:cstheme="majorHAnsi"/>
          <w:b/>
          <w:sz w:val="24"/>
          <w:szCs w:val="24"/>
        </w:rPr>
        <w:t>brief</w:t>
      </w:r>
      <w:proofErr w:type="gramEnd"/>
      <w:r w:rsidRPr="0079089C">
        <w:rPr>
          <w:rFonts w:asciiTheme="majorHAnsi" w:hAnsiTheme="majorHAnsi" w:cstheme="majorHAnsi"/>
          <w:b/>
          <w:sz w:val="24"/>
          <w:szCs w:val="24"/>
        </w:rPr>
        <w:t xml:space="preserve"> signed development contract, rather than taken for granted, and be reviewed at every appraisal.</w:t>
      </w:r>
    </w:p>
    <w:p w14:paraId="5DBC390F" w14:textId="54BBBD9F" w:rsidR="004E1D3B" w:rsidRPr="0079089C" w:rsidRDefault="00A13E33"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An example shows why </w:t>
      </w:r>
      <w:proofErr w:type="gramStart"/>
      <w:r w:rsidRPr="0079089C">
        <w:rPr>
          <w:rFonts w:asciiTheme="majorHAnsi" w:hAnsiTheme="majorHAnsi" w:cstheme="majorHAnsi"/>
          <w:b/>
          <w:sz w:val="24"/>
          <w:szCs w:val="24"/>
        </w:rPr>
        <w:t>this matters</w:t>
      </w:r>
      <w:proofErr w:type="gramEnd"/>
      <w:r w:rsidRPr="0079089C">
        <w:rPr>
          <w:rFonts w:asciiTheme="majorHAnsi" w:hAnsiTheme="majorHAnsi" w:cstheme="majorHAnsi"/>
          <w:b/>
          <w:sz w:val="24"/>
          <w:szCs w:val="24"/>
        </w:rPr>
        <w:t xml:space="preserve">. If Practitioner A is expecting to be injecting lips alone in three months due to another practitioner's course, but I think it takes a long time to get </w:t>
      </w:r>
      <w:r w:rsidRPr="0079089C">
        <w:rPr>
          <w:rFonts w:asciiTheme="majorHAnsi" w:hAnsiTheme="majorHAnsi" w:cstheme="majorHAnsi"/>
          <w:b/>
          <w:sz w:val="24"/>
          <w:szCs w:val="24"/>
        </w:rPr>
        <w:lastRenderedPageBreak/>
        <w:t xml:space="preserve">competent, the disappointment will come out if not handled in the beginning. Using Health Education England (2015) expectations of supervised, assessed practice as the external benchmark, rather than my own, removes a personal perspective and places focus on client safety. It is both respectful to Practitioner A's ambition and clear about the </w:t>
      </w:r>
      <w:proofErr w:type="gramStart"/>
      <w:r w:rsidRPr="0079089C">
        <w:rPr>
          <w:rFonts w:asciiTheme="majorHAnsi" w:hAnsiTheme="majorHAnsi" w:cstheme="majorHAnsi"/>
          <w:b/>
          <w:sz w:val="24"/>
          <w:szCs w:val="24"/>
        </w:rPr>
        <w:t>standard</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which</w:t>
      </w:r>
      <w:proofErr w:type="gramEnd"/>
      <w:r w:rsidRPr="0079089C">
        <w:rPr>
          <w:rFonts w:asciiTheme="majorHAnsi" w:hAnsiTheme="majorHAnsi" w:cstheme="majorHAnsi"/>
          <w:b/>
          <w:sz w:val="24"/>
          <w:szCs w:val="24"/>
        </w:rPr>
        <w:t xml:space="preserve"> is protecting both of us.</w:t>
      </w:r>
    </w:p>
    <w:p w14:paraId="2A0E7DF6" w14:textId="122EEA35" w:rsidR="00E6126A" w:rsidRPr="0079089C" w:rsidRDefault="00E6126A"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In a small team</w:t>
      </w:r>
      <w:r w:rsidR="00E65D08"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there is fairness as an additional consideration. </w:t>
      </w:r>
      <w:proofErr w:type="gramStart"/>
      <w:r w:rsidRPr="0079089C">
        <w:rPr>
          <w:rFonts w:asciiTheme="majorHAnsi" w:hAnsiTheme="majorHAnsi" w:cstheme="majorHAnsi"/>
          <w:b/>
          <w:sz w:val="24"/>
          <w:szCs w:val="24"/>
        </w:rPr>
        <w:t>The resentment</w:t>
      </w:r>
      <w:proofErr w:type="gramEnd"/>
      <w:r w:rsidRPr="0079089C">
        <w:rPr>
          <w:rFonts w:asciiTheme="majorHAnsi" w:hAnsiTheme="majorHAnsi" w:cstheme="majorHAnsi"/>
          <w:b/>
          <w:sz w:val="24"/>
          <w:szCs w:val="24"/>
        </w:rPr>
        <w:t xml:space="preserve"> can mar the relationships this report aims to foster if one practitioner appears to be paying and being supervised and another appears not. Publishing and applying the criteria for support evenly across the team (in this case, for a </w:t>
      </w:r>
      <w:proofErr w:type="spellStart"/>
      <w:r w:rsidRPr="0079089C">
        <w:rPr>
          <w:rFonts w:asciiTheme="majorHAnsi" w:hAnsiTheme="majorHAnsi" w:cstheme="majorHAnsi"/>
          <w:b/>
          <w:sz w:val="24"/>
          <w:szCs w:val="24"/>
        </w:rPr>
        <w:t>programme</w:t>
      </w:r>
      <w:proofErr w:type="spellEnd"/>
      <w:r w:rsidRPr="0079089C">
        <w:rPr>
          <w:rFonts w:asciiTheme="majorHAnsi" w:hAnsiTheme="majorHAnsi" w:cstheme="majorHAnsi"/>
          <w:b/>
          <w:sz w:val="24"/>
          <w:szCs w:val="24"/>
        </w:rPr>
        <w:t xml:space="preserve"> the criteria might be business need, demonstrated commitment and competence gates</w:t>
      </w:r>
      <w:r w:rsidR="00E01144"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etc.), and explaining why they are not being supported for a particular </w:t>
      </w:r>
      <w:proofErr w:type="spellStart"/>
      <w:r w:rsidRPr="0079089C">
        <w:rPr>
          <w:rFonts w:asciiTheme="majorHAnsi" w:hAnsiTheme="majorHAnsi" w:cstheme="majorHAnsi"/>
          <w:b/>
          <w:sz w:val="24"/>
          <w:szCs w:val="24"/>
        </w:rPr>
        <w:t>programme</w:t>
      </w:r>
      <w:proofErr w:type="spellEnd"/>
      <w:r w:rsidRPr="0079089C">
        <w:rPr>
          <w:rFonts w:asciiTheme="majorHAnsi" w:hAnsiTheme="majorHAnsi" w:cstheme="majorHAnsi"/>
          <w:b/>
          <w:sz w:val="24"/>
          <w:szCs w:val="24"/>
        </w:rPr>
        <w:t xml:space="preserve"> and giving alternative routes. Perceived fairness of development opportunity allocation is crucial to sustain the psychological contract, as stated by Armstrong and Taylor (2023).</w:t>
      </w:r>
    </w:p>
    <w:p w14:paraId="464C9A58" w14:textId="2FF8C1CC" w:rsidR="004E1D3B" w:rsidRPr="0079089C" w:rsidRDefault="00E6126A"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Finally, expectations are managed by continual communication and not in just one meeting. </w:t>
      </w:r>
      <w:proofErr w:type="spellStart"/>
      <w:r w:rsidRPr="0079089C">
        <w:rPr>
          <w:rFonts w:asciiTheme="majorHAnsi" w:hAnsiTheme="majorHAnsi" w:cstheme="majorHAnsi"/>
          <w:b/>
          <w:sz w:val="24"/>
          <w:szCs w:val="24"/>
        </w:rPr>
        <w:t>Pulakos</w:t>
      </w:r>
      <w:proofErr w:type="spellEnd"/>
      <w:r w:rsidRPr="0079089C">
        <w:rPr>
          <w:rFonts w:asciiTheme="majorHAnsi" w:hAnsiTheme="majorHAnsi" w:cstheme="majorHAnsi"/>
          <w:b/>
          <w:sz w:val="24"/>
          <w:szCs w:val="24"/>
        </w:rPr>
        <w:t xml:space="preserve"> et al. (2019) note that the transition from annual ratings to ongoing dialogues about expectations and progress is appropriate for a small team I work with on a day-to-day basis. The practitioner's voice is what is needed: expectations evolve as skills develop, and if I</w:t>
      </w:r>
      <w:r w:rsidR="00E01144"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as the practitioner</w:t>
      </w:r>
      <w:r w:rsidR="00E01144"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can only do the development agreement, then the psychological safety discussed above is lost (Edmondson, 2019).</w:t>
      </w:r>
    </w:p>
    <w:p w14:paraId="03C9F85D" w14:textId="77777777" w:rsidR="004E1D3B" w:rsidRPr="0079089C" w:rsidRDefault="00000000" w:rsidP="0079089C">
      <w:pPr>
        <w:pStyle w:val="Heading2"/>
        <w:spacing w:line="360" w:lineRule="auto"/>
        <w:rPr>
          <w:rFonts w:asciiTheme="majorHAnsi" w:hAnsiTheme="majorHAnsi" w:cstheme="majorHAnsi"/>
          <w:sz w:val="24"/>
          <w:szCs w:val="24"/>
        </w:rPr>
      </w:pPr>
      <w:bookmarkStart w:id="8" w:name="_Toc239145744"/>
      <w:r w:rsidRPr="0079089C">
        <w:rPr>
          <w:rFonts w:asciiTheme="majorHAnsi" w:hAnsiTheme="majorHAnsi" w:cstheme="majorHAnsi"/>
          <w:sz w:val="24"/>
          <w:szCs w:val="24"/>
        </w:rPr>
        <w:t>5. Evaluating development vehicles (Learning Outcome 3)</w:t>
      </w:r>
      <w:bookmarkEnd w:id="8"/>
    </w:p>
    <w:p w14:paraId="7649CBD1" w14:textId="6669FD2E" w:rsidR="004E1D3B" w:rsidRPr="0079089C" w:rsidRDefault="00E6126A"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Learning is delivered in a development vehicle. The right choice </w:t>
      </w:r>
      <w:r w:rsidR="00E01144" w:rsidRPr="0079089C">
        <w:rPr>
          <w:rFonts w:asciiTheme="majorHAnsi" w:hAnsiTheme="majorHAnsi" w:cstheme="majorHAnsi"/>
          <w:b/>
          <w:sz w:val="24"/>
          <w:szCs w:val="24"/>
        </w:rPr>
        <w:t>depends</w:t>
      </w:r>
      <w:r w:rsidRPr="0079089C">
        <w:rPr>
          <w:rFonts w:asciiTheme="majorHAnsi" w:hAnsiTheme="majorHAnsi" w:cstheme="majorHAnsi"/>
          <w:b/>
          <w:sz w:val="24"/>
          <w:szCs w:val="24"/>
        </w:rPr>
        <w:t xml:space="preserve"> on the development need, risk, money and time investment and the chances of transfer to practice. Table 1 assesses the </w:t>
      </w:r>
      <w:proofErr w:type="gramStart"/>
      <w:r w:rsidRPr="0079089C">
        <w:rPr>
          <w:rFonts w:asciiTheme="majorHAnsi" w:hAnsiTheme="majorHAnsi" w:cstheme="majorHAnsi"/>
          <w:b/>
          <w:sz w:val="24"/>
          <w:szCs w:val="24"/>
        </w:rPr>
        <w:t>vehicles</w:t>
      </w:r>
      <w:proofErr w:type="gramEnd"/>
      <w:r w:rsidRPr="0079089C">
        <w:rPr>
          <w:rFonts w:asciiTheme="majorHAnsi" w:hAnsiTheme="majorHAnsi" w:cstheme="majorHAnsi"/>
          <w:b/>
          <w:sz w:val="24"/>
          <w:szCs w:val="24"/>
        </w:rPr>
        <w:t xml:space="preserve"> realistically available to a small aesthetics business.</w:t>
      </w:r>
    </w:p>
    <w:p w14:paraId="081D0E6F"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Table 1. Evaluation of development vehicles for Practitioner A</w:t>
      </w:r>
    </w:p>
    <w:tbl>
      <w:tblPr>
        <w:tblStyle w:val="TableGrid"/>
        <w:tblW w:w="0" w:type="auto"/>
        <w:tblLayout w:type="fixed"/>
        <w:tblLook w:val="0420" w:firstRow="1" w:lastRow="0" w:firstColumn="0" w:lastColumn="0" w:noHBand="0" w:noVBand="1"/>
      </w:tblPr>
      <w:tblGrid>
        <w:gridCol w:w="2340"/>
        <w:gridCol w:w="2340"/>
        <w:gridCol w:w="2340"/>
        <w:gridCol w:w="2340"/>
      </w:tblGrid>
      <w:tr w:rsidR="004E1D3B" w:rsidRPr="0079089C" w14:paraId="16867B4C" w14:textId="77777777">
        <w:trPr>
          <w:tblHeader/>
        </w:trPr>
        <w:tc>
          <w:tcPr>
            <w:tcW w:w="2340" w:type="dxa"/>
            <w:shd w:val="clear" w:color="auto" w:fill="F2F2F2"/>
          </w:tcPr>
          <w:p w14:paraId="5DBF7564"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Vehicle</w:t>
            </w:r>
          </w:p>
        </w:tc>
        <w:tc>
          <w:tcPr>
            <w:tcW w:w="2340" w:type="dxa"/>
            <w:shd w:val="clear" w:color="auto" w:fill="F2F2F2"/>
          </w:tcPr>
          <w:p w14:paraId="15075898"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Strengths</w:t>
            </w:r>
          </w:p>
        </w:tc>
        <w:tc>
          <w:tcPr>
            <w:tcW w:w="2340" w:type="dxa"/>
            <w:shd w:val="clear" w:color="auto" w:fill="F2F2F2"/>
          </w:tcPr>
          <w:p w14:paraId="55DE7BD6"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Limitations</w:t>
            </w:r>
          </w:p>
        </w:tc>
        <w:tc>
          <w:tcPr>
            <w:tcW w:w="2340" w:type="dxa"/>
            <w:shd w:val="clear" w:color="auto" w:fill="F2F2F2"/>
          </w:tcPr>
          <w:p w14:paraId="5341988F"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Judgement</w:t>
            </w:r>
          </w:p>
        </w:tc>
      </w:tr>
      <w:tr w:rsidR="004E1D3B" w:rsidRPr="0079089C" w14:paraId="2B0CECA1" w14:textId="77777777">
        <w:tc>
          <w:tcPr>
            <w:tcW w:w="2340" w:type="dxa"/>
          </w:tcPr>
          <w:p w14:paraId="4034C1D1"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Accredited external </w:t>
            </w:r>
            <w:r w:rsidRPr="0079089C">
              <w:rPr>
                <w:rFonts w:asciiTheme="majorHAnsi" w:hAnsiTheme="majorHAnsi" w:cstheme="majorHAnsi"/>
                <w:b/>
                <w:sz w:val="24"/>
                <w:szCs w:val="24"/>
              </w:rPr>
              <w:lastRenderedPageBreak/>
              <w:t>courses (Level 6/7)</w:t>
            </w:r>
          </w:p>
        </w:tc>
        <w:tc>
          <w:tcPr>
            <w:tcW w:w="2340" w:type="dxa"/>
          </w:tcPr>
          <w:p w14:paraId="42FC3309" w14:textId="77777777" w:rsidR="004E1D3B" w:rsidRPr="0079089C" w:rsidRDefault="00000000" w:rsidP="0079089C">
            <w:pPr>
              <w:spacing w:line="360" w:lineRule="auto"/>
              <w:rPr>
                <w:rFonts w:asciiTheme="majorHAnsi" w:hAnsiTheme="majorHAnsi" w:cstheme="majorHAnsi"/>
                <w:b/>
                <w:sz w:val="24"/>
                <w:szCs w:val="24"/>
              </w:rPr>
            </w:pPr>
            <w:proofErr w:type="spellStart"/>
            <w:r w:rsidRPr="0079089C">
              <w:rPr>
                <w:rFonts w:asciiTheme="majorHAnsi" w:hAnsiTheme="majorHAnsi" w:cstheme="majorHAnsi"/>
                <w:b/>
                <w:sz w:val="24"/>
                <w:szCs w:val="24"/>
              </w:rPr>
              <w:lastRenderedPageBreak/>
              <w:t>Recognised</w:t>
            </w:r>
            <w:proofErr w:type="spellEnd"/>
            <w:r w:rsidRPr="0079089C">
              <w:rPr>
                <w:rFonts w:asciiTheme="majorHAnsi" w:hAnsiTheme="majorHAnsi" w:cstheme="majorHAnsi"/>
                <w:b/>
                <w:sz w:val="24"/>
                <w:szCs w:val="24"/>
              </w:rPr>
              <w:t xml:space="preserve"> standard; </w:t>
            </w:r>
            <w:r w:rsidRPr="0079089C">
              <w:rPr>
                <w:rFonts w:asciiTheme="majorHAnsi" w:hAnsiTheme="majorHAnsi" w:cstheme="majorHAnsi"/>
                <w:b/>
                <w:sz w:val="24"/>
                <w:szCs w:val="24"/>
              </w:rPr>
              <w:lastRenderedPageBreak/>
              <w:t>meets Health Education England (2015) expectations; credible externally</w:t>
            </w:r>
          </w:p>
        </w:tc>
        <w:tc>
          <w:tcPr>
            <w:tcW w:w="2340" w:type="dxa"/>
          </w:tcPr>
          <w:p w14:paraId="603EBE61"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lastRenderedPageBreak/>
              <w:t xml:space="preserve">Costly; time away </w:t>
            </w:r>
            <w:r w:rsidRPr="0079089C">
              <w:rPr>
                <w:rFonts w:asciiTheme="majorHAnsi" w:hAnsiTheme="majorHAnsi" w:cstheme="majorHAnsi"/>
                <w:b/>
                <w:sz w:val="24"/>
                <w:szCs w:val="24"/>
              </w:rPr>
              <w:lastRenderedPageBreak/>
              <w:t>from the chair; portable qualification</w:t>
            </w:r>
          </w:p>
        </w:tc>
        <w:tc>
          <w:tcPr>
            <w:tcW w:w="2340" w:type="dxa"/>
          </w:tcPr>
          <w:p w14:paraId="621A6E78"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lastRenderedPageBreak/>
              <w:t xml:space="preserve">Essential for clinical </w:t>
            </w:r>
            <w:r w:rsidRPr="0079089C">
              <w:rPr>
                <w:rFonts w:asciiTheme="majorHAnsi" w:hAnsiTheme="majorHAnsi" w:cstheme="majorHAnsi"/>
                <w:b/>
                <w:sz w:val="24"/>
                <w:szCs w:val="24"/>
              </w:rPr>
              <w:lastRenderedPageBreak/>
              <w:t>foundation</w:t>
            </w:r>
          </w:p>
        </w:tc>
      </w:tr>
      <w:tr w:rsidR="004E1D3B" w:rsidRPr="0079089C" w14:paraId="5B019651" w14:textId="77777777">
        <w:tc>
          <w:tcPr>
            <w:tcW w:w="2340" w:type="dxa"/>
          </w:tcPr>
          <w:p w14:paraId="29DE99B5"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Supervised practice and observation</w:t>
            </w:r>
          </w:p>
        </w:tc>
        <w:tc>
          <w:tcPr>
            <w:tcW w:w="2340" w:type="dxa"/>
          </w:tcPr>
          <w:p w14:paraId="5BBB7797"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Highest transfer; safe, graded exposure; builds tacit knowledge</w:t>
            </w:r>
          </w:p>
        </w:tc>
        <w:tc>
          <w:tcPr>
            <w:tcW w:w="2340" w:type="dxa"/>
          </w:tcPr>
          <w:p w14:paraId="41E7B698"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Depends on my availability; </w:t>
            </w:r>
            <w:proofErr w:type="gramStart"/>
            <w:r w:rsidRPr="0079089C">
              <w:rPr>
                <w:rFonts w:asciiTheme="majorHAnsi" w:hAnsiTheme="majorHAnsi" w:cstheme="majorHAnsi"/>
                <w:b/>
                <w:sz w:val="24"/>
                <w:szCs w:val="24"/>
              </w:rPr>
              <w:t>slows</w:t>
            </w:r>
            <w:proofErr w:type="gramEnd"/>
            <w:r w:rsidRPr="0079089C">
              <w:rPr>
                <w:rFonts w:asciiTheme="majorHAnsi" w:hAnsiTheme="majorHAnsi" w:cstheme="majorHAnsi"/>
                <w:b/>
                <w:sz w:val="24"/>
                <w:szCs w:val="24"/>
              </w:rPr>
              <w:t xml:space="preserve"> my own revenue</w:t>
            </w:r>
          </w:p>
        </w:tc>
        <w:tc>
          <w:tcPr>
            <w:tcW w:w="2340" w:type="dxa"/>
          </w:tcPr>
          <w:p w14:paraId="7154BDC8"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Essential, with sign-off gates</w:t>
            </w:r>
          </w:p>
        </w:tc>
      </w:tr>
      <w:tr w:rsidR="004E1D3B" w:rsidRPr="0079089C" w14:paraId="2960F575" w14:textId="77777777">
        <w:tc>
          <w:tcPr>
            <w:tcW w:w="2340" w:type="dxa"/>
          </w:tcPr>
          <w:p w14:paraId="66F09A95"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Coaching and mentoring</w:t>
            </w:r>
          </w:p>
        </w:tc>
        <w:tc>
          <w:tcPr>
            <w:tcW w:w="2340" w:type="dxa"/>
          </w:tcPr>
          <w:p w14:paraId="37673B51"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Evidence of positive effects on learning and performance (Jones et al., 2016); working alliance quality predicts outcomes (</w:t>
            </w:r>
            <w:proofErr w:type="spellStart"/>
            <w:r w:rsidRPr="0079089C">
              <w:rPr>
                <w:rFonts w:asciiTheme="majorHAnsi" w:hAnsiTheme="majorHAnsi" w:cstheme="majorHAnsi"/>
                <w:b/>
                <w:sz w:val="24"/>
                <w:szCs w:val="24"/>
              </w:rPr>
              <w:t>Graßmann</w:t>
            </w:r>
            <w:proofErr w:type="spellEnd"/>
            <w:r w:rsidRPr="0079089C">
              <w:rPr>
                <w:rFonts w:asciiTheme="majorHAnsi" w:hAnsiTheme="majorHAnsi" w:cstheme="majorHAnsi"/>
                <w:b/>
                <w:sz w:val="24"/>
                <w:szCs w:val="24"/>
              </w:rPr>
              <w:t xml:space="preserve"> et al., 2020)</w:t>
            </w:r>
          </w:p>
        </w:tc>
        <w:tc>
          <w:tcPr>
            <w:tcW w:w="2340" w:type="dxa"/>
          </w:tcPr>
          <w:p w14:paraId="0E5B6F91"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Quality depends on the coach; my dual role as owner and coach blurs boundaries</w:t>
            </w:r>
          </w:p>
        </w:tc>
        <w:tc>
          <w:tcPr>
            <w:tcW w:w="2340" w:type="dxa"/>
          </w:tcPr>
          <w:p w14:paraId="64D3B8AF"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Strong; add an external mentor</w:t>
            </w:r>
          </w:p>
        </w:tc>
      </w:tr>
      <w:tr w:rsidR="004E1D3B" w:rsidRPr="0079089C" w14:paraId="2A8AC39A" w14:textId="77777777">
        <w:tc>
          <w:tcPr>
            <w:tcW w:w="2340" w:type="dxa"/>
          </w:tcPr>
          <w:p w14:paraId="07B541DB"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Academy sessions and peer teaching</w:t>
            </w:r>
          </w:p>
        </w:tc>
        <w:tc>
          <w:tcPr>
            <w:tcW w:w="2340" w:type="dxa"/>
          </w:tcPr>
          <w:p w14:paraId="4FAC1273"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Low cost; spreads tacit knowledge; teaching consolidates learning</w:t>
            </w:r>
          </w:p>
        </w:tc>
        <w:tc>
          <w:tcPr>
            <w:tcW w:w="2340" w:type="dxa"/>
          </w:tcPr>
          <w:p w14:paraId="174C9FD8"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Risk of reinforcing my own habits</w:t>
            </w:r>
          </w:p>
        </w:tc>
        <w:tc>
          <w:tcPr>
            <w:tcW w:w="2340" w:type="dxa"/>
          </w:tcPr>
          <w:p w14:paraId="719CE1AE"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Good for progression stage</w:t>
            </w:r>
          </w:p>
        </w:tc>
      </w:tr>
      <w:tr w:rsidR="004E1D3B" w:rsidRPr="0079089C" w14:paraId="66AA0E22" w14:textId="77777777">
        <w:tc>
          <w:tcPr>
            <w:tcW w:w="2340" w:type="dxa"/>
          </w:tcPr>
          <w:p w14:paraId="287EBA4C"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Conferences, online and microlearning</w:t>
            </w:r>
          </w:p>
        </w:tc>
        <w:tc>
          <w:tcPr>
            <w:tcW w:w="2340" w:type="dxa"/>
          </w:tcPr>
          <w:p w14:paraId="20BDB6CD"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Flexible; supports annual updating and complications training (</w:t>
            </w:r>
            <w:proofErr w:type="spellStart"/>
            <w:r w:rsidRPr="0079089C">
              <w:rPr>
                <w:rFonts w:asciiTheme="majorHAnsi" w:hAnsiTheme="majorHAnsi" w:cstheme="majorHAnsi"/>
                <w:b/>
                <w:sz w:val="24"/>
                <w:szCs w:val="24"/>
              </w:rPr>
              <w:t>Samizadeh</w:t>
            </w:r>
            <w:proofErr w:type="spellEnd"/>
            <w:r w:rsidRPr="0079089C">
              <w:rPr>
                <w:rFonts w:asciiTheme="majorHAnsi" w:hAnsiTheme="majorHAnsi" w:cstheme="majorHAnsi"/>
                <w:b/>
                <w:sz w:val="24"/>
                <w:szCs w:val="24"/>
              </w:rPr>
              <w:t xml:space="preserve"> &amp; De Boulle, 2023)</w:t>
            </w:r>
          </w:p>
        </w:tc>
        <w:tc>
          <w:tcPr>
            <w:tcW w:w="2340" w:type="dxa"/>
          </w:tcPr>
          <w:p w14:paraId="291A8B00"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Passive learning transfers poorly without application</w:t>
            </w:r>
          </w:p>
        </w:tc>
        <w:tc>
          <w:tcPr>
            <w:tcW w:w="2340" w:type="dxa"/>
          </w:tcPr>
          <w:p w14:paraId="7A533F23"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Supplementary</w:t>
            </w:r>
          </w:p>
        </w:tc>
      </w:tr>
      <w:tr w:rsidR="004E1D3B" w:rsidRPr="0079089C" w14:paraId="6FABC7A1" w14:textId="77777777">
        <w:tc>
          <w:tcPr>
            <w:tcW w:w="2340" w:type="dxa"/>
          </w:tcPr>
          <w:p w14:paraId="24ED2843"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Stretch projects (for </w:t>
            </w:r>
            <w:r w:rsidRPr="0079089C">
              <w:rPr>
                <w:rFonts w:asciiTheme="majorHAnsi" w:hAnsiTheme="majorHAnsi" w:cstheme="majorHAnsi"/>
                <w:b/>
                <w:sz w:val="24"/>
                <w:szCs w:val="24"/>
              </w:rPr>
              <w:lastRenderedPageBreak/>
              <w:t>example, redesigning consultation flow)</w:t>
            </w:r>
          </w:p>
        </w:tc>
        <w:tc>
          <w:tcPr>
            <w:tcW w:w="2340" w:type="dxa"/>
          </w:tcPr>
          <w:p w14:paraId="392E5A1F"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lastRenderedPageBreak/>
              <w:t xml:space="preserve">Builds responsibility </w:t>
            </w:r>
            <w:r w:rsidRPr="0079089C">
              <w:rPr>
                <w:rFonts w:asciiTheme="majorHAnsi" w:hAnsiTheme="majorHAnsi" w:cstheme="majorHAnsi"/>
                <w:b/>
                <w:sz w:val="24"/>
                <w:szCs w:val="24"/>
              </w:rPr>
              <w:lastRenderedPageBreak/>
              <w:t>and autonomy</w:t>
            </w:r>
          </w:p>
        </w:tc>
        <w:tc>
          <w:tcPr>
            <w:tcW w:w="2340" w:type="dxa"/>
          </w:tcPr>
          <w:p w14:paraId="4244318D"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lastRenderedPageBreak/>
              <w:t xml:space="preserve">Needs clear scope </w:t>
            </w:r>
            <w:r w:rsidRPr="0079089C">
              <w:rPr>
                <w:rFonts w:asciiTheme="majorHAnsi" w:hAnsiTheme="majorHAnsi" w:cstheme="majorHAnsi"/>
                <w:b/>
                <w:sz w:val="24"/>
                <w:szCs w:val="24"/>
              </w:rPr>
              <w:lastRenderedPageBreak/>
              <w:t>and feedback</w:t>
            </w:r>
          </w:p>
        </w:tc>
        <w:tc>
          <w:tcPr>
            <w:tcW w:w="2340" w:type="dxa"/>
          </w:tcPr>
          <w:p w14:paraId="4D2DC357"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lastRenderedPageBreak/>
              <w:t xml:space="preserve">Useful in the later </w:t>
            </w:r>
            <w:r w:rsidRPr="0079089C">
              <w:rPr>
                <w:rFonts w:asciiTheme="majorHAnsi" w:hAnsiTheme="majorHAnsi" w:cstheme="majorHAnsi"/>
                <w:b/>
                <w:sz w:val="24"/>
                <w:szCs w:val="24"/>
              </w:rPr>
              <w:lastRenderedPageBreak/>
              <w:t>phase</w:t>
            </w:r>
          </w:p>
        </w:tc>
      </w:tr>
    </w:tbl>
    <w:p w14:paraId="00FDDA28" w14:textId="4CAA2E34" w:rsidR="0093072D" w:rsidRPr="0079089C" w:rsidRDefault="0093072D"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There are two popular justifications for selection of vehicles that require </w:t>
      </w:r>
      <w:proofErr w:type="spellStart"/>
      <w:r w:rsidRPr="0079089C">
        <w:rPr>
          <w:rFonts w:asciiTheme="majorHAnsi" w:hAnsiTheme="majorHAnsi" w:cstheme="majorHAnsi"/>
          <w:b/>
          <w:sz w:val="24"/>
          <w:szCs w:val="24"/>
        </w:rPr>
        <w:t>scepticism</w:t>
      </w:r>
      <w:proofErr w:type="spellEnd"/>
      <w:r w:rsidRPr="0079089C">
        <w:rPr>
          <w:rFonts w:asciiTheme="majorHAnsi" w:hAnsiTheme="majorHAnsi" w:cstheme="majorHAnsi"/>
          <w:b/>
          <w:sz w:val="24"/>
          <w:szCs w:val="24"/>
        </w:rPr>
        <w:t xml:space="preserve">. The 70:20:10 model of 70% learning from experience, 20% learning from others and 10% learning from formal study has limited empirical support for its prescribed proportions, but it reminds managers that learning takes place in the workplace (Johnson et al., 2018). Similarly, </w:t>
      </w:r>
      <w:r w:rsidR="00E01144" w:rsidRPr="0079089C">
        <w:rPr>
          <w:rFonts w:asciiTheme="majorHAnsi" w:hAnsiTheme="majorHAnsi" w:cstheme="majorHAnsi"/>
          <w:b/>
          <w:sz w:val="24"/>
          <w:szCs w:val="24"/>
        </w:rPr>
        <w:t>no evidence matching</w:t>
      </w:r>
      <w:r w:rsidRPr="0079089C">
        <w:rPr>
          <w:rFonts w:asciiTheme="majorHAnsi" w:hAnsiTheme="majorHAnsi" w:cstheme="majorHAnsi"/>
          <w:b/>
          <w:sz w:val="24"/>
          <w:szCs w:val="24"/>
        </w:rPr>
        <w:t xml:space="preserve"> vehicles to "learning styles" enhances learning (Newton, 2015), so I would not select methods based on whether Practitioner A is a "visual" or "</w:t>
      </w:r>
      <w:proofErr w:type="spellStart"/>
      <w:r w:rsidRPr="0079089C">
        <w:rPr>
          <w:rFonts w:asciiTheme="majorHAnsi" w:hAnsiTheme="majorHAnsi" w:cstheme="majorHAnsi"/>
          <w:b/>
          <w:sz w:val="24"/>
          <w:szCs w:val="24"/>
        </w:rPr>
        <w:t>kinaesthetic</w:t>
      </w:r>
      <w:proofErr w:type="spellEnd"/>
      <w:r w:rsidRPr="0079089C">
        <w:rPr>
          <w:rFonts w:asciiTheme="majorHAnsi" w:hAnsiTheme="majorHAnsi" w:cstheme="majorHAnsi"/>
          <w:b/>
          <w:sz w:val="24"/>
          <w:szCs w:val="24"/>
        </w:rPr>
        <w:t>" learner. A better basis is offered by Salas et al. (2012): effective development is based on clear learning objectives, offers practice and feedback, involves supervisors and creates a culture in which transfer is encouraged.</w:t>
      </w:r>
    </w:p>
    <w:p w14:paraId="71C6E749" w14:textId="3B974499" w:rsidR="004E1D3B" w:rsidRPr="0079089C" w:rsidRDefault="0093072D"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In my view, if you can apply those criteria, then I would recommend a blended </w:t>
      </w:r>
      <w:proofErr w:type="spellStart"/>
      <w:r w:rsidRPr="0079089C">
        <w:rPr>
          <w:rFonts w:asciiTheme="majorHAnsi" w:hAnsiTheme="majorHAnsi" w:cstheme="majorHAnsi"/>
          <w:b/>
          <w:sz w:val="24"/>
          <w:szCs w:val="24"/>
        </w:rPr>
        <w:t>programme</w:t>
      </w:r>
      <w:proofErr w:type="spellEnd"/>
      <w:r w:rsidRPr="0079089C">
        <w:rPr>
          <w:rFonts w:asciiTheme="majorHAnsi" w:hAnsiTheme="majorHAnsi" w:cstheme="majorHAnsi"/>
          <w:b/>
          <w:sz w:val="24"/>
          <w:szCs w:val="24"/>
        </w:rPr>
        <w:t xml:space="preserve">. Accredited courses serve as the basis for knowledge and valid outside recognition. The development of competence from knowledge is safely achieved through supervised practice, in graded stages. Coaching and mentoring maintain reflection and </w:t>
      </w:r>
      <w:proofErr w:type="gramStart"/>
      <w:r w:rsidRPr="0079089C">
        <w:rPr>
          <w:rFonts w:asciiTheme="majorHAnsi" w:hAnsiTheme="majorHAnsi" w:cstheme="majorHAnsi"/>
          <w:b/>
          <w:sz w:val="24"/>
          <w:szCs w:val="24"/>
        </w:rPr>
        <w:t>relationship</w:t>
      </w:r>
      <w:proofErr w:type="gramEnd"/>
      <w:r w:rsidRPr="0079089C">
        <w:rPr>
          <w:rFonts w:asciiTheme="majorHAnsi" w:hAnsiTheme="majorHAnsi" w:cstheme="majorHAnsi"/>
          <w:b/>
          <w:sz w:val="24"/>
          <w:szCs w:val="24"/>
        </w:rPr>
        <w:t xml:space="preserve">. Academy sessions and stretch projects (to be introduced later) enhance </w:t>
      </w:r>
      <w:r w:rsidR="00E01144" w:rsidRPr="0079089C">
        <w:rPr>
          <w:rFonts w:asciiTheme="majorHAnsi" w:hAnsiTheme="majorHAnsi" w:cstheme="majorHAnsi"/>
          <w:b/>
          <w:sz w:val="24"/>
          <w:szCs w:val="24"/>
        </w:rPr>
        <w:t xml:space="preserve">and </w:t>
      </w:r>
      <w:r w:rsidRPr="0079089C">
        <w:rPr>
          <w:rFonts w:asciiTheme="majorHAnsi" w:hAnsiTheme="majorHAnsi" w:cstheme="majorHAnsi"/>
          <w:b/>
          <w:sz w:val="24"/>
          <w:szCs w:val="24"/>
        </w:rPr>
        <w:t xml:space="preserve">deepen mastery and develop leadership. The major challenge is relying on myself, so I would have an outside mentor, because I know my own limits as a coach. The order of investment is also determined by a realistic cost-to-benefit analysis. Accredited courses are given a higher direct cost, but they also have the greatest external recognition and a clear association </w:t>
      </w:r>
      <w:r w:rsidR="00E01144" w:rsidRPr="0079089C">
        <w:rPr>
          <w:rFonts w:asciiTheme="majorHAnsi" w:hAnsiTheme="majorHAnsi" w:cstheme="majorHAnsi"/>
          <w:b/>
          <w:sz w:val="24"/>
          <w:szCs w:val="24"/>
        </w:rPr>
        <w:t>with</w:t>
      </w:r>
      <w:r w:rsidRPr="0079089C">
        <w:rPr>
          <w:rFonts w:asciiTheme="majorHAnsi" w:hAnsiTheme="majorHAnsi" w:cstheme="majorHAnsi"/>
          <w:b/>
          <w:sz w:val="24"/>
          <w:szCs w:val="24"/>
        </w:rPr>
        <w:t xml:space="preserve"> the safety standards referred to in Section 3. Whereas peer teaching and stretch projects are not expensive in terms of cash, they require protected time and the likely return, in terms of capability and engagement, is worth the time once the base is established. Last, the cars need to be assessed - not repaired. If Practitioner A's feedback or assessment shows a vehicle is not working, for example</w:t>
      </w:r>
      <w:r w:rsidR="00E01144"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if online learning is completed but not applied, it is replaced with a more practical alternative. Time and cost are still limiting factors, and the </w:t>
      </w:r>
      <w:proofErr w:type="spellStart"/>
      <w:r w:rsidRPr="0079089C">
        <w:rPr>
          <w:rFonts w:asciiTheme="majorHAnsi" w:hAnsiTheme="majorHAnsi" w:cstheme="majorHAnsi"/>
          <w:b/>
          <w:sz w:val="24"/>
          <w:szCs w:val="24"/>
        </w:rPr>
        <w:t>programme</w:t>
      </w:r>
      <w:proofErr w:type="spellEnd"/>
      <w:r w:rsidRPr="0079089C">
        <w:rPr>
          <w:rFonts w:asciiTheme="majorHAnsi" w:hAnsiTheme="majorHAnsi" w:cstheme="majorHAnsi"/>
          <w:b/>
          <w:sz w:val="24"/>
          <w:szCs w:val="24"/>
        </w:rPr>
        <w:t xml:space="preserve"> is carefully </w:t>
      </w:r>
      <w:proofErr w:type="gramStart"/>
      <w:r w:rsidRPr="0079089C">
        <w:rPr>
          <w:rFonts w:asciiTheme="majorHAnsi" w:hAnsiTheme="majorHAnsi" w:cstheme="majorHAnsi"/>
          <w:b/>
          <w:sz w:val="24"/>
          <w:szCs w:val="24"/>
        </w:rPr>
        <w:t>paced</w:t>
      </w:r>
      <w:proofErr w:type="gramEnd"/>
      <w:r w:rsidRPr="0079089C">
        <w:rPr>
          <w:rFonts w:asciiTheme="majorHAnsi" w:hAnsiTheme="majorHAnsi" w:cstheme="majorHAnsi"/>
          <w:b/>
          <w:sz w:val="24"/>
          <w:szCs w:val="24"/>
        </w:rPr>
        <w:t xml:space="preserve"> to safeguard Practitioner A's chair time and the business's income.</w:t>
      </w:r>
    </w:p>
    <w:p w14:paraId="76A3D340" w14:textId="77777777" w:rsidR="004E1D3B" w:rsidRPr="0079089C" w:rsidRDefault="00000000" w:rsidP="0079089C">
      <w:pPr>
        <w:pStyle w:val="Heading2"/>
        <w:spacing w:line="360" w:lineRule="auto"/>
        <w:rPr>
          <w:rFonts w:asciiTheme="majorHAnsi" w:hAnsiTheme="majorHAnsi" w:cstheme="majorHAnsi"/>
          <w:sz w:val="24"/>
          <w:szCs w:val="24"/>
        </w:rPr>
      </w:pPr>
      <w:bookmarkStart w:id="9" w:name="_Toc239145745"/>
      <w:r w:rsidRPr="0079089C">
        <w:rPr>
          <w:rFonts w:asciiTheme="majorHAnsi" w:hAnsiTheme="majorHAnsi" w:cstheme="majorHAnsi"/>
          <w:sz w:val="24"/>
          <w:szCs w:val="24"/>
        </w:rPr>
        <w:lastRenderedPageBreak/>
        <w:t>6. Development plan and performance management (Learning Outcome 4)</w:t>
      </w:r>
      <w:bookmarkEnd w:id="9"/>
    </w:p>
    <w:p w14:paraId="05EC48A5" w14:textId="77777777" w:rsidR="004E1D3B" w:rsidRPr="0079089C" w:rsidRDefault="00000000" w:rsidP="0079089C">
      <w:pPr>
        <w:pStyle w:val="Heading3"/>
        <w:spacing w:line="360" w:lineRule="auto"/>
        <w:rPr>
          <w:rFonts w:asciiTheme="majorHAnsi" w:hAnsiTheme="majorHAnsi" w:cstheme="majorHAnsi"/>
          <w:szCs w:val="24"/>
        </w:rPr>
      </w:pPr>
      <w:bookmarkStart w:id="10" w:name="_Toc239145746"/>
      <w:r w:rsidRPr="0079089C">
        <w:rPr>
          <w:rFonts w:asciiTheme="majorHAnsi" w:hAnsiTheme="majorHAnsi" w:cstheme="majorHAnsi"/>
          <w:szCs w:val="24"/>
        </w:rPr>
        <w:t>6.1 Identifying needs and capturing information</w:t>
      </w:r>
      <w:bookmarkEnd w:id="10"/>
    </w:p>
    <w:p w14:paraId="54ABA84C" w14:textId="2E5F8546" w:rsidR="004E1D3B" w:rsidRPr="0079089C" w:rsidRDefault="0093072D"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A gap analysis between current capability and competence for the role identifies needs. Three sources: self-assessment completed by Practitioner A, structured observation of practice, competence </w:t>
      </w:r>
      <w:proofErr w:type="gramStart"/>
      <w:r w:rsidRPr="0079089C">
        <w:rPr>
          <w:rFonts w:asciiTheme="majorHAnsi" w:hAnsiTheme="majorHAnsi" w:cstheme="majorHAnsi"/>
          <w:b/>
          <w:sz w:val="24"/>
          <w:szCs w:val="24"/>
        </w:rPr>
        <w:t>matrix Appendix</w:t>
      </w:r>
      <w:proofErr w:type="gramEnd"/>
      <w:r w:rsidRPr="0079089C">
        <w:rPr>
          <w:rFonts w:asciiTheme="majorHAnsi" w:hAnsiTheme="majorHAnsi" w:cstheme="majorHAnsi"/>
          <w:b/>
          <w:sz w:val="24"/>
          <w:szCs w:val="24"/>
        </w:rPr>
        <w:t xml:space="preserve"> A with Health Education England (2015) expectations and dimensions covered in module sessions (skills, knowledge and </w:t>
      </w:r>
      <w:proofErr w:type="spellStart"/>
      <w:r w:rsidRPr="0079089C">
        <w:rPr>
          <w:rFonts w:asciiTheme="majorHAnsi" w:hAnsiTheme="majorHAnsi" w:cstheme="majorHAnsi"/>
          <w:b/>
          <w:sz w:val="24"/>
          <w:szCs w:val="24"/>
        </w:rPr>
        <w:t>behaviours</w:t>
      </w:r>
      <w:proofErr w:type="spellEnd"/>
      <w:r w:rsidRPr="0079089C">
        <w:rPr>
          <w:rFonts w:asciiTheme="majorHAnsi" w:hAnsiTheme="majorHAnsi" w:cstheme="majorHAnsi"/>
          <w:b/>
          <w:sz w:val="24"/>
          <w:szCs w:val="24"/>
        </w:rPr>
        <w:t>). Findings are recorded in a development record (Appendix B). This is employee information that is kept securely, used by Practitioner A and those involved in the use or treatment of the data; this data is not held on any client record, consistent with the Data Protection Act 2018. Appraisal records are thus kept confidential.</w:t>
      </w:r>
    </w:p>
    <w:p w14:paraId="58645AF4" w14:textId="77777777" w:rsidR="004E1D3B" w:rsidRPr="0079089C" w:rsidRDefault="00000000" w:rsidP="0079089C">
      <w:pPr>
        <w:pStyle w:val="Heading3"/>
        <w:spacing w:line="360" w:lineRule="auto"/>
        <w:rPr>
          <w:rFonts w:asciiTheme="majorHAnsi" w:hAnsiTheme="majorHAnsi" w:cstheme="majorHAnsi"/>
          <w:szCs w:val="24"/>
        </w:rPr>
      </w:pPr>
      <w:bookmarkStart w:id="11" w:name="_Toc239145747"/>
      <w:r w:rsidRPr="0079089C">
        <w:rPr>
          <w:rFonts w:asciiTheme="majorHAnsi" w:hAnsiTheme="majorHAnsi" w:cstheme="majorHAnsi"/>
          <w:szCs w:val="24"/>
        </w:rPr>
        <w:t>6.2 The twelve-month plan</w:t>
      </w:r>
      <w:bookmarkEnd w:id="11"/>
    </w:p>
    <w:p w14:paraId="1D021956"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Table 2. Development plan for Practitioner A</w:t>
      </w:r>
    </w:p>
    <w:tbl>
      <w:tblPr>
        <w:tblStyle w:val="TableGrid"/>
        <w:tblW w:w="0" w:type="auto"/>
        <w:tblLayout w:type="fixed"/>
        <w:tblLook w:val="0420" w:firstRow="1" w:lastRow="0" w:firstColumn="0" w:lastColumn="0" w:noHBand="0" w:noVBand="1"/>
      </w:tblPr>
      <w:tblGrid>
        <w:gridCol w:w="1872"/>
        <w:gridCol w:w="1872"/>
        <w:gridCol w:w="1872"/>
        <w:gridCol w:w="1872"/>
        <w:gridCol w:w="1872"/>
      </w:tblGrid>
      <w:tr w:rsidR="004E1D3B" w:rsidRPr="0079089C" w14:paraId="59F789F9" w14:textId="77777777">
        <w:trPr>
          <w:tblHeader/>
        </w:trPr>
        <w:tc>
          <w:tcPr>
            <w:tcW w:w="1872" w:type="dxa"/>
            <w:shd w:val="clear" w:color="auto" w:fill="F2F2F2"/>
          </w:tcPr>
          <w:p w14:paraId="7492B1C9"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Phase</w:t>
            </w:r>
          </w:p>
        </w:tc>
        <w:tc>
          <w:tcPr>
            <w:tcW w:w="1872" w:type="dxa"/>
            <w:shd w:val="clear" w:color="auto" w:fill="F2F2F2"/>
          </w:tcPr>
          <w:p w14:paraId="3ABB590A"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Objective (SMART)</w:t>
            </w:r>
          </w:p>
        </w:tc>
        <w:tc>
          <w:tcPr>
            <w:tcW w:w="1872" w:type="dxa"/>
            <w:shd w:val="clear" w:color="auto" w:fill="F2F2F2"/>
          </w:tcPr>
          <w:p w14:paraId="4053B990"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Vehicle</w:t>
            </w:r>
          </w:p>
        </w:tc>
        <w:tc>
          <w:tcPr>
            <w:tcW w:w="1872" w:type="dxa"/>
            <w:shd w:val="clear" w:color="auto" w:fill="F2F2F2"/>
          </w:tcPr>
          <w:p w14:paraId="6702967D"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Success measure</w:t>
            </w:r>
          </w:p>
        </w:tc>
        <w:tc>
          <w:tcPr>
            <w:tcW w:w="1872" w:type="dxa"/>
            <w:shd w:val="clear" w:color="auto" w:fill="F2F2F2"/>
          </w:tcPr>
          <w:p w14:paraId="695416B2"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Review</w:t>
            </w:r>
          </w:p>
        </w:tc>
      </w:tr>
      <w:tr w:rsidR="004E1D3B" w:rsidRPr="0079089C" w14:paraId="4C979431" w14:textId="77777777">
        <w:tc>
          <w:tcPr>
            <w:tcW w:w="1872" w:type="dxa"/>
          </w:tcPr>
          <w:p w14:paraId="0874F119"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1: Foundation (months 1 to 3)</w:t>
            </w:r>
          </w:p>
        </w:tc>
        <w:tc>
          <w:tcPr>
            <w:tcW w:w="1872" w:type="dxa"/>
          </w:tcPr>
          <w:p w14:paraId="0952052E"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Complete an accredited facial anatomy and consultation module, and shadow consultations, by month 3</w:t>
            </w:r>
          </w:p>
        </w:tc>
        <w:tc>
          <w:tcPr>
            <w:tcW w:w="1872" w:type="dxa"/>
          </w:tcPr>
          <w:p w14:paraId="2A9D78EC"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Accredited course; observation</w:t>
            </w:r>
          </w:p>
        </w:tc>
        <w:tc>
          <w:tcPr>
            <w:tcW w:w="1872" w:type="dxa"/>
          </w:tcPr>
          <w:p w14:paraId="7634CCF3"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Assessment passed; consultation checklist completed accurately on observation</w:t>
            </w:r>
          </w:p>
        </w:tc>
        <w:tc>
          <w:tcPr>
            <w:tcW w:w="1872" w:type="dxa"/>
          </w:tcPr>
          <w:p w14:paraId="62A77099"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Month 3</w:t>
            </w:r>
          </w:p>
        </w:tc>
      </w:tr>
      <w:tr w:rsidR="004E1D3B" w:rsidRPr="0079089C" w14:paraId="63746732" w14:textId="77777777">
        <w:tc>
          <w:tcPr>
            <w:tcW w:w="1872" w:type="dxa"/>
          </w:tcPr>
          <w:p w14:paraId="6E1D0A3E"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2: Supervised practice (months 4 to 8)</w:t>
            </w:r>
          </w:p>
        </w:tc>
        <w:tc>
          <w:tcPr>
            <w:tcW w:w="1872" w:type="dxa"/>
          </w:tcPr>
          <w:p w14:paraId="6B1EE2AF"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Deliver agreed treatments under direct supervision, </w:t>
            </w:r>
            <w:r w:rsidRPr="0079089C">
              <w:rPr>
                <w:rFonts w:asciiTheme="majorHAnsi" w:hAnsiTheme="majorHAnsi" w:cstheme="majorHAnsi"/>
                <w:b/>
                <w:sz w:val="24"/>
                <w:szCs w:val="24"/>
              </w:rPr>
              <w:lastRenderedPageBreak/>
              <w:t>completing a documented consent and aftercare audit for each</w:t>
            </w:r>
          </w:p>
        </w:tc>
        <w:tc>
          <w:tcPr>
            <w:tcW w:w="1872" w:type="dxa"/>
          </w:tcPr>
          <w:p w14:paraId="1AEB3EA6"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lastRenderedPageBreak/>
              <w:t>Supervised practice; monthly coaching</w:t>
            </w:r>
          </w:p>
        </w:tc>
        <w:tc>
          <w:tcPr>
            <w:tcW w:w="1872" w:type="dxa"/>
          </w:tcPr>
          <w:p w14:paraId="4DCF2F82"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Supervisor sign-off for each treatment type; zero consent </w:t>
            </w:r>
            <w:r w:rsidRPr="0079089C">
              <w:rPr>
                <w:rFonts w:asciiTheme="majorHAnsi" w:hAnsiTheme="majorHAnsi" w:cstheme="majorHAnsi"/>
                <w:b/>
                <w:sz w:val="24"/>
                <w:szCs w:val="24"/>
              </w:rPr>
              <w:lastRenderedPageBreak/>
              <w:t>omissions</w:t>
            </w:r>
          </w:p>
        </w:tc>
        <w:tc>
          <w:tcPr>
            <w:tcW w:w="1872" w:type="dxa"/>
          </w:tcPr>
          <w:p w14:paraId="205E79D3"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lastRenderedPageBreak/>
              <w:t>Month 6</w:t>
            </w:r>
          </w:p>
        </w:tc>
      </w:tr>
      <w:tr w:rsidR="004E1D3B" w:rsidRPr="0079089C" w14:paraId="62CF0C93" w14:textId="77777777">
        <w:tc>
          <w:tcPr>
            <w:tcW w:w="1872" w:type="dxa"/>
          </w:tcPr>
          <w:p w14:paraId="03A7D750"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3: Consolidation (months 9 to 12)</w:t>
            </w:r>
          </w:p>
        </w:tc>
        <w:tc>
          <w:tcPr>
            <w:tcW w:w="1872" w:type="dxa"/>
          </w:tcPr>
          <w:p w14:paraId="58FBCBFD"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Treat independently within an approved scope, assist on one academy cohort, and complete a complications-management update</w:t>
            </w:r>
          </w:p>
        </w:tc>
        <w:tc>
          <w:tcPr>
            <w:tcW w:w="1872" w:type="dxa"/>
          </w:tcPr>
          <w:p w14:paraId="4ECD7E07"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Mentoring; academy sessions; update workshop</w:t>
            </w:r>
          </w:p>
        </w:tc>
        <w:tc>
          <w:tcPr>
            <w:tcW w:w="1872" w:type="dxa"/>
          </w:tcPr>
          <w:p w14:paraId="3C68B992"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Competence sign-off; peer feedback; update certificate</w:t>
            </w:r>
          </w:p>
        </w:tc>
        <w:tc>
          <w:tcPr>
            <w:tcW w:w="1872" w:type="dxa"/>
          </w:tcPr>
          <w:p w14:paraId="18A3E684"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Month 12</w:t>
            </w:r>
          </w:p>
        </w:tc>
      </w:tr>
    </w:tbl>
    <w:p w14:paraId="3C224D34" w14:textId="5A34F610" w:rsidR="004E1D3B" w:rsidRPr="0079089C" w:rsidRDefault="00463601"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Competence sign-off is the criterion for progression</w:t>
      </w:r>
      <w:r w:rsidR="00CB43DD"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not time elapsed between phases. If a gate is not </w:t>
      </w:r>
      <w:r w:rsidR="00CB43DD" w:rsidRPr="0079089C">
        <w:rPr>
          <w:rFonts w:asciiTheme="majorHAnsi" w:hAnsiTheme="majorHAnsi" w:cstheme="majorHAnsi"/>
          <w:b/>
          <w:sz w:val="24"/>
          <w:szCs w:val="24"/>
        </w:rPr>
        <w:t>passed</w:t>
      </w:r>
      <w:r w:rsidRPr="0079089C">
        <w:rPr>
          <w:rFonts w:asciiTheme="majorHAnsi" w:hAnsiTheme="majorHAnsi" w:cstheme="majorHAnsi"/>
          <w:b/>
          <w:sz w:val="24"/>
          <w:szCs w:val="24"/>
        </w:rPr>
        <w:t>, the plan is extended</w:t>
      </w:r>
      <w:r w:rsidR="00CB43DD"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and reasons </w:t>
      </w:r>
      <w:r w:rsidR="00CB43DD" w:rsidRPr="0079089C">
        <w:rPr>
          <w:rFonts w:asciiTheme="majorHAnsi" w:hAnsiTheme="majorHAnsi" w:cstheme="majorHAnsi"/>
          <w:b/>
          <w:sz w:val="24"/>
          <w:szCs w:val="24"/>
        </w:rPr>
        <w:t xml:space="preserve">are </w:t>
      </w:r>
      <w:r w:rsidRPr="0079089C">
        <w:rPr>
          <w:rFonts w:asciiTheme="majorHAnsi" w:hAnsiTheme="majorHAnsi" w:cstheme="majorHAnsi"/>
          <w:b/>
          <w:sz w:val="24"/>
          <w:szCs w:val="24"/>
        </w:rPr>
        <w:t xml:space="preserve">discussed to safeguard the clients and ensure that the agreement remains valid. Resources are specified in advance: protected learning time, cost of the course and my supervision time. The agreement may include a proportionate training-cost repayment clause if Practitioner A leaves early, subject to legal advice, which </w:t>
      </w:r>
      <w:r w:rsidR="00CB43DD" w:rsidRPr="0079089C">
        <w:rPr>
          <w:rFonts w:asciiTheme="majorHAnsi" w:hAnsiTheme="majorHAnsi" w:cstheme="majorHAnsi"/>
          <w:b/>
          <w:sz w:val="24"/>
          <w:szCs w:val="24"/>
        </w:rPr>
        <w:t>addresses</w:t>
      </w:r>
      <w:r w:rsidRPr="0079089C">
        <w:rPr>
          <w:rFonts w:asciiTheme="majorHAnsi" w:hAnsiTheme="majorHAnsi" w:cstheme="majorHAnsi"/>
          <w:b/>
          <w:sz w:val="24"/>
          <w:szCs w:val="24"/>
        </w:rPr>
        <w:t xml:space="preserve"> the poaching risk in a transparent rather than punitive way.</w:t>
      </w:r>
    </w:p>
    <w:p w14:paraId="0AF889A7" w14:textId="77777777" w:rsidR="004E1D3B" w:rsidRPr="0079089C" w:rsidRDefault="00000000" w:rsidP="0079089C">
      <w:pPr>
        <w:pStyle w:val="Heading3"/>
        <w:spacing w:line="360" w:lineRule="auto"/>
        <w:rPr>
          <w:rFonts w:asciiTheme="majorHAnsi" w:hAnsiTheme="majorHAnsi" w:cstheme="majorHAnsi"/>
          <w:szCs w:val="24"/>
        </w:rPr>
      </w:pPr>
      <w:bookmarkStart w:id="12" w:name="_Toc239145748"/>
      <w:r w:rsidRPr="0079089C">
        <w:rPr>
          <w:rFonts w:asciiTheme="majorHAnsi" w:hAnsiTheme="majorHAnsi" w:cstheme="majorHAnsi"/>
          <w:szCs w:val="24"/>
        </w:rPr>
        <w:t>6.3 Managing performance</w:t>
      </w:r>
      <w:bookmarkEnd w:id="12"/>
    </w:p>
    <w:p w14:paraId="32BD6445" w14:textId="4C113903" w:rsidR="00463601" w:rsidRPr="0079089C" w:rsidRDefault="00463601"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A single annual performance management would not be the </w:t>
      </w:r>
      <w:proofErr w:type="gramStart"/>
      <w:r w:rsidRPr="0079089C">
        <w:rPr>
          <w:rFonts w:asciiTheme="majorHAnsi" w:hAnsiTheme="majorHAnsi" w:cstheme="majorHAnsi"/>
          <w:b/>
          <w:sz w:val="24"/>
          <w:szCs w:val="24"/>
        </w:rPr>
        <w:t>norm, but</w:t>
      </w:r>
      <w:proofErr w:type="gramEnd"/>
      <w:r w:rsidRPr="0079089C">
        <w:rPr>
          <w:rFonts w:asciiTheme="majorHAnsi" w:hAnsiTheme="majorHAnsi" w:cstheme="majorHAnsi"/>
          <w:b/>
          <w:sz w:val="24"/>
          <w:szCs w:val="24"/>
        </w:rPr>
        <w:t xml:space="preserve"> rather would be part of the year's activities. </w:t>
      </w:r>
      <w:proofErr w:type="spellStart"/>
      <w:r w:rsidRPr="0079089C">
        <w:rPr>
          <w:rFonts w:asciiTheme="majorHAnsi" w:hAnsiTheme="majorHAnsi" w:cstheme="majorHAnsi"/>
          <w:b/>
          <w:sz w:val="24"/>
          <w:szCs w:val="24"/>
        </w:rPr>
        <w:t>Pulakos</w:t>
      </w:r>
      <w:proofErr w:type="spellEnd"/>
      <w:r w:rsidRPr="0079089C">
        <w:rPr>
          <w:rFonts w:asciiTheme="majorHAnsi" w:hAnsiTheme="majorHAnsi" w:cstheme="majorHAnsi"/>
          <w:b/>
          <w:sz w:val="24"/>
          <w:szCs w:val="24"/>
        </w:rPr>
        <w:t xml:space="preserve"> et al. (2019) </w:t>
      </w:r>
      <w:proofErr w:type="gramStart"/>
      <w:r w:rsidRPr="0079089C">
        <w:rPr>
          <w:rFonts w:asciiTheme="majorHAnsi" w:hAnsiTheme="majorHAnsi" w:cstheme="majorHAnsi"/>
          <w:b/>
          <w:sz w:val="24"/>
          <w:szCs w:val="24"/>
        </w:rPr>
        <w:t>state</w:t>
      </w:r>
      <w:proofErr w:type="gramEnd"/>
      <w:r w:rsidRPr="0079089C">
        <w:rPr>
          <w:rFonts w:asciiTheme="majorHAnsi" w:hAnsiTheme="majorHAnsi" w:cstheme="majorHAnsi"/>
          <w:b/>
          <w:sz w:val="24"/>
          <w:szCs w:val="24"/>
        </w:rPr>
        <w:t xml:space="preserve"> that the field has shifted to a sustained, development-oriented discourse and Murphy (2020) doubts the validity and effectiveness of the </w:t>
      </w:r>
      <w:r w:rsidRPr="0079089C">
        <w:rPr>
          <w:rFonts w:asciiTheme="majorHAnsi" w:hAnsiTheme="majorHAnsi" w:cstheme="majorHAnsi"/>
          <w:b/>
          <w:sz w:val="24"/>
          <w:szCs w:val="24"/>
        </w:rPr>
        <w:lastRenderedPageBreak/>
        <w:t xml:space="preserve">traditional rating-based assessment. I would therefore conduct short, monthly reviews and a formal review every three months and </w:t>
      </w:r>
      <w:r w:rsidR="00CB43DD" w:rsidRPr="0079089C">
        <w:rPr>
          <w:rFonts w:asciiTheme="majorHAnsi" w:hAnsiTheme="majorHAnsi" w:cstheme="majorHAnsi"/>
          <w:b/>
          <w:sz w:val="24"/>
          <w:szCs w:val="24"/>
        </w:rPr>
        <w:t xml:space="preserve">every </w:t>
      </w:r>
      <w:r w:rsidRPr="0079089C">
        <w:rPr>
          <w:rFonts w:asciiTheme="majorHAnsi" w:hAnsiTheme="majorHAnsi" w:cstheme="majorHAnsi"/>
          <w:b/>
          <w:sz w:val="24"/>
          <w:szCs w:val="24"/>
        </w:rPr>
        <w:t xml:space="preserve">six months. This evidence would be </w:t>
      </w:r>
      <w:proofErr w:type="spellStart"/>
      <w:r w:rsidRPr="0079089C">
        <w:rPr>
          <w:rFonts w:asciiTheme="majorHAnsi" w:hAnsiTheme="majorHAnsi" w:cstheme="majorHAnsi"/>
          <w:b/>
          <w:sz w:val="24"/>
          <w:szCs w:val="24"/>
        </w:rPr>
        <w:t>behavioural</w:t>
      </w:r>
      <w:proofErr w:type="spellEnd"/>
      <w:r w:rsidRPr="0079089C">
        <w:rPr>
          <w:rFonts w:asciiTheme="majorHAnsi" w:hAnsiTheme="majorHAnsi" w:cstheme="majorHAnsi"/>
          <w:b/>
          <w:sz w:val="24"/>
          <w:szCs w:val="24"/>
        </w:rPr>
        <w:t xml:space="preserve"> and observable, based on treatment logs, evidence of accuracy, </w:t>
      </w:r>
      <w:r w:rsidR="00CB43DD" w:rsidRPr="0079089C">
        <w:rPr>
          <w:rFonts w:asciiTheme="majorHAnsi" w:hAnsiTheme="majorHAnsi" w:cstheme="majorHAnsi"/>
          <w:b/>
          <w:sz w:val="24"/>
          <w:szCs w:val="24"/>
        </w:rPr>
        <w:t>audits</w:t>
      </w:r>
      <w:r w:rsidRPr="0079089C">
        <w:rPr>
          <w:rFonts w:asciiTheme="majorHAnsi" w:hAnsiTheme="majorHAnsi" w:cstheme="majorHAnsi"/>
          <w:b/>
          <w:sz w:val="24"/>
          <w:szCs w:val="24"/>
        </w:rPr>
        <w:t xml:space="preserve">, and peer feedback and would include feedback from practitioner A in the upward direction about my own support. Multiple sources </w:t>
      </w:r>
      <w:r w:rsidR="00CB43DD" w:rsidRPr="0079089C">
        <w:rPr>
          <w:rFonts w:asciiTheme="majorHAnsi" w:hAnsiTheme="majorHAnsi" w:cstheme="majorHAnsi"/>
          <w:b/>
          <w:sz w:val="24"/>
          <w:szCs w:val="24"/>
        </w:rPr>
        <w:t>decrease</w:t>
      </w:r>
      <w:r w:rsidRPr="0079089C">
        <w:rPr>
          <w:rFonts w:asciiTheme="majorHAnsi" w:hAnsiTheme="majorHAnsi" w:cstheme="majorHAnsi"/>
          <w:b/>
          <w:sz w:val="24"/>
          <w:szCs w:val="24"/>
        </w:rPr>
        <w:t xml:space="preserve"> the bias of one </w:t>
      </w:r>
      <w:proofErr w:type="gramStart"/>
      <w:r w:rsidRPr="0079089C">
        <w:rPr>
          <w:rFonts w:asciiTheme="majorHAnsi" w:hAnsiTheme="majorHAnsi" w:cstheme="majorHAnsi"/>
          <w:b/>
          <w:sz w:val="24"/>
          <w:szCs w:val="24"/>
        </w:rPr>
        <w:t>rater</w:t>
      </w:r>
      <w:proofErr w:type="gramEnd"/>
      <w:r w:rsidRPr="0079089C">
        <w:rPr>
          <w:rFonts w:asciiTheme="majorHAnsi" w:hAnsiTheme="majorHAnsi" w:cstheme="majorHAnsi"/>
          <w:b/>
          <w:sz w:val="24"/>
          <w:szCs w:val="24"/>
        </w:rPr>
        <w:t xml:space="preserve"> and </w:t>
      </w:r>
      <w:r w:rsidR="00CB43DD" w:rsidRPr="0079089C">
        <w:rPr>
          <w:rFonts w:asciiTheme="majorHAnsi" w:hAnsiTheme="majorHAnsi" w:cstheme="majorHAnsi"/>
          <w:b/>
          <w:sz w:val="24"/>
          <w:szCs w:val="24"/>
        </w:rPr>
        <w:t>help</w:t>
      </w:r>
      <w:r w:rsidRPr="0079089C">
        <w:rPr>
          <w:rFonts w:asciiTheme="majorHAnsi" w:hAnsiTheme="majorHAnsi" w:cstheme="majorHAnsi"/>
          <w:b/>
          <w:sz w:val="24"/>
          <w:szCs w:val="24"/>
        </w:rPr>
        <w:t xml:space="preserve"> in fair, objective assessment.</w:t>
      </w:r>
    </w:p>
    <w:p w14:paraId="26BC6F07" w14:textId="77777777" w:rsidR="00463601" w:rsidRPr="0079089C" w:rsidRDefault="00463601"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Feedback quality matters. The meta-analysis reported a medium average effect of feedback on learning, which was quite inconsistent; information-rich feedback on tasks and processes was more effective than praise or criticism (Wisniewski et al., 2020). Feedback would then be specific, timely, tied to the goal, and would be accompanied by an agreed-on action. A written summary signed by both parties would be the end of each appraisal.</w:t>
      </w:r>
    </w:p>
    <w:p w14:paraId="197F71FD" w14:textId="7F70706D" w:rsidR="004E1D3B" w:rsidRPr="0079089C" w:rsidRDefault="00463601"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The structure of the appraisal conversation is the same each time: Practitioner A reviews their progress towards each objective; I provide evidence-based feedback, starting with strengths; together we </w:t>
      </w:r>
      <w:proofErr w:type="gramStart"/>
      <w:r w:rsidRPr="0079089C">
        <w:rPr>
          <w:rFonts w:asciiTheme="majorHAnsi" w:hAnsiTheme="majorHAnsi" w:cstheme="majorHAnsi"/>
          <w:b/>
          <w:sz w:val="24"/>
          <w:szCs w:val="24"/>
        </w:rPr>
        <w:t>agree</w:t>
      </w:r>
      <w:proofErr w:type="gramEnd"/>
      <w:r w:rsidRPr="0079089C">
        <w:rPr>
          <w:rFonts w:asciiTheme="majorHAnsi" w:hAnsiTheme="majorHAnsi" w:cstheme="majorHAnsi"/>
          <w:b/>
          <w:sz w:val="24"/>
          <w:szCs w:val="24"/>
        </w:rPr>
        <w:t xml:space="preserve"> next steps; I ask for understanding. This is based on open questions and listening, </w:t>
      </w:r>
      <w:r w:rsidR="00CB43DD" w:rsidRPr="0079089C">
        <w:rPr>
          <w:rFonts w:asciiTheme="majorHAnsi" w:hAnsiTheme="majorHAnsi" w:cstheme="majorHAnsi"/>
          <w:b/>
          <w:sz w:val="24"/>
          <w:szCs w:val="24"/>
        </w:rPr>
        <w:t xml:space="preserve">and on the understanding </w:t>
      </w:r>
      <w:r w:rsidRPr="0079089C">
        <w:rPr>
          <w:rFonts w:asciiTheme="majorHAnsi" w:hAnsiTheme="majorHAnsi" w:cstheme="majorHAnsi"/>
          <w:b/>
          <w:sz w:val="24"/>
          <w:szCs w:val="24"/>
        </w:rPr>
        <w:t>that this is dialogue, not a verdict. The judgments must be based on a specific example</w:t>
      </w:r>
      <w:r w:rsidR="00CB43DD"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the same criteria apply to all team members</w:t>
      </w:r>
      <w:r w:rsidR="00CB43DD" w:rsidRPr="0079089C">
        <w:rPr>
          <w:rFonts w:asciiTheme="majorHAnsi" w:hAnsiTheme="majorHAnsi" w:cstheme="majorHAnsi"/>
          <w:b/>
          <w:sz w:val="24"/>
          <w:szCs w:val="24"/>
        </w:rPr>
        <w:t>,</w:t>
      </w:r>
      <w:r w:rsidRPr="0079089C">
        <w:rPr>
          <w:rFonts w:asciiTheme="majorHAnsi" w:hAnsiTheme="majorHAnsi" w:cstheme="majorHAnsi"/>
          <w:b/>
          <w:sz w:val="24"/>
          <w:szCs w:val="24"/>
        </w:rPr>
        <w:t xml:space="preserve"> and Practitioner A may write a response to the judgment </w:t>
      </w:r>
      <w:r w:rsidR="00CB43DD" w:rsidRPr="0079089C">
        <w:rPr>
          <w:rFonts w:asciiTheme="majorHAnsi" w:hAnsiTheme="majorHAnsi" w:cstheme="majorHAnsi"/>
          <w:b/>
          <w:sz w:val="24"/>
          <w:szCs w:val="24"/>
        </w:rPr>
        <w:t>in</w:t>
      </w:r>
      <w:r w:rsidRPr="0079089C">
        <w:rPr>
          <w:rFonts w:asciiTheme="majorHAnsi" w:hAnsiTheme="majorHAnsi" w:cstheme="majorHAnsi"/>
          <w:b/>
          <w:sz w:val="24"/>
          <w:szCs w:val="24"/>
        </w:rPr>
        <w:t xml:space="preserve"> the assessment record to make it fair and objective. Practitioner A also maintains a brief reflective record (following the reflect and apply stages of the CPD cycle outlined in the module) that provides support for evidence of learning and would encourage honest self-assessment.</w:t>
      </w:r>
    </w:p>
    <w:p w14:paraId="4944BA58" w14:textId="77777777" w:rsidR="004E1D3B" w:rsidRPr="0079089C" w:rsidRDefault="00000000" w:rsidP="0079089C">
      <w:pPr>
        <w:pStyle w:val="Heading3"/>
        <w:spacing w:line="360" w:lineRule="auto"/>
        <w:rPr>
          <w:rFonts w:asciiTheme="majorHAnsi" w:hAnsiTheme="majorHAnsi" w:cstheme="majorHAnsi"/>
          <w:szCs w:val="24"/>
        </w:rPr>
      </w:pPr>
      <w:bookmarkStart w:id="13" w:name="_Toc239145749"/>
      <w:r w:rsidRPr="0079089C">
        <w:rPr>
          <w:rFonts w:asciiTheme="majorHAnsi" w:hAnsiTheme="majorHAnsi" w:cstheme="majorHAnsi"/>
          <w:szCs w:val="24"/>
        </w:rPr>
        <w:t>6.4 Evaluating effectiveness</w:t>
      </w:r>
      <w:bookmarkEnd w:id="13"/>
    </w:p>
    <w:p w14:paraId="6CADAE16" w14:textId="0F941C35" w:rsidR="004E1D3B" w:rsidRPr="0079089C" w:rsidRDefault="00794BDA"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The study would assess effectiveness using Kirkpatrick's four levels (Kirkpatrick, 2016). Reaction: Practitioner A's observations of each vehicle. Knowledge/skills assessed: learning. Reward: A consistent practice change observed associated with consent processes. Results: never individual client data, but only aggregated anonymous data like audit scores, trends in the number of incidents, and retention. Evaluation is intentional and not improvised at the end; all levels are associated with a named evidence source and date in the development record. There are many factors that impact the results, so I would consider these indicators of contribution, not </w:t>
      </w:r>
      <w:proofErr w:type="gramStart"/>
      <w:r w:rsidRPr="0079089C">
        <w:rPr>
          <w:rFonts w:asciiTheme="majorHAnsi" w:hAnsiTheme="majorHAnsi" w:cstheme="majorHAnsi"/>
          <w:b/>
          <w:sz w:val="24"/>
          <w:szCs w:val="24"/>
        </w:rPr>
        <w:t>cause</w:t>
      </w:r>
      <w:proofErr w:type="gramEnd"/>
      <w:r w:rsidRPr="0079089C">
        <w:rPr>
          <w:rFonts w:asciiTheme="majorHAnsi" w:hAnsiTheme="majorHAnsi" w:cstheme="majorHAnsi"/>
          <w:b/>
          <w:sz w:val="24"/>
          <w:szCs w:val="24"/>
        </w:rPr>
        <w:t xml:space="preserve"> and the plan would be different at each review</w:t>
      </w:r>
      <w:r w:rsidR="00981F98" w:rsidRPr="0079089C">
        <w:rPr>
          <w:rFonts w:asciiTheme="majorHAnsi" w:hAnsiTheme="majorHAnsi" w:cstheme="majorHAnsi"/>
          <w:b/>
          <w:sz w:val="24"/>
          <w:szCs w:val="24"/>
        </w:rPr>
        <w:t>.</w:t>
      </w:r>
    </w:p>
    <w:p w14:paraId="5DFC8650" w14:textId="77777777" w:rsidR="004E1D3B" w:rsidRPr="0079089C" w:rsidRDefault="00000000" w:rsidP="0079089C">
      <w:pPr>
        <w:pStyle w:val="Heading3"/>
        <w:spacing w:line="360" w:lineRule="auto"/>
        <w:rPr>
          <w:rFonts w:asciiTheme="majorHAnsi" w:hAnsiTheme="majorHAnsi" w:cstheme="majorHAnsi"/>
          <w:szCs w:val="24"/>
        </w:rPr>
      </w:pPr>
      <w:bookmarkStart w:id="14" w:name="_Toc239145750"/>
      <w:r w:rsidRPr="0079089C">
        <w:rPr>
          <w:rFonts w:asciiTheme="majorHAnsi" w:hAnsiTheme="majorHAnsi" w:cstheme="majorHAnsi"/>
          <w:szCs w:val="24"/>
        </w:rPr>
        <w:lastRenderedPageBreak/>
        <w:t>6.5 Risks and contingencies</w:t>
      </w:r>
      <w:bookmarkEnd w:id="14"/>
    </w:p>
    <w:p w14:paraId="3BB9A2E0" w14:textId="5A03B3B5" w:rsidR="004E1D3B" w:rsidRPr="0079089C" w:rsidRDefault="00794BDA"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The plan has four risks that would negatively impact it. Practitioner A can leave after qualifying, mitigated by a visible progression path, fair repayment clause and good working relationship. The </w:t>
      </w:r>
      <w:proofErr w:type="spellStart"/>
      <w:r w:rsidRPr="0079089C">
        <w:rPr>
          <w:rFonts w:asciiTheme="majorHAnsi" w:hAnsiTheme="majorHAnsi" w:cstheme="majorHAnsi"/>
          <w:b/>
          <w:sz w:val="24"/>
          <w:szCs w:val="24"/>
        </w:rPr>
        <w:t>programme</w:t>
      </w:r>
      <w:proofErr w:type="spellEnd"/>
      <w:r w:rsidRPr="0079089C">
        <w:rPr>
          <w:rFonts w:asciiTheme="majorHAnsi" w:hAnsiTheme="majorHAnsi" w:cstheme="majorHAnsi"/>
          <w:b/>
          <w:sz w:val="24"/>
          <w:szCs w:val="24"/>
        </w:rPr>
        <w:t xml:space="preserve"> may affect the time and income that I spend on my treatment, this will be offset by phasing and scheduling supervision around the diary. Judgements can be made subject to my own bias as owner/assessor, but external mentors, documented criteria and positive feedback will </w:t>
      </w:r>
      <w:proofErr w:type="spellStart"/>
      <w:r w:rsidRPr="0079089C">
        <w:rPr>
          <w:rFonts w:asciiTheme="majorHAnsi" w:hAnsiTheme="majorHAnsi" w:cstheme="majorHAnsi"/>
          <w:b/>
          <w:sz w:val="24"/>
          <w:szCs w:val="24"/>
        </w:rPr>
        <w:t>minimise</w:t>
      </w:r>
      <w:proofErr w:type="spellEnd"/>
      <w:r w:rsidRPr="0079089C">
        <w:rPr>
          <w:rFonts w:asciiTheme="majorHAnsi" w:hAnsiTheme="majorHAnsi" w:cstheme="majorHAnsi"/>
          <w:b/>
          <w:sz w:val="24"/>
          <w:szCs w:val="24"/>
        </w:rPr>
        <w:t xml:space="preserve"> this. Finally, once the licensing process is implemented (Balogun, 2025), maintaining records of competencies beyond the minimum and reviewing the plan when regulations change</w:t>
      </w:r>
      <w:r w:rsidR="00981F98" w:rsidRPr="0079089C">
        <w:rPr>
          <w:rFonts w:asciiTheme="majorHAnsi" w:hAnsiTheme="majorHAnsi" w:cstheme="majorHAnsi"/>
          <w:b/>
          <w:sz w:val="24"/>
          <w:szCs w:val="24"/>
        </w:rPr>
        <w:t>.</w:t>
      </w:r>
    </w:p>
    <w:p w14:paraId="5BAA2FDC" w14:textId="77777777" w:rsidR="004E1D3B" w:rsidRPr="0079089C" w:rsidRDefault="00000000" w:rsidP="0079089C">
      <w:pPr>
        <w:pStyle w:val="Heading3"/>
        <w:spacing w:line="360" w:lineRule="auto"/>
        <w:rPr>
          <w:rFonts w:asciiTheme="majorHAnsi" w:hAnsiTheme="majorHAnsi" w:cstheme="majorHAnsi"/>
          <w:szCs w:val="24"/>
        </w:rPr>
      </w:pPr>
      <w:bookmarkStart w:id="15" w:name="_Toc239145751"/>
      <w:r w:rsidRPr="0079089C">
        <w:rPr>
          <w:rFonts w:asciiTheme="majorHAnsi" w:hAnsiTheme="majorHAnsi" w:cstheme="majorHAnsi"/>
          <w:szCs w:val="24"/>
        </w:rPr>
        <w:t>6.6 Sustainability and succession</w:t>
      </w:r>
      <w:bookmarkEnd w:id="15"/>
    </w:p>
    <w:p w14:paraId="2AFAE583" w14:textId="063EEE0F" w:rsidR="004E1D3B" w:rsidRPr="0079089C" w:rsidRDefault="00794BDA"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The plan </w:t>
      </w:r>
      <w:proofErr w:type="gramStart"/>
      <w:r w:rsidRPr="0079089C">
        <w:rPr>
          <w:rFonts w:asciiTheme="majorHAnsi" w:hAnsiTheme="majorHAnsi" w:cstheme="majorHAnsi"/>
          <w:b/>
          <w:sz w:val="24"/>
          <w:szCs w:val="24"/>
        </w:rPr>
        <w:t>has to</w:t>
      </w:r>
      <w:proofErr w:type="gramEnd"/>
      <w:r w:rsidRPr="0079089C">
        <w:rPr>
          <w:rFonts w:asciiTheme="majorHAnsi" w:hAnsiTheme="majorHAnsi" w:cstheme="majorHAnsi"/>
          <w:b/>
          <w:sz w:val="24"/>
          <w:szCs w:val="24"/>
        </w:rPr>
        <w:t xml:space="preserve"> be sustainable, too. Protected time, realistic workloads and recovery are job resources that protect well-being (Bakker et al., 2023; De Vos et al., 2020), which is increased with the expansion to a second site. Similarly, for succession planning. Once a Practitioner is </w:t>
      </w:r>
      <w:proofErr w:type="gramStart"/>
      <w:r w:rsidRPr="0079089C">
        <w:rPr>
          <w:rFonts w:asciiTheme="majorHAnsi" w:hAnsiTheme="majorHAnsi" w:cstheme="majorHAnsi"/>
          <w:b/>
          <w:sz w:val="24"/>
          <w:szCs w:val="24"/>
        </w:rPr>
        <w:t>competent</w:t>
      </w:r>
      <w:proofErr w:type="gramEnd"/>
      <w:r w:rsidRPr="0079089C">
        <w:rPr>
          <w:rFonts w:asciiTheme="majorHAnsi" w:hAnsiTheme="majorHAnsi" w:cstheme="majorHAnsi"/>
          <w:b/>
          <w:sz w:val="24"/>
          <w:szCs w:val="24"/>
        </w:rPr>
        <w:t xml:space="preserve"> they have a clear pathway to being lead trainer for the academy or deputy at the new site, decreasing my reliance on key personnel and providing Practitioner A with a visible career opportunity that solidifies the retention that was an outcome of investing in the academy</w:t>
      </w:r>
      <w:r w:rsidR="00981F98" w:rsidRPr="0079089C">
        <w:rPr>
          <w:rFonts w:asciiTheme="majorHAnsi" w:hAnsiTheme="majorHAnsi" w:cstheme="majorHAnsi"/>
          <w:b/>
          <w:sz w:val="24"/>
          <w:szCs w:val="24"/>
        </w:rPr>
        <w:t>.</w:t>
      </w:r>
    </w:p>
    <w:p w14:paraId="76439D37" w14:textId="77777777" w:rsidR="004E1D3B" w:rsidRPr="0079089C" w:rsidRDefault="00000000" w:rsidP="0079089C">
      <w:pPr>
        <w:pStyle w:val="Heading2"/>
        <w:spacing w:line="360" w:lineRule="auto"/>
        <w:rPr>
          <w:rFonts w:asciiTheme="majorHAnsi" w:hAnsiTheme="majorHAnsi" w:cstheme="majorHAnsi"/>
          <w:sz w:val="24"/>
          <w:szCs w:val="24"/>
        </w:rPr>
      </w:pPr>
      <w:bookmarkStart w:id="16" w:name="_Toc239145752"/>
      <w:r w:rsidRPr="0079089C">
        <w:rPr>
          <w:rFonts w:asciiTheme="majorHAnsi" w:hAnsiTheme="majorHAnsi" w:cstheme="majorHAnsi"/>
          <w:sz w:val="24"/>
          <w:szCs w:val="24"/>
        </w:rPr>
        <w:t>7. Conclusion and recommendations</w:t>
      </w:r>
      <w:bookmarkEnd w:id="16"/>
    </w:p>
    <w:p w14:paraId="05B7C196" w14:textId="77777777" w:rsidR="00794BDA" w:rsidRPr="0079089C" w:rsidRDefault="00794BDA"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Working successfully in workplace relationships and achieving success in the workplace is more likely when developing individuals exhibit support, skills development, and knowledge sharing, and thus are more likely to work collaboratively (Colbert et al., 2016; </w:t>
      </w:r>
      <w:proofErr w:type="spellStart"/>
      <w:r w:rsidRPr="0079089C">
        <w:rPr>
          <w:rFonts w:asciiTheme="majorHAnsi" w:hAnsiTheme="majorHAnsi" w:cstheme="majorHAnsi"/>
          <w:b/>
          <w:sz w:val="24"/>
          <w:szCs w:val="24"/>
        </w:rPr>
        <w:t>Kurtessis</w:t>
      </w:r>
      <w:proofErr w:type="spellEnd"/>
      <w:r w:rsidRPr="0079089C">
        <w:rPr>
          <w:rFonts w:asciiTheme="majorHAnsi" w:hAnsiTheme="majorHAnsi" w:cstheme="majorHAnsi"/>
          <w:b/>
          <w:sz w:val="24"/>
          <w:szCs w:val="24"/>
        </w:rPr>
        <w:t xml:space="preserve"> et al., 2017). The Honey-Love Beauty Box also needs to develop </w:t>
      </w:r>
      <w:proofErr w:type="gramStart"/>
      <w:r w:rsidRPr="0079089C">
        <w:rPr>
          <w:rFonts w:asciiTheme="majorHAnsi" w:hAnsiTheme="majorHAnsi" w:cstheme="majorHAnsi"/>
          <w:b/>
          <w:sz w:val="24"/>
          <w:szCs w:val="24"/>
        </w:rPr>
        <w:t>in order to</w:t>
      </w:r>
      <w:proofErr w:type="gramEnd"/>
      <w:r w:rsidRPr="0079089C">
        <w:rPr>
          <w:rFonts w:asciiTheme="majorHAnsi" w:hAnsiTheme="majorHAnsi" w:cstheme="majorHAnsi"/>
          <w:b/>
          <w:sz w:val="24"/>
          <w:szCs w:val="24"/>
        </w:rPr>
        <w:t xml:space="preserve"> become a security, regulatory and succession tool. The evidence is not automatic, benefits must be designed in learning, transfer to practice, and the expectations and retention of the benefits, with the consideration of portable skills (Acemoglu &amp; Pischke, 1999; Salas et al., 2012). It must be recognized that this is a ‘short report'. It is based on one </w:t>
      </w:r>
      <w:proofErr w:type="spellStart"/>
      <w:r w:rsidRPr="0079089C">
        <w:rPr>
          <w:rFonts w:asciiTheme="majorHAnsi" w:hAnsiTheme="majorHAnsi" w:cstheme="majorHAnsi"/>
          <w:b/>
          <w:sz w:val="24"/>
          <w:szCs w:val="24"/>
        </w:rPr>
        <w:t>anonymised</w:t>
      </w:r>
      <w:proofErr w:type="spellEnd"/>
      <w:r w:rsidRPr="0079089C">
        <w:rPr>
          <w:rFonts w:asciiTheme="majorHAnsi" w:hAnsiTheme="majorHAnsi" w:cstheme="majorHAnsi"/>
          <w:b/>
          <w:sz w:val="24"/>
          <w:szCs w:val="24"/>
        </w:rPr>
        <w:t xml:space="preserve"> case study, and much of the evidence is collected from large organizations or from other sectors, findings are then applied by reasoned judgement.</w:t>
      </w:r>
    </w:p>
    <w:p w14:paraId="758A3C81" w14:textId="77777777" w:rsidR="00794BDA" w:rsidRPr="0079089C" w:rsidRDefault="00794BDA" w:rsidP="0079089C">
      <w:pPr>
        <w:spacing w:line="360" w:lineRule="auto"/>
        <w:rPr>
          <w:rFonts w:asciiTheme="majorHAnsi" w:hAnsiTheme="majorHAnsi" w:cstheme="majorHAnsi"/>
          <w:b/>
          <w:sz w:val="24"/>
          <w:szCs w:val="24"/>
        </w:rPr>
      </w:pPr>
      <w:proofErr w:type="gramStart"/>
      <w:r w:rsidRPr="0079089C">
        <w:rPr>
          <w:rFonts w:asciiTheme="majorHAnsi" w:hAnsiTheme="majorHAnsi" w:cstheme="majorHAnsi"/>
          <w:b/>
          <w:sz w:val="24"/>
          <w:szCs w:val="24"/>
        </w:rPr>
        <w:lastRenderedPageBreak/>
        <w:t>A next</w:t>
      </w:r>
      <w:proofErr w:type="gramEnd"/>
      <w:r w:rsidRPr="0079089C">
        <w:rPr>
          <w:rFonts w:asciiTheme="majorHAnsi" w:hAnsiTheme="majorHAnsi" w:cstheme="majorHAnsi"/>
          <w:b/>
          <w:sz w:val="24"/>
          <w:szCs w:val="24"/>
        </w:rPr>
        <w:t xml:space="preserve"> practical step will be to inform one practitioner of the plan, formally </w:t>
      </w:r>
      <w:proofErr w:type="gramStart"/>
      <w:r w:rsidRPr="0079089C">
        <w:rPr>
          <w:rFonts w:asciiTheme="majorHAnsi" w:hAnsiTheme="majorHAnsi" w:cstheme="majorHAnsi"/>
          <w:b/>
          <w:sz w:val="24"/>
          <w:szCs w:val="24"/>
        </w:rPr>
        <w:t>discuss at</w:t>
      </w:r>
      <w:proofErr w:type="gramEnd"/>
      <w:r w:rsidRPr="0079089C">
        <w:rPr>
          <w:rFonts w:asciiTheme="majorHAnsi" w:hAnsiTheme="majorHAnsi" w:cstheme="majorHAnsi"/>
          <w:b/>
          <w:sz w:val="24"/>
          <w:szCs w:val="24"/>
        </w:rPr>
        <w:t xml:space="preserve"> the </w:t>
      </w:r>
      <w:proofErr w:type="gramStart"/>
      <w:r w:rsidRPr="0079089C">
        <w:rPr>
          <w:rFonts w:asciiTheme="majorHAnsi" w:hAnsiTheme="majorHAnsi" w:cstheme="majorHAnsi"/>
          <w:b/>
          <w:sz w:val="24"/>
          <w:szCs w:val="24"/>
        </w:rPr>
        <w:t>six month</w:t>
      </w:r>
      <w:proofErr w:type="gramEnd"/>
      <w:r w:rsidRPr="0079089C">
        <w:rPr>
          <w:rFonts w:asciiTheme="majorHAnsi" w:hAnsiTheme="majorHAnsi" w:cstheme="majorHAnsi"/>
          <w:b/>
          <w:sz w:val="24"/>
          <w:szCs w:val="24"/>
        </w:rPr>
        <w:t xml:space="preserve"> review point and then do the same </w:t>
      </w:r>
      <w:proofErr w:type="gramStart"/>
      <w:r w:rsidRPr="0079089C">
        <w:rPr>
          <w:rFonts w:asciiTheme="majorHAnsi" w:hAnsiTheme="majorHAnsi" w:cstheme="majorHAnsi"/>
          <w:b/>
          <w:sz w:val="24"/>
          <w:szCs w:val="24"/>
        </w:rPr>
        <w:t>to</w:t>
      </w:r>
      <w:proofErr w:type="gramEnd"/>
      <w:r w:rsidRPr="0079089C">
        <w:rPr>
          <w:rFonts w:asciiTheme="majorHAnsi" w:hAnsiTheme="majorHAnsi" w:cstheme="majorHAnsi"/>
          <w:b/>
          <w:sz w:val="24"/>
          <w:szCs w:val="24"/>
        </w:rPr>
        <w:t xml:space="preserve"> both ACAD staff and </w:t>
      </w:r>
      <w:proofErr w:type="gramStart"/>
      <w:r w:rsidRPr="0079089C">
        <w:rPr>
          <w:rFonts w:asciiTheme="majorHAnsi" w:hAnsiTheme="majorHAnsi" w:cstheme="majorHAnsi"/>
          <w:b/>
          <w:sz w:val="24"/>
          <w:szCs w:val="24"/>
        </w:rPr>
        <w:t>to staff</w:t>
      </w:r>
      <w:proofErr w:type="gramEnd"/>
      <w:r w:rsidRPr="0079089C">
        <w:rPr>
          <w:rFonts w:asciiTheme="majorHAnsi" w:hAnsiTheme="majorHAnsi" w:cstheme="majorHAnsi"/>
          <w:b/>
          <w:sz w:val="24"/>
          <w:szCs w:val="24"/>
        </w:rPr>
        <w:t xml:space="preserve"> from the second site. Risk-taking is an integral component of what pilots do and a means of providing the team with local evidence that things are working, and that they're not just a slogan.</w:t>
      </w:r>
    </w:p>
    <w:p w14:paraId="2D5ED076" w14:textId="534016BA" w:rsidR="004E1D3B" w:rsidRPr="0079089C" w:rsidRDefault="00794BDA"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I would suggest that the company:</w:t>
      </w:r>
    </w:p>
    <w:p w14:paraId="296FF87D" w14:textId="77777777" w:rsidR="004E1D3B" w:rsidRPr="0079089C" w:rsidRDefault="00000000" w:rsidP="0079089C">
      <w:pPr>
        <w:pStyle w:val="ListParagraph"/>
        <w:numPr>
          <w:ilvl w:val="0"/>
          <w:numId w:val="2"/>
        </w:numPr>
        <w:spacing w:line="360" w:lineRule="auto"/>
        <w:rPr>
          <w:rFonts w:asciiTheme="majorHAnsi" w:hAnsiTheme="majorHAnsi" w:cstheme="majorHAnsi"/>
          <w:b/>
          <w:sz w:val="24"/>
          <w:szCs w:val="24"/>
        </w:rPr>
      </w:pPr>
      <w:r w:rsidRPr="0079089C">
        <w:rPr>
          <w:rFonts w:asciiTheme="majorHAnsi" w:hAnsiTheme="majorHAnsi" w:cstheme="majorHAnsi"/>
          <w:b/>
          <w:sz w:val="24"/>
          <w:szCs w:val="24"/>
        </w:rPr>
        <w:t>Adopt a written development agreement for every team member, setting out mutual expectations and limits.</w:t>
      </w:r>
    </w:p>
    <w:p w14:paraId="479CAC8A" w14:textId="77777777" w:rsidR="004E1D3B" w:rsidRPr="0079089C" w:rsidRDefault="00000000" w:rsidP="0079089C">
      <w:pPr>
        <w:pStyle w:val="ListParagraph"/>
        <w:numPr>
          <w:ilvl w:val="0"/>
          <w:numId w:val="2"/>
        </w:num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Use a blended </w:t>
      </w:r>
      <w:proofErr w:type="spellStart"/>
      <w:r w:rsidRPr="0079089C">
        <w:rPr>
          <w:rFonts w:asciiTheme="majorHAnsi" w:hAnsiTheme="majorHAnsi" w:cstheme="majorHAnsi"/>
          <w:b/>
          <w:sz w:val="24"/>
          <w:szCs w:val="24"/>
        </w:rPr>
        <w:t>programme</w:t>
      </w:r>
      <w:proofErr w:type="spellEnd"/>
      <w:r w:rsidRPr="0079089C">
        <w:rPr>
          <w:rFonts w:asciiTheme="majorHAnsi" w:hAnsiTheme="majorHAnsi" w:cstheme="majorHAnsi"/>
          <w:b/>
          <w:sz w:val="24"/>
          <w:szCs w:val="24"/>
        </w:rPr>
        <w:t xml:space="preserve"> anchored in accredited learning, graded supervised practice and coaching, with an external mentor.</w:t>
      </w:r>
    </w:p>
    <w:p w14:paraId="6093F326" w14:textId="77777777" w:rsidR="004E1D3B" w:rsidRPr="0079089C" w:rsidRDefault="00000000" w:rsidP="0079089C">
      <w:pPr>
        <w:pStyle w:val="ListParagraph"/>
        <w:numPr>
          <w:ilvl w:val="0"/>
          <w:numId w:val="2"/>
        </w:numPr>
        <w:spacing w:line="360" w:lineRule="auto"/>
        <w:rPr>
          <w:rFonts w:asciiTheme="majorHAnsi" w:hAnsiTheme="majorHAnsi" w:cstheme="majorHAnsi"/>
          <w:b/>
          <w:sz w:val="24"/>
          <w:szCs w:val="24"/>
        </w:rPr>
      </w:pPr>
      <w:r w:rsidRPr="0079089C">
        <w:rPr>
          <w:rFonts w:asciiTheme="majorHAnsi" w:hAnsiTheme="majorHAnsi" w:cstheme="majorHAnsi"/>
          <w:b/>
          <w:sz w:val="24"/>
          <w:szCs w:val="24"/>
        </w:rPr>
        <w:t>Gate progression on competence sign-off, not elapsed time.</w:t>
      </w:r>
    </w:p>
    <w:p w14:paraId="26E3E634" w14:textId="77777777" w:rsidR="004E1D3B" w:rsidRPr="0079089C" w:rsidRDefault="00000000" w:rsidP="0079089C">
      <w:pPr>
        <w:pStyle w:val="ListParagraph"/>
        <w:numPr>
          <w:ilvl w:val="0"/>
          <w:numId w:val="2"/>
        </w:numPr>
        <w:spacing w:line="360" w:lineRule="auto"/>
        <w:rPr>
          <w:rFonts w:asciiTheme="majorHAnsi" w:hAnsiTheme="majorHAnsi" w:cstheme="majorHAnsi"/>
          <w:b/>
          <w:sz w:val="24"/>
          <w:szCs w:val="24"/>
        </w:rPr>
      </w:pPr>
      <w:r w:rsidRPr="0079089C">
        <w:rPr>
          <w:rFonts w:asciiTheme="majorHAnsi" w:hAnsiTheme="majorHAnsi" w:cstheme="majorHAnsi"/>
          <w:b/>
          <w:sz w:val="24"/>
          <w:szCs w:val="24"/>
        </w:rPr>
        <w:t>Run continuous, evidence-based appraisal with confidential records, and evaluate using Kirkpatrick's four levels.</w:t>
      </w:r>
    </w:p>
    <w:p w14:paraId="100313DD" w14:textId="77777777" w:rsidR="004E1D3B" w:rsidRPr="0079089C" w:rsidRDefault="00000000" w:rsidP="0079089C">
      <w:pPr>
        <w:pStyle w:val="ListParagraph"/>
        <w:numPr>
          <w:ilvl w:val="0"/>
          <w:numId w:val="2"/>
        </w:num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Build succession pathways for the academy and the second </w:t>
      </w:r>
      <w:proofErr w:type="gramStart"/>
      <w:r w:rsidRPr="0079089C">
        <w:rPr>
          <w:rFonts w:asciiTheme="majorHAnsi" w:hAnsiTheme="majorHAnsi" w:cstheme="majorHAnsi"/>
          <w:b/>
          <w:sz w:val="24"/>
          <w:szCs w:val="24"/>
        </w:rPr>
        <w:t>site, and</w:t>
      </w:r>
      <w:proofErr w:type="gramEnd"/>
      <w:r w:rsidRPr="0079089C">
        <w:rPr>
          <w:rFonts w:asciiTheme="majorHAnsi" w:hAnsiTheme="majorHAnsi" w:cstheme="majorHAnsi"/>
          <w:b/>
          <w:sz w:val="24"/>
          <w:szCs w:val="24"/>
        </w:rPr>
        <w:t xml:space="preserve"> protect workload to sustain well-being.</w:t>
      </w:r>
    </w:p>
    <w:p w14:paraId="611DB6E3" w14:textId="26AADD3A" w:rsidR="004E1D3B" w:rsidRPr="0079089C" w:rsidRDefault="00794BDA"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Combined, these can lead to growth for the business without sacrificing the quality and trust it was built on. They equally apply to me too. My personal mastery is the foundation of a learning </w:t>
      </w:r>
      <w:proofErr w:type="spellStart"/>
      <w:r w:rsidRPr="0079089C">
        <w:rPr>
          <w:rFonts w:asciiTheme="majorHAnsi" w:hAnsiTheme="majorHAnsi" w:cstheme="majorHAnsi"/>
          <w:b/>
          <w:sz w:val="24"/>
          <w:szCs w:val="24"/>
        </w:rPr>
        <w:t>organisation</w:t>
      </w:r>
      <w:proofErr w:type="spellEnd"/>
      <w:r w:rsidRPr="0079089C">
        <w:rPr>
          <w:rFonts w:asciiTheme="majorHAnsi" w:hAnsiTheme="majorHAnsi" w:cstheme="majorHAnsi"/>
          <w:b/>
          <w:sz w:val="24"/>
          <w:szCs w:val="24"/>
        </w:rPr>
        <w:t xml:space="preserve"> (Senge, 1990/2006) and therefore I will plan my personal development as Practitioner A planned their development of their practice and will review this with the team at every cycle</w:t>
      </w:r>
      <w:r w:rsidR="00711135" w:rsidRPr="0079089C">
        <w:rPr>
          <w:rFonts w:asciiTheme="majorHAnsi" w:hAnsiTheme="majorHAnsi" w:cstheme="majorHAnsi"/>
          <w:b/>
          <w:sz w:val="24"/>
          <w:szCs w:val="24"/>
        </w:rPr>
        <w:t>.</w:t>
      </w:r>
    </w:p>
    <w:p w14:paraId="2BAFD2AE" w14:textId="77777777" w:rsidR="00FE687B" w:rsidRPr="0079089C" w:rsidRDefault="00FE687B"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br w:type="page"/>
      </w:r>
    </w:p>
    <w:p w14:paraId="4BFE05BF" w14:textId="6D59DE3E" w:rsidR="004E1D3B" w:rsidRPr="0079089C" w:rsidRDefault="00000000" w:rsidP="0079089C">
      <w:pPr>
        <w:pStyle w:val="Heading2"/>
        <w:spacing w:line="360" w:lineRule="auto"/>
        <w:rPr>
          <w:rFonts w:asciiTheme="majorHAnsi" w:hAnsiTheme="majorHAnsi" w:cstheme="majorHAnsi"/>
          <w:sz w:val="24"/>
          <w:szCs w:val="24"/>
        </w:rPr>
      </w:pPr>
      <w:bookmarkStart w:id="17" w:name="_Toc239145753"/>
      <w:r w:rsidRPr="0079089C">
        <w:rPr>
          <w:rFonts w:asciiTheme="majorHAnsi" w:hAnsiTheme="majorHAnsi" w:cstheme="majorHAnsi"/>
          <w:sz w:val="24"/>
          <w:szCs w:val="24"/>
        </w:rPr>
        <w:lastRenderedPageBreak/>
        <w:t>References</w:t>
      </w:r>
      <w:bookmarkEnd w:id="17"/>
    </w:p>
    <w:p w14:paraId="15F0FE51" w14:textId="74EB438A"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Acemoglu, D., &amp; Pischke, J.-S. (1999). Beyond Becker: Training in imperfect </w:t>
      </w:r>
      <w:proofErr w:type="spellStart"/>
      <w:r w:rsidRPr="0079089C">
        <w:rPr>
          <w:rFonts w:asciiTheme="majorHAnsi" w:hAnsiTheme="majorHAnsi" w:cstheme="majorHAnsi"/>
          <w:b/>
          <w:sz w:val="24"/>
          <w:szCs w:val="24"/>
        </w:rPr>
        <w:t>labour</w:t>
      </w:r>
      <w:proofErr w:type="spellEnd"/>
      <w:r w:rsidRPr="0079089C">
        <w:rPr>
          <w:rFonts w:asciiTheme="majorHAnsi" w:hAnsiTheme="majorHAnsi" w:cstheme="majorHAnsi"/>
          <w:b/>
          <w:sz w:val="24"/>
          <w:szCs w:val="24"/>
        </w:rPr>
        <w:t xml:space="preserve"> markets. </w:t>
      </w:r>
      <w:r w:rsidRPr="0079089C">
        <w:rPr>
          <w:rFonts w:asciiTheme="majorHAnsi" w:hAnsiTheme="majorHAnsi" w:cstheme="majorHAnsi"/>
          <w:b/>
          <w:i/>
          <w:sz w:val="24"/>
          <w:szCs w:val="24"/>
        </w:rPr>
        <w:t>The Economic Journal, 109</w:t>
      </w:r>
      <w:r w:rsidRPr="0079089C">
        <w:rPr>
          <w:rFonts w:asciiTheme="majorHAnsi" w:hAnsiTheme="majorHAnsi" w:cstheme="majorHAnsi"/>
          <w:b/>
          <w:sz w:val="24"/>
          <w:szCs w:val="24"/>
        </w:rPr>
        <w:t xml:space="preserve">(453), F112–F142. </w:t>
      </w:r>
      <w:hyperlink r:id="rId9" w:history="1">
        <w:r w:rsidRPr="0079089C">
          <w:rPr>
            <w:rStyle w:val="Hyperlink"/>
            <w:rFonts w:asciiTheme="majorHAnsi" w:hAnsiTheme="majorHAnsi" w:cstheme="majorHAnsi"/>
            <w:b/>
            <w:sz w:val="24"/>
            <w:szCs w:val="24"/>
          </w:rPr>
          <w:t>https://doi.org/10.1111/1468-0297.00405</w:t>
        </w:r>
      </w:hyperlink>
    </w:p>
    <w:p w14:paraId="59592FEF" w14:textId="77777777"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Armstrong, M., &amp; Taylor, S. (2023). </w:t>
      </w:r>
      <w:r w:rsidRPr="0079089C">
        <w:rPr>
          <w:rFonts w:asciiTheme="majorHAnsi" w:hAnsiTheme="majorHAnsi" w:cstheme="majorHAnsi"/>
          <w:b/>
          <w:i/>
          <w:sz w:val="24"/>
          <w:szCs w:val="24"/>
        </w:rPr>
        <w:t>Armstrong's handbook of human resource management practice</w:t>
      </w:r>
      <w:r w:rsidRPr="0079089C">
        <w:rPr>
          <w:rFonts w:asciiTheme="majorHAnsi" w:hAnsiTheme="majorHAnsi" w:cstheme="majorHAnsi"/>
          <w:b/>
          <w:sz w:val="24"/>
          <w:szCs w:val="24"/>
        </w:rPr>
        <w:t xml:space="preserve"> (16th ed.). Kogan Page.</w:t>
      </w:r>
    </w:p>
    <w:p w14:paraId="4D90BABE" w14:textId="008B0856"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Bakker, A. B., Demerouti, E., &amp; Sanz-Vergel, A. (2023). Job demands–resources theory: Ten years later. </w:t>
      </w:r>
      <w:r w:rsidRPr="0079089C">
        <w:rPr>
          <w:rFonts w:asciiTheme="majorHAnsi" w:hAnsiTheme="majorHAnsi" w:cstheme="majorHAnsi"/>
          <w:b/>
          <w:i/>
          <w:sz w:val="24"/>
          <w:szCs w:val="24"/>
        </w:rPr>
        <w:t>Annual Review of Organizational Psychology and Organizational Behavior, 10</w:t>
      </w:r>
      <w:r w:rsidRPr="0079089C">
        <w:rPr>
          <w:rFonts w:asciiTheme="majorHAnsi" w:hAnsiTheme="majorHAnsi" w:cstheme="majorHAnsi"/>
          <w:b/>
          <w:sz w:val="24"/>
          <w:szCs w:val="24"/>
        </w:rPr>
        <w:t xml:space="preserve">, 25–53. </w:t>
      </w:r>
      <w:hyperlink r:id="rId10" w:history="1">
        <w:r w:rsidRPr="0079089C">
          <w:rPr>
            <w:rStyle w:val="Hyperlink"/>
            <w:rFonts w:asciiTheme="majorHAnsi" w:hAnsiTheme="majorHAnsi" w:cstheme="majorHAnsi"/>
            <w:b/>
            <w:sz w:val="24"/>
            <w:szCs w:val="24"/>
          </w:rPr>
          <w:t>https://doi.org/10.1146/annurev-orgpsych-120920-053933</w:t>
        </w:r>
      </w:hyperlink>
    </w:p>
    <w:p w14:paraId="4458D979" w14:textId="70CB80D0"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Balogun, B. (2025). </w:t>
      </w:r>
      <w:r w:rsidRPr="0079089C">
        <w:rPr>
          <w:rFonts w:asciiTheme="majorHAnsi" w:hAnsiTheme="majorHAnsi" w:cstheme="majorHAnsi"/>
          <w:b/>
          <w:i/>
          <w:sz w:val="24"/>
          <w:szCs w:val="24"/>
        </w:rPr>
        <w:t>The regulation of non-surgical cosmetic procedures in England</w:t>
      </w:r>
      <w:r w:rsidRPr="0079089C">
        <w:rPr>
          <w:rFonts w:asciiTheme="majorHAnsi" w:hAnsiTheme="majorHAnsi" w:cstheme="majorHAnsi"/>
          <w:b/>
          <w:sz w:val="24"/>
          <w:szCs w:val="24"/>
        </w:rPr>
        <w:t xml:space="preserve"> (Research Briefing CBP-10331). House of Commons Library. </w:t>
      </w:r>
      <w:hyperlink r:id="rId11" w:history="1">
        <w:r w:rsidRPr="0079089C">
          <w:rPr>
            <w:rStyle w:val="Hyperlink"/>
            <w:rFonts w:asciiTheme="majorHAnsi" w:hAnsiTheme="majorHAnsi" w:cstheme="majorHAnsi"/>
            <w:b/>
            <w:sz w:val="24"/>
            <w:szCs w:val="24"/>
          </w:rPr>
          <w:t>https://commonslibrary.parliament.uk/research-briefings/cbp-10331/</w:t>
        </w:r>
      </w:hyperlink>
    </w:p>
    <w:p w14:paraId="1F9BD79E" w14:textId="4A19A6E5"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Botulinum Toxin and Cosmetic Fillers (Children) Act 2021, c. 19. </w:t>
      </w:r>
      <w:hyperlink r:id="rId12" w:history="1">
        <w:r w:rsidRPr="0079089C">
          <w:rPr>
            <w:rStyle w:val="Hyperlink"/>
            <w:rFonts w:asciiTheme="majorHAnsi" w:hAnsiTheme="majorHAnsi" w:cstheme="majorHAnsi"/>
            <w:b/>
            <w:sz w:val="24"/>
            <w:szCs w:val="24"/>
          </w:rPr>
          <w:t>https://www.legislation.gov.uk/ukpga/2021/19</w:t>
        </w:r>
      </w:hyperlink>
    </w:p>
    <w:p w14:paraId="38AB8803" w14:textId="552483D2"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Castellani, P., Rossato, C., Giaretta, E., &amp; Davide, R. (2021). Tacit knowledge sharing in knowledge-intensive firms: The perceptions of team members and team leaders. </w:t>
      </w:r>
      <w:r w:rsidRPr="0079089C">
        <w:rPr>
          <w:rFonts w:asciiTheme="majorHAnsi" w:hAnsiTheme="majorHAnsi" w:cstheme="majorHAnsi"/>
          <w:b/>
          <w:i/>
          <w:sz w:val="24"/>
          <w:szCs w:val="24"/>
        </w:rPr>
        <w:t>Review of Managerial Science, 15</w:t>
      </w:r>
      <w:r w:rsidRPr="0079089C">
        <w:rPr>
          <w:rFonts w:asciiTheme="majorHAnsi" w:hAnsiTheme="majorHAnsi" w:cstheme="majorHAnsi"/>
          <w:b/>
          <w:sz w:val="24"/>
          <w:szCs w:val="24"/>
        </w:rPr>
        <w:t xml:space="preserve">(1), 125–155. </w:t>
      </w:r>
      <w:hyperlink r:id="rId13" w:history="1">
        <w:r w:rsidRPr="0079089C">
          <w:rPr>
            <w:rStyle w:val="Hyperlink"/>
            <w:rFonts w:asciiTheme="majorHAnsi" w:hAnsiTheme="majorHAnsi" w:cstheme="majorHAnsi"/>
            <w:b/>
            <w:sz w:val="24"/>
            <w:szCs w:val="24"/>
          </w:rPr>
          <w:t>https://doi.org/10.1007/s11846-019-00368-x</w:t>
        </w:r>
      </w:hyperlink>
    </w:p>
    <w:p w14:paraId="278DBD19" w14:textId="74E1E6F4"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Colbert, A. E., Bono, J. E., &amp; </w:t>
      </w:r>
      <w:proofErr w:type="spellStart"/>
      <w:r w:rsidRPr="0079089C">
        <w:rPr>
          <w:rFonts w:asciiTheme="majorHAnsi" w:hAnsiTheme="majorHAnsi" w:cstheme="majorHAnsi"/>
          <w:b/>
          <w:sz w:val="24"/>
          <w:szCs w:val="24"/>
        </w:rPr>
        <w:t>Purvanova</w:t>
      </w:r>
      <w:proofErr w:type="spellEnd"/>
      <w:r w:rsidRPr="0079089C">
        <w:rPr>
          <w:rFonts w:asciiTheme="majorHAnsi" w:hAnsiTheme="majorHAnsi" w:cstheme="majorHAnsi"/>
          <w:b/>
          <w:sz w:val="24"/>
          <w:szCs w:val="24"/>
        </w:rPr>
        <w:t xml:space="preserve">, R. K. (2016). Flourishing via workplace relationships: Moving beyond instrumental support. </w:t>
      </w:r>
      <w:r w:rsidRPr="0079089C">
        <w:rPr>
          <w:rFonts w:asciiTheme="majorHAnsi" w:hAnsiTheme="majorHAnsi" w:cstheme="majorHAnsi"/>
          <w:b/>
          <w:i/>
          <w:sz w:val="24"/>
          <w:szCs w:val="24"/>
        </w:rPr>
        <w:t>Academy of Management Journal, 59</w:t>
      </w:r>
      <w:r w:rsidRPr="0079089C">
        <w:rPr>
          <w:rFonts w:asciiTheme="majorHAnsi" w:hAnsiTheme="majorHAnsi" w:cstheme="majorHAnsi"/>
          <w:b/>
          <w:sz w:val="24"/>
          <w:szCs w:val="24"/>
        </w:rPr>
        <w:t xml:space="preserve">(4), 1199–1223. </w:t>
      </w:r>
      <w:hyperlink r:id="rId14" w:history="1">
        <w:r w:rsidRPr="0079089C">
          <w:rPr>
            <w:rStyle w:val="Hyperlink"/>
            <w:rFonts w:asciiTheme="majorHAnsi" w:hAnsiTheme="majorHAnsi" w:cstheme="majorHAnsi"/>
            <w:b/>
            <w:sz w:val="24"/>
            <w:szCs w:val="24"/>
          </w:rPr>
          <w:t>https://doi.org/10.5465/amj.2014.0506</w:t>
        </w:r>
      </w:hyperlink>
    </w:p>
    <w:p w14:paraId="039C320A" w14:textId="19660C6A"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Crowley, L., &amp; </w:t>
      </w:r>
      <w:proofErr w:type="spellStart"/>
      <w:r w:rsidRPr="0079089C">
        <w:rPr>
          <w:rFonts w:asciiTheme="majorHAnsi" w:hAnsiTheme="majorHAnsi" w:cstheme="majorHAnsi"/>
          <w:b/>
          <w:sz w:val="24"/>
          <w:szCs w:val="24"/>
        </w:rPr>
        <w:t>Zemanik</w:t>
      </w:r>
      <w:proofErr w:type="spellEnd"/>
      <w:r w:rsidRPr="0079089C">
        <w:rPr>
          <w:rFonts w:asciiTheme="majorHAnsi" w:hAnsiTheme="majorHAnsi" w:cstheme="majorHAnsi"/>
          <w:b/>
          <w:sz w:val="24"/>
          <w:szCs w:val="24"/>
        </w:rPr>
        <w:t xml:space="preserve">, M. (2025). </w:t>
      </w:r>
      <w:r w:rsidRPr="0079089C">
        <w:rPr>
          <w:rFonts w:asciiTheme="majorHAnsi" w:hAnsiTheme="majorHAnsi" w:cstheme="majorHAnsi"/>
          <w:b/>
          <w:i/>
          <w:sz w:val="24"/>
          <w:szCs w:val="24"/>
        </w:rPr>
        <w:t>Lifelong learning in the reskilling era: From luxury to necessity</w:t>
      </w:r>
      <w:r w:rsidRPr="0079089C">
        <w:rPr>
          <w:rFonts w:asciiTheme="majorHAnsi" w:hAnsiTheme="majorHAnsi" w:cstheme="majorHAnsi"/>
          <w:b/>
          <w:sz w:val="24"/>
          <w:szCs w:val="24"/>
        </w:rPr>
        <w:t xml:space="preserve">. Chartered Institute of Personnel and Development. </w:t>
      </w:r>
      <w:hyperlink r:id="rId15" w:history="1">
        <w:r w:rsidRPr="0079089C">
          <w:rPr>
            <w:rStyle w:val="Hyperlink"/>
            <w:rFonts w:asciiTheme="majorHAnsi" w:hAnsiTheme="majorHAnsi" w:cstheme="majorHAnsi"/>
            <w:b/>
            <w:sz w:val="24"/>
            <w:szCs w:val="24"/>
          </w:rPr>
          <w:t>https://www.cipd.org/globalassets/media/knowledge/knowledge-hub/reports/2025-pdfs/8930-lifelong-learning-in-the-reskilling-era-report-web.pdf</w:t>
        </w:r>
      </w:hyperlink>
    </w:p>
    <w:p w14:paraId="1A3867D3" w14:textId="7AF6F607"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Data Protection Act 2018, c. 12. </w:t>
      </w:r>
      <w:hyperlink r:id="rId16" w:history="1">
        <w:r w:rsidRPr="0079089C">
          <w:rPr>
            <w:rStyle w:val="Hyperlink"/>
            <w:rFonts w:asciiTheme="majorHAnsi" w:hAnsiTheme="majorHAnsi" w:cstheme="majorHAnsi"/>
            <w:b/>
            <w:sz w:val="24"/>
            <w:szCs w:val="24"/>
          </w:rPr>
          <w:t>https://www.legislation.gov.uk/ukpga/2018/12/contents</w:t>
        </w:r>
      </w:hyperlink>
    </w:p>
    <w:p w14:paraId="00F3DA5B" w14:textId="6F495B3C"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lastRenderedPageBreak/>
        <w:t xml:space="preserve">De Vos, A., Van der Heijden, B. I. J. M., &amp; Akkermans, J. (2020). Sustainable careers: Towards a conceptual model. </w:t>
      </w:r>
      <w:r w:rsidRPr="0079089C">
        <w:rPr>
          <w:rFonts w:asciiTheme="majorHAnsi" w:hAnsiTheme="majorHAnsi" w:cstheme="majorHAnsi"/>
          <w:b/>
          <w:i/>
          <w:sz w:val="24"/>
          <w:szCs w:val="24"/>
        </w:rPr>
        <w:t>Journal of Vocational Behavior, 117</w:t>
      </w:r>
      <w:r w:rsidRPr="0079089C">
        <w:rPr>
          <w:rFonts w:asciiTheme="majorHAnsi" w:hAnsiTheme="majorHAnsi" w:cstheme="majorHAnsi"/>
          <w:b/>
          <w:sz w:val="24"/>
          <w:szCs w:val="24"/>
        </w:rPr>
        <w:t xml:space="preserve">, Article 103196. </w:t>
      </w:r>
      <w:hyperlink r:id="rId17" w:history="1">
        <w:r w:rsidRPr="0079089C">
          <w:rPr>
            <w:rStyle w:val="Hyperlink"/>
            <w:rFonts w:asciiTheme="majorHAnsi" w:hAnsiTheme="majorHAnsi" w:cstheme="majorHAnsi"/>
            <w:b/>
            <w:sz w:val="24"/>
            <w:szCs w:val="24"/>
          </w:rPr>
          <w:t>https://doi.org/10.1016/j.jvb.2018.06.011</w:t>
        </w:r>
      </w:hyperlink>
    </w:p>
    <w:p w14:paraId="260C7A3A" w14:textId="77777777"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Edmondson, A. C. (2019). </w:t>
      </w:r>
      <w:proofErr w:type="gramStart"/>
      <w:r w:rsidRPr="0079089C">
        <w:rPr>
          <w:rFonts w:asciiTheme="majorHAnsi" w:hAnsiTheme="majorHAnsi" w:cstheme="majorHAnsi"/>
          <w:b/>
          <w:i/>
          <w:sz w:val="24"/>
          <w:szCs w:val="24"/>
        </w:rPr>
        <w:t>The fearless</w:t>
      </w:r>
      <w:proofErr w:type="gramEnd"/>
      <w:r w:rsidRPr="0079089C">
        <w:rPr>
          <w:rFonts w:asciiTheme="majorHAnsi" w:hAnsiTheme="majorHAnsi" w:cstheme="majorHAnsi"/>
          <w:b/>
          <w:i/>
          <w:sz w:val="24"/>
          <w:szCs w:val="24"/>
        </w:rPr>
        <w:t xml:space="preserve"> organization: Creating psychological safety in the workplace for learning, innovation, and growth</w:t>
      </w:r>
      <w:r w:rsidRPr="0079089C">
        <w:rPr>
          <w:rFonts w:asciiTheme="majorHAnsi" w:hAnsiTheme="majorHAnsi" w:cstheme="majorHAnsi"/>
          <w:b/>
          <w:sz w:val="24"/>
          <w:szCs w:val="24"/>
        </w:rPr>
        <w:t>. Wiley.</w:t>
      </w:r>
    </w:p>
    <w:p w14:paraId="47B9BA25" w14:textId="77777777"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Garvin, D. A., Edmondson, A. C., &amp; Gino, F. (2008). Is yours a learning organization? </w:t>
      </w:r>
      <w:r w:rsidRPr="0079089C">
        <w:rPr>
          <w:rFonts w:asciiTheme="majorHAnsi" w:hAnsiTheme="majorHAnsi" w:cstheme="majorHAnsi"/>
          <w:b/>
          <w:i/>
          <w:sz w:val="24"/>
          <w:szCs w:val="24"/>
        </w:rPr>
        <w:t>Harvard Business Review, 86</w:t>
      </w:r>
      <w:r w:rsidRPr="0079089C">
        <w:rPr>
          <w:rFonts w:asciiTheme="majorHAnsi" w:hAnsiTheme="majorHAnsi" w:cstheme="majorHAnsi"/>
          <w:b/>
          <w:sz w:val="24"/>
          <w:szCs w:val="24"/>
        </w:rPr>
        <w:t>(3), 109–116.</w:t>
      </w:r>
    </w:p>
    <w:p w14:paraId="3B26EFD3" w14:textId="6C3DEDD4"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Graßmann, C., Schölmerich, F., &amp; </w:t>
      </w:r>
      <w:proofErr w:type="spellStart"/>
      <w:r w:rsidRPr="0079089C">
        <w:rPr>
          <w:rFonts w:asciiTheme="majorHAnsi" w:hAnsiTheme="majorHAnsi" w:cstheme="majorHAnsi"/>
          <w:b/>
          <w:sz w:val="24"/>
          <w:szCs w:val="24"/>
        </w:rPr>
        <w:t>Schermuly</w:t>
      </w:r>
      <w:proofErr w:type="spellEnd"/>
      <w:r w:rsidRPr="0079089C">
        <w:rPr>
          <w:rFonts w:asciiTheme="majorHAnsi" w:hAnsiTheme="majorHAnsi" w:cstheme="majorHAnsi"/>
          <w:b/>
          <w:sz w:val="24"/>
          <w:szCs w:val="24"/>
        </w:rPr>
        <w:t xml:space="preserve">, C. C. (2020). The relationship between working alliance and client outcomes in coaching: A meta-analysis. </w:t>
      </w:r>
      <w:r w:rsidRPr="0079089C">
        <w:rPr>
          <w:rFonts w:asciiTheme="majorHAnsi" w:hAnsiTheme="majorHAnsi" w:cstheme="majorHAnsi"/>
          <w:b/>
          <w:i/>
          <w:sz w:val="24"/>
          <w:szCs w:val="24"/>
        </w:rPr>
        <w:t>Human Relations, 73</w:t>
      </w:r>
      <w:r w:rsidRPr="0079089C">
        <w:rPr>
          <w:rFonts w:asciiTheme="majorHAnsi" w:hAnsiTheme="majorHAnsi" w:cstheme="majorHAnsi"/>
          <w:b/>
          <w:sz w:val="24"/>
          <w:szCs w:val="24"/>
        </w:rPr>
        <w:t xml:space="preserve">(1), 35–58. </w:t>
      </w:r>
      <w:hyperlink r:id="rId18" w:history="1">
        <w:r w:rsidRPr="0079089C">
          <w:rPr>
            <w:rStyle w:val="Hyperlink"/>
            <w:rFonts w:asciiTheme="majorHAnsi" w:hAnsiTheme="majorHAnsi" w:cstheme="majorHAnsi"/>
            <w:b/>
            <w:sz w:val="24"/>
            <w:szCs w:val="24"/>
          </w:rPr>
          <w:t>https://doi.org/10.1177/0018726718819725</w:t>
        </w:r>
      </w:hyperlink>
    </w:p>
    <w:p w14:paraId="5FCB53A8" w14:textId="1ED9C08C"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Harney, B., &amp; Alkhalaf, H. (2021). A quarter-century review of HRM in small and medium-sized enterprises: Capturing what we know, exploring where we need to go. </w:t>
      </w:r>
      <w:r w:rsidRPr="0079089C">
        <w:rPr>
          <w:rFonts w:asciiTheme="majorHAnsi" w:hAnsiTheme="majorHAnsi" w:cstheme="majorHAnsi"/>
          <w:b/>
          <w:i/>
          <w:sz w:val="24"/>
          <w:szCs w:val="24"/>
        </w:rPr>
        <w:t>Human Resource Management, 60</w:t>
      </w:r>
      <w:r w:rsidRPr="0079089C">
        <w:rPr>
          <w:rFonts w:asciiTheme="majorHAnsi" w:hAnsiTheme="majorHAnsi" w:cstheme="majorHAnsi"/>
          <w:b/>
          <w:sz w:val="24"/>
          <w:szCs w:val="24"/>
        </w:rPr>
        <w:t xml:space="preserve">(1), 5–29. </w:t>
      </w:r>
      <w:hyperlink r:id="rId19" w:history="1">
        <w:r w:rsidRPr="0079089C">
          <w:rPr>
            <w:rStyle w:val="Hyperlink"/>
            <w:rFonts w:asciiTheme="majorHAnsi" w:hAnsiTheme="majorHAnsi" w:cstheme="majorHAnsi"/>
            <w:b/>
            <w:sz w:val="24"/>
            <w:szCs w:val="24"/>
          </w:rPr>
          <w:t>https://doi.org/10.1002/hrm.22010</w:t>
        </w:r>
      </w:hyperlink>
    </w:p>
    <w:p w14:paraId="1655445A" w14:textId="22BC8F4E"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Health Education England. (2015). </w:t>
      </w:r>
      <w:r w:rsidRPr="0079089C">
        <w:rPr>
          <w:rFonts w:asciiTheme="majorHAnsi" w:hAnsiTheme="majorHAnsi" w:cstheme="majorHAnsi"/>
          <w:b/>
          <w:i/>
          <w:sz w:val="24"/>
          <w:szCs w:val="24"/>
        </w:rPr>
        <w:t>Qualification requirements for delivery of cosmetic procedures: Non-surgical cosmetic interventions and hair restoration surgery (Part one)</w:t>
      </w:r>
      <w:r w:rsidRPr="0079089C">
        <w:rPr>
          <w:rFonts w:asciiTheme="majorHAnsi" w:hAnsiTheme="majorHAnsi" w:cstheme="majorHAnsi"/>
          <w:b/>
          <w:sz w:val="24"/>
          <w:szCs w:val="24"/>
        </w:rPr>
        <w:t xml:space="preserve">. </w:t>
      </w:r>
      <w:hyperlink r:id="rId20" w:history="1">
        <w:r w:rsidRPr="0079089C">
          <w:rPr>
            <w:rStyle w:val="Hyperlink"/>
            <w:rFonts w:asciiTheme="majorHAnsi" w:hAnsiTheme="majorHAnsi" w:cstheme="majorHAnsi"/>
            <w:b/>
            <w:sz w:val="24"/>
            <w:szCs w:val="24"/>
          </w:rPr>
          <w:t>https://www.hee.nhs.uk/sites/default/files/documents/HEE%20Cosmetic%20publication%20part%20one.pdf</w:t>
        </w:r>
      </w:hyperlink>
    </w:p>
    <w:p w14:paraId="602BEEE2" w14:textId="36D27203"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Johnson, S. J., Blackman, D. A., &amp; Buick, F. (2018). The 70:20:10 framework and the transfer of learning. </w:t>
      </w:r>
      <w:r w:rsidRPr="0079089C">
        <w:rPr>
          <w:rFonts w:asciiTheme="majorHAnsi" w:hAnsiTheme="majorHAnsi" w:cstheme="majorHAnsi"/>
          <w:b/>
          <w:i/>
          <w:sz w:val="24"/>
          <w:szCs w:val="24"/>
        </w:rPr>
        <w:t>Human Resource Development Quarterly, 29</w:t>
      </w:r>
      <w:r w:rsidRPr="0079089C">
        <w:rPr>
          <w:rFonts w:asciiTheme="majorHAnsi" w:hAnsiTheme="majorHAnsi" w:cstheme="majorHAnsi"/>
          <w:b/>
          <w:sz w:val="24"/>
          <w:szCs w:val="24"/>
        </w:rPr>
        <w:t xml:space="preserve">(4), 383–402. </w:t>
      </w:r>
      <w:hyperlink r:id="rId21" w:history="1">
        <w:r w:rsidRPr="0079089C">
          <w:rPr>
            <w:rStyle w:val="Hyperlink"/>
            <w:rFonts w:asciiTheme="majorHAnsi" w:hAnsiTheme="majorHAnsi" w:cstheme="majorHAnsi"/>
            <w:b/>
            <w:sz w:val="24"/>
            <w:szCs w:val="24"/>
          </w:rPr>
          <w:t>https://doi.org/10.1002/hrdq.21330</w:t>
        </w:r>
      </w:hyperlink>
    </w:p>
    <w:p w14:paraId="10784B2A" w14:textId="426CAC4A"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Jones, R. J., Woods, S. A., &amp; Guillaume, Y. R. F. (2016). The effectiveness of workplace coaching: A meta-analysis of learning and performance outcomes from coaching. </w:t>
      </w:r>
      <w:r w:rsidRPr="0079089C">
        <w:rPr>
          <w:rFonts w:asciiTheme="majorHAnsi" w:hAnsiTheme="majorHAnsi" w:cstheme="majorHAnsi"/>
          <w:b/>
          <w:i/>
          <w:sz w:val="24"/>
          <w:szCs w:val="24"/>
        </w:rPr>
        <w:t>Journal of Occupational and Organizational Psychology, 89</w:t>
      </w:r>
      <w:r w:rsidRPr="0079089C">
        <w:rPr>
          <w:rFonts w:asciiTheme="majorHAnsi" w:hAnsiTheme="majorHAnsi" w:cstheme="majorHAnsi"/>
          <w:b/>
          <w:sz w:val="24"/>
          <w:szCs w:val="24"/>
        </w:rPr>
        <w:t xml:space="preserve">(2), 249–277. </w:t>
      </w:r>
      <w:hyperlink r:id="rId22" w:history="1">
        <w:r w:rsidRPr="0079089C">
          <w:rPr>
            <w:rStyle w:val="Hyperlink"/>
            <w:rFonts w:asciiTheme="majorHAnsi" w:hAnsiTheme="majorHAnsi" w:cstheme="majorHAnsi"/>
            <w:b/>
            <w:sz w:val="24"/>
            <w:szCs w:val="24"/>
          </w:rPr>
          <w:t>https://doi.org/10.1111/joop.12119</w:t>
        </w:r>
      </w:hyperlink>
    </w:p>
    <w:p w14:paraId="71E855C8" w14:textId="77777777"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Kirkpatrick, J. D., &amp; Kirkpatrick, W. K. (2016). </w:t>
      </w:r>
      <w:r w:rsidRPr="0079089C">
        <w:rPr>
          <w:rFonts w:asciiTheme="majorHAnsi" w:hAnsiTheme="majorHAnsi" w:cstheme="majorHAnsi"/>
          <w:b/>
          <w:i/>
          <w:sz w:val="24"/>
          <w:szCs w:val="24"/>
        </w:rPr>
        <w:t>Kirkpatrick's four levels of training evaluation</w:t>
      </w:r>
      <w:r w:rsidRPr="0079089C">
        <w:rPr>
          <w:rFonts w:asciiTheme="majorHAnsi" w:hAnsiTheme="majorHAnsi" w:cstheme="majorHAnsi"/>
          <w:b/>
          <w:sz w:val="24"/>
          <w:szCs w:val="24"/>
        </w:rPr>
        <w:t>. ATD Press.</w:t>
      </w:r>
    </w:p>
    <w:p w14:paraId="792FDD74" w14:textId="5E1A6C7F" w:rsidR="00E11EB6" w:rsidRPr="0079089C" w:rsidRDefault="00E11EB6" w:rsidP="0079089C">
      <w:pPr>
        <w:spacing w:line="360" w:lineRule="auto"/>
        <w:ind w:left="720" w:hanging="720"/>
        <w:rPr>
          <w:rFonts w:asciiTheme="majorHAnsi" w:hAnsiTheme="majorHAnsi" w:cstheme="majorHAnsi"/>
          <w:b/>
          <w:sz w:val="24"/>
          <w:szCs w:val="24"/>
        </w:rPr>
      </w:pPr>
      <w:proofErr w:type="spellStart"/>
      <w:r w:rsidRPr="0079089C">
        <w:rPr>
          <w:rFonts w:asciiTheme="majorHAnsi" w:hAnsiTheme="majorHAnsi" w:cstheme="majorHAnsi"/>
          <w:b/>
          <w:sz w:val="24"/>
          <w:szCs w:val="24"/>
        </w:rPr>
        <w:lastRenderedPageBreak/>
        <w:t>Kurtessis</w:t>
      </w:r>
      <w:proofErr w:type="spellEnd"/>
      <w:r w:rsidRPr="0079089C">
        <w:rPr>
          <w:rFonts w:asciiTheme="majorHAnsi" w:hAnsiTheme="majorHAnsi" w:cstheme="majorHAnsi"/>
          <w:b/>
          <w:sz w:val="24"/>
          <w:szCs w:val="24"/>
        </w:rPr>
        <w:t xml:space="preserve">, J. N., Eisenberger, R., Ford, M. T., Buffardi, L. C., Stewart, K. A., &amp; Adis, C. S. (2017). Perceived organizational support: A meta-analytic evaluation of organizational support theory. </w:t>
      </w:r>
      <w:r w:rsidRPr="0079089C">
        <w:rPr>
          <w:rFonts w:asciiTheme="majorHAnsi" w:hAnsiTheme="majorHAnsi" w:cstheme="majorHAnsi"/>
          <w:b/>
          <w:i/>
          <w:sz w:val="24"/>
          <w:szCs w:val="24"/>
        </w:rPr>
        <w:t>Journal of Management, 43</w:t>
      </w:r>
      <w:r w:rsidRPr="0079089C">
        <w:rPr>
          <w:rFonts w:asciiTheme="majorHAnsi" w:hAnsiTheme="majorHAnsi" w:cstheme="majorHAnsi"/>
          <w:b/>
          <w:sz w:val="24"/>
          <w:szCs w:val="24"/>
        </w:rPr>
        <w:t xml:space="preserve">(6), 1854–1884. </w:t>
      </w:r>
      <w:hyperlink r:id="rId23" w:history="1">
        <w:r w:rsidRPr="0079089C">
          <w:rPr>
            <w:rStyle w:val="Hyperlink"/>
            <w:rFonts w:asciiTheme="majorHAnsi" w:hAnsiTheme="majorHAnsi" w:cstheme="majorHAnsi"/>
            <w:b/>
            <w:sz w:val="24"/>
            <w:szCs w:val="24"/>
          </w:rPr>
          <w:t>https://doi.org/10.1177/0149206315575554</w:t>
        </w:r>
      </w:hyperlink>
    </w:p>
    <w:p w14:paraId="3C4F9876" w14:textId="36C12745"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Locke, E. A., &amp; Latham, G. P. (2019). The development of goal setting theory: A half century retrospective. </w:t>
      </w:r>
      <w:r w:rsidRPr="0079089C">
        <w:rPr>
          <w:rFonts w:asciiTheme="majorHAnsi" w:hAnsiTheme="majorHAnsi" w:cstheme="majorHAnsi"/>
          <w:b/>
          <w:i/>
          <w:sz w:val="24"/>
          <w:szCs w:val="24"/>
        </w:rPr>
        <w:t>Motivation Science, 5</w:t>
      </w:r>
      <w:r w:rsidRPr="0079089C">
        <w:rPr>
          <w:rFonts w:asciiTheme="majorHAnsi" w:hAnsiTheme="majorHAnsi" w:cstheme="majorHAnsi"/>
          <w:b/>
          <w:sz w:val="24"/>
          <w:szCs w:val="24"/>
        </w:rPr>
        <w:t xml:space="preserve">(2), 93–105. </w:t>
      </w:r>
      <w:hyperlink r:id="rId24" w:history="1">
        <w:r w:rsidRPr="0079089C">
          <w:rPr>
            <w:rStyle w:val="Hyperlink"/>
            <w:rFonts w:asciiTheme="majorHAnsi" w:hAnsiTheme="majorHAnsi" w:cstheme="majorHAnsi"/>
            <w:b/>
            <w:sz w:val="24"/>
            <w:szCs w:val="24"/>
          </w:rPr>
          <w:t>https://doi.org/10.1037/mot0000127</w:t>
        </w:r>
      </w:hyperlink>
    </w:p>
    <w:p w14:paraId="5498C14E" w14:textId="77777777"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Murphy, K. R. (2020). Performance evaluation will not die, but it should. </w:t>
      </w:r>
      <w:r w:rsidRPr="0079089C">
        <w:rPr>
          <w:rFonts w:asciiTheme="majorHAnsi" w:hAnsiTheme="majorHAnsi" w:cstheme="majorHAnsi"/>
          <w:b/>
          <w:i/>
          <w:sz w:val="24"/>
          <w:szCs w:val="24"/>
        </w:rPr>
        <w:t>Human Resource Management Journal, 30</w:t>
      </w:r>
      <w:r w:rsidRPr="0079089C">
        <w:rPr>
          <w:rFonts w:asciiTheme="majorHAnsi" w:hAnsiTheme="majorHAnsi" w:cstheme="majorHAnsi"/>
          <w:b/>
          <w:sz w:val="24"/>
          <w:szCs w:val="24"/>
        </w:rPr>
        <w:t>(1), 13–31. https://doi.org/10.1111/1748-8583.12259</w:t>
      </w:r>
    </w:p>
    <w:p w14:paraId="033CB065" w14:textId="2B0C4175"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Newton, P. M. (2015). The learning styles myth is thriving in higher education. </w:t>
      </w:r>
      <w:r w:rsidRPr="0079089C">
        <w:rPr>
          <w:rFonts w:asciiTheme="majorHAnsi" w:hAnsiTheme="majorHAnsi" w:cstheme="majorHAnsi"/>
          <w:b/>
          <w:i/>
          <w:sz w:val="24"/>
          <w:szCs w:val="24"/>
        </w:rPr>
        <w:t>Frontiers in Psychology, 6</w:t>
      </w:r>
      <w:r w:rsidRPr="0079089C">
        <w:rPr>
          <w:rFonts w:asciiTheme="majorHAnsi" w:hAnsiTheme="majorHAnsi" w:cstheme="majorHAnsi"/>
          <w:b/>
          <w:sz w:val="24"/>
          <w:szCs w:val="24"/>
        </w:rPr>
        <w:t xml:space="preserve">, Article 1908. </w:t>
      </w:r>
      <w:hyperlink r:id="rId25" w:history="1">
        <w:r w:rsidRPr="0079089C">
          <w:rPr>
            <w:rStyle w:val="Hyperlink"/>
            <w:rFonts w:asciiTheme="majorHAnsi" w:hAnsiTheme="majorHAnsi" w:cstheme="majorHAnsi"/>
            <w:b/>
            <w:sz w:val="24"/>
            <w:szCs w:val="24"/>
          </w:rPr>
          <w:t>https://doi.org/10.3389/fpsyg.2015.01908</w:t>
        </w:r>
      </w:hyperlink>
    </w:p>
    <w:p w14:paraId="4A47CB1D" w14:textId="1037F29C"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Powell, W. W., &amp; Snellman, K. (2004). The knowledge economy. </w:t>
      </w:r>
      <w:r w:rsidRPr="0079089C">
        <w:rPr>
          <w:rFonts w:asciiTheme="majorHAnsi" w:hAnsiTheme="majorHAnsi" w:cstheme="majorHAnsi"/>
          <w:b/>
          <w:i/>
          <w:sz w:val="24"/>
          <w:szCs w:val="24"/>
        </w:rPr>
        <w:t>Annual Review of Sociology, 30</w:t>
      </w:r>
      <w:r w:rsidRPr="0079089C">
        <w:rPr>
          <w:rFonts w:asciiTheme="majorHAnsi" w:hAnsiTheme="majorHAnsi" w:cstheme="majorHAnsi"/>
          <w:b/>
          <w:sz w:val="24"/>
          <w:szCs w:val="24"/>
        </w:rPr>
        <w:t xml:space="preserve">, 199–220. </w:t>
      </w:r>
      <w:hyperlink r:id="rId26" w:history="1">
        <w:r w:rsidRPr="0079089C">
          <w:rPr>
            <w:rStyle w:val="Hyperlink"/>
            <w:rFonts w:asciiTheme="majorHAnsi" w:hAnsiTheme="majorHAnsi" w:cstheme="majorHAnsi"/>
            <w:b/>
            <w:sz w:val="24"/>
            <w:szCs w:val="24"/>
          </w:rPr>
          <w:t>https://doi.org/10.1146/annurev.soc.29.010202.100037</w:t>
        </w:r>
      </w:hyperlink>
    </w:p>
    <w:p w14:paraId="3F47E8C3" w14:textId="4D62FAA0" w:rsidR="00E11EB6" w:rsidRPr="0079089C" w:rsidRDefault="00E11EB6" w:rsidP="0079089C">
      <w:pPr>
        <w:spacing w:line="360" w:lineRule="auto"/>
        <w:ind w:left="720" w:hanging="720"/>
        <w:rPr>
          <w:rFonts w:asciiTheme="majorHAnsi" w:hAnsiTheme="majorHAnsi" w:cstheme="majorHAnsi"/>
          <w:b/>
          <w:sz w:val="24"/>
          <w:szCs w:val="24"/>
        </w:rPr>
      </w:pPr>
      <w:proofErr w:type="spellStart"/>
      <w:r w:rsidRPr="0079089C">
        <w:rPr>
          <w:rFonts w:asciiTheme="majorHAnsi" w:hAnsiTheme="majorHAnsi" w:cstheme="majorHAnsi"/>
          <w:b/>
          <w:sz w:val="24"/>
          <w:szCs w:val="24"/>
        </w:rPr>
        <w:t>Pulakos</w:t>
      </w:r>
      <w:proofErr w:type="spellEnd"/>
      <w:r w:rsidRPr="0079089C">
        <w:rPr>
          <w:rFonts w:asciiTheme="majorHAnsi" w:hAnsiTheme="majorHAnsi" w:cstheme="majorHAnsi"/>
          <w:b/>
          <w:sz w:val="24"/>
          <w:szCs w:val="24"/>
        </w:rPr>
        <w:t xml:space="preserve">, E. D., Mueller-Hanson, R., &amp; Arad, S. (2019). The evolution of performance management: Searching for value. </w:t>
      </w:r>
      <w:r w:rsidRPr="0079089C">
        <w:rPr>
          <w:rFonts w:asciiTheme="majorHAnsi" w:hAnsiTheme="majorHAnsi" w:cstheme="majorHAnsi"/>
          <w:b/>
          <w:i/>
          <w:sz w:val="24"/>
          <w:szCs w:val="24"/>
        </w:rPr>
        <w:t>Annual Review of Organizational Psychology and Organizational Behavior, 6</w:t>
      </w:r>
      <w:r w:rsidRPr="0079089C">
        <w:rPr>
          <w:rFonts w:asciiTheme="majorHAnsi" w:hAnsiTheme="majorHAnsi" w:cstheme="majorHAnsi"/>
          <w:b/>
          <w:sz w:val="24"/>
          <w:szCs w:val="24"/>
        </w:rPr>
        <w:t xml:space="preserve">, 249–271. </w:t>
      </w:r>
      <w:hyperlink r:id="rId27" w:history="1">
        <w:r w:rsidRPr="0079089C">
          <w:rPr>
            <w:rStyle w:val="Hyperlink"/>
            <w:rFonts w:asciiTheme="majorHAnsi" w:hAnsiTheme="majorHAnsi" w:cstheme="majorHAnsi"/>
            <w:b/>
            <w:sz w:val="24"/>
            <w:szCs w:val="24"/>
          </w:rPr>
          <w:t>https://doi.org/10.1146/annurev-orgpsych-012218-015009</w:t>
        </w:r>
      </w:hyperlink>
    </w:p>
    <w:p w14:paraId="44B9476C" w14:textId="6935AF8D"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Ryan, R. M., &amp; Deci, E. L. (2020). Intrinsic and extrinsic motivation from a self-determination theory perspective: Definitions, theory, practices, and future directions. </w:t>
      </w:r>
      <w:r w:rsidRPr="0079089C">
        <w:rPr>
          <w:rFonts w:asciiTheme="majorHAnsi" w:hAnsiTheme="majorHAnsi" w:cstheme="majorHAnsi"/>
          <w:b/>
          <w:i/>
          <w:sz w:val="24"/>
          <w:szCs w:val="24"/>
        </w:rPr>
        <w:t>Contemporary Educational Psychology, 61</w:t>
      </w:r>
      <w:r w:rsidRPr="0079089C">
        <w:rPr>
          <w:rFonts w:asciiTheme="majorHAnsi" w:hAnsiTheme="majorHAnsi" w:cstheme="majorHAnsi"/>
          <w:b/>
          <w:sz w:val="24"/>
          <w:szCs w:val="24"/>
        </w:rPr>
        <w:t xml:space="preserve">, Article 101860. </w:t>
      </w:r>
      <w:hyperlink r:id="rId28" w:history="1">
        <w:r w:rsidRPr="0079089C">
          <w:rPr>
            <w:rStyle w:val="Hyperlink"/>
            <w:rFonts w:asciiTheme="majorHAnsi" w:hAnsiTheme="majorHAnsi" w:cstheme="majorHAnsi"/>
            <w:b/>
            <w:sz w:val="24"/>
            <w:szCs w:val="24"/>
          </w:rPr>
          <w:t>https://doi.org/10.1016/j.cedpsych.2020.101860</w:t>
        </w:r>
      </w:hyperlink>
    </w:p>
    <w:p w14:paraId="12F5D81F" w14:textId="4B9CB5D9"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Salas, E., Tannenbaum, S. I., </w:t>
      </w:r>
      <w:proofErr w:type="spellStart"/>
      <w:r w:rsidRPr="0079089C">
        <w:rPr>
          <w:rFonts w:asciiTheme="majorHAnsi" w:hAnsiTheme="majorHAnsi" w:cstheme="majorHAnsi"/>
          <w:b/>
          <w:sz w:val="24"/>
          <w:szCs w:val="24"/>
        </w:rPr>
        <w:t>Kraiger</w:t>
      </w:r>
      <w:proofErr w:type="spellEnd"/>
      <w:r w:rsidRPr="0079089C">
        <w:rPr>
          <w:rFonts w:asciiTheme="majorHAnsi" w:hAnsiTheme="majorHAnsi" w:cstheme="majorHAnsi"/>
          <w:b/>
          <w:sz w:val="24"/>
          <w:szCs w:val="24"/>
        </w:rPr>
        <w:t xml:space="preserve">, K., &amp; Smith-Jentsch, K. A. (2012). The science of training and development in organizations: What matters in practice. </w:t>
      </w:r>
      <w:r w:rsidRPr="0079089C">
        <w:rPr>
          <w:rFonts w:asciiTheme="majorHAnsi" w:hAnsiTheme="majorHAnsi" w:cstheme="majorHAnsi"/>
          <w:b/>
          <w:i/>
          <w:sz w:val="24"/>
          <w:szCs w:val="24"/>
        </w:rPr>
        <w:t>Psychological Science in the Public Interest, 13</w:t>
      </w:r>
      <w:r w:rsidRPr="0079089C">
        <w:rPr>
          <w:rFonts w:asciiTheme="majorHAnsi" w:hAnsiTheme="majorHAnsi" w:cstheme="majorHAnsi"/>
          <w:b/>
          <w:sz w:val="24"/>
          <w:szCs w:val="24"/>
        </w:rPr>
        <w:t xml:space="preserve">(2), 74–101. </w:t>
      </w:r>
      <w:hyperlink r:id="rId29" w:history="1">
        <w:r w:rsidRPr="0079089C">
          <w:rPr>
            <w:rStyle w:val="Hyperlink"/>
            <w:rFonts w:asciiTheme="majorHAnsi" w:hAnsiTheme="majorHAnsi" w:cstheme="majorHAnsi"/>
            <w:b/>
            <w:sz w:val="24"/>
            <w:szCs w:val="24"/>
          </w:rPr>
          <w:t>https://doi.org/10.1177/1529100612436661</w:t>
        </w:r>
      </w:hyperlink>
    </w:p>
    <w:p w14:paraId="7C70E796" w14:textId="55F928D0" w:rsidR="00E11EB6" w:rsidRPr="0079089C" w:rsidRDefault="00E11EB6" w:rsidP="0079089C">
      <w:pPr>
        <w:spacing w:line="360" w:lineRule="auto"/>
        <w:ind w:left="720" w:hanging="720"/>
        <w:rPr>
          <w:rFonts w:asciiTheme="majorHAnsi" w:hAnsiTheme="majorHAnsi" w:cstheme="majorHAnsi"/>
          <w:b/>
          <w:sz w:val="24"/>
          <w:szCs w:val="24"/>
        </w:rPr>
      </w:pPr>
      <w:proofErr w:type="spellStart"/>
      <w:r w:rsidRPr="0079089C">
        <w:rPr>
          <w:rFonts w:asciiTheme="majorHAnsi" w:hAnsiTheme="majorHAnsi" w:cstheme="majorHAnsi"/>
          <w:b/>
          <w:sz w:val="24"/>
          <w:szCs w:val="24"/>
        </w:rPr>
        <w:t>Samizadeh</w:t>
      </w:r>
      <w:proofErr w:type="spellEnd"/>
      <w:r w:rsidRPr="0079089C">
        <w:rPr>
          <w:rFonts w:asciiTheme="majorHAnsi" w:hAnsiTheme="majorHAnsi" w:cstheme="majorHAnsi"/>
          <w:b/>
          <w:sz w:val="24"/>
          <w:szCs w:val="24"/>
        </w:rPr>
        <w:t xml:space="preserve">, S., &amp; De Boulle, K. (2023). Complications of toxins and fillers in facial aesthetics. </w:t>
      </w:r>
      <w:r w:rsidRPr="0079089C">
        <w:rPr>
          <w:rFonts w:asciiTheme="majorHAnsi" w:hAnsiTheme="majorHAnsi" w:cstheme="majorHAnsi"/>
          <w:b/>
          <w:i/>
          <w:sz w:val="24"/>
          <w:szCs w:val="24"/>
        </w:rPr>
        <w:t>Primary Dental Journal, 12</w:t>
      </w:r>
      <w:r w:rsidRPr="0079089C">
        <w:rPr>
          <w:rFonts w:asciiTheme="majorHAnsi" w:hAnsiTheme="majorHAnsi" w:cstheme="majorHAnsi"/>
          <w:b/>
          <w:sz w:val="24"/>
          <w:szCs w:val="24"/>
        </w:rPr>
        <w:t xml:space="preserve">(3), 65–72. </w:t>
      </w:r>
      <w:hyperlink r:id="rId30" w:history="1">
        <w:r w:rsidRPr="0079089C">
          <w:rPr>
            <w:rStyle w:val="Hyperlink"/>
            <w:rFonts w:asciiTheme="majorHAnsi" w:hAnsiTheme="majorHAnsi" w:cstheme="majorHAnsi"/>
            <w:b/>
            <w:sz w:val="24"/>
            <w:szCs w:val="24"/>
          </w:rPr>
          <w:t>https://doi.org/10.1177/20501684231197717</w:t>
        </w:r>
      </w:hyperlink>
    </w:p>
    <w:p w14:paraId="12716CE4" w14:textId="529F8B61"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lastRenderedPageBreak/>
        <w:t xml:space="preserve">Schein, E. H. (1996). Career anchors revisited: Implications for career development in the 21st century. </w:t>
      </w:r>
      <w:r w:rsidRPr="0079089C">
        <w:rPr>
          <w:rFonts w:asciiTheme="majorHAnsi" w:hAnsiTheme="majorHAnsi" w:cstheme="majorHAnsi"/>
          <w:b/>
          <w:i/>
          <w:sz w:val="24"/>
          <w:szCs w:val="24"/>
        </w:rPr>
        <w:t>Academy of Management Perspectives, 10</w:t>
      </w:r>
      <w:r w:rsidRPr="0079089C">
        <w:rPr>
          <w:rFonts w:asciiTheme="majorHAnsi" w:hAnsiTheme="majorHAnsi" w:cstheme="majorHAnsi"/>
          <w:b/>
          <w:sz w:val="24"/>
          <w:szCs w:val="24"/>
        </w:rPr>
        <w:t xml:space="preserve">(4), 80–88. </w:t>
      </w:r>
      <w:hyperlink r:id="rId31" w:history="1">
        <w:r w:rsidRPr="0079089C">
          <w:rPr>
            <w:rStyle w:val="Hyperlink"/>
            <w:rFonts w:asciiTheme="majorHAnsi" w:hAnsiTheme="majorHAnsi" w:cstheme="majorHAnsi"/>
            <w:b/>
            <w:sz w:val="24"/>
            <w:szCs w:val="24"/>
          </w:rPr>
          <w:t>https://doi.org/10.5465/ame.1996.3145321</w:t>
        </w:r>
      </w:hyperlink>
    </w:p>
    <w:p w14:paraId="246B22FF" w14:textId="77777777"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Senge, P. M. (2006). </w:t>
      </w:r>
      <w:r w:rsidRPr="0079089C">
        <w:rPr>
          <w:rFonts w:asciiTheme="majorHAnsi" w:hAnsiTheme="majorHAnsi" w:cstheme="majorHAnsi"/>
          <w:b/>
          <w:i/>
          <w:sz w:val="24"/>
          <w:szCs w:val="24"/>
        </w:rPr>
        <w:t>The fifth discipline: The art and practice of the learning organization</w:t>
      </w:r>
      <w:r w:rsidRPr="0079089C">
        <w:rPr>
          <w:rFonts w:asciiTheme="majorHAnsi" w:hAnsiTheme="majorHAnsi" w:cstheme="majorHAnsi"/>
          <w:b/>
          <w:sz w:val="24"/>
          <w:szCs w:val="24"/>
        </w:rPr>
        <w:t xml:space="preserve"> (Rev. ed.). Doubleday. (Original work published 1990)</w:t>
      </w:r>
    </w:p>
    <w:p w14:paraId="3D2A6502" w14:textId="77777777" w:rsidR="00E11EB6" w:rsidRPr="0079089C" w:rsidRDefault="00E11EB6" w:rsidP="0079089C">
      <w:pPr>
        <w:spacing w:line="360" w:lineRule="auto"/>
        <w:ind w:left="720" w:hanging="720"/>
        <w:rPr>
          <w:rFonts w:asciiTheme="majorHAnsi" w:hAnsiTheme="majorHAnsi" w:cstheme="majorHAnsi"/>
          <w:b/>
          <w:sz w:val="24"/>
          <w:szCs w:val="24"/>
        </w:rPr>
      </w:pPr>
      <w:r w:rsidRPr="0079089C">
        <w:rPr>
          <w:rFonts w:asciiTheme="majorHAnsi" w:hAnsiTheme="majorHAnsi" w:cstheme="majorHAnsi"/>
          <w:b/>
          <w:sz w:val="24"/>
          <w:szCs w:val="24"/>
        </w:rPr>
        <w:t xml:space="preserve">Wisniewski, B., Zierer, K., &amp; Hattie, J. (2020). The power of feedback revisited: A meta-analysis of educational feedback research. </w:t>
      </w:r>
      <w:r w:rsidRPr="0079089C">
        <w:rPr>
          <w:rFonts w:asciiTheme="majorHAnsi" w:hAnsiTheme="majorHAnsi" w:cstheme="majorHAnsi"/>
          <w:b/>
          <w:i/>
          <w:sz w:val="24"/>
          <w:szCs w:val="24"/>
        </w:rPr>
        <w:t>Frontiers in Psychology, 10</w:t>
      </w:r>
      <w:r w:rsidRPr="0079089C">
        <w:rPr>
          <w:rFonts w:asciiTheme="majorHAnsi" w:hAnsiTheme="majorHAnsi" w:cstheme="majorHAnsi"/>
          <w:b/>
          <w:sz w:val="24"/>
          <w:szCs w:val="24"/>
        </w:rPr>
        <w:t xml:space="preserve">, Article 3087. </w:t>
      </w:r>
      <w:hyperlink r:id="rId32" w:history="1">
        <w:r w:rsidRPr="0079089C">
          <w:rPr>
            <w:rStyle w:val="Hyperlink"/>
            <w:rFonts w:asciiTheme="majorHAnsi" w:hAnsiTheme="majorHAnsi" w:cstheme="majorHAnsi"/>
            <w:b/>
            <w:sz w:val="24"/>
            <w:szCs w:val="24"/>
          </w:rPr>
          <w:t>https://doi.org/10.3389/fpsyg.2019.03087</w:t>
        </w:r>
      </w:hyperlink>
    </w:p>
    <w:p w14:paraId="7E23BD07" w14:textId="77777777" w:rsidR="001777E4" w:rsidRPr="0079089C" w:rsidRDefault="001777E4"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br w:type="page"/>
      </w:r>
    </w:p>
    <w:p w14:paraId="4A0DE39F" w14:textId="57D41483" w:rsidR="0035416F" w:rsidRPr="0079089C" w:rsidRDefault="0035416F" w:rsidP="0079089C">
      <w:pPr>
        <w:pStyle w:val="Heading1"/>
        <w:spacing w:line="360" w:lineRule="auto"/>
        <w:rPr>
          <w:rFonts w:asciiTheme="majorHAnsi" w:hAnsiTheme="majorHAnsi" w:cstheme="majorHAnsi"/>
          <w:sz w:val="24"/>
          <w:szCs w:val="24"/>
        </w:rPr>
      </w:pPr>
      <w:bookmarkStart w:id="18" w:name="_Toc239145754"/>
      <w:r w:rsidRPr="0079089C">
        <w:rPr>
          <w:rFonts w:asciiTheme="majorHAnsi" w:hAnsiTheme="majorHAnsi" w:cstheme="majorHAnsi"/>
          <w:sz w:val="24"/>
          <w:szCs w:val="24"/>
        </w:rPr>
        <w:lastRenderedPageBreak/>
        <w:t>Appendix</w:t>
      </w:r>
      <w:bookmarkEnd w:id="18"/>
    </w:p>
    <w:p w14:paraId="4F845A8A" w14:textId="77777777" w:rsidR="004E1D3B" w:rsidRPr="0079089C" w:rsidRDefault="00000000" w:rsidP="0079089C">
      <w:pPr>
        <w:pStyle w:val="Heading2"/>
        <w:spacing w:line="360" w:lineRule="auto"/>
        <w:rPr>
          <w:rFonts w:asciiTheme="majorHAnsi" w:hAnsiTheme="majorHAnsi" w:cstheme="majorHAnsi"/>
          <w:sz w:val="24"/>
          <w:szCs w:val="24"/>
        </w:rPr>
      </w:pPr>
      <w:bookmarkStart w:id="19" w:name="_Toc239145755"/>
      <w:r w:rsidRPr="0079089C">
        <w:rPr>
          <w:rFonts w:asciiTheme="majorHAnsi" w:hAnsiTheme="majorHAnsi" w:cstheme="majorHAnsi"/>
          <w:sz w:val="24"/>
          <w:szCs w:val="24"/>
        </w:rPr>
        <w:t>Appendix A: Competence matrix for Practitioner A (illustrative)</w:t>
      </w:r>
      <w:bookmarkEnd w:id="19"/>
    </w:p>
    <w:tbl>
      <w:tblPr>
        <w:tblStyle w:val="TableGrid"/>
        <w:tblW w:w="0" w:type="auto"/>
        <w:tblLayout w:type="fixed"/>
        <w:tblLook w:val="0420" w:firstRow="1" w:lastRow="0" w:firstColumn="0" w:lastColumn="0" w:noHBand="0" w:noVBand="1"/>
      </w:tblPr>
      <w:tblGrid>
        <w:gridCol w:w="1872"/>
        <w:gridCol w:w="1872"/>
        <w:gridCol w:w="1872"/>
        <w:gridCol w:w="1872"/>
        <w:gridCol w:w="1872"/>
      </w:tblGrid>
      <w:tr w:rsidR="004E1D3B" w:rsidRPr="0079089C" w14:paraId="332B4177" w14:textId="77777777">
        <w:trPr>
          <w:tblHeader/>
        </w:trPr>
        <w:tc>
          <w:tcPr>
            <w:tcW w:w="1872" w:type="dxa"/>
            <w:shd w:val="clear" w:color="auto" w:fill="F2F2F2"/>
          </w:tcPr>
          <w:p w14:paraId="239252DA"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Competence area</w:t>
            </w:r>
          </w:p>
        </w:tc>
        <w:tc>
          <w:tcPr>
            <w:tcW w:w="1872" w:type="dxa"/>
            <w:shd w:val="clear" w:color="auto" w:fill="F2F2F2"/>
          </w:tcPr>
          <w:p w14:paraId="3F812C31"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Current level (self / observed)</w:t>
            </w:r>
          </w:p>
        </w:tc>
        <w:tc>
          <w:tcPr>
            <w:tcW w:w="1872" w:type="dxa"/>
            <w:shd w:val="clear" w:color="auto" w:fill="F2F2F2"/>
          </w:tcPr>
          <w:p w14:paraId="59893A14"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Required level at month 12</w:t>
            </w:r>
          </w:p>
        </w:tc>
        <w:tc>
          <w:tcPr>
            <w:tcW w:w="1872" w:type="dxa"/>
            <w:shd w:val="clear" w:color="auto" w:fill="F2F2F2"/>
          </w:tcPr>
          <w:p w14:paraId="0085E8C9"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Vehicle</w:t>
            </w:r>
          </w:p>
        </w:tc>
        <w:tc>
          <w:tcPr>
            <w:tcW w:w="1872" w:type="dxa"/>
            <w:shd w:val="clear" w:color="auto" w:fill="F2F2F2"/>
          </w:tcPr>
          <w:p w14:paraId="2C40207E"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Evidence</w:t>
            </w:r>
          </w:p>
        </w:tc>
      </w:tr>
      <w:tr w:rsidR="004E1D3B" w:rsidRPr="0079089C" w14:paraId="3816B2D0" w14:textId="77777777">
        <w:tc>
          <w:tcPr>
            <w:tcW w:w="1872" w:type="dxa"/>
          </w:tcPr>
          <w:p w14:paraId="1D7B4058"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Facial anatomy and risk zones</w:t>
            </w:r>
          </w:p>
        </w:tc>
        <w:tc>
          <w:tcPr>
            <w:tcW w:w="1872" w:type="dxa"/>
          </w:tcPr>
          <w:p w14:paraId="1C604474"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To be assessed at baseline</w:t>
            </w:r>
          </w:p>
        </w:tc>
        <w:tc>
          <w:tcPr>
            <w:tcW w:w="1872" w:type="dxa"/>
          </w:tcPr>
          <w:p w14:paraId="342ED51E"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Applies safely to treatment planning</w:t>
            </w:r>
          </w:p>
        </w:tc>
        <w:tc>
          <w:tcPr>
            <w:tcW w:w="1872" w:type="dxa"/>
          </w:tcPr>
          <w:p w14:paraId="03B2C039"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Accredited course</w:t>
            </w:r>
          </w:p>
        </w:tc>
        <w:tc>
          <w:tcPr>
            <w:tcW w:w="1872" w:type="dxa"/>
          </w:tcPr>
          <w:p w14:paraId="7B84FE24"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Assessment result</w:t>
            </w:r>
          </w:p>
        </w:tc>
      </w:tr>
      <w:tr w:rsidR="004E1D3B" w:rsidRPr="0079089C" w14:paraId="637A92FE" w14:textId="77777777">
        <w:tc>
          <w:tcPr>
            <w:tcW w:w="1872" w:type="dxa"/>
          </w:tcPr>
          <w:p w14:paraId="59D69DDE"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Consultation, consent and contraindications</w:t>
            </w:r>
          </w:p>
        </w:tc>
        <w:tc>
          <w:tcPr>
            <w:tcW w:w="1872" w:type="dxa"/>
          </w:tcPr>
          <w:p w14:paraId="1973325B"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To be assessed at baseline</w:t>
            </w:r>
          </w:p>
        </w:tc>
        <w:tc>
          <w:tcPr>
            <w:tcW w:w="1872" w:type="dxa"/>
          </w:tcPr>
          <w:p w14:paraId="735F8554"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Completes consistently without prompting</w:t>
            </w:r>
          </w:p>
        </w:tc>
        <w:tc>
          <w:tcPr>
            <w:tcW w:w="1872" w:type="dxa"/>
          </w:tcPr>
          <w:p w14:paraId="328AD12A"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Observation; coaching</w:t>
            </w:r>
          </w:p>
        </w:tc>
        <w:tc>
          <w:tcPr>
            <w:tcW w:w="1872" w:type="dxa"/>
          </w:tcPr>
          <w:p w14:paraId="12871698"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Consent audit</w:t>
            </w:r>
          </w:p>
        </w:tc>
      </w:tr>
      <w:tr w:rsidR="004E1D3B" w:rsidRPr="0079089C" w14:paraId="32C6E7D8" w14:textId="77777777">
        <w:tc>
          <w:tcPr>
            <w:tcW w:w="1872" w:type="dxa"/>
          </w:tcPr>
          <w:p w14:paraId="706608F1"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Injection technique (agreed treatments)</w:t>
            </w:r>
          </w:p>
        </w:tc>
        <w:tc>
          <w:tcPr>
            <w:tcW w:w="1872" w:type="dxa"/>
          </w:tcPr>
          <w:p w14:paraId="1571EA42"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To be assessed at baseline</w:t>
            </w:r>
          </w:p>
        </w:tc>
        <w:tc>
          <w:tcPr>
            <w:tcW w:w="1872" w:type="dxa"/>
          </w:tcPr>
          <w:p w14:paraId="4E349E3F"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Competent within approved scope</w:t>
            </w:r>
          </w:p>
        </w:tc>
        <w:tc>
          <w:tcPr>
            <w:tcW w:w="1872" w:type="dxa"/>
          </w:tcPr>
          <w:p w14:paraId="53A7C089"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Supervised practice</w:t>
            </w:r>
          </w:p>
        </w:tc>
        <w:tc>
          <w:tcPr>
            <w:tcW w:w="1872" w:type="dxa"/>
          </w:tcPr>
          <w:p w14:paraId="659225F4"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Supervisor sign-off</w:t>
            </w:r>
          </w:p>
        </w:tc>
      </w:tr>
      <w:tr w:rsidR="004E1D3B" w:rsidRPr="0079089C" w14:paraId="12D940BF" w14:textId="77777777">
        <w:tc>
          <w:tcPr>
            <w:tcW w:w="1872" w:type="dxa"/>
          </w:tcPr>
          <w:p w14:paraId="13B91A05"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Complications recognition and escalation</w:t>
            </w:r>
          </w:p>
        </w:tc>
        <w:tc>
          <w:tcPr>
            <w:tcW w:w="1872" w:type="dxa"/>
          </w:tcPr>
          <w:p w14:paraId="3F27EF68"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To be assessed at baseline</w:t>
            </w:r>
          </w:p>
        </w:tc>
        <w:tc>
          <w:tcPr>
            <w:tcW w:w="1872" w:type="dxa"/>
          </w:tcPr>
          <w:p w14:paraId="7A184E75" w14:textId="77777777" w:rsidR="004E1D3B" w:rsidRPr="0079089C" w:rsidRDefault="00000000" w:rsidP="0079089C">
            <w:pPr>
              <w:spacing w:line="360" w:lineRule="auto"/>
              <w:rPr>
                <w:rFonts w:asciiTheme="majorHAnsi" w:hAnsiTheme="majorHAnsi" w:cstheme="majorHAnsi"/>
                <w:b/>
                <w:sz w:val="24"/>
                <w:szCs w:val="24"/>
              </w:rPr>
            </w:pPr>
            <w:proofErr w:type="spellStart"/>
            <w:r w:rsidRPr="0079089C">
              <w:rPr>
                <w:rFonts w:asciiTheme="majorHAnsi" w:hAnsiTheme="majorHAnsi" w:cstheme="majorHAnsi"/>
                <w:b/>
                <w:sz w:val="24"/>
                <w:szCs w:val="24"/>
              </w:rPr>
              <w:t>Recognises</w:t>
            </w:r>
            <w:proofErr w:type="spellEnd"/>
            <w:r w:rsidRPr="0079089C">
              <w:rPr>
                <w:rFonts w:asciiTheme="majorHAnsi" w:hAnsiTheme="majorHAnsi" w:cstheme="majorHAnsi"/>
                <w:b/>
                <w:sz w:val="24"/>
                <w:szCs w:val="24"/>
              </w:rPr>
              <w:t xml:space="preserve"> and escalates correctly</w:t>
            </w:r>
          </w:p>
        </w:tc>
        <w:tc>
          <w:tcPr>
            <w:tcW w:w="1872" w:type="dxa"/>
          </w:tcPr>
          <w:p w14:paraId="1186CB01"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Update workshop</w:t>
            </w:r>
          </w:p>
        </w:tc>
        <w:tc>
          <w:tcPr>
            <w:tcW w:w="1872" w:type="dxa"/>
          </w:tcPr>
          <w:p w14:paraId="7B26996F"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Certificate; scenario discussion</w:t>
            </w:r>
          </w:p>
        </w:tc>
      </w:tr>
      <w:tr w:rsidR="004E1D3B" w:rsidRPr="0079089C" w14:paraId="210EFD51" w14:textId="77777777">
        <w:tc>
          <w:tcPr>
            <w:tcW w:w="1872" w:type="dxa"/>
          </w:tcPr>
          <w:p w14:paraId="339597F5"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Client communication and aftercare</w:t>
            </w:r>
          </w:p>
        </w:tc>
        <w:tc>
          <w:tcPr>
            <w:tcW w:w="1872" w:type="dxa"/>
          </w:tcPr>
          <w:p w14:paraId="0CF3712B"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To be assessed at baseline</w:t>
            </w:r>
          </w:p>
        </w:tc>
        <w:tc>
          <w:tcPr>
            <w:tcW w:w="1872" w:type="dxa"/>
          </w:tcPr>
          <w:p w14:paraId="724925F5"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Clear, empathetic, consistent</w:t>
            </w:r>
          </w:p>
        </w:tc>
        <w:tc>
          <w:tcPr>
            <w:tcW w:w="1872" w:type="dxa"/>
          </w:tcPr>
          <w:p w14:paraId="7B420FB4"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Coaching; peer feedback</w:t>
            </w:r>
          </w:p>
        </w:tc>
        <w:tc>
          <w:tcPr>
            <w:tcW w:w="1872" w:type="dxa"/>
          </w:tcPr>
          <w:p w14:paraId="30615537"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Peer and observation feedback</w:t>
            </w:r>
          </w:p>
        </w:tc>
      </w:tr>
      <w:tr w:rsidR="004E1D3B" w:rsidRPr="0079089C" w14:paraId="066AFE06" w14:textId="77777777">
        <w:tc>
          <w:tcPr>
            <w:tcW w:w="1872" w:type="dxa"/>
          </w:tcPr>
          <w:p w14:paraId="5718DA33"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Confidentiality and record-keeping</w:t>
            </w:r>
          </w:p>
        </w:tc>
        <w:tc>
          <w:tcPr>
            <w:tcW w:w="1872" w:type="dxa"/>
          </w:tcPr>
          <w:p w14:paraId="6F77C532"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To be assessed at baseline</w:t>
            </w:r>
          </w:p>
        </w:tc>
        <w:tc>
          <w:tcPr>
            <w:tcW w:w="1872" w:type="dxa"/>
          </w:tcPr>
          <w:p w14:paraId="60D4F3DE"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Meets all data-protection standards</w:t>
            </w:r>
          </w:p>
        </w:tc>
        <w:tc>
          <w:tcPr>
            <w:tcW w:w="1872" w:type="dxa"/>
          </w:tcPr>
          <w:p w14:paraId="649C6A48"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Induction; audit</w:t>
            </w:r>
          </w:p>
        </w:tc>
        <w:tc>
          <w:tcPr>
            <w:tcW w:w="1872" w:type="dxa"/>
          </w:tcPr>
          <w:p w14:paraId="5FA635CE"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Audit result</w:t>
            </w:r>
          </w:p>
        </w:tc>
      </w:tr>
      <w:tr w:rsidR="004E1D3B" w:rsidRPr="0079089C" w14:paraId="094356E2" w14:textId="77777777">
        <w:tc>
          <w:tcPr>
            <w:tcW w:w="1872" w:type="dxa"/>
          </w:tcPr>
          <w:p w14:paraId="519FEC05"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Teamwork and </w:t>
            </w:r>
            <w:r w:rsidRPr="0079089C">
              <w:rPr>
                <w:rFonts w:asciiTheme="majorHAnsi" w:hAnsiTheme="majorHAnsi" w:cstheme="majorHAnsi"/>
                <w:b/>
                <w:sz w:val="24"/>
                <w:szCs w:val="24"/>
              </w:rPr>
              <w:lastRenderedPageBreak/>
              <w:t>reflective practice</w:t>
            </w:r>
          </w:p>
        </w:tc>
        <w:tc>
          <w:tcPr>
            <w:tcW w:w="1872" w:type="dxa"/>
          </w:tcPr>
          <w:p w14:paraId="7F2E4C5C"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lastRenderedPageBreak/>
              <w:t xml:space="preserve">To be assessed </w:t>
            </w:r>
            <w:r w:rsidRPr="0079089C">
              <w:rPr>
                <w:rFonts w:asciiTheme="majorHAnsi" w:hAnsiTheme="majorHAnsi" w:cstheme="majorHAnsi"/>
                <w:b/>
                <w:sz w:val="24"/>
                <w:szCs w:val="24"/>
              </w:rPr>
              <w:lastRenderedPageBreak/>
              <w:t>at baseline</w:t>
            </w:r>
          </w:p>
        </w:tc>
        <w:tc>
          <w:tcPr>
            <w:tcW w:w="1872" w:type="dxa"/>
          </w:tcPr>
          <w:p w14:paraId="2E346FBE"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lastRenderedPageBreak/>
              <w:t xml:space="preserve">Contributes to </w:t>
            </w:r>
            <w:r w:rsidRPr="0079089C">
              <w:rPr>
                <w:rFonts w:asciiTheme="majorHAnsi" w:hAnsiTheme="majorHAnsi" w:cstheme="majorHAnsi"/>
                <w:b/>
                <w:sz w:val="24"/>
                <w:szCs w:val="24"/>
              </w:rPr>
              <w:lastRenderedPageBreak/>
              <w:t>huddles; keeps reflective log</w:t>
            </w:r>
          </w:p>
        </w:tc>
        <w:tc>
          <w:tcPr>
            <w:tcW w:w="1872" w:type="dxa"/>
          </w:tcPr>
          <w:p w14:paraId="2CAF8B7D"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lastRenderedPageBreak/>
              <w:t>Mentoring</w:t>
            </w:r>
          </w:p>
        </w:tc>
        <w:tc>
          <w:tcPr>
            <w:tcW w:w="1872" w:type="dxa"/>
          </w:tcPr>
          <w:p w14:paraId="65870E7A"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rPr>
              <w:t xml:space="preserve">Log; peer </w:t>
            </w:r>
            <w:r w:rsidRPr="0079089C">
              <w:rPr>
                <w:rFonts w:asciiTheme="majorHAnsi" w:hAnsiTheme="majorHAnsi" w:cstheme="majorHAnsi"/>
                <w:b/>
                <w:sz w:val="24"/>
                <w:szCs w:val="24"/>
              </w:rPr>
              <w:lastRenderedPageBreak/>
              <w:t>feedback</w:t>
            </w:r>
          </w:p>
        </w:tc>
      </w:tr>
    </w:tbl>
    <w:p w14:paraId="7768D98A" w14:textId="77777777" w:rsidR="004E1D3B" w:rsidRPr="0079089C" w:rsidRDefault="00000000" w:rsidP="0079089C">
      <w:pPr>
        <w:pStyle w:val="Heading2"/>
        <w:spacing w:line="360" w:lineRule="auto"/>
        <w:rPr>
          <w:rFonts w:asciiTheme="majorHAnsi" w:hAnsiTheme="majorHAnsi" w:cstheme="majorHAnsi"/>
          <w:sz w:val="24"/>
          <w:szCs w:val="24"/>
          <w:highlight w:val="yellow"/>
        </w:rPr>
      </w:pPr>
      <w:bookmarkStart w:id="20" w:name="_Toc239145756"/>
      <w:r w:rsidRPr="0079089C">
        <w:rPr>
          <w:rFonts w:asciiTheme="majorHAnsi" w:hAnsiTheme="majorHAnsi" w:cstheme="majorHAnsi"/>
          <w:sz w:val="24"/>
          <w:szCs w:val="24"/>
          <w:highlight w:val="yellow"/>
        </w:rPr>
        <w:t>Appendix B: Development record and appraisal template (</w:t>
      </w:r>
      <w:proofErr w:type="spellStart"/>
      <w:r w:rsidRPr="0079089C">
        <w:rPr>
          <w:rFonts w:asciiTheme="majorHAnsi" w:hAnsiTheme="majorHAnsi" w:cstheme="majorHAnsi"/>
          <w:sz w:val="24"/>
          <w:szCs w:val="24"/>
          <w:highlight w:val="yellow"/>
        </w:rPr>
        <w:t>anonymised</w:t>
      </w:r>
      <w:proofErr w:type="spellEnd"/>
      <w:r w:rsidRPr="0079089C">
        <w:rPr>
          <w:rFonts w:asciiTheme="majorHAnsi" w:hAnsiTheme="majorHAnsi" w:cstheme="majorHAnsi"/>
          <w:sz w:val="24"/>
          <w:szCs w:val="24"/>
          <w:highlight w:val="yellow"/>
        </w:rPr>
        <w:t>)</w:t>
      </w:r>
      <w:bookmarkEnd w:id="20"/>
    </w:p>
    <w:tbl>
      <w:tblPr>
        <w:tblStyle w:val="TableGrid"/>
        <w:tblW w:w="0" w:type="auto"/>
        <w:tblLayout w:type="fixed"/>
        <w:tblLook w:val="0420" w:firstRow="1" w:lastRow="0" w:firstColumn="0" w:lastColumn="0" w:noHBand="0" w:noVBand="1"/>
      </w:tblPr>
      <w:tblGrid>
        <w:gridCol w:w="4680"/>
        <w:gridCol w:w="4680"/>
      </w:tblGrid>
      <w:tr w:rsidR="004E1D3B" w:rsidRPr="0079089C" w14:paraId="4B097454" w14:textId="77777777">
        <w:trPr>
          <w:tblHeader/>
        </w:trPr>
        <w:tc>
          <w:tcPr>
            <w:tcW w:w="4680" w:type="dxa"/>
            <w:shd w:val="clear" w:color="auto" w:fill="F2F2F2"/>
          </w:tcPr>
          <w:p w14:paraId="0C6E813E"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Item</w:t>
            </w:r>
          </w:p>
        </w:tc>
        <w:tc>
          <w:tcPr>
            <w:tcW w:w="4680" w:type="dxa"/>
            <w:shd w:val="clear" w:color="auto" w:fill="F2F2F2"/>
          </w:tcPr>
          <w:p w14:paraId="0660CF9D"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Content</w:t>
            </w:r>
          </w:p>
        </w:tc>
      </w:tr>
      <w:tr w:rsidR="004E1D3B" w:rsidRPr="0079089C" w14:paraId="3E04399C" w14:textId="77777777">
        <w:tc>
          <w:tcPr>
            <w:tcW w:w="4680" w:type="dxa"/>
          </w:tcPr>
          <w:p w14:paraId="44C0A07E"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Employee reference</w:t>
            </w:r>
          </w:p>
        </w:tc>
        <w:tc>
          <w:tcPr>
            <w:tcW w:w="4680" w:type="dxa"/>
          </w:tcPr>
          <w:p w14:paraId="2CD9E3C8"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Practitioner A (no client or personal identifiers)</w:t>
            </w:r>
          </w:p>
        </w:tc>
      </w:tr>
      <w:tr w:rsidR="004E1D3B" w:rsidRPr="0079089C" w14:paraId="32287818" w14:textId="77777777">
        <w:tc>
          <w:tcPr>
            <w:tcW w:w="4680" w:type="dxa"/>
          </w:tcPr>
          <w:p w14:paraId="4322FA3A"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Review date and type</w:t>
            </w:r>
          </w:p>
        </w:tc>
        <w:tc>
          <w:tcPr>
            <w:tcW w:w="4680" w:type="dxa"/>
          </w:tcPr>
          <w:p w14:paraId="2FE653C5"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Month 3 / 6 / 12 appraisal</w:t>
            </w:r>
          </w:p>
        </w:tc>
      </w:tr>
      <w:tr w:rsidR="004E1D3B" w:rsidRPr="0079089C" w14:paraId="2BC144E8" w14:textId="77777777">
        <w:tc>
          <w:tcPr>
            <w:tcW w:w="4680" w:type="dxa"/>
          </w:tcPr>
          <w:p w14:paraId="55940E27"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Objectives set and status</w:t>
            </w:r>
          </w:p>
        </w:tc>
        <w:tc>
          <w:tcPr>
            <w:tcW w:w="4680" w:type="dxa"/>
          </w:tcPr>
          <w:p w14:paraId="2BEFDB6A"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SMART objective; status (met, partly met, not met)</w:t>
            </w:r>
          </w:p>
        </w:tc>
      </w:tr>
      <w:tr w:rsidR="004E1D3B" w:rsidRPr="0079089C" w14:paraId="5E894AE6" w14:textId="77777777">
        <w:tc>
          <w:tcPr>
            <w:tcW w:w="4680" w:type="dxa"/>
          </w:tcPr>
          <w:p w14:paraId="307D3221"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Evidence reviewed</w:t>
            </w:r>
          </w:p>
        </w:tc>
        <w:tc>
          <w:tcPr>
            <w:tcW w:w="4680" w:type="dxa"/>
          </w:tcPr>
          <w:p w14:paraId="4DF8D828"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Observation notes; audit results; peer and upward feedback; reflective log extract</w:t>
            </w:r>
          </w:p>
        </w:tc>
      </w:tr>
      <w:tr w:rsidR="004E1D3B" w:rsidRPr="0079089C" w14:paraId="373026A8" w14:textId="77777777">
        <w:tc>
          <w:tcPr>
            <w:tcW w:w="4680" w:type="dxa"/>
          </w:tcPr>
          <w:p w14:paraId="540B47A0"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Strengths</w:t>
            </w:r>
          </w:p>
        </w:tc>
        <w:tc>
          <w:tcPr>
            <w:tcW w:w="4680" w:type="dxa"/>
          </w:tcPr>
          <w:p w14:paraId="4FC79872"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Specific examples</w:t>
            </w:r>
          </w:p>
        </w:tc>
      </w:tr>
      <w:tr w:rsidR="004E1D3B" w:rsidRPr="0079089C" w14:paraId="54F9463F" w14:textId="77777777">
        <w:tc>
          <w:tcPr>
            <w:tcW w:w="4680" w:type="dxa"/>
          </w:tcPr>
          <w:p w14:paraId="4D47BB52"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Development needs</w:t>
            </w:r>
          </w:p>
        </w:tc>
        <w:tc>
          <w:tcPr>
            <w:tcW w:w="4680" w:type="dxa"/>
          </w:tcPr>
          <w:p w14:paraId="53EA0CC8"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Specific examples and agreed actions</w:t>
            </w:r>
          </w:p>
        </w:tc>
      </w:tr>
      <w:tr w:rsidR="004E1D3B" w:rsidRPr="0079089C" w14:paraId="078AAC83" w14:textId="77777777">
        <w:tc>
          <w:tcPr>
            <w:tcW w:w="4680" w:type="dxa"/>
          </w:tcPr>
          <w:p w14:paraId="7A08C6CF"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Expectations check</w:t>
            </w:r>
          </w:p>
        </w:tc>
        <w:tc>
          <w:tcPr>
            <w:tcW w:w="4680" w:type="dxa"/>
          </w:tcPr>
          <w:p w14:paraId="3DBFF0EE"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Changes to Practitioner A's expectations or career goals</w:t>
            </w:r>
          </w:p>
        </w:tc>
      </w:tr>
      <w:tr w:rsidR="004E1D3B" w:rsidRPr="0079089C" w14:paraId="39355418" w14:textId="77777777">
        <w:tc>
          <w:tcPr>
            <w:tcW w:w="4680" w:type="dxa"/>
          </w:tcPr>
          <w:p w14:paraId="6E08CD18"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Agreed next steps and dates</w:t>
            </w:r>
          </w:p>
        </w:tc>
        <w:tc>
          <w:tcPr>
            <w:tcW w:w="4680" w:type="dxa"/>
          </w:tcPr>
          <w:p w14:paraId="62B0F1B3"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Action, owner, deadline</w:t>
            </w:r>
          </w:p>
        </w:tc>
      </w:tr>
      <w:tr w:rsidR="004E1D3B" w:rsidRPr="0079089C" w14:paraId="25BC73E8" w14:textId="77777777">
        <w:tc>
          <w:tcPr>
            <w:tcW w:w="4680" w:type="dxa"/>
          </w:tcPr>
          <w:p w14:paraId="4DE7DE0E" w14:textId="77777777" w:rsidR="004E1D3B" w:rsidRPr="0079089C" w:rsidRDefault="00000000" w:rsidP="0079089C">
            <w:pPr>
              <w:spacing w:line="360" w:lineRule="auto"/>
              <w:rPr>
                <w:rFonts w:asciiTheme="majorHAnsi" w:hAnsiTheme="majorHAnsi" w:cstheme="majorHAnsi"/>
                <w:b/>
                <w:sz w:val="24"/>
                <w:szCs w:val="24"/>
                <w:highlight w:val="yellow"/>
              </w:rPr>
            </w:pPr>
            <w:r w:rsidRPr="0079089C">
              <w:rPr>
                <w:rFonts w:asciiTheme="majorHAnsi" w:hAnsiTheme="majorHAnsi" w:cstheme="majorHAnsi"/>
                <w:b/>
                <w:sz w:val="24"/>
                <w:szCs w:val="24"/>
                <w:highlight w:val="yellow"/>
              </w:rPr>
              <w:t>Signatures</w:t>
            </w:r>
          </w:p>
        </w:tc>
        <w:tc>
          <w:tcPr>
            <w:tcW w:w="4680" w:type="dxa"/>
          </w:tcPr>
          <w:p w14:paraId="533EA7E9" w14:textId="77777777" w:rsidR="004E1D3B" w:rsidRPr="0079089C" w:rsidRDefault="00000000" w:rsidP="0079089C">
            <w:pPr>
              <w:spacing w:line="360" w:lineRule="auto"/>
              <w:rPr>
                <w:rFonts w:asciiTheme="majorHAnsi" w:hAnsiTheme="majorHAnsi" w:cstheme="majorHAnsi"/>
                <w:b/>
                <w:sz w:val="24"/>
                <w:szCs w:val="24"/>
              </w:rPr>
            </w:pPr>
            <w:r w:rsidRPr="0079089C">
              <w:rPr>
                <w:rFonts w:asciiTheme="majorHAnsi" w:hAnsiTheme="majorHAnsi" w:cstheme="majorHAnsi"/>
                <w:b/>
                <w:sz w:val="24"/>
                <w:szCs w:val="24"/>
                <w:highlight w:val="yellow"/>
              </w:rPr>
              <w:t>Practitioner A and manager; held confidentially</w:t>
            </w:r>
          </w:p>
        </w:tc>
      </w:tr>
    </w:tbl>
    <w:p w14:paraId="49B75217" w14:textId="77777777" w:rsidR="004E1D3B" w:rsidRPr="0035416F" w:rsidRDefault="004E1D3B" w:rsidP="0079089C">
      <w:pPr>
        <w:rPr>
          <w:rFonts w:ascii="Times New Roman" w:hAnsi="Times New Roman" w:cs="Times New Roman"/>
        </w:rPr>
      </w:pPr>
    </w:p>
    <w:sectPr w:rsidR="004E1D3B" w:rsidRPr="0035416F">
      <w:footerReference w:type="default" r:id="rId3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906D4" w14:textId="77777777" w:rsidR="00AA2755" w:rsidRDefault="00AA2755" w:rsidP="006F26E5">
      <w:pPr>
        <w:spacing w:after="0" w:line="240" w:lineRule="auto"/>
      </w:pPr>
      <w:r>
        <w:separator/>
      </w:r>
    </w:p>
  </w:endnote>
  <w:endnote w:type="continuationSeparator" w:id="0">
    <w:p w14:paraId="7FFE5BDE" w14:textId="77777777" w:rsidR="00AA2755" w:rsidRDefault="00AA2755" w:rsidP="006F2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4901959"/>
      <w:docPartObj>
        <w:docPartGallery w:val="Page Numbers (Bottom of Page)"/>
        <w:docPartUnique/>
      </w:docPartObj>
    </w:sdtPr>
    <w:sdtEndPr>
      <w:rPr>
        <w:noProof/>
      </w:rPr>
    </w:sdtEndPr>
    <w:sdtContent>
      <w:p w14:paraId="7D915BA1" w14:textId="412B2F10" w:rsidR="006F26E5" w:rsidRDefault="006F26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DEDF61" w14:textId="77777777" w:rsidR="006F26E5" w:rsidRDefault="006F2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5289B" w14:textId="77777777" w:rsidR="00AA2755" w:rsidRDefault="00AA2755" w:rsidP="006F26E5">
      <w:pPr>
        <w:spacing w:after="0" w:line="240" w:lineRule="auto"/>
      </w:pPr>
      <w:r>
        <w:separator/>
      </w:r>
    </w:p>
  </w:footnote>
  <w:footnote w:type="continuationSeparator" w:id="0">
    <w:p w14:paraId="2466A378" w14:textId="77777777" w:rsidR="00AA2755" w:rsidRDefault="00AA2755" w:rsidP="006F26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2534C"/>
    <w:multiLevelType w:val="hybridMultilevel"/>
    <w:tmpl w:val="7F324726"/>
    <w:lvl w:ilvl="0" w:tplc="EB72096A">
      <w:start w:val="1"/>
      <w:numFmt w:val="decimal"/>
      <w:lvlText w:val="%1."/>
      <w:lvlJc w:val="left"/>
      <w:pPr>
        <w:ind w:left="720" w:hanging="360"/>
      </w:pPr>
    </w:lvl>
    <w:lvl w:ilvl="1" w:tplc="8020BEDA">
      <w:start w:val="1"/>
      <w:numFmt w:val="lowerLetter"/>
      <w:lvlText w:val="%2."/>
      <w:lvlJc w:val="left"/>
      <w:pPr>
        <w:ind w:left="1440" w:hanging="360"/>
      </w:pPr>
    </w:lvl>
    <w:lvl w:ilvl="2" w:tplc="4A4C9484">
      <w:start w:val="1"/>
      <w:numFmt w:val="lowerRoman"/>
      <w:lvlText w:val="%3."/>
      <w:lvlJc w:val="left"/>
      <w:pPr>
        <w:ind w:left="2160" w:hanging="360"/>
      </w:pPr>
    </w:lvl>
    <w:lvl w:ilvl="3" w:tplc="3486721C">
      <w:start w:val="1"/>
      <w:numFmt w:val="decimal"/>
      <w:lvlText w:val="%4."/>
      <w:lvlJc w:val="left"/>
      <w:pPr>
        <w:ind w:left="2880" w:hanging="360"/>
      </w:pPr>
    </w:lvl>
    <w:lvl w:ilvl="4" w:tplc="10CA5B20">
      <w:start w:val="1"/>
      <w:numFmt w:val="lowerLetter"/>
      <w:lvlText w:val="%5."/>
      <w:lvlJc w:val="left"/>
      <w:pPr>
        <w:ind w:left="3600" w:hanging="360"/>
      </w:pPr>
    </w:lvl>
    <w:lvl w:ilvl="5" w:tplc="3E7C78B8">
      <w:start w:val="1"/>
      <w:numFmt w:val="lowerRoman"/>
      <w:lvlText w:val="%6."/>
      <w:lvlJc w:val="left"/>
      <w:pPr>
        <w:ind w:left="4320" w:hanging="360"/>
      </w:pPr>
    </w:lvl>
    <w:lvl w:ilvl="6" w:tplc="B2E2F612">
      <w:start w:val="1"/>
      <w:numFmt w:val="decimal"/>
      <w:lvlText w:val="%7."/>
      <w:lvlJc w:val="left"/>
      <w:pPr>
        <w:ind w:left="5040" w:hanging="360"/>
      </w:pPr>
    </w:lvl>
    <w:lvl w:ilvl="7" w:tplc="AF8406E6">
      <w:start w:val="1"/>
      <w:numFmt w:val="lowerLetter"/>
      <w:lvlText w:val="%8."/>
      <w:lvlJc w:val="left"/>
      <w:pPr>
        <w:ind w:left="5760" w:hanging="360"/>
      </w:pPr>
    </w:lvl>
    <w:lvl w:ilvl="8" w:tplc="EB12D5C4">
      <w:start w:val="1"/>
      <w:numFmt w:val="lowerRoman"/>
      <w:lvlText w:val="%9."/>
      <w:lvlJc w:val="left"/>
      <w:pPr>
        <w:ind w:left="6480" w:hanging="360"/>
      </w:pPr>
    </w:lvl>
  </w:abstractNum>
  <w:abstractNum w:abstractNumId="1" w15:restartNumberingAfterBreak="0">
    <w:nsid w:val="41CA27B4"/>
    <w:multiLevelType w:val="hybridMultilevel"/>
    <w:tmpl w:val="D6925CEA"/>
    <w:lvl w:ilvl="0" w:tplc="12046F0E">
      <w:start w:val="1"/>
      <w:numFmt w:val="bullet"/>
      <w:lvlText w:val="•"/>
      <w:lvlJc w:val="left"/>
      <w:pPr>
        <w:ind w:left="720" w:hanging="360"/>
      </w:pPr>
    </w:lvl>
    <w:lvl w:ilvl="1" w:tplc="DACE9592">
      <w:start w:val="1"/>
      <w:numFmt w:val="bullet"/>
      <w:lvlText w:val="o"/>
      <w:lvlJc w:val="left"/>
      <w:pPr>
        <w:ind w:left="1440" w:hanging="360"/>
      </w:pPr>
    </w:lvl>
    <w:lvl w:ilvl="2" w:tplc="9C505942">
      <w:start w:val="1"/>
      <w:numFmt w:val="bullet"/>
      <w:lvlText w:val="▪"/>
      <w:lvlJc w:val="left"/>
      <w:pPr>
        <w:ind w:left="2160" w:hanging="360"/>
      </w:pPr>
    </w:lvl>
    <w:lvl w:ilvl="3" w:tplc="A1466A5C">
      <w:start w:val="1"/>
      <w:numFmt w:val="bullet"/>
      <w:lvlText w:val="•"/>
      <w:lvlJc w:val="left"/>
      <w:pPr>
        <w:ind w:left="2880" w:hanging="360"/>
      </w:pPr>
    </w:lvl>
    <w:lvl w:ilvl="4" w:tplc="D17614E2">
      <w:start w:val="1"/>
      <w:numFmt w:val="bullet"/>
      <w:lvlText w:val="o"/>
      <w:lvlJc w:val="left"/>
      <w:pPr>
        <w:ind w:left="3600" w:hanging="360"/>
      </w:pPr>
    </w:lvl>
    <w:lvl w:ilvl="5" w:tplc="8FB462E4">
      <w:start w:val="1"/>
      <w:numFmt w:val="bullet"/>
      <w:lvlText w:val="▪"/>
      <w:lvlJc w:val="left"/>
      <w:pPr>
        <w:ind w:left="4320" w:hanging="360"/>
      </w:pPr>
    </w:lvl>
    <w:lvl w:ilvl="6" w:tplc="1CF2E6B2">
      <w:start w:val="1"/>
      <w:numFmt w:val="bullet"/>
      <w:lvlText w:val="•"/>
      <w:lvlJc w:val="left"/>
      <w:pPr>
        <w:ind w:left="5040" w:hanging="360"/>
      </w:pPr>
    </w:lvl>
    <w:lvl w:ilvl="7" w:tplc="F132A790">
      <w:start w:val="1"/>
      <w:numFmt w:val="bullet"/>
      <w:lvlText w:val="o"/>
      <w:lvlJc w:val="left"/>
      <w:pPr>
        <w:ind w:left="5760" w:hanging="360"/>
      </w:pPr>
    </w:lvl>
    <w:lvl w:ilvl="8" w:tplc="BC5CC512">
      <w:start w:val="1"/>
      <w:numFmt w:val="bullet"/>
      <w:lvlText w:val="▪"/>
      <w:lvlJc w:val="left"/>
      <w:pPr>
        <w:ind w:left="6480" w:hanging="360"/>
      </w:pPr>
    </w:lvl>
  </w:abstractNum>
  <w:num w:numId="1" w16cid:durableId="1443304714">
    <w:abstractNumId w:val="1"/>
  </w:num>
  <w:num w:numId="2" w16cid:durableId="94615585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1D3B"/>
    <w:rsid w:val="0008716B"/>
    <w:rsid w:val="000D19A9"/>
    <w:rsid w:val="00125D64"/>
    <w:rsid w:val="001777E4"/>
    <w:rsid w:val="00252C60"/>
    <w:rsid w:val="00256B09"/>
    <w:rsid w:val="0035416F"/>
    <w:rsid w:val="00463601"/>
    <w:rsid w:val="004A52E6"/>
    <w:rsid w:val="004E1D3B"/>
    <w:rsid w:val="004F2196"/>
    <w:rsid w:val="004F4554"/>
    <w:rsid w:val="005222F2"/>
    <w:rsid w:val="00613E2E"/>
    <w:rsid w:val="00621455"/>
    <w:rsid w:val="006F26E5"/>
    <w:rsid w:val="00711135"/>
    <w:rsid w:val="00783659"/>
    <w:rsid w:val="0079089C"/>
    <w:rsid w:val="00793205"/>
    <w:rsid w:val="00794BDA"/>
    <w:rsid w:val="0081686A"/>
    <w:rsid w:val="00831072"/>
    <w:rsid w:val="008577EA"/>
    <w:rsid w:val="00886CA6"/>
    <w:rsid w:val="008F75E5"/>
    <w:rsid w:val="0093072D"/>
    <w:rsid w:val="009755D5"/>
    <w:rsid w:val="00981F98"/>
    <w:rsid w:val="009853FB"/>
    <w:rsid w:val="00A13E33"/>
    <w:rsid w:val="00A579B4"/>
    <w:rsid w:val="00AA2755"/>
    <w:rsid w:val="00AB1ADF"/>
    <w:rsid w:val="00B46718"/>
    <w:rsid w:val="00BB45EB"/>
    <w:rsid w:val="00C8512C"/>
    <w:rsid w:val="00CA13A2"/>
    <w:rsid w:val="00CB43DD"/>
    <w:rsid w:val="00CB783C"/>
    <w:rsid w:val="00D669E5"/>
    <w:rsid w:val="00DB5A8D"/>
    <w:rsid w:val="00E01144"/>
    <w:rsid w:val="00E11EB6"/>
    <w:rsid w:val="00E3393B"/>
    <w:rsid w:val="00E408F4"/>
    <w:rsid w:val="00E45EA3"/>
    <w:rsid w:val="00E6126A"/>
    <w:rsid w:val="00E65D08"/>
    <w:rsid w:val="00E728AA"/>
    <w:rsid w:val="00F75AF2"/>
    <w:rsid w:val="00FB620A"/>
    <w:rsid w:val="00FE6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9710A"/>
  <w15:docId w15:val="{98A0EB26-C8CF-48CD-BBBC-1E65439CE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360" w:after="120"/>
      <w:outlineLvl w:val="0"/>
    </w:pPr>
    <w:rPr>
      <w:b/>
      <w:sz w:val="32"/>
    </w:rPr>
  </w:style>
  <w:style w:type="paragraph" w:styleId="Heading2">
    <w:name w:val="heading 2"/>
    <w:basedOn w:val="Normal"/>
    <w:next w:val="Normal"/>
    <w:uiPriority w:val="9"/>
    <w:unhideWhenUsed/>
    <w:qFormat/>
    <w:pPr>
      <w:keepNext/>
      <w:spacing w:before="280" w:after="100"/>
      <w:outlineLvl w:val="1"/>
    </w:pPr>
    <w:rPr>
      <w:b/>
      <w:sz w:val="26"/>
    </w:rPr>
  </w:style>
  <w:style w:type="paragraph" w:styleId="Heading3">
    <w:name w:val="heading 3"/>
    <w:basedOn w:val="Normal"/>
    <w:next w:val="Normal"/>
    <w:uiPriority w:val="9"/>
    <w:unhideWhenUsed/>
    <w:qFormat/>
    <w:pPr>
      <w:keepNext/>
      <w:spacing w:before="240" w:after="80"/>
      <w:outlineLvl w:val="2"/>
    </w:pPr>
    <w:rPr>
      <w:b/>
      <w:sz w:val="24"/>
    </w:rPr>
  </w:style>
  <w:style w:type="paragraph" w:styleId="Heading4">
    <w:name w:val="heading 4"/>
    <w:basedOn w:val="Normal"/>
    <w:next w:val="Normal"/>
    <w:uiPriority w:val="9"/>
    <w:semiHidden/>
    <w:unhideWhenUsed/>
    <w:qFormat/>
    <w:pPr>
      <w:keepNext/>
      <w:outlineLvl w:val="3"/>
    </w:pPr>
    <w:rPr>
      <w:b/>
    </w:rPr>
  </w:style>
  <w:style w:type="paragraph" w:styleId="Heading5">
    <w:name w:val="heading 5"/>
    <w:basedOn w:val="Normal"/>
    <w:next w:val="Normal"/>
    <w:uiPriority w:val="9"/>
    <w:semiHidden/>
    <w:unhideWhenUsed/>
    <w:qFormat/>
    <w:pPr>
      <w:keepNext/>
      <w:outlineLvl w:val="4"/>
    </w:pPr>
    <w:rPr>
      <w:b/>
    </w:rPr>
  </w:style>
  <w:style w:type="paragraph" w:styleId="Heading6">
    <w:name w:val="heading 6"/>
    <w:basedOn w:val="Normal"/>
    <w:next w:val="Normal"/>
    <w:uiPriority w:val="9"/>
    <w:semiHidden/>
    <w:unhideWhenUsed/>
    <w:qFormat/>
    <w:pPr>
      <w:keepNext/>
      <w:outlineLvl w:val="5"/>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contextualSpacing/>
    </w:pPr>
    <w:rPr>
      <w:sz w:val="56"/>
    </w:rPr>
  </w:style>
  <w:style w:type="paragraph" w:styleId="Quote">
    <w:name w:val="Quote"/>
    <w:basedOn w:val="Normal"/>
    <w:qFormat/>
    <w:pPr>
      <w:pBdr>
        <w:left w:val="single" w:sz="12" w:space="8" w:color="A0A0A0"/>
      </w:pBdr>
      <w:ind w:left="720" w:right="720"/>
    </w:pPr>
    <w:rPr>
      <w:i/>
      <w:color w:val="404040"/>
    </w:rPr>
  </w:style>
  <w:style w:type="paragraph" w:customStyle="1" w:styleId="Code">
    <w:name w:val="Code"/>
    <w:basedOn w:val="Normal"/>
    <w:link w:val="CodeChar"/>
    <w:pPr>
      <w:shd w:val="clear" w:color="auto" w:fill="F5F5F5"/>
      <w:spacing w:after="0" w:line="240" w:lineRule="auto"/>
      <w:contextualSpacing/>
    </w:pPr>
    <w:rPr>
      <w:rFonts w:ascii="Consolas" w:eastAsia="Consolas" w:hAnsi="Consolas" w:cs="Consolas"/>
      <w:sz w:val="20"/>
    </w:rPr>
  </w:style>
  <w:style w:type="character" w:customStyle="1" w:styleId="CodeChar">
    <w:name w:val="Code Char"/>
    <w:link w:val="Code"/>
    <w:rPr>
      <w:rFonts w:ascii="Consolas" w:eastAsia="Consolas" w:hAnsi="Consolas" w:cs="Consolas"/>
      <w:sz w:val="20"/>
      <w:shd w:val="clear" w:color="auto" w:fill="F5F5F5"/>
    </w:rPr>
  </w:style>
  <w:style w:type="paragraph" w:styleId="ListParagraph">
    <w:name w:val="List Paragraph"/>
    <w:basedOn w:val="Normal"/>
    <w:qFormat/>
    <w:pPr>
      <w:ind w:left="720"/>
      <w:contextualSpacing/>
    </w:pPr>
  </w:style>
  <w:style w:type="character" w:styleId="Hyperlink">
    <w:name w:val="Hyperlink"/>
    <w:uiPriority w:val="99"/>
    <w:rPr>
      <w:color w:val="0563C1"/>
      <w:u w:val="single"/>
    </w:rPr>
  </w:style>
  <w:style w:type="paragraph" w:styleId="CommentText">
    <w:name w:val="annotation text"/>
    <w:basedOn w:val="Normal"/>
    <w:pPr>
      <w:spacing w:line="240" w:lineRule="auto"/>
    </w:pPr>
    <w:rPr>
      <w:sz w:val="20"/>
      <w:szCs w:val="20"/>
    </w:rPr>
  </w:style>
  <w:style w:type="character" w:styleId="CommentReference">
    <w:name w:val="annotation reference"/>
    <w:rPr>
      <w:sz w:val="16"/>
      <w:szCs w:val="16"/>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5416F"/>
    <w:rPr>
      <w:color w:val="605E5C"/>
      <w:shd w:val="clear" w:color="auto" w:fill="E1DFDD"/>
    </w:rPr>
  </w:style>
  <w:style w:type="paragraph" w:styleId="TOCHeading">
    <w:name w:val="TOC Heading"/>
    <w:basedOn w:val="Heading1"/>
    <w:next w:val="Normal"/>
    <w:uiPriority w:val="39"/>
    <w:unhideWhenUsed/>
    <w:qFormat/>
    <w:rsid w:val="009755D5"/>
    <w:pPr>
      <w:keepLines/>
      <w:spacing w:before="240" w:after="0"/>
      <w:outlineLvl w:val="9"/>
    </w:pPr>
    <w:rPr>
      <w:rFonts w:asciiTheme="majorHAnsi" w:eastAsiaTheme="majorEastAsia" w:hAnsiTheme="majorHAnsi" w:cstheme="majorBidi"/>
      <w:b w:val="0"/>
      <w:color w:val="2F5496" w:themeColor="accent1" w:themeShade="BF"/>
      <w:szCs w:val="32"/>
      <w:lang w:eastAsia="en-US"/>
    </w:rPr>
  </w:style>
  <w:style w:type="paragraph" w:styleId="TOC1">
    <w:name w:val="toc 1"/>
    <w:basedOn w:val="Normal"/>
    <w:next w:val="Normal"/>
    <w:autoRedefine/>
    <w:uiPriority w:val="39"/>
    <w:unhideWhenUsed/>
    <w:rsid w:val="009755D5"/>
    <w:pPr>
      <w:spacing w:after="100"/>
    </w:pPr>
  </w:style>
  <w:style w:type="paragraph" w:styleId="TOC2">
    <w:name w:val="toc 2"/>
    <w:basedOn w:val="Normal"/>
    <w:next w:val="Normal"/>
    <w:autoRedefine/>
    <w:uiPriority w:val="39"/>
    <w:unhideWhenUsed/>
    <w:rsid w:val="009755D5"/>
    <w:pPr>
      <w:spacing w:after="100"/>
      <w:ind w:left="220"/>
    </w:pPr>
  </w:style>
  <w:style w:type="paragraph" w:styleId="TOC3">
    <w:name w:val="toc 3"/>
    <w:basedOn w:val="Normal"/>
    <w:next w:val="Normal"/>
    <w:autoRedefine/>
    <w:uiPriority w:val="39"/>
    <w:unhideWhenUsed/>
    <w:rsid w:val="009755D5"/>
    <w:pPr>
      <w:spacing w:after="100"/>
      <w:ind w:left="440"/>
    </w:pPr>
  </w:style>
  <w:style w:type="paragraph" w:styleId="Header">
    <w:name w:val="header"/>
    <w:basedOn w:val="Normal"/>
    <w:link w:val="HeaderChar"/>
    <w:uiPriority w:val="99"/>
    <w:unhideWhenUsed/>
    <w:rsid w:val="006F26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26E5"/>
  </w:style>
  <w:style w:type="paragraph" w:styleId="Footer">
    <w:name w:val="footer"/>
    <w:basedOn w:val="Normal"/>
    <w:link w:val="FooterChar"/>
    <w:uiPriority w:val="99"/>
    <w:unhideWhenUsed/>
    <w:rsid w:val="006F26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2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1846-019-00368-x" TargetMode="External"/><Relationship Id="rId18" Type="http://schemas.openxmlformats.org/officeDocument/2006/relationships/hyperlink" Target="https://doi.org/10.1177/0018726718819725" TargetMode="External"/><Relationship Id="rId26" Type="http://schemas.openxmlformats.org/officeDocument/2006/relationships/hyperlink" Target="https://doi.org/10.1146/annurev.soc.29.010202.100037" TargetMode="External"/><Relationship Id="rId3" Type="http://schemas.openxmlformats.org/officeDocument/2006/relationships/styles" Target="styles.xml"/><Relationship Id="rId21" Type="http://schemas.openxmlformats.org/officeDocument/2006/relationships/hyperlink" Target="https://doi.org/10.1002/hrdq.21330"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egislation.gov.uk/ukpga/2021/19" TargetMode="External"/><Relationship Id="rId17" Type="http://schemas.openxmlformats.org/officeDocument/2006/relationships/hyperlink" Target="https://doi.org/10.1016/j.jvb.2018.06.011" TargetMode="External"/><Relationship Id="rId25" Type="http://schemas.openxmlformats.org/officeDocument/2006/relationships/hyperlink" Target="https://doi.org/10.3389/fpsyg.2015.01908"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egislation.gov.uk/ukpga/2018/12/contents" TargetMode="External"/><Relationship Id="rId20" Type="http://schemas.openxmlformats.org/officeDocument/2006/relationships/hyperlink" Target="https://www.hee.nhs.uk/sites/default/files/documents/HEE%20Cosmetic%20publication%20part%20one.pdf" TargetMode="External"/><Relationship Id="rId29" Type="http://schemas.openxmlformats.org/officeDocument/2006/relationships/hyperlink" Target="https://doi.org/10.1177/15291006124366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research-briefings/cbp-10331/" TargetMode="External"/><Relationship Id="rId24" Type="http://schemas.openxmlformats.org/officeDocument/2006/relationships/hyperlink" Target="https://doi.org/10.1037/mot0000127" TargetMode="External"/><Relationship Id="rId32" Type="http://schemas.openxmlformats.org/officeDocument/2006/relationships/hyperlink" Target="https://doi.org/10.3389/fpsyg.2019.03087" TargetMode="External"/><Relationship Id="rId5" Type="http://schemas.openxmlformats.org/officeDocument/2006/relationships/webSettings" Target="webSettings.xml"/><Relationship Id="rId15" Type="http://schemas.openxmlformats.org/officeDocument/2006/relationships/hyperlink" Target="https://www.cipd.org/globalassets/media/knowledge/knowledge-hub/reports/2025-pdfs/8930-lifelong-learning-in-the-reskilling-era-report-web.pdf" TargetMode="External"/><Relationship Id="rId23" Type="http://schemas.openxmlformats.org/officeDocument/2006/relationships/hyperlink" Target="https://doi.org/10.1177/0149206315575554" TargetMode="External"/><Relationship Id="rId28" Type="http://schemas.openxmlformats.org/officeDocument/2006/relationships/hyperlink" Target="https://doi.org/10.1016/j.cedpsych.2020.101860" TargetMode="External"/><Relationship Id="rId10" Type="http://schemas.openxmlformats.org/officeDocument/2006/relationships/hyperlink" Target="https://doi.org/10.1146/annurev-orgpsych-120920-053933" TargetMode="External"/><Relationship Id="rId19" Type="http://schemas.openxmlformats.org/officeDocument/2006/relationships/hyperlink" Target="https://doi.org/10.1002/hrm.22010" TargetMode="External"/><Relationship Id="rId31" Type="http://schemas.openxmlformats.org/officeDocument/2006/relationships/hyperlink" Target="https://doi.org/10.5465/ame.1996.3145321" TargetMode="External"/><Relationship Id="rId4" Type="http://schemas.openxmlformats.org/officeDocument/2006/relationships/settings" Target="settings.xml"/><Relationship Id="rId9" Type="http://schemas.openxmlformats.org/officeDocument/2006/relationships/hyperlink" Target="https://doi.org/10.1111/1468-0297.00405" TargetMode="External"/><Relationship Id="rId14" Type="http://schemas.openxmlformats.org/officeDocument/2006/relationships/hyperlink" Target="https://doi.org/10.5465/amj.2014.0506" TargetMode="External"/><Relationship Id="rId22" Type="http://schemas.openxmlformats.org/officeDocument/2006/relationships/hyperlink" Target="https://doi.org/10.1111/joop.12119" TargetMode="External"/><Relationship Id="rId27" Type="http://schemas.openxmlformats.org/officeDocument/2006/relationships/hyperlink" Target="https://doi.org/10.1146/annurev-orgpsych-012218-015009" TargetMode="External"/><Relationship Id="rId30" Type="http://schemas.openxmlformats.org/officeDocument/2006/relationships/hyperlink" Target="https://doi.org/10.1177/20501684231197717"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8BCD38-C778-40A0-A2C9-BBE1976D7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5854</Words>
  <Characters>33373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39149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Michelle B Bradshaw</cp:lastModifiedBy>
  <cp:revision>4</cp:revision>
  <dcterms:created xsi:type="dcterms:W3CDTF">2026-10-05T21:20:00Z</dcterms:created>
  <dcterms:modified xsi:type="dcterms:W3CDTF">2026-09-01T08:02:00Z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1359c298b0ce34b908cb4807ca7f19b1a2447d000a9e22a7a6482c6a3f7f6213</vt:lpwstr>
  </property>
</Properties>
</file>