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354D0" w14:textId="0208EFE5" w:rsidR="00754DA4" w:rsidRPr="00754DA4" w:rsidRDefault="00754DA4" w:rsidP="00754DA4">
      <w:pPr>
        <w:spacing w:line="360" w:lineRule="auto"/>
        <w:jc w:val="center"/>
        <w:rPr>
          <w:b/>
          <w:bCs/>
          <w:sz w:val="24"/>
          <w:szCs w:val="24"/>
        </w:rPr>
      </w:pPr>
      <w:r w:rsidRPr="00754DA4">
        <w:rPr>
          <w:b/>
          <w:bCs/>
          <w:sz w:val="24"/>
          <w:szCs w:val="24"/>
        </w:rPr>
        <w:t>Student name: Ionut-Marius Pantiru</w:t>
      </w:r>
    </w:p>
    <w:p w14:paraId="7957C0A3" w14:textId="6B34DB22" w:rsidR="00754DA4" w:rsidRPr="00754DA4" w:rsidRDefault="00754DA4" w:rsidP="00754DA4">
      <w:pPr>
        <w:spacing w:line="360" w:lineRule="auto"/>
        <w:jc w:val="center"/>
        <w:rPr>
          <w:b/>
          <w:bCs/>
          <w:sz w:val="24"/>
          <w:szCs w:val="24"/>
        </w:rPr>
      </w:pPr>
      <w:r w:rsidRPr="00754DA4">
        <w:rPr>
          <w:b/>
          <w:bCs/>
          <w:sz w:val="24"/>
          <w:szCs w:val="24"/>
        </w:rPr>
        <w:t>Student ID Number: 2213443</w:t>
      </w:r>
    </w:p>
    <w:p w14:paraId="65AEDE2B" w14:textId="2694D0BC" w:rsidR="00754DA4" w:rsidRPr="00754DA4" w:rsidRDefault="00754DA4" w:rsidP="00754DA4">
      <w:pPr>
        <w:spacing w:line="360" w:lineRule="auto"/>
        <w:jc w:val="center"/>
        <w:rPr>
          <w:b/>
          <w:bCs/>
          <w:sz w:val="24"/>
          <w:szCs w:val="24"/>
        </w:rPr>
      </w:pPr>
      <w:r w:rsidRPr="00754DA4">
        <w:rPr>
          <w:b/>
          <w:bCs/>
          <w:sz w:val="24"/>
          <w:szCs w:val="24"/>
        </w:rPr>
        <w:t>Programme: Law and Legal Practice</w:t>
      </w:r>
    </w:p>
    <w:p w14:paraId="48FC1D78" w14:textId="36188B92" w:rsidR="00754DA4" w:rsidRPr="00754DA4" w:rsidRDefault="00754DA4" w:rsidP="00754DA4">
      <w:pPr>
        <w:spacing w:line="360" w:lineRule="auto"/>
        <w:jc w:val="center"/>
        <w:rPr>
          <w:b/>
          <w:bCs/>
          <w:sz w:val="24"/>
          <w:szCs w:val="24"/>
        </w:rPr>
      </w:pPr>
      <w:r w:rsidRPr="00754DA4">
        <w:rPr>
          <w:b/>
          <w:bCs/>
          <w:sz w:val="24"/>
          <w:szCs w:val="24"/>
        </w:rPr>
        <w:t>Module: Principles of Professional Legal Practice</w:t>
      </w:r>
    </w:p>
    <w:p w14:paraId="2898D591" w14:textId="7EA5637C" w:rsidR="00754DA4" w:rsidRPr="00754DA4" w:rsidRDefault="00754DA4" w:rsidP="00754DA4">
      <w:pPr>
        <w:spacing w:line="360" w:lineRule="auto"/>
        <w:jc w:val="center"/>
        <w:rPr>
          <w:b/>
          <w:bCs/>
          <w:sz w:val="24"/>
          <w:szCs w:val="24"/>
        </w:rPr>
      </w:pPr>
      <w:r w:rsidRPr="00754DA4">
        <w:rPr>
          <w:b/>
          <w:bCs/>
          <w:sz w:val="24"/>
          <w:szCs w:val="24"/>
        </w:rPr>
        <w:t>Module Code: BMLW4001</w:t>
      </w:r>
    </w:p>
    <w:p w14:paraId="0BF2CCC3" w14:textId="09F28BA8" w:rsidR="00754DA4" w:rsidRPr="00754DA4" w:rsidRDefault="00754DA4" w:rsidP="00754DA4">
      <w:pPr>
        <w:spacing w:line="360" w:lineRule="auto"/>
        <w:jc w:val="center"/>
        <w:rPr>
          <w:b/>
          <w:bCs/>
          <w:sz w:val="24"/>
          <w:szCs w:val="24"/>
        </w:rPr>
      </w:pPr>
      <w:r w:rsidRPr="00754DA4">
        <w:rPr>
          <w:b/>
          <w:bCs/>
          <w:sz w:val="24"/>
          <w:szCs w:val="24"/>
        </w:rPr>
        <w:t>Lecturer: James Drew</w:t>
      </w:r>
    </w:p>
    <w:p w14:paraId="121D063C" w14:textId="125C0FA4" w:rsidR="00544E9A" w:rsidRPr="00754DA4" w:rsidRDefault="00754DA4" w:rsidP="00754DA4">
      <w:pPr>
        <w:spacing w:line="360" w:lineRule="auto"/>
        <w:jc w:val="center"/>
        <w:rPr>
          <w:b/>
          <w:bCs/>
          <w:sz w:val="24"/>
          <w:szCs w:val="24"/>
        </w:rPr>
      </w:pPr>
      <w:r>
        <w:rPr>
          <w:b/>
          <w:bCs/>
          <w:sz w:val="24"/>
          <w:szCs w:val="24"/>
        </w:rPr>
        <w:t xml:space="preserve">Title: </w:t>
      </w:r>
      <w:r w:rsidR="00F93F43" w:rsidRPr="00754DA4">
        <w:rPr>
          <w:b/>
          <w:bCs/>
          <w:sz w:val="24"/>
          <w:szCs w:val="24"/>
        </w:rPr>
        <w:t>Although there is legal definition of equal opportunity, in general practice the term “equal opportunity” is accepted as the principle of treating individuals and/or groups fairly, and without discrimination. Explain why equality and diversity is important within the legal profession.</w:t>
      </w:r>
    </w:p>
    <w:p w14:paraId="288E812E" w14:textId="4249DC4A" w:rsidR="00754DA4" w:rsidRPr="00754DA4" w:rsidRDefault="00754DA4" w:rsidP="00754DA4">
      <w:pPr>
        <w:spacing w:line="360" w:lineRule="auto"/>
        <w:jc w:val="center"/>
        <w:rPr>
          <w:b/>
          <w:bCs/>
          <w:sz w:val="24"/>
          <w:szCs w:val="24"/>
        </w:rPr>
      </w:pPr>
      <w:r w:rsidRPr="00754DA4">
        <w:rPr>
          <w:b/>
          <w:bCs/>
          <w:sz w:val="24"/>
          <w:szCs w:val="24"/>
        </w:rPr>
        <w:t>Word Count: 1500</w:t>
      </w:r>
    </w:p>
    <w:p w14:paraId="2D67FCD5" w14:textId="77777777" w:rsidR="00754DA4" w:rsidRDefault="00754DA4" w:rsidP="00754DA4">
      <w:pPr>
        <w:rPr>
          <w:sz w:val="24"/>
          <w:szCs w:val="24"/>
        </w:rPr>
      </w:pPr>
    </w:p>
    <w:p w14:paraId="0F11057A" w14:textId="77777777" w:rsidR="00754DA4" w:rsidRDefault="00754DA4" w:rsidP="00754DA4">
      <w:pPr>
        <w:rPr>
          <w:sz w:val="24"/>
          <w:szCs w:val="24"/>
        </w:rPr>
      </w:pPr>
    </w:p>
    <w:p w14:paraId="2EE79DD8" w14:textId="77777777" w:rsidR="00754DA4" w:rsidRDefault="00754DA4" w:rsidP="00754DA4">
      <w:pPr>
        <w:rPr>
          <w:sz w:val="24"/>
          <w:szCs w:val="24"/>
        </w:rPr>
      </w:pPr>
    </w:p>
    <w:p w14:paraId="23044EA1" w14:textId="77777777" w:rsidR="00754DA4" w:rsidRDefault="00754DA4" w:rsidP="00754DA4">
      <w:pPr>
        <w:rPr>
          <w:sz w:val="24"/>
          <w:szCs w:val="24"/>
        </w:rPr>
      </w:pPr>
    </w:p>
    <w:p w14:paraId="4E544976" w14:textId="77777777" w:rsidR="00754DA4" w:rsidRDefault="00754DA4" w:rsidP="00754DA4">
      <w:pPr>
        <w:rPr>
          <w:sz w:val="24"/>
          <w:szCs w:val="24"/>
        </w:rPr>
      </w:pPr>
    </w:p>
    <w:p w14:paraId="2E08EFDC" w14:textId="77777777" w:rsidR="00754DA4" w:rsidRDefault="00754DA4" w:rsidP="00754DA4">
      <w:pPr>
        <w:rPr>
          <w:sz w:val="24"/>
          <w:szCs w:val="24"/>
        </w:rPr>
      </w:pPr>
    </w:p>
    <w:p w14:paraId="536BBF9E" w14:textId="77777777" w:rsidR="00754DA4" w:rsidRDefault="00754DA4" w:rsidP="00754DA4">
      <w:pPr>
        <w:rPr>
          <w:sz w:val="24"/>
          <w:szCs w:val="24"/>
        </w:rPr>
      </w:pPr>
    </w:p>
    <w:p w14:paraId="72CF977F" w14:textId="77777777" w:rsidR="00754DA4" w:rsidRDefault="00754DA4" w:rsidP="00754DA4">
      <w:pPr>
        <w:rPr>
          <w:sz w:val="24"/>
          <w:szCs w:val="24"/>
        </w:rPr>
      </w:pPr>
    </w:p>
    <w:p w14:paraId="4828C98F" w14:textId="77777777" w:rsidR="00754DA4" w:rsidRDefault="00754DA4" w:rsidP="00754DA4">
      <w:pPr>
        <w:rPr>
          <w:sz w:val="24"/>
          <w:szCs w:val="24"/>
        </w:rPr>
      </w:pPr>
    </w:p>
    <w:p w14:paraId="47CD5BFA" w14:textId="77777777" w:rsidR="00754DA4" w:rsidRDefault="00754DA4" w:rsidP="00754DA4">
      <w:pPr>
        <w:rPr>
          <w:sz w:val="24"/>
          <w:szCs w:val="24"/>
        </w:rPr>
      </w:pPr>
    </w:p>
    <w:p w14:paraId="5805ED8E" w14:textId="77777777" w:rsidR="00754DA4" w:rsidRDefault="00754DA4" w:rsidP="00754DA4">
      <w:pPr>
        <w:rPr>
          <w:sz w:val="24"/>
          <w:szCs w:val="24"/>
        </w:rPr>
      </w:pPr>
    </w:p>
    <w:p w14:paraId="56D85B78" w14:textId="77777777" w:rsidR="00754DA4" w:rsidRDefault="00754DA4" w:rsidP="00754DA4">
      <w:pPr>
        <w:rPr>
          <w:sz w:val="24"/>
          <w:szCs w:val="24"/>
        </w:rPr>
      </w:pPr>
    </w:p>
    <w:p w14:paraId="57EF1427" w14:textId="77777777" w:rsidR="00754DA4" w:rsidRDefault="00754DA4" w:rsidP="00754DA4">
      <w:pPr>
        <w:rPr>
          <w:sz w:val="24"/>
          <w:szCs w:val="24"/>
        </w:rPr>
      </w:pPr>
    </w:p>
    <w:p w14:paraId="303CF6B6" w14:textId="77777777" w:rsidR="00754DA4" w:rsidRDefault="00754DA4" w:rsidP="00754DA4">
      <w:pPr>
        <w:rPr>
          <w:sz w:val="24"/>
          <w:szCs w:val="24"/>
        </w:rPr>
      </w:pPr>
    </w:p>
    <w:p w14:paraId="549B628F" w14:textId="77777777" w:rsidR="00754DA4" w:rsidRDefault="00754DA4" w:rsidP="00754DA4">
      <w:pPr>
        <w:rPr>
          <w:sz w:val="24"/>
          <w:szCs w:val="24"/>
        </w:rPr>
      </w:pPr>
    </w:p>
    <w:p w14:paraId="53ECACBD" w14:textId="77777777" w:rsidR="00754DA4" w:rsidRDefault="00754DA4" w:rsidP="00754DA4">
      <w:pPr>
        <w:rPr>
          <w:sz w:val="24"/>
          <w:szCs w:val="24"/>
        </w:rPr>
      </w:pPr>
    </w:p>
    <w:p w14:paraId="0B54B231" w14:textId="77777777" w:rsidR="00754DA4" w:rsidRDefault="00754DA4" w:rsidP="00754DA4">
      <w:pPr>
        <w:rPr>
          <w:sz w:val="24"/>
          <w:szCs w:val="24"/>
        </w:rPr>
      </w:pPr>
    </w:p>
    <w:p w14:paraId="2458C893" w14:textId="77777777" w:rsidR="00754DA4" w:rsidRDefault="00754DA4" w:rsidP="00754DA4">
      <w:pPr>
        <w:rPr>
          <w:sz w:val="24"/>
          <w:szCs w:val="24"/>
        </w:rPr>
      </w:pPr>
    </w:p>
    <w:p w14:paraId="6BED6199" w14:textId="77777777" w:rsidR="00754DA4" w:rsidRDefault="00754DA4" w:rsidP="00754DA4">
      <w:pPr>
        <w:rPr>
          <w:sz w:val="24"/>
          <w:szCs w:val="24"/>
        </w:rPr>
      </w:pPr>
    </w:p>
    <w:p w14:paraId="266D54E9" w14:textId="77777777" w:rsidR="00754DA4" w:rsidRDefault="00754DA4" w:rsidP="00754DA4">
      <w:pPr>
        <w:rPr>
          <w:sz w:val="24"/>
          <w:szCs w:val="24"/>
        </w:rPr>
      </w:pPr>
    </w:p>
    <w:p w14:paraId="1EB7CDE3" w14:textId="77777777" w:rsidR="00754DA4" w:rsidRDefault="00754DA4" w:rsidP="00754DA4">
      <w:pPr>
        <w:rPr>
          <w:sz w:val="24"/>
          <w:szCs w:val="24"/>
        </w:rPr>
      </w:pPr>
    </w:p>
    <w:p w14:paraId="33070528" w14:textId="77777777" w:rsidR="00754DA4" w:rsidRDefault="00754DA4" w:rsidP="00754DA4">
      <w:pPr>
        <w:rPr>
          <w:sz w:val="24"/>
          <w:szCs w:val="24"/>
        </w:rPr>
      </w:pPr>
    </w:p>
    <w:p w14:paraId="35D0235A" w14:textId="77777777" w:rsidR="00754DA4" w:rsidRDefault="00754DA4" w:rsidP="00754DA4">
      <w:pPr>
        <w:rPr>
          <w:sz w:val="24"/>
          <w:szCs w:val="24"/>
        </w:rPr>
      </w:pPr>
    </w:p>
    <w:p w14:paraId="5C53DF96" w14:textId="2F5DA001" w:rsidR="00F93F43" w:rsidRDefault="004046D4" w:rsidP="00754DA4">
      <w:pPr>
        <w:rPr>
          <w:sz w:val="24"/>
          <w:szCs w:val="24"/>
        </w:rPr>
      </w:pPr>
      <w:r>
        <w:rPr>
          <w:sz w:val="24"/>
          <w:szCs w:val="24"/>
        </w:rPr>
        <w:t>The legal profession has been considered throughout history to be “an exclusive club of white middle-class men”</w:t>
      </w:r>
      <w:r w:rsidR="00241355" w:rsidRPr="00241355">
        <w:t xml:space="preserve"> </w:t>
      </w:r>
      <w:r w:rsidR="00241355" w:rsidRPr="00241355">
        <w:rPr>
          <w:sz w:val="24"/>
          <w:szCs w:val="24"/>
        </w:rPr>
        <w:t>(Nicolson</w:t>
      </w:r>
      <w:r w:rsidR="00241355">
        <w:rPr>
          <w:sz w:val="24"/>
          <w:szCs w:val="24"/>
        </w:rPr>
        <w:t>,</w:t>
      </w:r>
      <w:r>
        <w:rPr>
          <w:sz w:val="24"/>
          <w:szCs w:val="24"/>
        </w:rPr>
        <w:t xml:space="preserve"> p. 201). Nevertheless, throughout time, the profession has developed in order to allow professionals of all backgrounds and characteristics to qualify within the field. The Equality Act 2010 (hereinafter referred to </w:t>
      </w:r>
      <w:r w:rsidR="00241355">
        <w:rPr>
          <w:sz w:val="24"/>
          <w:szCs w:val="24"/>
        </w:rPr>
        <w:t>as</w:t>
      </w:r>
      <w:r>
        <w:rPr>
          <w:sz w:val="24"/>
          <w:szCs w:val="24"/>
        </w:rPr>
        <w:t xml:space="preserve"> “the 2010 Act”) requires that “all workers and job applicants must be treated </w:t>
      </w:r>
      <w:r w:rsidR="00F45544">
        <w:rPr>
          <w:sz w:val="24"/>
          <w:szCs w:val="24"/>
        </w:rPr>
        <w:t>equally</w:t>
      </w:r>
      <w:r>
        <w:rPr>
          <w:sz w:val="24"/>
          <w:szCs w:val="24"/>
        </w:rPr>
        <w:t xml:space="preserve"> and be given the same set of opportunities”. </w:t>
      </w:r>
      <w:r w:rsidR="00241355" w:rsidRPr="00241355">
        <w:rPr>
          <w:sz w:val="24"/>
          <w:szCs w:val="24"/>
        </w:rPr>
        <w:t xml:space="preserve">For this reason, the 2010 Act is considered </w:t>
      </w:r>
      <w:r w:rsidR="00F45544">
        <w:rPr>
          <w:sz w:val="24"/>
          <w:szCs w:val="24"/>
        </w:rPr>
        <w:t xml:space="preserve">one of the most important and challenging pieces of legislation in the last decades </w:t>
      </w:r>
      <w:r w:rsidR="00241355" w:rsidRPr="00241355">
        <w:rPr>
          <w:sz w:val="24"/>
          <w:szCs w:val="24"/>
        </w:rPr>
        <w:t>(Davies et al.</w:t>
      </w:r>
      <w:r w:rsidR="00DA4CDD">
        <w:rPr>
          <w:sz w:val="24"/>
          <w:szCs w:val="24"/>
        </w:rPr>
        <w:t>, 2016</w:t>
      </w:r>
      <w:r w:rsidR="00241355" w:rsidRPr="00241355">
        <w:rPr>
          <w:sz w:val="24"/>
          <w:szCs w:val="24"/>
        </w:rPr>
        <w:t>)</w:t>
      </w:r>
      <w:r w:rsidR="00F45544">
        <w:rPr>
          <w:sz w:val="24"/>
          <w:szCs w:val="24"/>
        </w:rPr>
        <w:t xml:space="preserve">. The legal profession and those regulating it have heavily accentuated the need for diversity within the profession in order to make the profession more accessible and to provide improved legal services. A result of the high need </w:t>
      </w:r>
      <w:r w:rsidR="00CC4929">
        <w:rPr>
          <w:sz w:val="24"/>
          <w:szCs w:val="24"/>
        </w:rPr>
        <w:t>for</w:t>
      </w:r>
      <w:r w:rsidR="00F45544">
        <w:rPr>
          <w:sz w:val="24"/>
          <w:szCs w:val="24"/>
        </w:rPr>
        <w:t xml:space="preserve"> diversity resulted in the Solicitors Regulation Authority (hereinafter referred to as the “SRA”’) having permanently included in its Code of Conduct the need for equality, diversity, and inclusion within Principle 6 of the Code.</w:t>
      </w:r>
    </w:p>
    <w:p w14:paraId="6FEB1456" w14:textId="0B3148BC" w:rsidR="00F45544" w:rsidRDefault="00015C5C" w:rsidP="00DA4CDD">
      <w:pPr>
        <w:spacing w:line="360" w:lineRule="auto"/>
        <w:rPr>
          <w:sz w:val="24"/>
          <w:szCs w:val="24"/>
        </w:rPr>
      </w:pPr>
      <w:r>
        <w:rPr>
          <w:sz w:val="24"/>
          <w:szCs w:val="24"/>
        </w:rPr>
        <w:t xml:space="preserve">The three main elements promoted by the SRA </w:t>
      </w:r>
      <w:r w:rsidR="00F96D0E">
        <w:rPr>
          <w:sz w:val="24"/>
          <w:szCs w:val="24"/>
        </w:rPr>
        <w:t xml:space="preserve">are equality, diversity, and inclusion (EDI). Equality is considered to be the state of being equal to others and ensuring that everyone is treated fairly </w:t>
      </w:r>
      <w:r w:rsidR="00241355">
        <w:rPr>
          <w:sz w:val="24"/>
          <w:szCs w:val="24"/>
        </w:rPr>
        <w:t>so that</w:t>
      </w:r>
      <w:r w:rsidR="00F96D0E">
        <w:rPr>
          <w:sz w:val="24"/>
          <w:szCs w:val="24"/>
        </w:rPr>
        <w:t xml:space="preserve"> each individual’s life and talents can achieve their best outcome. Diversity refers to placing a positive value on differences in order to appreciate everyone’s different strengths and backgrounds. Lastly, inclusion is classified as </w:t>
      </w:r>
      <w:r w:rsidR="00CC4929">
        <w:rPr>
          <w:sz w:val="24"/>
          <w:szCs w:val="24"/>
        </w:rPr>
        <w:t>a</w:t>
      </w:r>
      <w:r w:rsidR="00F96D0E">
        <w:rPr>
          <w:sz w:val="24"/>
          <w:szCs w:val="24"/>
        </w:rPr>
        <w:t xml:space="preserve"> universal human right where each person’s personal attributes are embraced, and there are no barriers to their opportunities. All these key elements are important for the purpose of this essay because this essay will highlight how the legal profession has evolved through time in order to accept these beliefs and practices, </w:t>
      </w:r>
      <w:r w:rsidR="00CC4929">
        <w:rPr>
          <w:sz w:val="24"/>
          <w:szCs w:val="24"/>
        </w:rPr>
        <w:t>and</w:t>
      </w:r>
      <w:r w:rsidR="00F96D0E">
        <w:rPr>
          <w:sz w:val="24"/>
          <w:szCs w:val="24"/>
        </w:rPr>
        <w:t xml:space="preserve"> how there is </w:t>
      </w:r>
      <w:r w:rsidR="00CC4929">
        <w:rPr>
          <w:sz w:val="24"/>
          <w:szCs w:val="24"/>
        </w:rPr>
        <w:t xml:space="preserve">much improvement to be made. </w:t>
      </w:r>
    </w:p>
    <w:p w14:paraId="58149F95" w14:textId="6C960EE4" w:rsidR="0002312B" w:rsidRDefault="00CC4929" w:rsidP="00DA4CDD">
      <w:pPr>
        <w:spacing w:line="360" w:lineRule="auto"/>
        <w:rPr>
          <w:sz w:val="24"/>
          <w:szCs w:val="24"/>
        </w:rPr>
      </w:pPr>
      <w:r>
        <w:rPr>
          <w:sz w:val="24"/>
          <w:szCs w:val="24"/>
        </w:rPr>
        <w:t>One of the major issues within the legal profession has always been the problem surrounding social class, especially in high-earning firms (</w:t>
      </w:r>
      <w:r w:rsidR="00182468" w:rsidRPr="00182468">
        <w:rPr>
          <w:sz w:val="24"/>
          <w:szCs w:val="24"/>
        </w:rPr>
        <w:t>Ashley</w:t>
      </w:r>
      <w:r w:rsidR="00182468">
        <w:rPr>
          <w:sz w:val="24"/>
          <w:szCs w:val="24"/>
        </w:rPr>
        <w:t>,</w:t>
      </w:r>
      <w:r w:rsidR="00DA4CDD">
        <w:rPr>
          <w:sz w:val="24"/>
          <w:szCs w:val="24"/>
        </w:rPr>
        <w:t xml:space="preserve"> 2010,</w:t>
      </w:r>
      <w:r w:rsidR="00182468">
        <w:rPr>
          <w:sz w:val="24"/>
          <w:szCs w:val="24"/>
        </w:rPr>
        <w:t xml:space="preserve"> </w:t>
      </w:r>
      <w:r>
        <w:rPr>
          <w:sz w:val="24"/>
          <w:szCs w:val="24"/>
        </w:rPr>
        <w:t xml:space="preserve">p. 712). Ashley </w:t>
      </w:r>
      <w:r w:rsidR="00182468">
        <w:rPr>
          <w:sz w:val="24"/>
          <w:szCs w:val="24"/>
        </w:rPr>
        <w:t>(</w:t>
      </w:r>
      <w:r w:rsidR="00DA4CDD">
        <w:rPr>
          <w:sz w:val="24"/>
          <w:szCs w:val="24"/>
        </w:rPr>
        <w:t xml:space="preserve">2010, </w:t>
      </w:r>
      <w:r w:rsidR="00182468">
        <w:rPr>
          <w:sz w:val="24"/>
          <w:szCs w:val="24"/>
        </w:rPr>
        <w:t>p. 714 – 723)</w:t>
      </w:r>
      <w:r w:rsidR="00182468">
        <w:rPr>
          <w:sz w:val="24"/>
          <w:szCs w:val="24"/>
        </w:rPr>
        <w:t xml:space="preserve"> </w:t>
      </w:r>
      <w:r>
        <w:rPr>
          <w:sz w:val="24"/>
          <w:szCs w:val="24"/>
        </w:rPr>
        <w:t xml:space="preserve">recognised that although diversity has been encouraged and introduced in </w:t>
      </w:r>
      <w:r>
        <w:rPr>
          <w:sz w:val="24"/>
          <w:szCs w:val="24"/>
        </w:rPr>
        <w:lastRenderedPageBreak/>
        <w:t xml:space="preserve">workplaces across UK, especially through legislation and obligations, these do not prove sufficient to </w:t>
      </w:r>
      <w:r w:rsidR="002A29F8">
        <w:rPr>
          <w:sz w:val="24"/>
          <w:szCs w:val="24"/>
        </w:rPr>
        <w:t xml:space="preserve">resolve the deeply entrenched attitudes and organisational issues which pose a barrier to traditionally unrepresented groups. Social mobility is especially heavily impacted due to inequality, especially within elite professions, regardless of growing activism for equality and opportunity (Ashley, </w:t>
      </w:r>
      <w:r w:rsidR="00DA4CDD">
        <w:rPr>
          <w:sz w:val="24"/>
          <w:szCs w:val="24"/>
        </w:rPr>
        <w:t xml:space="preserve">2010, </w:t>
      </w:r>
      <w:r w:rsidR="002A29F8">
        <w:rPr>
          <w:sz w:val="24"/>
          <w:szCs w:val="24"/>
        </w:rPr>
        <w:t xml:space="preserve">p. 724). </w:t>
      </w:r>
      <w:r w:rsidR="009E5ABE">
        <w:rPr>
          <w:sz w:val="24"/>
          <w:szCs w:val="24"/>
        </w:rPr>
        <w:t>Although there is discrimination and inequality based on many attributes and characteristics, the most visible problems are those arising due to class, gender, and race</w:t>
      </w:r>
      <w:r w:rsidR="0002312B">
        <w:rPr>
          <w:sz w:val="24"/>
          <w:szCs w:val="24"/>
        </w:rPr>
        <w:t xml:space="preserve">, thus these are the focuses of studies and most solutions to those problems </w:t>
      </w:r>
      <w:r w:rsidR="009E5ABE">
        <w:rPr>
          <w:sz w:val="24"/>
          <w:szCs w:val="24"/>
        </w:rPr>
        <w:t>(Nicolson, 2005, p. 202)</w:t>
      </w:r>
      <w:r w:rsidR="0002312B">
        <w:rPr>
          <w:sz w:val="24"/>
          <w:szCs w:val="24"/>
        </w:rPr>
        <w:t xml:space="preserve">. </w:t>
      </w:r>
    </w:p>
    <w:p w14:paraId="0054A6F3" w14:textId="1FD13996" w:rsidR="0002312B" w:rsidRDefault="0002312B" w:rsidP="00DA4CDD">
      <w:pPr>
        <w:spacing w:line="360" w:lineRule="auto"/>
        <w:rPr>
          <w:sz w:val="24"/>
          <w:szCs w:val="24"/>
        </w:rPr>
      </w:pPr>
      <w:r>
        <w:rPr>
          <w:sz w:val="24"/>
          <w:szCs w:val="24"/>
        </w:rPr>
        <w:t xml:space="preserve">Nicolson argues that for a profession whose main focus is to ensure access to justice and to “uphold people’s rights without fear or favour”, it is highly hypocritical to ignore the right to equal treatment and the principle of distributive justice in its own internal affairs (2005, p. 201). The case for diversity here is that it improves the administration and access to legal services, hence improving the service all around. </w:t>
      </w:r>
      <w:r w:rsidR="00013E04">
        <w:rPr>
          <w:sz w:val="24"/>
          <w:szCs w:val="24"/>
        </w:rPr>
        <w:t xml:space="preserve">The legal profession is extensively focused on its ethics and upholding those ethical principles throughout its practice, thus providing an </w:t>
      </w:r>
      <w:r w:rsidR="00DA4CDD">
        <w:rPr>
          <w:sz w:val="24"/>
          <w:szCs w:val="24"/>
        </w:rPr>
        <w:t>improved and extensive service fulfils the profession’s ethical principles</w:t>
      </w:r>
      <w:r w:rsidR="00013E04">
        <w:rPr>
          <w:sz w:val="24"/>
          <w:szCs w:val="24"/>
        </w:rPr>
        <w:t xml:space="preserve"> in many areas (Nicolson, 2005, p. 217).</w:t>
      </w:r>
    </w:p>
    <w:p w14:paraId="797AF856" w14:textId="4CBC8130" w:rsidR="00013E04" w:rsidRDefault="00013E04" w:rsidP="00DA4CDD">
      <w:pPr>
        <w:spacing w:line="360" w:lineRule="auto"/>
        <w:rPr>
          <w:sz w:val="24"/>
          <w:szCs w:val="24"/>
        </w:rPr>
      </w:pPr>
      <w:r>
        <w:rPr>
          <w:sz w:val="24"/>
          <w:szCs w:val="24"/>
        </w:rPr>
        <w:t xml:space="preserve">The way diversity and equality </w:t>
      </w:r>
      <w:r w:rsidR="004B0D0F">
        <w:rPr>
          <w:sz w:val="24"/>
          <w:szCs w:val="24"/>
        </w:rPr>
        <w:t>improve</w:t>
      </w:r>
      <w:r>
        <w:rPr>
          <w:sz w:val="24"/>
          <w:szCs w:val="24"/>
        </w:rPr>
        <w:t xml:space="preserve"> legal services is because having </w:t>
      </w:r>
      <w:r w:rsidR="004B0D0F">
        <w:rPr>
          <w:sz w:val="24"/>
          <w:szCs w:val="24"/>
        </w:rPr>
        <w:t>professionals</w:t>
      </w:r>
      <w:r>
        <w:rPr>
          <w:sz w:val="24"/>
          <w:szCs w:val="24"/>
        </w:rPr>
        <w:t xml:space="preserve"> with different characteristics and from different </w:t>
      </w:r>
      <w:r w:rsidR="004B0D0F">
        <w:rPr>
          <w:sz w:val="24"/>
          <w:szCs w:val="24"/>
        </w:rPr>
        <w:t>backgrounds</w:t>
      </w:r>
      <w:r>
        <w:rPr>
          <w:sz w:val="24"/>
          <w:szCs w:val="24"/>
        </w:rPr>
        <w:t xml:space="preserve"> enables clients to be represented by someone with whom they identify (Nicolson, 2005, p. 217). Clients would prefer to be represented by someone who is familiar with “their accent, way of speaking, social milieu, and who accordingly is far more likely to understand their problems and empathise with them” </w:t>
      </w:r>
      <w:r w:rsidRPr="00AB7E10">
        <w:rPr>
          <w:sz w:val="24"/>
          <w:szCs w:val="24"/>
        </w:rPr>
        <w:t>(</w:t>
      </w:r>
      <w:r>
        <w:rPr>
          <w:sz w:val="24"/>
          <w:szCs w:val="24"/>
        </w:rPr>
        <w:t xml:space="preserve">Nicolson, 2005, p. 217 citing </w:t>
      </w:r>
      <w:r w:rsidRPr="00AB7E10">
        <w:rPr>
          <w:sz w:val="24"/>
          <w:szCs w:val="24"/>
        </w:rPr>
        <w:t>Report of the Committee on Legal Education, 1971, p. 41; Royal Commission on Legal Services in Scotland, 1980, pp. 244–245; Hing, 1993; Cunningham, 1992)</w:t>
      </w:r>
      <w:r>
        <w:rPr>
          <w:sz w:val="24"/>
          <w:szCs w:val="24"/>
        </w:rPr>
        <w:t xml:space="preserve">. </w:t>
      </w:r>
      <w:r w:rsidR="004B0D0F">
        <w:rPr>
          <w:sz w:val="24"/>
          <w:szCs w:val="24"/>
        </w:rPr>
        <w:t>For instance, one of the most obvious examples is female clients would prefer a female lawyer, especially when dealing with highly sensitive topics such as sexual abus</w:t>
      </w:r>
      <w:r w:rsidR="00DA4CDD">
        <w:rPr>
          <w:sz w:val="24"/>
          <w:szCs w:val="24"/>
        </w:rPr>
        <w:t>e and</w:t>
      </w:r>
      <w:r w:rsidR="004B0D0F">
        <w:rPr>
          <w:sz w:val="24"/>
          <w:szCs w:val="24"/>
        </w:rPr>
        <w:t xml:space="preserve"> domestic abus</w:t>
      </w:r>
      <w:r w:rsidR="00DA4CDD">
        <w:rPr>
          <w:sz w:val="24"/>
          <w:szCs w:val="24"/>
        </w:rPr>
        <w:t>e</w:t>
      </w:r>
      <w:r w:rsidR="004B0D0F">
        <w:rPr>
          <w:sz w:val="24"/>
          <w:szCs w:val="24"/>
        </w:rPr>
        <w:t>. Another example is where a traditional lawyer coming from a middle-class background impose</w:t>
      </w:r>
      <w:r w:rsidR="00DA4CDD">
        <w:rPr>
          <w:sz w:val="24"/>
          <w:szCs w:val="24"/>
        </w:rPr>
        <w:t>s</w:t>
      </w:r>
      <w:r w:rsidR="004B0D0F">
        <w:rPr>
          <w:sz w:val="24"/>
          <w:szCs w:val="24"/>
        </w:rPr>
        <w:t xml:space="preserve"> unwanted and harmful solutions on those from lower backgrounds due to miscomprehension and failure to identify with the problems of clients from such backgrounds (Nicolson, 2005, p. 217). </w:t>
      </w:r>
    </w:p>
    <w:p w14:paraId="1CEDCF95" w14:textId="361197DA" w:rsidR="004B0D0F" w:rsidRDefault="004B0D0F" w:rsidP="00DA4CDD">
      <w:pPr>
        <w:spacing w:line="360" w:lineRule="auto"/>
        <w:rPr>
          <w:sz w:val="24"/>
          <w:szCs w:val="24"/>
        </w:rPr>
      </w:pPr>
      <w:r>
        <w:rPr>
          <w:sz w:val="24"/>
          <w:szCs w:val="24"/>
        </w:rPr>
        <w:t xml:space="preserve">Furthermore, encouraging more diversity within the profession would lead to more care-centred relations between the lawyer and the client. </w:t>
      </w:r>
      <w:r w:rsidR="002D13D8">
        <w:rPr>
          <w:sz w:val="24"/>
          <w:szCs w:val="24"/>
        </w:rPr>
        <w:t xml:space="preserve">It is argued that women lean towards </w:t>
      </w:r>
      <w:r w:rsidR="002D13D8">
        <w:rPr>
          <w:sz w:val="24"/>
          <w:szCs w:val="24"/>
        </w:rPr>
        <w:lastRenderedPageBreak/>
        <w:t xml:space="preserve">an ethic of care mainly based on empathy and connection with others, as well as attention to context and the individuality of each party; thus, this would lead women to be more care-oriented legal professionals and offering the legal profession a more “human” side (Nicolson, 2005, p. 217 citing </w:t>
      </w:r>
      <w:r w:rsidR="002D13D8" w:rsidRPr="00DD0F2E">
        <w:rPr>
          <w:sz w:val="24"/>
          <w:szCs w:val="24"/>
        </w:rPr>
        <w:t>Gilligan, 1993a; Noddings, 1984</w:t>
      </w:r>
      <w:r w:rsidR="002D13D8">
        <w:rPr>
          <w:sz w:val="24"/>
          <w:szCs w:val="24"/>
        </w:rPr>
        <w:t xml:space="preserve">).  Moreover, care-oriented lawyers and those who come from other ethnic groups or from a wide range of characteristics would be more open to </w:t>
      </w:r>
      <w:r w:rsidR="00DA4CDD">
        <w:rPr>
          <w:sz w:val="24"/>
          <w:szCs w:val="24"/>
        </w:rPr>
        <w:t>engaging</w:t>
      </w:r>
      <w:r w:rsidR="002D13D8">
        <w:rPr>
          <w:sz w:val="24"/>
          <w:szCs w:val="24"/>
        </w:rPr>
        <w:t xml:space="preserve"> in pro bono legal work, hence serving the vulnerable and needy when they need it the most because they might identify with such groups. </w:t>
      </w:r>
    </w:p>
    <w:p w14:paraId="50B2F173" w14:textId="17B1290A" w:rsidR="002D13D8" w:rsidRDefault="002D13D8" w:rsidP="00DA4CDD">
      <w:pPr>
        <w:spacing w:line="360" w:lineRule="auto"/>
        <w:rPr>
          <w:sz w:val="24"/>
          <w:szCs w:val="24"/>
        </w:rPr>
      </w:pPr>
      <w:r>
        <w:rPr>
          <w:sz w:val="24"/>
          <w:szCs w:val="24"/>
        </w:rPr>
        <w:t xml:space="preserve">Nevertheless, the case for diversity and allowing it to happen on paper does not necessarily mean the legal field can also develop into an equal field. Whilst encouraging diversity within the field for all the reasons and advantages stated above, expecting those from diverse </w:t>
      </w:r>
      <w:r w:rsidR="00DA4CDD">
        <w:rPr>
          <w:sz w:val="24"/>
          <w:szCs w:val="24"/>
        </w:rPr>
        <w:t>backgrounds</w:t>
      </w:r>
      <w:r>
        <w:rPr>
          <w:sz w:val="24"/>
          <w:szCs w:val="24"/>
        </w:rPr>
        <w:t xml:space="preserve"> to carry out such work would intensify the inequality within the field. Pro-bono work or more care-oriented services would place those who practice it in a lower-earning bracket and affect their personal lives, whilst the “traditional” lawyer would be able to progress in their career and not have to carry out any of the other duties </w:t>
      </w:r>
      <w:r w:rsidR="000E7C3F">
        <w:rPr>
          <w:sz w:val="24"/>
          <w:szCs w:val="24"/>
        </w:rPr>
        <w:t>placed</w:t>
      </w:r>
      <w:r>
        <w:rPr>
          <w:sz w:val="24"/>
          <w:szCs w:val="24"/>
        </w:rPr>
        <w:t xml:space="preserve"> on minority lawyers (Nicolson, 2005, p. 219). </w:t>
      </w:r>
    </w:p>
    <w:p w14:paraId="5D9B3E3D" w14:textId="6F4CCE59" w:rsidR="000E7C3F" w:rsidRPr="00991797" w:rsidRDefault="000E7C3F" w:rsidP="00DA4CDD">
      <w:pPr>
        <w:spacing w:line="360" w:lineRule="auto"/>
        <w:rPr>
          <w:sz w:val="24"/>
          <w:szCs w:val="24"/>
        </w:rPr>
      </w:pPr>
      <w:r>
        <w:rPr>
          <w:sz w:val="24"/>
          <w:szCs w:val="24"/>
        </w:rPr>
        <w:t xml:space="preserve">The SRA takes a firm stance on equality, diversity, and inclusion. Principle 6 of the SRA Code of Conduct states that “you act in a way that encourages equality, diversity and inclusion”. Nevertheless, Principle 6 is not the only one concerned with equality, diversity, and inclusion. </w:t>
      </w:r>
      <w:r w:rsidR="00A17080">
        <w:rPr>
          <w:sz w:val="24"/>
          <w:szCs w:val="24"/>
        </w:rPr>
        <w:t xml:space="preserve">For instance, Principle 2 requires a solicitor to uphold the EDI principles because not respecting these can undermine “public trust and confidence in the solicitors’ profession and in legal services provided by authorised persons”. Furthermore, the SRA highlights the need to uphold their Principles in order to benefit the business side of the profession, but also to benefit the clients. This is because having “diverse employees with a range of expertise and experiences shows people that your firm is likely to understand their community and concerns, increasing access to justice” which reiterates the arguments above regarding clients requiring someone with whom they can identify </w:t>
      </w:r>
      <w:r w:rsidR="00DA4CDD" w:rsidRPr="00DA4CDD">
        <w:rPr>
          <w:sz w:val="24"/>
          <w:szCs w:val="24"/>
        </w:rPr>
        <w:t>(Solicitors Regulation Authority</w:t>
      </w:r>
      <w:r w:rsidR="00991797">
        <w:rPr>
          <w:sz w:val="24"/>
          <w:szCs w:val="24"/>
        </w:rPr>
        <w:t xml:space="preserve">, </w:t>
      </w:r>
      <w:r w:rsidR="00991797" w:rsidRPr="00991797">
        <w:rPr>
          <w:sz w:val="24"/>
          <w:szCs w:val="24"/>
        </w:rPr>
        <w:t>2019).</w:t>
      </w:r>
      <w:r w:rsidR="00A17080" w:rsidRPr="00991797">
        <w:rPr>
          <w:sz w:val="24"/>
          <w:szCs w:val="24"/>
        </w:rPr>
        <w:t xml:space="preserve"> </w:t>
      </w:r>
    </w:p>
    <w:p w14:paraId="61562431" w14:textId="451D0149" w:rsidR="00486621" w:rsidRDefault="00486621" w:rsidP="00DA4CDD">
      <w:pPr>
        <w:spacing w:line="360" w:lineRule="auto"/>
        <w:rPr>
          <w:rFonts w:eastAsia="Times New Roman" w:cstheme="minorHAnsi"/>
          <w:kern w:val="0"/>
          <w:sz w:val="24"/>
          <w:szCs w:val="24"/>
          <w:lang w:eastAsia="en-GB"/>
          <w14:ligatures w14:val="none"/>
        </w:rPr>
      </w:pPr>
      <w:r>
        <w:rPr>
          <w:sz w:val="24"/>
          <w:szCs w:val="24"/>
        </w:rPr>
        <w:t xml:space="preserve">The SRA sets out its requirements based on the 2010 Act. The Equality Act 2010 protects the following characteristics: age, disability, gender reassignment, marriage and civil partnership, pregnancy and maternity, race, religion or belief, sex, and sexual orientation. Based on these characteristics, a legal professional has a legal obligation to provide </w:t>
      </w:r>
      <w:r w:rsidRPr="00486621">
        <w:rPr>
          <w:rFonts w:cstheme="minorHAnsi"/>
          <w:sz w:val="24"/>
          <w:szCs w:val="24"/>
        </w:rPr>
        <w:lastRenderedPageBreak/>
        <w:t xml:space="preserve">reasonable </w:t>
      </w:r>
      <w:r w:rsidR="00715E8D">
        <w:rPr>
          <w:rFonts w:cstheme="minorHAnsi"/>
          <w:sz w:val="24"/>
          <w:szCs w:val="24"/>
        </w:rPr>
        <w:t>adjustments</w:t>
      </w:r>
      <w:r w:rsidRPr="00486621">
        <w:rPr>
          <w:rFonts w:cstheme="minorHAnsi"/>
          <w:sz w:val="24"/>
          <w:szCs w:val="24"/>
        </w:rPr>
        <w:t xml:space="preserve"> in order to accommodate anyone with such characteristics</w:t>
      </w:r>
      <w:r w:rsidR="00991797">
        <w:rPr>
          <w:rFonts w:eastAsia="Times New Roman" w:cstheme="minorHAnsi"/>
          <w:kern w:val="0"/>
          <w:sz w:val="24"/>
          <w:szCs w:val="24"/>
          <w:lang w:eastAsia="en-GB"/>
          <w14:ligatures w14:val="none"/>
        </w:rPr>
        <w:t xml:space="preserve"> </w:t>
      </w:r>
      <w:r w:rsidR="00991797" w:rsidRPr="00DA4CDD">
        <w:rPr>
          <w:sz w:val="24"/>
          <w:szCs w:val="24"/>
        </w:rPr>
        <w:t>(Solicitors Regulation Authority</w:t>
      </w:r>
      <w:r w:rsidR="00991797">
        <w:rPr>
          <w:sz w:val="24"/>
          <w:szCs w:val="24"/>
        </w:rPr>
        <w:t xml:space="preserve">, </w:t>
      </w:r>
      <w:r w:rsidR="00991797" w:rsidRPr="00991797">
        <w:rPr>
          <w:sz w:val="24"/>
          <w:szCs w:val="24"/>
        </w:rPr>
        <w:t>2019)</w:t>
      </w:r>
      <w:r w:rsidR="00991797">
        <w:rPr>
          <w:sz w:val="24"/>
          <w:szCs w:val="24"/>
        </w:rPr>
        <w:t>.</w:t>
      </w:r>
      <w:r w:rsidRPr="00486621">
        <w:rPr>
          <w:rFonts w:eastAsia="Times New Roman" w:cstheme="minorHAnsi"/>
          <w:kern w:val="0"/>
          <w:sz w:val="24"/>
          <w:szCs w:val="24"/>
          <w:lang w:eastAsia="en-GB"/>
          <w14:ligatures w14:val="none"/>
        </w:rPr>
        <w:t xml:space="preserve"> </w:t>
      </w:r>
      <w:r>
        <w:rPr>
          <w:rFonts w:eastAsia="Times New Roman" w:cstheme="minorHAnsi"/>
          <w:kern w:val="0"/>
          <w:sz w:val="24"/>
          <w:szCs w:val="24"/>
          <w:lang w:eastAsia="en-GB"/>
          <w14:ligatures w14:val="none"/>
        </w:rPr>
        <w:t xml:space="preserve">Furthermore, legal professionals are expected to encourage diversity at all levels of the </w:t>
      </w:r>
      <w:r w:rsidR="00715E8D">
        <w:rPr>
          <w:rFonts w:eastAsia="Times New Roman" w:cstheme="minorHAnsi"/>
          <w:kern w:val="0"/>
          <w:sz w:val="24"/>
          <w:szCs w:val="24"/>
          <w:lang w:eastAsia="en-GB"/>
          <w14:ligatures w14:val="none"/>
        </w:rPr>
        <w:t>workforce</w:t>
      </w:r>
      <w:r>
        <w:rPr>
          <w:rFonts w:eastAsia="Times New Roman" w:cstheme="minorHAnsi"/>
          <w:kern w:val="0"/>
          <w:sz w:val="24"/>
          <w:szCs w:val="24"/>
          <w:lang w:eastAsia="en-GB"/>
          <w14:ligatures w14:val="none"/>
        </w:rPr>
        <w:t xml:space="preserve">, as well as collect, </w:t>
      </w:r>
      <w:r w:rsidR="00715E8D">
        <w:rPr>
          <w:rFonts w:eastAsia="Times New Roman" w:cstheme="minorHAnsi"/>
          <w:kern w:val="0"/>
          <w:sz w:val="24"/>
          <w:szCs w:val="24"/>
          <w:lang w:eastAsia="en-GB"/>
          <w14:ligatures w14:val="none"/>
        </w:rPr>
        <w:t>report,</w:t>
      </w:r>
      <w:r>
        <w:rPr>
          <w:rFonts w:eastAsia="Times New Roman" w:cstheme="minorHAnsi"/>
          <w:kern w:val="0"/>
          <w:sz w:val="24"/>
          <w:szCs w:val="24"/>
          <w:lang w:eastAsia="en-GB"/>
          <w14:ligatures w14:val="none"/>
        </w:rPr>
        <w:t xml:space="preserve"> and publish data based on the diversity of their workforce. Lastly, </w:t>
      </w:r>
      <w:r w:rsidR="00715E8D">
        <w:rPr>
          <w:rFonts w:eastAsia="Times New Roman" w:cstheme="minorHAnsi"/>
          <w:kern w:val="0"/>
          <w:sz w:val="24"/>
          <w:szCs w:val="24"/>
          <w:lang w:eastAsia="en-GB"/>
          <w14:ligatures w14:val="none"/>
        </w:rPr>
        <w:t xml:space="preserve">the SRA instructs legal professionals that they are responsible for upholding the reputation of the profession in their professional and personal life. These requirements place a great responsibility on legal professionals, and the SRA’s focus on the EDI principles demonstrates how the modern legal profession and its regulation are trying to navigate away from the traditional views of the legal profession. </w:t>
      </w:r>
    </w:p>
    <w:p w14:paraId="6037C44B" w14:textId="7D505CA6" w:rsidR="00991797" w:rsidRDefault="00715E8D" w:rsidP="00DA4CDD">
      <w:p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The history of the legal profession puts the profession in a very dire place in terms of diversity, equality, and inclusion. It is perceived as a profession dominated by middle-class white males with a fee-paying school education. The SRA and its Principles are focused on changing the narrative of the legal profession by encouraging equality and diversity through any professional engagements. Moreover, the diversity element has proven to be highly beneficial for the services provided by the profession. It allows for more care-oriented services, as well as ensuring clients have someone with whom they feel comfortable sharing their problems and accepting solutions. Overall, equality and diversity in the legal profession are on the way to expansion and ensuring it is more accessible for every individual.</w:t>
      </w:r>
    </w:p>
    <w:p w14:paraId="0EFF356F" w14:textId="77777777" w:rsidR="00991797" w:rsidRDefault="00991797">
      <w:p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br w:type="page"/>
      </w:r>
    </w:p>
    <w:p w14:paraId="65BF774B" w14:textId="7D1A62C7" w:rsidR="00715E8D" w:rsidRPr="00991797" w:rsidRDefault="00991797" w:rsidP="00DA4CDD">
      <w:pPr>
        <w:spacing w:line="360" w:lineRule="auto"/>
        <w:rPr>
          <w:rFonts w:cstheme="minorHAnsi"/>
          <w:b/>
          <w:bCs/>
          <w:sz w:val="28"/>
          <w:szCs w:val="28"/>
        </w:rPr>
      </w:pPr>
      <w:r w:rsidRPr="00991797">
        <w:rPr>
          <w:rFonts w:cstheme="minorHAnsi"/>
          <w:b/>
          <w:bCs/>
          <w:sz w:val="28"/>
          <w:szCs w:val="28"/>
        </w:rPr>
        <w:lastRenderedPageBreak/>
        <w:t>Bibliography</w:t>
      </w:r>
    </w:p>
    <w:p w14:paraId="3FC9059B" w14:textId="66E86308" w:rsidR="00A17080" w:rsidRPr="00991797" w:rsidRDefault="00991797" w:rsidP="00DA4CDD">
      <w:pPr>
        <w:spacing w:line="360" w:lineRule="auto"/>
        <w:rPr>
          <w:rFonts w:cstheme="minorHAnsi"/>
          <w:sz w:val="24"/>
          <w:szCs w:val="24"/>
          <w:u w:val="single"/>
        </w:rPr>
      </w:pPr>
      <w:r w:rsidRPr="00991797">
        <w:rPr>
          <w:rFonts w:cstheme="minorHAnsi"/>
          <w:sz w:val="24"/>
          <w:szCs w:val="24"/>
          <w:u w:val="single"/>
        </w:rPr>
        <w:t xml:space="preserve">Primacy sources </w:t>
      </w:r>
    </w:p>
    <w:p w14:paraId="44FF29DA" w14:textId="5B8F6412" w:rsidR="00991797" w:rsidRDefault="00991797" w:rsidP="00581921">
      <w:pPr>
        <w:tabs>
          <w:tab w:val="left" w:pos="2304"/>
        </w:tabs>
        <w:spacing w:line="360" w:lineRule="auto"/>
        <w:rPr>
          <w:rFonts w:cstheme="minorHAnsi"/>
          <w:sz w:val="24"/>
          <w:szCs w:val="24"/>
        </w:rPr>
      </w:pPr>
      <w:r>
        <w:rPr>
          <w:rFonts w:cstheme="minorHAnsi"/>
          <w:sz w:val="24"/>
          <w:szCs w:val="24"/>
        </w:rPr>
        <w:t>Equality Act 2010</w:t>
      </w:r>
      <w:r w:rsidR="00581921">
        <w:rPr>
          <w:rFonts w:cstheme="minorHAnsi"/>
          <w:sz w:val="24"/>
          <w:szCs w:val="24"/>
        </w:rPr>
        <w:tab/>
      </w:r>
    </w:p>
    <w:p w14:paraId="1A4362CD" w14:textId="52A9310D" w:rsidR="00581921" w:rsidRDefault="00581921" w:rsidP="00581921">
      <w:pPr>
        <w:tabs>
          <w:tab w:val="left" w:pos="2304"/>
        </w:tabs>
        <w:spacing w:line="360" w:lineRule="auto"/>
        <w:rPr>
          <w:rFonts w:cstheme="minorHAnsi"/>
          <w:sz w:val="24"/>
          <w:szCs w:val="24"/>
        </w:rPr>
      </w:pPr>
      <w:r>
        <w:rPr>
          <w:rFonts w:cstheme="minorHAnsi"/>
          <w:sz w:val="24"/>
          <w:szCs w:val="24"/>
        </w:rPr>
        <w:t>Solicitors Regulation Authority Code of Conduct</w:t>
      </w:r>
    </w:p>
    <w:p w14:paraId="5950BF57" w14:textId="118345C3" w:rsidR="00991797" w:rsidRPr="00991797" w:rsidRDefault="00991797" w:rsidP="00DA4CDD">
      <w:pPr>
        <w:spacing w:line="360" w:lineRule="auto"/>
        <w:rPr>
          <w:rFonts w:cstheme="minorHAnsi"/>
          <w:sz w:val="24"/>
          <w:szCs w:val="24"/>
          <w:u w:val="single"/>
        </w:rPr>
      </w:pPr>
      <w:r w:rsidRPr="00991797">
        <w:rPr>
          <w:rFonts w:cstheme="minorHAnsi"/>
          <w:sz w:val="24"/>
          <w:szCs w:val="24"/>
          <w:u w:val="single"/>
        </w:rPr>
        <w:t>Secondary sources</w:t>
      </w:r>
    </w:p>
    <w:p w14:paraId="417F823A" w14:textId="77777777" w:rsidR="00991797" w:rsidRPr="00581921" w:rsidRDefault="00991797" w:rsidP="00581921">
      <w:pPr>
        <w:spacing w:line="360" w:lineRule="auto"/>
        <w:rPr>
          <w:sz w:val="24"/>
          <w:szCs w:val="24"/>
        </w:rPr>
      </w:pPr>
      <w:r w:rsidRPr="00581921">
        <w:rPr>
          <w:sz w:val="24"/>
          <w:szCs w:val="24"/>
        </w:rPr>
        <w:t xml:space="preserve">Ashley, Louise. “Making a Difference? The Use (and Abuse) of Diversity Management at the UK’s Elite Law Firms.” </w:t>
      </w:r>
      <w:r w:rsidRPr="00581921">
        <w:rPr>
          <w:i/>
          <w:iCs/>
          <w:sz w:val="24"/>
          <w:szCs w:val="24"/>
        </w:rPr>
        <w:t>Work, Employment and Society</w:t>
      </w:r>
      <w:r w:rsidRPr="00581921">
        <w:rPr>
          <w:sz w:val="24"/>
          <w:szCs w:val="24"/>
        </w:rPr>
        <w:t>, vol. 24, no. 4, Dec. 2010, pp. 711–727, https://doi.org/10.1177/0950017010380639.</w:t>
      </w:r>
    </w:p>
    <w:p w14:paraId="22332C83" w14:textId="77777777" w:rsidR="00991797" w:rsidRPr="00581921" w:rsidRDefault="00991797" w:rsidP="00581921">
      <w:pPr>
        <w:spacing w:line="360" w:lineRule="auto"/>
        <w:rPr>
          <w:sz w:val="24"/>
          <w:szCs w:val="24"/>
        </w:rPr>
      </w:pPr>
      <w:r w:rsidRPr="00581921">
        <w:rPr>
          <w:sz w:val="24"/>
          <w:szCs w:val="24"/>
        </w:rPr>
        <w:t xml:space="preserve">Barmes, Lizzie, and Kate Malleson. “The Legal Profession as Gatekeeper to the Judiciary: Design Faults in Measures to Enhance Diversity.” </w:t>
      </w:r>
      <w:r w:rsidRPr="00581921">
        <w:rPr>
          <w:i/>
          <w:iCs/>
          <w:sz w:val="24"/>
          <w:szCs w:val="24"/>
        </w:rPr>
        <w:t>The Modern Law Review</w:t>
      </w:r>
      <w:r w:rsidRPr="00581921">
        <w:rPr>
          <w:sz w:val="24"/>
          <w:szCs w:val="24"/>
        </w:rPr>
        <w:t>, vol. 74, no. 2, Mar. 2011, pp. 245–271, https://doi.org/10.1111/j.1468-2230.2011.00845.x.</w:t>
      </w:r>
    </w:p>
    <w:p w14:paraId="3CF3E405" w14:textId="77777777" w:rsidR="00991797" w:rsidRPr="00581921" w:rsidRDefault="00991797" w:rsidP="00581921">
      <w:pPr>
        <w:spacing w:line="360" w:lineRule="auto"/>
        <w:rPr>
          <w:sz w:val="24"/>
          <w:szCs w:val="24"/>
        </w:rPr>
      </w:pPr>
      <w:r w:rsidRPr="00581921">
        <w:rPr>
          <w:sz w:val="24"/>
          <w:szCs w:val="24"/>
        </w:rPr>
        <w:t xml:space="preserve">Brenner, Hannah. “Expanding the Pathways to Gender Equality in the Legal Profession.” </w:t>
      </w:r>
      <w:r w:rsidRPr="00581921">
        <w:rPr>
          <w:i/>
          <w:iCs/>
          <w:sz w:val="24"/>
          <w:szCs w:val="24"/>
        </w:rPr>
        <w:t>Legal Ethics</w:t>
      </w:r>
      <w:r w:rsidRPr="00581921">
        <w:rPr>
          <w:sz w:val="24"/>
          <w:szCs w:val="24"/>
        </w:rPr>
        <w:t>, vol. 17, no. 2, 11 Sept. 2014, pp. 261–280, digitalcommons.law.msu.edu/cgi/viewcontent.cgi?article=1512&amp;context=facpubs, https://doi.org/10.5235/1460728x.17.2.261.</w:t>
      </w:r>
    </w:p>
    <w:p w14:paraId="2521BE15" w14:textId="77777777" w:rsidR="00991797" w:rsidRPr="00581921" w:rsidRDefault="00991797" w:rsidP="00581921">
      <w:pPr>
        <w:spacing w:line="360" w:lineRule="auto"/>
        <w:rPr>
          <w:sz w:val="24"/>
          <w:szCs w:val="24"/>
        </w:rPr>
      </w:pPr>
      <w:r w:rsidRPr="00581921">
        <w:rPr>
          <w:sz w:val="24"/>
          <w:szCs w:val="24"/>
        </w:rPr>
        <w:t xml:space="preserve">Davies, Chantal, et al. “The Equality Act 2010: Five Years On.” </w:t>
      </w:r>
      <w:r w:rsidRPr="00581921">
        <w:rPr>
          <w:i/>
          <w:iCs/>
          <w:sz w:val="24"/>
          <w:szCs w:val="24"/>
        </w:rPr>
        <w:t>International Journal of Discrimination and the Law</w:t>
      </w:r>
      <w:r w:rsidRPr="00581921">
        <w:rPr>
          <w:sz w:val="24"/>
          <w:szCs w:val="24"/>
        </w:rPr>
        <w:t>, vol. 16, no. 2-3, June 2016, pp. 61–65, https://doi.org/10.1177/1358229116655645.</w:t>
      </w:r>
    </w:p>
    <w:p w14:paraId="6EABB7C3" w14:textId="77777777" w:rsidR="00991797" w:rsidRPr="00581921" w:rsidRDefault="00991797" w:rsidP="00581921">
      <w:pPr>
        <w:spacing w:line="360" w:lineRule="auto"/>
        <w:rPr>
          <w:sz w:val="24"/>
          <w:szCs w:val="24"/>
        </w:rPr>
      </w:pPr>
      <w:r w:rsidRPr="00581921">
        <w:rPr>
          <w:sz w:val="24"/>
          <w:szCs w:val="24"/>
        </w:rPr>
        <w:t xml:space="preserve">Francis, Andrew. ““I’m Not One of Those Women’s Libber Type People But...”: Gender, Class and Professional Power within the Third Branch of the English Legal Profession.” </w:t>
      </w:r>
      <w:r w:rsidRPr="00581921">
        <w:rPr>
          <w:i/>
          <w:iCs/>
          <w:sz w:val="24"/>
          <w:szCs w:val="24"/>
        </w:rPr>
        <w:t>Social &amp; Legal Studies</w:t>
      </w:r>
      <w:r w:rsidRPr="00581921">
        <w:rPr>
          <w:sz w:val="24"/>
          <w:szCs w:val="24"/>
        </w:rPr>
        <w:t>, vol. 15, no. 4, Dec. 2006, pp. 475–493, https://doi.org/10.1177/0964663906066619.</w:t>
      </w:r>
    </w:p>
    <w:p w14:paraId="2C147A63" w14:textId="77777777" w:rsidR="00991797" w:rsidRPr="00581921" w:rsidRDefault="00991797" w:rsidP="00581921">
      <w:pPr>
        <w:spacing w:line="360" w:lineRule="auto"/>
        <w:rPr>
          <w:sz w:val="24"/>
          <w:szCs w:val="24"/>
        </w:rPr>
      </w:pPr>
      <w:r w:rsidRPr="00581921">
        <w:rPr>
          <w:sz w:val="24"/>
          <w:szCs w:val="24"/>
        </w:rPr>
        <w:t xml:space="preserve">Guyard-Nedelec, Alexandrine. “A Legal Maternal Wall? No Revolution in Motherhood for Women Lawyers in England.” </w:t>
      </w:r>
      <w:r w:rsidRPr="00581921">
        <w:rPr>
          <w:i/>
          <w:iCs/>
          <w:sz w:val="24"/>
          <w:szCs w:val="24"/>
        </w:rPr>
        <w:t>Revue Française de Civilisation Britannique</w:t>
      </w:r>
      <w:r w:rsidRPr="00581921">
        <w:rPr>
          <w:sz w:val="24"/>
          <w:szCs w:val="24"/>
        </w:rPr>
        <w:t>, vol. 23, no. 1, 15 Mar. 2018, https://doi.org/10.4000/rfcb.1859. Accessed 6 Jan. 2022.</w:t>
      </w:r>
    </w:p>
    <w:p w14:paraId="4036FD3B" w14:textId="77777777" w:rsidR="00581921" w:rsidRPr="00581921" w:rsidRDefault="00581921" w:rsidP="00581921">
      <w:pPr>
        <w:spacing w:line="360" w:lineRule="auto"/>
        <w:rPr>
          <w:sz w:val="24"/>
          <w:szCs w:val="24"/>
        </w:rPr>
      </w:pPr>
      <w:r w:rsidRPr="00581921">
        <w:rPr>
          <w:sz w:val="24"/>
          <w:szCs w:val="24"/>
        </w:rPr>
        <w:lastRenderedPageBreak/>
        <w:t xml:space="preserve">Nicolson, Donald. “Demography, Discrimination and Diversity: A New Dawn for the British Legal Profession?” </w:t>
      </w:r>
      <w:r w:rsidRPr="00581921">
        <w:rPr>
          <w:i/>
          <w:iCs/>
          <w:sz w:val="24"/>
          <w:szCs w:val="24"/>
        </w:rPr>
        <w:t>International Journal of the Legal Profession</w:t>
      </w:r>
      <w:r w:rsidRPr="00581921">
        <w:rPr>
          <w:sz w:val="24"/>
          <w:szCs w:val="24"/>
        </w:rPr>
        <w:t>, vol. 12, no. 2, July 2005, pp. 201–228, https://doi.org/10.1080/09695950500246522. Accessed 23 Sept. 2019.</w:t>
      </w:r>
    </w:p>
    <w:p w14:paraId="7D2BAC96" w14:textId="77777777" w:rsidR="00581921" w:rsidRPr="00581921" w:rsidRDefault="00581921" w:rsidP="00581921">
      <w:pPr>
        <w:spacing w:line="360" w:lineRule="auto"/>
        <w:rPr>
          <w:sz w:val="24"/>
          <w:szCs w:val="24"/>
        </w:rPr>
      </w:pPr>
      <w:r w:rsidRPr="00581921">
        <w:rPr>
          <w:sz w:val="24"/>
          <w:szCs w:val="24"/>
        </w:rPr>
        <w:t xml:space="preserve">Solicitors Regulation Authority. “Reasonable Adjustments in the Provision of Legal Services.” </w:t>
      </w:r>
      <w:r w:rsidRPr="00581921">
        <w:rPr>
          <w:i/>
          <w:iCs/>
          <w:sz w:val="24"/>
          <w:szCs w:val="24"/>
        </w:rPr>
        <w:t>Www.sra.org.uk</w:t>
      </w:r>
      <w:r w:rsidRPr="00581921">
        <w:rPr>
          <w:sz w:val="24"/>
          <w:szCs w:val="24"/>
        </w:rPr>
        <w:t>, 10 Oct. 2019, www.sra.org.uk/sra/research-publications/reasonable-adjustments/. Accessed 1 May 2023.</w:t>
      </w:r>
    </w:p>
    <w:p w14:paraId="6030FDF3" w14:textId="77777777" w:rsidR="00581921" w:rsidRPr="00581921" w:rsidRDefault="00581921" w:rsidP="00581921">
      <w:pPr>
        <w:spacing w:line="360" w:lineRule="auto"/>
        <w:rPr>
          <w:sz w:val="24"/>
          <w:szCs w:val="24"/>
        </w:rPr>
      </w:pPr>
      <w:r w:rsidRPr="00581921">
        <w:rPr>
          <w:sz w:val="24"/>
          <w:szCs w:val="24"/>
        </w:rPr>
        <w:t xml:space="preserve">---. “The SRA’s Approach to Equality, Diversity and Inclusion - Guidance.” </w:t>
      </w:r>
      <w:r w:rsidRPr="00581921">
        <w:rPr>
          <w:i/>
          <w:iCs/>
          <w:sz w:val="24"/>
          <w:szCs w:val="24"/>
        </w:rPr>
        <w:t>Www.sra.org.uk</w:t>
      </w:r>
      <w:r w:rsidRPr="00581921">
        <w:rPr>
          <w:sz w:val="24"/>
          <w:szCs w:val="24"/>
        </w:rPr>
        <w:t>, 25 Nov. 2019, www.sra.org.uk/solicitors/guidance/sra-approach-equality-diversity-inclusion/. Accessed 29 Apr. 2023.</w:t>
      </w:r>
    </w:p>
    <w:p w14:paraId="60F263F9" w14:textId="33BCB651" w:rsidR="00581921" w:rsidRPr="00581921" w:rsidRDefault="00581921" w:rsidP="00581921">
      <w:pPr>
        <w:spacing w:line="360" w:lineRule="auto"/>
        <w:rPr>
          <w:sz w:val="24"/>
          <w:szCs w:val="24"/>
        </w:rPr>
      </w:pPr>
      <w:r w:rsidRPr="00581921">
        <w:rPr>
          <w:sz w:val="24"/>
          <w:szCs w:val="24"/>
        </w:rPr>
        <w:t>---</w:t>
      </w:r>
      <w:r w:rsidRPr="00581921">
        <w:rPr>
          <w:sz w:val="24"/>
          <w:szCs w:val="24"/>
        </w:rPr>
        <w:t xml:space="preserve">. “Mapping Advantages and Disadvantages: Diversity in the Legal Profession in England and Wales.” </w:t>
      </w:r>
      <w:r w:rsidRPr="00581921">
        <w:rPr>
          <w:i/>
          <w:iCs/>
          <w:sz w:val="24"/>
          <w:szCs w:val="24"/>
        </w:rPr>
        <w:t>Www.sra.org.uk</w:t>
      </w:r>
      <w:r w:rsidRPr="00581921">
        <w:rPr>
          <w:sz w:val="24"/>
          <w:szCs w:val="24"/>
        </w:rPr>
        <w:t>, 27 Oct. 2017, www.sra.org.uk/sra/research-publications/diversity-legal-profession. Accessed 1 May 2023.</w:t>
      </w:r>
    </w:p>
    <w:p w14:paraId="66CAFF5D" w14:textId="77777777" w:rsidR="002D13D8" w:rsidRDefault="002D13D8" w:rsidP="00DA4CDD">
      <w:pPr>
        <w:spacing w:line="360" w:lineRule="auto"/>
        <w:rPr>
          <w:sz w:val="24"/>
          <w:szCs w:val="24"/>
        </w:rPr>
      </w:pPr>
    </w:p>
    <w:p w14:paraId="503F21F7" w14:textId="77777777" w:rsidR="0002312B" w:rsidRDefault="0002312B" w:rsidP="00DA4CDD">
      <w:pPr>
        <w:spacing w:line="360" w:lineRule="auto"/>
        <w:rPr>
          <w:sz w:val="24"/>
          <w:szCs w:val="24"/>
        </w:rPr>
      </w:pPr>
    </w:p>
    <w:p w14:paraId="08E4B654" w14:textId="77777777" w:rsidR="00F96D0E" w:rsidRDefault="00F96D0E" w:rsidP="00DA4CDD">
      <w:pPr>
        <w:spacing w:line="360" w:lineRule="auto"/>
        <w:rPr>
          <w:sz w:val="24"/>
          <w:szCs w:val="24"/>
        </w:rPr>
      </w:pPr>
    </w:p>
    <w:p w14:paraId="5294F295" w14:textId="77777777" w:rsidR="00F45544" w:rsidRPr="00F93F43" w:rsidRDefault="00F45544" w:rsidP="00DA4CDD">
      <w:pPr>
        <w:spacing w:line="360" w:lineRule="auto"/>
        <w:rPr>
          <w:sz w:val="24"/>
          <w:szCs w:val="24"/>
        </w:rPr>
      </w:pPr>
    </w:p>
    <w:sectPr w:rsidR="00F45544" w:rsidRPr="00F93F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64"/>
    <w:rsid w:val="00013E04"/>
    <w:rsid w:val="00015C5C"/>
    <w:rsid w:val="0002312B"/>
    <w:rsid w:val="000E7C3F"/>
    <w:rsid w:val="00182468"/>
    <w:rsid w:val="00241355"/>
    <w:rsid w:val="002A29F8"/>
    <w:rsid w:val="002D13D8"/>
    <w:rsid w:val="004046D4"/>
    <w:rsid w:val="00486621"/>
    <w:rsid w:val="004B0D0F"/>
    <w:rsid w:val="00544E9A"/>
    <w:rsid w:val="00581921"/>
    <w:rsid w:val="00715E8D"/>
    <w:rsid w:val="00754DA4"/>
    <w:rsid w:val="00834964"/>
    <w:rsid w:val="00991797"/>
    <w:rsid w:val="009E5ABE"/>
    <w:rsid w:val="00A17080"/>
    <w:rsid w:val="00AF6C6C"/>
    <w:rsid w:val="00CC4929"/>
    <w:rsid w:val="00DA4CDD"/>
    <w:rsid w:val="00F45544"/>
    <w:rsid w:val="00F93F43"/>
    <w:rsid w:val="00F96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0671E"/>
  <w15:chartTrackingRefBased/>
  <w15:docId w15:val="{9D774E79-CC08-446A-8068-532A5FE6B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080"/>
    <w:rPr>
      <w:color w:val="0563C1" w:themeColor="hyperlink"/>
      <w:u w:val="single"/>
    </w:rPr>
  </w:style>
  <w:style w:type="character" w:styleId="FollowedHyperlink">
    <w:name w:val="FollowedHyperlink"/>
    <w:basedOn w:val="DefaultParagraphFont"/>
    <w:uiPriority w:val="99"/>
    <w:semiHidden/>
    <w:unhideWhenUsed/>
    <w:rsid w:val="00DA4CDD"/>
    <w:rPr>
      <w:color w:val="954F72" w:themeColor="followedHyperlink"/>
      <w:u w:val="single"/>
    </w:rPr>
  </w:style>
  <w:style w:type="character" w:styleId="UnresolvedMention">
    <w:name w:val="Unresolved Mention"/>
    <w:basedOn w:val="DefaultParagraphFont"/>
    <w:uiPriority w:val="99"/>
    <w:semiHidden/>
    <w:unhideWhenUsed/>
    <w:rsid w:val="00991797"/>
    <w:rPr>
      <w:color w:val="605E5C"/>
      <w:shd w:val="clear" w:color="auto" w:fill="E1DFDD"/>
    </w:rPr>
  </w:style>
  <w:style w:type="paragraph" w:styleId="NormalWeb">
    <w:name w:val="Normal (Web)"/>
    <w:basedOn w:val="Normal"/>
    <w:uiPriority w:val="99"/>
    <w:semiHidden/>
    <w:unhideWhenUsed/>
    <w:rsid w:val="009917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74603">
      <w:bodyDiv w:val="1"/>
      <w:marLeft w:val="0"/>
      <w:marRight w:val="0"/>
      <w:marTop w:val="0"/>
      <w:marBottom w:val="0"/>
      <w:divBdr>
        <w:top w:val="none" w:sz="0" w:space="0" w:color="auto"/>
        <w:left w:val="none" w:sz="0" w:space="0" w:color="auto"/>
        <w:bottom w:val="none" w:sz="0" w:space="0" w:color="auto"/>
        <w:right w:val="none" w:sz="0" w:space="0" w:color="auto"/>
      </w:divBdr>
      <w:divsChild>
        <w:div w:id="1143961412">
          <w:marLeft w:val="0"/>
          <w:marRight w:val="0"/>
          <w:marTop w:val="0"/>
          <w:marBottom w:val="0"/>
          <w:divBdr>
            <w:top w:val="none" w:sz="0" w:space="0" w:color="auto"/>
            <w:left w:val="none" w:sz="0" w:space="0" w:color="auto"/>
            <w:bottom w:val="none" w:sz="0" w:space="0" w:color="auto"/>
            <w:right w:val="none" w:sz="0" w:space="0" w:color="auto"/>
          </w:divBdr>
        </w:div>
      </w:divsChild>
    </w:div>
    <w:div w:id="382102433">
      <w:bodyDiv w:val="1"/>
      <w:marLeft w:val="0"/>
      <w:marRight w:val="0"/>
      <w:marTop w:val="0"/>
      <w:marBottom w:val="0"/>
      <w:divBdr>
        <w:top w:val="none" w:sz="0" w:space="0" w:color="auto"/>
        <w:left w:val="none" w:sz="0" w:space="0" w:color="auto"/>
        <w:bottom w:val="none" w:sz="0" w:space="0" w:color="auto"/>
        <w:right w:val="none" w:sz="0" w:space="0" w:color="auto"/>
      </w:divBdr>
      <w:divsChild>
        <w:div w:id="1083835660">
          <w:marLeft w:val="0"/>
          <w:marRight w:val="0"/>
          <w:marTop w:val="0"/>
          <w:marBottom w:val="0"/>
          <w:divBdr>
            <w:top w:val="none" w:sz="0" w:space="0" w:color="auto"/>
            <w:left w:val="none" w:sz="0" w:space="0" w:color="auto"/>
            <w:bottom w:val="none" w:sz="0" w:space="0" w:color="auto"/>
            <w:right w:val="none" w:sz="0" w:space="0" w:color="auto"/>
          </w:divBdr>
        </w:div>
      </w:divsChild>
    </w:div>
    <w:div w:id="575869045">
      <w:bodyDiv w:val="1"/>
      <w:marLeft w:val="0"/>
      <w:marRight w:val="0"/>
      <w:marTop w:val="0"/>
      <w:marBottom w:val="0"/>
      <w:divBdr>
        <w:top w:val="none" w:sz="0" w:space="0" w:color="auto"/>
        <w:left w:val="none" w:sz="0" w:space="0" w:color="auto"/>
        <w:bottom w:val="none" w:sz="0" w:space="0" w:color="auto"/>
        <w:right w:val="none" w:sz="0" w:space="0" w:color="auto"/>
      </w:divBdr>
      <w:divsChild>
        <w:div w:id="1145700860">
          <w:marLeft w:val="0"/>
          <w:marRight w:val="0"/>
          <w:marTop w:val="0"/>
          <w:marBottom w:val="0"/>
          <w:divBdr>
            <w:top w:val="none" w:sz="0" w:space="0" w:color="auto"/>
            <w:left w:val="none" w:sz="0" w:space="0" w:color="auto"/>
            <w:bottom w:val="none" w:sz="0" w:space="0" w:color="auto"/>
            <w:right w:val="none" w:sz="0" w:space="0" w:color="auto"/>
          </w:divBdr>
        </w:div>
      </w:divsChild>
    </w:div>
    <w:div w:id="645864263">
      <w:bodyDiv w:val="1"/>
      <w:marLeft w:val="0"/>
      <w:marRight w:val="0"/>
      <w:marTop w:val="0"/>
      <w:marBottom w:val="0"/>
      <w:divBdr>
        <w:top w:val="none" w:sz="0" w:space="0" w:color="auto"/>
        <w:left w:val="none" w:sz="0" w:space="0" w:color="auto"/>
        <w:bottom w:val="none" w:sz="0" w:space="0" w:color="auto"/>
        <w:right w:val="none" w:sz="0" w:space="0" w:color="auto"/>
      </w:divBdr>
      <w:divsChild>
        <w:div w:id="802233841">
          <w:marLeft w:val="0"/>
          <w:marRight w:val="0"/>
          <w:marTop w:val="0"/>
          <w:marBottom w:val="0"/>
          <w:divBdr>
            <w:top w:val="none" w:sz="0" w:space="0" w:color="auto"/>
            <w:left w:val="none" w:sz="0" w:space="0" w:color="auto"/>
            <w:bottom w:val="none" w:sz="0" w:space="0" w:color="auto"/>
            <w:right w:val="none" w:sz="0" w:space="0" w:color="auto"/>
          </w:divBdr>
        </w:div>
      </w:divsChild>
    </w:div>
    <w:div w:id="833029120">
      <w:bodyDiv w:val="1"/>
      <w:marLeft w:val="0"/>
      <w:marRight w:val="0"/>
      <w:marTop w:val="0"/>
      <w:marBottom w:val="0"/>
      <w:divBdr>
        <w:top w:val="none" w:sz="0" w:space="0" w:color="auto"/>
        <w:left w:val="none" w:sz="0" w:space="0" w:color="auto"/>
        <w:bottom w:val="none" w:sz="0" w:space="0" w:color="auto"/>
        <w:right w:val="none" w:sz="0" w:space="0" w:color="auto"/>
      </w:divBdr>
      <w:divsChild>
        <w:div w:id="840237174">
          <w:marLeft w:val="0"/>
          <w:marRight w:val="0"/>
          <w:marTop w:val="0"/>
          <w:marBottom w:val="0"/>
          <w:divBdr>
            <w:top w:val="none" w:sz="0" w:space="0" w:color="auto"/>
            <w:left w:val="none" w:sz="0" w:space="0" w:color="auto"/>
            <w:bottom w:val="none" w:sz="0" w:space="0" w:color="auto"/>
            <w:right w:val="none" w:sz="0" w:space="0" w:color="auto"/>
          </w:divBdr>
        </w:div>
      </w:divsChild>
    </w:div>
    <w:div w:id="1168591306">
      <w:bodyDiv w:val="1"/>
      <w:marLeft w:val="0"/>
      <w:marRight w:val="0"/>
      <w:marTop w:val="0"/>
      <w:marBottom w:val="0"/>
      <w:divBdr>
        <w:top w:val="none" w:sz="0" w:space="0" w:color="auto"/>
        <w:left w:val="none" w:sz="0" w:space="0" w:color="auto"/>
        <w:bottom w:val="none" w:sz="0" w:space="0" w:color="auto"/>
        <w:right w:val="none" w:sz="0" w:space="0" w:color="auto"/>
      </w:divBdr>
      <w:divsChild>
        <w:div w:id="65493877">
          <w:marLeft w:val="0"/>
          <w:marRight w:val="0"/>
          <w:marTop w:val="0"/>
          <w:marBottom w:val="0"/>
          <w:divBdr>
            <w:top w:val="none" w:sz="0" w:space="0" w:color="auto"/>
            <w:left w:val="none" w:sz="0" w:space="0" w:color="auto"/>
            <w:bottom w:val="none" w:sz="0" w:space="0" w:color="auto"/>
            <w:right w:val="none" w:sz="0" w:space="0" w:color="auto"/>
          </w:divBdr>
        </w:div>
      </w:divsChild>
    </w:div>
    <w:div w:id="1178230870">
      <w:bodyDiv w:val="1"/>
      <w:marLeft w:val="0"/>
      <w:marRight w:val="0"/>
      <w:marTop w:val="0"/>
      <w:marBottom w:val="0"/>
      <w:divBdr>
        <w:top w:val="none" w:sz="0" w:space="0" w:color="auto"/>
        <w:left w:val="none" w:sz="0" w:space="0" w:color="auto"/>
        <w:bottom w:val="none" w:sz="0" w:space="0" w:color="auto"/>
        <w:right w:val="none" w:sz="0" w:space="0" w:color="auto"/>
      </w:divBdr>
      <w:divsChild>
        <w:div w:id="852379515">
          <w:marLeft w:val="0"/>
          <w:marRight w:val="0"/>
          <w:marTop w:val="0"/>
          <w:marBottom w:val="0"/>
          <w:divBdr>
            <w:top w:val="none" w:sz="0" w:space="0" w:color="auto"/>
            <w:left w:val="none" w:sz="0" w:space="0" w:color="auto"/>
            <w:bottom w:val="none" w:sz="0" w:space="0" w:color="auto"/>
            <w:right w:val="none" w:sz="0" w:space="0" w:color="auto"/>
          </w:divBdr>
        </w:div>
      </w:divsChild>
    </w:div>
    <w:div w:id="1528986565">
      <w:bodyDiv w:val="1"/>
      <w:marLeft w:val="0"/>
      <w:marRight w:val="0"/>
      <w:marTop w:val="0"/>
      <w:marBottom w:val="0"/>
      <w:divBdr>
        <w:top w:val="none" w:sz="0" w:space="0" w:color="auto"/>
        <w:left w:val="none" w:sz="0" w:space="0" w:color="auto"/>
        <w:bottom w:val="none" w:sz="0" w:space="0" w:color="auto"/>
        <w:right w:val="none" w:sz="0" w:space="0" w:color="auto"/>
      </w:divBdr>
      <w:divsChild>
        <w:div w:id="1469591134">
          <w:marLeft w:val="0"/>
          <w:marRight w:val="0"/>
          <w:marTop w:val="0"/>
          <w:marBottom w:val="0"/>
          <w:divBdr>
            <w:top w:val="none" w:sz="0" w:space="0" w:color="auto"/>
            <w:left w:val="none" w:sz="0" w:space="0" w:color="auto"/>
            <w:bottom w:val="none" w:sz="0" w:space="0" w:color="auto"/>
            <w:right w:val="none" w:sz="0" w:space="0" w:color="auto"/>
          </w:divBdr>
        </w:div>
      </w:divsChild>
    </w:div>
    <w:div w:id="1591739250">
      <w:bodyDiv w:val="1"/>
      <w:marLeft w:val="0"/>
      <w:marRight w:val="0"/>
      <w:marTop w:val="0"/>
      <w:marBottom w:val="0"/>
      <w:divBdr>
        <w:top w:val="none" w:sz="0" w:space="0" w:color="auto"/>
        <w:left w:val="none" w:sz="0" w:space="0" w:color="auto"/>
        <w:bottom w:val="none" w:sz="0" w:space="0" w:color="auto"/>
        <w:right w:val="none" w:sz="0" w:space="0" w:color="auto"/>
      </w:divBdr>
      <w:divsChild>
        <w:div w:id="152189735">
          <w:marLeft w:val="0"/>
          <w:marRight w:val="0"/>
          <w:marTop w:val="0"/>
          <w:marBottom w:val="0"/>
          <w:divBdr>
            <w:top w:val="none" w:sz="0" w:space="0" w:color="auto"/>
            <w:left w:val="none" w:sz="0" w:space="0" w:color="auto"/>
            <w:bottom w:val="none" w:sz="0" w:space="0" w:color="auto"/>
            <w:right w:val="none" w:sz="0" w:space="0" w:color="auto"/>
          </w:divBdr>
        </w:div>
      </w:divsChild>
    </w:div>
    <w:div w:id="1895847788">
      <w:bodyDiv w:val="1"/>
      <w:marLeft w:val="0"/>
      <w:marRight w:val="0"/>
      <w:marTop w:val="0"/>
      <w:marBottom w:val="0"/>
      <w:divBdr>
        <w:top w:val="none" w:sz="0" w:space="0" w:color="auto"/>
        <w:left w:val="none" w:sz="0" w:space="0" w:color="auto"/>
        <w:bottom w:val="none" w:sz="0" w:space="0" w:color="auto"/>
        <w:right w:val="none" w:sz="0" w:space="0" w:color="auto"/>
      </w:divBdr>
      <w:divsChild>
        <w:div w:id="548419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7</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Pantiru (2213443)</dc:creator>
  <cp:keywords/>
  <dc:description/>
  <cp:lastModifiedBy>Ionut Pantiru (2213443)</cp:lastModifiedBy>
  <cp:revision>4</cp:revision>
  <dcterms:created xsi:type="dcterms:W3CDTF">2023-05-02T14:39:00Z</dcterms:created>
  <dcterms:modified xsi:type="dcterms:W3CDTF">2023-05-05T14:08:00Z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7338e5b46dbbff202653568854faf8c282905d74dc65486375eb683904a17734</vt:lpwstr>
  </property>
</Properties>
</file>