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0A02BA2">
      <w:pPr>
        <w:jc w:val="center"/>
        <w:rPr>
          <w:rFonts w:hint="default" w:ascii="Times New Roman" w:hAnsi="Times New Roman" w:cs="Times New Roman"/>
          <w:b/>
          <w:bCs/>
          <w:sz w:val="28"/>
          <w:szCs w:val="28"/>
        </w:rPr>
      </w:pPr>
    </w:p>
    <w:p w14:paraId="6F9E7DF7">
      <w:pPr>
        <w:jc w:val="center"/>
        <w:rPr>
          <w:rFonts w:hint="default" w:ascii="Times New Roman" w:hAnsi="Times New Roman" w:cs="Times New Roman"/>
          <w:b/>
          <w:bCs/>
          <w:sz w:val="28"/>
          <w:szCs w:val="28"/>
        </w:rPr>
      </w:pPr>
    </w:p>
    <w:p w14:paraId="07E41805">
      <w:pPr>
        <w:jc w:val="center"/>
        <w:rPr>
          <w:rFonts w:hint="default" w:ascii="Times New Roman" w:hAnsi="Times New Roman" w:cs="Times New Roman"/>
          <w:b/>
          <w:bCs/>
          <w:sz w:val="28"/>
          <w:szCs w:val="28"/>
        </w:rPr>
      </w:pPr>
    </w:p>
    <w:p w14:paraId="7456CDEE">
      <w:pPr>
        <w:jc w:val="center"/>
        <w:rPr>
          <w:rFonts w:hint="default" w:ascii="Times New Roman" w:hAnsi="Times New Roman" w:cs="Times New Roman"/>
          <w:b/>
          <w:bCs/>
          <w:sz w:val="28"/>
          <w:szCs w:val="28"/>
        </w:rPr>
      </w:pPr>
    </w:p>
    <w:p w14:paraId="500E3347">
      <w:pPr>
        <w:jc w:val="center"/>
        <w:rPr>
          <w:rFonts w:hint="default" w:ascii="Times New Roman" w:hAnsi="Times New Roman" w:cs="Times New Roman"/>
          <w:b/>
          <w:bCs/>
          <w:sz w:val="28"/>
          <w:szCs w:val="28"/>
        </w:rPr>
      </w:pPr>
    </w:p>
    <w:p w14:paraId="720E7249">
      <w:pPr>
        <w:jc w:val="center"/>
        <w:rPr>
          <w:rFonts w:hint="default" w:ascii="Times New Roman" w:hAnsi="Times New Roman" w:cs="Times New Roman"/>
          <w:b/>
          <w:bCs/>
          <w:sz w:val="28"/>
          <w:szCs w:val="28"/>
        </w:rPr>
      </w:pPr>
    </w:p>
    <w:p w14:paraId="5D111FBF">
      <w:pPr>
        <w:jc w:val="center"/>
        <w:rPr>
          <w:rFonts w:hint="default" w:ascii="Times New Roman" w:hAnsi="Times New Roman" w:cs="Times New Roman"/>
          <w:b/>
          <w:bCs/>
          <w:sz w:val="28"/>
          <w:szCs w:val="28"/>
        </w:rPr>
      </w:pPr>
    </w:p>
    <w:p w14:paraId="0EB0D2C9">
      <w:pPr>
        <w:jc w:val="center"/>
        <w:rPr>
          <w:rFonts w:hint="default" w:ascii="Times New Roman" w:hAnsi="Times New Roman" w:cs="Times New Roman"/>
          <w:b/>
          <w:bCs/>
          <w:sz w:val="28"/>
          <w:szCs w:val="28"/>
        </w:rPr>
      </w:pPr>
      <w:r>
        <w:rPr>
          <w:rFonts w:hint="default" w:ascii="Times New Roman" w:hAnsi="Times New Roman" w:cs="Times New Roman"/>
          <w:b/>
          <w:bCs/>
          <w:sz w:val="28"/>
          <w:szCs w:val="28"/>
        </w:rPr>
        <w:t>Apply SOSTAC to build the marketing plan for KFC in the UK</w:t>
      </w:r>
    </w:p>
    <w:p w14:paraId="48A07EAA">
      <w:pPr>
        <w:jc w:val="center"/>
        <w:rPr>
          <w:rFonts w:hint="default" w:ascii="Times New Roman" w:hAnsi="Times New Roman" w:cs="Times New Roman"/>
          <w:b/>
          <w:bCs/>
          <w:sz w:val="28"/>
          <w:szCs w:val="28"/>
        </w:rPr>
      </w:pPr>
    </w:p>
    <w:p w14:paraId="1F8B6346">
      <w:pPr>
        <w:jc w:val="center"/>
        <w:rPr>
          <w:rFonts w:hint="default" w:ascii="Times New Roman" w:hAnsi="Times New Roman" w:cs="Times New Roman"/>
          <w:b/>
          <w:bCs/>
          <w:sz w:val="28"/>
          <w:szCs w:val="28"/>
        </w:rPr>
      </w:pPr>
    </w:p>
    <w:p w14:paraId="539BD7C0">
      <w:pPr>
        <w:bidi w:val="0"/>
        <w:rPr>
          <w:rFonts w:hint="default" w:asciiTheme="minorHAnsi" w:hAnsiTheme="minorHAnsi" w:eastAsiaTheme="minorEastAsia" w:cstheme="minorBidi"/>
          <w:kern w:val="2"/>
          <w:sz w:val="21"/>
          <w:szCs w:val="24"/>
          <w:lang w:val="en-US" w:eastAsia="zh-CN" w:bidi="ar-SA"/>
        </w:rPr>
      </w:pPr>
    </w:p>
    <w:p w14:paraId="6CBF2270">
      <w:pPr>
        <w:bidi w:val="0"/>
        <w:rPr>
          <w:rFonts w:hint="default"/>
          <w:lang w:val="en-US" w:eastAsia="zh-CN"/>
        </w:rPr>
      </w:pPr>
    </w:p>
    <w:p w14:paraId="76FE7624">
      <w:pPr>
        <w:bidi w:val="0"/>
        <w:rPr>
          <w:rFonts w:hint="default"/>
          <w:lang w:val="en-US" w:eastAsia="zh-CN"/>
        </w:rPr>
      </w:pPr>
    </w:p>
    <w:p w14:paraId="745D502C">
      <w:pPr>
        <w:bidi w:val="0"/>
        <w:rPr>
          <w:rFonts w:hint="default"/>
          <w:lang w:val="en-US" w:eastAsia="zh-CN"/>
        </w:rPr>
      </w:pPr>
    </w:p>
    <w:p w14:paraId="62EB9C49">
      <w:pPr>
        <w:bidi w:val="0"/>
        <w:rPr>
          <w:rFonts w:hint="default"/>
          <w:lang w:val="en-US" w:eastAsia="zh-CN"/>
        </w:rPr>
      </w:pPr>
    </w:p>
    <w:p w14:paraId="30A497BF">
      <w:pPr>
        <w:bidi w:val="0"/>
        <w:rPr>
          <w:rFonts w:hint="default"/>
          <w:lang w:val="en-US" w:eastAsia="zh-CN"/>
        </w:rPr>
      </w:pPr>
    </w:p>
    <w:p w14:paraId="25690565">
      <w:pPr>
        <w:bidi w:val="0"/>
        <w:rPr>
          <w:rFonts w:hint="default"/>
          <w:lang w:val="en-US" w:eastAsia="zh-CN"/>
        </w:rPr>
      </w:pPr>
    </w:p>
    <w:p w14:paraId="3A367F8E">
      <w:pPr>
        <w:bidi w:val="0"/>
        <w:rPr>
          <w:rFonts w:hint="default"/>
          <w:lang w:val="en-US" w:eastAsia="zh-CN"/>
        </w:rPr>
      </w:pPr>
    </w:p>
    <w:p w14:paraId="4AE2B7A3">
      <w:pPr>
        <w:bidi w:val="0"/>
        <w:rPr>
          <w:rFonts w:hint="default"/>
          <w:lang w:val="en-US" w:eastAsia="zh-CN"/>
        </w:rPr>
      </w:pPr>
    </w:p>
    <w:p w14:paraId="1A7F2123">
      <w:pPr>
        <w:bidi w:val="0"/>
        <w:rPr>
          <w:rFonts w:hint="default"/>
          <w:lang w:val="en-US" w:eastAsia="zh-CN"/>
        </w:rPr>
      </w:pPr>
    </w:p>
    <w:p w14:paraId="6EC29742">
      <w:pPr>
        <w:bidi w:val="0"/>
        <w:rPr>
          <w:rFonts w:hint="default"/>
          <w:lang w:val="en-US" w:eastAsia="zh-CN"/>
        </w:rPr>
      </w:pPr>
    </w:p>
    <w:p w14:paraId="496ED9C4">
      <w:pPr>
        <w:bidi w:val="0"/>
        <w:rPr>
          <w:rFonts w:hint="default"/>
          <w:lang w:val="en-US" w:eastAsia="zh-CN"/>
        </w:rPr>
      </w:pPr>
    </w:p>
    <w:p w14:paraId="7905558F">
      <w:pPr>
        <w:bidi w:val="0"/>
        <w:rPr>
          <w:rFonts w:hint="default"/>
          <w:lang w:val="en-US" w:eastAsia="zh-CN"/>
        </w:rPr>
      </w:pPr>
    </w:p>
    <w:p w14:paraId="44FD22B6">
      <w:pPr>
        <w:jc w:val="left"/>
        <w:rPr>
          <w:rFonts w:hint="default" w:ascii="Times New Roman" w:hAnsi="Times New Roman" w:cs="Times New Roman" w:eastAsiaTheme="minorEastAsia"/>
          <w:b/>
          <w:bCs/>
          <w:sz w:val="28"/>
          <w:szCs w:val="28"/>
          <w:lang w:val="en-US" w:eastAsia="zh-CN"/>
        </w:rPr>
      </w:pPr>
      <w:bookmarkStart w:id="11" w:name="_GoBack"/>
      <w:bookmarkEnd w:id="11"/>
      <w:r>
        <w:rPr>
          <w:rFonts w:hint="eastAsia" w:ascii="Times New Roman" w:hAnsi="Times New Roman" w:cs="Times New Roman"/>
          <w:b/>
          <w:bCs/>
          <w:sz w:val="28"/>
          <w:szCs w:val="28"/>
          <w:lang w:val="en-US" w:eastAsia="zh-CN"/>
        </w:rPr>
        <w:t>Name：MINGYANG  ZHANG</w:t>
      </w:r>
    </w:p>
    <w:p w14:paraId="647ABFDF">
      <w:pPr>
        <w:jc w:val="left"/>
        <w:rPr>
          <w:rFonts w:hint="default" w:ascii="Times New Roman" w:hAnsi="Times New Roman" w:cs="Times New Roman" w:eastAsiaTheme="minorEastAsia"/>
          <w:b/>
          <w:bCs/>
          <w:sz w:val="28"/>
          <w:szCs w:val="28"/>
          <w:lang w:val="en-US" w:eastAsia="zh-CN"/>
        </w:rPr>
      </w:pPr>
      <w:r>
        <w:rPr>
          <w:rFonts w:hint="eastAsia" w:ascii="Times New Roman" w:hAnsi="Times New Roman" w:cs="Times New Roman"/>
          <w:b/>
          <w:bCs/>
          <w:sz w:val="28"/>
          <w:szCs w:val="28"/>
          <w:lang w:val="en-US" w:eastAsia="zh-CN"/>
        </w:rPr>
        <w:t>Student ID：2405456</w:t>
      </w:r>
    </w:p>
    <w:p w14:paraId="007BDE2F">
      <w:pPr>
        <w:tabs>
          <w:tab w:val="left" w:pos="273"/>
        </w:tabs>
        <w:bidi w:val="0"/>
        <w:jc w:val="left"/>
        <w:rPr>
          <w:rFonts w:hint="default"/>
          <w:lang w:val="en-US" w:eastAsia="zh-CN"/>
        </w:rPr>
        <w:sectPr>
          <w:pgSz w:w="11906" w:h="16838"/>
          <w:pgMar w:top="1440" w:right="1800" w:bottom="1440" w:left="1800" w:header="851" w:footer="992" w:gutter="0"/>
          <w:cols w:space="425" w:num="1"/>
          <w:docGrid w:type="lines" w:linePitch="312" w:charSpace="0"/>
        </w:sectPr>
      </w:pPr>
    </w:p>
    <w:p w14:paraId="1978BCF5">
      <w:pP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t>This report aims to help KFC UK cope with health consumption trends and regulatory pressures, and enhance brand competitiveness by expanding its plant-based product line. Based on the SOSTAC framework, we plan to integrate external environmental analysis (such as HFSS regulations and a 40% growth in the plant-based market), internal capabilities (global supply chain and digital user base), and innovative tactics (7P marketing mix), with the goal of increasing the proportion of plant-based product sales from 8% to 20% within 12 months. Through strategies such as dynamic pricing, green packaging, and blockchain traceability, it is expected to achieve brand image upgrade and profit margin recovery to 5.5%, while avoiding compliance risks.</w:t>
      </w:r>
    </w:p>
    <w:p w14:paraId="7C61AC5D">
      <w:pPr>
        <w:pStyle w:val="9"/>
        <w:bidi w:val="0"/>
        <w:jc w:val="center"/>
        <w:rPr>
          <w:rFonts w:hint="eastAsia"/>
          <w:b/>
          <w:bCs/>
        </w:rPr>
      </w:pPr>
      <w:r>
        <w:rPr>
          <w:rFonts w:hint="eastAsia"/>
          <w:b/>
          <w:bCs/>
        </w:rPr>
        <w:t>Contents</w:t>
      </w:r>
    </w:p>
    <w:p w14:paraId="31BA076F">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\t "1,1" \h</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_Toc22876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1.Introduction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_Toc22876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4</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7A45AB7E">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_Toc31549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2.The core logic and execution path of marketing plan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_Toc31549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4</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3769EE0B">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_Toc4250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3.Situation Analysis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_Toc4250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5</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43D62663">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_Toc25780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4.</w:t>
      </w:r>
      <w:r>
        <w:rPr>
          <w:rFonts w:hint="default" w:ascii="Times New Roman" w:hAnsi="Times New Roman" w:cs="Times New Roman"/>
          <w:b/>
          <w:bCs/>
          <w:sz w:val="24"/>
          <w:szCs w:val="24"/>
        </w:rPr>
        <w:t>Objectives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_Toc25780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0781C383">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_Toc23619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5.</w:t>
      </w:r>
      <w:r>
        <w:rPr>
          <w:rFonts w:hint="default" w:ascii="Times New Roman" w:hAnsi="Times New Roman" w:cs="Times New Roman"/>
          <w:b/>
          <w:bCs/>
          <w:sz w:val="24"/>
          <w:szCs w:val="24"/>
        </w:rPr>
        <w:t>Strategy</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_Toc23619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142A0FD2">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_Toc18610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6.</w:t>
      </w:r>
      <w:r>
        <w:rPr>
          <w:rFonts w:hint="default" w:ascii="Times New Roman" w:hAnsi="Times New Roman" w:cs="Times New Roman"/>
          <w:b/>
          <w:bCs/>
          <w:sz w:val="24"/>
          <w:szCs w:val="24"/>
        </w:rPr>
        <w:t>Tactics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_Toc18610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7</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77C5B8FB">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_Toc15874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8.</w:t>
      </w:r>
      <w:r>
        <w:rPr>
          <w:rFonts w:hint="default" w:ascii="Times New Roman" w:hAnsi="Times New Roman" w:cs="Times New Roman"/>
          <w:b/>
          <w:bCs/>
          <w:sz w:val="24"/>
          <w:szCs w:val="24"/>
        </w:rPr>
        <w:t>Actions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_Toc15874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7</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10AEDBD5">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_Toc21104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9.</w:t>
      </w:r>
      <w:r>
        <w:rPr>
          <w:rFonts w:hint="default" w:ascii="Times New Roman" w:hAnsi="Times New Roman" w:cs="Times New Roman"/>
          <w:b/>
          <w:bCs/>
          <w:sz w:val="24"/>
          <w:szCs w:val="24"/>
        </w:rPr>
        <w:t>Control</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_Toc21104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9</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01A64686">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_Toc2938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Recommendations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_Toc2938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9</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2A5C5319">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_Toc17162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Conclusion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_Toc17162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10</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5C190321">
      <w:pPr>
        <w:pStyle w:val="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_Toc25407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lang w:val="en-US" w:eastAsia="zh-CN"/>
        </w:rPr>
        <w:t>reference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_Toc25407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rPr>
        <w:fldChar w:fldCharType="end"/>
      </w:r>
    </w:p>
    <w:p w14:paraId="4FE5C4A7">
      <w:pPr>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end"/>
      </w:r>
    </w:p>
    <w:p w14:paraId="4FA25C49">
      <w:pPr>
        <w:rPr>
          <w:rFonts w:hint="eastAsia"/>
        </w:rPr>
      </w:pPr>
    </w:p>
    <w:p w14:paraId="686A63E4">
      <w:pPr>
        <w:rPr>
          <w:rFonts w:hint="eastAsia"/>
        </w:rPr>
      </w:pPr>
    </w:p>
    <w:p w14:paraId="5348A137">
      <w:pPr>
        <w:rPr>
          <w:rFonts w:hint="eastAsia"/>
        </w:rPr>
      </w:pPr>
    </w:p>
    <w:p w14:paraId="2F19C9A0">
      <w:pPr>
        <w:rPr>
          <w:rFonts w:hint="eastAsia"/>
        </w:rPr>
      </w:pPr>
    </w:p>
    <w:p w14:paraId="5B8AACDF">
      <w:pPr>
        <w:rPr>
          <w:rFonts w:hint="eastAsia"/>
        </w:rPr>
      </w:pPr>
    </w:p>
    <w:p w14:paraId="3C51371E">
      <w:pPr>
        <w:rPr>
          <w:rFonts w:hint="eastAsia"/>
        </w:rPr>
      </w:pPr>
    </w:p>
    <w:p w14:paraId="2F5C3262">
      <w:pPr>
        <w:rPr>
          <w:rFonts w:hint="eastAsia"/>
        </w:rPr>
      </w:pPr>
    </w:p>
    <w:p w14:paraId="0623705D">
      <w:pPr>
        <w:rPr>
          <w:rFonts w:hint="eastAsia"/>
        </w:rPr>
      </w:pPr>
    </w:p>
    <w:p w14:paraId="3ED415C3">
      <w:pPr>
        <w:rPr>
          <w:rFonts w:hint="eastAsia"/>
        </w:rPr>
      </w:pPr>
    </w:p>
    <w:p w14:paraId="44171A2C">
      <w:pPr>
        <w:rPr>
          <w:rFonts w:hint="eastAsia"/>
        </w:rPr>
      </w:pPr>
    </w:p>
    <w:p w14:paraId="64C50A3C">
      <w:pPr>
        <w:rPr>
          <w:rFonts w:hint="eastAsia"/>
        </w:rPr>
      </w:pPr>
    </w:p>
    <w:p w14:paraId="5EAC2A59">
      <w:pPr>
        <w:rPr>
          <w:rFonts w:hint="eastAsia"/>
        </w:rPr>
      </w:pPr>
    </w:p>
    <w:p w14:paraId="59F75CE3">
      <w:pPr>
        <w:rPr>
          <w:rFonts w:hint="eastAsia"/>
        </w:rPr>
      </w:pPr>
    </w:p>
    <w:p w14:paraId="3BB30AF0">
      <w:pPr>
        <w:rPr>
          <w:rFonts w:hint="eastAsia"/>
        </w:rPr>
      </w:pPr>
    </w:p>
    <w:p w14:paraId="089E8D01">
      <w:pPr>
        <w:rPr>
          <w:rFonts w:hint="eastAsia"/>
        </w:rPr>
      </w:pPr>
    </w:p>
    <w:p w14:paraId="07B73BB4">
      <w:pPr>
        <w:rPr>
          <w:rFonts w:hint="eastAsia"/>
        </w:rPr>
      </w:pPr>
    </w:p>
    <w:p w14:paraId="22728C15">
      <w:pPr>
        <w:rPr>
          <w:rFonts w:hint="eastAsia"/>
        </w:rPr>
      </w:pPr>
    </w:p>
    <w:p w14:paraId="11F4EB54">
      <w:pPr>
        <w:rPr>
          <w:rFonts w:hint="eastAsia"/>
        </w:rPr>
      </w:pPr>
    </w:p>
    <w:p w14:paraId="658F2644">
      <w:pPr>
        <w:rPr>
          <w:rFonts w:hint="eastAsia"/>
        </w:rPr>
      </w:pPr>
    </w:p>
    <w:p w14:paraId="5980CAF7">
      <w:pPr>
        <w:rPr>
          <w:rFonts w:hint="eastAsia"/>
        </w:rPr>
      </w:pPr>
    </w:p>
    <w:p w14:paraId="5267648D">
      <w:pPr>
        <w:rPr>
          <w:rFonts w:hint="eastAsia"/>
        </w:rPr>
      </w:pPr>
    </w:p>
    <w:p w14:paraId="5F9AF6A4">
      <w:pPr>
        <w:rPr>
          <w:rFonts w:hint="eastAsia"/>
        </w:rPr>
      </w:pPr>
    </w:p>
    <w:p w14:paraId="21554662">
      <w:pPr>
        <w:rPr>
          <w:rFonts w:hint="eastAsia"/>
        </w:rPr>
      </w:pPr>
    </w:p>
    <w:p w14:paraId="52349E9F">
      <w:pPr>
        <w:rPr>
          <w:rFonts w:hint="eastAsia"/>
        </w:rPr>
      </w:pPr>
    </w:p>
    <w:p w14:paraId="54392E32">
      <w:pPr>
        <w:rPr>
          <w:rFonts w:hint="eastAsia"/>
        </w:rPr>
      </w:pPr>
    </w:p>
    <w:p w14:paraId="65DB56EF">
      <w:pPr>
        <w:rPr>
          <w:rFonts w:hint="eastAsia"/>
        </w:rPr>
      </w:pPr>
    </w:p>
    <w:p w14:paraId="4381B42A">
      <w:pPr>
        <w:rPr>
          <w:rFonts w:hint="eastAsia"/>
        </w:rPr>
      </w:pPr>
    </w:p>
    <w:p w14:paraId="6BDF94C3">
      <w:pPr>
        <w:rPr>
          <w:rFonts w:hint="eastAsia"/>
        </w:rPr>
      </w:pPr>
    </w:p>
    <w:p w14:paraId="21EE4DC6">
      <w:pPr>
        <w:rPr>
          <w:rFonts w:hint="eastAsia"/>
        </w:rPr>
      </w:pPr>
    </w:p>
    <w:p w14:paraId="65BF0385">
      <w:pPr>
        <w:rPr>
          <w:rFonts w:hint="eastAsia"/>
        </w:rPr>
      </w:pPr>
    </w:p>
    <w:p w14:paraId="2AA973DC">
      <w:pPr>
        <w:rPr>
          <w:rFonts w:hint="eastAsia"/>
        </w:rPr>
      </w:pPr>
    </w:p>
    <w:p w14:paraId="2C6C5002">
      <w:pPr>
        <w:pStyle w:val="10"/>
        <w:bidi w:val="0"/>
        <w:rPr>
          <w:rFonts w:hint="default"/>
          <w:lang w:val="en-US" w:eastAsia="zh-CN"/>
        </w:rPr>
      </w:pPr>
      <w:bookmarkStart w:id="0" w:name="_Toc22876"/>
      <w:r>
        <w:rPr>
          <w:rFonts w:hint="default"/>
          <w:lang w:val="en-US" w:eastAsia="zh-CN"/>
        </w:rPr>
        <w:t>1.Introduction</w:t>
      </w:r>
      <w:bookmarkEnd w:id="0"/>
    </w:p>
    <w:p w14:paraId="641BA863">
      <w:pPr>
        <w:pStyle w:val="9"/>
        <w:bidi w:val="0"/>
        <w:rPr>
          <w:rFonts w:hint="default"/>
        </w:rPr>
      </w:pPr>
      <w:r>
        <w:rPr>
          <w:rFonts w:hint="default"/>
        </w:rPr>
        <w:t>The current fast food industry in the UK is facing dual challenges of consumer upgrading and strong policy regulation. 62% of 18-35 year old consumers listed "balanced nutrition" as the primary dining standard (Statista, 2023), and the Regulations on High Fat, High Salt and High Sugar (DHSC, 2022) further forced 80% of the core menus to be adjusted before 2025. In this context, industry giant KFC (with a market share of 18.7%) has encountered growth bottlenecks: 550 stores were out of stock due to avian influenza in 2022 (BBC, 2022), exposing the risk of single protein dependence; Plant based products only account for 8% of revenue, far behind McDonald's' Beyond Meat 'package's 14% penetration rate among young customers (IBISWorld, 2023). If brands stick to traditional models, they will face a dual crisis of customer loss and a surge in compliance costs. This report will propose a breakthrough plan based on the SOSTAC model (Smith, 1994) and the SMART principle (Doran, 1981).</w:t>
      </w:r>
    </w:p>
    <w:p w14:paraId="34836815">
      <w:pPr>
        <w:pStyle w:val="9"/>
        <w:bidi w:val="0"/>
        <w:rPr>
          <w:rFonts w:hint="default"/>
        </w:rPr>
      </w:pPr>
    </w:p>
    <w:p w14:paraId="7239F9B8">
      <w:pPr>
        <w:pStyle w:val="10"/>
        <w:bidi w:val="0"/>
        <w:rPr>
          <w:rFonts w:hint="eastAsia"/>
          <w:lang w:val="en-US" w:eastAsia="zh-CN"/>
        </w:rPr>
      </w:pPr>
      <w:bookmarkStart w:id="1" w:name="_Toc31549"/>
      <w:r>
        <w:rPr>
          <w:rFonts w:hint="eastAsia"/>
          <w:lang w:val="en-US" w:eastAsia="zh-CN"/>
        </w:rPr>
        <w:t>2.The core logic and execution path of marketing plan</w:t>
      </w:r>
      <w:bookmarkEnd w:id="1"/>
    </w:p>
    <w:p w14:paraId="4F71A8A7">
      <w:pPr>
        <w:pStyle w:val="9"/>
        <w:numPr>
          <w:numId w:val="0"/>
        </w:numPr>
        <w:bidi w:val="0"/>
        <w:rPr>
          <w:rFonts w:hint="default" w:eastAsia="宋体"/>
          <w:lang w:val="en-US" w:eastAsia="zh-CN"/>
        </w:rPr>
      </w:pPr>
      <w:r>
        <w:rPr>
          <w:rFonts w:hint="default" w:eastAsia="宋体"/>
          <w:lang w:val="en-US" w:eastAsia="zh-CN"/>
        </w:rPr>
        <w:t>KFC UK focuses on the expansion of plant based product lines, and aims to increase the proportion of sales from 8% to 20% within 12 months, facing the pressure of HFSS regulation compliance (adjust 83% menu before 2025) and the health needs of 62% of young consumers (Statista, 2023). By leveraging the global supply chain cost advantage (15% lower) and 8.4 million app user data, we balance the risk of product singularity (chicken accounts for 79% of revenue) and reshape brand competitiveness through localized innovation (such as low salt plant-based chicken chunks).</w:t>
      </w:r>
    </w:p>
    <w:p w14:paraId="2D65D4E3">
      <w:pPr>
        <w:pStyle w:val="9"/>
        <w:numPr>
          <w:numId w:val="0"/>
        </w:numPr>
        <w:bidi w:val="0"/>
        <w:rPr>
          <w:rFonts w:hint="default" w:eastAsia="宋体"/>
          <w:lang w:val="en-US" w:eastAsia="zh-CN"/>
        </w:rPr>
      </w:pPr>
    </w:p>
    <w:p w14:paraId="018150FF">
      <w:pPr>
        <w:pStyle w:val="9"/>
        <w:numPr>
          <w:numId w:val="0"/>
        </w:numPr>
        <w:bidi w:val="0"/>
        <w:rPr>
          <w:rFonts w:hint="default" w:eastAsia="宋体"/>
          <w:lang w:val="en-US" w:eastAsia="zh-CN"/>
        </w:rPr>
      </w:pPr>
      <w:r>
        <w:rPr>
          <w:rFonts w:hint="default" w:eastAsia="宋体"/>
          <w:lang w:val="en-US" w:eastAsia="zh-CN"/>
        </w:rPr>
        <w:t>Based on the SOSTAC model, the strategy is implemented step by step: in the current situation analysis stage, PESTEL identifies policy pressures (an annual increase of 40% in plant-based demand), and SWOT exposes product singularity and a 22% employee turnover rate; The goal setting follows the SMART principle, quantifying the "20% sales proportion in August 2026" and breaking it down into three stages (3 months of research and development testing, 6 months of promotion, and 3 months of optimization); Differentiated positioning at the strategic level as a balance between tradition and health, combined with Ansoff matrix to synchronously optimize existing products and develop new ones; Tactical focus on 7P combination - dynamic pricing (25% off peak price reduction), biodegradable packaging, and pilot of green concept stores in London; During the control phase, monthly KPIs (such as App conversion rate ≥ 25%) and blockchain traceability alerts are used to respond to supply chain risks within 48 hours.</w:t>
      </w:r>
    </w:p>
    <w:p w14:paraId="0F19BCBF">
      <w:pPr>
        <w:pStyle w:val="9"/>
        <w:numPr>
          <w:numId w:val="0"/>
        </w:numPr>
        <w:bidi w:val="0"/>
        <w:rPr>
          <w:rFonts w:hint="default" w:eastAsia="宋体"/>
          <w:lang w:val="en-US" w:eastAsia="zh-CN"/>
        </w:rPr>
      </w:pPr>
    </w:p>
    <w:p w14:paraId="44B04101">
      <w:pPr>
        <w:pStyle w:val="9"/>
        <w:numPr>
          <w:numId w:val="0"/>
        </w:numPr>
        <w:bidi w:val="0"/>
        <w:rPr>
          <w:rFonts w:hint="default" w:eastAsia="宋体"/>
          <w:lang w:val="en-US" w:eastAsia="zh-CN"/>
        </w:rPr>
      </w:pPr>
      <w:r>
        <w:rPr>
          <w:rFonts w:hint="default" w:eastAsia="宋体"/>
          <w:lang w:val="en-US" w:eastAsia="zh-CN"/>
        </w:rPr>
        <w:t>The SMART principle runs through the entire process: specific goals (such as increasing repurchase rate from 11% to 30%), measurable goals (avoiding a fine of £ 2.3 million), resource matching (global supply chain and digital user base), and clear deadlines (stage responsibility system). This framework promotes KFC's transformation from a "fried chicken supplier" to a "dietary ecosystem" and redefines industry competition rules.</w:t>
      </w:r>
    </w:p>
    <w:p w14:paraId="02913138">
      <w:pPr>
        <w:pStyle w:val="9"/>
        <w:numPr>
          <w:numId w:val="0"/>
        </w:numPr>
        <w:bidi w:val="0"/>
        <w:rPr>
          <w:rFonts w:hint="default" w:eastAsia="宋体"/>
          <w:lang w:val="en-US" w:eastAsia="zh-CN"/>
        </w:rPr>
      </w:pPr>
    </w:p>
    <w:p w14:paraId="010FD3EF">
      <w:pPr>
        <w:pStyle w:val="10"/>
        <w:bidi w:val="0"/>
        <w:rPr>
          <w:rFonts w:hint="default"/>
        </w:rPr>
      </w:pPr>
      <w:bookmarkStart w:id="2" w:name="_Toc4250"/>
      <w:r>
        <w:rPr>
          <w:rFonts w:hint="eastAsia"/>
          <w:lang w:val="en-US" w:eastAsia="zh-CN"/>
        </w:rPr>
        <w:t>3.Situation Analysis</w:t>
      </w:r>
      <w:bookmarkEnd w:id="2"/>
    </w:p>
    <w:p w14:paraId="28DBABE3">
      <w:pPr>
        <w:pStyle w:val="9"/>
        <w:numPr>
          <w:numId w:val="0"/>
        </w:numPr>
        <w:bidi w:val="0"/>
        <w:rPr>
          <w:rFonts w:hint="default" w:eastAsia="宋体"/>
          <w:lang w:val="en-US" w:eastAsia="zh-CN"/>
        </w:rPr>
      </w:pPr>
      <w:r>
        <w:rPr>
          <w:rFonts w:hint="default" w:eastAsia="宋体"/>
          <w:lang w:val="en-US" w:eastAsia="zh-CN"/>
        </w:rPr>
        <w:t>The fast food industry in the UK is experiencing multidimensional pressure from policies, economic and consumer trends. The High Fat, High Salt, and High Sugar Regulations (DHSC, 2022) force KFC to revamp 83% of its core menu by 2025 (Action on Salt, 2023), directly impacting its traditional fried chicken profit model. The 24% surge in chicken prices in 2023, coupled with consecutive interest rate hikes by the central bank, resulted in a halving of its single store profit margin from 7.1% to 4.8% (KFC Annual Report, 2023). Significant consumer segmentation: 47% of consumers consider fast food to be "unhealthy" (YouGov, 2023), while plant-based demand has increased by 40% annually, with KFC related products accounting for only 8% of revenue and a repeat purchase rate lagging behind by 37% (Euromonitor, 2023). On the technical level, although digital orders account for 35% of the industry's leading share, AI system failures resulted in quarterly losses of £ 4.3 million and meal delivery efficiency lagging behind McDonald's by 40 seconds (QSR Magazine, 2023), highlighting efficiency shortcomings.</w:t>
      </w:r>
    </w:p>
    <w:p w14:paraId="6545512A">
      <w:pPr>
        <w:pStyle w:val="9"/>
        <w:numPr>
          <w:numId w:val="0"/>
        </w:numPr>
        <w:bidi w:val="0"/>
        <w:rPr>
          <w:rFonts w:hint="default" w:eastAsia="宋体"/>
          <w:lang w:val="en-US" w:eastAsia="zh-CN"/>
        </w:rPr>
      </w:pPr>
    </w:p>
    <w:p w14:paraId="160BF9A0">
      <w:pPr>
        <w:pStyle w:val="9"/>
        <w:numPr>
          <w:numId w:val="0"/>
        </w:numPr>
        <w:bidi w:val="0"/>
        <w:rPr>
          <w:rFonts w:hint="default" w:eastAsia="宋体"/>
          <w:lang w:val="en-US" w:eastAsia="zh-CN"/>
        </w:rPr>
      </w:pPr>
      <w:r>
        <w:rPr>
          <w:rFonts w:hint="default" w:eastAsia="宋体"/>
          <w:lang w:val="en-US" w:eastAsia="zh-CN"/>
        </w:rPr>
        <w:t>KFC's supply chain still has advantages: global procurement costs are 12% -15% lower (Bloomberg, 2023), the risk of avian influenza supply disruptions is reduced to 6 hours (Supply Chain Report, 2023), 8.4 million app users spend an average of £ 23 more per year, and dynamic pricing increases peak premiums by 8% (McKinsey, 2023). But product homogenization (chicken accounts for 79%) has become a fatal injury - avian influenza caused £ 27 million in damage in 2022, far exceeding McDonald's £ 9 million (FT, 2023). The human resources weakness exacerbates the risk: a 22% employee turnover rate and a 14 month tenure for store managers have led to a standardized execution rate falling to 81% (industry benchmark of 95%), directly dragging down the consumer experience (People Management, 2023).</w:t>
      </w:r>
    </w:p>
    <w:p w14:paraId="6987AB08">
      <w:pPr>
        <w:pStyle w:val="9"/>
        <w:numPr>
          <w:numId w:val="0"/>
        </w:numPr>
        <w:bidi w:val="0"/>
        <w:rPr>
          <w:rFonts w:hint="default" w:eastAsia="宋体"/>
          <w:lang w:val="en-US" w:eastAsia="zh-CN"/>
        </w:rPr>
      </w:pPr>
    </w:p>
    <w:p w14:paraId="5C901DCD">
      <w:pPr>
        <w:pStyle w:val="9"/>
        <w:numPr>
          <w:numId w:val="0"/>
        </w:numPr>
        <w:bidi w:val="0"/>
        <w:rPr>
          <w:rFonts w:hint="default" w:eastAsia="宋体"/>
          <w:lang w:val="en-US" w:eastAsia="zh-CN"/>
        </w:rPr>
      </w:pPr>
      <w:r>
        <w:rPr>
          <w:rFonts w:hint="default" w:eastAsia="宋体"/>
          <w:lang w:val="en-US" w:eastAsia="zh-CN"/>
        </w:rPr>
        <w:t>Industry competition is intensifying: McDonald's (31% share) and Burger King's price war have pushed the profit margin of the entire family to 3.2% (Euromonitor, 2023); The health brand Itsu has captured 14% of young customers with customized salads (IBISWorld, 2023), while the popularity of air fryers has led to 30% of consumers reducing takeout, impacting KFC's nighttime orders by 7% (Kantar, 2023). The imbalance of upstream bargaining power exacerbates the dilemma - two major suppliers control 70% of chicken supply, forcing KFC to sign a raw material cost linkage clause (British Poultry Council, 2023).</w:t>
      </w:r>
    </w:p>
    <w:p w14:paraId="2C962215">
      <w:pPr>
        <w:pStyle w:val="9"/>
        <w:numPr>
          <w:numId w:val="0"/>
        </w:numPr>
        <w:bidi w:val="0"/>
        <w:rPr>
          <w:rFonts w:hint="default" w:eastAsia="宋体"/>
          <w:lang w:val="en-US" w:eastAsia="zh-CN"/>
        </w:rPr>
      </w:pPr>
    </w:p>
    <w:p w14:paraId="11C14F13">
      <w:pPr>
        <w:pStyle w:val="9"/>
        <w:numPr>
          <w:numId w:val="0"/>
        </w:numPr>
        <w:bidi w:val="0"/>
        <w:rPr>
          <w:rFonts w:hint="default" w:eastAsia="宋体"/>
          <w:lang w:val="en-US" w:eastAsia="zh-CN"/>
        </w:rPr>
      </w:pPr>
      <w:r>
        <w:rPr>
          <w:rFonts w:hint="default" w:eastAsia="宋体"/>
          <w:lang w:val="en-US" w:eastAsia="zh-CN"/>
        </w:rPr>
        <w:t>Strategic breakthroughs need to focus on three major contradictions: the disconnect between digital investment and supply chain resilience, the mismatch between standardized menus and local health needs, and a compliance budget that is less than half of McDonald's (MarketWatch, 2023). KFC urgently needs to shift towards agile capability building, by increasing local procurement to 60% within five years, reducing plant-based sodium content by 20%, and increasing compliance budget to 10%, to build sustainable competitive advantages and reshape industry competition rules.</w:t>
      </w:r>
    </w:p>
    <w:p w14:paraId="7F8F5D67">
      <w:pPr>
        <w:pStyle w:val="9"/>
        <w:numPr>
          <w:numId w:val="0"/>
        </w:numPr>
        <w:bidi w:val="0"/>
        <w:rPr>
          <w:rFonts w:hint="default" w:eastAsia="宋体"/>
          <w:lang w:val="en-US" w:eastAsia="zh-CN"/>
        </w:rPr>
      </w:pPr>
    </w:p>
    <w:p w14:paraId="51C0690E">
      <w:pPr>
        <w:pStyle w:val="10"/>
        <w:bidi w:val="0"/>
        <w:rPr>
          <w:rFonts w:hint="default"/>
        </w:rPr>
      </w:pPr>
      <w:bookmarkStart w:id="3" w:name="_Toc25780"/>
      <w:r>
        <w:rPr>
          <w:rFonts w:hint="eastAsia"/>
          <w:lang w:val="en-US" w:eastAsia="zh-CN"/>
        </w:rPr>
        <w:t>4.</w:t>
      </w:r>
      <w:r>
        <w:rPr>
          <w:rFonts w:hint="default"/>
        </w:rPr>
        <w:t>Objectives</w:t>
      </w:r>
      <w:bookmarkEnd w:id="3"/>
    </w:p>
    <w:p w14:paraId="44AE6C2A">
      <w:pPr>
        <w:pStyle w:val="9"/>
        <w:numPr>
          <w:numId w:val="0"/>
        </w:num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KFC UK plans to increase the proportion of sales of plant-based products from 8% to 20% by August 2026, facing the pressure of HFSS regulations (adjust 83% of the menu by 2025) and the health needs of 62% of young consumers (YouGov, 2023). In the face of McDonald's "Beyond Meat" package capturing 14% of the young customer base (IBISWorld, 2023), KFC needs to solve the problem through differentiation: launch three low salt plant based products (such as plant fried chicken burgers), covering 90% of stores in London and Manchester, relying on 8.4 million App users' precise push and dynamic pricing (25% off peak price reduction), combined with local suppliers' cost reduction of 12% (Bloomberg, 2023), the target repurchase rate will increase from 11% to 30%.</w:t>
      </w:r>
    </w:p>
    <w:p w14:paraId="4FB29DD6">
      <w:pPr>
        <w:pStyle w:val="9"/>
        <w:numPr>
          <w:numId w:val="0"/>
        </w:numPr>
        <w:bidi w:val="0"/>
        <w:rPr>
          <w:rFonts w:hint="default" w:ascii="Times New Roman" w:hAnsi="Times New Roman" w:cs="Times New Roman"/>
          <w:sz w:val="24"/>
          <w:szCs w:val="24"/>
          <w:lang w:val="en-US" w:eastAsia="zh-CN"/>
        </w:rPr>
      </w:pPr>
    </w:p>
    <w:p w14:paraId="3BA71790">
      <w:pPr>
        <w:pStyle w:val="9"/>
        <w:numPr>
          <w:numId w:val="0"/>
        </w:num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Three stages of promotion: product testing to be completed by the end of 2025 (sales accounting for 5%), omnichannel promotion by mid-2026 (target of 15%), and ultimately achieving 20% by August. Expected to attract 2.4 million healthy consumers, drive revenue growth of 6% (Statista, 2023), and avoid fines of £ 2.3 million (Action on Salt, 2023). By using biodegradable packaging and carbon footprint labels, we aim to transform our brand from a "fried chicken expert" to a "dietary ecosystem" and reshape the industry's competitive rules.</w:t>
      </w:r>
    </w:p>
    <w:p w14:paraId="75918E42">
      <w:pPr>
        <w:pStyle w:val="9"/>
        <w:numPr>
          <w:numId w:val="0"/>
        </w:numPr>
        <w:bidi w:val="0"/>
        <w:rPr>
          <w:rFonts w:hint="default" w:ascii="Times New Roman" w:hAnsi="Times New Roman" w:cs="Times New Roman"/>
          <w:sz w:val="24"/>
          <w:szCs w:val="24"/>
          <w:lang w:val="en-US" w:eastAsia="zh-CN"/>
        </w:rPr>
      </w:pPr>
    </w:p>
    <w:p w14:paraId="5FF82FED">
      <w:pPr>
        <w:pStyle w:val="10"/>
        <w:bidi w:val="0"/>
        <w:rPr>
          <w:rFonts w:hint="default"/>
        </w:rPr>
      </w:pPr>
      <w:bookmarkStart w:id="4" w:name="_Toc23619"/>
      <w:r>
        <w:rPr>
          <w:rFonts w:hint="eastAsia"/>
          <w:lang w:val="en-US" w:eastAsia="zh-CN"/>
        </w:rPr>
        <w:t>5.</w:t>
      </w:r>
      <w:r>
        <w:rPr>
          <w:rFonts w:hint="default"/>
        </w:rPr>
        <w:t>Strategy</w:t>
      </w:r>
      <w:bookmarkEnd w:id="4"/>
    </w:p>
    <w:p w14:paraId="3F0D3970">
      <w:pPr>
        <w:pStyle w:val="9"/>
        <w:numPr>
          <w:numId w:val="0"/>
        </w:numPr>
        <w:bidi w:val="0"/>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KFC is using the Ansoff Growth Matrix as a framework to simultaneously promote market penetration and product development: optimizing existing plant-based products (reducing sodium content by 20% while retaining traditional flavors) and developing localized new products (such as the "Spicy Plant Chicken Roll" repurchase rate of 34%), while also catering to the traditional customer base aged 35 and above and the healthy 18-24 age group with an average annual growth rate of 28% (IBISWorld, 2023). In terms of differentiation strategy, we responded to the transparency needs of 62% of young consumers through blockchain traceability and the interactive screen of the "nutrition calculator" (order volume+19%) (YouGov, 2023), and followed the Pret A Manger charity model by donating £ 0.5 for each sale, increasing the repurchase rate by 22% (MarketWatch, 2023).</w:t>
      </w:r>
    </w:p>
    <w:p w14:paraId="5D6996F9">
      <w:pPr>
        <w:pStyle w:val="9"/>
        <w:numPr>
          <w:numId w:val="0"/>
        </w:numPr>
        <w:bidi w:val="0"/>
        <w:ind w:leftChars="0"/>
        <w:rPr>
          <w:rFonts w:hint="default" w:ascii="Times New Roman" w:hAnsi="Times New Roman" w:cs="Times New Roman"/>
          <w:sz w:val="24"/>
          <w:szCs w:val="24"/>
          <w:lang w:val="en-US" w:eastAsia="zh-CN"/>
        </w:rPr>
      </w:pPr>
    </w:p>
    <w:p w14:paraId="2555C621">
      <w:pPr>
        <w:pStyle w:val="9"/>
        <w:numPr>
          <w:numId w:val="0"/>
        </w:numPr>
        <w:bidi w:val="0"/>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goal is to focus on urban white-collar workers aged 18-35 (average daily takeout ≥ 2 times), give priority to London and Manchester, where the density of healthy fast food outlets is 37% high, and strengthen the positioning of "delicious and healthy" with the visual symbol of "green wings". The strategic implementation relies on a dual source supply chain (reducing the downtime to 12 hours), AI demand forecasting (increasing humidity by 10% and salad sales by 8%), and a cross departmental agile team (increasing decision-making efficiency by 40%). The risk hedging mechanism includes "transparent kitchen" live streaming to address doubts, patent technology barriers, and price fluctuation threshold control to ensure transformation resilience.</w:t>
      </w:r>
    </w:p>
    <w:p w14:paraId="71E9F650">
      <w:pPr>
        <w:pStyle w:val="9"/>
        <w:numPr>
          <w:numId w:val="0"/>
        </w:numPr>
        <w:bidi w:val="0"/>
        <w:ind w:leftChars="0"/>
        <w:rPr>
          <w:rFonts w:hint="eastAsia" w:cs="Times New Roman"/>
          <w:sz w:val="24"/>
          <w:szCs w:val="24"/>
          <w:lang w:val="en-US" w:eastAsia="zh-CN"/>
        </w:rPr>
      </w:pPr>
    </w:p>
    <w:p w14:paraId="1440CB15">
      <w:pPr>
        <w:pStyle w:val="10"/>
        <w:bidi w:val="0"/>
        <w:rPr>
          <w:rFonts w:hint="default"/>
        </w:rPr>
      </w:pPr>
      <w:bookmarkStart w:id="5" w:name="_Toc18610"/>
      <w:r>
        <w:rPr>
          <w:rFonts w:hint="eastAsia"/>
          <w:lang w:val="en-US" w:eastAsia="zh-CN"/>
        </w:rPr>
        <w:t>6.</w:t>
      </w:r>
      <w:r>
        <w:rPr>
          <w:rFonts w:hint="default"/>
        </w:rPr>
        <w:t>Tactics</w:t>
      </w:r>
      <w:bookmarkEnd w:id="5"/>
    </w:p>
    <w:p w14:paraId="614047B6">
      <w:pPr>
        <w:pStyle w:val="9"/>
        <w:numPr>
          <w:numId w:val="0"/>
        </w:numPr>
        <w:bidi w:val="0"/>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Three HFSS compliant new products have been launched on the product side, including plant-based fried chicken burgers and grilled chicken chunks with a 20% salt reduction, balancing traditional flavors with health needs. The pricing strategy adopts a dual attack: the first month trial price of £ 3.99 attracts new customers, combined with a 25% discount on limited time flash purchases at 3pm to activate off peak consumption. The communication layer has launched the # KFCMeatFreeChallenge, collaborating with vegetarian bloggers to conduct TikTok live teaching. App members can enjoy a 50% discount on their first order and a free fried chicken coupon for repeat purchases, achieving social fission and private domain traffic conversion.</w:t>
      </w:r>
    </w:p>
    <w:p w14:paraId="3B339367">
      <w:pPr>
        <w:pStyle w:val="9"/>
        <w:numPr>
          <w:numId w:val="0"/>
        </w:numPr>
        <w:bidi w:val="0"/>
        <w:ind w:leftChars="0"/>
        <w:rPr>
          <w:rFonts w:hint="default" w:ascii="Times New Roman" w:hAnsi="Times New Roman" w:cs="Times New Roman"/>
          <w:sz w:val="24"/>
          <w:szCs w:val="24"/>
          <w:lang w:val="en-US" w:eastAsia="zh-CN"/>
        </w:rPr>
      </w:pPr>
    </w:p>
    <w:p w14:paraId="2A1F2D3B">
      <w:pPr>
        <w:pStyle w:val="9"/>
        <w:numPr>
          <w:numId w:val="0"/>
        </w:numPr>
        <w:bidi w:val="0"/>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Channel layout strengthens online and offline collaboration: a plant-based area is set up on the app homepage (with 30% of recommended spaces), and the "Green Concept Store" in London/Manchester provides interactive experiences of tasting and carbon footprint. Introduce AR simulation system for personnel training, update product knowledge and allergen control process in real time, and include plant-based sales revenue in the performance evaluation of store staff. Upgrade the AI ordering system on the operational end to reduce the failure rate by 15%, and use blockchain technology to achieve full traceability from farm to store. Brand vision is fully refreshed -100% biodegradable packaging with carbon footprint labels embedded, stores adopting green plant walls and health data screens, reshaping the perception of "sustainable fast food".</w:t>
      </w:r>
    </w:p>
    <w:p w14:paraId="75B3EA50">
      <w:pPr>
        <w:pStyle w:val="9"/>
        <w:numPr>
          <w:numId w:val="0"/>
        </w:numPr>
        <w:bidi w:val="0"/>
        <w:ind w:leftChars="0"/>
        <w:rPr>
          <w:rFonts w:hint="default" w:ascii="Times New Roman" w:hAnsi="Times New Roman" w:cs="Times New Roman"/>
          <w:sz w:val="24"/>
          <w:szCs w:val="24"/>
          <w:lang w:val="en-US" w:eastAsia="zh-CN"/>
        </w:rPr>
      </w:pPr>
    </w:p>
    <w:p w14:paraId="01C4B795">
      <w:pPr>
        <w:pStyle w:val="10"/>
        <w:bidi w:val="0"/>
        <w:rPr>
          <w:rFonts w:hint="default"/>
        </w:rPr>
      </w:pPr>
      <w:bookmarkStart w:id="6" w:name="_Toc15874"/>
      <w:r>
        <w:rPr>
          <w:rFonts w:hint="eastAsia"/>
          <w:lang w:val="en-US" w:eastAsia="zh-CN"/>
        </w:rPr>
        <w:t>8.</w:t>
      </w:r>
      <w:r>
        <w:rPr>
          <w:rFonts w:hint="default"/>
        </w:rPr>
        <w:t>Actions</w:t>
      </w:r>
      <w:bookmarkEnd w:id="6"/>
    </w:p>
    <w:p w14:paraId="3536B660">
      <w:pPr>
        <w:pStyle w:val="9"/>
        <w:bidi w:val="0"/>
        <w:rPr>
          <w:rFonts w:hint="default"/>
          <w:lang w:val="en-US" w:eastAsia="zh-CN"/>
        </w:rPr>
      </w:pPr>
      <w:r>
        <w:rPr>
          <w:rFonts w:hint="default"/>
          <w:lang w:val="en-US" w:eastAsia="zh-CN"/>
        </w:rPr>
        <w:t>Phase 1: Product Development and Supply Chain Foundation (September November 2025)</w:t>
      </w:r>
    </w:p>
    <w:p w14:paraId="46DD96DD">
      <w:pPr>
        <w:pStyle w:val="9"/>
        <w:bidi w:val="0"/>
        <w:rPr>
          <w:rFonts w:hint="default"/>
          <w:lang w:val="en-US" w:eastAsia="zh-CN"/>
        </w:rPr>
      </w:pPr>
      <w:r>
        <w:rPr>
          <w:rFonts w:hint="default"/>
          <w:lang w:val="en-US" w:eastAsia="zh-CN"/>
        </w:rPr>
        <w:t>The KFC R&amp;D team collaborates with food technology companies such as Beyond Meat to carry out formula upgrade projects for plant-based products. On the basis of retaining the iconic "11 herbs and spices" flavors, the sodium content was reduced by 20% to comply with HFSS regulations, and market acceptance was verified through consumer blind testing. The target satisfaction score reached 4.2/5 (compared to similar McDonald's products). Implementing a "dual engine driven" strategy on the supply chain side: signing a three-year exclusive agreement with UK based supplier Quorn to reduce raw material costs by 12% (Bloomberg 2023); Introduce Schouten from the Netherlands as a strategic backup supplier and build a 3-month safety stock covering all UK stores. Synchronously launch the AR simulation training system to enhance employees' knowledge of plant-based products and allergen control capabilities through virtual kitchen scenes. The goal is to achieve 90% employee certification by the end of November, and reduce the service error rate from 12% to 5%.</w:t>
      </w:r>
    </w:p>
    <w:p w14:paraId="24B165F6">
      <w:pPr>
        <w:pStyle w:val="9"/>
        <w:bidi w:val="0"/>
        <w:rPr>
          <w:rFonts w:hint="default"/>
          <w:lang w:val="en-US" w:eastAsia="zh-CN"/>
        </w:rPr>
      </w:pPr>
    </w:p>
    <w:p w14:paraId="7BF75E55">
      <w:pPr>
        <w:pStyle w:val="9"/>
        <w:bidi w:val="0"/>
        <w:rPr>
          <w:rFonts w:hint="default"/>
          <w:lang w:val="en-US" w:eastAsia="zh-CN"/>
        </w:rPr>
      </w:pPr>
      <w:r>
        <w:rPr>
          <w:rFonts w:hint="default"/>
          <w:lang w:val="en-US" w:eastAsia="zh-CN"/>
        </w:rPr>
        <w:t>Phase 2: Omnichannel Experience Upgrade (January March 2026)</w:t>
      </w:r>
    </w:p>
    <w:p w14:paraId="54B12F75">
      <w:pPr>
        <w:pStyle w:val="9"/>
        <w:bidi w:val="0"/>
        <w:rPr>
          <w:rFonts w:hint="default"/>
          <w:lang w:val="en-US" w:eastAsia="zh-CN"/>
        </w:rPr>
      </w:pPr>
      <w:r>
        <w:rPr>
          <w:rFonts w:hint="default"/>
          <w:lang w:val="en-US" w:eastAsia="zh-CN"/>
        </w:rPr>
        <w:t>The omnichannel strategy focuses on the integration of digitalization and scenario based approaches. The "Green Wings" section has been launched on the app, with algorithm recommendation weights increased to 30%. AI customer service analyzes nutritional data in real-time, and the target proportion of plant-based orders in the first week is 15%. Social media launched the # KFCMeatFreeChallenge and collaborated with vegetarian bloggers to launch a live stream of the "15 Day Transformation Plan". User generated content received over 10000 likes to redeem for limited edition meal boxes, and the target topic's views exceeded 50 million, driving a 20% increase in app downloads. Create an immersive experience store offline, equipped with carbon footprint calculation screens and plant-based cooking workshops, with a daily target customer flow of 1200 people, plant-based orders accounting for 45%, and synchronously testing the market acceptance of reusable packaging.</w:t>
      </w:r>
    </w:p>
    <w:p w14:paraId="4E709EE8">
      <w:pPr>
        <w:pStyle w:val="9"/>
        <w:bidi w:val="0"/>
        <w:rPr>
          <w:rFonts w:hint="default"/>
          <w:lang w:val="en-US" w:eastAsia="zh-CN"/>
        </w:rPr>
      </w:pPr>
    </w:p>
    <w:p w14:paraId="7647D7C5">
      <w:pPr>
        <w:pStyle w:val="9"/>
        <w:bidi w:val="0"/>
        <w:rPr>
          <w:rFonts w:hint="default"/>
          <w:lang w:val="en-US" w:eastAsia="zh-CN"/>
        </w:rPr>
      </w:pPr>
      <w:r>
        <w:rPr>
          <w:rFonts w:hint="default"/>
          <w:lang w:val="en-US" w:eastAsia="zh-CN"/>
        </w:rPr>
        <w:t>Phase 3: Large scale operation and dynamic optimization (May August 2026)</w:t>
      </w:r>
    </w:p>
    <w:p w14:paraId="084807E3">
      <w:pPr>
        <w:pStyle w:val="9"/>
        <w:bidi w:val="0"/>
        <w:rPr>
          <w:rFonts w:hint="default"/>
          <w:lang w:val="en-US" w:eastAsia="zh-CN"/>
        </w:rPr>
      </w:pPr>
      <w:r>
        <w:rPr>
          <w:rFonts w:hint="default"/>
          <w:lang w:val="en-US" w:eastAsia="zh-CN"/>
        </w:rPr>
        <w:t>The nationwide stores have launched a synchronized "health offensive": smart lunch cabinets have been added to office area stores, and "learning energy packages" have been launched in university surrounding stores, with a target student customer penetration rate of 35% by the end of June. The price system introduces a dynamic adjustment model, based on real-time sales data, to implement "3 pm flash purchase" (25% price reduction) in low conversion areas, combined with meteorological data to optimize inventory (10% humidity per liter for soup products, increasing inventory by 30%). Establish a dual channel mechanism for user feedback: 500 points will be rewarded for monthly research on the App to exchange for star products, and every two weeks, the B end will hold a market/supply chain/R&amp;D "iron triangle meeting". The goal is to increase the repurchase rate to 28% by the end of August and achieve customer satisfaction of 4.4/5.</w:t>
      </w:r>
    </w:p>
    <w:p w14:paraId="5F5F60E2">
      <w:pPr>
        <w:pStyle w:val="9"/>
        <w:bidi w:val="0"/>
        <w:rPr>
          <w:rFonts w:hint="default"/>
          <w:lang w:val="en-US" w:eastAsia="zh-CN"/>
        </w:rPr>
      </w:pPr>
    </w:p>
    <w:p w14:paraId="7A866D40">
      <w:pPr>
        <w:pStyle w:val="9"/>
        <w:bidi w:val="0"/>
        <w:rPr>
          <w:rFonts w:hint="default"/>
          <w:lang w:val="en-US" w:eastAsia="zh-CN"/>
        </w:rPr>
      </w:pPr>
      <w:r>
        <w:rPr>
          <w:rFonts w:hint="default"/>
          <w:lang w:val="en-US" w:eastAsia="zh-CN"/>
        </w:rPr>
        <w:t>Risk Control and Agile Response System</w:t>
      </w:r>
    </w:p>
    <w:p w14:paraId="4D08610F">
      <w:pPr>
        <w:pStyle w:val="9"/>
        <w:bidi w:val="0"/>
        <w:rPr>
          <w:rFonts w:hint="default"/>
          <w:lang w:val="en-US" w:eastAsia="zh-CN"/>
        </w:rPr>
      </w:pPr>
      <w:r>
        <w:rPr>
          <w:rFonts w:hint="default"/>
          <w:lang w:val="en-US" w:eastAsia="zh-CN"/>
        </w:rPr>
        <w:t>Build a three-level risk control mechanism: 1) On the supply chain side, when Schouten's backup channel is activated, synchronously push the supply chain traceability map and 10% discount compensation to users; 2) The public opinion monitoring system scans social media in real-time. When the negative voice volume exceeds the 5% threshold, the "Transparent Kitchen" live broadcast will be launched within 48 hours and authoritative agency detection reports will be released; 3) Establish a patent moat, accelerate the application of core patents such as "low-temperature extrusion molding technology" (WIPO 2023), form a 6-12 month technology window period, and simultaneously open up exclusive new product testing rights for members to maintain core users. Through this system, we ensure the resilience of strategic advancement and control the potential impact of risks on revenue within 3%.</w:t>
      </w:r>
    </w:p>
    <w:p w14:paraId="05492C8F">
      <w:pPr>
        <w:pStyle w:val="9"/>
        <w:bidi w:val="0"/>
        <w:rPr>
          <w:rFonts w:hint="default"/>
          <w:lang w:val="en-US" w:eastAsia="zh-CN"/>
        </w:rPr>
      </w:pPr>
    </w:p>
    <w:p w14:paraId="0E4A30AE">
      <w:pPr>
        <w:pStyle w:val="10"/>
        <w:bidi w:val="0"/>
        <w:rPr>
          <w:rFonts w:hint="eastAsia"/>
          <w:lang w:val="en-US" w:eastAsia="zh-CN"/>
        </w:rPr>
      </w:pPr>
      <w:bookmarkStart w:id="7" w:name="_Toc21104"/>
      <w:r>
        <w:rPr>
          <w:rFonts w:hint="eastAsia"/>
          <w:lang w:val="en-US" w:eastAsia="zh-CN"/>
        </w:rPr>
        <w:t>9.</w:t>
      </w:r>
      <w:r>
        <w:rPr>
          <w:rFonts w:hint="default"/>
        </w:rPr>
        <w:t>Control</w:t>
      </w:r>
      <w:bookmarkEnd w:id="7"/>
    </w:p>
    <w:p w14:paraId="7B05A553">
      <w:pPr>
        <w:pStyle w:val="9"/>
        <w:bidi w:val="0"/>
        <w:rPr>
          <w:rFonts w:hint="default"/>
          <w:lang w:val="en-US" w:eastAsia="zh-CN"/>
        </w:rPr>
      </w:pPr>
      <w:r>
        <w:rPr>
          <w:rFonts w:hint="default"/>
          <w:lang w:val="en-US" w:eastAsia="zh-CN"/>
        </w:rPr>
        <w:t>KFC builds a data center to track the proportion of plant-based sales, fluctuations in unit price, and dining efficiency in real-time (≤ 120 seconds). Abnormal data automatically triggers warnings - such as pushing promotional plans immediately when sales decline by 20%. By monitoring user behavior through Adobe Analytics, issues such as 15% abandoned orders caused by complex payment processes are identified. RPA tools synchronize and optimize inventory turnover rate (≥ 8 times/month), with efficiency deviations exceeding 10% and direct access to store manager workstations.</w:t>
      </w:r>
    </w:p>
    <w:p w14:paraId="3C75F7AF">
      <w:pPr>
        <w:pStyle w:val="9"/>
        <w:bidi w:val="0"/>
        <w:rPr>
          <w:rFonts w:hint="default"/>
          <w:lang w:val="en-US" w:eastAsia="zh-CN"/>
        </w:rPr>
      </w:pPr>
    </w:p>
    <w:p w14:paraId="00A05289">
      <w:pPr>
        <w:pStyle w:val="9"/>
        <w:bidi w:val="0"/>
        <w:rPr>
          <w:rFonts w:hint="default"/>
          <w:lang w:val="en-US" w:eastAsia="zh-CN"/>
        </w:rPr>
      </w:pPr>
      <w:r>
        <w:rPr>
          <w:rFonts w:hint="default"/>
          <w:lang w:val="en-US" w:eastAsia="zh-CN"/>
        </w:rPr>
        <w:t>Monthly release of the 'Health Index Report', integrating NPS scores (≥ 40), consumer reputation (35% mention rate of 'health'), and social media volume. If the data is delayed for more than 3 days, manual verification will be initiated; Hold an emergency strategy meeting every quarter when McDonald's market share gap exceeds 5% compared to competitors. User feedback leads directly to product iteration: The app has an average of over 100000 suggestions per month, driving 48 hour formula optimization. A/B testing has verified that the conversion rate of "plant package+salad" has increased by 18% before nationwide promotion.</w:t>
      </w:r>
    </w:p>
    <w:p w14:paraId="09769180">
      <w:pPr>
        <w:pStyle w:val="9"/>
        <w:bidi w:val="0"/>
        <w:rPr>
          <w:rFonts w:hint="default"/>
          <w:lang w:val="en-US" w:eastAsia="zh-CN"/>
        </w:rPr>
      </w:pPr>
    </w:p>
    <w:p w14:paraId="210B1F05">
      <w:pPr>
        <w:pStyle w:val="9"/>
        <w:bidi w:val="0"/>
        <w:rPr>
          <w:rFonts w:hint="default"/>
          <w:lang w:val="en-US" w:eastAsia="zh-CN"/>
        </w:rPr>
      </w:pPr>
      <w:r>
        <w:rPr>
          <w:rFonts w:hint="default"/>
          <w:lang w:val="en-US" w:eastAsia="zh-CN"/>
        </w:rPr>
        <w:t>Parallel risk management and control: Establish a supplier scoring model on the supply chain side (delivery on-time rate ≥ 98%), activate backup logistics for more than 72 hours of supply interruption, and receive a 10% discount compensation; Real time monitoring of HFSS policy changes on the regulatory side, completion of formula adjustments within 30 days, and quarterly third-party testing to avoid fines of £ 2.3 million. The internal "knowledge base" has accumulated experience in operating concept stores in London, while the external collaboration with the University of Cambridge has developed industry carbon labeling standards to seize compliance opportunities.</w:t>
      </w:r>
    </w:p>
    <w:p w14:paraId="7041FB15">
      <w:pPr>
        <w:pStyle w:val="9"/>
        <w:bidi w:val="0"/>
        <w:rPr>
          <w:rFonts w:hint="default"/>
          <w:lang w:val="en-US" w:eastAsia="zh-CN"/>
        </w:rPr>
      </w:pPr>
    </w:p>
    <w:p w14:paraId="5D0485F8">
      <w:pPr>
        <w:pStyle w:val="10"/>
        <w:bidi w:val="0"/>
        <w:rPr>
          <w:rFonts w:hint="default"/>
        </w:rPr>
      </w:pPr>
      <w:bookmarkStart w:id="8" w:name="_Toc2938"/>
      <w:r>
        <w:rPr>
          <w:rFonts w:hint="default"/>
        </w:rPr>
        <w:t>Recommendations</w:t>
      </w:r>
      <w:bookmarkEnd w:id="8"/>
    </w:p>
    <w:p w14:paraId="315BE94E">
      <w:pPr>
        <w:pStyle w:val="9"/>
        <w:bidi w:val="0"/>
        <w:rPr>
          <w:rFonts w:hint="default"/>
          <w:lang w:val="en-US" w:eastAsia="zh-CN"/>
        </w:rPr>
      </w:pPr>
      <w:r>
        <w:rPr>
          <w:rFonts w:hint="default"/>
          <w:lang w:val="en-US" w:eastAsia="zh-CN"/>
        </w:rPr>
        <w:t>KFC's strategy focuses on the restructuring of technology, supply chain, and organizational capabilities. We will invest 3% of our revenue (approximately 18 million pounds) in plant protein technology over the course of three years, and collaborate with the University of Cambridge to establish a laboratory to overcome the challenges of "low-temperature extrusion molding" and flavor locking. Our goal is to apply for five core patents. Synchronize the launch of the "Innovation Workshop" on the app, accelerate market validation through user voting on new product directions, and emulate the Starbucks model to increase conversion rates by 19%. Within five years, the proportion of local procurement in the supply chain will increase to 60%, the delivery radius of factories in Lincolnshire and Yorkshire will be shortened to 200 kilometers, logistics costs will be reduced by 15%, and a £ 5 million climate fund will be set up to hedge raw material fluctuations, with risk impact controlled within 2%.</w:t>
      </w:r>
    </w:p>
    <w:p w14:paraId="58739ADF">
      <w:pPr>
        <w:pStyle w:val="9"/>
        <w:bidi w:val="0"/>
        <w:rPr>
          <w:rFonts w:hint="default"/>
          <w:lang w:val="en-US" w:eastAsia="zh-CN"/>
        </w:rPr>
      </w:pPr>
    </w:p>
    <w:p w14:paraId="349CD7D2">
      <w:pPr>
        <w:pStyle w:val="9"/>
        <w:bidi w:val="0"/>
        <w:rPr>
          <w:rFonts w:hint="default"/>
          <w:lang w:val="en-US" w:eastAsia="zh-CN"/>
        </w:rPr>
      </w:pPr>
      <w:r>
        <w:rPr>
          <w:rFonts w:hint="default"/>
          <w:lang w:val="en-US" w:eastAsia="zh-CN"/>
        </w:rPr>
        <w:t>Establish a cross departmental 'war situation room' on the organizational end, equipped with real-time data dashboards to ensure a 72 hour response to regulatory changes; Develop certification courses with the Chartered Institute of Marketing in the UK, aiming to achieve 90% management certification by 2026 and reduce employee turnover by 18% based on McDonald's system.</w:t>
      </w:r>
    </w:p>
    <w:p w14:paraId="4BE77AF9">
      <w:pPr>
        <w:pStyle w:val="9"/>
        <w:bidi w:val="0"/>
        <w:rPr>
          <w:rFonts w:hint="default"/>
          <w:lang w:val="en-US" w:eastAsia="zh-CN"/>
        </w:rPr>
      </w:pPr>
    </w:p>
    <w:p w14:paraId="260277F5">
      <w:pPr>
        <w:pStyle w:val="9"/>
        <w:bidi w:val="0"/>
        <w:rPr>
          <w:rFonts w:hint="default"/>
          <w:lang w:val="en-US" w:eastAsia="zh-CN"/>
        </w:rPr>
      </w:pPr>
      <w:r>
        <w:rPr>
          <w:rFonts w:hint="default"/>
          <w:lang w:val="en-US" w:eastAsia="zh-CN"/>
        </w:rPr>
        <w:t>Activate user value at the tactical level: member tiered operation, "sustainable pioneers" enjoy new product tasting and traceability privileges, and retention rate increases by 25%; Consumer data authorization monetization, generating an annual revenue of 1.2 million pounds to support research and development. The policy side led the development of carbon label standards, cooperated with TESCO Group and other enterprises to promote industry compliance, bid for the Ministry of Health's healthy diet plan (annual order of 23 million pounds), and strengthened public health awareness.</w:t>
      </w:r>
    </w:p>
    <w:p w14:paraId="0B904409">
      <w:pPr>
        <w:pStyle w:val="9"/>
        <w:bidi w:val="0"/>
        <w:rPr>
          <w:rFonts w:hint="default"/>
          <w:lang w:val="en-US" w:eastAsia="zh-CN"/>
        </w:rPr>
      </w:pPr>
    </w:p>
    <w:p w14:paraId="52FF31E7">
      <w:pPr>
        <w:pStyle w:val="10"/>
        <w:bidi w:val="0"/>
        <w:rPr>
          <w:rFonts w:hint="default"/>
        </w:rPr>
      </w:pPr>
      <w:bookmarkStart w:id="9" w:name="_Toc17162"/>
      <w:r>
        <w:rPr>
          <w:rFonts w:hint="default"/>
        </w:rPr>
        <w:t>Conclusion</w:t>
      </w:r>
      <w:bookmarkEnd w:id="9"/>
    </w:p>
    <w:p w14:paraId="58D37FFF">
      <w:pPr>
        <w:pStyle w:val="9"/>
        <w:bidi w:val="0"/>
        <w:rPr>
          <w:rFonts w:hint="default"/>
          <w:lang w:val="en-US" w:eastAsia="zh-CN"/>
        </w:rPr>
      </w:pPr>
      <w:r>
        <w:rPr>
          <w:rFonts w:hint="default"/>
          <w:lang w:val="en-US" w:eastAsia="zh-CN"/>
        </w:rPr>
        <w:t>The expansion of plant-based product lines marks KFC's strategic transition from passive defense to active innovation. In the short term, this plan will help it cope with the pressure of HFSS regulations, achieve the goal of plant-based sales accounting for 20% within 12 months, and drive the single store profit margin back to 5.5%; In the long run, through the three-axis drive of technology research and development, supply chain localization, and organizational agility, KFC is expected to transform into a "dietary solution platform" and redefine the market rules of healthy fast food.</w:t>
      </w:r>
    </w:p>
    <w:p w14:paraId="18034D0B">
      <w:pPr>
        <w:pStyle w:val="9"/>
        <w:bidi w:val="0"/>
        <w:rPr>
          <w:rFonts w:hint="default"/>
          <w:lang w:val="en-US" w:eastAsia="zh-CN"/>
        </w:rPr>
      </w:pPr>
      <w:r>
        <w:rPr>
          <w:rFonts w:hint="default"/>
          <w:lang w:val="en-US" w:eastAsia="zh-CN"/>
        </w:rPr>
        <w:t>The essence of this transformation is value chain reconstruction - transforming health and sustainability from cost burdens to profit levers. If successful, KFC can not only resist McDonald's price war and the flank attack of emerging brands, but also occupy the high ground of the next generation of consumer trends. As Porter (2008) stated, "The ultimate form of differentiation barriers is to define industry standards." This strategic upgrade may validate this assertion and provide a paradigm reference for the transformation of traditional fast food giants.</w:t>
      </w:r>
    </w:p>
    <w:p w14:paraId="2849C63A">
      <w:pPr>
        <w:pStyle w:val="9"/>
        <w:bidi w:val="0"/>
        <w:rPr>
          <w:rFonts w:hint="default"/>
          <w:lang w:val="en-US" w:eastAsia="zh-CN"/>
        </w:rPr>
      </w:pPr>
    </w:p>
    <w:p w14:paraId="57367A36">
      <w:pPr>
        <w:pStyle w:val="9"/>
        <w:bidi w:val="0"/>
        <w:rPr>
          <w:rFonts w:hint="default"/>
          <w:lang w:val="en-US" w:eastAsia="zh-CN"/>
        </w:rPr>
      </w:pPr>
    </w:p>
    <w:p w14:paraId="0796D21F">
      <w:pPr>
        <w:pStyle w:val="9"/>
        <w:bidi w:val="0"/>
        <w:rPr>
          <w:rFonts w:hint="default"/>
          <w:lang w:val="en-US" w:eastAsia="zh-CN"/>
        </w:rPr>
      </w:pPr>
    </w:p>
    <w:p w14:paraId="226D6836">
      <w:pPr>
        <w:pStyle w:val="9"/>
        <w:bidi w:val="0"/>
        <w:rPr>
          <w:rFonts w:hint="default"/>
          <w:lang w:val="en-US" w:eastAsia="zh-CN"/>
        </w:rPr>
      </w:pPr>
    </w:p>
    <w:p w14:paraId="66B76EBD">
      <w:pPr>
        <w:pStyle w:val="9"/>
        <w:bidi w:val="0"/>
        <w:rPr>
          <w:rFonts w:hint="default"/>
          <w:lang w:val="en-US" w:eastAsia="zh-CN"/>
        </w:rPr>
      </w:pPr>
    </w:p>
    <w:p w14:paraId="35AE6EB9">
      <w:pPr>
        <w:pStyle w:val="9"/>
        <w:bidi w:val="0"/>
        <w:rPr>
          <w:rFonts w:hint="default"/>
          <w:lang w:val="en-US" w:eastAsia="zh-CN"/>
        </w:rPr>
      </w:pPr>
    </w:p>
    <w:p w14:paraId="55FAFE3C">
      <w:pPr>
        <w:pStyle w:val="10"/>
        <w:bidi w:val="0"/>
        <w:rPr>
          <w:rFonts w:hint="default"/>
          <w:lang w:val="en-US" w:eastAsia="zh-CN"/>
        </w:rPr>
      </w:pPr>
      <w:bookmarkStart w:id="10" w:name="_Toc25407"/>
    </w:p>
    <w:p w14:paraId="380E714D">
      <w:pPr>
        <w:pStyle w:val="10"/>
        <w:bidi w:val="0"/>
        <w:rPr>
          <w:rFonts w:hint="default"/>
          <w:lang w:val="en-US" w:eastAsia="zh-CN"/>
        </w:rPr>
      </w:pPr>
      <w:r>
        <w:rPr>
          <w:rFonts w:hint="eastAsia"/>
          <w:lang w:val="en-US" w:eastAsia="zh-CN"/>
        </w:rPr>
        <w:t>R</w:t>
      </w:r>
      <w:r>
        <w:rPr>
          <w:rFonts w:hint="default"/>
          <w:lang w:val="en-US" w:eastAsia="zh-CN"/>
        </w:rPr>
        <w:t>eference</w:t>
      </w:r>
      <w:bookmarkEnd w:id="10"/>
    </w:p>
    <w:p w14:paraId="6C09B7A9">
      <w:pPr>
        <w:pStyle w:val="9"/>
        <w:bidi w:val="0"/>
        <w:rPr>
          <w:rFonts w:hint="default"/>
          <w:lang w:val="en-US" w:eastAsia="zh-CN"/>
        </w:rPr>
      </w:pPr>
      <w:r>
        <w:rPr>
          <w:rFonts w:hint="default"/>
          <w:lang w:val="en-US" w:eastAsia="zh-CN"/>
        </w:rPr>
        <w:t>Action on Salt (2023) </w:t>
      </w:r>
      <w:r>
        <w:rPr>
          <w:rFonts w:hint="default"/>
          <w:i/>
          <w:iCs/>
          <w:lang w:val="en-US" w:eastAsia="zh-CN"/>
        </w:rPr>
        <w:t>Fast Food Sodium Content Report.</w:t>
      </w:r>
      <w:r>
        <w:rPr>
          <w:rFonts w:hint="default"/>
          <w:lang w:val="en-US" w:eastAsia="zh-CN"/>
        </w:rPr>
        <w:t xml:space="preserve"> London: Queen Mary University of London.</w:t>
      </w:r>
    </w:p>
    <w:p w14:paraId="50BC463F">
      <w:pPr>
        <w:pStyle w:val="9"/>
        <w:bidi w:val="0"/>
        <w:rPr>
          <w:rFonts w:hint="default"/>
          <w:lang w:val="en-US" w:eastAsia="zh-CN"/>
        </w:rPr>
      </w:pPr>
    </w:p>
    <w:p w14:paraId="323D6222">
      <w:pPr>
        <w:pStyle w:val="9"/>
        <w:bidi w:val="0"/>
        <w:rPr>
          <w:rFonts w:hint="default"/>
          <w:lang w:val="en-US" w:eastAsia="zh-CN"/>
        </w:rPr>
      </w:pPr>
      <w:r>
        <w:rPr>
          <w:rFonts w:hint="default"/>
          <w:lang w:val="en-US" w:eastAsia="zh-CN"/>
        </w:rPr>
        <w:t>BBC News (2022) </w:t>
      </w:r>
      <w:r>
        <w:rPr>
          <w:rFonts w:hint="default"/>
          <w:i/>
          <w:iCs/>
          <w:lang w:val="en-US" w:eastAsia="zh-CN"/>
        </w:rPr>
        <w:t xml:space="preserve">KFC chicken shortage: 550 UK shops close, </w:t>
      </w:r>
      <w:r>
        <w:rPr>
          <w:rFonts w:hint="default"/>
          <w:i w:val="0"/>
          <w:iCs w:val="0"/>
          <w:lang w:val="en-US" w:eastAsia="zh-CN"/>
        </w:rPr>
        <w:t>19 July</w:t>
      </w:r>
      <w:r>
        <w:rPr>
          <w:rFonts w:hint="default"/>
          <w:i/>
          <w:iCs/>
          <w:lang w:val="en-US" w:eastAsia="zh-CN"/>
        </w:rPr>
        <w:t>.</w:t>
      </w:r>
      <w:r>
        <w:rPr>
          <w:rFonts w:hint="default"/>
          <w:lang w:val="en-US" w:eastAsia="zh-CN"/>
        </w:rPr>
        <w:t xml:space="preserve"> Available at: </w:t>
      </w:r>
      <w:r>
        <w:rPr>
          <w:rFonts w:hint="default"/>
          <w:lang w:val="en-US" w:eastAsia="zh-CN"/>
        </w:rPr>
        <w:fldChar w:fldCharType="begin"/>
      </w:r>
      <w:r>
        <w:rPr>
          <w:rFonts w:hint="default"/>
          <w:lang w:val="en-US" w:eastAsia="zh-CN"/>
        </w:rPr>
        <w:instrText xml:space="preserve"> HYPERLINK "https://www.bbc.co.uk/news" \t "https://chat.deepseek.com/a/chat/s/_blank" </w:instrText>
      </w:r>
      <w:r>
        <w:rPr>
          <w:rFonts w:hint="default"/>
          <w:lang w:val="en-US" w:eastAsia="zh-CN"/>
        </w:rPr>
        <w:fldChar w:fldCharType="separate"/>
      </w:r>
      <w:r>
        <w:rPr>
          <w:rFonts w:hint="default"/>
          <w:lang w:val="en-US" w:eastAsia="zh-CN"/>
        </w:rPr>
        <w:t>https://www.bbc.co.uk/news</w:t>
      </w:r>
      <w:r>
        <w:rPr>
          <w:rFonts w:hint="default"/>
          <w:lang w:val="en-US" w:eastAsia="zh-CN"/>
        </w:rPr>
        <w:fldChar w:fldCharType="end"/>
      </w:r>
      <w:r>
        <w:rPr>
          <w:rFonts w:hint="default"/>
          <w:lang w:val="en-US" w:eastAsia="zh-CN"/>
        </w:rPr>
        <w:t> (Accessed: 15 October 2023).</w:t>
      </w:r>
    </w:p>
    <w:p w14:paraId="11E591D6">
      <w:pPr>
        <w:pStyle w:val="9"/>
        <w:bidi w:val="0"/>
        <w:rPr>
          <w:rFonts w:hint="default"/>
          <w:lang w:val="en-US" w:eastAsia="zh-CN"/>
        </w:rPr>
      </w:pPr>
    </w:p>
    <w:p w14:paraId="1D57EE11">
      <w:pPr>
        <w:pStyle w:val="9"/>
        <w:bidi w:val="0"/>
        <w:rPr>
          <w:rFonts w:hint="default"/>
          <w:lang w:val="en-US" w:eastAsia="zh-CN"/>
        </w:rPr>
      </w:pPr>
      <w:r>
        <w:rPr>
          <w:rFonts w:hint="default"/>
          <w:lang w:val="en-US" w:eastAsia="zh-CN"/>
        </w:rPr>
        <w:t>Bloomberg (2023) *</w:t>
      </w:r>
      <w:r>
        <w:rPr>
          <w:rFonts w:hint="default"/>
          <w:i w:val="0"/>
          <w:iCs w:val="0"/>
          <w:lang w:val="en-US" w:eastAsia="zh-CN"/>
        </w:rPr>
        <w:t>Global Poultry Price Trends 2022-2023</w:t>
      </w:r>
      <w:r>
        <w:rPr>
          <w:rFonts w:hint="default"/>
          <w:lang w:val="en-US" w:eastAsia="zh-CN"/>
        </w:rPr>
        <w:t>*. New York: Bloomberg L.P.</w:t>
      </w:r>
    </w:p>
    <w:p w14:paraId="4F1DD436">
      <w:pPr>
        <w:pStyle w:val="9"/>
        <w:bidi w:val="0"/>
        <w:rPr>
          <w:rFonts w:hint="default"/>
          <w:lang w:val="en-US" w:eastAsia="zh-CN"/>
        </w:rPr>
      </w:pPr>
    </w:p>
    <w:p w14:paraId="22B07D18">
      <w:pPr>
        <w:pStyle w:val="9"/>
        <w:bidi w:val="0"/>
        <w:rPr>
          <w:rFonts w:hint="default"/>
          <w:lang w:val="en-US" w:eastAsia="zh-CN"/>
        </w:rPr>
      </w:pPr>
      <w:r>
        <w:rPr>
          <w:rFonts w:hint="default"/>
          <w:lang w:val="en-US" w:eastAsia="zh-CN"/>
        </w:rPr>
        <w:t>British Poultry Council (2023) </w:t>
      </w:r>
      <w:r>
        <w:rPr>
          <w:rFonts w:hint="default"/>
          <w:i/>
          <w:iCs/>
          <w:lang w:val="en-US" w:eastAsia="zh-CN"/>
        </w:rPr>
        <w:t>Annual Production Survey 2022</w:t>
      </w:r>
      <w:r>
        <w:rPr>
          <w:rFonts w:hint="default"/>
          <w:lang w:val="en-US" w:eastAsia="zh-CN"/>
        </w:rPr>
        <w:t>. London: BPC.</w:t>
      </w:r>
    </w:p>
    <w:p w14:paraId="5B652FDF">
      <w:pPr>
        <w:pStyle w:val="9"/>
        <w:bidi w:val="0"/>
        <w:rPr>
          <w:rFonts w:hint="default"/>
          <w:lang w:val="en-US" w:eastAsia="zh-CN"/>
        </w:rPr>
      </w:pPr>
    </w:p>
    <w:p w14:paraId="02E90D31">
      <w:pPr>
        <w:pStyle w:val="9"/>
        <w:bidi w:val="0"/>
        <w:rPr>
          <w:rFonts w:hint="default"/>
          <w:lang w:val="en-US" w:eastAsia="zh-CN"/>
        </w:rPr>
      </w:pPr>
      <w:r>
        <w:rPr>
          <w:rFonts w:hint="default"/>
          <w:lang w:val="en-US" w:eastAsia="zh-CN"/>
        </w:rPr>
        <w:t xml:space="preserve">Doran, G.T. (1981) </w:t>
      </w:r>
      <w:r>
        <w:rPr>
          <w:rFonts w:hint="default"/>
          <w:i/>
          <w:iCs/>
          <w:lang w:val="en-US" w:eastAsia="zh-CN"/>
        </w:rPr>
        <w:t>‘</w:t>
      </w:r>
      <w:r>
        <w:rPr>
          <w:rFonts w:hint="default"/>
          <w:i w:val="0"/>
          <w:iCs w:val="0"/>
          <w:lang w:val="en-US" w:eastAsia="zh-CN"/>
        </w:rPr>
        <w:t>There’s a S.M.A.R.T. Way to Write Management’s Goals and Objectives</w:t>
      </w:r>
      <w:r>
        <w:rPr>
          <w:rFonts w:hint="default"/>
          <w:i/>
          <w:iCs/>
          <w:lang w:val="en-US" w:eastAsia="zh-CN"/>
        </w:rPr>
        <w:t>’</w:t>
      </w:r>
      <w:r>
        <w:rPr>
          <w:rFonts w:hint="default"/>
          <w:lang w:val="en-US" w:eastAsia="zh-CN"/>
        </w:rPr>
        <w:t>, </w:t>
      </w:r>
      <w:r>
        <w:rPr>
          <w:rFonts w:hint="default"/>
          <w:i/>
          <w:iCs/>
          <w:lang w:val="en-US" w:eastAsia="zh-CN"/>
        </w:rPr>
        <w:t>Management Review</w:t>
      </w:r>
      <w:r>
        <w:rPr>
          <w:rFonts w:hint="default"/>
          <w:lang w:val="en-US" w:eastAsia="zh-CN"/>
        </w:rPr>
        <w:t>, 70(11), pp. 35–36.</w:t>
      </w:r>
    </w:p>
    <w:p w14:paraId="5F7B33F8">
      <w:pPr>
        <w:pStyle w:val="9"/>
        <w:bidi w:val="0"/>
        <w:rPr>
          <w:rFonts w:hint="default"/>
          <w:lang w:val="en-US" w:eastAsia="zh-CN"/>
        </w:rPr>
      </w:pPr>
    </w:p>
    <w:p w14:paraId="7D0A7425">
      <w:pPr>
        <w:pStyle w:val="9"/>
        <w:bidi w:val="0"/>
        <w:rPr>
          <w:rFonts w:hint="default"/>
          <w:lang w:val="en-US" w:eastAsia="zh-CN"/>
        </w:rPr>
      </w:pPr>
      <w:r>
        <w:rPr>
          <w:rFonts w:hint="default"/>
          <w:lang w:val="en-US" w:eastAsia="zh-CN"/>
        </w:rPr>
        <w:t>DHSC (2022) </w:t>
      </w:r>
      <w:r>
        <w:rPr>
          <w:rFonts w:hint="default"/>
          <w:i/>
          <w:iCs/>
          <w:lang w:val="en-US" w:eastAsia="zh-CN"/>
        </w:rPr>
        <w:t>High Fat, Salt or Sugar (HFSS) Regulations</w:t>
      </w:r>
      <w:r>
        <w:rPr>
          <w:rFonts w:hint="default"/>
          <w:lang w:val="en-US" w:eastAsia="zh-CN"/>
        </w:rPr>
        <w:t>. London: Department of Health and Social Care.</w:t>
      </w:r>
    </w:p>
    <w:p w14:paraId="2C01214D">
      <w:pPr>
        <w:pStyle w:val="9"/>
        <w:bidi w:val="0"/>
        <w:rPr>
          <w:rFonts w:hint="default"/>
          <w:lang w:val="en-US" w:eastAsia="zh-CN"/>
        </w:rPr>
      </w:pPr>
    </w:p>
    <w:p w14:paraId="38B99F81">
      <w:pPr>
        <w:pStyle w:val="9"/>
        <w:bidi w:val="0"/>
        <w:rPr>
          <w:rFonts w:hint="default"/>
          <w:lang w:val="en-US" w:eastAsia="zh-CN"/>
        </w:rPr>
      </w:pPr>
      <w:r>
        <w:rPr>
          <w:rFonts w:hint="default"/>
          <w:lang w:val="en-US" w:eastAsia="zh-CN"/>
        </w:rPr>
        <w:t>Euromonitor International (2023) </w:t>
      </w:r>
      <w:r>
        <w:rPr>
          <w:rFonts w:hint="default"/>
          <w:i/>
          <w:iCs/>
          <w:lang w:val="en-US" w:eastAsia="zh-CN"/>
        </w:rPr>
        <w:t>Fast Food in the United Kingdom.</w:t>
      </w:r>
      <w:r>
        <w:rPr>
          <w:rFonts w:hint="default"/>
          <w:lang w:val="en-US" w:eastAsia="zh-CN"/>
        </w:rPr>
        <w:t xml:space="preserve"> London: Euromonitor.</w:t>
      </w:r>
    </w:p>
    <w:p w14:paraId="38D4C069">
      <w:pPr>
        <w:pStyle w:val="9"/>
        <w:bidi w:val="0"/>
        <w:rPr>
          <w:rFonts w:hint="default"/>
          <w:lang w:val="en-US" w:eastAsia="zh-CN"/>
        </w:rPr>
      </w:pPr>
    </w:p>
    <w:p w14:paraId="3EDEEA9A">
      <w:pPr>
        <w:pStyle w:val="9"/>
        <w:bidi w:val="0"/>
        <w:rPr>
          <w:rFonts w:hint="default"/>
          <w:lang w:val="en-US" w:eastAsia="zh-CN"/>
        </w:rPr>
      </w:pPr>
      <w:r>
        <w:rPr>
          <w:rFonts w:hint="default"/>
          <w:lang w:val="en-US" w:eastAsia="zh-CN"/>
        </w:rPr>
        <w:t>Financial Times (2023) </w:t>
      </w:r>
      <w:r>
        <w:rPr>
          <w:rFonts w:hint="default"/>
          <w:i/>
          <w:iCs/>
          <w:lang w:val="en-US" w:eastAsia="zh-CN"/>
        </w:rPr>
        <w:t>KFC delays UK expansion amid rising costs</w:t>
      </w:r>
      <w:r>
        <w:rPr>
          <w:rFonts w:hint="default"/>
          <w:lang w:val="en-US" w:eastAsia="zh-CN"/>
        </w:rPr>
        <w:t>, 5 September.</w:t>
      </w:r>
    </w:p>
    <w:p w14:paraId="5EE42465">
      <w:pPr>
        <w:pStyle w:val="9"/>
        <w:bidi w:val="0"/>
        <w:rPr>
          <w:rFonts w:hint="default"/>
          <w:lang w:val="en-US" w:eastAsia="zh-CN"/>
        </w:rPr>
      </w:pPr>
    </w:p>
    <w:p w14:paraId="763875A7">
      <w:pPr>
        <w:pStyle w:val="9"/>
        <w:bidi w:val="0"/>
        <w:rPr>
          <w:rFonts w:hint="default"/>
          <w:lang w:val="en-US" w:eastAsia="zh-CN"/>
        </w:rPr>
      </w:pPr>
      <w:r>
        <w:rPr>
          <w:rFonts w:hint="default"/>
          <w:lang w:val="en-US" w:eastAsia="zh-CN"/>
        </w:rPr>
        <w:t>FT (2023) </w:t>
      </w:r>
      <w:r>
        <w:rPr>
          <w:rFonts w:hint="default"/>
          <w:i/>
          <w:iCs/>
          <w:lang w:val="en-US" w:eastAsia="zh-CN"/>
        </w:rPr>
        <w:t>KFC losses due to avian influenza</w:t>
      </w:r>
      <w:r>
        <w:rPr>
          <w:rFonts w:hint="default"/>
          <w:lang w:val="en-US" w:eastAsia="zh-CN"/>
        </w:rPr>
        <w:t>. London: Financial Times.</w:t>
      </w:r>
    </w:p>
    <w:p w14:paraId="3DB90121">
      <w:pPr>
        <w:pStyle w:val="9"/>
        <w:bidi w:val="0"/>
        <w:rPr>
          <w:rFonts w:hint="default"/>
          <w:lang w:val="en-US" w:eastAsia="zh-CN"/>
        </w:rPr>
      </w:pPr>
    </w:p>
    <w:p w14:paraId="39D958AB">
      <w:pPr>
        <w:pStyle w:val="9"/>
        <w:bidi w:val="0"/>
        <w:rPr>
          <w:rFonts w:hint="default"/>
          <w:lang w:val="en-US" w:eastAsia="zh-CN"/>
        </w:rPr>
      </w:pPr>
      <w:r>
        <w:rPr>
          <w:rFonts w:hint="default"/>
          <w:lang w:val="en-US" w:eastAsia="zh-CN"/>
        </w:rPr>
        <w:t>Gov.uk (2023) </w:t>
      </w:r>
      <w:r>
        <w:rPr>
          <w:rFonts w:hint="default"/>
          <w:i/>
          <w:iCs/>
          <w:lang w:val="en-US" w:eastAsia="zh-CN"/>
        </w:rPr>
        <w:t>Emergency Food Supply Programme</w:t>
      </w:r>
      <w:r>
        <w:rPr>
          <w:rFonts w:hint="default"/>
          <w:lang w:val="en-US" w:eastAsia="zh-CN"/>
        </w:rPr>
        <w:t>. London: UK Government.</w:t>
      </w:r>
    </w:p>
    <w:p w14:paraId="7991F299">
      <w:pPr>
        <w:pStyle w:val="9"/>
        <w:bidi w:val="0"/>
        <w:rPr>
          <w:rFonts w:hint="default"/>
          <w:lang w:val="en-US" w:eastAsia="zh-CN"/>
        </w:rPr>
      </w:pPr>
    </w:p>
    <w:p w14:paraId="3605E1E6">
      <w:pPr>
        <w:pStyle w:val="9"/>
        <w:bidi w:val="0"/>
        <w:rPr>
          <w:rFonts w:hint="default"/>
          <w:lang w:val="en-US" w:eastAsia="zh-CN"/>
        </w:rPr>
      </w:pPr>
      <w:r>
        <w:rPr>
          <w:rFonts w:hint="default"/>
          <w:lang w:val="en-US" w:eastAsia="zh-CN"/>
        </w:rPr>
        <w:t>HBR (2023) </w:t>
      </w:r>
      <w:r>
        <w:rPr>
          <w:rFonts w:hint="default"/>
          <w:i/>
          <w:iCs/>
          <w:lang w:val="en-US" w:eastAsia="zh-CN"/>
        </w:rPr>
        <w:t>Building Resilient Supply Chains, Harvard Business Review</w:t>
      </w:r>
      <w:r>
        <w:rPr>
          <w:rFonts w:hint="default"/>
          <w:lang w:val="en-US" w:eastAsia="zh-CN"/>
        </w:rPr>
        <w:t>, September-October Issue.</w:t>
      </w:r>
    </w:p>
    <w:p w14:paraId="6423A2DE">
      <w:pPr>
        <w:pStyle w:val="9"/>
        <w:bidi w:val="0"/>
        <w:rPr>
          <w:rFonts w:hint="default"/>
          <w:lang w:val="en-US" w:eastAsia="zh-CN"/>
        </w:rPr>
      </w:pPr>
    </w:p>
    <w:p w14:paraId="3673F9C2">
      <w:pPr>
        <w:pStyle w:val="9"/>
        <w:bidi w:val="0"/>
        <w:rPr>
          <w:rFonts w:hint="default"/>
          <w:lang w:val="en-US" w:eastAsia="zh-CN"/>
        </w:rPr>
      </w:pPr>
      <w:r>
        <w:rPr>
          <w:rFonts w:hint="default"/>
          <w:lang w:val="en-US" w:eastAsia="zh-CN"/>
        </w:rPr>
        <w:t>IBISWorld (2023) </w:t>
      </w:r>
      <w:r>
        <w:rPr>
          <w:rFonts w:hint="default"/>
          <w:i/>
          <w:iCs/>
          <w:lang w:val="en-US" w:eastAsia="zh-CN"/>
        </w:rPr>
        <w:t>Fast Food Restaurants in the UK Industry Report</w:t>
      </w:r>
      <w:r>
        <w:rPr>
          <w:rFonts w:hint="default"/>
          <w:lang w:val="en-US" w:eastAsia="zh-CN"/>
        </w:rPr>
        <w:t>. London: IBISWorld.</w:t>
      </w:r>
    </w:p>
    <w:p w14:paraId="47466D0D">
      <w:pPr>
        <w:pStyle w:val="9"/>
        <w:bidi w:val="0"/>
        <w:rPr>
          <w:rFonts w:hint="default"/>
          <w:lang w:val="en-US" w:eastAsia="zh-CN"/>
        </w:rPr>
      </w:pPr>
    </w:p>
    <w:p w14:paraId="11FDFBF3">
      <w:pPr>
        <w:pStyle w:val="9"/>
        <w:bidi w:val="0"/>
        <w:rPr>
          <w:rFonts w:hint="default"/>
          <w:lang w:val="en-US" w:eastAsia="zh-CN"/>
        </w:rPr>
      </w:pPr>
      <w:r>
        <w:rPr>
          <w:rFonts w:hint="default"/>
          <w:lang w:val="en-US" w:eastAsia="zh-CN"/>
        </w:rPr>
        <w:t>Kantar (2023) </w:t>
      </w:r>
      <w:r>
        <w:rPr>
          <w:rFonts w:hint="default"/>
          <w:i/>
          <w:iCs/>
          <w:lang w:val="en-US" w:eastAsia="zh-CN"/>
        </w:rPr>
        <w:t>UK Home Cooking Trends Report</w:t>
      </w:r>
      <w:r>
        <w:rPr>
          <w:rFonts w:hint="default"/>
          <w:lang w:val="en-US" w:eastAsia="zh-CN"/>
        </w:rPr>
        <w:t>. London: Kantar Worldpanel.</w:t>
      </w:r>
    </w:p>
    <w:p w14:paraId="5EE5AA00">
      <w:pPr>
        <w:pStyle w:val="9"/>
        <w:bidi w:val="0"/>
        <w:rPr>
          <w:rFonts w:hint="default"/>
          <w:lang w:val="en-US" w:eastAsia="zh-CN"/>
        </w:rPr>
      </w:pPr>
    </w:p>
    <w:p w14:paraId="18181329">
      <w:pPr>
        <w:pStyle w:val="9"/>
        <w:bidi w:val="0"/>
        <w:rPr>
          <w:rFonts w:hint="default"/>
          <w:lang w:val="en-US" w:eastAsia="zh-CN"/>
        </w:rPr>
      </w:pPr>
      <w:r>
        <w:rPr>
          <w:rFonts w:hint="default"/>
          <w:lang w:val="en-US" w:eastAsia="zh-CN"/>
        </w:rPr>
        <w:t>KFC UK (2022) </w:t>
      </w:r>
      <w:r>
        <w:rPr>
          <w:rFonts w:hint="default"/>
          <w:i/>
          <w:iCs/>
          <w:lang w:val="en-US" w:eastAsia="zh-CN"/>
        </w:rPr>
        <w:t>Annual Report and Sustainability Statement</w:t>
      </w:r>
      <w:r>
        <w:rPr>
          <w:rFonts w:hint="default"/>
          <w:lang w:val="en-US" w:eastAsia="zh-CN"/>
        </w:rPr>
        <w:t>. London: KFC Holdings.</w:t>
      </w:r>
    </w:p>
    <w:p w14:paraId="514C4508">
      <w:pPr>
        <w:pStyle w:val="9"/>
        <w:bidi w:val="0"/>
        <w:rPr>
          <w:rFonts w:hint="default"/>
          <w:lang w:val="en-US" w:eastAsia="zh-CN"/>
        </w:rPr>
      </w:pPr>
    </w:p>
    <w:p w14:paraId="57A5FCD4">
      <w:pPr>
        <w:pStyle w:val="9"/>
        <w:bidi w:val="0"/>
        <w:rPr>
          <w:rFonts w:hint="default"/>
          <w:lang w:val="en-US" w:eastAsia="zh-CN"/>
        </w:rPr>
      </w:pPr>
      <w:r>
        <w:rPr>
          <w:rFonts w:hint="default"/>
          <w:lang w:val="en-US" w:eastAsia="zh-CN"/>
        </w:rPr>
        <w:t>Kotler, P. and Keller, K.L. (2016) </w:t>
      </w:r>
      <w:r>
        <w:rPr>
          <w:rFonts w:hint="default"/>
          <w:i/>
          <w:iCs/>
          <w:lang w:val="en-US" w:eastAsia="zh-CN"/>
        </w:rPr>
        <w:t>Marketing Management.</w:t>
      </w:r>
      <w:r>
        <w:rPr>
          <w:rFonts w:hint="default"/>
          <w:lang w:val="en-US" w:eastAsia="zh-CN"/>
        </w:rPr>
        <w:t xml:space="preserve"> 15th edn. Harlow: Pearson.</w:t>
      </w:r>
    </w:p>
    <w:p w14:paraId="68A1553E">
      <w:pPr>
        <w:pStyle w:val="9"/>
        <w:bidi w:val="0"/>
        <w:rPr>
          <w:rFonts w:hint="default"/>
          <w:lang w:val="en-US" w:eastAsia="zh-CN"/>
        </w:rPr>
      </w:pPr>
    </w:p>
    <w:p w14:paraId="2B396C42">
      <w:pPr>
        <w:pStyle w:val="9"/>
        <w:bidi w:val="0"/>
        <w:rPr>
          <w:rFonts w:hint="default"/>
          <w:lang w:val="en-US" w:eastAsia="zh-CN"/>
        </w:rPr>
      </w:pPr>
      <w:r>
        <w:rPr>
          <w:rFonts w:hint="default"/>
          <w:lang w:val="en-US" w:eastAsia="zh-CN"/>
        </w:rPr>
        <w:t>MarketWatch (2023)</w:t>
      </w:r>
      <w:r>
        <w:rPr>
          <w:rFonts w:hint="default"/>
          <w:i/>
          <w:iCs/>
          <w:lang w:val="en-US" w:eastAsia="zh-CN"/>
        </w:rPr>
        <w:t> QSR Marketing Budget Benchmarking 2023</w:t>
      </w:r>
      <w:r>
        <w:rPr>
          <w:rFonts w:hint="default"/>
          <w:lang w:val="en-US" w:eastAsia="zh-CN"/>
        </w:rPr>
        <w:t>. New York: Dow Jones &amp; Company.</w:t>
      </w:r>
    </w:p>
    <w:p w14:paraId="48D8B42B">
      <w:pPr>
        <w:pStyle w:val="9"/>
        <w:bidi w:val="0"/>
        <w:rPr>
          <w:rFonts w:hint="default"/>
          <w:lang w:val="en-US" w:eastAsia="zh-CN"/>
        </w:rPr>
      </w:pPr>
    </w:p>
    <w:p w14:paraId="62AC6D91">
      <w:pPr>
        <w:pStyle w:val="9"/>
        <w:bidi w:val="0"/>
        <w:rPr>
          <w:rFonts w:hint="default"/>
          <w:lang w:val="en-US" w:eastAsia="zh-CN"/>
        </w:rPr>
      </w:pPr>
      <w:r>
        <w:rPr>
          <w:rFonts w:hint="default"/>
          <w:lang w:val="en-US" w:eastAsia="zh-CN"/>
        </w:rPr>
        <w:t>McKinsey &amp; Company (2023) </w:t>
      </w:r>
      <w:r>
        <w:rPr>
          <w:rFonts w:hint="default"/>
          <w:i/>
          <w:iCs/>
          <w:lang w:val="en-US" w:eastAsia="zh-CN"/>
        </w:rPr>
        <w:t>The Future of Quick Service Restaurants</w:t>
      </w:r>
      <w:r>
        <w:rPr>
          <w:rFonts w:hint="default"/>
          <w:lang w:val="en-US" w:eastAsia="zh-CN"/>
        </w:rPr>
        <w:t>. New York: McKinsey.</w:t>
      </w:r>
    </w:p>
    <w:p w14:paraId="0F4D619A">
      <w:pPr>
        <w:pStyle w:val="9"/>
        <w:bidi w:val="0"/>
        <w:rPr>
          <w:rFonts w:hint="default"/>
          <w:lang w:val="en-US" w:eastAsia="zh-CN"/>
        </w:rPr>
      </w:pPr>
    </w:p>
    <w:p w14:paraId="4D0202B0">
      <w:pPr>
        <w:pStyle w:val="9"/>
        <w:bidi w:val="0"/>
        <w:rPr>
          <w:rFonts w:hint="default"/>
          <w:lang w:val="en-US" w:eastAsia="zh-CN"/>
        </w:rPr>
      </w:pPr>
      <w:r>
        <w:rPr>
          <w:rFonts w:hint="default"/>
          <w:lang w:val="en-US" w:eastAsia="zh-CN"/>
        </w:rPr>
        <w:t>People Management (2023) </w:t>
      </w:r>
      <w:r>
        <w:rPr>
          <w:rFonts w:hint="default"/>
          <w:i/>
          <w:iCs/>
          <w:lang w:val="en-US" w:eastAsia="zh-CN"/>
        </w:rPr>
        <w:t>Staff Turnover Crisis in Hospitality</w:t>
      </w:r>
      <w:r>
        <w:rPr>
          <w:rFonts w:hint="default"/>
          <w:lang w:val="en-US" w:eastAsia="zh-CN"/>
        </w:rPr>
        <w:t>, 5 September.</w:t>
      </w:r>
    </w:p>
    <w:p w14:paraId="79A05C38">
      <w:pPr>
        <w:pStyle w:val="9"/>
        <w:bidi w:val="0"/>
        <w:rPr>
          <w:rFonts w:hint="default"/>
          <w:lang w:val="en-US" w:eastAsia="zh-CN"/>
        </w:rPr>
      </w:pPr>
    </w:p>
    <w:p w14:paraId="64E932D9">
      <w:pPr>
        <w:pStyle w:val="9"/>
        <w:bidi w:val="0"/>
        <w:rPr>
          <w:rFonts w:hint="default"/>
          <w:lang w:val="en-US" w:eastAsia="zh-CN"/>
        </w:rPr>
      </w:pPr>
      <w:r>
        <w:rPr>
          <w:rFonts w:hint="default"/>
          <w:lang w:val="en-US" w:eastAsia="zh-CN"/>
        </w:rPr>
        <w:t>Porter, M.E. (2008) </w:t>
      </w:r>
      <w:r>
        <w:rPr>
          <w:rFonts w:hint="default"/>
          <w:i/>
          <w:iCs/>
          <w:lang w:val="en-US" w:eastAsia="zh-CN"/>
        </w:rPr>
        <w:t>Competitive Strategy</w:t>
      </w:r>
      <w:r>
        <w:rPr>
          <w:rFonts w:hint="default"/>
          <w:lang w:val="en-US" w:eastAsia="zh-CN"/>
        </w:rPr>
        <w:t>. New York: Free Press.</w:t>
      </w:r>
    </w:p>
    <w:p w14:paraId="4BA27E25">
      <w:pPr>
        <w:pStyle w:val="9"/>
        <w:bidi w:val="0"/>
        <w:rPr>
          <w:rFonts w:hint="default"/>
          <w:lang w:val="en-US" w:eastAsia="zh-CN"/>
        </w:rPr>
      </w:pPr>
    </w:p>
    <w:p w14:paraId="517DC5D6">
      <w:pPr>
        <w:pStyle w:val="9"/>
        <w:bidi w:val="0"/>
        <w:rPr>
          <w:rFonts w:hint="default"/>
          <w:lang w:val="en-US" w:eastAsia="zh-CN"/>
        </w:rPr>
      </w:pPr>
      <w:r>
        <w:rPr>
          <w:rFonts w:hint="default"/>
          <w:lang w:val="en-US" w:eastAsia="zh-CN"/>
        </w:rPr>
        <w:t>QSR Magazine (2023) </w:t>
      </w:r>
      <w:r>
        <w:rPr>
          <w:rFonts w:hint="default"/>
          <w:i/>
          <w:iCs/>
          <w:lang w:val="en-US" w:eastAsia="zh-CN"/>
        </w:rPr>
        <w:t>Speed of Service Benchmarking in UK Fast Food</w:t>
      </w:r>
      <w:r>
        <w:rPr>
          <w:rFonts w:hint="default"/>
          <w:lang w:val="en-US" w:eastAsia="zh-CN"/>
        </w:rPr>
        <w:t>, 12 October.</w:t>
      </w:r>
    </w:p>
    <w:p w14:paraId="28CACA93">
      <w:pPr>
        <w:pStyle w:val="9"/>
        <w:bidi w:val="0"/>
        <w:rPr>
          <w:rFonts w:hint="default"/>
          <w:lang w:val="en-US" w:eastAsia="zh-CN"/>
        </w:rPr>
      </w:pPr>
    </w:p>
    <w:p w14:paraId="0FCDF52C">
      <w:pPr>
        <w:pStyle w:val="9"/>
        <w:bidi w:val="0"/>
        <w:rPr>
          <w:rFonts w:hint="default"/>
          <w:lang w:val="en-US" w:eastAsia="zh-CN"/>
        </w:rPr>
      </w:pPr>
      <w:r>
        <w:rPr>
          <w:rFonts w:hint="default"/>
          <w:lang w:val="en-US" w:eastAsia="zh-CN"/>
        </w:rPr>
        <w:t>Statista (2023) *Revenue of the UK Quick Service Restaurant Industry 2017-2027*. Hamburg: Statista GmbH.</w:t>
      </w:r>
    </w:p>
    <w:p w14:paraId="1172169C">
      <w:pPr>
        <w:pStyle w:val="9"/>
        <w:bidi w:val="0"/>
        <w:rPr>
          <w:rFonts w:hint="default"/>
          <w:lang w:val="en-US" w:eastAsia="zh-CN"/>
        </w:rPr>
      </w:pPr>
    </w:p>
    <w:p w14:paraId="791A6CCE">
      <w:pPr>
        <w:pStyle w:val="9"/>
        <w:bidi w:val="0"/>
        <w:rPr>
          <w:rFonts w:hint="default"/>
          <w:lang w:val="en-US" w:eastAsia="zh-CN"/>
        </w:rPr>
      </w:pPr>
      <w:r>
        <w:rPr>
          <w:rFonts w:hint="default"/>
          <w:lang w:val="en-US" w:eastAsia="zh-CN"/>
        </w:rPr>
        <w:t>Supply Chain Report (2023) </w:t>
      </w:r>
      <w:r>
        <w:rPr>
          <w:rFonts w:hint="default"/>
          <w:i/>
          <w:iCs/>
          <w:lang w:val="en-US" w:eastAsia="zh-CN"/>
        </w:rPr>
        <w:t>KFC Global Supply Chain Resilience</w:t>
      </w:r>
      <w:r>
        <w:rPr>
          <w:rFonts w:hint="default"/>
          <w:lang w:val="en-US" w:eastAsia="zh-CN"/>
        </w:rPr>
        <w:t>. London: KFC Holdings.</w:t>
      </w:r>
    </w:p>
    <w:p w14:paraId="2A536440">
      <w:pPr>
        <w:pStyle w:val="9"/>
        <w:bidi w:val="0"/>
        <w:rPr>
          <w:rFonts w:hint="default"/>
          <w:lang w:val="en-US" w:eastAsia="zh-CN"/>
        </w:rPr>
      </w:pPr>
    </w:p>
    <w:p w14:paraId="63207D8C">
      <w:pPr>
        <w:pStyle w:val="9"/>
        <w:bidi w:val="0"/>
        <w:rPr>
          <w:rFonts w:hint="default"/>
          <w:lang w:val="en-US" w:eastAsia="zh-CN"/>
        </w:rPr>
      </w:pPr>
      <w:r>
        <w:rPr>
          <w:rFonts w:hint="default"/>
          <w:lang w:val="en-US" w:eastAsia="zh-CN"/>
        </w:rPr>
        <w:t>TechUK (2023) </w:t>
      </w:r>
      <w:r>
        <w:rPr>
          <w:rFonts w:hint="default"/>
          <w:i/>
          <w:iCs/>
          <w:lang w:val="en-US" w:eastAsia="zh-CN"/>
        </w:rPr>
        <w:t>Blockchain Adoption in UK Retail</w:t>
      </w:r>
      <w:r>
        <w:rPr>
          <w:rFonts w:hint="default"/>
          <w:lang w:val="en-US" w:eastAsia="zh-CN"/>
        </w:rPr>
        <w:t>. London: TechUK.</w:t>
      </w:r>
    </w:p>
    <w:p w14:paraId="3F7225E2">
      <w:pPr>
        <w:pStyle w:val="9"/>
        <w:bidi w:val="0"/>
        <w:rPr>
          <w:rFonts w:hint="default"/>
          <w:lang w:val="en-US" w:eastAsia="zh-CN"/>
        </w:rPr>
      </w:pPr>
    </w:p>
    <w:p w14:paraId="65E480C6">
      <w:pPr>
        <w:pStyle w:val="9"/>
        <w:bidi w:val="0"/>
        <w:rPr>
          <w:rFonts w:hint="default"/>
          <w:lang w:val="en-US" w:eastAsia="zh-CN"/>
        </w:rPr>
      </w:pPr>
      <w:r>
        <w:rPr>
          <w:rFonts w:hint="default"/>
          <w:lang w:val="en-US" w:eastAsia="zh-CN"/>
        </w:rPr>
        <w:t>WIPO (2023) </w:t>
      </w:r>
      <w:r>
        <w:rPr>
          <w:rFonts w:hint="default"/>
          <w:i/>
          <w:iCs/>
          <w:lang w:val="en-US" w:eastAsia="zh-CN"/>
        </w:rPr>
        <w:t>Global Patent Trends in Food Technology</w:t>
      </w:r>
      <w:r>
        <w:rPr>
          <w:rFonts w:hint="default"/>
          <w:lang w:val="en-US" w:eastAsia="zh-CN"/>
        </w:rPr>
        <w:t>. Geneva: World Intellectual Property Organization.</w:t>
      </w:r>
    </w:p>
    <w:p w14:paraId="27729C5F">
      <w:pPr>
        <w:pStyle w:val="9"/>
        <w:bidi w:val="0"/>
        <w:rPr>
          <w:rFonts w:hint="default"/>
          <w:lang w:val="en-US" w:eastAsia="zh-CN"/>
        </w:rPr>
      </w:pPr>
    </w:p>
    <w:p w14:paraId="421BD944">
      <w:pPr>
        <w:pStyle w:val="9"/>
        <w:bidi w:val="0"/>
        <w:rPr>
          <w:rFonts w:hint="default"/>
          <w:lang w:val="en-US" w:eastAsia="zh-CN"/>
        </w:rPr>
      </w:pPr>
      <w:r>
        <w:rPr>
          <w:rFonts w:hint="default"/>
          <w:lang w:val="en-US" w:eastAsia="zh-CN"/>
        </w:rPr>
        <w:t>YouGov (2023) </w:t>
      </w:r>
      <w:r>
        <w:rPr>
          <w:rFonts w:hint="default"/>
          <w:i/>
          <w:iCs/>
          <w:lang w:val="en-US" w:eastAsia="zh-CN"/>
        </w:rPr>
        <w:t>UK Consumer Attitudes Toward Fast Food.</w:t>
      </w:r>
      <w:r>
        <w:rPr>
          <w:rFonts w:hint="default"/>
          <w:lang w:val="en-US" w:eastAsia="zh-CN"/>
        </w:rPr>
        <w:t xml:space="preserve"> London: YouGov.</w:t>
      </w:r>
    </w:p>
    <w:p w14:paraId="293925E8">
      <w:pPr>
        <w:pStyle w:val="9"/>
        <w:bidi w:val="0"/>
        <w:rPr>
          <w:rFonts w:hint="default"/>
          <w:lang w:val="en-US" w:eastAsia="zh-CN"/>
        </w:rPr>
      </w:pPr>
    </w:p>
    <w:p w14:paraId="313FA52A">
      <w:pPr>
        <w:pStyle w:val="9"/>
        <w:bidi w:val="0"/>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6FD2DC4"/>
    <w:rsid w:val="46FD2D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toc 1"/>
    <w:basedOn w:val="1"/>
    <w:next w:val="1"/>
    <w:uiPriority w:val="0"/>
  </w:style>
  <w:style w:type="paragraph" w:styleId="3">
    <w:name w:val="Normal (Web)"/>
    <w:basedOn w:val="1"/>
    <w:uiPriority w:val="0"/>
    <w:rPr>
      <w:sz w:val="24"/>
    </w:rPr>
  </w:style>
  <w:style w:type="character" w:styleId="6">
    <w:name w:val="Strong"/>
    <w:basedOn w:val="5"/>
    <w:qFormat/>
    <w:uiPriority w:val="0"/>
    <w:rPr>
      <w:b/>
    </w:rPr>
  </w:style>
  <w:style w:type="character" w:styleId="7">
    <w:name w:val="Emphasis"/>
    <w:basedOn w:val="5"/>
    <w:qFormat/>
    <w:uiPriority w:val="0"/>
    <w:rPr>
      <w:i/>
    </w:rPr>
  </w:style>
  <w:style w:type="character" w:styleId="8">
    <w:name w:val="Hyperlink"/>
    <w:basedOn w:val="5"/>
    <w:uiPriority w:val="0"/>
    <w:rPr>
      <w:color w:val="0000FF"/>
      <w:u w:val="single"/>
    </w:rPr>
  </w:style>
  <w:style w:type="paragraph" w:customStyle="1" w:styleId="9">
    <w:name w:val="正文1"/>
    <w:basedOn w:val="1"/>
    <w:uiPriority w:val="0"/>
    <w:rPr>
      <w:rFonts w:ascii="Times New Roman" w:hAnsi="Times New Roman" w:eastAsia="Times New Roman" w:cs="Times New Roman"/>
      <w:sz w:val="24"/>
    </w:rPr>
  </w:style>
  <w:style w:type="paragraph" w:customStyle="1" w:styleId="10">
    <w:name w:val="1"/>
    <w:basedOn w:val="1"/>
    <w:uiPriority w:val="0"/>
    <w:rPr>
      <w:rFonts w:hint="default" w:ascii="Times New Roman" w:hAnsi="Times New Roman" w:eastAsia="Times New Roman"/>
      <w:b/>
      <w:bCs/>
      <w:sz w:val="28"/>
      <w:szCs w:val="28"/>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0</Words>
  <Characters>0</Characters>
  <Lines>0</Lines>
  <Paragraphs>0</Paragraphs>
  <TotalTime>0</TotalTime>
  <ScaleCrop>false</ScaleCrop>
  <LinksUpToDate>false</LinksUpToDate>
  <CharactersWithSpaces>0</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2025-05-15T18:21:00Z</dcterms:created>
  <dc:creator>。。。</dc:creator>
  <cp:lastModifiedBy>。。。</cp:lastModifiedBy>
  <dcterms:modified xsi:type="dcterms:W3CDTF">2025-05-15T20:17:24Z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83AF3A91CCA146FBACD304542DD8D762_11</vt:lpwstr>
  </property>
  <property fmtid="{D5CDD505-2E9C-101B-9397-08002B2CF9AE}" pid="4" name="KSOTemplateDocerSaveRecord">
    <vt:lpwstr>eyJoZGlkIjoiNzM1NzU0MDllM2FjZWZjNWViNzk5YTZmYTA4MjQ0YjciLCJ1c2VySWQiOiI0MTIwMDU2NzQifQ==</vt:lpwstr>
  </property>
</Properties>
</file>