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269C9" w14:textId="4DCB066E" w:rsidR="00B43C40" w:rsidRPr="00C94379" w:rsidRDefault="00C94379" w:rsidP="00C81727">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shd w:val="clear" w:color="auto" w:fill="FFFFFF" w:themeFill="background1"/>
        <w:jc w:val="center"/>
        <w:rPr>
          <w:rFonts w:ascii="Arial" w:hAnsi="Arial" w:cs="Arial"/>
          <w:b/>
          <w:bCs/>
          <w:sz w:val="56"/>
          <w:szCs w:val="56"/>
        </w:rPr>
      </w:pPr>
      <w:r w:rsidRPr="00C94379">
        <w:rPr>
          <w:rFonts w:ascii="Arial" w:hAnsi="Arial" w:cs="Arial"/>
          <w:b/>
          <w:bCs/>
          <w:color w:val="202124"/>
          <w:sz w:val="56"/>
          <w:szCs w:val="56"/>
          <w:shd w:val="clear" w:color="auto" w:fill="FFFFFF"/>
        </w:rPr>
        <w:t xml:space="preserve">CIPD Level 5 Associate Diploma </w:t>
      </w:r>
    </w:p>
    <w:p w14:paraId="1BA131CB" w14:textId="52A8B3F8" w:rsidR="00B43C40" w:rsidRPr="00B43C40" w:rsidRDefault="00B43C40" w:rsidP="00B43C40">
      <w:pPr>
        <w:rPr>
          <w:rFonts w:ascii="Arial" w:hAnsi="Arial" w:cs="Arial"/>
          <w:sz w:val="36"/>
          <w:szCs w:val="36"/>
        </w:rPr>
      </w:pPr>
    </w:p>
    <w:p w14:paraId="11FFF045" w14:textId="293F675B" w:rsidR="00B43C40" w:rsidRPr="00B43C40" w:rsidRDefault="00B43C40" w:rsidP="00B43C40">
      <w:pPr>
        <w:rPr>
          <w:rFonts w:ascii="Arial" w:hAnsi="Arial" w:cs="Arial"/>
          <w:sz w:val="36"/>
          <w:szCs w:val="36"/>
        </w:rPr>
      </w:pPr>
    </w:p>
    <w:p w14:paraId="22B15166" w14:textId="77777777" w:rsidR="00B43C40" w:rsidRPr="00B43C40" w:rsidRDefault="00B43C40" w:rsidP="00B43C40">
      <w:pPr>
        <w:rPr>
          <w:rFonts w:ascii="Arial" w:hAnsi="Arial" w:cs="Arial"/>
          <w:sz w:val="36"/>
          <w:szCs w:val="36"/>
        </w:rPr>
      </w:pPr>
    </w:p>
    <w:p w14:paraId="078C70BA" w14:textId="27E0DD74" w:rsidR="00B43C40" w:rsidRPr="00B43C40" w:rsidRDefault="00C94379" w:rsidP="00B43C40">
      <w:pPr>
        <w:rPr>
          <w:rFonts w:ascii="Arial" w:hAnsi="Arial" w:cs="Arial"/>
          <w:sz w:val="36"/>
          <w:szCs w:val="36"/>
        </w:rPr>
      </w:pPr>
      <w:r>
        <w:rPr>
          <w:rFonts w:ascii="Arial" w:hAnsi="Arial" w:cs="Arial"/>
          <w:noProof/>
          <w:sz w:val="36"/>
          <w:szCs w:val="36"/>
        </w:rPr>
        <w:drawing>
          <wp:anchor distT="0" distB="0" distL="114300" distR="114300" simplePos="0" relativeHeight="251658240" behindDoc="1" locked="0" layoutInCell="1" allowOverlap="1" wp14:anchorId="7BE25E3F" wp14:editId="7D1D68A8">
            <wp:simplePos x="0" y="0"/>
            <wp:positionH relativeFrom="margin">
              <wp:align>center</wp:align>
            </wp:positionH>
            <wp:positionV relativeFrom="paragraph">
              <wp:posOffset>213360</wp:posOffset>
            </wp:positionV>
            <wp:extent cx="4171315" cy="2314575"/>
            <wp:effectExtent l="0" t="0" r="635" b="9525"/>
            <wp:wrapTight wrapText="bothSides">
              <wp:wrapPolygon edited="0">
                <wp:start x="0" y="0"/>
                <wp:lineTo x="0" y="21511"/>
                <wp:lineTo x="21505" y="21511"/>
                <wp:lineTo x="21505" y="0"/>
                <wp:lineTo x="0" y="0"/>
              </wp:wrapPolygon>
            </wp:wrapTight>
            <wp:docPr id="160521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1315" cy="2314575"/>
                    </a:xfrm>
                    <a:prstGeom prst="rect">
                      <a:avLst/>
                    </a:prstGeom>
                    <a:noFill/>
                  </pic:spPr>
                </pic:pic>
              </a:graphicData>
            </a:graphic>
            <wp14:sizeRelH relativeFrom="page">
              <wp14:pctWidth>0</wp14:pctWidth>
            </wp14:sizeRelH>
            <wp14:sizeRelV relativeFrom="page">
              <wp14:pctHeight>0</wp14:pctHeight>
            </wp14:sizeRelV>
          </wp:anchor>
        </w:drawing>
      </w:r>
    </w:p>
    <w:p w14:paraId="31CD4BAA" w14:textId="3C3A6927" w:rsidR="00B43C40" w:rsidRPr="00B43C40" w:rsidRDefault="00B43C40" w:rsidP="00B43C40">
      <w:pPr>
        <w:rPr>
          <w:rFonts w:ascii="Arial" w:hAnsi="Arial" w:cs="Arial"/>
          <w:sz w:val="36"/>
          <w:szCs w:val="36"/>
        </w:rPr>
      </w:pPr>
    </w:p>
    <w:p w14:paraId="2BDC8629" w14:textId="77777777" w:rsidR="00B43C40" w:rsidRPr="00B43C40" w:rsidRDefault="00B43C40" w:rsidP="00B43C40">
      <w:pPr>
        <w:rPr>
          <w:rFonts w:ascii="Arial" w:hAnsi="Arial" w:cs="Arial"/>
          <w:sz w:val="36"/>
          <w:szCs w:val="36"/>
        </w:rPr>
      </w:pPr>
    </w:p>
    <w:p w14:paraId="46139EB9" w14:textId="77777777" w:rsidR="00B43C40" w:rsidRPr="00B43C40" w:rsidRDefault="00B43C40" w:rsidP="00B43C40">
      <w:pPr>
        <w:rPr>
          <w:rFonts w:ascii="Arial" w:hAnsi="Arial" w:cs="Arial"/>
          <w:sz w:val="36"/>
          <w:szCs w:val="36"/>
        </w:rPr>
      </w:pPr>
    </w:p>
    <w:p w14:paraId="79BCF226" w14:textId="77777777" w:rsidR="00B43C40" w:rsidRPr="00B43C40" w:rsidRDefault="00B43C40" w:rsidP="00B43C40">
      <w:pPr>
        <w:rPr>
          <w:rFonts w:ascii="Arial" w:hAnsi="Arial" w:cs="Arial"/>
          <w:sz w:val="36"/>
          <w:szCs w:val="36"/>
        </w:rPr>
      </w:pPr>
    </w:p>
    <w:p w14:paraId="60A29EED" w14:textId="77777777" w:rsidR="00B43C40" w:rsidRPr="00B43C40" w:rsidRDefault="00B43C40" w:rsidP="00B43C40">
      <w:pPr>
        <w:rPr>
          <w:rFonts w:ascii="Arial" w:hAnsi="Arial" w:cs="Arial"/>
          <w:sz w:val="36"/>
          <w:szCs w:val="36"/>
        </w:rPr>
      </w:pPr>
    </w:p>
    <w:p w14:paraId="59B7E581" w14:textId="77777777" w:rsidR="00B43C40" w:rsidRPr="00B43C40" w:rsidRDefault="00B43C40" w:rsidP="00B43C40">
      <w:pPr>
        <w:rPr>
          <w:rFonts w:ascii="Arial" w:hAnsi="Arial" w:cs="Arial"/>
          <w:sz w:val="36"/>
          <w:szCs w:val="36"/>
        </w:rPr>
      </w:pPr>
    </w:p>
    <w:p w14:paraId="0E5C0B4A" w14:textId="343D3CD1" w:rsidR="00B51C68" w:rsidRDefault="00B51C68" w:rsidP="00B43C40">
      <w:pPr>
        <w:rPr>
          <w:rFonts w:ascii="Arial" w:hAnsi="Arial" w:cs="Arial"/>
          <w:sz w:val="36"/>
          <w:szCs w:val="36"/>
        </w:rPr>
      </w:pPr>
    </w:p>
    <w:p w14:paraId="2837E074" w14:textId="77777777" w:rsidR="00012729" w:rsidRDefault="00012729" w:rsidP="00B43C40">
      <w:pPr>
        <w:rPr>
          <w:rFonts w:ascii="Arial" w:hAnsi="Arial" w:cs="Arial"/>
          <w:sz w:val="36"/>
          <w:szCs w:val="36"/>
        </w:rPr>
      </w:pPr>
    </w:p>
    <w:p w14:paraId="0DC974E6" w14:textId="1D9E8E74" w:rsidR="00B51C68" w:rsidRDefault="00B43C40"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B43C40">
        <w:rPr>
          <w:rFonts w:ascii="Arial" w:hAnsi="Arial" w:cs="Arial"/>
          <w:sz w:val="44"/>
          <w:szCs w:val="44"/>
        </w:rPr>
        <w:t>NEFYN CARDWELL</w:t>
      </w:r>
    </w:p>
    <w:p w14:paraId="7D68DB76" w14:textId="6C3FF166" w:rsidR="00012729" w:rsidRDefault="00012729" w:rsidP="0001272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sidRPr="00012729">
        <w:rPr>
          <w:rFonts w:ascii="Arial" w:hAnsi="Arial" w:cs="Arial"/>
          <w:sz w:val="44"/>
          <w:szCs w:val="44"/>
        </w:rPr>
        <w:t>Organisational performance and culture in practice 5CO01</w:t>
      </w:r>
    </w:p>
    <w:p w14:paraId="25D77813" w14:textId="346763B5" w:rsidR="00C94379" w:rsidRDefault="00C94379" w:rsidP="0001272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Student no – 0001268</w:t>
      </w:r>
    </w:p>
    <w:p w14:paraId="7DA7B4FE" w14:textId="4BD5FC59" w:rsidR="00C94379" w:rsidRDefault="00C94379"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CIPD no -  88139558</w:t>
      </w:r>
    </w:p>
    <w:p w14:paraId="08E15F92" w14:textId="6B76E1CF" w:rsidR="005709AA" w:rsidRDefault="005709AA" w:rsidP="00C94379">
      <w:pPr>
        <w:pBdr>
          <w:top w:val="single" w:sz="12" w:space="1" w:color="548DD4" w:themeColor="text2" w:themeTint="99"/>
          <w:left w:val="single" w:sz="12" w:space="4" w:color="548DD4" w:themeColor="text2" w:themeTint="99"/>
          <w:bottom w:val="single" w:sz="12" w:space="1" w:color="548DD4" w:themeColor="text2" w:themeTint="99"/>
          <w:right w:val="single" w:sz="12" w:space="4" w:color="548DD4" w:themeColor="text2" w:themeTint="99"/>
        </w:pBdr>
        <w:tabs>
          <w:tab w:val="center" w:pos="4513"/>
          <w:tab w:val="right" w:pos="9026"/>
        </w:tabs>
        <w:jc w:val="center"/>
        <w:rPr>
          <w:rFonts w:ascii="Arial" w:hAnsi="Arial" w:cs="Arial"/>
          <w:sz w:val="44"/>
          <w:szCs w:val="44"/>
        </w:rPr>
      </w:pPr>
      <w:r>
        <w:rPr>
          <w:rFonts w:ascii="Arial" w:hAnsi="Arial" w:cs="Arial"/>
          <w:sz w:val="44"/>
          <w:szCs w:val="44"/>
        </w:rPr>
        <w:t xml:space="preserve">Word Count - </w:t>
      </w:r>
      <w:r w:rsidR="008C7385">
        <w:rPr>
          <w:rFonts w:ascii="Arial" w:hAnsi="Arial" w:cs="Arial"/>
          <w:sz w:val="44"/>
          <w:szCs w:val="44"/>
        </w:rPr>
        <w:t>4</w:t>
      </w:r>
      <w:r w:rsidR="00554DF4">
        <w:rPr>
          <w:rFonts w:ascii="Arial" w:hAnsi="Arial" w:cs="Arial"/>
          <w:sz w:val="44"/>
          <w:szCs w:val="44"/>
        </w:rPr>
        <w:t>1</w:t>
      </w:r>
      <w:r w:rsidR="008C7385">
        <w:rPr>
          <w:rFonts w:ascii="Arial" w:hAnsi="Arial" w:cs="Arial"/>
          <w:sz w:val="44"/>
          <w:szCs w:val="44"/>
        </w:rPr>
        <w:t>18</w:t>
      </w:r>
    </w:p>
    <w:p w14:paraId="61E80898" w14:textId="77777777" w:rsidR="00C94379" w:rsidRDefault="00C94379" w:rsidP="008B03AE">
      <w:pPr>
        <w:rPr>
          <w:rFonts w:ascii="Arial" w:hAnsi="Arial" w:cs="Arial"/>
        </w:rPr>
      </w:pPr>
    </w:p>
    <w:p w14:paraId="18D5C218"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1.</w:t>
      </w:r>
      <w:r w:rsidRPr="0058380F">
        <w:rPr>
          <w:rFonts w:asciiTheme="minorBidi" w:hAnsiTheme="minorBidi"/>
          <w:sz w:val="24"/>
          <w:szCs w:val="24"/>
        </w:rPr>
        <w:tab/>
      </w:r>
      <w:r w:rsidRPr="0058380F">
        <w:rPr>
          <w:rFonts w:asciiTheme="minorBidi" w:hAnsiTheme="minorBidi"/>
          <w:b/>
          <w:bCs/>
          <w:i/>
          <w:iCs/>
          <w:sz w:val="24"/>
          <w:szCs w:val="24"/>
        </w:rPr>
        <w:t>Evaluate the advantages and disadvantages of the organisation structure in your organisation (or an organisation with which you are familiar) and evaluate the advantages and disadvantages of one other organisation structure. Within the evaluation, you should include the reasons underpinning the structure. (AC 1.1)</w:t>
      </w:r>
    </w:p>
    <w:p w14:paraId="19734F8F" w14:textId="6B1AC626" w:rsidR="00BD06C7" w:rsidRPr="0058380F" w:rsidRDefault="00D33E70" w:rsidP="00BD06C7">
      <w:pPr>
        <w:rPr>
          <w:rFonts w:asciiTheme="minorBidi" w:hAnsiTheme="minorBidi"/>
          <w:sz w:val="24"/>
          <w:szCs w:val="24"/>
        </w:rPr>
      </w:pPr>
      <w:r w:rsidRPr="0058380F">
        <w:rPr>
          <w:rFonts w:asciiTheme="minorBidi" w:hAnsiTheme="minorBidi"/>
          <w:sz w:val="24"/>
          <w:szCs w:val="24"/>
        </w:rPr>
        <w:t>Organi</w:t>
      </w:r>
      <w:r w:rsidR="00DD4229" w:rsidRPr="0058380F">
        <w:rPr>
          <w:rFonts w:asciiTheme="minorBidi" w:hAnsiTheme="minorBidi"/>
          <w:sz w:val="24"/>
          <w:szCs w:val="24"/>
        </w:rPr>
        <w:t>s</w:t>
      </w:r>
      <w:r w:rsidRPr="0058380F">
        <w:rPr>
          <w:rFonts w:asciiTheme="minorBidi" w:hAnsiTheme="minorBidi"/>
          <w:sz w:val="24"/>
          <w:szCs w:val="24"/>
        </w:rPr>
        <w:t>ational structures define the way in which a</w:t>
      </w:r>
      <w:r w:rsidR="00DD4229" w:rsidRPr="0058380F">
        <w:rPr>
          <w:rFonts w:asciiTheme="minorBidi" w:hAnsiTheme="minorBidi"/>
          <w:sz w:val="24"/>
          <w:szCs w:val="24"/>
        </w:rPr>
        <w:t>n organisation</w:t>
      </w:r>
      <w:r w:rsidRPr="0058380F">
        <w:rPr>
          <w:rFonts w:asciiTheme="minorBidi" w:hAnsiTheme="minorBidi"/>
          <w:sz w:val="24"/>
          <w:szCs w:val="24"/>
        </w:rPr>
        <w:t xml:space="preserve"> activities are organi</w:t>
      </w:r>
      <w:r w:rsidR="00DD4229" w:rsidRPr="0058380F">
        <w:rPr>
          <w:rFonts w:asciiTheme="minorBidi" w:hAnsiTheme="minorBidi"/>
          <w:sz w:val="24"/>
          <w:szCs w:val="24"/>
        </w:rPr>
        <w:t>s</w:t>
      </w:r>
      <w:r w:rsidRPr="0058380F">
        <w:rPr>
          <w:rFonts w:asciiTheme="minorBidi" w:hAnsiTheme="minorBidi"/>
          <w:sz w:val="24"/>
          <w:szCs w:val="24"/>
        </w:rPr>
        <w:t xml:space="preserve">ed and coordinated. Several types of organizational structures exist, each with its own advantages and disadvantages. </w:t>
      </w:r>
      <w:r w:rsidR="00DD4229" w:rsidRPr="0058380F">
        <w:rPr>
          <w:rFonts w:asciiTheme="minorBidi" w:hAnsiTheme="minorBidi"/>
          <w:sz w:val="24"/>
          <w:szCs w:val="24"/>
        </w:rPr>
        <w:t xml:space="preserve">Within Pobl Group (2023) the organisation is managed through divisions each with a managing director. This is known as </w:t>
      </w:r>
      <w:r w:rsidR="00BD06C7" w:rsidRPr="0058380F">
        <w:rPr>
          <w:rFonts w:asciiTheme="minorBidi" w:hAnsiTheme="minorBidi"/>
          <w:sz w:val="24"/>
          <w:szCs w:val="24"/>
        </w:rPr>
        <w:t xml:space="preserve">divisional structure, the organisation is organised based on products, services, or geographical regions. Each division operates as a self-contained unit with its own functional departments, enhancing flexibility. Pobl Group (2023) is divided into distinct functional areas,  finance, marketing, operations, care 7 Support and development. Each division is responsible for specific tasks related to its function, creating a clear hierarchy. For example in the development division they are responsible for designing and building new homes and services, within care &amp; Support they are responsible for delivering services to customers but each division is part of the wider Pobl group.  </w:t>
      </w:r>
    </w:p>
    <w:p w14:paraId="77BFEF65" w14:textId="45B340E5" w:rsidR="00BD06C7" w:rsidRPr="0058380F" w:rsidRDefault="00BD06C7" w:rsidP="00BD06C7">
      <w:pPr>
        <w:rPr>
          <w:rFonts w:asciiTheme="minorBidi" w:hAnsiTheme="minorBidi"/>
          <w:sz w:val="24"/>
          <w:szCs w:val="24"/>
        </w:rPr>
      </w:pPr>
      <w:r w:rsidRPr="0058380F">
        <w:rPr>
          <w:rFonts w:asciiTheme="minorBidi" w:hAnsiTheme="minorBidi"/>
          <w:sz w:val="24"/>
          <w:szCs w:val="24"/>
        </w:rPr>
        <w:t>Advantages: Improved focus on specific products or markets, allowing for quicker adaptation to changes. Decentralised decision-making enhances responsiveness (Robbins et al., 2017).</w:t>
      </w:r>
      <w:r w:rsidR="00FE4E98" w:rsidRPr="0058380F">
        <w:rPr>
          <w:rFonts w:asciiTheme="minorBidi" w:hAnsiTheme="minorBidi"/>
          <w:sz w:val="24"/>
          <w:szCs w:val="24"/>
        </w:rPr>
        <w:t xml:space="preserve"> This structure promotes specialisation, as employees focus on their expertise. Decision-making is centralised, leading to clear accountability (Robbins et al., 2017). And ensures that any profit / loss go to the group so no one division is ever at risk. By being art of a wider group each division is supported centrally so there is never one single point of failure.   </w:t>
      </w:r>
    </w:p>
    <w:p w14:paraId="2CAAC6DA" w14:textId="194FFCB7" w:rsidR="00BD06C7" w:rsidRPr="0058380F" w:rsidRDefault="00BD06C7" w:rsidP="00BD06C7">
      <w:pPr>
        <w:rPr>
          <w:rFonts w:asciiTheme="minorBidi" w:hAnsiTheme="minorBidi"/>
          <w:sz w:val="24"/>
          <w:szCs w:val="24"/>
        </w:rPr>
      </w:pPr>
      <w:r w:rsidRPr="0058380F">
        <w:rPr>
          <w:rFonts w:asciiTheme="minorBidi" w:hAnsiTheme="minorBidi"/>
          <w:sz w:val="24"/>
          <w:szCs w:val="24"/>
        </w:rPr>
        <w:t>Disadvantages: Duplication of functions across divisions can lead to inefficiencies. Coordination and communication between divisions may pose challenges (Daft &amp; Marcic, 2015).</w:t>
      </w:r>
    </w:p>
    <w:p w14:paraId="057599BB" w14:textId="24841B38" w:rsidR="00D33E70" w:rsidRPr="0058380F" w:rsidRDefault="00FE4E98" w:rsidP="00FE4E98">
      <w:pPr>
        <w:rPr>
          <w:rFonts w:asciiTheme="minorBidi" w:hAnsiTheme="minorBidi"/>
          <w:sz w:val="24"/>
          <w:szCs w:val="24"/>
        </w:rPr>
      </w:pPr>
      <w:r w:rsidRPr="0058380F">
        <w:rPr>
          <w:rFonts w:asciiTheme="minorBidi" w:hAnsiTheme="minorBidi"/>
          <w:sz w:val="24"/>
          <w:szCs w:val="24"/>
        </w:rPr>
        <w:t xml:space="preserve">Another organisational structure that could be used is </w:t>
      </w:r>
      <w:r w:rsidR="00D33E70" w:rsidRPr="0058380F">
        <w:rPr>
          <w:rFonts w:asciiTheme="minorBidi" w:hAnsiTheme="minorBidi"/>
          <w:sz w:val="24"/>
          <w:szCs w:val="24"/>
        </w:rPr>
        <w:t>Matrix Organi</w:t>
      </w:r>
      <w:r w:rsidRPr="0058380F">
        <w:rPr>
          <w:rFonts w:asciiTheme="minorBidi" w:hAnsiTheme="minorBidi"/>
          <w:sz w:val="24"/>
          <w:szCs w:val="24"/>
        </w:rPr>
        <w:t>s</w:t>
      </w:r>
      <w:r w:rsidR="00D33E70" w:rsidRPr="0058380F">
        <w:rPr>
          <w:rFonts w:asciiTheme="minorBidi" w:hAnsiTheme="minorBidi"/>
          <w:sz w:val="24"/>
          <w:szCs w:val="24"/>
        </w:rPr>
        <w:t>ational Structure</w:t>
      </w:r>
      <w:r w:rsidRPr="0058380F">
        <w:rPr>
          <w:rFonts w:asciiTheme="minorBidi" w:hAnsiTheme="minorBidi"/>
          <w:sz w:val="24"/>
          <w:szCs w:val="24"/>
        </w:rPr>
        <w:t xml:space="preserve">. </w:t>
      </w:r>
      <w:r w:rsidR="00D33E70" w:rsidRPr="0058380F">
        <w:rPr>
          <w:rFonts w:asciiTheme="minorBidi" w:hAnsiTheme="minorBidi"/>
          <w:sz w:val="24"/>
          <w:szCs w:val="24"/>
        </w:rPr>
        <w:t>The matrix structure combines elements of both functional and divisional structures. Employees have dual reporting relationships – functional and divisional – allowing for cross-functional collaboration.</w:t>
      </w:r>
    </w:p>
    <w:p w14:paraId="0B973D08" w14:textId="77777777" w:rsidR="00D33E70" w:rsidRPr="0058380F" w:rsidRDefault="00D33E70" w:rsidP="00D33E70">
      <w:pPr>
        <w:rPr>
          <w:rFonts w:asciiTheme="minorBidi" w:hAnsiTheme="minorBidi"/>
          <w:sz w:val="24"/>
          <w:szCs w:val="24"/>
        </w:rPr>
      </w:pPr>
      <w:r w:rsidRPr="0058380F">
        <w:rPr>
          <w:rFonts w:asciiTheme="minorBidi" w:hAnsiTheme="minorBidi"/>
          <w:sz w:val="24"/>
          <w:szCs w:val="24"/>
        </w:rPr>
        <w:t>Advantages: Enhanced communication and flexibility, as employees collaborate across functions. Efficient use of resources, with employees contributing their expertise to multiple projects (Schermerhorn et al., 2014).</w:t>
      </w:r>
    </w:p>
    <w:p w14:paraId="440D01D2" w14:textId="77777777" w:rsidR="00D33E70" w:rsidRPr="0058380F" w:rsidRDefault="00D33E70" w:rsidP="00D33E70">
      <w:pPr>
        <w:rPr>
          <w:rFonts w:asciiTheme="minorBidi" w:hAnsiTheme="minorBidi"/>
          <w:sz w:val="24"/>
          <w:szCs w:val="24"/>
        </w:rPr>
      </w:pPr>
      <w:r w:rsidRPr="0058380F">
        <w:rPr>
          <w:rFonts w:asciiTheme="minorBidi" w:hAnsiTheme="minorBidi"/>
          <w:sz w:val="24"/>
          <w:szCs w:val="24"/>
        </w:rPr>
        <w:t>Disadvantages: Role ambiguity and potential conflicts arise due to dual reporting relationships. Decision-making may be slower due to the need for coordination between functions (Daft &amp; Marcic, 2015).</w:t>
      </w:r>
    </w:p>
    <w:p w14:paraId="5B83CC7D" w14:textId="6174E5CF" w:rsidR="008B03AE" w:rsidRPr="0058380F" w:rsidRDefault="00D33E70" w:rsidP="00D33E70">
      <w:pPr>
        <w:rPr>
          <w:rFonts w:asciiTheme="minorBidi" w:hAnsiTheme="minorBidi"/>
          <w:sz w:val="24"/>
          <w:szCs w:val="24"/>
        </w:rPr>
      </w:pPr>
      <w:r w:rsidRPr="0058380F">
        <w:rPr>
          <w:rFonts w:asciiTheme="minorBidi" w:hAnsiTheme="minorBidi"/>
          <w:sz w:val="24"/>
          <w:szCs w:val="24"/>
        </w:rPr>
        <w:lastRenderedPageBreak/>
        <w:t>The choice of organi</w:t>
      </w:r>
      <w:r w:rsidR="000B14A4" w:rsidRPr="0058380F">
        <w:rPr>
          <w:rFonts w:asciiTheme="minorBidi" w:hAnsiTheme="minorBidi"/>
          <w:sz w:val="24"/>
          <w:szCs w:val="24"/>
        </w:rPr>
        <w:t>s</w:t>
      </w:r>
      <w:r w:rsidRPr="0058380F">
        <w:rPr>
          <w:rFonts w:asciiTheme="minorBidi" w:hAnsiTheme="minorBidi"/>
          <w:sz w:val="24"/>
          <w:szCs w:val="24"/>
        </w:rPr>
        <w:t>ational structure depends on factors such as the organi</w:t>
      </w:r>
      <w:r w:rsidR="00C37924" w:rsidRPr="0058380F">
        <w:rPr>
          <w:rFonts w:asciiTheme="minorBidi" w:hAnsiTheme="minorBidi"/>
          <w:sz w:val="24"/>
          <w:szCs w:val="24"/>
        </w:rPr>
        <w:t>s</w:t>
      </w:r>
      <w:r w:rsidRPr="0058380F">
        <w:rPr>
          <w:rFonts w:asciiTheme="minorBidi" w:hAnsiTheme="minorBidi"/>
          <w:sz w:val="24"/>
          <w:szCs w:val="24"/>
        </w:rPr>
        <w:t>ation's size, industry, and strategic goals. While functional structures offer clarity and speciali</w:t>
      </w:r>
      <w:r w:rsidR="00C37924" w:rsidRPr="0058380F">
        <w:rPr>
          <w:rFonts w:asciiTheme="minorBidi" w:hAnsiTheme="minorBidi"/>
          <w:sz w:val="24"/>
          <w:szCs w:val="24"/>
        </w:rPr>
        <w:t>s</w:t>
      </w:r>
      <w:r w:rsidRPr="0058380F">
        <w:rPr>
          <w:rFonts w:asciiTheme="minorBidi" w:hAnsiTheme="minorBidi"/>
          <w:sz w:val="24"/>
          <w:szCs w:val="24"/>
        </w:rPr>
        <w:t>ation, divisional and matrix structures provide flexibility and responsiveness to diverse demands. Organi</w:t>
      </w:r>
      <w:r w:rsidR="00C37924" w:rsidRPr="0058380F">
        <w:rPr>
          <w:rFonts w:asciiTheme="minorBidi" w:hAnsiTheme="minorBidi"/>
          <w:sz w:val="24"/>
          <w:szCs w:val="24"/>
        </w:rPr>
        <w:t>s</w:t>
      </w:r>
      <w:r w:rsidRPr="0058380F">
        <w:rPr>
          <w:rFonts w:asciiTheme="minorBidi" w:hAnsiTheme="minorBidi"/>
          <w:sz w:val="24"/>
          <w:szCs w:val="24"/>
        </w:rPr>
        <w:t>ations often adapt their structures over time to align with evolving needs (Robbins et al., 2017; Daft &amp; Marcic, 2015; Schermerhorn et al., 2014).</w:t>
      </w:r>
    </w:p>
    <w:p w14:paraId="24A0256B" w14:textId="77777777" w:rsidR="00C37924" w:rsidRPr="0058380F" w:rsidRDefault="00C37924" w:rsidP="00D33E70">
      <w:pPr>
        <w:rPr>
          <w:rFonts w:asciiTheme="minorBidi" w:hAnsiTheme="minorBidi"/>
          <w:sz w:val="24"/>
          <w:szCs w:val="24"/>
        </w:rPr>
      </w:pPr>
    </w:p>
    <w:p w14:paraId="346FC3C6" w14:textId="36340072" w:rsidR="0057714B" w:rsidRPr="001601E3" w:rsidRDefault="008B03AE" w:rsidP="0057714B">
      <w:pPr>
        <w:rPr>
          <w:b/>
          <w:bCs/>
        </w:rPr>
      </w:pPr>
      <w:r w:rsidRPr="001601E3">
        <w:rPr>
          <w:rFonts w:asciiTheme="minorBidi" w:hAnsiTheme="minorBidi"/>
          <w:b/>
          <w:bCs/>
          <w:sz w:val="24"/>
          <w:szCs w:val="24"/>
        </w:rPr>
        <w:t>2.</w:t>
      </w:r>
      <w:r w:rsidRPr="001601E3">
        <w:rPr>
          <w:rFonts w:asciiTheme="minorBidi" w:hAnsiTheme="minorBidi"/>
          <w:b/>
          <w:bCs/>
          <w:sz w:val="24"/>
          <w:szCs w:val="24"/>
        </w:rPr>
        <w:tab/>
        <w:t xml:space="preserve">Analyse connections between your organisation’s strategy (or an organisation </w:t>
      </w:r>
      <w:r w:rsidR="0057714B" w:rsidRPr="001601E3">
        <w:rPr>
          <w:rFonts w:asciiTheme="minorBidi" w:hAnsiTheme="minorBidi"/>
          <w:b/>
          <w:bCs/>
          <w:sz w:val="24"/>
          <w:szCs w:val="24"/>
        </w:rPr>
        <w:t>w</w:t>
      </w:r>
      <w:r w:rsidR="0057714B" w:rsidRPr="001601E3">
        <w:rPr>
          <w:rFonts w:asciiTheme="minorBidi" w:hAnsiTheme="minorBidi"/>
          <w:b/>
          <w:bCs/>
          <w:sz w:val="24"/>
          <w:szCs w:val="24"/>
        </w:rPr>
        <w:t>ith which you are familiar) and its products or services, and customers. (AC 1.2)</w:t>
      </w:r>
      <w:r w:rsidR="0057714B" w:rsidRPr="001601E3">
        <w:rPr>
          <w:b/>
          <w:bCs/>
        </w:rPr>
        <w:t xml:space="preserve"> </w:t>
      </w:r>
    </w:p>
    <w:p w14:paraId="264C1B05" w14:textId="0E213AAE" w:rsidR="005709AA" w:rsidRPr="005709AA" w:rsidRDefault="005709AA" w:rsidP="005709AA">
      <w:pPr>
        <w:rPr>
          <w:rFonts w:asciiTheme="minorBidi" w:hAnsiTheme="minorBidi"/>
          <w:sz w:val="24"/>
          <w:szCs w:val="24"/>
        </w:rPr>
      </w:pPr>
      <w:r w:rsidRPr="005709AA">
        <w:rPr>
          <w:rFonts w:asciiTheme="minorBidi" w:hAnsiTheme="minorBidi"/>
          <w:sz w:val="24"/>
          <w:szCs w:val="24"/>
        </w:rPr>
        <w:t>An organi</w:t>
      </w:r>
      <w:r w:rsidRPr="005709AA">
        <w:rPr>
          <w:rFonts w:asciiTheme="minorBidi" w:hAnsiTheme="minorBidi"/>
          <w:sz w:val="24"/>
          <w:szCs w:val="24"/>
        </w:rPr>
        <w:t>s</w:t>
      </w:r>
      <w:r w:rsidRPr="005709AA">
        <w:rPr>
          <w:rFonts w:asciiTheme="minorBidi" w:hAnsiTheme="minorBidi"/>
          <w:sz w:val="24"/>
          <w:szCs w:val="24"/>
        </w:rPr>
        <w:t>ation's strategy, products or services, and its relationship with customers are intricately linked, forming the foundation for sustainable success. A well-defined strategy serves as a roadmap, guiding the development and delivery of products or services to meet customer needs and expectations.</w:t>
      </w:r>
      <w:r w:rsidRPr="005709AA">
        <w:rPr>
          <w:rFonts w:asciiTheme="minorBidi" w:hAnsiTheme="minorBidi"/>
          <w:sz w:val="24"/>
          <w:szCs w:val="24"/>
        </w:rPr>
        <w:t xml:space="preserve"> </w:t>
      </w:r>
      <w:r w:rsidRPr="005709AA">
        <w:rPr>
          <w:rFonts w:asciiTheme="minorBidi" w:hAnsiTheme="minorBidi"/>
          <w:sz w:val="24"/>
          <w:szCs w:val="24"/>
        </w:rPr>
        <w:t>The alignment between an organi</w:t>
      </w:r>
      <w:r w:rsidRPr="005709AA">
        <w:rPr>
          <w:rFonts w:asciiTheme="minorBidi" w:hAnsiTheme="minorBidi"/>
          <w:sz w:val="24"/>
          <w:szCs w:val="24"/>
        </w:rPr>
        <w:t>s</w:t>
      </w:r>
      <w:r w:rsidRPr="005709AA">
        <w:rPr>
          <w:rFonts w:asciiTheme="minorBidi" w:hAnsiTheme="minorBidi"/>
          <w:sz w:val="24"/>
          <w:szCs w:val="24"/>
        </w:rPr>
        <w:t>ation's strategy and its offerings is crucial. For example, a differentiation strategy, as proposed by Porter (1985), may lead the organi</w:t>
      </w:r>
      <w:r w:rsidRPr="005709AA">
        <w:rPr>
          <w:rFonts w:asciiTheme="minorBidi" w:hAnsiTheme="minorBidi"/>
          <w:sz w:val="24"/>
          <w:szCs w:val="24"/>
        </w:rPr>
        <w:t>s</w:t>
      </w:r>
      <w:r w:rsidRPr="005709AA">
        <w:rPr>
          <w:rFonts w:asciiTheme="minorBidi" w:hAnsiTheme="minorBidi"/>
          <w:sz w:val="24"/>
          <w:szCs w:val="24"/>
        </w:rPr>
        <w:t>ation to develop unique and innovative products or services to stand out in the market. On the other hand, a cost leadership strategy may prioriti</w:t>
      </w:r>
      <w:r w:rsidRPr="005709AA">
        <w:rPr>
          <w:rFonts w:asciiTheme="minorBidi" w:hAnsiTheme="minorBidi"/>
          <w:sz w:val="24"/>
          <w:szCs w:val="24"/>
        </w:rPr>
        <w:t>s</w:t>
      </w:r>
      <w:r w:rsidRPr="005709AA">
        <w:rPr>
          <w:rFonts w:asciiTheme="minorBidi" w:hAnsiTheme="minorBidi"/>
          <w:sz w:val="24"/>
          <w:szCs w:val="24"/>
        </w:rPr>
        <w:t>e efficiency and economies of scale in delivering standardi</w:t>
      </w:r>
      <w:r w:rsidRPr="005709AA">
        <w:rPr>
          <w:rFonts w:asciiTheme="minorBidi" w:hAnsiTheme="minorBidi"/>
          <w:sz w:val="24"/>
          <w:szCs w:val="24"/>
        </w:rPr>
        <w:t>s</w:t>
      </w:r>
      <w:r w:rsidRPr="005709AA">
        <w:rPr>
          <w:rFonts w:asciiTheme="minorBidi" w:hAnsiTheme="minorBidi"/>
          <w:sz w:val="24"/>
          <w:szCs w:val="24"/>
        </w:rPr>
        <w:t>ed products at lower prices.</w:t>
      </w:r>
    </w:p>
    <w:p w14:paraId="50B5600A" w14:textId="75F53659" w:rsidR="005709AA" w:rsidRPr="005709AA" w:rsidRDefault="005709AA" w:rsidP="005709AA">
      <w:pPr>
        <w:rPr>
          <w:rFonts w:asciiTheme="minorBidi" w:hAnsiTheme="minorBidi"/>
          <w:sz w:val="24"/>
          <w:szCs w:val="24"/>
        </w:rPr>
      </w:pPr>
      <w:r w:rsidRPr="005709AA">
        <w:rPr>
          <w:rFonts w:asciiTheme="minorBidi" w:hAnsiTheme="minorBidi"/>
          <w:sz w:val="24"/>
          <w:szCs w:val="24"/>
        </w:rPr>
        <w:t xml:space="preserve">Understanding customer preferences is pivotal in shaping an effective strategy. Market research, customer feedback mechanisms, and continuous monitoring of industry trends aid organizations in tailoring their strategies to address evolving customer demands </w:t>
      </w:r>
      <w:r>
        <w:rPr>
          <w:rFonts w:asciiTheme="minorBidi" w:hAnsiTheme="minorBidi"/>
          <w:sz w:val="24"/>
          <w:szCs w:val="24"/>
        </w:rPr>
        <w:t>K</w:t>
      </w:r>
      <w:r w:rsidRPr="005709AA">
        <w:rPr>
          <w:rFonts w:asciiTheme="minorBidi" w:hAnsiTheme="minorBidi"/>
          <w:sz w:val="24"/>
          <w:szCs w:val="24"/>
        </w:rPr>
        <w:t xml:space="preserve">otler et al., </w:t>
      </w:r>
      <w:r>
        <w:rPr>
          <w:rFonts w:asciiTheme="minorBidi" w:hAnsiTheme="minorBidi"/>
          <w:sz w:val="24"/>
          <w:szCs w:val="24"/>
        </w:rPr>
        <w:t>(</w:t>
      </w:r>
      <w:r w:rsidRPr="005709AA">
        <w:rPr>
          <w:rFonts w:asciiTheme="minorBidi" w:hAnsiTheme="minorBidi"/>
          <w:sz w:val="24"/>
          <w:szCs w:val="24"/>
        </w:rPr>
        <w:t>2017).</w:t>
      </w:r>
    </w:p>
    <w:p w14:paraId="17877F63" w14:textId="7B5F3D3B" w:rsidR="0057714B" w:rsidRPr="005709AA" w:rsidRDefault="0057714B" w:rsidP="005709AA">
      <w:pPr>
        <w:rPr>
          <w:rFonts w:asciiTheme="minorBidi" w:hAnsiTheme="minorBidi"/>
          <w:sz w:val="24"/>
          <w:szCs w:val="24"/>
        </w:rPr>
      </w:pPr>
      <w:r w:rsidRPr="005709AA">
        <w:rPr>
          <w:rFonts w:asciiTheme="minorBidi" w:hAnsiTheme="minorBidi"/>
          <w:sz w:val="24"/>
          <w:szCs w:val="24"/>
        </w:rPr>
        <w:t xml:space="preserve">The connection between </w:t>
      </w:r>
      <w:r w:rsidRPr="005709AA">
        <w:rPr>
          <w:rFonts w:asciiTheme="minorBidi" w:hAnsiTheme="minorBidi"/>
          <w:sz w:val="24"/>
          <w:szCs w:val="24"/>
        </w:rPr>
        <w:t>Pobl Group’s (2023)</w:t>
      </w:r>
      <w:r w:rsidRPr="005709AA">
        <w:rPr>
          <w:rFonts w:asciiTheme="minorBidi" w:hAnsiTheme="minorBidi"/>
          <w:sz w:val="24"/>
          <w:szCs w:val="24"/>
        </w:rPr>
        <w:t xml:space="preserve"> strategy and its products or services, as well as its customers, is fundamental for effective governance and community well-being. </w:t>
      </w:r>
      <w:r w:rsidRPr="005709AA">
        <w:rPr>
          <w:rFonts w:asciiTheme="minorBidi" w:hAnsiTheme="minorBidi"/>
          <w:sz w:val="24"/>
          <w:szCs w:val="24"/>
        </w:rPr>
        <w:t>Pobl Group</w:t>
      </w:r>
      <w:r w:rsidRPr="005709AA">
        <w:rPr>
          <w:rFonts w:asciiTheme="minorBidi" w:hAnsiTheme="minorBidi"/>
          <w:sz w:val="24"/>
          <w:szCs w:val="24"/>
        </w:rPr>
        <w:t xml:space="preserve"> provide</w:t>
      </w:r>
      <w:r w:rsidRPr="005709AA">
        <w:rPr>
          <w:rFonts w:asciiTheme="minorBidi" w:hAnsiTheme="minorBidi"/>
          <w:sz w:val="24"/>
          <w:szCs w:val="24"/>
        </w:rPr>
        <w:t>s</w:t>
      </w:r>
      <w:r w:rsidRPr="005709AA">
        <w:rPr>
          <w:rFonts w:asciiTheme="minorBidi" w:hAnsiTheme="minorBidi"/>
          <w:sz w:val="24"/>
          <w:szCs w:val="24"/>
        </w:rPr>
        <w:t xml:space="preserve"> a range of services that directly impact the lives of their </w:t>
      </w:r>
      <w:r w:rsidRPr="005709AA">
        <w:rPr>
          <w:rFonts w:asciiTheme="minorBidi" w:hAnsiTheme="minorBidi"/>
          <w:sz w:val="24"/>
          <w:szCs w:val="24"/>
        </w:rPr>
        <w:t>customers and wider communities</w:t>
      </w:r>
      <w:r w:rsidRPr="005709AA">
        <w:rPr>
          <w:rFonts w:asciiTheme="minorBidi" w:hAnsiTheme="minorBidi"/>
          <w:sz w:val="24"/>
          <w:szCs w:val="24"/>
        </w:rPr>
        <w:t xml:space="preserve">. Aligning these services with a well-defined strategy enhances public satisfaction, community development, </w:t>
      </w:r>
      <w:r w:rsidR="001601E3" w:rsidRPr="005709AA">
        <w:rPr>
          <w:rFonts w:asciiTheme="minorBidi" w:hAnsiTheme="minorBidi"/>
          <w:sz w:val="24"/>
          <w:szCs w:val="24"/>
        </w:rPr>
        <w:t xml:space="preserve">customer engagement, funding sources for providers </w:t>
      </w:r>
      <w:r w:rsidRPr="005709AA">
        <w:rPr>
          <w:rFonts w:asciiTheme="minorBidi" w:hAnsiTheme="minorBidi"/>
          <w:sz w:val="24"/>
          <w:szCs w:val="24"/>
        </w:rPr>
        <w:t>and overall efficiency.</w:t>
      </w:r>
    </w:p>
    <w:p w14:paraId="51D02C3A" w14:textId="492F3184" w:rsidR="0057714B" w:rsidRPr="005709AA" w:rsidRDefault="0057714B" w:rsidP="001601E3">
      <w:pPr>
        <w:rPr>
          <w:rFonts w:asciiTheme="minorBidi" w:hAnsiTheme="minorBidi"/>
          <w:sz w:val="24"/>
          <w:szCs w:val="24"/>
        </w:rPr>
      </w:pPr>
      <w:r w:rsidRPr="005709AA">
        <w:rPr>
          <w:rFonts w:asciiTheme="minorBidi" w:hAnsiTheme="minorBidi"/>
          <w:sz w:val="24"/>
          <w:szCs w:val="24"/>
        </w:rPr>
        <w:t>Pobl’s</w:t>
      </w:r>
      <w:r w:rsidRPr="005709AA">
        <w:rPr>
          <w:rFonts w:asciiTheme="minorBidi" w:hAnsiTheme="minorBidi"/>
          <w:sz w:val="24"/>
          <w:szCs w:val="24"/>
        </w:rPr>
        <w:t xml:space="preserve"> strategy outlines its goals, priorities, and approaches to addressing community</w:t>
      </w:r>
      <w:r w:rsidRPr="005709AA">
        <w:rPr>
          <w:rFonts w:asciiTheme="minorBidi" w:hAnsiTheme="minorBidi"/>
          <w:sz w:val="24"/>
          <w:szCs w:val="24"/>
        </w:rPr>
        <w:t xml:space="preserve"> and customer</w:t>
      </w:r>
      <w:r w:rsidRPr="005709AA">
        <w:rPr>
          <w:rFonts w:asciiTheme="minorBidi" w:hAnsiTheme="minorBidi"/>
          <w:sz w:val="24"/>
          <w:szCs w:val="24"/>
        </w:rPr>
        <w:t xml:space="preserve"> needs. The services offered by </w:t>
      </w:r>
      <w:r w:rsidRPr="005709AA">
        <w:rPr>
          <w:rFonts w:asciiTheme="minorBidi" w:hAnsiTheme="minorBidi"/>
          <w:sz w:val="24"/>
          <w:szCs w:val="24"/>
        </w:rPr>
        <w:t>Pobl</w:t>
      </w:r>
      <w:r w:rsidRPr="005709AA">
        <w:rPr>
          <w:rFonts w:asciiTheme="minorBidi" w:hAnsiTheme="minorBidi"/>
          <w:sz w:val="24"/>
          <w:szCs w:val="24"/>
        </w:rPr>
        <w:t xml:space="preserve"> such as </w:t>
      </w:r>
      <w:r w:rsidRPr="005709AA">
        <w:rPr>
          <w:rFonts w:asciiTheme="minorBidi" w:hAnsiTheme="minorBidi"/>
          <w:sz w:val="24"/>
          <w:szCs w:val="24"/>
        </w:rPr>
        <w:t xml:space="preserve">housing, </w:t>
      </w:r>
      <w:r w:rsidRPr="005709AA">
        <w:rPr>
          <w:rFonts w:asciiTheme="minorBidi" w:hAnsiTheme="minorBidi"/>
          <w:sz w:val="24"/>
          <w:szCs w:val="24"/>
        </w:rPr>
        <w:t xml:space="preserve"> healthcare, infrastructure development, and public safety, align with these strategic objectives. </w:t>
      </w:r>
      <w:r w:rsidR="001601E3" w:rsidRPr="005709AA">
        <w:rPr>
          <w:rFonts w:asciiTheme="minorBidi" w:hAnsiTheme="minorBidi"/>
          <w:sz w:val="24"/>
          <w:szCs w:val="24"/>
        </w:rPr>
        <w:t xml:space="preserve">As an example Pobl’s focus (2023) </w:t>
      </w:r>
      <w:r w:rsidRPr="005709AA">
        <w:rPr>
          <w:rFonts w:asciiTheme="minorBidi" w:hAnsiTheme="minorBidi"/>
          <w:sz w:val="24"/>
          <w:szCs w:val="24"/>
        </w:rPr>
        <w:t xml:space="preserve">on sustainable development in </w:t>
      </w:r>
      <w:r w:rsidR="001601E3" w:rsidRPr="005709AA">
        <w:rPr>
          <w:rFonts w:asciiTheme="minorBidi" w:hAnsiTheme="minorBidi"/>
          <w:sz w:val="24"/>
          <w:szCs w:val="24"/>
        </w:rPr>
        <w:t>its new home building s</w:t>
      </w:r>
      <w:r w:rsidRPr="005709AA">
        <w:rPr>
          <w:rFonts w:asciiTheme="minorBidi" w:hAnsiTheme="minorBidi"/>
          <w:sz w:val="24"/>
          <w:szCs w:val="24"/>
        </w:rPr>
        <w:t>trategy lead</w:t>
      </w:r>
      <w:r w:rsidR="001601E3" w:rsidRPr="005709AA">
        <w:rPr>
          <w:rFonts w:asciiTheme="minorBidi" w:hAnsiTheme="minorBidi"/>
          <w:sz w:val="24"/>
          <w:szCs w:val="24"/>
        </w:rPr>
        <w:t>s</w:t>
      </w:r>
      <w:r w:rsidRPr="005709AA">
        <w:rPr>
          <w:rFonts w:asciiTheme="minorBidi" w:hAnsiTheme="minorBidi"/>
          <w:sz w:val="24"/>
          <w:szCs w:val="24"/>
        </w:rPr>
        <w:t xml:space="preserve"> to services that promote environmental conservation and green initiatives within the community</w:t>
      </w:r>
      <w:r w:rsidR="001601E3" w:rsidRPr="005709AA">
        <w:rPr>
          <w:rFonts w:asciiTheme="minorBidi" w:hAnsiTheme="minorBidi"/>
          <w:sz w:val="24"/>
          <w:szCs w:val="24"/>
        </w:rPr>
        <w:t>.</w:t>
      </w:r>
    </w:p>
    <w:p w14:paraId="6FC69756" w14:textId="4DB673B0" w:rsidR="001601E3" w:rsidRPr="005709AA" w:rsidRDefault="0057714B" w:rsidP="001601E3">
      <w:pPr>
        <w:rPr>
          <w:rFonts w:asciiTheme="minorBidi" w:hAnsiTheme="minorBidi"/>
          <w:sz w:val="24"/>
          <w:szCs w:val="24"/>
        </w:rPr>
      </w:pPr>
      <w:r w:rsidRPr="005709AA">
        <w:rPr>
          <w:rFonts w:asciiTheme="minorBidi" w:hAnsiTheme="minorBidi"/>
          <w:sz w:val="24"/>
          <w:szCs w:val="24"/>
        </w:rPr>
        <w:t xml:space="preserve">Understanding the needs and preferences of the local population is crucial for tailoring services effectively. This requires ongoing engagement and communication with </w:t>
      </w:r>
      <w:r w:rsidR="001601E3" w:rsidRPr="005709AA">
        <w:rPr>
          <w:rFonts w:asciiTheme="minorBidi" w:hAnsiTheme="minorBidi"/>
          <w:sz w:val="24"/>
          <w:szCs w:val="24"/>
        </w:rPr>
        <w:t xml:space="preserve">stakeholders and customers </w:t>
      </w:r>
      <w:r w:rsidRPr="005709AA">
        <w:rPr>
          <w:rFonts w:asciiTheme="minorBidi" w:hAnsiTheme="minorBidi"/>
          <w:sz w:val="24"/>
          <w:szCs w:val="24"/>
        </w:rPr>
        <w:t xml:space="preserve">to ensure that </w:t>
      </w:r>
      <w:r w:rsidR="001601E3" w:rsidRPr="005709AA">
        <w:rPr>
          <w:rFonts w:asciiTheme="minorBidi" w:hAnsiTheme="minorBidi"/>
          <w:sz w:val="24"/>
          <w:szCs w:val="24"/>
        </w:rPr>
        <w:t xml:space="preserve">the </w:t>
      </w:r>
      <w:r w:rsidRPr="005709AA">
        <w:rPr>
          <w:rFonts w:asciiTheme="minorBidi" w:hAnsiTheme="minorBidi"/>
          <w:sz w:val="24"/>
          <w:szCs w:val="24"/>
        </w:rPr>
        <w:t xml:space="preserve">services </w:t>
      </w:r>
      <w:r w:rsidR="001601E3" w:rsidRPr="005709AA">
        <w:rPr>
          <w:rFonts w:asciiTheme="minorBidi" w:hAnsiTheme="minorBidi"/>
          <w:sz w:val="24"/>
          <w:szCs w:val="24"/>
        </w:rPr>
        <w:t xml:space="preserve">Pobl provide </w:t>
      </w:r>
      <w:r w:rsidRPr="005709AA">
        <w:rPr>
          <w:rFonts w:asciiTheme="minorBidi" w:hAnsiTheme="minorBidi"/>
          <w:sz w:val="24"/>
          <w:szCs w:val="24"/>
        </w:rPr>
        <w:t xml:space="preserve">are responsive to changing community dynamics Bovaird, </w:t>
      </w:r>
      <w:r w:rsidR="005709AA">
        <w:rPr>
          <w:rFonts w:asciiTheme="minorBidi" w:hAnsiTheme="minorBidi"/>
          <w:sz w:val="24"/>
          <w:szCs w:val="24"/>
        </w:rPr>
        <w:t>(</w:t>
      </w:r>
      <w:r w:rsidRPr="005709AA">
        <w:rPr>
          <w:rFonts w:asciiTheme="minorBidi" w:hAnsiTheme="minorBidi"/>
          <w:sz w:val="24"/>
          <w:szCs w:val="24"/>
        </w:rPr>
        <w:t>2007). This c</w:t>
      </w:r>
      <w:r w:rsidR="001601E3" w:rsidRPr="005709AA">
        <w:rPr>
          <w:rFonts w:asciiTheme="minorBidi" w:hAnsiTheme="minorBidi"/>
          <w:sz w:val="24"/>
          <w:szCs w:val="24"/>
        </w:rPr>
        <w:t xml:space="preserve">ustomer </w:t>
      </w:r>
      <w:r w:rsidRPr="005709AA">
        <w:rPr>
          <w:rFonts w:asciiTheme="minorBidi" w:hAnsiTheme="minorBidi"/>
          <w:sz w:val="24"/>
          <w:szCs w:val="24"/>
        </w:rPr>
        <w:t xml:space="preserve">centric </w:t>
      </w:r>
      <w:r w:rsidRPr="005709AA">
        <w:rPr>
          <w:rFonts w:asciiTheme="minorBidi" w:hAnsiTheme="minorBidi"/>
          <w:sz w:val="24"/>
          <w:szCs w:val="24"/>
        </w:rPr>
        <w:lastRenderedPageBreak/>
        <w:t>approach enhances customer satisfaction, as services are more likely to meet the actual needs of the community.</w:t>
      </w:r>
      <w:r w:rsidR="001601E3" w:rsidRPr="005709AA">
        <w:rPr>
          <w:rFonts w:asciiTheme="minorBidi" w:hAnsiTheme="minorBidi"/>
          <w:sz w:val="24"/>
          <w:szCs w:val="24"/>
        </w:rPr>
        <w:t xml:space="preserve"> </w:t>
      </w:r>
      <w:r w:rsidR="001601E3" w:rsidRPr="005709AA">
        <w:rPr>
          <w:rFonts w:asciiTheme="minorBidi" w:hAnsiTheme="minorBidi"/>
          <w:sz w:val="24"/>
          <w:szCs w:val="24"/>
        </w:rPr>
        <w:t>Open channels of communication, such as, surveys, and digital platforms, facilitate engagement</w:t>
      </w:r>
      <w:r w:rsidR="001601E3" w:rsidRPr="005709AA">
        <w:rPr>
          <w:rFonts w:asciiTheme="minorBidi" w:hAnsiTheme="minorBidi"/>
          <w:sz w:val="24"/>
          <w:szCs w:val="24"/>
        </w:rPr>
        <w:t xml:space="preserve"> with current and possible future customers allowing Pobl to tailor its services to meet the demands of customers whilst also ensuring value for money as a not for profit organisation. </w:t>
      </w:r>
    </w:p>
    <w:p w14:paraId="260C0954" w14:textId="6E272633" w:rsidR="0057714B" w:rsidRPr="005709AA" w:rsidRDefault="001601E3" w:rsidP="001601E3">
      <w:pPr>
        <w:rPr>
          <w:rFonts w:asciiTheme="minorBidi" w:hAnsiTheme="minorBidi"/>
          <w:sz w:val="24"/>
          <w:szCs w:val="24"/>
        </w:rPr>
      </w:pPr>
      <w:r w:rsidRPr="005709AA">
        <w:rPr>
          <w:rFonts w:asciiTheme="minorBidi" w:hAnsiTheme="minorBidi"/>
          <w:sz w:val="24"/>
          <w:szCs w:val="24"/>
        </w:rPr>
        <w:t xml:space="preserve">A strategic tool that </w:t>
      </w:r>
      <w:r w:rsidRPr="005709AA">
        <w:rPr>
          <w:rFonts w:asciiTheme="minorBidi" w:hAnsiTheme="minorBidi"/>
          <w:sz w:val="24"/>
          <w:szCs w:val="24"/>
        </w:rPr>
        <w:t xml:space="preserve">Pobl </w:t>
      </w:r>
      <w:r w:rsidRPr="005709AA">
        <w:rPr>
          <w:rFonts w:asciiTheme="minorBidi" w:hAnsiTheme="minorBidi"/>
          <w:sz w:val="24"/>
          <w:szCs w:val="24"/>
        </w:rPr>
        <w:t>implement</w:t>
      </w:r>
      <w:r w:rsidRPr="005709AA">
        <w:rPr>
          <w:rFonts w:asciiTheme="minorBidi" w:hAnsiTheme="minorBidi"/>
          <w:sz w:val="24"/>
          <w:szCs w:val="24"/>
        </w:rPr>
        <w:t>s</w:t>
      </w:r>
      <w:r w:rsidRPr="005709AA">
        <w:rPr>
          <w:rFonts w:asciiTheme="minorBidi" w:hAnsiTheme="minorBidi"/>
          <w:sz w:val="24"/>
          <w:szCs w:val="24"/>
        </w:rPr>
        <w:t xml:space="preserve"> to enhance connections is the adoption of technology-driven c</w:t>
      </w:r>
      <w:r w:rsidRPr="005709AA">
        <w:rPr>
          <w:rFonts w:asciiTheme="minorBidi" w:hAnsiTheme="minorBidi"/>
          <w:sz w:val="24"/>
          <w:szCs w:val="24"/>
        </w:rPr>
        <w:t>ustomer</w:t>
      </w:r>
      <w:r w:rsidRPr="005709AA">
        <w:rPr>
          <w:rFonts w:asciiTheme="minorBidi" w:hAnsiTheme="minorBidi"/>
          <w:sz w:val="24"/>
          <w:szCs w:val="24"/>
        </w:rPr>
        <w:t xml:space="preserve"> engagement platforms. Digital tools, including mobile apps and online portals, can serve as effective mechanisms for soliciting feedback, disseminating information, and involving c</w:t>
      </w:r>
      <w:r w:rsidRPr="005709AA">
        <w:rPr>
          <w:rFonts w:asciiTheme="minorBidi" w:hAnsiTheme="minorBidi"/>
          <w:sz w:val="24"/>
          <w:szCs w:val="24"/>
        </w:rPr>
        <w:t>ustomers</w:t>
      </w:r>
      <w:r w:rsidRPr="005709AA">
        <w:rPr>
          <w:rFonts w:asciiTheme="minorBidi" w:hAnsiTheme="minorBidi"/>
          <w:sz w:val="24"/>
          <w:szCs w:val="24"/>
        </w:rPr>
        <w:t xml:space="preserve"> in decision-making processes </w:t>
      </w:r>
      <w:r w:rsidR="005709AA">
        <w:rPr>
          <w:rFonts w:asciiTheme="minorBidi" w:hAnsiTheme="minorBidi"/>
          <w:sz w:val="24"/>
          <w:szCs w:val="24"/>
        </w:rPr>
        <w:t>N</w:t>
      </w:r>
      <w:r w:rsidRPr="005709AA">
        <w:rPr>
          <w:rFonts w:asciiTheme="minorBidi" w:hAnsiTheme="minorBidi"/>
          <w:sz w:val="24"/>
          <w:szCs w:val="24"/>
        </w:rPr>
        <w:t xml:space="preserve">am &amp; Pardo, </w:t>
      </w:r>
      <w:r w:rsidR="005709AA">
        <w:rPr>
          <w:rFonts w:asciiTheme="minorBidi" w:hAnsiTheme="minorBidi"/>
          <w:sz w:val="24"/>
          <w:szCs w:val="24"/>
        </w:rPr>
        <w:t>(</w:t>
      </w:r>
      <w:r w:rsidRPr="005709AA">
        <w:rPr>
          <w:rFonts w:asciiTheme="minorBidi" w:hAnsiTheme="minorBidi"/>
          <w:sz w:val="24"/>
          <w:szCs w:val="24"/>
        </w:rPr>
        <w:t xml:space="preserve">2011). These platforms enable real-time communication, allowing </w:t>
      </w:r>
      <w:r w:rsidRPr="005709AA">
        <w:rPr>
          <w:rFonts w:asciiTheme="minorBidi" w:hAnsiTheme="minorBidi"/>
          <w:sz w:val="24"/>
          <w:szCs w:val="24"/>
        </w:rPr>
        <w:t xml:space="preserve">Pobl </w:t>
      </w:r>
      <w:r w:rsidRPr="005709AA">
        <w:rPr>
          <w:rFonts w:asciiTheme="minorBidi" w:hAnsiTheme="minorBidi"/>
          <w:sz w:val="24"/>
          <w:szCs w:val="24"/>
        </w:rPr>
        <w:t>to gather insights into community needs and preferences swiftly.</w:t>
      </w:r>
    </w:p>
    <w:p w14:paraId="0206D2F4" w14:textId="3D50993B" w:rsidR="008B03AE" w:rsidRPr="0058380F" w:rsidRDefault="005709AA" w:rsidP="005709AA">
      <w:pPr>
        <w:rPr>
          <w:rFonts w:asciiTheme="minorBidi" w:hAnsiTheme="minorBidi"/>
          <w:color w:val="FF0000"/>
          <w:sz w:val="24"/>
          <w:szCs w:val="24"/>
        </w:rPr>
      </w:pPr>
      <w:r w:rsidRPr="005709AA">
        <w:rPr>
          <w:rFonts w:asciiTheme="minorBidi" w:hAnsiTheme="minorBidi"/>
          <w:sz w:val="24"/>
          <w:szCs w:val="24"/>
        </w:rPr>
        <w:t xml:space="preserve">Simply put </w:t>
      </w:r>
      <w:r>
        <w:rPr>
          <w:rFonts w:asciiTheme="minorBidi" w:hAnsiTheme="minorBidi"/>
          <w:sz w:val="24"/>
          <w:szCs w:val="24"/>
        </w:rPr>
        <w:t>P</w:t>
      </w:r>
      <w:r w:rsidRPr="005709AA">
        <w:rPr>
          <w:rFonts w:asciiTheme="minorBidi" w:hAnsiTheme="minorBidi"/>
          <w:sz w:val="24"/>
          <w:szCs w:val="24"/>
        </w:rPr>
        <w:t>obl</w:t>
      </w:r>
      <w:r>
        <w:rPr>
          <w:rFonts w:asciiTheme="minorBidi" w:hAnsiTheme="minorBidi"/>
          <w:sz w:val="24"/>
          <w:szCs w:val="24"/>
        </w:rPr>
        <w:t>’s</w:t>
      </w:r>
      <w:r w:rsidRPr="005709AA">
        <w:rPr>
          <w:rFonts w:asciiTheme="minorBidi" w:hAnsiTheme="minorBidi"/>
          <w:sz w:val="24"/>
          <w:szCs w:val="24"/>
        </w:rPr>
        <w:t xml:space="preserve"> strategy has been designed based on stakeholder and customer feedback over a number of years to ensure that th</w:t>
      </w:r>
      <w:r>
        <w:rPr>
          <w:rFonts w:asciiTheme="minorBidi" w:hAnsiTheme="minorBidi"/>
          <w:sz w:val="24"/>
          <w:szCs w:val="24"/>
        </w:rPr>
        <w:t>e</w:t>
      </w:r>
      <w:r w:rsidRPr="005709AA">
        <w:rPr>
          <w:rFonts w:asciiTheme="minorBidi" w:hAnsiTheme="minorBidi"/>
          <w:sz w:val="24"/>
          <w:szCs w:val="24"/>
        </w:rPr>
        <w:t xml:space="preserve"> eservices Pobl offer are wanted, needed and will be utilised making the relationship between Pobl and is stakeholders very dependent on each other. </w:t>
      </w:r>
    </w:p>
    <w:p w14:paraId="5AD77B9C" w14:textId="77777777" w:rsidR="008B03AE" w:rsidRPr="00AC5C66" w:rsidRDefault="008B03AE" w:rsidP="008B03AE">
      <w:pPr>
        <w:rPr>
          <w:rFonts w:asciiTheme="minorBidi" w:hAnsiTheme="minorBidi"/>
          <w:b/>
          <w:bCs/>
          <w:sz w:val="24"/>
          <w:szCs w:val="24"/>
        </w:rPr>
      </w:pPr>
      <w:r w:rsidRPr="00AC5C66">
        <w:rPr>
          <w:rFonts w:asciiTheme="minorBidi" w:hAnsiTheme="minorBidi"/>
          <w:b/>
          <w:bCs/>
          <w:sz w:val="24"/>
          <w:szCs w:val="24"/>
        </w:rPr>
        <w:t>3.</w:t>
      </w:r>
      <w:r w:rsidRPr="00AC5C66">
        <w:rPr>
          <w:rFonts w:asciiTheme="minorBidi" w:hAnsiTheme="minorBidi"/>
          <w:b/>
          <w:bCs/>
          <w:sz w:val="24"/>
          <w:szCs w:val="24"/>
        </w:rPr>
        <w:tab/>
        <w:t>Analyse three external factors or trends currently impacting your organisation (or one with which you are familiar). The impact of these factors or trends could be positive, neutral or negative, some are short-lived whilst others are long-lasting. Identify organisational priorities arising from the factors or trends analysed. (AC 1.3)</w:t>
      </w:r>
    </w:p>
    <w:p w14:paraId="0F0EB82E" w14:textId="5D706729" w:rsidR="004C5318" w:rsidRPr="00433ACD" w:rsidRDefault="004C5318" w:rsidP="008B03AE">
      <w:pPr>
        <w:rPr>
          <w:rFonts w:asciiTheme="minorBidi" w:hAnsiTheme="minorBidi"/>
          <w:sz w:val="24"/>
          <w:szCs w:val="24"/>
        </w:rPr>
      </w:pPr>
      <w:r w:rsidRPr="00433ACD">
        <w:rPr>
          <w:rFonts w:asciiTheme="minorBidi" w:hAnsiTheme="minorBidi"/>
          <w:sz w:val="24"/>
          <w:szCs w:val="24"/>
        </w:rPr>
        <w:t>PESTLE analysis is a valuable tool for assessing external factors affecting organizations</w:t>
      </w:r>
      <w:r w:rsidRPr="00433ACD">
        <w:rPr>
          <w:rFonts w:asciiTheme="minorBidi" w:hAnsiTheme="minorBidi"/>
        </w:rPr>
        <w:t xml:space="preserve"> Kotler et al, (2017)</w:t>
      </w:r>
      <w:r w:rsidRPr="00433ACD">
        <w:rPr>
          <w:rFonts w:asciiTheme="minorBidi" w:hAnsiTheme="minorBidi"/>
          <w:sz w:val="24"/>
          <w:szCs w:val="24"/>
        </w:rPr>
        <w:t xml:space="preserve">. It considers Political, Economic, Social, Technological, Legal, and Environmental influences. </w:t>
      </w:r>
    </w:p>
    <w:p w14:paraId="17ADE685" w14:textId="7CD89B40" w:rsidR="008B03AE" w:rsidRDefault="004C5318" w:rsidP="008B03AE">
      <w:pPr>
        <w:rPr>
          <w:rFonts w:asciiTheme="minorBidi" w:hAnsiTheme="minorBidi"/>
          <w:sz w:val="24"/>
          <w:szCs w:val="24"/>
        </w:rPr>
      </w:pPr>
      <w:r w:rsidRPr="00433ACD">
        <w:rPr>
          <w:rFonts w:asciiTheme="minorBidi" w:hAnsiTheme="minorBidi"/>
          <w:sz w:val="24"/>
          <w:szCs w:val="24"/>
        </w:rPr>
        <w:t xml:space="preserve">For Pobl group using the PESTLE Analysis </w:t>
      </w:r>
      <w:r w:rsidR="00433ACD" w:rsidRPr="00433ACD">
        <w:rPr>
          <w:rFonts w:asciiTheme="minorBidi" w:hAnsiTheme="minorBidi"/>
          <w:sz w:val="24"/>
          <w:szCs w:val="24"/>
        </w:rPr>
        <w:t xml:space="preserve">economic support is key. </w:t>
      </w:r>
      <w:r w:rsidRPr="00433ACD">
        <w:rPr>
          <w:rFonts w:asciiTheme="minorBidi" w:hAnsiTheme="minorBidi"/>
          <w:sz w:val="24"/>
          <w:szCs w:val="24"/>
        </w:rPr>
        <w:t xml:space="preserve">The reduction of government funding in Wales has </w:t>
      </w:r>
      <w:r w:rsidR="00433ACD" w:rsidRPr="00433ACD">
        <w:rPr>
          <w:rFonts w:asciiTheme="minorBidi" w:hAnsiTheme="minorBidi"/>
          <w:sz w:val="24"/>
          <w:szCs w:val="24"/>
        </w:rPr>
        <w:t xml:space="preserve">and could have </w:t>
      </w:r>
      <w:r w:rsidRPr="00433ACD">
        <w:rPr>
          <w:rFonts w:asciiTheme="minorBidi" w:hAnsiTheme="minorBidi"/>
          <w:sz w:val="24"/>
          <w:szCs w:val="24"/>
        </w:rPr>
        <w:t>substantial economic implications for not-for-profit organi</w:t>
      </w:r>
      <w:r w:rsidR="00433ACD" w:rsidRPr="00433ACD">
        <w:rPr>
          <w:rFonts w:asciiTheme="minorBidi" w:hAnsiTheme="minorBidi"/>
          <w:sz w:val="24"/>
          <w:szCs w:val="24"/>
        </w:rPr>
        <w:t>s</w:t>
      </w:r>
      <w:r w:rsidRPr="00433ACD">
        <w:rPr>
          <w:rFonts w:asciiTheme="minorBidi" w:hAnsiTheme="minorBidi"/>
          <w:sz w:val="24"/>
          <w:szCs w:val="24"/>
        </w:rPr>
        <w:t xml:space="preserve">ations </w:t>
      </w:r>
      <w:r w:rsidR="00433ACD" w:rsidRPr="00433ACD">
        <w:rPr>
          <w:rFonts w:asciiTheme="minorBidi" w:hAnsiTheme="minorBidi"/>
          <w:sz w:val="24"/>
          <w:szCs w:val="24"/>
        </w:rPr>
        <w:t>such as Pobl Group</w:t>
      </w:r>
      <w:r w:rsidRPr="00433ACD">
        <w:rPr>
          <w:rFonts w:asciiTheme="minorBidi" w:hAnsiTheme="minorBidi"/>
          <w:sz w:val="24"/>
          <w:szCs w:val="24"/>
        </w:rPr>
        <w:t xml:space="preserve">. As </w:t>
      </w:r>
      <w:r w:rsidR="00433ACD" w:rsidRPr="00433ACD">
        <w:rPr>
          <w:rFonts w:asciiTheme="minorBidi" w:hAnsiTheme="minorBidi"/>
          <w:sz w:val="24"/>
          <w:szCs w:val="24"/>
        </w:rPr>
        <w:t>Pobl is</w:t>
      </w:r>
      <w:r w:rsidRPr="00433ACD">
        <w:rPr>
          <w:rFonts w:asciiTheme="minorBidi" w:hAnsiTheme="minorBidi"/>
          <w:sz w:val="24"/>
          <w:szCs w:val="24"/>
        </w:rPr>
        <w:t xml:space="preserve"> heavily rel</w:t>
      </w:r>
      <w:r w:rsidR="00433ACD" w:rsidRPr="00433ACD">
        <w:rPr>
          <w:rFonts w:asciiTheme="minorBidi" w:hAnsiTheme="minorBidi"/>
          <w:sz w:val="24"/>
          <w:szCs w:val="24"/>
        </w:rPr>
        <w:t>iant</w:t>
      </w:r>
      <w:r w:rsidRPr="00433ACD">
        <w:rPr>
          <w:rFonts w:asciiTheme="minorBidi" w:hAnsiTheme="minorBidi"/>
          <w:sz w:val="24"/>
          <w:szCs w:val="24"/>
        </w:rPr>
        <w:t xml:space="preserve"> on public funding, cuts can hinder their ability to deliver essential services and </w:t>
      </w:r>
      <w:r w:rsidR="00433ACD" w:rsidRPr="00433ACD">
        <w:rPr>
          <w:rFonts w:asciiTheme="minorBidi" w:hAnsiTheme="minorBidi"/>
          <w:sz w:val="24"/>
          <w:szCs w:val="24"/>
        </w:rPr>
        <w:t>fulfil</w:t>
      </w:r>
      <w:r w:rsidRPr="00433ACD">
        <w:rPr>
          <w:rFonts w:asciiTheme="minorBidi" w:hAnsiTheme="minorBidi"/>
          <w:sz w:val="24"/>
          <w:szCs w:val="24"/>
        </w:rPr>
        <w:t xml:space="preserve"> their social missions. The economic impact encompasses reduced employment opportunities within the sector, potentially leading to job losses and increased unemployment rates. Additionally, diminished financial support may limit </w:t>
      </w:r>
      <w:r w:rsidR="00433ACD" w:rsidRPr="00433ACD">
        <w:rPr>
          <w:rFonts w:asciiTheme="minorBidi" w:hAnsiTheme="minorBidi"/>
          <w:sz w:val="24"/>
          <w:szCs w:val="24"/>
        </w:rPr>
        <w:t>Pobl’s</w:t>
      </w:r>
      <w:r w:rsidRPr="00433ACD">
        <w:rPr>
          <w:rFonts w:asciiTheme="minorBidi" w:hAnsiTheme="minorBidi"/>
          <w:sz w:val="24"/>
          <w:szCs w:val="24"/>
        </w:rPr>
        <w:t xml:space="preserve"> capacity to address societal needs, exacerbating social issues and placing additional strain on public services</w:t>
      </w:r>
      <w:r w:rsidR="00433ACD" w:rsidRPr="00433ACD">
        <w:rPr>
          <w:rFonts w:asciiTheme="minorBidi" w:hAnsiTheme="minorBidi"/>
        </w:rPr>
        <w:t xml:space="preserve"> </w:t>
      </w:r>
      <w:r w:rsidR="00433ACD" w:rsidRPr="00433ACD">
        <w:rPr>
          <w:rFonts w:asciiTheme="minorBidi" w:hAnsiTheme="minorBidi"/>
          <w:sz w:val="24"/>
          <w:szCs w:val="24"/>
        </w:rPr>
        <w:t>Young and Salamon (2002)</w:t>
      </w:r>
      <w:r w:rsidR="00433ACD">
        <w:rPr>
          <w:rFonts w:asciiTheme="minorBidi" w:hAnsiTheme="minorBidi"/>
          <w:sz w:val="24"/>
          <w:szCs w:val="24"/>
        </w:rPr>
        <w:t>.</w:t>
      </w:r>
    </w:p>
    <w:p w14:paraId="6409AD32" w14:textId="11465479" w:rsidR="00433ACD" w:rsidRDefault="00433ACD" w:rsidP="008B03AE">
      <w:pPr>
        <w:rPr>
          <w:rFonts w:asciiTheme="minorBidi" w:hAnsiTheme="minorBidi"/>
          <w:sz w:val="24"/>
          <w:szCs w:val="24"/>
        </w:rPr>
      </w:pPr>
      <w:r>
        <w:rPr>
          <w:rFonts w:asciiTheme="minorBidi" w:hAnsiTheme="minorBidi"/>
          <w:sz w:val="24"/>
          <w:szCs w:val="24"/>
        </w:rPr>
        <w:t>Pobl as a</w:t>
      </w:r>
      <w:r w:rsidRPr="00433ACD">
        <w:rPr>
          <w:rFonts w:asciiTheme="minorBidi" w:hAnsiTheme="minorBidi"/>
          <w:sz w:val="24"/>
          <w:szCs w:val="24"/>
        </w:rPr>
        <w:t xml:space="preserve"> not-for-profit organi</w:t>
      </w:r>
      <w:r>
        <w:rPr>
          <w:rFonts w:asciiTheme="minorBidi" w:hAnsiTheme="minorBidi"/>
          <w:sz w:val="24"/>
          <w:szCs w:val="24"/>
        </w:rPr>
        <w:t>s</w:t>
      </w:r>
      <w:r w:rsidRPr="00433ACD">
        <w:rPr>
          <w:rFonts w:asciiTheme="minorBidi" w:hAnsiTheme="minorBidi"/>
          <w:sz w:val="24"/>
          <w:szCs w:val="24"/>
        </w:rPr>
        <w:t>ation in Wales can have a positive social impact by addressing community needs, promoting social welfare, and fostering inclusivity. Positive effects include improved healthcare, poverty alleviation, and enhanced community well-being. However, negative social impacts can arise from unintended consequences or organi</w:t>
      </w:r>
      <w:r>
        <w:rPr>
          <w:rFonts w:asciiTheme="minorBidi" w:hAnsiTheme="minorBidi"/>
          <w:sz w:val="24"/>
          <w:szCs w:val="24"/>
        </w:rPr>
        <w:t>s</w:t>
      </w:r>
      <w:r w:rsidRPr="00433ACD">
        <w:rPr>
          <w:rFonts w:asciiTheme="minorBidi" w:hAnsiTheme="minorBidi"/>
          <w:sz w:val="24"/>
          <w:szCs w:val="24"/>
        </w:rPr>
        <w:t>ational challenges</w:t>
      </w:r>
      <w:r>
        <w:rPr>
          <w:rFonts w:asciiTheme="minorBidi" w:hAnsiTheme="minorBidi"/>
          <w:sz w:val="24"/>
          <w:szCs w:val="24"/>
        </w:rPr>
        <w:t xml:space="preserve">, such as the lack of economic support </w:t>
      </w:r>
      <w:r w:rsidR="0049282C">
        <w:rPr>
          <w:rFonts w:asciiTheme="minorBidi" w:hAnsiTheme="minorBidi"/>
          <w:sz w:val="24"/>
          <w:szCs w:val="24"/>
        </w:rPr>
        <w:t>mentioned</w:t>
      </w:r>
      <w:r>
        <w:rPr>
          <w:rFonts w:asciiTheme="minorBidi" w:hAnsiTheme="minorBidi"/>
          <w:sz w:val="24"/>
          <w:szCs w:val="24"/>
        </w:rPr>
        <w:t xml:space="preserve"> above</w:t>
      </w:r>
      <w:r w:rsidRPr="00433ACD">
        <w:rPr>
          <w:rFonts w:asciiTheme="minorBidi" w:hAnsiTheme="minorBidi"/>
          <w:sz w:val="24"/>
          <w:szCs w:val="24"/>
        </w:rPr>
        <w:t xml:space="preserve">. Ebrahim (2003), </w:t>
      </w:r>
      <w:r w:rsidR="0049282C" w:rsidRPr="00433ACD">
        <w:rPr>
          <w:rFonts w:asciiTheme="minorBidi" w:hAnsiTheme="minorBidi"/>
          <w:sz w:val="24"/>
          <w:szCs w:val="24"/>
        </w:rPr>
        <w:t>emphasi</w:t>
      </w:r>
      <w:r w:rsidR="0049282C">
        <w:rPr>
          <w:rFonts w:asciiTheme="minorBidi" w:hAnsiTheme="minorBidi"/>
          <w:sz w:val="24"/>
          <w:szCs w:val="24"/>
        </w:rPr>
        <w:t xml:space="preserve">se that an organisation such as Pobl has </w:t>
      </w:r>
      <w:r w:rsidRPr="00433ACD">
        <w:rPr>
          <w:rFonts w:asciiTheme="minorBidi" w:hAnsiTheme="minorBidi"/>
          <w:sz w:val="24"/>
          <w:szCs w:val="24"/>
        </w:rPr>
        <w:t xml:space="preserve">the potential to enhance social capital and community development, but </w:t>
      </w:r>
      <w:r w:rsidR="0049282C">
        <w:rPr>
          <w:rFonts w:asciiTheme="minorBidi" w:hAnsiTheme="minorBidi"/>
          <w:sz w:val="24"/>
          <w:szCs w:val="24"/>
        </w:rPr>
        <w:t xml:space="preserve">is limited in doing so by other factors that all reside within PESTLE.  Pobl as an organisation  </w:t>
      </w:r>
      <w:r w:rsidR="0049282C">
        <w:rPr>
          <w:rFonts w:asciiTheme="minorBidi" w:hAnsiTheme="minorBidi"/>
          <w:sz w:val="24"/>
          <w:szCs w:val="24"/>
        </w:rPr>
        <w:lastRenderedPageBreak/>
        <w:t xml:space="preserve">that offers services to communities in Wales must ensure that it is fully aware of social needs in Wales and fully engage with it otherwise it risk loosing customers that could ultimately lead to the organisation failing. </w:t>
      </w:r>
    </w:p>
    <w:p w14:paraId="7F702A24" w14:textId="265DA4D9" w:rsidR="0049282C" w:rsidRPr="00433ACD" w:rsidRDefault="0049282C" w:rsidP="008B03AE">
      <w:pPr>
        <w:rPr>
          <w:rFonts w:asciiTheme="minorBidi" w:hAnsiTheme="minorBidi"/>
          <w:sz w:val="24"/>
          <w:szCs w:val="24"/>
        </w:rPr>
      </w:pPr>
      <w:r>
        <w:rPr>
          <w:rFonts w:asciiTheme="minorBidi" w:hAnsiTheme="minorBidi"/>
          <w:sz w:val="24"/>
          <w:szCs w:val="24"/>
        </w:rPr>
        <w:t>Pobl</w:t>
      </w:r>
      <w:r w:rsidRPr="0049282C">
        <w:rPr>
          <w:rFonts w:asciiTheme="minorBidi" w:hAnsiTheme="minorBidi"/>
          <w:sz w:val="24"/>
          <w:szCs w:val="24"/>
        </w:rPr>
        <w:t xml:space="preserve"> can have positive legal impacts by adhering to regulatory frameworks, ensuring transparency, and promoting accountability. This enhances trust and legitimacy within the community. Conversely, legal challenges may arise</w:t>
      </w:r>
      <w:r>
        <w:rPr>
          <w:rFonts w:asciiTheme="minorBidi" w:hAnsiTheme="minorBidi"/>
          <w:sz w:val="24"/>
          <w:szCs w:val="24"/>
        </w:rPr>
        <w:t xml:space="preserve"> for Pobl</w:t>
      </w:r>
      <w:r w:rsidRPr="0049282C">
        <w:rPr>
          <w:rFonts w:asciiTheme="minorBidi" w:hAnsiTheme="minorBidi"/>
          <w:sz w:val="24"/>
          <w:szCs w:val="24"/>
        </w:rPr>
        <w:t xml:space="preserve">, such as compliance issues or disputes. Studies by Ott and Dicke (2011) highlight the legal complexities faced by </w:t>
      </w:r>
      <w:r>
        <w:rPr>
          <w:rFonts w:asciiTheme="minorBidi" w:hAnsiTheme="minorBidi"/>
          <w:sz w:val="24"/>
          <w:szCs w:val="24"/>
        </w:rPr>
        <w:t>organisations such as Pobl</w:t>
      </w:r>
      <w:r w:rsidRPr="0049282C">
        <w:rPr>
          <w:rFonts w:asciiTheme="minorBidi" w:hAnsiTheme="minorBidi"/>
          <w:sz w:val="24"/>
          <w:szCs w:val="24"/>
        </w:rPr>
        <w:t xml:space="preserve">. Positive legal impacts contribute to </w:t>
      </w:r>
      <w:r>
        <w:rPr>
          <w:rFonts w:asciiTheme="minorBidi" w:hAnsiTheme="minorBidi"/>
          <w:sz w:val="24"/>
          <w:szCs w:val="24"/>
        </w:rPr>
        <w:t>Pobl’s</w:t>
      </w:r>
      <w:r w:rsidRPr="0049282C">
        <w:rPr>
          <w:rFonts w:asciiTheme="minorBidi" w:hAnsiTheme="minorBidi"/>
          <w:sz w:val="24"/>
          <w:szCs w:val="24"/>
        </w:rPr>
        <w:t xml:space="preserve"> credibility, enabling it to </w:t>
      </w:r>
      <w:r w:rsidRPr="0049282C">
        <w:rPr>
          <w:rFonts w:asciiTheme="minorBidi" w:hAnsiTheme="minorBidi"/>
          <w:sz w:val="24"/>
          <w:szCs w:val="24"/>
        </w:rPr>
        <w:t>fulfil</w:t>
      </w:r>
      <w:r w:rsidRPr="0049282C">
        <w:rPr>
          <w:rFonts w:asciiTheme="minorBidi" w:hAnsiTheme="minorBidi"/>
          <w:sz w:val="24"/>
          <w:szCs w:val="24"/>
        </w:rPr>
        <w:t xml:space="preserve"> its mission effectively. However, navigating legal challenges requires robust governance structures and legal awareness to maintain </w:t>
      </w:r>
      <w:r>
        <w:rPr>
          <w:rFonts w:asciiTheme="minorBidi" w:hAnsiTheme="minorBidi"/>
          <w:sz w:val="24"/>
          <w:szCs w:val="24"/>
        </w:rPr>
        <w:t>Pobl’s</w:t>
      </w:r>
      <w:r w:rsidRPr="0049282C">
        <w:rPr>
          <w:rFonts w:asciiTheme="minorBidi" w:hAnsiTheme="minorBidi"/>
          <w:sz w:val="24"/>
          <w:szCs w:val="24"/>
        </w:rPr>
        <w:t xml:space="preserve"> integrity and adherence to legal standards</w:t>
      </w:r>
      <w:r>
        <w:rPr>
          <w:rFonts w:asciiTheme="minorBidi" w:hAnsiTheme="minorBidi"/>
          <w:sz w:val="24"/>
          <w:szCs w:val="24"/>
        </w:rPr>
        <w:t xml:space="preserve">, a good example is the recent changes to fire regulations following the Grenfell disaster. Pobl as a housing provider has needed to implement new procedures to comply with the new fore Act 2021. </w:t>
      </w:r>
    </w:p>
    <w:p w14:paraId="05713471" w14:textId="77777777" w:rsidR="008B03AE" w:rsidRPr="00AC5C66" w:rsidRDefault="008B03AE" w:rsidP="008B03AE">
      <w:pPr>
        <w:rPr>
          <w:rFonts w:asciiTheme="minorBidi" w:hAnsiTheme="minorBidi"/>
          <w:b/>
          <w:bCs/>
          <w:sz w:val="24"/>
          <w:szCs w:val="24"/>
        </w:rPr>
      </w:pPr>
      <w:r w:rsidRPr="00AC5C66">
        <w:rPr>
          <w:rFonts w:asciiTheme="minorBidi" w:hAnsiTheme="minorBidi"/>
          <w:b/>
          <w:bCs/>
          <w:sz w:val="24"/>
          <w:szCs w:val="24"/>
        </w:rPr>
        <w:t>4.</w:t>
      </w:r>
      <w:r w:rsidRPr="00AC5C66">
        <w:rPr>
          <w:rFonts w:asciiTheme="minorBidi" w:hAnsiTheme="minorBidi"/>
          <w:b/>
          <w:bCs/>
          <w:sz w:val="24"/>
          <w:szCs w:val="24"/>
        </w:rPr>
        <w:tab/>
        <w:t>When setting out its view on automation, AI and technology, the CIPD states, ‘Automation, artificial intelligence (AI) and other workplace technologies are bringing major changes to work and employment.’  Assess the scale of technology within organisations and how it impacts work. (AC 1.4)</w:t>
      </w:r>
    </w:p>
    <w:p w14:paraId="76A1D230" w14:textId="02781226" w:rsidR="00AC5C66" w:rsidRPr="00AC5C66" w:rsidRDefault="00AC5C66" w:rsidP="00AC5C66">
      <w:pPr>
        <w:rPr>
          <w:rFonts w:asciiTheme="minorBidi" w:hAnsiTheme="minorBidi"/>
          <w:sz w:val="24"/>
          <w:szCs w:val="24"/>
        </w:rPr>
      </w:pPr>
      <w:r w:rsidRPr="00AC5C66">
        <w:rPr>
          <w:rFonts w:asciiTheme="minorBidi" w:hAnsiTheme="minorBidi"/>
          <w:sz w:val="24"/>
          <w:szCs w:val="24"/>
        </w:rPr>
        <w:t>The scale of technology within organi</w:t>
      </w:r>
      <w:r>
        <w:rPr>
          <w:rFonts w:asciiTheme="minorBidi" w:hAnsiTheme="minorBidi"/>
          <w:sz w:val="24"/>
          <w:szCs w:val="24"/>
        </w:rPr>
        <w:t>s</w:t>
      </w:r>
      <w:r w:rsidRPr="00AC5C66">
        <w:rPr>
          <w:rFonts w:asciiTheme="minorBidi" w:hAnsiTheme="minorBidi"/>
          <w:sz w:val="24"/>
          <w:szCs w:val="24"/>
        </w:rPr>
        <w:t>ations has reached unprecedented levels</w:t>
      </w:r>
      <w:r>
        <w:rPr>
          <w:rFonts w:asciiTheme="minorBidi" w:hAnsiTheme="minorBidi"/>
          <w:sz w:val="24"/>
          <w:szCs w:val="24"/>
        </w:rPr>
        <w:t xml:space="preserve"> </w:t>
      </w:r>
      <w:r w:rsidRPr="00AC5C66">
        <w:rPr>
          <w:rFonts w:asciiTheme="minorBidi" w:hAnsiTheme="minorBidi"/>
          <w:sz w:val="24"/>
          <w:szCs w:val="24"/>
        </w:rPr>
        <w:t xml:space="preserve">Kane et al., </w:t>
      </w:r>
      <w:r>
        <w:rPr>
          <w:rFonts w:asciiTheme="minorBidi" w:hAnsiTheme="minorBidi"/>
          <w:sz w:val="24"/>
          <w:szCs w:val="24"/>
        </w:rPr>
        <w:t>(</w:t>
      </w:r>
      <w:r w:rsidRPr="00AC5C66">
        <w:rPr>
          <w:rFonts w:asciiTheme="minorBidi" w:hAnsiTheme="minorBidi"/>
          <w:sz w:val="24"/>
          <w:szCs w:val="24"/>
        </w:rPr>
        <w:t>2014), profoundly impacting the nature of work across various sectors. The adoption of advanced technologies, such as artificial intelligence (AI), automation, and digital platforms, has reshaped organi</w:t>
      </w:r>
      <w:r>
        <w:rPr>
          <w:rFonts w:asciiTheme="minorBidi" w:hAnsiTheme="minorBidi"/>
          <w:sz w:val="24"/>
          <w:szCs w:val="24"/>
        </w:rPr>
        <w:t>s</w:t>
      </w:r>
      <w:r w:rsidRPr="00AC5C66">
        <w:rPr>
          <w:rFonts w:asciiTheme="minorBidi" w:hAnsiTheme="minorBidi"/>
          <w:sz w:val="24"/>
          <w:szCs w:val="24"/>
        </w:rPr>
        <w:t>ational structures, processes, and workforce dynamics.</w:t>
      </w:r>
      <w:r>
        <w:rPr>
          <w:rFonts w:asciiTheme="minorBidi" w:hAnsiTheme="minorBidi"/>
          <w:sz w:val="24"/>
          <w:szCs w:val="24"/>
        </w:rPr>
        <w:t xml:space="preserve"> </w:t>
      </w:r>
      <w:r w:rsidRPr="00AC5C66">
        <w:rPr>
          <w:rFonts w:asciiTheme="minorBidi" w:hAnsiTheme="minorBidi"/>
          <w:sz w:val="24"/>
          <w:szCs w:val="24"/>
        </w:rPr>
        <w:t xml:space="preserve">One significant impact is the increased efficiency and productivity brought about by technology. Automation of routine tasks allows employees to focus on more strategic and creative aspects of their jobs Brynjolfsson &amp; McAfee, </w:t>
      </w:r>
      <w:r>
        <w:rPr>
          <w:rFonts w:asciiTheme="minorBidi" w:hAnsiTheme="minorBidi"/>
          <w:sz w:val="24"/>
          <w:szCs w:val="24"/>
        </w:rPr>
        <w:t>(</w:t>
      </w:r>
      <w:r w:rsidRPr="00AC5C66">
        <w:rPr>
          <w:rFonts w:asciiTheme="minorBidi" w:hAnsiTheme="minorBidi"/>
          <w:sz w:val="24"/>
          <w:szCs w:val="24"/>
        </w:rPr>
        <w:t>2014). This has the potential to enhance overall organi</w:t>
      </w:r>
      <w:r>
        <w:rPr>
          <w:rFonts w:asciiTheme="minorBidi" w:hAnsiTheme="minorBidi"/>
          <w:sz w:val="24"/>
          <w:szCs w:val="24"/>
        </w:rPr>
        <w:t>s</w:t>
      </w:r>
      <w:r w:rsidRPr="00AC5C66">
        <w:rPr>
          <w:rFonts w:asciiTheme="minorBidi" w:hAnsiTheme="minorBidi"/>
          <w:sz w:val="24"/>
          <w:szCs w:val="24"/>
        </w:rPr>
        <w:t xml:space="preserve">ational performance. Additionally, the integration of collaborative tools and communication platforms facilitates remote work and global collaborations, breaking down geographical barriers Kane et al., </w:t>
      </w:r>
      <w:r>
        <w:rPr>
          <w:rFonts w:asciiTheme="minorBidi" w:hAnsiTheme="minorBidi"/>
          <w:sz w:val="24"/>
          <w:szCs w:val="24"/>
        </w:rPr>
        <w:t>(</w:t>
      </w:r>
      <w:r w:rsidRPr="00AC5C66">
        <w:rPr>
          <w:rFonts w:asciiTheme="minorBidi" w:hAnsiTheme="minorBidi"/>
          <w:sz w:val="24"/>
          <w:szCs w:val="24"/>
        </w:rPr>
        <w:t>2014).</w:t>
      </w:r>
    </w:p>
    <w:p w14:paraId="3918D416" w14:textId="63AAA56B" w:rsidR="00AC5C66" w:rsidRPr="00AC5C66" w:rsidRDefault="00AC5C66" w:rsidP="00AC5C66">
      <w:pPr>
        <w:rPr>
          <w:rFonts w:asciiTheme="minorBidi" w:hAnsiTheme="minorBidi"/>
          <w:sz w:val="24"/>
          <w:szCs w:val="24"/>
        </w:rPr>
      </w:pPr>
      <w:r w:rsidRPr="00AC5C66">
        <w:rPr>
          <w:rFonts w:asciiTheme="minorBidi" w:hAnsiTheme="minorBidi"/>
          <w:sz w:val="24"/>
          <w:szCs w:val="24"/>
        </w:rPr>
        <w:t xml:space="preserve">However, the pervasive use of technology also brings challenges. The fear of job displacement due to automation is a notable concern Frey &amp; Osborne, </w:t>
      </w:r>
      <w:r>
        <w:rPr>
          <w:rFonts w:asciiTheme="minorBidi" w:hAnsiTheme="minorBidi"/>
          <w:sz w:val="24"/>
          <w:szCs w:val="24"/>
        </w:rPr>
        <w:t>(</w:t>
      </w:r>
      <w:r w:rsidRPr="00AC5C66">
        <w:rPr>
          <w:rFonts w:asciiTheme="minorBidi" w:hAnsiTheme="minorBidi"/>
          <w:sz w:val="24"/>
          <w:szCs w:val="24"/>
        </w:rPr>
        <w:t>2017). While technology creates new job opportunities, it simultaneously renders certain skills obsolete, necessitating continuous workforce upskilling. This dynamic demands organi</w:t>
      </w:r>
      <w:r>
        <w:rPr>
          <w:rFonts w:asciiTheme="minorBidi" w:hAnsiTheme="minorBidi"/>
          <w:sz w:val="24"/>
          <w:szCs w:val="24"/>
        </w:rPr>
        <w:t>s</w:t>
      </w:r>
      <w:r w:rsidRPr="00AC5C66">
        <w:rPr>
          <w:rFonts w:asciiTheme="minorBidi" w:hAnsiTheme="minorBidi"/>
          <w:sz w:val="24"/>
          <w:szCs w:val="24"/>
        </w:rPr>
        <w:t xml:space="preserve">ational adaptability and a commitment to fostering a culture of learning and development Bessen, </w:t>
      </w:r>
      <w:r>
        <w:rPr>
          <w:rFonts w:asciiTheme="minorBidi" w:hAnsiTheme="minorBidi"/>
          <w:sz w:val="24"/>
          <w:szCs w:val="24"/>
        </w:rPr>
        <w:t>(</w:t>
      </w:r>
      <w:r w:rsidRPr="00AC5C66">
        <w:rPr>
          <w:rFonts w:asciiTheme="minorBidi" w:hAnsiTheme="minorBidi"/>
          <w:sz w:val="24"/>
          <w:szCs w:val="24"/>
        </w:rPr>
        <w:t>2019).</w:t>
      </w:r>
    </w:p>
    <w:p w14:paraId="56FBBE97" w14:textId="3EEA4A9E" w:rsidR="00AC5C66" w:rsidRPr="00AC5C66" w:rsidRDefault="00AC5C66" w:rsidP="00AC5C66">
      <w:pPr>
        <w:rPr>
          <w:rFonts w:asciiTheme="minorBidi" w:hAnsiTheme="minorBidi"/>
          <w:sz w:val="24"/>
          <w:szCs w:val="24"/>
        </w:rPr>
      </w:pPr>
      <w:r w:rsidRPr="00AC5C66">
        <w:rPr>
          <w:rFonts w:asciiTheme="minorBidi" w:hAnsiTheme="minorBidi"/>
          <w:sz w:val="24"/>
          <w:szCs w:val="24"/>
        </w:rPr>
        <w:t>The impact of technology on work extends beyond individual tasks. Organi</w:t>
      </w:r>
      <w:r>
        <w:rPr>
          <w:rFonts w:asciiTheme="minorBidi" w:hAnsiTheme="minorBidi"/>
          <w:sz w:val="24"/>
          <w:szCs w:val="24"/>
        </w:rPr>
        <w:t>s</w:t>
      </w:r>
      <w:r w:rsidRPr="00AC5C66">
        <w:rPr>
          <w:rFonts w:asciiTheme="minorBidi" w:hAnsiTheme="minorBidi"/>
          <w:sz w:val="24"/>
          <w:szCs w:val="24"/>
        </w:rPr>
        <w:t xml:space="preserve">ational structures are evolving with the adoption of technology, promoting flatter hierarchies and more agile frameworks Bughin et al., </w:t>
      </w:r>
      <w:r>
        <w:rPr>
          <w:rFonts w:asciiTheme="minorBidi" w:hAnsiTheme="minorBidi"/>
          <w:sz w:val="24"/>
          <w:szCs w:val="24"/>
        </w:rPr>
        <w:t>(</w:t>
      </w:r>
      <w:r w:rsidRPr="00AC5C66">
        <w:rPr>
          <w:rFonts w:asciiTheme="minorBidi" w:hAnsiTheme="minorBidi"/>
          <w:sz w:val="24"/>
          <w:szCs w:val="24"/>
        </w:rPr>
        <w:t xml:space="preserve">2018). Virtual teams and remote work arrangements, facilitated by digital tools, challenge traditional notions of workplace structures, demanding a shift in leadership and management styles Brynjolfsson et </w:t>
      </w:r>
      <w:r w:rsidRPr="00AC5C66">
        <w:rPr>
          <w:rFonts w:asciiTheme="minorBidi" w:hAnsiTheme="minorBidi"/>
          <w:sz w:val="24"/>
          <w:szCs w:val="24"/>
        </w:rPr>
        <w:lastRenderedPageBreak/>
        <w:t xml:space="preserve">al., </w:t>
      </w:r>
      <w:r>
        <w:rPr>
          <w:rFonts w:asciiTheme="minorBidi" w:hAnsiTheme="minorBidi"/>
          <w:sz w:val="24"/>
          <w:szCs w:val="24"/>
        </w:rPr>
        <w:t>(</w:t>
      </w:r>
      <w:r w:rsidRPr="00AC5C66">
        <w:rPr>
          <w:rFonts w:asciiTheme="minorBidi" w:hAnsiTheme="minorBidi"/>
          <w:sz w:val="24"/>
          <w:szCs w:val="24"/>
        </w:rPr>
        <w:t>2019).</w:t>
      </w:r>
      <w:r>
        <w:rPr>
          <w:rFonts w:asciiTheme="minorBidi" w:hAnsiTheme="minorBidi"/>
          <w:sz w:val="24"/>
          <w:szCs w:val="24"/>
        </w:rPr>
        <w:t>T</w:t>
      </w:r>
      <w:r w:rsidRPr="00AC5C66">
        <w:rPr>
          <w:rFonts w:asciiTheme="minorBidi" w:hAnsiTheme="minorBidi"/>
          <w:sz w:val="24"/>
          <w:szCs w:val="24"/>
        </w:rPr>
        <w:t xml:space="preserve">he widespread use of technology introduces cybersecurity concerns and the need for robust data protection measures Duhigg, </w:t>
      </w:r>
      <w:r>
        <w:rPr>
          <w:rFonts w:asciiTheme="minorBidi" w:hAnsiTheme="minorBidi"/>
          <w:sz w:val="24"/>
          <w:szCs w:val="24"/>
        </w:rPr>
        <w:t>(</w:t>
      </w:r>
      <w:r w:rsidRPr="00AC5C66">
        <w:rPr>
          <w:rFonts w:asciiTheme="minorBidi" w:hAnsiTheme="minorBidi"/>
          <w:sz w:val="24"/>
          <w:szCs w:val="24"/>
        </w:rPr>
        <w:t>2018). Organi</w:t>
      </w:r>
      <w:r>
        <w:rPr>
          <w:rFonts w:asciiTheme="minorBidi" w:hAnsiTheme="minorBidi"/>
          <w:sz w:val="24"/>
          <w:szCs w:val="24"/>
        </w:rPr>
        <w:t>s</w:t>
      </w:r>
      <w:r w:rsidRPr="00AC5C66">
        <w:rPr>
          <w:rFonts w:asciiTheme="minorBidi" w:hAnsiTheme="minorBidi"/>
          <w:sz w:val="24"/>
          <w:szCs w:val="24"/>
        </w:rPr>
        <w:t>ations must invest in cybersecurity infrastructure to safeguard sensitive information and maintain stakeholder trust.</w:t>
      </w:r>
    </w:p>
    <w:p w14:paraId="62F58866" w14:textId="1E2405F1" w:rsidR="008B03AE" w:rsidRPr="0058380F" w:rsidRDefault="00AC5C66" w:rsidP="00AC5C66">
      <w:pPr>
        <w:rPr>
          <w:rFonts w:asciiTheme="minorBidi" w:hAnsiTheme="minorBidi"/>
          <w:sz w:val="24"/>
          <w:szCs w:val="24"/>
        </w:rPr>
      </w:pPr>
      <w:r>
        <w:rPr>
          <w:rFonts w:asciiTheme="minorBidi" w:hAnsiTheme="minorBidi"/>
          <w:sz w:val="24"/>
          <w:szCs w:val="24"/>
        </w:rPr>
        <w:t>What can be seen is the</w:t>
      </w:r>
      <w:r w:rsidRPr="00AC5C66">
        <w:rPr>
          <w:rFonts w:asciiTheme="minorBidi" w:hAnsiTheme="minorBidi"/>
          <w:sz w:val="24"/>
          <w:szCs w:val="24"/>
        </w:rPr>
        <w:t xml:space="preserve"> scale of technology within organi</w:t>
      </w:r>
      <w:r>
        <w:rPr>
          <w:rFonts w:asciiTheme="minorBidi" w:hAnsiTheme="minorBidi"/>
          <w:sz w:val="24"/>
          <w:szCs w:val="24"/>
        </w:rPr>
        <w:t>s</w:t>
      </w:r>
      <w:r w:rsidRPr="00AC5C66">
        <w:rPr>
          <w:rFonts w:asciiTheme="minorBidi" w:hAnsiTheme="minorBidi"/>
          <w:sz w:val="24"/>
          <w:szCs w:val="24"/>
        </w:rPr>
        <w:t>ations is transformative, impacting work in multifaceted ways. While it enhances efficiency, collaboration, and flexibility, it also poses challenges related to job displacement, skill gaps, and cybersecurity. Organi</w:t>
      </w:r>
      <w:r>
        <w:rPr>
          <w:rFonts w:asciiTheme="minorBidi" w:hAnsiTheme="minorBidi"/>
          <w:sz w:val="24"/>
          <w:szCs w:val="24"/>
        </w:rPr>
        <w:t>s</w:t>
      </w:r>
      <w:r w:rsidRPr="00AC5C66">
        <w:rPr>
          <w:rFonts w:asciiTheme="minorBidi" w:hAnsiTheme="minorBidi"/>
          <w:sz w:val="24"/>
          <w:szCs w:val="24"/>
        </w:rPr>
        <w:t>ations that successfully navigate this technological landscape are those that foster a culture of continuous learning, adaptability, and strategic integration of technology into their operations</w:t>
      </w:r>
      <w:r>
        <w:rPr>
          <w:rFonts w:asciiTheme="minorBidi" w:hAnsiTheme="minorBidi"/>
          <w:sz w:val="24"/>
          <w:szCs w:val="24"/>
        </w:rPr>
        <w:t>, Bessen, (2019)</w:t>
      </w:r>
      <w:r w:rsidRPr="00AC5C66">
        <w:rPr>
          <w:rFonts w:asciiTheme="minorBidi" w:hAnsiTheme="minorBidi"/>
          <w:sz w:val="24"/>
          <w:szCs w:val="24"/>
        </w:rPr>
        <w:t>.</w:t>
      </w:r>
    </w:p>
    <w:p w14:paraId="007E977C" w14:textId="77777777" w:rsidR="008B03AE" w:rsidRPr="0058380F" w:rsidRDefault="008B03AE" w:rsidP="008B03AE">
      <w:pPr>
        <w:rPr>
          <w:rFonts w:asciiTheme="minorBidi" w:hAnsiTheme="minorBidi"/>
          <w:b/>
          <w:bCs/>
          <w:i/>
          <w:iCs/>
          <w:sz w:val="24"/>
          <w:szCs w:val="24"/>
        </w:rPr>
      </w:pPr>
      <w:r w:rsidRPr="0058380F">
        <w:rPr>
          <w:rFonts w:asciiTheme="minorBidi" w:hAnsiTheme="minorBidi"/>
          <w:sz w:val="24"/>
          <w:szCs w:val="24"/>
        </w:rPr>
        <w:t>5.</w:t>
      </w:r>
      <w:r w:rsidRPr="0058380F">
        <w:rPr>
          <w:rFonts w:asciiTheme="minorBidi" w:hAnsiTheme="minorBidi"/>
          <w:sz w:val="24"/>
          <w:szCs w:val="24"/>
        </w:rPr>
        <w:tab/>
      </w:r>
      <w:r w:rsidRPr="0058380F">
        <w:rPr>
          <w:rFonts w:asciiTheme="minorBidi" w:hAnsiTheme="minorBidi"/>
          <w:b/>
          <w:bCs/>
          <w:i/>
          <w:iCs/>
          <w:sz w:val="24"/>
          <w:szCs w:val="24"/>
        </w:rPr>
        <w:t>Explain Edgar Schein’s model of organisational culture and explain one theory or model which examines human behaviour. (AC 2.1)</w:t>
      </w:r>
    </w:p>
    <w:p w14:paraId="1BB69EEB" w14:textId="356EAD26" w:rsidR="00C04EE8" w:rsidRPr="0058380F" w:rsidRDefault="00C04EE8" w:rsidP="009C39DF">
      <w:pPr>
        <w:rPr>
          <w:rFonts w:asciiTheme="minorBidi" w:hAnsiTheme="minorBidi"/>
          <w:sz w:val="24"/>
          <w:szCs w:val="24"/>
        </w:rPr>
      </w:pPr>
      <w:r w:rsidRPr="0058380F">
        <w:rPr>
          <w:rFonts w:asciiTheme="minorBidi" w:hAnsiTheme="minorBidi"/>
          <w:sz w:val="24"/>
          <w:szCs w:val="24"/>
        </w:rPr>
        <w:t>Edgar Schein's model of organi</w:t>
      </w:r>
      <w:r w:rsidR="009C39DF" w:rsidRPr="0058380F">
        <w:rPr>
          <w:rFonts w:asciiTheme="minorBidi" w:hAnsiTheme="minorBidi"/>
          <w:sz w:val="24"/>
          <w:szCs w:val="24"/>
        </w:rPr>
        <w:t>s</w:t>
      </w:r>
      <w:r w:rsidRPr="0058380F">
        <w:rPr>
          <w:rFonts w:asciiTheme="minorBidi" w:hAnsiTheme="minorBidi"/>
          <w:sz w:val="24"/>
          <w:szCs w:val="24"/>
        </w:rPr>
        <w:t>ational culture is widely recogni</w:t>
      </w:r>
      <w:r w:rsidR="009C39DF" w:rsidRPr="0058380F">
        <w:rPr>
          <w:rFonts w:asciiTheme="minorBidi" w:hAnsiTheme="minorBidi"/>
          <w:sz w:val="24"/>
          <w:szCs w:val="24"/>
        </w:rPr>
        <w:t>s</w:t>
      </w:r>
      <w:r w:rsidRPr="0058380F">
        <w:rPr>
          <w:rFonts w:asciiTheme="minorBidi" w:hAnsiTheme="minorBidi"/>
          <w:sz w:val="24"/>
          <w:szCs w:val="24"/>
        </w:rPr>
        <w:t xml:space="preserve">ed </w:t>
      </w:r>
      <w:r w:rsidR="009C39DF" w:rsidRPr="0058380F">
        <w:rPr>
          <w:rFonts w:asciiTheme="minorBidi" w:hAnsiTheme="minorBidi"/>
          <w:sz w:val="24"/>
          <w:szCs w:val="24"/>
        </w:rPr>
        <w:t xml:space="preserve">Armstrong, &amp; Taylor, S. (2020) </w:t>
      </w:r>
      <w:r w:rsidRPr="0058380F">
        <w:rPr>
          <w:rFonts w:asciiTheme="minorBidi" w:hAnsiTheme="minorBidi"/>
          <w:sz w:val="24"/>
          <w:szCs w:val="24"/>
        </w:rPr>
        <w:t xml:space="preserve">and consists of three levels: artifacts and </w:t>
      </w:r>
      <w:r w:rsidR="009C39DF" w:rsidRPr="0058380F">
        <w:rPr>
          <w:rFonts w:asciiTheme="minorBidi" w:hAnsiTheme="minorBidi"/>
          <w:sz w:val="24"/>
          <w:szCs w:val="24"/>
        </w:rPr>
        <w:t>behaviours</w:t>
      </w:r>
      <w:r w:rsidRPr="0058380F">
        <w:rPr>
          <w:rFonts w:asciiTheme="minorBidi" w:hAnsiTheme="minorBidi"/>
          <w:sz w:val="24"/>
          <w:szCs w:val="24"/>
        </w:rPr>
        <w:t>, espoused values, and underlying assumptions.</w:t>
      </w:r>
    </w:p>
    <w:p w14:paraId="47FB5977" w14:textId="5D360733"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Artifacts and </w:t>
      </w:r>
      <w:r w:rsidR="009C39DF" w:rsidRPr="0058380F">
        <w:rPr>
          <w:rFonts w:asciiTheme="minorBidi" w:hAnsiTheme="minorBidi"/>
          <w:sz w:val="24"/>
          <w:szCs w:val="24"/>
        </w:rPr>
        <w:t>Behaviours</w:t>
      </w:r>
      <w:r w:rsidRPr="0058380F">
        <w:rPr>
          <w:rFonts w:asciiTheme="minorBidi" w:hAnsiTheme="minorBidi"/>
          <w:sz w:val="24"/>
          <w:szCs w:val="24"/>
        </w:rPr>
        <w:t xml:space="preserve">: This is the most visible level and includes tangible aspects such as dress code, office layout, and observable </w:t>
      </w:r>
      <w:r w:rsidR="009C39DF" w:rsidRPr="0058380F">
        <w:rPr>
          <w:rFonts w:asciiTheme="minorBidi" w:hAnsiTheme="minorBidi"/>
          <w:sz w:val="24"/>
          <w:szCs w:val="24"/>
        </w:rPr>
        <w:t>behaviours</w:t>
      </w:r>
      <w:r w:rsidRPr="0058380F">
        <w:rPr>
          <w:rFonts w:asciiTheme="minorBidi" w:hAnsiTheme="minorBidi"/>
          <w:sz w:val="24"/>
          <w:szCs w:val="24"/>
        </w:rPr>
        <w:t>. These aspects provide outsiders and newcomers with a surface-level understanding of the organi</w:t>
      </w:r>
      <w:r w:rsidR="009C39DF" w:rsidRPr="0058380F">
        <w:rPr>
          <w:rFonts w:asciiTheme="minorBidi" w:hAnsiTheme="minorBidi"/>
          <w:sz w:val="24"/>
          <w:szCs w:val="24"/>
        </w:rPr>
        <w:t>s</w:t>
      </w:r>
      <w:r w:rsidRPr="0058380F">
        <w:rPr>
          <w:rFonts w:asciiTheme="minorBidi" w:hAnsiTheme="minorBidi"/>
          <w:sz w:val="24"/>
          <w:szCs w:val="24"/>
        </w:rPr>
        <w:t>ational culture.</w:t>
      </w:r>
    </w:p>
    <w:p w14:paraId="7D5FCDAD" w14:textId="4CB6B4B1"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Espoused Values: This level delves deeper into the organization's values, beliefs, and goals. Espoused values are the officially stated principles that organizations claim to follow, often outlined in mission statements or corporate documents. These values guide decision-making and </w:t>
      </w:r>
      <w:r w:rsidR="009C39DF" w:rsidRPr="0058380F">
        <w:rPr>
          <w:rFonts w:asciiTheme="minorBidi" w:hAnsiTheme="minorBidi"/>
          <w:sz w:val="24"/>
          <w:szCs w:val="24"/>
        </w:rPr>
        <w:t>behaviour</w:t>
      </w:r>
      <w:r w:rsidRPr="0058380F">
        <w:rPr>
          <w:rFonts w:asciiTheme="minorBidi" w:hAnsiTheme="minorBidi"/>
          <w:sz w:val="24"/>
          <w:szCs w:val="24"/>
        </w:rPr>
        <w:t xml:space="preserve"> within the organi</w:t>
      </w:r>
      <w:r w:rsidR="009C39DF" w:rsidRPr="0058380F">
        <w:rPr>
          <w:rFonts w:asciiTheme="minorBidi" w:hAnsiTheme="minorBidi"/>
          <w:sz w:val="24"/>
          <w:szCs w:val="24"/>
        </w:rPr>
        <w:t>s</w:t>
      </w:r>
      <w:r w:rsidRPr="0058380F">
        <w:rPr>
          <w:rFonts w:asciiTheme="minorBidi" w:hAnsiTheme="minorBidi"/>
          <w:sz w:val="24"/>
          <w:szCs w:val="24"/>
        </w:rPr>
        <w:t>ation.</w:t>
      </w:r>
    </w:p>
    <w:p w14:paraId="5BE95E5E" w14:textId="03428CCE" w:rsidR="00C04EE8" w:rsidRPr="0058380F" w:rsidRDefault="00C04EE8" w:rsidP="00C04EE8">
      <w:pPr>
        <w:rPr>
          <w:rFonts w:asciiTheme="minorBidi" w:hAnsiTheme="minorBidi"/>
          <w:sz w:val="24"/>
          <w:szCs w:val="24"/>
        </w:rPr>
      </w:pPr>
      <w:r w:rsidRPr="0058380F">
        <w:rPr>
          <w:rFonts w:asciiTheme="minorBidi" w:hAnsiTheme="minorBidi"/>
          <w:sz w:val="24"/>
          <w:szCs w:val="24"/>
        </w:rPr>
        <w:t>Underlying Assumptions: The deepest and most implicit level, underlying assumptions, comprises the core beliefs and values that individuals in the organi</w:t>
      </w:r>
      <w:r w:rsidR="009C39DF" w:rsidRPr="0058380F">
        <w:rPr>
          <w:rFonts w:asciiTheme="minorBidi" w:hAnsiTheme="minorBidi"/>
          <w:sz w:val="24"/>
          <w:szCs w:val="24"/>
        </w:rPr>
        <w:t>s</w:t>
      </w:r>
      <w:r w:rsidRPr="0058380F">
        <w:rPr>
          <w:rFonts w:asciiTheme="minorBidi" w:hAnsiTheme="minorBidi"/>
          <w:sz w:val="24"/>
          <w:szCs w:val="24"/>
        </w:rPr>
        <w:t>ation take for granted. These assumptions are often unconscious and shape how members perceive and interact with the world. They are the fundamental truths that govern organi</w:t>
      </w:r>
      <w:r w:rsidR="009C39DF" w:rsidRPr="0058380F">
        <w:rPr>
          <w:rFonts w:asciiTheme="minorBidi" w:hAnsiTheme="minorBidi"/>
          <w:sz w:val="24"/>
          <w:szCs w:val="24"/>
        </w:rPr>
        <w:t>s</w:t>
      </w:r>
      <w:r w:rsidRPr="0058380F">
        <w:rPr>
          <w:rFonts w:asciiTheme="minorBidi" w:hAnsiTheme="minorBidi"/>
          <w:sz w:val="24"/>
          <w:szCs w:val="24"/>
        </w:rPr>
        <w:t xml:space="preserve">ational </w:t>
      </w:r>
      <w:r w:rsidR="009C39DF" w:rsidRPr="0058380F">
        <w:rPr>
          <w:rFonts w:asciiTheme="minorBidi" w:hAnsiTheme="minorBidi"/>
          <w:sz w:val="24"/>
          <w:szCs w:val="24"/>
        </w:rPr>
        <w:t>behaviour</w:t>
      </w:r>
      <w:r w:rsidRPr="0058380F">
        <w:rPr>
          <w:rFonts w:asciiTheme="minorBidi" w:hAnsiTheme="minorBidi"/>
          <w:sz w:val="24"/>
          <w:szCs w:val="24"/>
        </w:rPr>
        <w:t>.</w:t>
      </w:r>
    </w:p>
    <w:p w14:paraId="0A63F918" w14:textId="15787D36" w:rsidR="00C04EE8" w:rsidRPr="0058380F" w:rsidRDefault="00C04EE8" w:rsidP="00C04EE8">
      <w:pPr>
        <w:rPr>
          <w:rFonts w:asciiTheme="minorBidi" w:hAnsiTheme="minorBidi"/>
          <w:sz w:val="24"/>
          <w:szCs w:val="24"/>
        </w:rPr>
      </w:pPr>
      <w:r w:rsidRPr="0058380F">
        <w:rPr>
          <w:rFonts w:asciiTheme="minorBidi" w:hAnsiTheme="minorBidi"/>
          <w:sz w:val="24"/>
          <w:szCs w:val="24"/>
        </w:rPr>
        <w:t>Schein suggests that in order to truly understand an organi</w:t>
      </w:r>
      <w:r w:rsidR="009C39DF" w:rsidRPr="0058380F">
        <w:rPr>
          <w:rFonts w:asciiTheme="minorBidi" w:hAnsiTheme="minorBidi"/>
          <w:sz w:val="24"/>
          <w:szCs w:val="24"/>
        </w:rPr>
        <w:t>s</w:t>
      </w:r>
      <w:r w:rsidRPr="0058380F">
        <w:rPr>
          <w:rFonts w:asciiTheme="minorBidi" w:hAnsiTheme="minorBidi"/>
          <w:sz w:val="24"/>
          <w:szCs w:val="24"/>
        </w:rPr>
        <w:t>ation's culture, it is necessary to explore all three levels, recognizing that the underlying assumptions have the most profound impact.</w:t>
      </w:r>
    </w:p>
    <w:p w14:paraId="1A1CC705" w14:textId="769F80C9"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As for a theory or model that examines human </w:t>
      </w:r>
      <w:r w:rsidR="009C39DF" w:rsidRPr="0058380F">
        <w:rPr>
          <w:rFonts w:asciiTheme="minorBidi" w:hAnsiTheme="minorBidi"/>
          <w:sz w:val="24"/>
          <w:szCs w:val="24"/>
        </w:rPr>
        <w:t>behaviour</w:t>
      </w:r>
      <w:r w:rsidRPr="0058380F">
        <w:rPr>
          <w:rFonts w:asciiTheme="minorBidi" w:hAnsiTheme="minorBidi"/>
          <w:sz w:val="24"/>
          <w:szCs w:val="24"/>
        </w:rPr>
        <w:t>, let's consider Albert Bandura's Social Cognitive Theory</w:t>
      </w:r>
      <w:r w:rsidR="00AB53F4" w:rsidRPr="0058380F">
        <w:rPr>
          <w:rFonts w:asciiTheme="minorBidi" w:hAnsiTheme="minorBidi"/>
          <w:sz w:val="24"/>
          <w:szCs w:val="24"/>
        </w:rPr>
        <w:t xml:space="preserve"> (1968).</w:t>
      </w:r>
      <w:r w:rsidRPr="0058380F">
        <w:rPr>
          <w:rFonts w:asciiTheme="minorBidi" w:hAnsiTheme="minorBidi"/>
          <w:sz w:val="24"/>
          <w:szCs w:val="24"/>
        </w:rPr>
        <w:t xml:space="preserve"> Bandura's theory emphasi</w:t>
      </w:r>
      <w:r w:rsidR="009C39DF" w:rsidRPr="0058380F">
        <w:rPr>
          <w:rFonts w:asciiTheme="minorBidi" w:hAnsiTheme="minorBidi"/>
          <w:sz w:val="24"/>
          <w:szCs w:val="24"/>
        </w:rPr>
        <w:t>s</w:t>
      </w:r>
      <w:r w:rsidRPr="0058380F">
        <w:rPr>
          <w:rFonts w:asciiTheme="minorBidi" w:hAnsiTheme="minorBidi"/>
          <w:sz w:val="24"/>
          <w:szCs w:val="24"/>
        </w:rPr>
        <w:t xml:space="preserve">es the importance of observational learning, imitation, and </w:t>
      </w:r>
      <w:r w:rsidR="009C39DF" w:rsidRPr="0058380F">
        <w:rPr>
          <w:rFonts w:asciiTheme="minorBidi" w:hAnsiTheme="minorBidi"/>
          <w:sz w:val="24"/>
          <w:szCs w:val="24"/>
        </w:rPr>
        <w:t>modelling</w:t>
      </w:r>
      <w:r w:rsidRPr="0058380F">
        <w:rPr>
          <w:rFonts w:asciiTheme="minorBidi" w:hAnsiTheme="minorBidi"/>
          <w:sz w:val="24"/>
          <w:szCs w:val="24"/>
        </w:rPr>
        <w:t xml:space="preserve"> in understanding human </w:t>
      </w:r>
      <w:r w:rsidR="009C39DF" w:rsidRPr="0058380F">
        <w:rPr>
          <w:rFonts w:asciiTheme="minorBidi" w:hAnsiTheme="minorBidi"/>
          <w:sz w:val="24"/>
          <w:szCs w:val="24"/>
        </w:rPr>
        <w:t>behaviour</w:t>
      </w:r>
      <w:r w:rsidRPr="0058380F">
        <w:rPr>
          <w:rFonts w:asciiTheme="minorBidi" w:hAnsiTheme="minorBidi"/>
          <w:sz w:val="24"/>
          <w:szCs w:val="24"/>
        </w:rPr>
        <w:t xml:space="preserve">. It proposes that individuals learn by observing others and the consequences of their actions, and they incorporate these observations into their own </w:t>
      </w:r>
      <w:r w:rsidR="009C39DF" w:rsidRPr="0058380F">
        <w:rPr>
          <w:rFonts w:asciiTheme="minorBidi" w:hAnsiTheme="minorBidi"/>
          <w:sz w:val="24"/>
          <w:szCs w:val="24"/>
        </w:rPr>
        <w:t>behaviour</w:t>
      </w:r>
      <w:r w:rsidRPr="0058380F">
        <w:rPr>
          <w:rFonts w:asciiTheme="minorBidi" w:hAnsiTheme="minorBidi"/>
          <w:sz w:val="24"/>
          <w:szCs w:val="24"/>
        </w:rPr>
        <w:t>.</w:t>
      </w:r>
    </w:p>
    <w:p w14:paraId="083A0220" w14:textId="1516CBCE" w:rsidR="00C04EE8" w:rsidRPr="0058380F" w:rsidRDefault="00C04EE8" w:rsidP="009C39DF">
      <w:pPr>
        <w:rPr>
          <w:rFonts w:asciiTheme="minorBidi" w:hAnsiTheme="minorBidi"/>
          <w:sz w:val="24"/>
          <w:szCs w:val="24"/>
        </w:rPr>
      </w:pPr>
      <w:r w:rsidRPr="0058380F">
        <w:rPr>
          <w:rFonts w:asciiTheme="minorBidi" w:hAnsiTheme="minorBidi"/>
          <w:sz w:val="24"/>
          <w:szCs w:val="24"/>
        </w:rPr>
        <w:lastRenderedPageBreak/>
        <w:t xml:space="preserve">Bandura introduced the concept of reciprocal determinism, suggesting that </w:t>
      </w:r>
      <w:r w:rsidR="009C39DF" w:rsidRPr="0058380F">
        <w:rPr>
          <w:rFonts w:asciiTheme="minorBidi" w:hAnsiTheme="minorBidi"/>
          <w:sz w:val="24"/>
          <w:szCs w:val="24"/>
        </w:rPr>
        <w:t>behaviour</w:t>
      </w:r>
      <w:r w:rsidRPr="0058380F">
        <w:rPr>
          <w:rFonts w:asciiTheme="minorBidi" w:hAnsiTheme="minorBidi"/>
          <w:sz w:val="24"/>
          <w:szCs w:val="24"/>
        </w:rPr>
        <w:t xml:space="preserve">, personal factors, and the environment all interact and influence each other. For instance, an individual's </w:t>
      </w:r>
      <w:r w:rsidR="009C39DF" w:rsidRPr="0058380F">
        <w:rPr>
          <w:rFonts w:asciiTheme="minorBidi" w:hAnsiTheme="minorBidi"/>
          <w:sz w:val="24"/>
          <w:szCs w:val="24"/>
        </w:rPr>
        <w:t>behaviour</w:t>
      </w:r>
      <w:r w:rsidRPr="0058380F">
        <w:rPr>
          <w:rFonts w:asciiTheme="minorBidi" w:hAnsiTheme="minorBidi"/>
          <w:sz w:val="24"/>
          <w:szCs w:val="24"/>
        </w:rPr>
        <w:t xml:space="preserve"> can be shaped by observing the </w:t>
      </w:r>
      <w:r w:rsidR="009C39DF" w:rsidRPr="0058380F">
        <w:rPr>
          <w:rFonts w:asciiTheme="minorBidi" w:hAnsiTheme="minorBidi"/>
          <w:sz w:val="24"/>
          <w:szCs w:val="24"/>
        </w:rPr>
        <w:t>behaviour</w:t>
      </w:r>
      <w:r w:rsidRPr="0058380F">
        <w:rPr>
          <w:rFonts w:asciiTheme="minorBidi" w:hAnsiTheme="minorBidi"/>
          <w:sz w:val="24"/>
          <w:szCs w:val="24"/>
        </w:rPr>
        <w:t xml:space="preserve"> of others, the consequences of that </w:t>
      </w:r>
      <w:r w:rsidR="009C39DF" w:rsidRPr="0058380F">
        <w:rPr>
          <w:rFonts w:asciiTheme="minorBidi" w:hAnsiTheme="minorBidi"/>
          <w:sz w:val="24"/>
          <w:szCs w:val="24"/>
        </w:rPr>
        <w:t>behaviour</w:t>
      </w:r>
      <w:r w:rsidRPr="0058380F">
        <w:rPr>
          <w:rFonts w:asciiTheme="minorBidi" w:hAnsiTheme="minorBidi"/>
          <w:sz w:val="24"/>
          <w:szCs w:val="24"/>
        </w:rPr>
        <w:t>, and the social context in which it occurs.</w:t>
      </w:r>
    </w:p>
    <w:p w14:paraId="1DCB294F"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6.</w:t>
      </w:r>
      <w:r w:rsidRPr="0058380F">
        <w:rPr>
          <w:rFonts w:asciiTheme="minorBidi" w:hAnsiTheme="minorBidi"/>
          <w:sz w:val="24"/>
          <w:szCs w:val="24"/>
        </w:rPr>
        <w:tab/>
      </w:r>
      <w:r w:rsidRPr="0058380F">
        <w:rPr>
          <w:rFonts w:asciiTheme="minorBidi" w:hAnsiTheme="minorBidi"/>
          <w:b/>
          <w:bCs/>
          <w:i/>
          <w:iCs/>
          <w:sz w:val="24"/>
          <w:szCs w:val="24"/>
        </w:rPr>
        <w:t>Assess how people practices in your organisation (or one with which you are familiar) impact both on organisational culture and behaviour, drawing on examples to support your arguments. (AC 2.2)</w:t>
      </w:r>
    </w:p>
    <w:p w14:paraId="3F2D75A3" w14:textId="7D3ABED2" w:rsidR="001D21E8" w:rsidRPr="0058380F" w:rsidRDefault="001D21E8" w:rsidP="001D21E8">
      <w:pPr>
        <w:rPr>
          <w:rFonts w:asciiTheme="minorBidi" w:hAnsiTheme="minorBidi"/>
          <w:sz w:val="24"/>
          <w:szCs w:val="24"/>
        </w:rPr>
      </w:pPr>
      <w:r w:rsidRPr="0058380F">
        <w:rPr>
          <w:rFonts w:asciiTheme="minorBidi" w:hAnsiTheme="minorBidi"/>
          <w:sz w:val="24"/>
          <w:szCs w:val="24"/>
        </w:rPr>
        <w:t>People practices have a profound impact on both organi</w:t>
      </w:r>
      <w:r w:rsidR="0062051E" w:rsidRPr="0058380F">
        <w:rPr>
          <w:rFonts w:asciiTheme="minorBidi" w:hAnsiTheme="minorBidi"/>
          <w:sz w:val="24"/>
          <w:szCs w:val="24"/>
        </w:rPr>
        <w:t>s</w:t>
      </w:r>
      <w:r w:rsidRPr="0058380F">
        <w:rPr>
          <w:rFonts w:asciiTheme="minorBidi" w:hAnsiTheme="minorBidi"/>
          <w:sz w:val="24"/>
          <w:szCs w:val="24"/>
        </w:rPr>
        <w:t xml:space="preserve">ational culture and </w:t>
      </w:r>
      <w:r w:rsidR="0062051E" w:rsidRPr="0058380F">
        <w:rPr>
          <w:rFonts w:asciiTheme="minorBidi" w:hAnsiTheme="minorBidi"/>
          <w:sz w:val="24"/>
          <w:szCs w:val="24"/>
        </w:rPr>
        <w:t>behaviour</w:t>
      </w:r>
      <w:r w:rsidRPr="0058380F">
        <w:rPr>
          <w:rFonts w:asciiTheme="minorBidi" w:hAnsiTheme="minorBidi"/>
          <w:sz w:val="24"/>
          <w:szCs w:val="24"/>
        </w:rPr>
        <w:t>, shaping the way individuals within an organi</w:t>
      </w:r>
      <w:r w:rsidR="0062051E" w:rsidRPr="0058380F">
        <w:rPr>
          <w:rFonts w:asciiTheme="minorBidi" w:hAnsiTheme="minorBidi"/>
          <w:sz w:val="24"/>
          <w:szCs w:val="24"/>
        </w:rPr>
        <w:t>s</w:t>
      </w:r>
      <w:r w:rsidRPr="0058380F">
        <w:rPr>
          <w:rFonts w:asciiTheme="minorBidi" w:hAnsiTheme="minorBidi"/>
          <w:sz w:val="24"/>
          <w:szCs w:val="24"/>
        </w:rPr>
        <w:t>ation interact, collaborate, and contribute to its overall success.</w:t>
      </w:r>
    </w:p>
    <w:p w14:paraId="2FE3700A" w14:textId="7F7DA9AC" w:rsidR="001D21E8" w:rsidRPr="0058380F" w:rsidRDefault="001D21E8" w:rsidP="001D21E8">
      <w:pPr>
        <w:rPr>
          <w:rFonts w:asciiTheme="minorBidi" w:hAnsiTheme="minorBidi"/>
          <w:sz w:val="24"/>
          <w:szCs w:val="24"/>
        </w:rPr>
      </w:pPr>
      <w:r w:rsidRPr="0058380F">
        <w:rPr>
          <w:rFonts w:asciiTheme="minorBidi" w:hAnsiTheme="minorBidi"/>
          <w:sz w:val="24"/>
          <w:szCs w:val="24"/>
        </w:rPr>
        <w:t>People practices influence organi</w:t>
      </w:r>
      <w:r w:rsidR="0062051E" w:rsidRPr="0058380F">
        <w:rPr>
          <w:rFonts w:asciiTheme="minorBidi" w:hAnsiTheme="minorBidi"/>
          <w:sz w:val="24"/>
          <w:szCs w:val="24"/>
        </w:rPr>
        <w:t>s</w:t>
      </w:r>
      <w:r w:rsidRPr="0058380F">
        <w:rPr>
          <w:rFonts w:asciiTheme="minorBidi" w:hAnsiTheme="minorBidi"/>
          <w:sz w:val="24"/>
          <w:szCs w:val="24"/>
        </w:rPr>
        <w:t>ational culture by shaping shared values, beliefs, and norms. For instance, organi</w:t>
      </w:r>
      <w:r w:rsidR="0062051E" w:rsidRPr="0058380F">
        <w:rPr>
          <w:rFonts w:asciiTheme="minorBidi" w:hAnsiTheme="minorBidi"/>
          <w:sz w:val="24"/>
          <w:szCs w:val="24"/>
        </w:rPr>
        <w:t>s</w:t>
      </w:r>
      <w:r w:rsidRPr="0058380F">
        <w:rPr>
          <w:rFonts w:asciiTheme="minorBidi" w:hAnsiTheme="minorBidi"/>
          <w:sz w:val="24"/>
          <w:szCs w:val="24"/>
        </w:rPr>
        <w:t>ations that prioriti</w:t>
      </w:r>
      <w:r w:rsidR="0062051E" w:rsidRPr="0058380F">
        <w:rPr>
          <w:rFonts w:asciiTheme="minorBidi" w:hAnsiTheme="minorBidi"/>
          <w:sz w:val="24"/>
          <w:szCs w:val="24"/>
        </w:rPr>
        <w:t>s</w:t>
      </w:r>
      <w:r w:rsidRPr="0058380F">
        <w:rPr>
          <w:rFonts w:asciiTheme="minorBidi" w:hAnsiTheme="minorBidi"/>
          <w:sz w:val="24"/>
          <w:szCs w:val="24"/>
        </w:rPr>
        <w:t>e open communication, collaboration, and employee development foster a culture of innovation and continuous improvement. Google</w:t>
      </w:r>
      <w:r w:rsidR="004A164E" w:rsidRPr="0058380F">
        <w:rPr>
          <w:rFonts w:asciiTheme="minorBidi" w:hAnsiTheme="minorBidi"/>
          <w:sz w:val="24"/>
          <w:szCs w:val="24"/>
        </w:rPr>
        <w:t xml:space="preserve"> (2023)</w:t>
      </w:r>
      <w:r w:rsidRPr="0058380F">
        <w:rPr>
          <w:rFonts w:asciiTheme="minorBidi" w:hAnsiTheme="minorBidi"/>
          <w:sz w:val="24"/>
          <w:szCs w:val="24"/>
        </w:rPr>
        <w:t>, known for its innovative culture, encourages employees to spend 20% of their time on personal projects, demonstrating a people practice that nurtures creativity and contributes to a culture of experimentation (Amabile, 1998).</w:t>
      </w:r>
    </w:p>
    <w:p w14:paraId="40EAB3AC" w14:textId="571380C7" w:rsidR="001D21E8" w:rsidRPr="0058380F" w:rsidRDefault="001D21E8" w:rsidP="001D21E8">
      <w:pPr>
        <w:rPr>
          <w:rFonts w:asciiTheme="minorBidi" w:hAnsiTheme="minorBidi"/>
          <w:sz w:val="24"/>
          <w:szCs w:val="24"/>
        </w:rPr>
      </w:pPr>
      <w:r w:rsidRPr="0058380F">
        <w:rPr>
          <w:rFonts w:asciiTheme="minorBidi" w:hAnsiTheme="minorBidi"/>
          <w:sz w:val="24"/>
          <w:szCs w:val="24"/>
        </w:rPr>
        <w:t xml:space="preserve">People practices directly impact individual and collective </w:t>
      </w:r>
      <w:r w:rsidR="004A164E" w:rsidRPr="0058380F">
        <w:rPr>
          <w:rFonts w:asciiTheme="minorBidi" w:hAnsiTheme="minorBidi"/>
          <w:sz w:val="24"/>
          <w:szCs w:val="24"/>
        </w:rPr>
        <w:t>behaviours</w:t>
      </w:r>
      <w:r w:rsidRPr="0058380F">
        <w:rPr>
          <w:rFonts w:asciiTheme="minorBidi" w:hAnsiTheme="minorBidi"/>
          <w:sz w:val="24"/>
          <w:szCs w:val="24"/>
        </w:rPr>
        <w:t xml:space="preserve"> within an organi</w:t>
      </w:r>
      <w:r w:rsidR="004A164E" w:rsidRPr="0058380F">
        <w:rPr>
          <w:rFonts w:asciiTheme="minorBidi" w:hAnsiTheme="minorBidi"/>
          <w:sz w:val="24"/>
          <w:szCs w:val="24"/>
        </w:rPr>
        <w:t>s</w:t>
      </w:r>
      <w:r w:rsidRPr="0058380F">
        <w:rPr>
          <w:rFonts w:asciiTheme="minorBidi" w:hAnsiTheme="minorBidi"/>
          <w:sz w:val="24"/>
          <w:szCs w:val="24"/>
        </w:rPr>
        <w:t xml:space="preserve">ation. </w:t>
      </w:r>
      <w:r w:rsidR="004A164E" w:rsidRPr="0058380F">
        <w:rPr>
          <w:rFonts w:asciiTheme="minorBidi" w:hAnsiTheme="minorBidi"/>
          <w:sz w:val="24"/>
          <w:szCs w:val="24"/>
        </w:rPr>
        <w:t xml:space="preserve">Goggle (2023) </w:t>
      </w:r>
      <w:r w:rsidRPr="0058380F">
        <w:rPr>
          <w:rFonts w:asciiTheme="minorBidi" w:hAnsiTheme="minorBidi"/>
          <w:sz w:val="24"/>
          <w:szCs w:val="24"/>
        </w:rPr>
        <w:t>known for its customer-centric approach, has a people practice called "Holacracy" that empowers employees to self-organi</w:t>
      </w:r>
      <w:r w:rsidR="004A164E" w:rsidRPr="0058380F">
        <w:rPr>
          <w:rFonts w:asciiTheme="minorBidi" w:hAnsiTheme="minorBidi"/>
          <w:sz w:val="24"/>
          <w:szCs w:val="24"/>
        </w:rPr>
        <w:t>s</w:t>
      </w:r>
      <w:r w:rsidRPr="0058380F">
        <w:rPr>
          <w:rFonts w:asciiTheme="minorBidi" w:hAnsiTheme="minorBidi"/>
          <w:sz w:val="24"/>
          <w:szCs w:val="24"/>
        </w:rPr>
        <w:t xml:space="preserve">e and make decisions collaboratively. This unique structure influences </w:t>
      </w:r>
      <w:r w:rsidR="004A164E" w:rsidRPr="0058380F">
        <w:rPr>
          <w:rFonts w:asciiTheme="minorBidi" w:hAnsiTheme="minorBidi"/>
          <w:sz w:val="24"/>
          <w:szCs w:val="24"/>
        </w:rPr>
        <w:t>behaviour</w:t>
      </w:r>
      <w:r w:rsidRPr="0058380F">
        <w:rPr>
          <w:rFonts w:asciiTheme="minorBidi" w:hAnsiTheme="minorBidi"/>
          <w:sz w:val="24"/>
          <w:szCs w:val="24"/>
        </w:rPr>
        <w:t xml:space="preserve"> by fostering autonomy, initiative, and a sense of ownership among employees, contributing to a customer-focused organizational </w:t>
      </w:r>
      <w:r w:rsidR="004A164E" w:rsidRPr="0058380F">
        <w:rPr>
          <w:rFonts w:asciiTheme="minorBidi" w:hAnsiTheme="minorBidi"/>
          <w:sz w:val="24"/>
          <w:szCs w:val="24"/>
        </w:rPr>
        <w:t>behaviour</w:t>
      </w:r>
      <w:r w:rsidRPr="0058380F">
        <w:rPr>
          <w:rFonts w:asciiTheme="minorBidi" w:hAnsiTheme="minorBidi"/>
          <w:sz w:val="24"/>
          <w:szCs w:val="24"/>
        </w:rPr>
        <w:t xml:space="preserve"> (Hsieh, 2010).</w:t>
      </w:r>
    </w:p>
    <w:p w14:paraId="3085D21B" w14:textId="4695DE17" w:rsidR="001D21E8" w:rsidRPr="0058380F" w:rsidRDefault="001D21E8" w:rsidP="001D21E8">
      <w:pPr>
        <w:rPr>
          <w:rFonts w:asciiTheme="minorBidi" w:hAnsiTheme="minorBidi"/>
          <w:sz w:val="24"/>
          <w:szCs w:val="24"/>
        </w:rPr>
      </w:pPr>
      <w:r w:rsidRPr="0058380F">
        <w:rPr>
          <w:rFonts w:asciiTheme="minorBidi" w:hAnsiTheme="minorBidi"/>
          <w:sz w:val="24"/>
          <w:szCs w:val="24"/>
        </w:rPr>
        <w:t>Effective people practices ensure alignment between organi</w:t>
      </w:r>
      <w:r w:rsidR="004A164E" w:rsidRPr="0058380F">
        <w:rPr>
          <w:rFonts w:asciiTheme="minorBidi" w:hAnsiTheme="minorBidi"/>
          <w:sz w:val="24"/>
          <w:szCs w:val="24"/>
        </w:rPr>
        <w:t>s</w:t>
      </w:r>
      <w:r w:rsidRPr="0058380F">
        <w:rPr>
          <w:rFonts w:asciiTheme="minorBidi" w:hAnsiTheme="minorBidi"/>
          <w:sz w:val="24"/>
          <w:szCs w:val="24"/>
        </w:rPr>
        <w:t xml:space="preserve">ational culture and employee </w:t>
      </w:r>
      <w:r w:rsidR="004A164E" w:rsidRPr="0058380F">
        <w:rPr>
          <w:rFonts w:asciiTheme="minorBidi" w:hAnsiTheme="minorBidi"/>
          <w:sz w:val="24"/>
          <w:szCs w:val="24"/>
        </w:rPr>
        <w:t>behaviour</w:t>
      </w:r>
      <w:r w:rsidRPr="0058380F">
        <w:rPr>
          <w:rFonts w:asciiTheme="minorBidi" w:hAnsiTheme="minorBidi"/>
          <w:sz w:val="24"/>
          <w:szCs w:val="24"/>
        </w:rPr>
        <w:t xml:space="preserve">. </w:t>
      </w:r>
      <w:r w:rsidR="004A164E" w:rsidRPr="0058380F">
        <w:rPr>
          <w:rFonts w:asciiTheme="minorBidi" w:hAnsiTheme="minorBidi"/>
          <w:sz w:val="24"/>
          <w:szCs w:val="24"/>
        </w:rPr>
        <w:t>Google again</w:t>
      </w:r>
      <w:r w:rsidRPr="0058380F">
        <w:rPr>
          <w:rFonts w:asciiTheme="minorBidi" w:hAnsiTheme="minorBidi"/>
          <w:sz w:val="24"/>
          <w:szCs w:val="24"/>
        </w:rPr>
        <w:t>, renowned for its fun and customer-centric culture, implements people practices that prioriti</w:t>
      </w:r>
      <w:r w:rsidR="004A164E" w:rsidRPr="0058380F">
        <w:rPr>
          <w:rFonts w:asciiTheme="minorBidi" w:hAnsiTheme="minorBidi"/>
          <w:sz w:val="24"/>
          <w:szCs w:val="24"/>
        </w:rPr>
        <w:t>s</w:t>
      </w:r>
      <w:r w:rsidRPr="0058380F">
        <w:rPr>
          <w:rFonts w:asciiTheme="minorBidi" w:hAnsiTheme="minorBidi"/>
          <w:sz w:val="24"/>
          <w:szCs w:val="24"/>
        </w:rPr>
        <w:t xml:space="preserve">e employee engagement, such as hiring for attitude and providing extensive training. This alignment fosters positive </w:t>
      </w:r>
      <w:r w:rsidR="004A164E" w:rsidRPr="0058380F">
        <w:rPr>
          <w:rFonts w:asciiTheme="minorBidi" w:hAnsiTheme="minorBidi"/>
          <w:sz w:val="24"/>
          <w:szCs w:val="24"/>
        </w:rPr>
        <w:t>behaviours</w:t>
      </w:r>
      <w:r w:rsidRPr="0058380F">
        <w:rPr>
          <w:rFonts w:asciiTheme="minorBidi" w:hAnsiTheme="minorBidi"/>
          <w:sz w:val="24"/>
          <w:szCs w:val="24"/>
        </w:rPr>
        <w:t>, including a commitment to customer service and a sense of camaraderie among employees (Gittell, 2003).</w:t>
      </w:r>
    </w:p>
    <w:p w14:paraId="15FC87A4" w14:textId="1B6B403A" w:rsidR="008B03AE" w:rsidRPr="0058380F" w:rsidRDefault="0058380F" w:rsidP="001D21E8">
      <w:pPr>
        <w:rPr>
          <w:rFonts w:asciiTheme="minorBidi" w:hAnsiTheme="minorBidi"/>
          <w:sz w:val="24"/>
          <w:szCs w:val="24"/>
        </w:rPr>
      </w:pPr>
      <w:r w:rsidRPr="0058380F">
        <w:rPr>
          <w:rFonts w:asciiTheme="minorBidi" w:hAnsiTheme="minorBidi"/>
          <w:sz w:val="24"/>
          <w:szCs w:val="24"/>
        </w:rPr>
        <w:t>P</w:t>
      </w:r>
      <w:r w:rsidR="001D21E8" w:rsidRPr="0058380F">
        <w:rPr>
          <w:rFonts w:asciiTheme="minorBidi" w:hAnsiTheme="minorBidi"/>
          <w:sz w:val="24"/>
          <w:szCs w:val="24"/>
        </w:rPr>
        <w:t>eople practices are instrumental in shaping organi</w:t>
      </w:r>
      <w:r w:rsidR="004A164E" w:rsidRPr="0058380F">
        <w:rPr>
          <w:rFonts w:asciiTheme="minorBidi" w:hAnsiTheme="minorBidi"/>
          <w:sz w:val="24"/>
          <w:szCs w:val="24"/>
        </w:rPr>
        <w:t>s</w:t>
      </w:r>
      <w:r w:rsidR="001D21E8" w:rsidRPr="0058380F">
        <w:rPr>
          <w:rFonts w:asciiTheme="minorBidi" w:hAnsiTheme="minorBidi"/>
          <w:sz w:val="24"/>
          <w:szCs w:val="24"/>
        </w:rPr>
        <w:t xml:space="preserve">ational culture and </w:t>
      </w:r>
      <w:r w:rsidR="004A164E" w:rsidRPr="0058380F">
        <w:rPr>
          <w:rFonts w:asciiTheme="minorBidi" w:hAnsiTheme="minorBidi"/>
          <w:sz w:val="24"/>
          <w:szCs w:val="24"/>
        </w:rPr>
        <w:t>behaviour</w:t>
      </w:r>
      <w:r w:rsidR="001D21E8" w:rsidRPr="0058380F">
        <w:rPr>
          <w:rFonts w:asciiTheme="minorBidi" w:hAnsiTheme="minorBidi"/>
          <w:sz w:val="24"/>
          <w:szCs w:val="24"/>
        </w:rPr>
        <w:t xml:space="preserve">. By aligning HR strategies with desired cultural attributes and implementing practices that reinforce positive </w:t>
      </w:r>
      <w:r w:rsidR="004A164E" w:rsidRPr="0058380F">
        <w:rPr>
          <w:rFonts w:asciiTheme="minorBidi" w:hAnsiTheme="minorBidi"/>
          <w:sz w:val="24"/>
          <w:szCs w:val="24"/>
        </w:rPr>
        <w:t>behaviours</w:t>
      </w:r>
      <w:r w:rsidR="001D21E8" w:rsidRPr="0058380F">
        <w:rPr>
          <w:rFonts w:asciiTheme="minorBidi" w:hAnsiTheme="minorBidi"/>
          <w:sz w:val="24"/>
          <w:szCs w:val="24"/>
        </w:rPr>
        <w:t>, organi</w:t>
      </w:r>
      <w:r w:rsidR="004A164E" w:rsidRPr="0058380F">
        <w:rPr>
          <w:rFonts w:asciiTheme="minorBidi" w:hAnsiTheme="minorBidi"/>
          <w:sz w:val="24"/>
          <w:szCs w:val="24"/>
        </w:rPr>
        <w:t>s</w:t>
      </w:r>
      <w:r w:rsidR="001D21E8" w:rsidRPr="0058380F">
        <w:rPr>
          <w:rFonts w:asciiTheme="minorBidi" w:hAnsiTheme="minorBidi"/>
          <w:sz w:val="24"/>
          <w:szCs w:val="24"/>
        </w:rPr>
        <w:t xml:space="preserve">ations can create environments where employees thrive, contribute meaningfully, and collectively contribute to the achievement of organizational goals. </w:t>
      </w:r>
    </w:p>
    <w:p w14:paraId="13EC68CC"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7.</w:t>
      </w:r>
      <w:r w:rsidRPr="0058380F">
        <w:rPr>
          <w:rFonts w:asciiTheme="minorBidi" w:hAnsiTheme="minorBidi"/>
          <w:sz w:val="24"/>
          <w:szCs w:val="24"/>
        </w:rPr>
        <w:tab/>
      </w:r>
      <w:r w:rsidRPr="0058380F">
        <w:rPr>
          <w:rFonts w:asciiTheme="minorBidi" w:hAnsiTheme="minorBidi"/>
          <w:b/>
          <w:bCs/>
          <w:i/>
          <w:iCs/>
          <w:sz w:val="24"/>
          <w:szCs w:val="24"/>
        </w:rPr>
        <w:t>Peter Cheese, current CEO of CIPD asserts, ‘People professionals are a vital function in supporting businesses to adapt to rapidly changing circumstances’. Explain two different models or theories to managing change. (AC 2.3)</w:t>
      </w:r>
    </w:p>
    <w:p w14:paraId="08C0337E" w14:textId="3BAA6CE1" w:rsidR="00C04EE8" w:rsidRPr="0058380F" w:rsidRDefault="00C04EE8" w:rsidP="00C04EE8">
      <w:pPr>
        <w:rPr>
          <w:rFonts w:asciiTheme="minorBidi" w:hAnsiTheme="minorBidi"/>
          <w:sz w:val="24"/>
          <w:szCs w:val="24"/>
        </w:rPr>
      </w:pPr>
      <w:r w:rsidRPr="0058380F">
        <w:rPr>
          <w:rFonts w:asciiTheme="minorBidi" w:hAnsiTheme="minorBidi"/>
          <w:sz w:val="24"/>
          <w:szCs w:val="24"/>
        </w:rPr>
        <w:lastRenderedPageBreak/>
        <w:t xml:space="preserve">Lewin's </w:t>
      </w:r>
      <w:r w:rsidR="004A164E" w:rsidRPr="0058380F">
        <w:rPr>
          <w:rFonts w:asciiTheme="minorBidi" w:hAnsiTheme="minorBidi"/>
          <w:sz w:val="24"/>
          <w:szCs w:val="24"/>
        </w:rPr>
        <w:t xml:space="preserve">(1947) </w:t>
      </w:r>
      <w:r w:rsidRPr="0058380F">
        <w:rPr>
          <w:rFonts w:asciiTheme="minorBidi" w:hAnsiTheme="minorBidi"/>
          <w:sz w:val="24"/>
          <w:szCs w:val="24"/>
        </w:rPr>
        <w:t xml:space="preserve">Change Management Model is a foundational theory that comprises three key stages: unfreezing, changing, and refreezing. In the unfreezing stage, existing </w:t>
      </w:r>
      <w:r w:rsidR="004A164E" w:rsidRPr="0058380F">
        <w:rPr>
          <w:rFonts w:asciiTheme="minorBidi" w:hAnsiTheme="minorBidi"/>
          <w:sz w:val="24"/>
          <w:szCs w:val="24"/>
        </w:rPr>
        <w:t>behaviours</w:t>
      </w:r>
      <w:r w:rsidRPr="0058380F">
        <w:rPr>
          <w:rFonts w:asciiTheme="minorBidi" w:hAnsiTheme="minorBidi"/>
          <w:sz w:val="24"/>
          <w:szCs w:val="24"/>
        </w:rPr>
        <w:t xml:space="preserve"> and attitudes are disrupted to create a readiness for change. This is followed by the change stage, during which new processes, </w:t>
      </w:r>
      <w:r w:rsidR="004A164E" w:rsidRPr="0058380F">
        <w:rPr>
          <w:rFonts w:asciiTheme="minorBidi" w:hAnsiTheme="minorBidi"/>
          <w:sz w:val="24"/>
          <w:szCs w:val="24"/>
        </w:rPr>
        <w:t>behaviours</w:t>
      </w:r>
      <w:r w:rsidRPr="0058380F">
        <w:rPr>
          <w:rFonts w:asciiTheme="minorBidi" w:hAnsiTheme="minorBidi"/>
          <w:sz w:val="24"/>
          <w:szCs w:val="24"/>
        </w:rPr>
        <w:t xml:space="preserve">, or structures are implemented. The final stage, refreezing, involves stabilizing the changes by reinforcing new </w:t>
      </w:r>
      <w:r w:rsidR="004A164E" w:rsidRPr="0058380F">
        <w:rPr>
          <w:rFonts w:asciiTheme="minorBidi" w:hAnsiTheme="minorBidi"/>
          <w:sz w:val="24"/>
          <w:szCs w:val="24"/>
        </w:rPr>
        <w:t>behaviours</w:t>
      </w:r>
      <w:r w:rsidRPr="0058380F">
        <w:rPr>
          <w:rFonts w:asciiTheme="minorBidi" w:hAnsiTheme="minorBidi"/>
          <w:sz w:val="24"/>
          <w:szCs w:val="24"/>
        </w:rPr>
        <w:t xml:space="preserve"> and integrating them into the organizational culture. Lewin's model emphasizes the importance of managing the psychological aspects of change and ensuring that individuals are prepared for and committed to the new state.</w:t>
      </w:r>
    </w:p>
    <w:p w14:paraId="4B139DDD" w14:textId="53B809F1"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Kotter's </w:t>
      </w:r>
      <w:r w:rsidR="00CB2870" w:rsidRPr="0058380F">
        <w:rPr>
          <w:rFonts w:asciiTheme="minorBidi" w:hAnsiTheme="minorBidi"/>
          <w:sz w:val="24"/>
          <w:szCs w:val="24"/>
        </w:rPr>
        <w:t xml:space="preserve">(1996) </w:t>
      </w:r>
      <w:r w:rsidRPr="0058380F">
        <w:rPr>
          <w:rFonts w:asciiTheme="minorBidi" w:hAnsiTheme="minorBidi"/>
          <w:sz w:val="24"/>
          <w:szCs w:val="24"/>
        </w:rPr>
        <w:t>8-Step Change Model provides a comprehensive approach to managing organi</w:t>
      </w:r>
      <w:r w:rsidR="00CB2870" w:rsidRPr="0058380F">
        <w:rPr>
          <w:rFonts w:asciiTheme="minorBidi" w:hAnsiTheme="minorBidi"/>
          <w:sz w:val="24"/>
          <w:szCs w:val="24"/>
        </w:rPr>
        <w:t>s</w:t>
      </w:r>
      <w:r w:rsidRPr="0058380F">
        <w:rPr>
          <w:rFonts w:asciiTheme="minorBidi" w:hAnsiTheme="minorBidi"/>
          <w:sz w:val="24"/>
          <w:szCs w:val="24"/>
        </w:rPr>
        <w:t>ational change. The model consists of eight sequential steps, including creating a sense of urgency, forming a powerful coalition, developing a vision and strategy, communicating the vision, empowering employees for broad-based action, generating short-term wins, consolidating gains and producing more change, and anchoring new approaches in the culture. Kotter's model emphasizes the need for strong leadership, effective communication, and continuous reinforcement to ensure successful and sustainable change.</w:t>
      </w:r>
    </w:p>
    <w:p w14:paraId="6F7D1D81" w14:textId="0E9B5DDF" w:rsidR="008B03AE" w:rsidRPr="0058380F" w:rsidRDefault="00C04EE8" w:rsidP="00C04EE8">
      <w:pPr>
        <w:rPr>
          <w:rFonts w:asciiTheme="minorBidi" w:hAnsiTheme="minorBidi"/>
          <w:sz w:val="24"/>
          <w:szCs w:val="24"/>
        </w:rPr>
      </w:pPr>
      <w:r w:rsidRPr="0058380F">
        <w:rPr>
          <w:rFonts w:asciiTheme="minorBidi" w:hAnsiTheme="minorBidi"/>
          <w:sz w:val="24"/>
          <w:szCs w:val="24"/>
        </w:rPr>
        <w:t>Both Lewin's and Kotter's models highlight the importance of addressing the human side of change, acknowledging that individuals play a crucial role in the success or failure of organi</w:t>
      </w:r>
      <w:r w:rsidR="00CB2870" w:rsidRPr="0058380F">
        <w:rPr>
          <w:rFonts w:asciiTheme="minorBidi" w:hAnsiTheme="minorBidi"/>
          <w:sz w:val="24"/>
          <w:szCs w:val="24"/>
        </w:rPr>
        <w:t>s</w:t>
      </w:r>
      <w:r w:rsidRPr="0058380F">
        <w:rPr>
          <w:rFonts w:asciiTheme="minorBidi" w:hAnsiTheme="minorBidi"/>
          <w:sz w:val="24"/>
          <w:szCs w:val="24"/>
        </w:rPr>
        <w:t>ational change initiatives. Lewin's model focuses on the psychological aspects of change, while Kotter's model provides a structured and sequential approach to navigating the complexities of organi</w:t>
      </w:r>
      <w:r w:rsidR="00CB2870" w:rsidRPr="0058380F">
        <w:rPr>
          <w:rFonts w:asciiTheme="minorBidi" w:hAnsiTheme="minorBidi"/>
          <w:sz w:val="24"/>
          <w:szCs w:val="24"/>
        </w:rPr>
        <w:t>s</w:t>
      </w:r>
      <w:r w:rsidRPr="0058380F">
        <w:rPr>
          <w:rFonts w:asciiTheme="minorBidi" w:hAnsiTheme="minorBidi"/>
          <w:sz w:val="24"/>
          <w:szCs w:val="24"/>
        </w:rPr>
        <w:t>ational transformation.</w:t>
      </w:r>
    </w:p>
    <w:p w14:paraId="2DE1D9AF" w14:textId="77777777" w:rsidR="008B03AE" w:rsidRPr="0058380F" w:rsidRDefault="008B03AE" w:rsidP="008B03AE">
      <w:pPr>
        <w:rPr>
          <w:rFonts w:asciiTheme="minorBidi" w:hAnsiTheme="minorBidi"/>
          <w:b/>
          <w:bCs/>
          <w:sz w:val="24"/>
          <w:szCs w:val="24"/>
          <w:u w:val="single"/>
        </w:rPr>
      </w:pPr>
      <w:r w:rsidRPr="0058380F">
        <w:rPr>
          <w:rFonts w:asciiTheme="minorBidi" w:hAnsiTheme="minorBidi"/>
          <w:sz w:val="24"/>
          <w:szCs w:val="24"/>
        </w:rPr>
        <w:t>8.</w:t>
      </w:r>
      <w:r w:rsidRPr="0058380F">
        <w:rPr>
          <w:rFonts w:asciiTheme="minorBidi" w:hAnsiTheme="minorBidi"/>
          <w:sz w:val="24"/>
          <w:szCs w:val="24"/>
        </w:rPr>
        <w:tab/>
      </w:r>
      <w:r w:rsidRPr="0058380F">
        <w:rPr>
          <w:rFonts w:asciiTheme="minorBidi" w:hAnsiTheme="minorBidi"/>
          <w:b/>
          <w:bCs/>
          <w:i/>
          <w:iCs/>
          <w:sz w:val="24"/>
          <w:szCs w:val="24"/>
        </w:rPr>
        <w:t>A variety of models have been developed to explain how change is experienced. Discuss one model that explains how change is experienced. (AC 2.4)</w:t>
      </w:r>
    </w:p>
    <w:p w14:paraId="2DF8D48A" w14:textId="77777777" w:rsidR="00CB2870" w:rsidRPr="0058380F" w:rsidRDefault="00C04EE8" w:rsidP="00CB2870">
      <w:pPr>
        <w:rPr>
          <w:rFonts w:asciiTheme="minorBidi" w:hAnsiTheme="minorBidi"/>
          <w:sz w:val="24"/>
          <w:szCs w:val="24"/>
        </w:rPr>
      </w:pPr>
      <w:r w:rsidRPr="0058380F">
        <w:rPr>
          <w:rFonts w:asciiTheme="minorBidi" w:hAnsiTheme="minorBidi"/>
          <w:sz w:val="24"/>
          <w:szCs w:val="24"/>
        </w:rPr>
        <w:t>The ADKAR Model, developed by Jeff Hiatt and Prosci,</w:t>
      </w:r>
      <w:r w:rsidR="00CB2870" w:rsidRPr="0058380F">
        <w:rPr>
          <w:rFonts w:asciiTheme="minorBidi" w:hAnsiTheme="minorBidi"/>
          <w:sz w:val="24"/>
          <w:szCs w:val="24"/>
        </w:rPr>
        <w:t>(2006)</w:t>
      </w:r>
      <w:r w:rsidRPr="0058380F">
        <w:rPr>
          <w:rFonts w:asciiTheme="minorBidi" w:hAnsiTheme="minorBidi"/>
          <w:sz w:val="24"/>
          <w:szCs w:val="24"/>
        </w:rPr>
        <w:t xml:space="preserve"> is a business-focused change management model that outlines the individual experience of change within an organi</w:t>
      </w:r>
      <w:r w:rsidR="00CB2870" w:rsidRPr="0058380F">
        <w:rPr>
          <w:rFonts w:asciiTheme="minorBidi" w:hAnsiTheme="minorBidi"/>
          <w:sz w:val="24"/>
          <w:szCs w:val="24"/>
        </w:rPr>
        <w:t>s</w:t>
      </w:r>
      <w:r w:rsidRPr="0058380F">
        <w:rPr>
          <w:rFonts w:asciiTheme="minorBidi" w:hAnsiTheme="minorBidi"/>
          <w:sz w:val="24"/>
          <w:szCs w:val="24"/>
        </w:rPr>
        <w:t>ational context. ADKAR represents five key stages that individuals typically go through during a change initiative: Awareness, Desire, Knowledge, Ability, and Reinforcement.</w:t>
      </w:r>
    </w:p>
    <w:p w14:paraId="03F4BB1F" w14:textId="6669E25D" w:rsidR="00C04EE8" w:rsidRPr="0058380F" w:rsidRDefault="00C04EE8" w:rsidP="00CB2870">
      <w:pPr>
        <w:rPr>
          <w:rFonts w:asciiTheme="minorBidi" w:hAnsiTheme="minorBidi"/>
          <w:sz w:val="24"/>
          <w:szCs w:val="24"/>
        </w:rPr>
      </w:pPr>
      <w:r w:rsidRPr="0058380F">
        <w:rPr>
          <w:rFonts w:asciiTheme="minorBidi" w:hAnsiTheme="minorBidi"/>
          <w:sz w:val="24"/>
          <w:szCs w:val="24"/>
        </w:rPr>
        <w:t>Awareness: The first stage involves creating an understanding among individuals about the need for change. It is crucial for people to be aware of why the change is happening, what it means for them, and what the implications are for the organi</w:t>
      </w:r>
      <w:r w:rsidR="00CB2870" w:rsidRPr="0058380F">
        <w:rPr>
          <w:rFonts w:asciiTheme="minorBidi" w:hAnsiTheme="minorBidi"/>
          <w:sz w:val="24"/>
          <w:szCs w:val="24"/>
        </w:rPr>
        <w:t>s</w:t>
      </w:r>
      <w:r w:rsidRPr="0058380F">
        <w:rPr>
          <w:rFonts w:asciiTheme="minorBidi" w:hAnsiTheme="minorBidi"/>
          <w:sz w:val="24"/>
          <w:szCs w:val="24"/>
        </w:rPr>
        <w:t>ation.</w:t>
      </w:r>
    </w:p>
    <w:p w14:paraId="6C7C9D92" w14:textId="071DFA7B" w:rsidR="00C04EE8" w:rsidRPr="0058380F" w:rsidRDefault="00C04EE8" w:rsidP="00CB2870">
      <w:pPr>
        <w:rPr>
          <w:rFonts w:asciiTheme="minorBidi" w:hAnsiTheme="minorBidi"/>
          <w:sz w:val="24"/>
          <w:szCs w:val="24"/>
        </w:rPr>
      </w:pPr>
      <w:r w:rsidRPr="0058380F">
        <w:rPr>
          <w:rFonts w:asciiTheme="minorBidi" w:hAnsiTheme="minorBidi"/>
          <w:sz w:val="24"/>
          <w:szCs w:val="24"/>
        </w:rPr>
        <w:t>Desire: In this stage, individuals develop a personal motivation or desire to participate in and support the change. This involves addressing any concerns or resistance and fostering a positive attitude toward the change.</w:t>
      </w:r>
    </w:p>
    <w:p w14:paraId="03B5E9F2" w14:textId="77777777" w:rsidR="00C04EE8" w:rsidRPr="0058380F" w:rsidRDefault="00C04EE8" w:rsidP="00C04EE8">
      <w:pPr>
        <w:rPr>
          <w:rFonts w:asciiTheme="minorBidi" w:hAnsiTheme="minorBidi"/>
          <w:sz w:val="24"/>
          <w:szCs w:val="24"/>
        </w:rPr>
      </w:pPr>
      <w:r w:rsidRPr="0058380F">
        <w:rPr>
          <w:rFonts w:asciiTheme="minorBidi" w:hAnsiTheme="minorBidi"/>
          <w:sz w:val="24"/>
          <w:szCs w:val="24"/>
        </w:rPr>
        <w:t xml:space="preserve">Knowledge: Once there is a desire for change, individuals need the knowledge and understanding of how to change. This includes providing the necessary information, </w:t>
      </w:r>
      <w:r w:rsidRPr="0058380F">
        <w:rPr>
          <w:rFonts w:asciiTheme="minorBidi" w:hAnsiTheme="minorBidi"/>
          <w:sz w:val="24"/>
          <w:szCs w:val="24"/>
        </w:rPr>
        <w:lastRenderedPageBreak/>
        <w:t>training, and resources to equip individuals with the skills required for the new ways of working.</w:t>
      </w:r>
    </w:p>
    <w:p w14:paraId="4EC475DC" w14:textId="77777777" w:rsidR="00C04EE8" w:rsidRPr="0058380F" w:rsidRDefault="00C04EE8" w:rsidP="00C04EE8">
      <w:pPr>
        <w:rPr>
          <w:rFonts w:asciiTheme="minorBidi" w:hAnsiTheme="minorBidi"/>
          <w:sz w:val="24"/>
          <w:szCs w:val="24"/>
        </w:rPr>
      </w:pPr>
      <w:r w:rsidRPr="0058380F">
        <w:rPr>
          <w:rFonts w:asciiTheme="minorBidi" w:hAnsiTheme="minorBidi"/>
          <w:sz w:val="24"/>
          <w:szCs w:val="24"/>
        </w:rPr>
        <w:t>Ability: The ability stage focuses on the application of knowledge. Individuals must be able to implement the change successfully in their day-to-day activities. This may involve overcoming obstacles, adapting to new processes, and demonstrating the skills acquired during the knowledge stage.</w:t>
      </w:r>
    </w:p>
    <w:p w14:paraId="78A62FC8" w14:textId="064F3F3B" w:rsidR="00C04EE8" w:rsidRPr="0058380F" w:rsidRDefault="00C04EE8" w:rsidP="00C04EE8">
      <w:pPr>
        <w:rPr>
          <w:rFonts w:asciiTheme="minorBidi" w:hAnsiTheme="minorBidi"/>
          <w:sz w:val="24"/>
          <w:szCs w:val="24"/>
        </w:rPr>
      </w:pPr>
      <w:r w:rsidRPr="0058380F">
        <w:rPr>
          <w:rFonts w:asciiTheme="minorBidi" w:hAnsiTheme="minorBidi"/>
          <w:sz w:val="24"/>
          <w:szCs w:val="24"/>
        </w:rPr>
        <w:t>Reinforcement: The final stage emphasi</w:t>
      </w:r>
      <w:r w:rsidR="00CB2870" w:rsidRPr="0058380F">
        <w:rPr>
          <w:rFonts w:asciiTheme="minorBidi" w:hAnsiTheme="minorBidi"/>
          <w:sz w:val="24"/>
          <w:szCs w:val="24"/>
        </w:rPr>
        <w:t>s</w:t>
      </w:r>
      <w:r w:rsidRPr="0058380F">
        <w:rPr>
          <w:rFonts w:asciiTheme="minorBidi" w:hAnsiTheme="minorBidi"/>
          <w:sz w:val="24"/>
          <w:szCs w:val="24"/>
        </w:rPr>
        <w:t xml:space="preserve">es the importance of reinforcing the change to ensure its sustainability. This involves acknowledging and celebrating successes, reinforcing the benefits of the change, and embedding the new </w:t>
      </w:r>
      <w:r w:rsidR="00CB2870" w:rsidRPr="0058380F">
        <w:rPr>
          <w:rFonts w:asciiTheme="minorBidi" w:hAnsiTheme="minorBidi"/>
          <w:sz w:val="24"/>
          <w:szCs w:val="24"/>
        </w:rPr>
        <w:t>behaviours</w:t>
      </w:r>
      <w:r w:rsidRPr="0058380F">
        <w:rPr>
          <w:rFonts w:asciiTheme="minorBidi" w:hAnsiTheme="minorBidi"/>
          <w:sz w:val="24"/>
          <w:szCs w:val="24"/>
        </w:rPr>
        <w:t xml:space="preserve"> into the organi</w:t>
      </w:r>
      <w:r w:rsidR="00CB2870" w:rsidRPr="0058380F">
        <w:rPr>
          <w:rFonts w:asciiTheme="minorBidi" w:hAnsiTheme="minorBidi"/>
          <w:sz w:val="24"/>
          <w:szCs w:val="24"/>
        </w:rPr>
        <w:t>s</w:t>
      </w:r>
      <w:r w:rsidRPr="0058380F">
        <w:rPr>
          <w:rFonts w:asciiTheme="minorBidi" w:hAnsiTheme="minorBidi"/>
          <w:sz w:val="24"/>
          <w:szCs w:val="24"/>
        </w:rPr>
        <w:t>ational culture.</w:t>
      </w:r>
    </w:p>
    <w:p w14:paraId="6A43319D" w14:textId="4E6D6D2F" w:rsidR="00C04EE8" w:rsidRPr="0058380F" w:rsidRDefault="00C04EE8" w:rsidP="00CB2870">
      <w:pPr>
        <w:rPr>
          <w:rFonts w:asciiTheme="minorBidi" w:hAnsiTheme="minorBidi"/>
          <w:sz w:val="24"/>
          <w:szCs w:val="24"/>
        </w:rPr>
      </w:pPr>
      <w:r w:rsidRPr="0058380F">
        <w:rPr>
          <w:rFonts w:asciiTheme="minorBidi" w:hAnsiTheme="minorBidi"/>
          <w:sz w:val="24"/>
          <w:szCs w:val="24"/>
        </w:rPr>
        <w:t>The ADKAR Model provides a structured framework for understanding and managing the human side of change in a business context. By addressing the individual experience of change at these specific stages, organi</w:t>
      </w:r>
      <w:r w:rsidR="00CB2870" w:rsidRPr="0058380F">
        <w:rPr>
          <w:rFonts w:asciiTheme="minorBidi" w:hAnsiTheme="minorBidi"/>
          <w:sz w:val="24"/>
          <w:szCs w:val="24"/>
        </w:rPr>
        <w:t>s</w:t>
      </w:r>
      <w:r w:rsidRPr="0058380F">
        <w:rPr>
          <w:rFonts w:asciiTheme="minorBidi" w:hAnsiTheme="minorBidi"/>
          <w:sz w:val="24"/>
          <w:szCs w:val="24"/>
        </w:rPr>
        <w:t>ations can increase the likelihood of successful change implementation and reduce resistance.</w:t>
      </w:r>
      <w:r w:rsidR="00CB2870" w:rsidRPr="0058380F">
        <w:rPr>
          <w:rFonts w:asciiTheme="minorBidi" w:hAnsiTheme="minorBidi"/>
          <w:sz w:val="24"/>
          <w:szCs w:val="24"/>
        </w:rPr>
        <w:t xml:space="preserve"> The ADKAR model ensures all ae aware of the need for change and the benefits of it, this removes ambiguity and fear due to the proposed change. </w:t>
      </w:r>
    </w:p>
    <w:p w14:paraId="4C68DB86"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9.</w:t>
      </w:r>
      <w:r w:rsidRPr="0058380F">
        <w:rPr>
          <w:rFonts w:asciiTheme="minorBidi" w:hAnsiTheme="minorBidi"/>
          <w:sz w:val="24"/>
          <w:szCs w:val="24"/>
        </w:rPr>
        <w:tab/>
      </w:r>
      <w:r w:rsidRPr="0058380F">
        <w:rPr>
          <w:rFonts w:asciiTheme="minorBidi" w:hAnsiTheme="minorBidi"/>
          <w:b/>
          <w:bCs/>
          <w:i/>
          <w:iCs/>
          <w:sz w:val="24"/>
          <w:szCs w:val="24"/>
        </w:rPr>
        <w:t>The CIPD’s Health and wellbeing at work survey 2022 found, ‘There is less management focus on health and wellbeing compared with the first year of the pandemic’, and goes on to remark that this is disappointing. Assess the importance of wellbeing at work and factors which impact wellbeing. (AC 2.5)</w:t>
      </w:r>
    </w:p>
    <w:p w14:paraId="7C10095C" w14:textId="77504055" w:rsidR="00C04EE8" w:rsidRPr="0058380F" w:rsidRDefault="00C04EE8" w:rsidP="00C04EE8">
      <w:pPr>
        <w:rPr>
          <w:rFonts w:asciiTheme="minorBidi" w:hAnsiTheme="minorBidi"/>
          <w:sz w:val="24"/>
          <w:szCs w:val="24"/>
        </w:rPr>
      </w:pPr>
      <w:r w:rsidRPr="0058380F">
        <w:rPr>
          <w:rFonts w:asciiTheme="minorBidi" w:hAnsiTheme="minorBidi"/>
          <w:sz w:val="24"/>
          <w:szCs w:val="24"/>
        </w:rPr>
        <w:t>Workplace wellbeing is crucial for both employees and organizations, contributing to employee satisfaction, engagement, and overall performance</w:t>
      </w:r>
      <w:r w:rsidR="00CB2870" w:rsidRPr="0058380F">
        <w:rPr>
          <w:rFonts w:asciiTheme="minorBidi" w:hAnsiTheme="minorBidi"/>
          <w:sz w:val="24"/>
          <w:szCs w:val="24"/>
        </w:rPr>
        <w:t xml:space="preserve"> WHO,(1958)</w:t>
      </w:r>
      <w:r w:rsidRPr="0058380F">
        <w:rPr>
          <w:rFonts w:asciiTheme="minorBidi" w:hAnsiTheme="minorBidi"/>
          <w:sz w:val="24"/>
          <w:szCs w:val="24"/>
        </w:rPr>
        <w:t>. Numerous factors influence wellbeing at work, and understanding and addressing these factors are essential for creating a healthy and productive work environment</w:t>
      </w:r>
      <w:r w:rsidR="00FF0BE4" w:rsidRPr="0058380F">
        <w:rPr>
          <w:rFonts w:asciiTheme="minorBidi" w:hAnsiTheme="minorBidi"/>
          <w:sz w:val="24"/>
          <w:szCs w:val="24"/>
        </w:rPr>
        <w:t xml:space="preserve"> such as:</w:t>
      </w:r>
    </w:p>
    <w:p w14:paraId="009DCAEF" w14:textId="54A49B00" w:rsidR="00C04EE8" w:rsidRPr="0058380F" w:rsidRDefault="00C04EE8" w:rsidP="00C04EE8">
      <w:pPr>
        <w:rPr>
          <w:rFonts w:asciiTheme="minorBidi" w:hAnsiTheme="minorBidi"/>
          <w:sz w:val="24"/>
          <w:szCs w:val="24"/>
        </w:rPr>
      </w:pPr>
      <w:r w:rsidRPr="0058380F">
        <w:rPr>
          <w:rFonts w:asciiTheme="minorBidi" w:hAnsiTheme="minorBidi"/>
          <w:sz w:val="24"/>
          <w:szCs w:val="24"/>
        </w:rPr>
        <w:t>Employee Engagement and Productivity: Wellbeing is closely tied to employee engagement, which is a key driver of productivity</w:t>
      </w:r>
      <w:r w:rsidR="00CB2870" w:rsidRPr="0058380F">
        <w:rPr>
          <w:rFonts w:asciiTheme="minorBidi" w:hAnsiTheme="minorBidi"/>
          <w:sz w:val="24"/>
          <w:szCs w:val="24"/>
        </w:rPr>
        <w:t xml:space="preserve"> WHO, (1958)</w:t>
      </w:r>
      <w:r w:rsidRPr="0058380F">
        <w:rPr>
          <w:rFonts w:asciiTheme="minorBidi" w:hAnsiTheme="minorBidi"/>
          <w:sz w:val="24"/>
          <w:szCs w:val="24"/>
        </w:rPr>
        <w:t>. Employees who feel supported and valued are more likely to be engaged in their work, leading to increased efficiency and better outcomes.</w:t>
      </w:r>
    </w:p>
    <w:p w14:paraId="5E2DE276" w14:textId="7ED9D414" w:rsidR="00C04EE8" w:rsidRPr="0058380F" w:rsidRDefault="00C04EE8" w:rsidP="00C04EE8">
      <w:pPr>
        <w:rPr>
          <w:rFonts w:asciiTheme="minorBidi" w:hAnsiTheme="minorBidi"/>
          <w:sz w:val="24"/>
          <w:szCs w:val="24"/>
        </w:rPr>
      </w:pPr>
      <w:r w:rsidRPr="0058380F">
        <w:rPr>
          <w:rFonts w:asciiTheme="minorBidi" w:hAnsiTheme="minorBidi"/>
          <w:sz w:val="24"/>
          <w:szCs w:val="24"/>
        </w:rPr>
        <w:t>Retention and Recruitment: Organi</w:t>
      </w:r>
      <w:r w:rsidR="00CB2870" w:rsidRPr="0058380F">
        <w:rPr>
          <w:rFonts w:asciiTheme="minorBidi" w:hAnsiTheme="minorBidi"/>
          <w:sz w:val="24"/>
          <w:szCs w:val="24"/>
        </w:rPr>
        <w:t>s</w:t>
      </w:r>
      <w:r w:rsidRPr="0058380F">
        <w:rPr>
          <w:rFonts w:asciiTheme="minorBidi" w:hAnsiTheme="minorBidi"/>
          <w:sz w:val="24"/>
          <w:szCs w:val="24"/>
        </w:rPr>
        <w:t>ations that prioriti</w:t>
      </w:r>
      <w:r w:rsidR="00CB2870" w:rsidRPr="0058380F">
        <w:rPr>
          <w:rFonts w:asciiTheme="minorBidi" w:hAnsiTheme="minorBidi"/>
          <w:sz w:val="24"/>
          <w:szCs w:val="24"/>
        </w:rPr>
        <w:t>s</w:t>
      </w:r>
      <w:r w:rsidRPr="0058380F">
        <w:rPr>
          <w:rFonts w:asciiTheme="minorBidi" w:hAnsiTheme="minorBidi"/>
          <w:sz w:val="24"/>
          <w:szCs w:val="24"/>
        </w:rPr>
        <w:t>e employee wellbeing are more likely to attract and retain top talent</w:t>
      </w:r>
      <w:r w:rsidR="00CB2870" w:rsidRPr="0058380F">
        <w:rPr>
          <w:rFonts w:asciiTheme="minorBidi" w:hAnsiTheme="minorBidi"/>
          <w:sz w:val="24"/>
          <w:szCs w:val="24"/>
        </w:rPr>
        <w:t xml:space="preserve"> CIPD (2023)</w:t>
      </w:r>
      <w:r w:rsidRPr="0058380F">
        <w:rPr>
          <w:rFonts w:asciiTheme="minorBidi" w:hAnsiTheme="minorBidi"/>
          <w:sz w:val="24"/>
          <w:szCs w:val="24"/>
        </w:rPr>
        <w:t>. A positive workplace culture that prioriti</w:t>
      </w:r>
      <w:r w:rsidR="00FF0BE4" w:rsidRPr="0058380F">
        <w:rPr>
          <w:rFonts w:asciiTheme="minorBidi" w:hAnsiTheme="minorBidi"/>
          <w:sz w:val="24"/>
          <w:szCs w:val="24"/>
        </w:rPr>
        <w:t>s</w:t>
      </w:r>
      <w:r w:rsidRPr="0058380F">
        <w:rPr>
          <w:rFonts w:asciiTheme="minorBidi" w:hAnsiTheme="minorBidi"/>
          <w:sz w:val="24"/>
          <w:szCs w:val="24"/>
        </w:rPr>
        <w:t>es wellbeing becomes a competitive advantage, as employees seek environments where they feel their physical and mental health are valued.</w:t>
      </w:r>
    </w:p>
    <w:p w14:paraId="06F4F732" w14:textId="5EFB276B" w:rsidR="00C04EE8" w:rsidRPr="0058380F" w:rsidRDefault="00C04EE8" w:rsidP="00FF0BE4">
      <w:pPr>
        <w:rPr>
          <w:rFonts w:asciiTheme="minorBidi" w:hAnsiTheme="minorBidi"/>
          <w:sz w:val="24"/>
          <w:szCs w:val="24"/>
        </w:rPr>
      </w:pPr>
      <w:r w:rsidRPr="0058380F">
        <w:rPr>
          <w:rFonts w:asciiTheme="minorBidi" w:hAnsiTheme="minorBidi"/>
          <w:sz w:val="24"/>
          <w:szCs w:val="24"/>
        </w:rPr>
        <w:t>Health and Safety: Wellbeing encompasses both physical and mental health. A focus on wellbeing can reduce workplace stress, prevent burnout, and contribute to a safer work environment. This is not only beneficial for employees' overall health but also for the organi</w:t>
      </w:r>
      <w:r w:rsidR="00FF0BE4" w:rsidRPr="0058380F">
        <w:rPr>
          <w:rFonts w:asciiTheme="minorBidi" w:hAnsiTheme="minorBidi"/>
          <w:sz w:val="24"/>
          <w:szCs w:val="24"/>
        </w:rPr>
        <w:t>s</w:t>
      </w:r>
      <w:r w:rsidRPr="0058380F">
        <w:rPr>
          <w:rFonts w:asciiTheme="minorBidi" w:hAnsiTheme="minorBidi"/>
          <w:sz w:val="24"/>
          <w:szCs w:val="24"/>
        </w:rPr>
        <w:t>ation's risk management.</w:t>
      </w:r>
    </w:p>
    <w:p w14:paraId="7EBBE7FE" w14:textId="566E0DF1" w:rsidR="00C04EE8" w:rsidRPr="0058380F" w:rsidRDefault="00C04EE8" w:rsidP="00C04EE8">
      <w:pPr>
        <w:rPr>
          <w:rFonts w:asciiTheme="minorBidi" w:hAnsiTheme="minorBidi"/>
          <w:sz w:val="24"/>
          <w:szCs w:val="24"/>
        </w:rPr>
      </w:pPr>
      <w:r w:rsidRPr="0058380F">
        <w:rPr>
          <w:rFonts w:asciiTheme="minorBidi" w:hAnsiTheme="minorBidi"/>
          <w:sz w:val="24"/>
          <w:szCs w:val="24"/>
        </w:rPr>
        <w:lastRenderedPageBreak/>
        <w:t>Creativity and Innovation: Wellbeing fosters a positive and inclusive environment that encourages creativity and innovation. Employees who feel psychologically safe are more likely to share ideas, collaborate, and contribute to the organi</w:t>
      </w:r>
      <w:r w:rsidR="00FF0BE4" w:rsidRPr="0058380F">
        <w:rPr>
          <w:rFonts w:asciiTheme="minorBidi" w:hAnsiTheme="minorBidi"/>
          <w:sz w:val="24"/>
          <w:szCs w:val="24"/>
        </w:rPr>
        <w:t>s</w:t>
      </w:r>
      <w:r w:rsidRPr="0058380F">
        <w:rPr>
          <w:rFonts w:asciiTheme="minorBidi" w:hAnsiTheme="minorBidi"/>
          <w:sz w:val="24"/>
          <w:szCs w:val="24"/>
        </w:rPr>
        <w:t>ation's growth.</w:t>
      </w:r>
    </w:p>
    <w:p w14:paraId="2264C86C" w14:textId="257953A5" w:rsidR="00C04EE8" w:rsidRPr="0058380F" w:rsidRDefault="00C04EE8" w:rsidP="00C04EE8">
      <w:pPr>
        <w:rPr>
          <w:rFonts w:asciiTheme="minorBidi" w:hAnsiTheme="minorBidi"/>
          <w:sz w:val="24"/>
          <w:szCs w:val="24"/>
        </w:rPr>
      </w:pPr>
      <w:r w:rsidRPr="0058380F">
        <w:rPr>
          <w:rFonts w:asciiTheme="minorBidi" w:hAnsiTheme="minorBidi"/>
          <w:sz w:val="24"/>
          <w:szCs w:val="24"/>
        </w:rPr>
        <w:t>Organi</w:t>
      </w:r>
      <w:r w:rsidR="00FF0BE4" w:rsidRPr="0058380F">
        <w:rPr>
          <w:rFonts w:asciiTheme="minorBidi" w:hAnsiTheme="minorBidi"/>
          <w:sz w:val="24"/>
          <w:szCs w:val="24"/>
        </w:rPr>
        <w:t>s</w:t>
      </w:r>
      <w:r w:rsidRPr="0058380F">
        <w:rPr>
          <w:rFonts w:asciiTheme="minorBidi" w:hAnsiTheme="minorBidi"/>
          <w:sz w:val="24"/>
          <w:szCs w:val="24"/>
        </w:rPr>
        <w:t>ational Reputation: A commitment to employee wellbeing enhances an organi</w:t>
      </w:r>
      <w:r w:rsidR="00FF0BE4" w:rsidRPr="0058380F">
        <w:rPr>
          <w:rFonts w:asciiTheme="minorBidi" w:hAnsiTheme="minorBidi"/>
          <w:sz w:val="24"/>
          <w:szCs w:val="24"/>
        </w:rPr>
        <w:t>s</w:t>
      </w:r>
      <w:r w:rsidRPr="0058380F">
        <w:rPr>
          <w:rFonts w:asciiTheme="minorBidi" w:hAnsiTheme="minorBidi"/>
          <w:sz w:val="24"/>
          <w:szCs w:val="24"/>
        </w:rPr>
        <w:t>ation's reputation. Companies known for prioriti</w:t>
      </w:r>
      <w:r w:rsidR="00FF0BE4" w:rsidRPr="0058380F">
        <w:rPr>
          <w:rFonts w:asciiTheme="minorBidi" w:hAnsiTheme="minorBidi"/>
          <w:sz w:val="24"/>
          <w:szCs w:val="24"/>
        </w:rPr>
        <w:t>s</w:t>
      </w:r>
      <w:r w:rsidRPr="0058380F">
        <w:rPr>
          <w:rFonts w:asciiTheme="minorBidi" w:hAnsiTheme="minorBidi"/>
          <w:sz w:val="24"/>
          <w:szCs w:val="24"/>
        </w:rPr>
        <w:t>ing their employees' wellbeing are more attractive to customers, investors, and partners, contributing to long-term success.</w:t>
      </w:r>
    </w:p>
    <w:p w14:paraId="0E9FDAB0" w14:textId="761868BE" w:rsidR="00C04EE8" w:rsidRPr="0058380F" w:rsidRDefault="00C04EE8" w:rsidP="00C04EE8">
      <w:pPr>
        <w:rPr>
          <w:rFonts w:asciiTheme="minorBidi" w:hAnsiTheme="minorBidi"/>
          <w:sz w:val="24"/>
          <w:szCs w:val="24"/>
        </w:rPr>
      </w:pPr>
      <w:r w:rsidRPr="0058380F">
        <w:rPr>
          <w:rFonts w:asciiTheme="minorBidi" w:hAnsiTheme="minorBidi"/>
          <w:sz w:val="24"/>
          <w:szCs w:val="24"/>
        </w:rPr>
        <w:t>Work-Life Balance: Excessive workload and long working hours can lead to burnout. Organi</w:t>
      </w:r>
      <w:r w:rsidR="00FF0BE4" w:rsidRPr="0058380F">
        <w:rPr>
          <w:rFonts w:asciiTheme="minorBidi" w:hAnsiTheme="minorBidi"/>
          <w:sz w:val="24"/>
          <w:szCs w:val="24"/>
        </w:rPr>
        <w:t>s</w:t>
      </w:r>
      <w:r w:rsidRPr="0058380F">
        <w:rPr>
          <w:rFonts w:asciiTheme="minorBidi" w:hAnsiTheme="minorBidi"/>
          <w:sz w:val="24"/>
          <w:szCs w:val="24"/>
        </w:rPr>
        <w:t>ations should promote a healthy work-life balance, encouraging reasonable working hours and offering flexibility when possible.</w:t>
      </w:r>
    </w:p>
    <w:p w14:paraId="6C695019" w14:textId="77777777" w:rsidR="00C04EE8" w:rsidRPr="0058380F" w:rsidRDefault="00C04EE8" w:rsidP="00C04EE8">
      <w:pPr>
        <w:rPr>
          <w:rFonts w:asciiTheme="minorBidi" w:hAnsiTheme="minorBidi"/>
          <w:sz w:val="24"/>
          <w:szCs w:val="24"/>
        </w:rPr>
      </w:pPr>
      <w:r w:rsidRPr="0058380F">
        <w:rPr>
          <w:rFonts w:asciiTheme="minorBidi" w:hAnsiTheme="minorBidi"/>
          <w:sz w:val="24"/>
          <w:szCs w:val="24"/>
        </w:rPr>
        <w:t>Supportive Leadership: Leadership plays a crucial role in creating a positive work environment. Supportive leaders who communicate effectively, provide recognition, and foster a sense of belonging contribute to employee wellbeing.</w:t>
      </w:r>
    </w:p>
    <w:p w14:paraId="784777B8" w14:textId="77777777" w:rsidR="00C04EE8" w:rsidRPr="0058380F" w:rsidRDefault="00C04EE8" w:rsidP="00C04EE8">
      <w:pPr>
        <w:rPr>
          <w:rFonts w:asciiTheme="minorBidi" w:hAnsiTheme="minorBidi"/>
          <w:sz w:val="24"/>
          <w:szCs w:val="24"/>
        </w:rPr>
      </w:pPr>
      <w:r w:rsidRPr="0058380F">
        <w:rPr>
          <w:rFonts w:asciiTheme="minorBidi" w:hAnsiTheme="minorBidi"/>
          <w:sz w:val="24"/>
          <w:szCs w:val="24"/>
        </w:rPr>
        <w:t>Job Security and Fair Compensation: Economic factors such as job security and fair compensation impact wellbeing. Employees who feel financially secure are likely to experience lower stress levels and higher overall satisfaction.</w:t>
      </w:r>
    </w:p>
    <w:p w14:paraId="051B8D49" w14:textId="467AD8FC" w:rsidR="00C04EE8" w:rsidRPr="0058380F" w:rsidRDefault="00C17943" w:rsidP="00C04EE8">
      <w:pPr>
        <w:rPr>
          <w:rFonts w:asciiTheme="minorBidi" w:hAnsiTheme="minorBidi"/>
          <w:sz w:val="24"/>
          <w:szCs w:val="24"/>
        </w:rPr>
      </w:pPr>
      <w:r w:rsidRPr="0058380F">
        <w:rPr>
          <w:rFonts w:asciiTheme="minorBidi" w:hAnsiTheme="minorBidi"/>
          <w:sz w:val="24"/>
          <w:szCs w:val="24"/>
        </w:rPr>
        <w:t>The importance of wellbeing at work is substantiated by a wealth of research and reports CIPD (2023). Organisations that prioritise employee wellbeing not only contribute to individual health and satisfaction but also foster a positive and productive work environment, ultimately leading to organizational success and sustainability Dolittle, (2023).</w:t>
      </w:r>
    </w:p>
    <w:p w14:paraId="299024E8"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10.</w:t>
      </w:r>
      <w:r w:rsidRPr="0058380F">
        <w:rPr>
          <w:rFonts w:asciiTheme="minorBidi" w:hAnsiTheme="minorBidi"/>
          <w:sz w:val="24"/>
          <w:szCs w:val="24"/>
        </w:rPr>
        <w:tab/>
      </w:r>
      <w:r w:rsidRPr="0058380F">
        <w:rPr>
          <w:rFonts w:asciiTheme="minorBidi" w:hAnsiTheme="minorBidi"/>
          <w:b/>
          <w:bCs/>
          <w:i/>
          <w:iCs/>
          <w:sz w:val="24"/>
          <w:szCs w:val="24"/>
        </w:rPr>
        <w:t>The CIPD Profession Map states ‘People practices are the processes and approaches that we use across the employee lifecycle’. Discuss the links between the employee lifecycle and different people practice roles. (AC 3.1)</w:t>
      </w:r>
    </w:p>
    <w:p w14:paraId="1C8CEBAA" w14:textId="7EFC6800" w:rsidR="00DD0E81" w:rsidRPr="0058380F" w:rsidRDefault="00DD0E81" w:rsidP="00DD0E81">
      <w:pPr>
        <w:rPr>
          <w:rFonts w:asciiTheme="minorBidi" w:hAnsiTheme="minorBidi"/>
          <w:sz w:val="24"/>
          <w:szCs w:val="24"/>
        </w:rPr>
      </w:pPr>
      <w:r w:rsidRPr="0058380F">
        <w:rPr>
          <w:rFonts w:asciiTheme="minorBidi" w:hAnsiTheme="minorBidi"/>
          <w:sz w:val="24"/>
          <w:szCs w:val="24"/>
        </w:rPr>
        <w:t xml:space="preserve">The CIPD Profession Map outlines the essential knowledge, </w:t>
      </w:r>
      <w:r w:rsidR="00953DD9" w:rsidRPr="0058380F">
        <w:rPr>
          <w:rFonts w:asciiTheme="minorBidi" w:hAnsiTheme="minorBidi"/>
          <w:sz w:val="24"/>
          <w:szCs w:val="24"/>
        </w:rPr>
        <w:t>behaviours</w:t>
      </w:r>
      <w:r w:rsidRPr="0058380F">
        <w:rPr>
          <w:rFonts w:asciiTheme="minorBidi" w:hAnsiTheme="minorBidi"/>
          <w:sz w:val="24"/>
          <w:szCs w:val="24"/>
        </w:rPr>
        <w:t xml:space="preserve">, and skills required for </w:t>
      </w:r>
      <w:r w:rsidR="00953DD9" w:rsidRPr="0058380F">
        <w:rPr>
          <w:rFonts w:asciiTheme="minorBidi" w:hAnsiTheme="minorBidi"/>
          <w:sz w:val="24"/>
          <w:szCs w:val="24"/>
        </w:rPr>
        <w:t>human resource (</w:t>
      </w:r>
      <w:r w:rsidRPr="0058380F">
        <w:rPr>
          <w:rFonts w:asciiTheme="minorBidi" w:hAnsiTheme="minorBidi"/>
          <w:sz w:val="24"/>
          <w:szCs w:val="24"/>
        </w:rPr>
        <w:t>HR</w:t>
      </w:r>
      <w:r w:rsidR="00953DD9" w:rsidRPr="0058380F">
        <w:rPr>
          <w:rFonts w:asciiTheme="minorBidi" w:hAnsiTheme="minorBidi"/>
          <w:sz w:val="24"/>
          <w:szCs w:val="24"/>
        </w:rPr>
        <w:t>)</w:t>
      </w:r>
      <w:r w:rsidRPr="0058380F">
        <w:rPr>
          <w:rFonts w:asciiTheme="minorBidi" w:hAnsiTheme="minorBidi"/>
          <w:sz w:val="24"/>
          <w:szCs w:val="24"/>
        </w:rPr>
        <w:t xml:space="preserve"> professionals at different career stages. It emphasi</w:t>
      </w:r>
      <w:r w:rsidR="00953DD9" w:rsidRPr="0058380F">
        <w:rPr>
          <w:rFonts w:asciiTheme="minorBidi" w:hAnsiTheme="minorBidi"/>
          <w:sz w:val="24"/>
          <w:szCs w:val="24"/>
        </w:rPr>
        <w:t>s</w:t>
      </w:r>
      <w:r w:rsidRPr="0058380F">
        <w:rPr>
          <w:rFonts w:asciiTheme="minorBidi" w:hAnsiTheme="minorBidi"/>
          <w:sz w:val="24"/>
          <w:szCs w:val="24"/>
        </w:rPr>
        <w:t xml:space="preserve">es the importance of people practices, which are the processes and approaches used across the employee lifecycle. </w:t>
      </w:r>
      <w:r w:rsidR="00953DD9" w:rsidRPr="0058380F">
        <w:rPr>
          <w:rFonts w:asciiTheme="minorBidi" w:hAnsiTheme="minorBidi"/>
          <w:sz w:val="24"/>
          <w:szCs w:val="24"/>
        </w:rPr>
        <w:t xml:space="preserve">There are direct links </w:t>
      </w:r>
      <w:r w:rsidRPr="0058380F">
        <w:rPr>
          <w:rFonts w:asciiTheme="minorBidi" w:hAnsiTheme="minorBidi"/>
          <w:sz w:val="24"/>
          <w:szCs w:val="24"/>
        </w:rPr>
        <w:t>between the employee lifecycle and various people practice roles</w:t>
      </w:r>
      <w:r w:rsidR="00953DD9" w:rsidRPr="0058380F">
        <w:rPr>
          <w:rFonts w:asciiTheme="minorBidi" w:hAnsiTheme="minorBidi"/>
          <w:sz w:val="24"/>
          <w:szCs w:val="24"/>
        </w:rPr>
        <w:t xml:space="preserve"> CIPD (2023)</w:t>
      </w:r>
      <w:r w:rsidRPr="0058380F">
        <w:rPr>
          <w:rFonts w:asciiTheme="minorBidi" w:hAnsiTheme="minorBidi"/>
          <w:sz w:val="24"/>
          <w:szCs w:val="24"/>
        </w:rPr>
        <w:t>:</w:t>
      </w:r>
    </w:p>
    <w:p w14:paraId="60B513EC"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Employee Attraction (Recruitment): At the beginning of the employee lifecycle, resourcing and talent planning professionals are involved in attracting and recruiting individuals who align with the organization's values and needs.</w:t>
      </w:r>
    </w:p>
    <w:p w14:paraId="6D03C299" w14:textId="00C09048" w:rsidR="00DD0E81" w:rsidRPr="0058380F" w:rsidRDefault="00DD0E81" w:rsidP="00DD0E81">
      <w:pPr>
        <w:rPr>
          <w:rFonts w:asciiTheme="minorBidi" w:hAnsiTheme="minorBidi"/>
          <w:sz w:val="24"/>
          <w:szCs w:val="24"/>
        </w:rPr>
      </w:pPr>
      <w:r w:rsidRPr="0058380F">
        <w:rPr>
          <w:rFonts w:asciiTheme="minorBidi" w:hAnsiTheme="minorBidi"/>
          <w:sz w:val="24"/>
          <w:szCs w:val="24"/>
        </w:rPr>
        <w:t>Onboarding and Induction: Learning and development specialists play a critical role in the onboarding and induction phase. They ensure that new employees receive the necessary training and support to integrate into the organi</w:t>
      </w:r>
      <w:r w:rsidR="00953DD9" w:rsidRPr="0058380F">
        <w:rPr>
          <w:rFonts w:asciiTheme="minorBidi" w:hAnsiTheme="minorBidi"/>
          <w:sz w:val="24"/>
          <w:szCs w:val="24"/>
        </w:rPr>
        <w:t>s</w:t>
      </w:r>
      <w:r w:rsidRPr="0058380F">
        <w:rPr>
          <w:rFonts w:asciiTheme="minorBidi" w:hAnsiTheme="minorBidi"/>
          <w:sz w:val="24"/>
          <w:szCs w:val="24"/>
        </w:rPr>
        <w:t>ation smoothly.</w:t>
      </w:r>
    </w:p>
    <w:p w14:paraId="0A4B3BFF"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 xml:space="preserve">Performance Management: Throughout the employee lifecycle, performance management is a continuous process. HR professionals in performance and reward </w:t>
      </w:r>
      <w:r w:rsidRPr="0058380F">
        <w:rPr>
          <w:rFonts w:asciiTheme="minorBidi" w:hAnsiTheme="minorBidi"/>
          <w:sz w:val="24"/>
          <w:szCs w:val="24"/>
        </w:rPr>
        <w:lastRenderedPageBreak/>
        <w:t>roles are involved in setting expectations, conducting performance appraisals, and managing rewards and recognition.</w:t>
      </w:r>
    </w:p>
    <w:p w14:paraId="1D3043CC"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Employee Wellbeing and Support: Employee relations specialists play a role in managing workplace relationships. They are involved in addressing any conflicts, providing support during challenging times, and promoting overall employee wellbeing.</w:t>
      </w:r>
    </w:p>
    <w:p w14:paraId="008C5AD2"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Employee Experience and Engagement: Employee engagement specialists contribute to creating a positive work environment. They focus on enhancing the overall employee experience by understanding and responding to employees' needs and concerns.</w:t>
      </w:r>
    </w:p>
    <w:p w14:paraId="551CF6E4" w14:textId="63745AE3" w:rsidR="00DD0E81" w:rsidRPr="0058380F" w:rsidRDefault="00DD0E81" w:rsidP="00DD0E81">
      <w:pPr>
        <w:rPr>
          <w:rFonts w:asciiTheme="minorBidi" w:hAnsiTheme="minorBidi"/>
          <w:sz w:val="24"/>
          <w:szCs w:val="24"/>
        </w:rPr>
      </w:pPr>
      <w:r w:rsidRPr="0058380F">
        <w:rPr>
          <w:rFonts w:asciiTheme="minorBidi" w:hAnsiTheme="minorBidi"/>
          <w:sz w:val="24"/>
          <w:szCs w:val="24"/>
        </w:rPr>
        <w:t>Change Management: Organi</w:t>
      </w:r>
      <w:r w:rsidR="00953DD9" w:rsidRPr="0058380F">
        <w:rPr>
          <w:rFonts w:asciiTheme="minorBidi" w:hAnsiTheme="minorBidi"/>
          <w:sz w:val="24"/>
          <w:szCs w:val="24"/>
        </w:rPr>
        <w:t>s</w:t>
      </w:r>
      <w:r w:rsidRPr="0058380F">
        <w:rPr>
          <w:rFonts w:asciiTheme="minorBidi" w:hAnsiTheme="minorBidi"/>
          <w:sz w:val="24"/>
          <w:szCs w:val="24"/>
        </w:rPr>
        <w:t>ational development professionals play a crucial role during times of change. They are involved in managing change initiatives, ensuring a smooth transition for employees, and fostering a culture of continuous improvement.</w:t>
      </w:r>
    </w:p>
    <w:p w14:paraId="12D0F3CA" w14:textId="743D6866" w:rsidR="00DD0E81" w:rsidRPr="0058380F" w:rsidRDefault="00953DD9" w:rsidP="00DD0E81">
      <w:pPr>
        <w:rPr>
          <w:rFonts w:asciiTheme="minorBidi" w:hAnsiTheme="minorBidi"/>
          <w:sz w:val="24"/>
          <w:szCs w:val="24"/>
        </w:rPr>
      </w:pPr>
      <w:r w:rsidRPr="0058380F">
        <w:rPr>
          <w:rFonts w:asciiTheme="minorBidi" w:hAnsiTheme="minorBidi"/>
          <w:sz w:val="24"/>
          <w:szCs w:val="24"/>
        </w:rPr>
        <w:t>H</w:t>
      </w:r>
      <w:r w:rsidR="00DD0E81" w:rsidRPr="0058380F">
        <w:rPr>
          <w:rFonts w:asciiTheme="minorBidi" w:hAnsiTheme="minorBidi"/>
          <w:sz w:val="24"/>
          <w:szCs w:val="24"/>
        </w:rPr>
        <w:t>R Data and Analytics: Throughout the employee lifecycle, HR analytics specialists utili</w:t>
      </w:r>
      <w:r w:rsidRPr="0058380F">
        <w:rPr>
          <w:rFonts w:asciiTheme="minorBidi" w:hAnsiTheme="minorBidi"/>
          <w:sz w:val="24"/>
          <w:szCs w:val="24"/>
        </w:rPr>
        <w:t>s</w:t>
      </w:r>
      <w:r w:rsidR="00DD0E81" w:rsidRPr="0058380F">
        <w:rPr>
          <w:rFonts w:asciiTheme="minorBidi" w:hAnsiTheme="minorBidi"/>
          <w:sz w:val="24"/>
          <w:szCs w:val="24"/>
        </w:rPr>
        <w:t xml:space="preserve">e data to inform decision-making. They </w:t>
      </w:r>
      <w:r w:rsidRPr="0058380F">
        <w:rPr>
          <w:rFonts w:asciiTheme="minorBidi" w:hAnsiTheme="minorBidi"/>
          <w:sz w:val="24"/>
          <w:szCs w:val="24"/>
        </w:rPr>
        <w:t>analyse</w:t>
      </w:r>
      <w:r w:rsidR="00DD0E81" w:rsidRPr="0058380F">
        <w:rPr>
          <w:rFonts w:asciiTheme="minorBidi" w:hAnsiTheme="minorBidi"/>
          <w:sz w:val="24"/>
          <w:szCs w:val="24"/>
        </w:rPr>
        <w:t xml:space="preserve"> trends, identify areas for improvement, and contribute to the formulation of HR strategies aligned with organi</w:t>
      </w:r>
      <w:r w:rsidRPr="0058380F">
        <w:rPr>
          <w:rFonts w:asciiTheme="minorBidi" w:hAnsiTheme="minorBidi"/>
          <w:sz w:val="24"/>
          <w:szCs w:val="24"/>
        </w:rPr>
        <w:t>s</w:t>
      </w:r>
      <w:r w:rsidR="00DD0E81" w:rsidRPr="0058380F">
        <w:rPr>
          <w:rFonts w:asciiTheme="minorBidi" w:hAnsiTheme="minorBidi"/>
          <w:sz w:val="24"/>
          <w:szCs w:val="24"/>
        </w:rPr>
        <w:t>ational goals.</w:t>
      </w:r>
    </w:p>
    <w:p w14:paraId="7483DDC3"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HR Operations: Core HR professionals ensure the smooth functioning of HR processes throughout the employee lifecycle. They manage data, administer HR systems, and handle day-to-day HR operations.</w:t>
      </w:r>
    </w:p>
    <w:p w14:paraId="19E4B2DF" w14:textId="7A17B666" w:rsidR="008B03AE" w:rsidRDefault="00DD0E81" w:rsidP="00DD0E81">
      <w:pPr>
        <w:rPr>
          <w:rFonts w:asciiTheme="minorBidi" w:hAnsiTheme="minorBidi"/>
          <w:sz w:val="24"/>
          <w:szCs w:val="24"/>
        </w:rPr>
      </w:pPr>
      <w:r w:rsidRPr="0058380F">
        <w:rPr>
          <w:rFonts w:asciiTheme="minorBidi" w:hAnsiTheme="minorBidi"/>
          <w:sz w:val="24"/>
          <w:szCs w:val="24"/>
        </w:rPr>
        <w:t>By aligning people practice roles with the employee lifecycle, organi</w:t>
      </w:r>
      <w:r w:rsidR="00953DD9" w:rsidRPr="0058380F">
        <w:rPr>
          <w:rFonts w:asciiTheme="minorBidi" w:hAnsiTheme="minorBidi"/>
          <w:sz w:val="24"/>
          <w:szCs w:val="24"/>
        </w:rPr>
        <w:t>s</w:t>
      </w:r>
      <w:r w:rsidRPr="0058380F">
        <w:rPr>
          <w:rFonts w:asciiTheme="minorBidi" w:hAnsiTheme="minorBidi"/>
          <w:sz w:val="24"/>
          <w:szCs w:val="24"/>
        </w:rPr>
        <w:t>ations can create a holistic and integrated approach to human resource management</w:t>
      </w:r>
      <w:r w:rsidR="00953DD9" w:rsidRPr="0058380F">
        <w:rPr>
          <w:rFonts w:asciiTheme="minorBidi" w:hAnsiTheme="minorBidi"/>
          <w:sz w:val="24"/>
          <w:szCs w:val="24"/>
        </w:rPr>
        <w:t xml:space="preserve"> CIPS (2023)</w:t>
      </w:r>
      <w:r w:rsidRPr="0058380F">
        <w:rPr>
          <w:rFonts w:asciiTheme="minorBidi" w:hAnsiTheme="minorBidi"/>
          <w:sz w:val="24"/>
          <w:szCs w:val="24"/>
        </w:rPr>
        <w:t>, ensuring that HR functions effectively at each stage of an employee's journey within the organi</w:t>
      </w:r>
      <w:r w:rsidR="00953DD9" w:rsidRPr="0058380F">
        <w:rPr>
          <w:rFonts w:asciiTheme="minorBidi" w:hAnsiTheme="minorBidi"/>
          <w:sz w:val="24"/>
          <w:szCs w:val="24"/>
        </w:rPr>
        <w:t>s</w:t>
      </w:r>
      <w:r w:rsidRPr="0058380F">
        <w:rPr>
          <w:rFonts w:asciiTheme="minorBidi" w:hAnsiTheme="minorBidi"/>
          <w:sz w:val="24"/>
          <w:szCs w:val="24"/>
        </w:rPr>
        <w:t>ation.</w:t>
      </w:r>
    </w:p>
    <w:p w14:paraId="75AEDFA3" w14:textId="77777777" w:rsidR="008B03AE" w:rsidRPr="0058380F" w:rsidRDefault="008B03AE" w:rsidP="008B03AE">
      <w:pPr>
        <w:rPr>
          <w:rFonts w:asciiTheme="minorBidi" w:hAnsiTheme="minorBidi"/>
          <w:sz w:val="24"/>
          <w:szCs w:val="24"/>
        </w:rPr>
      </w:pPr>
      <w:r w:rsidRPr="0058380F">
        <w:rPr>
          <w:rFonts w:asciiTheme="minorBidi" w:hAnsiTheme="minorBidi"/>
          <w:sz w:val="24"/>
          <w:szCs w:val="24"/>
        </w:rPr>
        <w:t>11.</w:t>
      </w:r>
      <w:r w:rsidRPr="0058380F">
        <w:rPr>
          <w:rFonts w:asciiTheme="minorBidi" w:hAnsiTheme="minorBidi"/>
          <w:sz w:val="24"/>
          <w:szCs w:val="24"/>
        </w:rPr>
        <w:tab/>
      </w:r>
      <w:r w:rsidRPr="0058380F">
        <w:rPr>
          <w:rFonts w:asciiTheme="minorBidi" w:hAnsiTheme="minorBidi"/>
          <w:b/>
          <w:bCs/>
          <w:i/>
          <w:iCs/>
          <w:sz w:val="24"/>
          <w:szCs w:val="24"/>
        </w:rPr>
        <w:t>Analyse how people practice connects with other areas of an organisation and supports wider people and organisational strategies. (AC 3.2)</w:t>
      </w:r>
    </w:p>
    <w:p w14:paraId="28055759" w14:textId="3B77E82E" w:rsidR="00DD0E81" w:rsidRPr="0058380F" w:rsidRDefault="00DD0E81" w:rsidP="00DD0E81">
      <w:pPr>
        <w:rPr>
          <w:rFonts w:asciiTheme="minorBidi" w:hAnsiTheme="minorBidi"/>
          <w:sz w:val="24"/>
          <w:szCs w:val="24"/>
        </w:rPr>
      </w:pPr>
      <w:r w:rsidRPr="0058380F">
        <w:rPr>
          <w:rFonts w:asciiTheme="minorBidi" w:hAnsiTheme="minorBidi"/>
          <w:sz w:val="24"/>
          <w:szCs w:val="24"/>
        </w:rPr>
        <w:t>People practice, encompassing various HR functions, is integral to the success of an organi</w:t>
      </w:r>
      <w:r w:rsidR="00953DD9" w:rsidRPr="0058380F">
        <w:rPr>
          <w:rFonts w:asciiTheme="minorBidi" w:hAnsiTheme="minorBidi"/>
          <w:sz w:val="24"/>
          <w:szCs w:val="24"/>
        </w:rPr>
        <w:t>s</w:t>
      </w:r>
      <w:r w:rsidRPr="0058380F">
        <w:rPr>
          <w:rFonts w:asciiTheme="minorBidi" w:hAnsiTheme="minorBidi"/>
          <w:sz w:val="24"/>
          <w:szCs w:val="24"/>
        </w:rPr>
        <w:t xml:space="preserve">ation </w:t>
      </w:r>
      <w:r w:rsidR="00953DD9" w:rsidRPr="0058380F">
        <w:rPr>
          <w:rFonts w:asciiTheme="minorBidi" w:hAnsiTheme="minorBidi"/>
          <w:sz w:val="24"/>
          <w:szCs w:val="24"/>
        </w:rPr>
        <w:t xml:space="preserve">Farnham (2015) </w:t>
      </w:r>
      <w:r w:rsidRPr="0058380F">
        <w:rPr>
          <w:rFonts w:asciiTheme="minorBidi" w:hAnsiTheme="minorBidi"/>
          <w:sz w:val="24"/>
          <w:szCs w:val="24"/>
        </w:rPr>
        <w:t>as it connects with other areas and supports wider people and organi</w:t>
      </w:r>
      <w:r w:rsidR="00953DD9" w:rsidRPr="0058380F">
        <w:rPr>
          <w:rFonts w:asciiTheme="minorBidi" w:hAnsiTheme="minorBidi"/>
          <w:sz w:val="24"/>
          <w:szCs w:val="24"/>
        </w:rPr>
        <w:t>s</w:t>
      </w:r>
      <w:r w:rsidRPr="0058380F">
        <w:rPr>
          <w:rFonts w:asciiTheme="minorBidi" w:hAnsiTheme="minorBidi"/>
          <w:sz w:val="24"/>
          <w:szCs w:val="24"/>
        </w:rPr>
        <w:t>ational strategies. This integration is essential for achieving overall business objectives. Several key aspects highlight the interconnectedness of people practice with other organizational areas:</w:t>
      </w:r>
    </w:p>
    <w:p w14:paraId="25AF011A" w14:textId="4AD1E0A7" w:rsidR="00DD0E81" w:rsidRPr="0058380F" w:rsidRDefault="00DD0E81" w:rsidP="003757E2">
      <w:pPr>
        <w:rPr>
          <w:rFonts w:asciiTheme="minorBidi" w:hAnsiTheme="minorBidi"/>
          <w:sz w:val="24"/>
          <w:szCs w:val="24"/>
        </w:rPr>
      </w:pPr>
      <w:r w:rsidRPr="0058380F">
        <w:rPr>
          <w:rFonts w:asciiTheme="minorBidi" w:hAnsiTheme="minorBidi"/>
          <w:sz w:val="24"/>
          <w:szCs w:val="24"/>
        </w:rPr>
        <w:t>Strategic Alignment:</w:t>
      </w:r>
    </w:p>
    <w:p w14:paraId="45CA0A74" w14:textId="1D5D5B32" w:rsidR="00DD0E81" w:rsidRPr="0058380F" w:rsidRDefault="00DD0E81" w:rsidP="00DD0E81">
      <w:pPr>
        <w:rPr>
          <w:rFonts w:asciiTheme="minorBidi" w:hAnsiTheme="minorBidi"/>
          <w:sz w:val="24"/>
          <w:szCs w:val="24"/>
        </w:rPr>
      </w:pPr>
      <w:r w:rsidRPr="0058380F">
        <w:rPr>
          <w:rFonts w:asciiTheme="minorBidi" w:hAnsiTheme="minorBidi"/>
          <w:sz w:val="24"/>
          <w:szCs w:val="24"/>
        </w:rPr>
        <w:t>People practice aligns HR strategies with broader organizational goals</w:t>
      </w:r>
      <w:r w:rsidR="003757E2" w:rsidRPr="0058380F">
        <w:rPr>
          <w:rFonts w:asciiTheme="minorBidi" w:hAnsiTheme="minorBidi"/>
          <w:sz w:val="24"/>
          <w:szCs w:val="24"/>
        </w:rPr>
        <w:t xml:space="preserve"> Ulrich, D., &amp; Brockbank, W. (2005).</w:t>
      </w:r>
      <w:r w:rsidRPr="0058380F">
        <w:rPr>
          <w:rFonts w:asciiTheme="minorBidi" w:hAnsiTheme="minorBidi"/>
          <w:sz w:val="24"/>
          <w:szCs w:val="24"/>
        </w:rPr>
        <w:t xml:space="preserve"> This alignment ensures that HR initiatives support the overarching business strategy, contributing to the achievement of organi</w:t>
      </w:r>
      <w:r w:rsidR="003757E2" w:rsidRPr="0058380F">
        <w:rPr>
          <w:rFonts w:asciiTheme="minorBidi" w:hAnsiTheme="minorBidi"/>
          <w:sz w:val="24"/>
          <w:szCs w:val="24"/>
        </w:rPr>
        <w:t>s</w:t>
      </w:r>
      <w:r w:rsidRPr="0058380F">
        <w:rPr>
          <w:rFonts w:asciiTheme="minorBidi" w:hAnsiTheme="minorBidi"/>
          <w:sz w:val="24"/>
          <w:szCs w:val="24"/>
        </w:rPr>
        <w:t>ational objectives. Strategic alignment facilitates a unified approach, maximizing the impact of HR efforts on the organi</w:t>
      </w:r>
      <w:r w:rsidR="003757E2" w:rsidRPr="0058380F">
        <w:rPr>
          <w:rFonts w:asciiTheme="minorBidi" w:hAnsiTheme="minorBidi"/>
          <w:sz w:val="24"/>
          <w:szCs w:val="24"/>
        </w:rPr>
        <w:t>s</w:t>
      </w:r>
      <w:r w:rsidRPr="0058380F">
        <w:rPr>
          <w:rFonts w:asciiTheme="minorBidi" w:hAnsiTheme="minorBidi"/>
          <w:sz w:val="24"/>
          <w:szCs w:val="24"/>
        </w:rPr>
        <w:t>ation's success.</w:t>
      </w:r>
    </w:p>
    <w:p w14:paraId="47D16B58" w14:textId="43D968E0" w:rsidR="00DD0E81" w:rsidRPr="0058380F" w:rsidRDefault="00DD0E81" w:rsidP="003757E2">
      <w:pPr>
        <w:rPr>
          <w:rFonts w:asciiTheme="minorBidi" w:hAnsiTheme="minorBidi"/>
          <w:sz w:val="24"/>
          <w:szCs w:val="24"/>
        </w:rPr>
      </w:pPr>
      <w:r w:rsidRPr="0058380F">
        <w:rPr>
          <w:rFonts w:asciiTheme="minorBidi" w:hAnsiTheme="minorBidi"/>
          <w:sz w:val="24"/>
          <w:szCs w:val="24"/>
        </w:rPr>
        <w:lastRenderedPageBreak/>
        <w:t>Talent Management and Organizational Performance:</w:t>
      </w:r>
    </w:p>
    <w:p w14:paraId="2779C6D1" w14:textId="018A7723" w:rsidR="00DD0E81" w:rsidRPr="0058380F" w:rsidRDefault="00DD0E81" w:rsidP="003757E2">
      <w:pPr>
        <w:rPr>
          <w:rFonts w:asciiTheme="minorBidi" w:hAnsiTheme="minorBidi"/>
          <w:sz w:val="24"/>
          <w:szCs w:val="24"/>
        </w:rPr>
      </w:pPr>
      <w:r w:rsidRPr="0058380F">
        <w:rPr>
          <w:rFonts w:asciiTheme="minorBidi" w:hAnsiTheme="minorBidi"/>
          <w:sz w:val="24"/>
          <w:szCs w:val="24"/>
        </w:rPr>
        <w:t>Effective talent management, a key component of people practice, directly impacts organizational performance</w:t>
      </w:r>
      <w:r w:rsidR="003757E2" w:rsidRPr="0058380F">
        <w:rPr>
          <w:rFonts w:asciiTheme="minorBidi" w:hAnsiTheme="minorBidi"/>
          <w:sz w:val="24"/>
          <w:szCs w:val="24"/>
        </w:rPr>
        <w:t xml:space="preserve"> Fitz-enz, (2000).</w:t>
      </w:r>
      <w:r w:rsidRPr="0058380F">
        <w:rPr>
          <w:rFonts w:asciiTheme="minorBidi" w:hAnsiTheme="minorBidi"/>
          <w:sz w:val="24"/>
          <w:szCs w:val="24"/>
        </w:rPr>
        <w:t xml:space="preserve"> By attracting, developing, and retaining top talent, HR contributes to increased productivity, innovation, and overall business success. The strategic management of human capital enhances the organi</w:t>
      </w:r>
      <w:r w:rsidR="003757E2" w:rsidRPr="0058380F">
        <w:rPr>
          <w:rFonts w:asciiTheme="minorBidi" w:hAnsiTheme="minorBidi"/>
          <w:sz w:val="24"/>
          <w:szCs w:val="24"/>
        </w:rPr>
        <w:t>s</w:t>
      </w:r>
      <w:r w:rsidRPr="0058380F">
        <w:rPr>
          <w:rFonts w:asciiTheme="minorBidi" w:hAnsiTheme="minorBidi"/>
          <w:sz w:val="24"/>
          <w:szCs w:val="24"/>
        </w:rPr>
        <w:t>ation's competitive advantage.</w:t>
      </w:r>
    </w:p>
    <w:p w14:paraId="16392354" w14:textId="2F700924" w:rsidR="00DD0E81" w:rsidRPr="0058380F" w:rsidRDefault="00DD0E81" w:rsidP="003757E2">
      <w:pPr>
        <w:rPr>
          <w:rFonts w:asciiTheme="minorBidi" w:hAnsiTheme="minorBidi"/>
          <w:sz w:val="24"/>
          <w:szCs w:val="24"/>
        </w:rPr>
      </w:pPr>
      <w:r w:rsidRPr="0058380F">
        <w:rPr>
          <w:rFonts w:asciiTheme="minorBidi" w:hAnsiTheme="minorBidi"/>
          <w:sz w:val="24"/>
          <w:szCs w:val="24"/>
        </w:rPr>
        <w:t>Employee Engagement and Productivity:</w:t>
      </w:r>
    </w:p>
    <w:p w14:paraId="290D1D3E" w14:textId="0F1B45F3" w:rsidR="00DD0E81" w:rsidRPr="0058380F" w:rsidRDefault="00DD0E81" w:rsidP="00DD0E81">
      <w:pPr>
        <w:rPr>
          <w:rFonts w:asciiTheme="minorBidi" w:hAnsiTheme="minorBidi"/>
          <w:sz w:val="24"/>
          <w:szCs w:val="24"/>
        </w:rPr>
      </w:pPr>
      <w:r w:rsidRPr="0058380F">
        <w:rPr>
          <w:rFonts w:asciiTheme="minorBidi" w:hAnsiTheme="minorBidi"/>
          <w:sz w:val="24"/>
          <w:szCs w:val="24"/>
        </w:rPr>
        <w:t>People practices, particularly those related to employee engagement, positively influence workforce productivity</w:t>
      </w:r>
      <w:r w:rsidR="003757E2" w:rsidRPr="0058380F">
        <w:rPr>
          <w:rFonts w:asciiTheme="minorBidi" w:hAnsiTheme="minorBidi"/>
          <w:sz w:val="24"/>
          <w:szCs w:val="24"/>
        </w:rPr>
        <w:t xml:space="preserve"> Harter et al, (2002)</w:t>
      </w:r>
      <w:r w:rsidRPr="0058380F">
        <w:rPr>
          <w:rFonts w:asciiTheme="minorBidi" w:hAnsiTheme="minorBidi"/>
          <w:sz w:val="24"/>
          <w:szCs w:val="24"/>
        </w:rPr>
        <w:t>. Engaged employees are more likely to be committed, motivated, and productive, directly impacting the achievement of organi</w:t>
      </w:r>
      <w:r w:rsidR="003757E2" w:rsidRPr="0058380F">
        <w:rPr>
          <w:rFonts w:asciiTheme="minorBidi" w:hAnsiTheme="minorBidi"/>
          <w:sz w:val="24"/>
          <w:szCs w:val="24"/>
        </w:rPr>
        <w:t>s</w:t>
      </w:r>
      <w:r w:rsidRPr="0058380F">
        <w:rPr>
          <w:rFonts w:asciiTheme="minorBidi" w:hAnsiTheme="minorBidi"/>
          <w:sz w:val="24"/>
          <w:szCs w:val="24"/>
        </w:rPr>
        <w:t>ational objectives. HR plays a crucial role in fostering a positive work environment that enhances employee engagement.</w:t>
      </w:r>
    </w:p>
    <w:p w14:paraId="10FB39EC" w14:textId="00384895" w:rsidR="00DD0E81" w:rsidRPr="0058380F" w:rsidRDefault="00DD0E81" w:rsidP="003757E2">
      <w:pPr>
        <w:rPr>
          <w:rFonts w:asciiTheme="minorBidi" w:hAnsiTheme="minorBidi"/>
          <w:sz w:val="24"/>
          <w:szCs w:val="24"/>
        </w:rPr>
      </w:pPr>
      <w:r w:rsidRPr="0058380F">
        <w:rPr>
          <w:rFonts w:asciiTheme="minorBidi" w:hAnsiTheme="minorBidi"/>
          <w:sz w:val="24"/>
          <w:szCs w:val="24"/>
        </w:rPr>
        <w:t>Organizational Culture and Performance:</w:t>
      </w:r>
    </w:p>
    <w:p w14:paraId="10E9C3AA" w14:textId="54A430A0" w:rsidR="00DD0E81" w:rsidRPr="0058380F" w:rsidRDefault="00DD0E81" w:rsidP="00DD0E81">
      <w:pPr>
        <w:rPr>
          <w:rFonts w:asciiTheme="minorBidi" w:hAnsiTheme="minorBidi"/>
          <w:sz w:val="24"/>
          <w:szCs w:val="24"/>
        </w:rPr>
      </w:pPr>
      <w:r w:rsidRPr="0058380F">
        <w:rPr>
          <w:rFonts w:asciiTheme="minorBidi" w:hAnsiTheme="minorBidi"/>
          <w:sz w:val="24"/>
          <w:szCs w:val="24"/>
        </w:rPr>
        <w:t>People practice contributes to shaping and maintaining organizational culture</w:t>
      </w:r>
      <w:r w:rsidR="003757E2" w:rsidRPr="0058380F">
        <w:rPr>
          <w:rFonts w:asciiTheme="minorBidi" w:hAnsiTheme="minorBidi"/>
          <w:sz w:val="24"/>
          <w:szCs w:val="24"/>
        </w:rPr>
        <w:t>, Mishra (1995)</w:t>
      </w:r>
      <w:r w:rsidRPr="0058380F">
        <w:rPr>
          <w:rFonts w:asciiTheme="minorBidi" w:hAnsiTheme="minorBidi"/>
          <w:sz w:val="24"/>
          <w:szCs w:val="24"/>
        </w:rPr>
        <w:t>. A positive and aligned culture supports organi</w:t>
      </w:r>
      <w:r w:rsidR="003757E2" w:rsidRPr="0058380F">
        <w:rPr>
          <w:rFonts w:asciiTheme="minorBidi" w:hAnsiTheme="minorBidi"/>
          <w:sz w:val="24"/>
          <w:szCs w:val="24"/>
        </w:rPr>
        <w:t>s</w:t>
      </w:r>
      <w:r w:rsidRPr="0058380F">
        <w:rPr>
          <w:rFonts w:asciiTheme="minorBidi" w:hAnsiTheme="minorBidi"/>
          <w:sz w:val="24"/>
          <w:szCs w:val="24"/>
        </w:rPr>
        <w:t>ational strategies by influencing how employees approach their work and interact with each other. HR initiatives that reinforce desired cultural attributes are vital for organizational success.</w:t>
      </w:r>
    </w:p>
    <w:p w14:paraId="0E552030" w14:textId="29E9AFAB" w:rsidR="00DD0E81" w:rsidRPr="0058380F" w:rsidRDefault="00DD0E81" w:rsidP="003757E2">
      <w:pPr>
        <w:rPr>
          <w:rFonts w:asciiTheme="minorBidi" w:hAnsiTheme="minorBidi"/>
          <w:sz w:val="24"/>
          <w:szCs w:val="24"/>
        </w:rPr>
      </w:pPr>
      <w:r w:rsidRPr="0058380F">
        <w:rPr>
          <w:rFonts w:asciiTheme="minorBidi" w:hAnsiTheme="minorBidi"/>
          <w:sz w:val="24"/>
          <w:szCs w:val="24"/>
        </w:rPr>
        <w:t>Change Management and Adaptability:</w:t>
      </w:r>
    </w:p>
    <w:p w14:paraId="72C083F0" w14:textId="56F39701" w:rsidR="00DD0E81" w:rsidRPr="0058380F" w:rsidRDefault="00DD0E81" w:rsidP="00DD0E81">
      <w:pPr>
        <w:rPr>
          <w:rFonts w:asciiTheme="minorBidi" w:hAnsiTheme="minorBidi"/>
          <w:sz w:val="24"/>
          <w:szCs w:val="24"/>
        </w:rPr>
      </w:pPr>
      <w:r w:rsidRPr="0058380F">
        <w:rPr>
          <w:rFonts w:asciiTheme="minorBidi" w:hAnsiTheme="minorBidi"/>
          <w:sz w:val="24"/>
          <w:szCs w:val="24"/>
        </w:rPr>
        <w:t>In times of change, effective change management is critical</w:t>
      </w:r>
      <w:r w:rsidR="003757E2" w:rsidRPr="0058380F">
        <w:rPr>
          <w:rFonts w:asciiTheme="minorBidi" w:hAnsiTheme="minorBidi"/>
          <w:sz w:val="24"/>
          <w:szCs w:val="24"/>
        </w:rPr>
        <w:t>, Kotter (1995)</w:t>
      </w:r>
      <w:r w:rsidRPr="0058380F">
        <w:rPr>
          <w:rFonts w:asciiTheme="minorBidi" w:hAnsiTheme="minorBidi"/>
          <w:sz w:val="24"/>
          <w:szCs w:val="24"/>
        </w:rPr>
        <w:t>. People practice roles, such as organi</w:t>
      </w:r>
      <w:r w:rsidR="003757E2" w:rsidRPr="0058380F">
        <w:rPr>
          <w:rFonts w:asciiTheme="minorBidi" w:hAnsiTheme="minorBidi"/>
          <w:sz w:val="24"/>
          <w:szCs w:val="24"/>
        </w:rPr>
        <w:t>s</w:t>
      </w:r>
      <w:r w:rsidRPr="0058380F">
        <w:rPr>
          <w:rFonts w:asciiTheme="minorBidi" w:hAnsiTheme="minorBidi"/>
          <w:sz w:val="24"/>
          <w:szCs w:val="24"/>
        </w:rPr>
        <w:t>ational development and employee relations, support wider organi</w:t>
      </w:r>
      <w:r w:rsidR="003757E2" w:rsidRPr="0058380F">
        <w:rPr>
          <w:rFonts w:asciiTheme="minorBidi" w:hAnsiTheme="minorBidi"/>
          <w:sz w:val="24"/>
          <w:szCs w:val="24"/>
        </w:rPr>
        <w:t>s</w:t>
      </w:r>
      <w:r w:rsidRPr="0058380F">
        <w:rPr>
          <w:rFonts w:asciiTheme="minorBidi" w:hAnsiTheme="minorBidi"/>
          <w:sz w:val="24"/>
          <w:szCs w:val="24"/>
        </w:rPr>
        <w:t>ational strategies by facilitating smooth transitions, minimizing resistance, and fostering adaptability to change.</w:t>
      </w:r>
    </w:p>
    <w:p w14:paraId="50C66D1F" w14:textId="3B485398" w:rsidR="008B03AE" w:rsidRPr="0058380F" w:rsidRDefault="003757E2" w:rsidP="00DD0E81">
      <w:pPr>
        <w:rPr>
          <w:rFonts w:asciiTheme="minorBidi" w:hAnsiTheme="minorBidi"/>
          <w:sz w:val="24"/>
          <w:szCs w:val="24"/>
        </w:rPr>
      </w:pPr>
      <w:r w:rsidRPr="0058380F">
        <w:rPr>
          <w:rFonts w:asciiTheme="minorBidi" w:hAnsiTheme="minorBidi"/>
          <w:sz w:val="24"/>
          <w:szCs w:val="24"/>
        </w:rPr>
        <w:t>What can be seen is</w:t>
      </w:r>
      <w:r w:rsidR="00DD0E81" w:rsidRPr="0058380F">
        <w:rPr>
          <w:rFonts w:asciiTheme="minorBidi" w:hAnsiTheme="minorBidi"/>
          <w:sz w:val="24"/>
          <w:szCs w:val="24"/>
        </w:rPr>
        <w:t xml:space="preserve"> people practice is not an isolated function but an integral part of the organi</w:t>
      </w:r>
      <w:r w:rsidRPr="0058380F">
        <w:rPr>
          <w:rFonts w:asciiTheme="minorBidi" w:hAnsiTheme="minorBidi"/>
          <w:sz w:val="24"/>
          <w:szCs w:val="24"/>
        </w:rPr>
        <w:t>s</w:t>
      </w:r>
      <w:r w:rsidR="00DD0E81" w:rsidRPr="0058380F">
        <w:rPr>
          <w:rFonts w:asciiTheme="minorBidi" w:hAnsiTheme="minorBidi"/>
          <w:sz w:val="24"/>
          <w:szCs w:val="24"/>
        </w:rPr>
        <w:t>ational ecosystem</w:t>
      </w:r>
      <w:r w:rsidRPr="0058380F">
        <w:rPr>
          <w:rFonts w:asciiTheme="minorBidi" w:hAnsiTheme="minorBidi"/>
          <w:sz w:val="24"/>
          <w:szCs w:val="24"/>
        </w:rPr>
        <w:t xml:space="preserve"> CIPD (2023)</w:t>
      </w:r>
      <w:r w:rsidR="00DD0E81" w:rsidRPr="0058380F">
        <w:rPr>
          <w:rFonts w:asciiTheme="minorBidi" w:hAnsiTheme="minorBidi"/>
          <w:sz w:val="24"/>
          <w:szCs w:val="24"/>
        </w:rPr>
        <w:t>. Its strategic alignment, talent management, focus on employee engagement, influence on culture, and role in change management all contribute to supporting wider people and organi</w:t>
      </w:r>
      <w:r w:rsidRPr="0058380F">
        <w:rPr>
          <w:rFonts w:asciiTheme="minorBidi" w:hAnsiTheme="minorBidi"/>
          <w:sz w:val="24"/>
          <w:szCs w:val="24"/>
        </w:rPr>
        <w:t>s</w:t>
      </w:r>
      <w:r w:rsidR="00DD0E81" w:rsidRPr="0058380F">
        <w:rPr>
          <w:rFonts w:asciiTheme="minorBidi" w:hAnsiTheme="minorBidi"/>
          <w:sz w:val="24"/>
          <w:szCs w:val="24"/>
        </w:rPr>
        <w:t>ational strategies, ensuring sustained success and competitiveness.</w:t>
      </w:r>
    </w:p>
    <w:p w14:paraId="251F28EA" w14:textId="6755104E" w:rsidR="008B03AE" w:rsidRPr="0058380F" w:rsidRDefault="008B03AE" w:rsidP="008B03AE">
      <w:pPr>
        <w:rPr>
          <w:rFonts w:asciiTheme="minorBidi" w:hAnsiTheme="minorBidi"/>
          <w:sz w:val="24"/>
          <w:szCs w:val="24"/>
        </w:rPr>
      </w:pPr>
      <w:r w:rsidRPr="0058380F">
        <w:rPr>
          <w:rFonts w:asciiTheme="minorBidi" w:hAnsiTheme="minorBidi"/>
          <w:sz w:val="24"/>
          <w:szCs w:val="24"/>
        </w:rPr>
        <w:t>12.</w:t>
      </w:r>
      <w:r w:rsidRPr="0058380F">
        <w:rPr>
          <w:rFonts w:asciiTheme="minorBidi" w:hAnsiTheme="minorBidi"/>
          <w:sz w:val="24"/>
          <w:szCs w:val="24"/>
        </w:rPr>
        <w:tab/>
      </w:r>
      <w:r w:rsidRPr="0058380F">
        <w:rPr>
          <w:rFonts w:asciiTheme="minorBidi" w:hAnsiTheme="minorBidi"/>
          <w:b/>
          <w:bCs/>
          <w:i/>
          <w:iCs/>
          <w:sz w:val="24"/>
          <w:szCs w:val="24"/>
        </w:rPr>
        <w:t>Discuss processes you have, or could use, for consulting and engaging with internal customers of the people function in order to understand their needs. (AC 3.3)</w:t>
      </w:r>
    </w:p>
    <w:p w14:paraId="13DD71BE" w14:textId="64872D5E" w:rsidR="00DD0E81" w:rsidRPr="0058380F" w:rsidRDefault="00DD0E81" w:rsidP="00DD0E81">
      <w:pPr>
        <w:rPr>
          <w:rFonts w:asciiTheme="minorBidi" w:hAnsiTheme="minorBidi"/>
          <w:sz w:val="24"/>
          <w:szCs w:val="24"/>
        </w:rPr>
      </w:pPr>
      <w:r w:rsidRPr="0058380F">
        <w:rPr>
          <w:rFonts w:asciiTheme="minorBidi" w:hAnsiTheme="minorBidi"/>
          <w:sz w:val="24"/>
          <w:szCs w:val="24"/>
        </w:rPr>
        <w:t>Effectively consulting and engaging with internal customers within the people function is crucial for understanding their needs and tailoring HR initiatives to meet organi</w:t>
      </w:r>
      <w:r w:rsidR="003757E2" w:rsidRPr="0058380F">
        <w:rPr>
          <w:rFonts w:asciiTheme="minorBidi" w:hAnsiTheme="minorBidi"/>
          <w:sz w:val="24"/>
          <w:szCs w:val="24"/>
        </w:rPr>
        <w:t>s</w:t>
      </w:r>
      <w:r w:rsidRPr="0058380F">
        <w:rPr>
          <w:rFonts w:asciiTheme="minorBidi" w:hAnsiTheme="minorBidi"/>
          <w:sz w:val="24"/>
          <w:szCs w:val="24"/>
        </w:rPr>
        <w:t>ational goals. Here are</w:t>
      </w:r>
      <w:r w:rsidR="003757E2" w:rsidRPr="0058380F">
        <w:rPr>
          <w:rFonts w:asciiTheme="minorBidi" w:hAnsiTheme="minorBidi"/>
          <w:sz w:val="24"/>
          <w:szCs w:val="24"/>
        </w:rPr>
        <w:t xml:space="preserve"> some </w:t>
      </w:r>
      <w:r w:rsidRPr="0058380F">
        <w:rPr>
          <w:rFonts w:asciiTheme="minorBidi" w:hAnsiTheme="minorBidi"/>
          <w:sz w:val="24"/>
          <w:szCs w:val="24"/>
        </w:rPr>
        <w:t xml:space="preserve"> key processes that can be employed:</w:t>
      </w:r>
    </w:p>
    <w:p w14:paraId="79DF158E"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Stakeholder Surveys and Feedback Mechanisms:</w:t>
      </w:r>
    </w:p>
    <w:p w14:paraId="6AF9F9E8" w14:textId="4F12FD1E" w:rsidR="00DD0E81" w:rsidRPr="0058380F" w:rsidRDefault="00DD0E81" w:rsidP="00DD0E81">
      <w:pPr>
        <w:rPr>
          <w:rFonts w:asciiTheme="minorBidi" w:hAnsiTheme="minorBidi"/>
          <w:sz w:val="24"/>
          <w:szCs w:val="24"/>
        </w:rPr>
      </w:pPr>
      <w:r w:rsidRPr="0058380F">
        <w:rPr>
          <w:rFonts w:asciiTheme="minorBidi" w:hAnsiTheme="minorBidi"/>
          <w:sz w:val="24"/>
          <w:szCs w:val="24"/>
        </w:rPr>
        <w:t>Conducting regular surveys and feedback sessions with internal customers helps gather valuable insights into their experiences and expectations</w:t>
      </w:r>
      <w:r w:rsidR="003757E2" w:rsidRPr="0058380F">
        <w:rPr>
          <w:rFonts w:asciiTheme="minorBidi" w:hAnsiTheme="minorBidi"/>
          <w:sz w:val="24"/>
          <w:szCs w:val="24"/>
        </w:rPr>
        <w:t>, Cummings (2014)</w:t>
      </w:r>
      <w:r w:rsidRPr="0058380F">
        <w:rPr>
          <w:rFonts w:asciiTheme="minorBidi" w:hAnsiTheme="minorBidi"/>
          <w:sz w:val="24"/>
          <w:szCs w:val="24"/>
        </w:rPr>
        <w:t xml:space="preserve">. </w:t>
      </w:r>
      <w:r w:rsidRPr="0058380F">
        <w:rPr>
          <w:rFonts w:asciiTheme="minorBidi" w:hAnsiTheme="minorBidi"/>
          <w:sz w:val="24"/>
          <w:szCs w:val="24"/>
        </w:rPr>
        <w:lastRenderedPageBreak/>
        <w:t>Use well-designed questionnaires to assess satisfaction levels, identify pain points, and collect suggestions for improvement. This process ensures that HR initiatives are aligned with the needs and preferences of the workforce.</w:t>
      </w:r>
    </w:p>
    <w:p w14:paraId="602A6FBA"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Focus Groups and Workshops:</w:t>
      </w:r>
    </w:p>
    <w:p w14:paraId="76D0665E" w14:textId="2972BC86" w:rsidR="00DD0E81" w:rsidRPr="0058380F" w:rsidRDefault="00DD0E81" w:rsidP="00DD0E81">
      <w:pPr>
        <w:rPr>
          <w:rFonts w:asciiTheme="minorBidi" w:hAnsiTheme="minorBidi"/>
          <w:sz w:val="24"/>
          <w:szCs w:val="24"/>
        </w:rPr>
      </w:pPr>
      <w:r w:rsidRPr="0058380F">
        <w:rPr>
          <w:rFonts w:asciiTheme="minorBidi" w:hAnsiTheme="minorBidi"/>
          <w:sz w:val="24"/>
          <w:szCs w:val="24"/>
        </w:rPr>
        <w:t>Hosting focus groups and workshops provides a platform for in-depth discussions. Engaging internal customers in these sessions fosters open dialogue, allowing HR professionals to gain qualitative insights into specific challenges, concerns, and aspirations</w:t>
      </w:r>
      <w:r w:rsidR="003757E2" w:rsidRPr="0058380F">
        <w:rPr>
          <w:rFonts w:asciiTheme="minorBidi" w:hAnsiTheme="minorBidi"/>
          <w:sz w:val="24"/>
          <w:szCs w:val="24"/>
        </w:rPr>
        <w:t>, Krueger (2009)</w:t>
      </w:r>
      <w:r w:rsidRPr="0058380F">
        <w:rPr>
          <w:rFonts w:asciiTheme="minorBidi" w:hAnsiTheme="minorBidi"/>
          <w:sz w:val="24"/>
          <w:szCs w:val="24"/>
        </w:rPr>
        <w:t>. It also builds a collaborative environment where employees feel their input is valued.</w:t>
      </w:r>
    </w:p>
    <w:p w14:paraId="3731ED4E" w14:textId="77777777" w:rsidR="00DD0E81" w:rsidRPr="0058380F" w:rsidRDefault="00DD0E81" w:rsidP="00DD0E81">
      <w:pPr>
        <w:rPr>
          <w:rFonts w:asciiTheme="minorBidi" w:hAnsiTheme="minorBidi"/>
          <w:sz w:val="24"/>
          <w:szCs w:val="24"/>
        </w:rPr>
      </w:pPr>
      <w:r w:rsidRPr="0058380F">
        <w:rPr>
          <w:rFonts w:asciiTheme="minorBidi" w:hAnsiTheme="minorBidi"/>
          <w:sz w:val="24"/>
          <w:szCs w:val="24"/>
        </w:rPr>
        <w:t>One-on-One Interviews:</w:t>
      </w:r>
    </w:p>
    <w:p w14:paraId="440BD762" w14:textId="6D499B54" w:rsidR="00DD0E81" w:rsidRPr="0058380F" w:rsidRDefault="00DD0E81" w:rsidP="00DD0E81">
      <w:pPr>
        <w:rPr>
          <w:rFonts w:asciiTheme="minorBidi" w:hAnsiTheme="minorBidi"/>
          <w:sz w:val="24"/>
          <w:szCs w:val="24"/>
        </w:rPr>
      </w:pPr>
      <w:r w:rsidRPr="0058380F">
        <w:rPr>
          <w:rFonts w:asciiTheme="minorBidi" w:hAnsiTheme="minorBidi"/>
          <w:sz w:val="24"/>
          <w:szCs w:val="24"/>
        </w:rPr>
        <w:t>Conducting one-on-one interviews with key stakeholders offers a personalized approach to understanding individual perspectives. These interviews can unveil nuanced insights that might not surface in group settings</w:t>
      </w:r>
      <w:r w:rsidR="003757E2" w:rsidRPr="0058380F">
        <w:rPr>
          <w:rFonts w:asciiTheme="minorBidi" w:hAnsiTheme="minorBidi"/>
          <w:sz w:val="24"/>
          <w:szCs w:val="24"/>
        </w:rPr>
        <w:t>, Rubin, (2011)</w:t>
      </w:r>
      <w:r w:rsidRPr="0058380F">
        <w:rPr>
          <w:rFonts w:asciiTheme="minorBidi" w:hAnsiTheme="minorBidi"/>
          <w:sz w:val="24"/>
          <w:szCs w:val="24"/>
        </w:rPr>
        <w:t>. It allows HR professionals to tailor solutions to the unique needs of different departments or roles.</w:t>
      </w:r>
    </w:p>
    <w:p w14:paraId="6F1FD6EE" w14:textId="0E847950" w:rsidR="00DD0E81" w:rsidRPr="0058380F" w:rsidRDefault="00DD0E81" w:rsidP="003757E2">
      <w:pPr>
        <w:rPr>
          <w:rFonts w:asciiTheme="minorBidi" w:hAnsiTheme="minorBidi"/>
          <w:sz w:val="24"/>
          <w:szCs w:val="24"/>
        </w:rPr>
      </w:pPr>
      <w:r w:rsidRPr="0058380F">
        <w:rPr>
          <w:rFonts w:asciiTheme="minorBidi" w:hAnsiTheme="minorBidi"/>
          <w:sz w:val="24"/>
          <w:szCs w:val="24"/>
        </w:rPr>
        <w:t>Cross-Functional Task Forces:</w:t>
      </w:r>
    </w:p>
    <w:p w14:paraId="3385527C" w14:textId="6656BECF" w:rsidR="00DD0E81" w:rsidRPr="0058380F" w:rsidRDefault="00DD0E81" w:rsidP="00DD0E81">
      <w:pPr>
        <w:rPr>
          <w:rFonts w:asciiTheme="minorBidi" w:hAnsiTheme="minorBidi"/>
          <w:sz w:val="24"/>
          <w:szCs w:val="24"/>
        </w:rPr>
      </w:pPr>
      <w:r w:rsidRPr="0058380F">
        <w:rPr>
          <w:rFonts w:asciiTheme="minorBidi" w:hAnsiTheme="minorBidi"/>
          <w:sz w:val="24"/>
          <w:szCs w:val="24"/>
        </w:rPr>
        <w:t>Forming cross-functional task forces involving representatives from different departments encourages collaboration and diversity of thought</w:t>
      </w:r>
      <w:r w:rsidR="003757E2" w:rsidRPr="0058380F">
        <w:rPr>
          <w:rFonts w:asciiTheme="minorBidi" w:hAnsiTheme="minorBidi"/>
          <w:sz w:val="24"/>
          <w:szCs w:val="24"/>
        </w:rPr>
        <w:t>, Wellins (2019)</w:t>
      </w:r>
      <w:r w:rsidRPr="0058380F">
        <w:rPr>
          <w:rFonts w:asciiTheme="minorBidi" w:hAnsiTheme="minorBidi"/>
          <w:sz w:val="24"/>
          <w:szCs w:val="24"/>
        </w:rPr>
        <w:t>. These teams can work together on specific projects, providing direct input into HR initiatives and ensuring that solutions are comprehensive and well-received across the organi</w:t>
      </w:r>
      <w:r w:rsidR="0058380F" w:rsidRPr="0058380F">
        <w:rPr>
          <w:rFonts w:asciiTheme="minorBidi" w:hAnsiTheme="minorBidi"/>
          <w:sz w:val="24"/>
          <w:szCs w:val="24"/>
        </w:rPr>
        <w:t>s</w:t>
      </w:r>
      <w:r w:rsidRPr="0058380F">
        <w:rPr>
          <w:rFonts w:asciiTheme="minorBidi" w:hAnsiTheme="minorBidi"/>
          <w:sz w:val="24"/>
          <w:szCs w:val="24"/>
        </w:rPr>
        <w:t>ation.</w:t>
      </w:r>
    </w:p>
    <w:p w14:paraId="10EE7278" w14:textId="399CCCAB" w:rsidR="00DD0E81" w:rsidRPr="0058380F" w:rsidRDefault="00DD0E81" w:rsidP="0058380F">
      <w:pPr>
        <w:rPr>
          <w:rFonts w:asciiTheme="minorBidi" w:hAnsiTheme="minorBidi"/>
          <w:sz w:val="24"/>
          <w:szCs w:val="24"/>
        </w:rPr>
      </w:pPr>
      <w:r w:rsidRPr="0058380F">
        <w:rPr>
          <w:rFonts w:asciiTheme="minorBidi" w:hAnsiTheme="minorBidi"/>
          <w:sz w:val="24"/>
          <w:szCs w:val="24"/>
        </w:rPr>
        <w:t>Regular Check-Ins and Relationship Building:</w:t>
      </w:r>
    </w:p>
    <w:p w14:paraId="26AA2D74" w14:textId="6A7756E6" w:rsidR="00DD0E81" w:rsidRPr="0058380F" w:rsidRDefault="00DD0E81" w:rsidP="00DD0E81">
      <w:pPr>
        <w:rPr>
          <w:rFonts w:asciiTheme="minorBidi" w:hAnsiTheme="minorBidi"/>
          <w:sz w:val="24"/>
          <w:szCs w:val="24"/>
        </w:rPr>
      </w:pPr>
      <w:r w:rsidRPr="0058380F">
        <w:rPr>
          <w:rFonts w:asciiTheme="minorBidi" w:hAnsiTheme="minorBidi"/>
          <w:sz w:val="24"/>
          <w:szCs w:val="24"/>
        </w:rPr>
        <w:t>Establishing regular check-ins with department heads and key personnel builds ongoing relationships</w:t>
      </w:r>
      <w:r w:rsidR="0058380F" w:rsidRPr="0058380F">
        <w:rPr>
          <w:rFonts w:asciiTheme="minorBidi" w:hAnsiTheme="minorBidi"/>
          <w:sz w:val="24"/>
          <w:szCs w:val="24"/>
        </w:rPr>
        <w:t>, Goffee (2006)</w:t>
      </w:r>
      <w:r w:rsidRPr="0058380F">
        <w:rPr>
          <w:rFonts w:asciiTheme="minorBidi" w:hAnsiTheme="minorBidi"/>
          <w:sz w:val="24"/>
          <w:szCs w:val="24"/>
        </w:rPr>
        <w:t>. By maintaining open lines of communication, HR professionals can stay informed about evolving needs, address concerns proactively, and foster a culture of trust and partnership.</w:t>
      </w:r>
    </w:p>
    <w:p w14:paraId="03F1849B" w14:textId="20947C52" w:rsidR="00012729" w:rsidRDefault="00DD0E81" w:rsidP="00DD0E81">
      <w:pPr>
        <w:rPr>
          <w:rFonts w:asciiTheme="minorBidi" w:hAnsiTheme="minorBidi"/>
          <w:sz w:val="24"/>
          <w:szCs w:val="24"/>
        </w:rPr>
      </w:pPr>
      <w:r w:rsidRPr="0058380F">
        <w:rPr>
          <w:rFonts w:asciiTheme="minorBidi" w:hAnsiTheme="minorBidi"/>
          <w:sz w:val="24"/>
          <w:szCs w:val="24"/>
        </w:rPr>
        <w:t>These processes should be viewed as continuous and adaptive, reflecting the dynamic nature of organi</w:t>
      </w:r>
      <w:r w:rsidR="0058380F" w:rsidRPr="0058380F">
        <w:rPr>
          <w:rFonts w:asciiTheme="minorBidi" w:hAnsiTheme="minorBidi"/>
          <w:sz w:val="24"/>
          <w:szCs w:val="24"/>
        </w:rPr>
        <w:t>s</w:t>
      </w:r>
      <w:r w:rsidRPr="0058380F">
        <w:rPr>
          <w:rFonts w:asciiTheme="minorBidi" w:hAnsiTheme="minorBidi"/>
          <w:sz w:val="24"/>
          <w:szCs w:val="24"/>
        </w:rPr>
        <w:t>ational needs. By employing a combination of quantitative and qualitative methods, HR professionals can gain a comprehensive understanding of internal customer needs and develop strategies that contribute to overall organi</w:t>
      </w:r>
      <w:r w:rsidR="0058380F" w:rsidRPr="0058380F">
        <w:rPr>
          <w:rFonts w:asciiTheme="minorBidi" w:hAnsiTheme="minorBidi"/>
          <w:sz w:val="24"/>
          <w:szCs w:val="24"/>
        </w:rPr>
        <w:t>s</w:t>
      </w:r>
      <w:r w:rsidRPr="0058380F">
        <w:rPr>
          <w:rFonts w:asciiTheme="minorBidi" w:hAnsiTheme="minorBidi"/>
          <w:sz w:val="24"/>
          <w:szCs w:val="24"/>
        </w:rPr>
        <w:t>ational success.</w:t>
      </w:r>
    </w:p>
    <w:p w14:paraId="2A1A04BC" w14:textId="77777777" w:rsidR="005709AA" w:rsidRDefault="005709AA" w:rsidP="00DD0E81">
      <w:pPr>
        <w:rPr>
          <w:rFonts w:asciiTheme="minorBidi" w:hAnsiTheme="minorBidi"/>
          <w:sz w:val="24"/>
          <w:szCs w:val="24"/>
        </w:rPr>
      </w:pPr>
    </w:p>
    <w:p w14:paraId="49F19F6E" w14:textId="77777777" w:rsidR="005709AA" w:rsidRDefault="005709AA" w:rsidP="00DD0E81">
      <w:pPr>
        <w:rPr>
          <w:rFonts w:asciiTheme="minorBidi" w:hAnsiTheme="minorBidi"/>
          <w:sz w:val="24"/>
          <w:szCs w:val="24"/>
        </w:rPr>
      </w:pPr>
    </w:p>
    <w:p w14:paraId="5FC41694" w14:textId="77777777" w:rsidR="005709AA" w:rsidRPr="0058380F" w:rsidRDefault="005709AA" w:rsidP="00DD0E81">
      <w:pPr>
        <w:rPr>
          <w:rFonts w:asciiTheme="minorBidi" w:hAnsiTheme="minorBidi"/>
          <w:sz w:val="24"/>
          <w:szCs w:val="24"/>
        </w:rPr>
      </w:pPr>
    </w:p>
    <w:p w14:paraId="3060A359" w14:textId="77777777" w:rsidR="00012729" w:rsidRPr="0058380F" w:rsidRDefault="00012729" w:rsidP="00B51C68">
      <w:pPr>
        <w:jc w:val="center"/>
        <w:rPr>
          <w:rFonts w:asciiTheme="minorBidi" w:hAnsiTheme="minorBidi"/>
          <w:sz w:val="24"/>
          <w:szCs w:val="24"/>
        </w:rPr>
      </w:pPr>
    </w:p>
    <w:p w14:paraId="0A580099" w14:textId="77777777" w:rsidR="00AC5C66" w:rsidRDefault="00AC5C66" w:rsidP="005709AA">
      <w:pPr>
        <w:rPr>
          <w:rFonts w:asciiTheme="minorBidi" w:hAnsiTheme="minorBidi"/>
          <w:sz w:val="24"/>
          <w:szCs w:val="24"/>
        </w:rPr>
      </w:pPr>
    </w:p>
    <w:p w14:paraId="28EABE8B" w14:textId="7DE5CD7C" w:rsidR="00804524" w:rsidRPr="0058380F" w:rsidRDefault="00804524" w:rsidP="00D1503E">
      <w:pPr>
        <w:jc w:val="both"/>
        <w:rPr>
          <w:rFonts w:asciiTheme="minorBidi" w:hAnsiTheme="minorBidi"/>
          <w:sz w:val="24"/>
          <w:szCs w:val="24"/>
        </w:rPr>
      </w:pPr>
      <w:r w:rsidRPr="0058380F">
        <w:rPr>
          <w:rFonts w:asciiTheme="minorBidi" w:hAnsiTheme="minorBidi"/>
          <w:sz w:val="24"/>
          <w:szCs w:val="24"/>
        </w:rPr>
        <w:lastRenderedPageBreak/>
        <w:t>References:</w:t>
      </w:r>
    </w:p>
    <w:p w14:paraId="049269E2" w14:textId="0A31BBD3" w:rsidR="0062051E" w:rsidRPr="0058380F" w:rsidRDefault="0062051E"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Amabile, T. M. (1998). How to Kill Creativity. Harvard Business Review.</w:t>
      </w:r>
    </w:p>
    <w:p w14:paraId="6851F930" w14:textId="3492F374" w:rsidR="009C39DF" w:rsidRPr="0058380F" w:rsidRDefault="009C39DF"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Armstrong, M. and Taylor, S. (2020) Armstrong’s Handbook of Human Resource Management Practice. 15th edn. London: Kogan Page.</w:t>
      </w:r>
    </w:p>
    <w:p w14:paraId="6F357824" w14:textId="411F80AE" w:rsidR="0062051E" w:rsidRDefault="0062051E"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Bandura, A.,(1986) Social foundations of thought and action : a social cognitive theory. Englewood Cliffs, N.J.: Prentice-Hall.</w:t>
      </w:r>
    </w:p>
    <w:p w14:paraId="01261463" w14:textId="6407E0F0" w:rsidR="00AC5C66" w:rsidRDefault="00AC5C66" w:rsidP="00D1503E">
      <w:pPr>
        <w:jc w:val="both"/>
        <w:rPr>
          <w:rFonts w:asciiTheme="minorBidi" w:hAnsiTheme="minorBidi"/>
          <w:color w:val="232323"/>
          <w:sz w:val="24"/>
          <w:szCs w:val="24"/>
          <w:shd w:val="clear" w:color="auto" w:fill="FFFFFF"/>
        </w:rPr>
      </w:pPr>
      <w:r w:rsidRPr="00AC5C66">
        <w:rPr>
          <w:rFonts w:asciiTheme="minorBidi" w:hAnsiTheme="minorBidi"/>
          <w:color w:val="232323"/>
          <w:sz w:val="24"/>
          <w:szCs w:val="24"/>
          <w:shd w:val="clear" w:color="auto" w:fill="FFFFFF"/>
        </w:rPr>
        <w:t>Bessen, J. E. (2019). AI and Jobs: The role of demand. NBER Working Paper No. 24235.</w:t>
      </w:r>
    </w:p>
    <w:p w14:paraId="36B4BBD3" w14:textId="179BD891" w:rsidR="00AC5C66" w:rsidRDefault="00AC5C66" w:rsidP="00D1503E">
      <w:pPr>
        <w:jc w:val="both"/>
        <w:rPr>
          <w:rFonts w:asciiTheme="minorBidi" w:hAnsiTheme="minorBidi"/>
          <w:color w:val="232323"/>
          <w:sz w:val="24"/>
          <w:szCs w:val="24"/>
          <w:shd w:val="clear" w:color="auto" w:fill="FFFFFF"/>
        </w:rPr>
      </w:pPr>
      <w:r w:rsidRPr="00AC5C66">
        <w:rPr>
          <w:rFonts w:asciiTheme="minorBidi" w:hAnsiTheme="minorBidi"/>
          <w:color w:val="232323"/>
          <w:sz w:val="24"/>
          <w:szCs w:val="24"/>
          <w:shd w:val="clear" w:color="auto" w:fill="FFFFFF"/>
        </w:rPr>
        <w:t>Bughin, J., Hazan, E., Lund, S., Dahlström, P., Wiesinger, A., &amp; Subramaniam, A. (2018). Skill shift: Automation and the future of the workforce. McKinsey Global Institute.</w:t>
      </w:r>
    </w:p>
    <w:p w14:paraId="55A89637" w14:textId="2B233166" w:rsidR="00AC5C66" w:rsidRPr="0058380F" w:rsidRDefault="00AC5C66" w:rsidP="00D1503E">
      <w:pPr>
        <w:jc w:val="both"/>
        <w:rPr>
          <w:rFonts w:asciiTheme="minorBidi" w:hAnsiTheme="minorBidi"/>
          <w:color w:val="232323"/>
          <w:sz w:val="24"/>
          <w:szCs w:val="24"/>
          <w:shd w:val="clear" w:color="auto" w:fill="FFFFFF"/>
        </w:rPr>
      </w:pPr>
      <w:r w:rsidRPr="00AC5C66">
        <w:rPr>
          <w:rFonts w:asciiTheme="minorBidi" w:hAnsiTheme="minorBidi"/>
          <w:color w:val="232323"/>
          <w:sz w:val="24"/>
          <w:szCs w:val="24"/>
          <w:shd w:val="clear" w:color="auto" w:fill="FFFFFF"/>
        </w:rPr>
        <w:t>Brynjolfsson, E., &amp; McAfee, A. (2014). The second machine age: Work, progress, and prosperity in a time of brilliant technologies. W. W. Norton &amp; Company.</w:t>
      </w:r>
    </w:p>
    <w:p w14:paraId="4DAD34DF" w14:textId="11BE24B2" w:rsidR="00FF0BE4" w:rsidRPr="0058380F" w:rsidRDefault="00FF0BE4" w:rsidP="00D1503E">
      <w:pPr>
        <w:jc w:val="both"/>
        <w:rPr>
          <w:rFonts w:asciiTheme="minorBidi" w:hAnsiTheme="minorBidi"/>
          <w:sz w:val="24"/>
          <w:szCs w:val="24"/>
        </w:rPr>
      </w:pPr>
      <w:r w:rsidRPr="0058380F">
        <w:rPr>
          <w:rFonts w:asciiTheme="minorBidi" w:hAnsiTheme="minorBidi"/>
          <w:sz w:val="24"/>
          <w:szCs w:val="24"/>
        </w:rPr>
        <w:t xml:space="preserve">CIPD (2023) Internets Source URL: </w:t>
      </w:r>
      <w:hyperlink r:id="rId12" w:history="1">
        <w:r w:rsidRPr="0058380F">
          <w:rPr>
            <w:rFonts w:asciiTheme="minorBidi" w:hAnsiTheme="minorBidi"/>
            <w:color w:val="0000FF"/>
            <w:sz w:val="24"/>
            <w:szCs w:val="24"/>
            <w:u w:val="single"/>
          </w:rPr>
          <w:t>Wellbeing at Work | Factsheets | CIPD</w:t>
        </w:r>
      </w:hyperlink>
      <w:r w:rsidRPr="0058380F">
        <w:rPr>
          <w:rFonts w:asciiTheme="minorBidi" w:hAnsiTheme="minorBidi"/>
          <w:sz w:val="24"/>
          <w:szCs w:val="24"/>
        </w:rPr>
        <w:t xml:space="preserve"> accessed 12</w:t>
      </w:r>
      <w:r w:rsidRPr="0058380F">
        <w:rPr>
          <w:rFonts w:asciiTheme="minorBidi" w:hAnsiTheme="minorBidi"/>
          <w:sz w:val="24"/>
          <w:szCs w:val="24"/>
          <w:vertAlign w:val="superscript"/>
        </w:rPr>
        <w:t>th</w:t>
      </w:r>
      <w:r w:rsidRPr="0058380F">
        <w:rPr>
          <w:rFonts w:asciiTheme="minorBidi" w:hAnsiTheme="minorBidi"/>
          <w:sz w:val="24"/>
          <w:szCs w:val="24"/>
        </w:rPr>
        <w:t xml:space="preserve"> December 2023 at 1200</w:t>
      </w:r>
    </w:p>
    <w:p w14:paraId="7A91FD04" w14:textId="06EAC532" w:rsidR="003757E2" w:rsidRPr="0058380F" w:rsidRDefault="003757E2"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Cummings, T. G., &amp; Worley, C. G. (2014). Organization Development and Change. Cengage Learning.</w:t>
      </w:r>
    </w:p>
    <w:p w14:paraId="44C06DDF" w14:textId="30F2D72C" w:rsidR="00FE4E98" w:rsidRPr="0058380F" w:rsidRDefault="00FE4E98"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Daft, L.R., Marcic, D., Griffin, R.W. and Van Fleet, D.D. (2015) Management Skills. Cengage, Hampshire</w:t>
      </w:r>
    </w:p>
    <w:p w14:paraId="5E4EB598" w14:textId="77777777" w:rsidR="003757E2" w:rsidRDefault="003757E2" w:rsidP="003757E2">
      <w:pPr>
        <w:rPr>
          <w:rFonts w:asciiTheme="minorBidi" w:hAnsiTheme="minorBidi"/>
          <w:sz w:val="24"/>
          <w:szCs w:val="24"/>
        </w:rPr>
      </w:pPr>
      <w:r w:rsidRPr="0058380F">
        <w:rPr>
          <w:rFonts w:asciiTheme="minorBidi" w:hAnsiTheme="minorBidi"/>
          <w:sz w:val="24"/>
          <w:szCs w:val="24"/>
        </w:rPr>
        <w:t>Denison, D. R., &amp; Mishra, A. K. (1995). Toward a theory of organizational culture and effectiveness. Organization Science, 6(2), 204–223.</w:t>
      </w:r>
    </w:p>
    <w:p w14:paraId="0A44D5BD" w14:textId="4D588B99" w:rsidR="00AC5C66" w:rsidRDefault="00AC5C66" w:rsidP="003757E2">
      <w:pPr>
        <w:rPr>
          <w:rFonts w:asciiTheme="minorBidi" w:hAnsiTheme="minorBidi"/>
          <w:sz w:val="24"/>
          <w:szCs w:val="24"/>
        </w:rPr>
      </w:pPr>
      <w:r w:rsidRPr="00AC5C66">
        <w:rPr>
          <w:rFonts w:asciiTheme="minorBidi" w:hAnsiTheme="minorBidi"/>
          <w:sz w:val="24"/>
          <w:szCs w:val="24"/>
        </w:rPr>
        <w:t>Duhigg, C. (2018). The AI spring: How artificial intelligence might end climate change. The New Yorker.</w:t>
      </w:r>
    </w:p>
    <w:p w14:paraId="65E4D0CB" w14:textId="30A9D6D9" w:rsidR="0049282C" w:rsidRPr="0058380F" w:rsidRDefault="0049282C" w:rsidP="003757E2">
      <w:pPr>
        <w:rPr>
          <w:rFonts w:asciiTheme="minorBidi" w:hAnsiTheme="minorBidi"/>
          <w:sz w:val="24"/>
          <w:szCs w:val="24"/>
        </w:rPr>
      </w:pPr>
      <w:r w:rsidRPr="0049282C">
        <w:rPr>
          <w:rFonts w:asciiTheme="minorBidi" w:hAnsiTheme="minorBidi"/>
          <w:sz w:val="24"/>
          <w:szCs w:val="24"/>
        </w:rPr>
        <w:t>Ebrahim, A. (2003) Accountability in practice: mechanisms for NGOs. World Development 31(5): 813-829.</w:t>
      </w:r>
    </w:p>
    <w:p w14:paraId="2C1A491A" w14:textId="23DBD839" w:rsidR="00953DD9" w:rsidRDefault="00953DD9"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Farnham, D. (2015) Human Resource Management in Context. London: CIPD.</w:t>
      </w:r>
    </w:p>
    <w:p w14:paraId="17627109" w14:textId="4D7E018D" w:rsidR="00AC5C66" w:rsidRPr="0058380F" w:rsidRDefault="00AC5C66" w:rsidP="00D1503E">
      <w:pPr>
        <w:jc w:val="both"/>
        <w:rPr>
          <w:rFonts w:asciiTheme="minorBidi" w:hAnsiTheme="minorBidi"/>
          <w:color w:val="232323"/>
          <w:sz w:val="24"/>
          <w:szCs w:val="24"/>
          <w:shd w:val="clear" w:color="auto" w:fill="FFFFFF"/>
        </w:rPr>
      </w:pPr>
      <w:r w:rsidRPr="00AC5C66">
        <w:rPr>
          <w:rFonts w:asciiTheme="minorBidi" w:hAnsiTheme="minorBidi"/>
          <w:color w:val="232323"/>
          <w:sz w:val="24"/>
          <w:szCs w:val="24"/>
          <w:shd w:val="clear" w:color="auto" w:fill="FFFFFF"/>
        </w:rPr>
        <w:t>Frey, C. B., &amp; Osborne, M. A. (2017). The future of employment: How susceptible are jobs to computerization? Technological Forecasting and Social Change, 114, 254-280.</w:t>
      </w:r>
    </w:p>
    <w:p w14:paraId="3D7F9FF7" w14:textId="29B91CC9" w:rsidR="003757E2" w:rsidRPr="0058380F" w:rsidRDefault="003757E2"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Fitz-enz, J. (2000). The ROI of Human Capital: Measuring the Economic Value of Employee Performance. AMACOM.</w:t>
      </w:r>
    </w:p>
    <w:p w14:paraId="292A6497" w14:textId="1B1F9A6F" w:rsidR="004A164E" w:rsidRPr="0058380F" w:rsidRDefault="004A164E" w:rsidP="004A164E">
      <w:pPr>
        <w:pStyle w:val="Nornal"/>
        <w:rPr>
          <w:rFonts w:asciiTheme="minorBidi" w:hAnsiTheme="minorBidi" w:cstheme="minorBidi"/>
          <w:sz w:val="24"/>
          <w:szCs w:val="24"/>
          <w:shd w:val="clear" w:color="auto" w:fill="FFFFFF"/>
        </w:rPr>
      </w:pPr>
      <w:r w:rsidRPr="0058380F">
        <w:rPr>
          <w:rFonts w:asciiTheme="minorBidi" w:hAnsiTheme="minorBidi" w:cstheme="minorBidi"/>
          <w:sz w:val="24"/>
          <w:szCs w:val="24"/>
          <w:shd w:val="clear" w:color="auto" w:fill="FFFFFF"/>
        </w:rPr>
        <w:t>Gittell, J. H. (2003). The Southwest Airlines Way: Using the Power of Relationships to Achieve High Performance. McGraw-Hill Education.</w:t>
      </w:r>
    </w:p>
    <w:p w14:paraId="3CD00965" w14:textId="58465A5F" w:rsidR="004A164E" w:rsidRPr="0058380F" w:rsidRDefault="004A164E" w:rsidP="004A164E">
      <w:pPr>
        <w:pStyle w:val="Nornal"/>
        <w:rPr>
          <w:rFonts w:asciiTheme="minorBidi" w:hAnsiTheme="minorBidi" w:cstheme="minorBidi"/>
          <w:sz w:val="24"/>
          <w:szCs w:val="24"/>
          <w:shd w:val="clear" w:color="auto" w:fill="FFFFFF"/>
        </w:rPr>
      </w:pPr>
      <w:r w:rsidRPr="0058380F">
        <w:rPr>
          <w:rFonts w:asciiTheme="minorBidi" w:hAnsiTheme="minorBidi" w:cstheme="minorBidi"/>
          <w:sz w:val="24"/>
          <w:szCs w:val="24"/>
          <w:shd w:val="clear" w:color="auto" w:fill="FFFFFF"/>
        </w:rPr>
        <w:lastRenderedPageBreak/>
        <w:t xml:space="preserve">Google (2023) internet source URl:   </w:t>
      </w:r>
      <w:hyperlink r:id="rId13" w:history="1">
        <w:r w:rsidRPr="0058380F">
          <w:rPr>
            <w:rStyle w:val="Hyperlink"/>
            <w:rFonts w:asciiTheme="minorBidi" w:hAnsiTheme="minorBidi" w:cstheme="minorBidi"/>
            <w:sz w:val="24"/>
            <w:szCs w:val="24"/>
            <w:shd w:val="clear" w:color="auto" w:fill="FFFFFF"/>
          </w:rPr>
          <w:t>https://www.google.com/about/careers/applications/</w:t>
        </w:r>
      </w:hyperlink>
      <w:r w:rsidRPr="0058380F">
        <w:rPr>
          <w:rFonts w:asciiTheme="minorBidi" w:hAnsiTheme="minorBidi" w:cstheme="minorBidi"/>
          <w:sz w:val="24"/>
          <w:szCs w:val="24"/>
          <w:shd w:val="clear" w:color="auto" w:fill="FFFFFF"/>
        </w:rPr>
        <w:t xml:space="preserve">  accessed 14</w:t>
      </w:r>
      <w:r w:rsidRPr="0058380F">
        <w:rPr>
          <w:rFonts w:asciiTheme="minorBidi" w:hAnsiTheme="minorBidi" w:cstheme="minorBidi"/>
          <w:sz w:val="24"/>
          <w:szCs w:val="24"/>
          <w:shd w:val="clear" w:color="auto" w:fill="FFFFFF"/>
          <w:vertAlign w:val="superscript"/>
        </w:rPr>
        <w:t>th</w:t>
      </w:r>
      <w:r w:rsidRPr="0058380F">
        <w:rPr>
          <w:rFonts w:asciiTheme="minorBidi" w:hAnsiTheme="minorBidi" w:cstheme="minorBidi"/>
          <w:sz w:val="24"/>
          <w:szCs w:val="24"/>
          <w:shd w:val="clear" w:color="auto" w:fill="FFFFFF"/>
        </w:rPr>
        <w:t xml:space="preserve"> December 2023 at 1130 </w:t>
      </w:r>
    </w:p>
    <w:p w14:paraId="62695E10" w14:textId="0A5C50AD" w:rsidR="0058380F" w:rsidRPr="0058380F" w:rsidRDefault="0058380F" w:rsidP="004A164E">
      <w:pPr>
        <w:pStyle w:val="Nornal"/>
        <w:rPr>
          <w:rFonts w:asciiTheme="minorBidi" w:hAnsiTheme="minorBidi" w:cstheme="minorBidi"/>
          <w:sz w:val="24"/>
          <w:szCs w:val="24"/>
          <w:shd w:val="clear" w:color="auto" w:fill="FFFFFF"/>
        </w:rPr>
      </w:pPr>
      <w:r w:rsidRPr="0058380F">
        <w:rPr>
          <w:rFonts w:asciiTheme="minorBidi" w:hAnsiTheme="minorBidi" w:cstheme="minorBidi"/>
          <w:sz w:val="24"/>
          <w:szCs w:val="24"/>
          <w:shd w:val="clear" w:color="auto" w:fill="FFFFFF"/>
        </w:rPr>
        <w:t>Goffee, R., &amp; Jones, G. (2006). Why Should Anyone Be Led by You? Harvard Business Review.</w:t>
      </w:r>
    </w:p>
    <w:p w14:paraId="526442C2" w14:textId="72422D5C" w:rsidR="003757E2" w:rsidRPr="0058380F" w:rsidRDefault="003757E2" w:rsidP="004A164E">
      <w:pPr>
        <w:pStyle w:val="Nornal"/>
        <w:rPr>
          <w:rFonts w:asciiTheme="minorBidi" w:hAnsiTheme="minorBidi" w:cstheme="minorBidi"/>
          <w:sz w:val="24"/>
          <w:szCs w:val="24"/>
          <w:shd w:val="clear" w:color="auto" w:fill="FFFFFF"/>
        </w:rPr>
      </w:pPr>
      <w:r w:rsidRPr="00C8652D">
        <w:rPr>
          <w:rFonts w:asciiTheme="minorBidi" w:hAnsiTheme="minorBidi" w:cstheme="minorBidi"/>
          <w:sz w:val="24"/>
          <w:szCs w:val="24"/>
          <w:shd w:val="clear" w:color="auto" w:fill="FFFFFF"/>
        </w:rPr>
        <w:t xml:space="preserve">Harter, J. K., Schmidt, F. L., &amp; Hayes, T. L. (2002). </w:t>
      </w:r>
      <w:r w:rsidRPr="0058380F">
        <w:rPr>
          <w:rFonts w:asciiTheme="minorBidi" w:hAnsiTheme="minorBidi" w:cstheme="minorBidi"/>
          <w:sz w:val="24"/>
          <w:szCs w:val="24"/>
          <w:shd w:val="clear" w:color="auto" w:fill="FFFFFF"/>
        </w:rPr>
        <w:t>Business-unit-level relationship between employee satisfaction, employee engagement, and business outcomes: A meta-analysis. Journal of Applied Psychology, 87(2), 268–279.</w:t>
      </w:r>
    </w:p>
    <w:p w14:paraId="2DD63F5F" w14:textId="0F49EDE4" w:rsidR="00CB2870" w:rsidRPr="0058380F" w:rsidRDefault="00CB2870" w:rsidP="004A164E">
      <w:pPr>
        <w:pStyle w:val="Nornal"/>
        <w:rPr>
          <w:rFonts w:asciiTheme="minorBidi" w:hAnsiTheme="minorBidi" w:cstheme="minorBidi"/>
          <w:sz w:val="24"/>
          <w:szCs w:val="24"/>
          <w:shd w:val="clear" w:color="auto" w:fill="FFFFFF"/>
        </w:rPr>
      </w:pPr>
      <w:r w:rsidRPr="0058380F">
        <w:rPr>
          <w:rFonts w:asciiTheme="minorBidi" w:hAnsiTheme="minorBidi" w:cstheme="minorBidi"/>
          <w:sz w:val="24"/>
          <w:szCs w:val="24"/>
        </w:rPr>
        <w:t>Hiatt, J. M. (2006). ADKAR: A model for change in business, government, and our community. Prosci.</w:t>
      </w:r>
    </w:p>
    <w:p w14:paraId="273F415A" w14:textId="40BAF3C2" w:rsidR="004A164E" w:rsidRDefault="004A164E" w:rsidP="00D1503E">
      <w:pPr>
        <w:jc w:val="both"/>
        <w:rPr>
          <w:rFonts w:asciiTheme="minorBidi" w:hAnsiTheme="minorBidi"/>
          <w:sz w:val="24"/>
          <w:szCs w:val="24"/>
        </w:rPr>
      </w:pPr>
      <w:r w:rsidRPr="0058380F">
        <w:rPr>
          <w:rFonts w:asciiTheme="minorBidi" w:hAnsiTheme="minorBidi"/>
          <w:sz w:val="24"/>
          <w:szCs w:val="24"/>
        </w:rPr>
        <w:t>Hsieh, T. (2010). Delivering Happiness: A Path to Profits, Passion, and Purpose. Business Plus</w:t>
      </w:r>
    </w:p>
    <w:p w14:paraId="33AC5FCA" w14:textId="42526DB8" w:rsidR="00AC5C66" w:rsidRPr="0058380F" w:rsidRDefault="00AC5C66" w:rsidP="00D1503E">
      <w:pPr>
        <w:jc w:val="both"/>
        <w:rPr>
          <w:rFonts w:asciiTheme="minorBidi" w:hAnsiTheme="minorBidi"/>
          <w:sz w:val="24"/>
          <w:szCs w:val="24"/>
        </w:rPr>
      </w:pPr>
      <w:r w:rsidRPr="00AC5C66">
        <w:rPr>
          <w:rFonts w:asciiTheme="minorBidi" w:hAnsiTheme="minorBidi"/>
          <w:sz w:val="24"/>
          <w:szCs w:val="24"/>
        </w:rPr>
        <w:t>Kane, G. C., Palmer, D., Phillips, A. N., Kiron, D., &amp; Buckley, N. (2014). Strategy, not technology, drives digital transformation. MIT Sloan Management Review, 55(2), 1-28.</w:t>
      </w:r>
    </w:p>
    <w:p w14:paraId="3157D2B4" w14:textId="77777777" w:rsidR="005709AA" w:rsidRDefault="005709AA" w:rsidP="00D1503E">
      <w:pPr>
        <w:jc w:val="both"/>
        <w:rPr>
          <w:rFonts w:asciiTheme="minorBidi" w:hAnsiTheme="minorBidi"/>
          <w:sz w:val="24"/>
          <w:szCs w:val="24"/>
        </w:rPr>
      </w:pPr>
      <w:r w:rsidRPr="005709AA">
        <w:rPr>
          <w:rFonts w:asciiTheme="minorBidi" w:hAnsiTheme="minorBidi"/>
          <w:sz w:val="24"/>
          <w:szCs w:val="24"/>
        </w:rPr>
        <w:t>Kotler, P., Keller, K. L., Brady, M., Goodman, M., &amp; Hansen, T. (2017). Marketing Management. Pearson</w:t>
      </w:r>
      <w:r w:rsidRPr="005709AA">
        <w:rPr>
          <w:rFonts w:asciiTheme="minorBidi" w:hAnsiTheme="minorBidi"/>
          <w:sz w:val="24"/>
          <w:szCs w:val="24"/>
        </w:rPr>
        <w:t xml:space="preserve"> </w:t>
      </w:r>
    </w:p>
    <w:p w14:paraId="5D280137" w14:textId="72A14EC5" w:rsidR="00CB2870" w:rsidRDefault="00CB2870" w:rsidP="00D1503E">
      <w:pPr>
        <w:jc w:val="both"/>
        <w:rPr>
          <w:rFonts w:asciiTheme="minorBidi" w:hAnsiTheme="minorBidi"/>
          <w:sz w:val="24"/>
          <w:szCs w:val="24"/>
        </w:rPr>
      </w:pPr>
      <w:r w:rsidRPr="0058380F">
        <w:rPr>
          <w:rFonts w:asciiTheme="minorBidi" w:hAnsiTheme="minorBidi"/>
          <w:sz w:val="24"/>
          <w:szCs w:val="24"/>
        </w:rPr>
        <w:t>Kotter, J. P. (1996). Leading Change. Harvard Business Review Press.</w:t>
      </w:r>
    </w:p>
    <w:p w14:paraId="05A44E03" w14:textId="65CCD254" w:rsidR="003757E2" w:rsidRPr="0058380F" w:rsidRDefault="003757E2" w:rsidP="00D1503E">
      <w:pPr>
        <w:jc w:val="both"/>
        <w:rPr>
          <w:rFonts w:asciiTheme="minorBidi" w:hAnsiTheme="minorBidi"/>
          <w:sz w:val="24"/>
          <w:szCs w:val="24"/>
        </w:rPr>
      </w:pPr>
      <w:r w:rsidRPr="0058380F">
        <w:rPr>
          <w:rFonts w:asciiTheme="minorBidi" w:hAnsiTheme="minorBidi"/>
          <w:sz w:val="24"/>
          <w:szCs w:val="24"/>
        </w:rPr>
        <w:t>Krueger, R. A., &amp; Casey, M. A. (2009). Focus Groups: A Practical Guide for Applied Research. SAGE Publications.</w:t>
      </w:r>
    </w:p>
    <w:p w14:paraId="11737AC0" w14:textId="1638CE87" w:rsidR="00CB2870" w:rsidRPr="0058380F" w:rsidRDefault="00CB2870" w:rsidP="00D1503E">
      <w:pPr>
        <w:jc w:val="both"/>
        <w:rPr>
          <w:rFonts w:asciiTheme="minorBidi" w:hAnsiTheme="minorBidi"/>
          <w:sz w:val="24"/>
          <w:szCs w:val="24"/>
        </w:rPr>
      </w:pPr>
      <w:r w:rsidRPr="0058380F">
        <w:rPr>
          <w:rFonts w:asciiTheme="minorBidi" w:hAnsiTheme="minorBidi"/>
          <w:sz w:val="24"/>
          <w:szCs w:val="24"/>
        </w:rPr>
        <w:t>Lewin, K. (1947). Frontiers in group dynamics: Concept, method and reality in social science; social equilibria and social change. Human Relations, 1(1), 5-41.</w:t>
      </w:r>
    </w:p>
    <w:p w14:paraId="4AFB2F07" w14:textId="51834EB1" w:rsidR="00141C07" w:rsidRDefault="00141C07" w:rsidP="009C39DF">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Pobl Group (2023) Internet Source URL:</w:t>
      </w:r>
      <w:r w:rsidRPr="0058380F">
        <w:rPr>
          <w:rFonts w:asciiTheme="minorBidi" w:hAnsiTheme="minorBidi"/>
          <w:sz w:val="24"/>
          <w:szCs w:val="24"/>
        </w:rPr>
        <w:t xml:space="preserve"> </w:t>
      </w:r>
      <w:hyperlink r:id="rId14" w:history="1">
        <w:r w:rsidRPr="0058380F">
          <w:rPr>
            <w:rStyle w:val="Hyperlink"/>
            <w:rFonts w:asciiTheme="minorBidi" w:hAnsiTheme="minorBidi"/>
            <w:sz w:val="24"/>
            <w:szCs w:val="24"/>
            <w:shd w:val="clear" w:color="auto" w:fill="FFFFFF"/>
          </w:rPr>
          <w:t>https://www.poblgroup.co.uk/</w:t>
        </w:r>
      </w:hyperlink>
      <w:r w:rsidRPr="0058380F">
        <w:rPr>
          <w:rFonts w:asciiTheme="minorBidi" w:hAnsiTheme="minorBidi"/>
          <w:color w:val="232323"/>
          <w:sz w:val="24"/>
          <w:szCs w:val="24"/>
          <w:shd w:val="clear" w:color="auto" w:fill="FFFFFF"/>
        </w:rPr>
        <w:t xml:space="preserve">  accessed 14</w:t>
      </w:r>
      <w:r w:rsidRPr="0058380F">
        <w:rPr>
          <w:rFonts w:asciiTheme="minorBidi" w:hAnsiTheme="minorBidi"/>
          <w:color w:val="232323"/>
          <w:sz w:val="24"/>
          <w:szCs w:val="24"/>
          <w:shd w:val="clear" w:color="auto" w:fill="FFFFFF"/>
          <w:vertAlign w:val="superscript"/>
        </w:rPr>
        <w:t>th</w:t>
      </w:r>
      <w:r w:rsidRPr="0058380F">
        <w:rPr>
          <w:rFonts w:asciiTheme="minorBidi" w:hAnsiTheme="minorBidi"/>
          <w:color w:val="232323"/>
          <w:sz w:val="24"/>
          <w:szCs w:val="24"/>
          <w:shd w:val="clear" w:color="auto" w:fill="FFFFFF"/>
        </w:rPr>
        <w:t xml:space="preserve"> December 2023 at 10:00</w:t>
      </w:r>
    </w:p>
    <w:p w14:paraId="345881CB" w14:textId="58554CBF" w:rsidR="005709AA" w:rsidRDefault="005709AA" w:rsidP="009C39DF">
      <w:pPr>
        <w:jc w:val="both"/>
        <w:rPr>
          <w:rFonts w:asciiTheme="minorBidi" w:hAnsiTheme="minorBidi"/>
          <w:color w:val="232323"/>
          <w:sz w:val="24"/>
          <w:szCs w:val="24"/>
          <w:shd w:val="clear" w:color="auto" w:fill="FFFFFF"/>
        </w:rPr>
      </w:pPr>
      <w:r w:rsidRPr="005709AA">
        <w:rPr>
          <w:rFonts w:asciiTheme="minorBidi" w:hAnsiTheme="minorBidi"/>
          <w:color w:val="232323"/>
          <w:sz w:val="24"/>
          <w:szCs w:val="24"/>
          <w:shd w:val="clear" w:color="auto" w:fill="FFFFFF"/>
        </w:rPr>
        <w:t>Porter, M. E. (1985). Competitive Advantage: Creating and Sustaining Superior Performance. Free Press.</w:t>
      </w:r>
    </w:p>
    <w:p w14:paraId="1D7059B2" w14:textId="3BEFFE97" w:rsidR="005709AA" w:rsidRDefault="005709AA" w:rsidP="009C39DF">
      <w:pPr>
        <w:jc w:val="both"/>
        <w:rPr>
          <w:rFonts w:asciiTheme="minorBidi" w:hAnsiTheme="minorBidi"/>
          <w:color w:val="232323"/>
          <w:sz w:val="24"/>
          <w:szCs w:val="24"/>
          <w:shd w:val="clear" w:color="auto" w:fill="FFFFFF"/>
        </w:rPr>
      </w:pPr>
      <w:r w:rsidRPr="005709AA">
        <w:rPr>
          <w:rFonts w:asciiTheme="minorBidi" w:hAnsiTheme="minorBidi"/>
          <w:color w:val="232323"/>
          <w:sz w:val="24"/>
          <w:szCs w:val="24"/>
          <w:shd w:val="clear" w:color="auto" w:fill="FFFFFF"/>
        </w:rPr>
        <w:t>Reichheld, F. F. (2003). The one number you need to grow. Harvard Business Review, 81(12), 46-55.</w:t>
      </w:r>
    </w:p>
    <w:p w14:paraId="7BED14E4" w14:textId="2E13B174" w:rsidR="005709AA" w:rsidRPr="0058380F" w:rsidRDefault="005709AA" w:rsidP="009C39DF">
      <w:pPr>
        <w:jc w:val="both"/>
        <w:rPr>
          <w:rFonts w:asciiTheme="minorBidi" w:hAnsiTheme="minorBidi"/>
          <w:color w:val="232323"/>
          <w:sz w:val="24"/>
          <w:szCs w:val="24"/>
          <w:shd w:val="clear" w:color="auto" w:fill="FFFFFF"/>
        </w:rPr>
      </w:pPr>
      <w:r w:rsidRPr="005709AA">
        <w:rPr>
          <w:rFonts w:asciiTheme="minorBidi" w:hAnsiTheme="minorBidi"/>
          <w:color w:val="232323"/>
          <w:sz w:val="24"/>
          <w:szCs w:val="24"/>
          <w:shd w:val="clear" w:color="auto" w:fill="FFFFFF"/>
          <w:lang w:val="de-DE"/>
        </w:rPr>
        <w:t xml:space="preserve">Rigby, D. K., Reichheld, F. F., &amp; Schefter, P. (2002). </w:t>
      </w:r>
      <w:r w:rsidRPr="005709AA">
        <w:rPr>
          <w:rFonts w:asciiTheme="minorBidi" w:hAnsiTheme="minorBidi"/>
          <w:color w:val="232323"/>
          <w:sz w:val="24"/>
          <w:szCs w:val="24"/>
          <w:shd w:val="clear" w:color="auto" w:fill="FFFFFF"/>
        </w:rPr>
        <w:t>Avoid the four perils of CRM. Harvard Business Review, 80(2), 101-109.</w:t>
      </w:r>
    </w:p>
    <w:p w14:paraId="3472355F" w14:textId="1334FA39" w:rsidR="003757E2" w:rsidRPr="0058380F" w:rsidRDefault="003757E2" w:rsidP="009C39DF">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lang w:val="de-DE"/>
        </w:rPr>
        <w:t xml:space="preserve">Rubin, H. J., &amp; Rubin, I. S. (2011). </w:t>
      </w:r>
      <w:r w:rsidRPr="0058380F">
        <w:rPr>
          <w:rFonts w:asciiTheme="minorBidi" w:hAnsiTheme="minorBidi"/>
          <w:color w:val="232323"/>
          <w:sz w:val="24"/>
          <w:szCs w:val="24"/>
          <w:shd w:val="clear" w:color="auto" w:fill="FFFFFF"/>
        </w:rPr>
        <w:t>Qualitative Interviewing: The Art of Hearing Data. SAGE Publications</w:t>
      </w:r>
    </w:p>
    <w:p w14:paraId="784DFF8F" w14:textId="7CBBC82C" w:rsidR="00141C07" w:rsidRPr="0058380F" w:rsidRDefault="00141C07"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Robbins, S.P. and Judge, T.A. (2016) Organizational Behavior. 17th Edition, Pearson Education Limited, Upper Saddle River.</w:t>
      </w:r>
    </w:p>
    <w:p w14:paraId="046BC132" w14:textId="7B9F7CD8" w:rsidR="000B14A4" w:rsidRPr="0058380F" w:rsidRDefault="000B14A4"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lastRenderedPageBreak/>
        <w:t>Schermerhorn, JR, Davidson, P, Woods, P, Simon, A, Poole, D &amp; McBarron, E 2014, Management, John Wiley &amp; Sons, eBook Central (ProQuest).</w:t>
      </w:r>
    </w:p>
    <w:p w14:paraId="66296578" w14:textId="309341D3" w:rsidR="003757E2" w:rsidRPr="0058380F" w:rsidRDefault="003757E2"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Ulrich, D., &amp; Brockbank, W. (2005). The HR Value Proposition. Harvard Business Review.</w:t>
      </w:r>
    </w:p>
    <w:p w14:paraId="26288366" w14:textId="786E4329" w:rsidR="0058380F" w:rsidRPr="0058380F" w:rsidRDefault="0058380F" w:rsidP="00D1503E">
      <w:pPr>
        <w:jc w:val="both"/>
        <w:rPr>
          <w:rFonts w:asciiTheme="minorBidi" w:hAnsiTheme="minorBidi"/>
          <w:color w:val="232323"/>
          <w:sz w:val="24"/>
          <w:szCs w:val="24"/>
          <w:shd w:val="clear" w:color="auto" w:fill="FFFFFF"/>
        </w:rPr>
      </w:pPr>
      <w:r w:rsidRPr="0058380F">
        <w:rPr>
          <w:rFonts w:asciiTheme="minorBidi" w:hAnsiTheme="minorBidi"/>
          <w:color w:val="232323"/>
          <w:sz w:val="24"/>
          <w:szCs w:val="24"/>
          <w:shd w:val="clear" w:color="auto" w:fill="FFFFFF"/>
        </w:rPr>
        <w:t>Wellins, R., Smith, A., &amp; Rogers, L. (2019). Nine Lies About Work: A Freethinking Leader’s Guide to the Real World. Harvard Business Review Press.</w:t>
      </w:r>
    </w:p>
    <w:p w14:paraId="55C2A82E" w14:textId="6F8BB84F" w:rsidR="00CB2870" w:rsidRDefault="00CB2870" w:rsidP="00CB2870">
      <w:pPr>
        <w:rPr>
          <w:rFonts w:asciiTheme="minorBidi" w:hAnsiTheme="minorBidi"/>
          <w:sz w:val="24"/>
          <w:szCs w:val="24"/>
        </w:rPr>
      </w:pPr>
      <w:r w:rsidRPr="0058380F">
        <w:rPr>
          <w:rFonts w:asciiTheme="minorBidi" w:hAnsiTheme="minorBidi"/>
          <w:sz w:val="24"/>
          <w:szCs w:val="24"/>
        </w:rPr>
        <w:t xml:space="preserve">World Health Organization. (1958). Constitution of the World Health Organization. Retrieved from </w:t>
      </w:r>
      <w:hyperlink r:id="rId15" w:history="1">
        <w:r w:rsidRPr="0058380F">
          <w:rPr>
            <w:rStyle w:val="Hyperlink"/>
            <w:rFonts w:asciiTheme="minorBidi" w:hAnsiTheme="minorBidi"/>
            <w:sz w:val="24"/>
            <w:szCs w:val="24"/>
          </w:rPr>
          <w:t>https://www.who.int/governance/eb/who_constitution_en.pdf</w:t>
        </w:r>
      </w:hyperlink>
      <w:r w:rsidRPr="0058380F">
        <w:rPr>
          <w:rFonts w:asciiTheme="minorBidi" w:hAnsiTheme="minorBidi"/>
          <w:sz w:val="24"/>
          <w:szCs w:val="24"/>
        </w:rPr>
        <w:t xml:space="preserve"> </w:t>
      </w:r>
    </w:p>
    <w:p w14:paraId="66A9F43E" w14:textId="0DE9A7E8" w:rsidR="00433ACD" w:rsidRPr="0058380F" w:rsidRDefault="00433ACD" w:rsidP="00CB2870">
      <w:pPr>
        <w:rPr>
          <w:rFonts w:asciiTheme="minorBidi" w:hAnsiTheme="minorBidi"/>
          <w:sz w:val="24"/>
          <w:szCs w:val="24"/>
        </w:rPr>
      </w:pPr>
      <w:r>
        <w:rPr>
          <w:rFonts w:asciiTheme="minorBidi" w:hAnsiTheme="minorBidi"/>
          <w:sz w:val="24"/>
          <w:szCs w:val="24"/>
        </w:rPr>
        <w:t>Y</w:t>
      </w:r>
      <w:r w:rsidRPr="00433ACD">
        <w:rPr>
          <w:rFonts w:asciiTheme="minorBidi" w:hAnsiTheme="minorBidi"/>
          <w:sz w:val="24"/>
          <w:szCs w:val="24"/>
        </w:rPr>
        <w:t>oung,  D.  &amp;  Salamon,  L.M.  (2002)  "Commercialization,  Social  Ventures,  and  For-Profit Competition",  in  Salamon,  L.M. (ed.)  The State  of Nonprofit  America, Washington  DC: Brookings Institution, pp. 423-46.</w:t>
      </w:r>
    </w:p>
    <w:p w14:paraId="4FB10968" w14:textId="77777777" w:rsidR="00CB2870" w:rsidRDefault="00CB2870" w:rsidP="00D1503E">
      <w:pPr>
        <w:jc w:val="both"/>
        <w:rPr>
          <w:rFonts w:ascii="Verdana" w:hAnsi="Verdana"/>
          <w:color w:val="232323"/>
          <w:sz w:val="21"/>
          <w:szCs w:val="21"/>
          <w:shd w:val="clear" w:color="auto" w:fill="FFFFFF"/>
        </w:rPr>
      </w:pPr>
    </w:p>
    <w:p w14:paraId="07BC2CDC" w14:textId="77777777" w:rsidR="000B14A4" w:rsidRDefault="000B14A4" w:rsidP="00D1503E">
      <w:pPr>
        <w:jc w:val="both"/>
        <w:rPr>
          <w:rFonts w:ascii="Verdana" w:hAnsi="Verdana"/>
          <w:color w:val="232323"/>
          <w:sz w:val="21"/>
          <w:szCs w:val="21"/>
          <w:shd w:val="clear" w:color="auto" w:fill="FFFFFF"/>
        </w:rPr>
      </w:pPr>
    </w:p>
    <w:p w14:paraId="3A7A6899" w14:textId="77777777" w:rsidR="00141C07" w:rsidRPr="00D1503E" w:rsidRDefault="00141C07" w:rsidP="00D1503E">
      <w:pPr>
        <w:jc w:val="both"/>
        <w:rPr>
          <w:rFonts w:ascii="Arial" w:hAnsi="Arial" w:cs="Arial"/>
          <w:sz w:val="24"/>
          <w:szCs w:val="24"/>
        </w:rPr>
      </w:pPr>
    </w:p>
    <w:sectPr w:rsidR="00141C07" w:rsidRPr="00D1503E" w:rsidSect="008C5FD4">
      <w:footerReference w:type="default" r:id="rId1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1B028" w14:textId="77777777" w:rsidR="008C5FD4" w:rsidRDefault="008C5FD4" w:rsidP="00C81727">
      <w:pPr>
        <w:spacing w:after="0" w:line="240" w:lineRule="auto"/>
      </w:pPr>
      <w:r>
        <w:separator/>
      </w:r>
    </w:p>
  </w:endnote>
  <w:endnote w:type="continuationSeparator" w:id="0">
    <w:p w14:paraId="1F49A076" w14:textId="77777777" w:rsidR="008C5FD4" w:rsidRDefault="008C5FD4" w:rsidP="00C8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142666"/>
      <w:docPartObj>
        <w:docPartGallery w:val="Page Numbers (Bottom of Page)"/>
        <w:docPartUnique/>
      </w:docPartObj>
    </w:sdtPr>
    <w:sdtEndPr>
      <w:rPr>
        <w:noProof/>
      </w:rPr>
    </w:sdtEndPr>
    <w:sdtContent>
      <w:p w14:paraId="608CD16B" w14:textId="743CF1B2" w:rsidR="00DF417E" w:rsidRDefault="00DF41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FC4FE" w14:textId="77777777" w:rsidR="00DF417E" w:rsidRDefault="00DF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3E869" w14:textId="77777777" w:rsidR="008C5FD4" w:rsidRDefault="008C5FD4" w:rsidP="00C81727">
      <w:pPr>
        <w:spacing w:after="0" w:line="240" w:lineRule="auto"/>
      </w:pPr>
      <w:r>
        <w:separator/>
      </w:r>
    </w:p>
  </w:footnote>
  <w:footnote w:type="continuationSeparator" w:id="0">
    <w:p w14:paraId="54E78936" w14:textId="77777777" w:rsidR="008C5FD4" w:rsidRDefault="008C5FD4" w:rsidP="00C817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2610"/>
    <w:multiLevelType w:val="hybridMultilevel"/>
    <w:tmpl w:val="00C6F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04C43"/>
    <w:multiLevelType w:val="multilevel"/>
    <w:tmpl w:val="F628E742"/>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B062886"/>
    <w:multiLevelType w:val="multilevel"/>
    <w:tmpl w:val="C30AE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16459"/>
    <w:multiLevelType w:val="hybridMultilevel"/>
    <w:tmpl w:val="CA56D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27096C"/>
    <w:multiLevelType w:val="hybridMultilevel"/>
    <w:tmpl w:val="63AA0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96223B"/>
    <w:multiLevelType w:val="hybridMultilevel"/>
    <w:tmpl w:val="42DA177C"/>
    <w:lvl w:ilvl="0" w:tplc="75747478">
      <w:start w:val="1"/>
      <w:numFmt w:val="decimal"/>
      <w:lvlText w:val="%1."/>
      <w:lvlJc w:val="left"/>
      <w:pPr>
        <w:ind w:left="1080" w:hanging="720"/>
      </w:pPr>
      <w:rPr>
        <w:rFonts w:hint="default"/>
      </w:rPr>
    </w:lvl>
    <w:lvl w:ilvl="1" w:tplc="2F9CE99A">
      <w:start w:val="1"/>
      <w:numFmt w:val="bullet"/>
      <w:lvlText w:val="•"/>
      <w:lvlJc w:val="left"/>
      <w:pPr>
        <w:ind w:left="1800" w:hanging="720"/>
      </w:pPr>
      <w:rPr>
        <w:rFonts w:ascii="Arial" w:eastAsia="Arial"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170BDF"/>
    <w:multiLevelType w:val="hybridMultilevel"/>
    <w:tmpl w:val="54B4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41877"/>
    <w:multiLevelType w:val="hybridMultilevel"/>
    <w:tmpl w:val="5316C61A"/>
    <w:lvl w:ilvl="0" w:tplc="7BF8451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0" w15:restartNumberingAfterBreak="0">
    <w:nsid w:val="327F6368"/>
    <w:multiLevelType w:val="hybridMultilevel"/>
    <w:tmpl w:val="A0B86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212B76"/>
    <w:multiLevelType w:val="hybridMultilevel"/>
    <w:tmpl w:val="086A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400493"/>
    <w:multiLevelType w:val="hybridMultilevel"/>
    <w:tmpl w:val="4F107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4C51D4"/>
    <w:multiLevelType w:val="hybridMultilevel"/>
    <w:tmpl w:val="F5567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A114A6"/>
    <w:multiLevelType w:val="hybridMultilevel"/>
    <w:tmpl w:val="8C24C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B60A1"/>
    <w:multiLevelType w:val="hybridMultilevel"/>
    <w:tmpl w:val="8E7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E02669"/>
    <w:multiLevelType w:val="hybridMultilevel"/>
    <w:tmpl w:val="94E49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C12026"/>
    <w:multiLevelType w:val="multilevel"/>
    <w:tmpl w:val="F9387442"/>
    <w:lvl w:ilvl="0">
      <w:start w:val="1"/>
      <w:numFmt w:val="decimal"/>
      <w:lvlText w:val="%1"/>
      <w:lvlJc w:val="left"/>
      <w:pPr>
        <w:ind w:left="400" w:hanging="400"/>
      </w:pPr>
      <w:rPr>
        <w:rFonts w:hint="default"/>
      </w:rPr>
    </w:lvl>
    <w:lvl w:ilvl="1">
      <w:start w:val="1"/>
      <w:numFmt w:val="decimal"/>
      <w:lvlText w:val="%1.%2"/>
      <w:lvlJc w:val="left"/>
      <w:pPr>
        <w:ind w:left="760" w:hanging="4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69B4504"/>
    <w:multiLevelType w:val="hybridMultilevel"/>
    <w:tmpl w:val="DD5A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C0178E"/>
    <w:multiLevelType w:val="hybridMultilevel"/>
    <w:tmpl w:val="CD7C86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A811E5"/>
    <w:multiLevelType w:val="hybridMultilevel"/>
    <w:tmpl w:val="5F5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D20CC2"/>
    <w:multiLevelType w:val="hybridMultilevel"/>
    <w:tmpl w:val="2016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ED6E03"/>
    <w:multiLevelType w:val="hybridMultilevel"/>
    <w:tmpl w:val="125A5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C07083"/>
    <w:multiLevelType w:val="multilevel"/>
    <w:tmpl w:val="445281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0B04A2"/>
    <w:multiLevelType w:val="hybridMultilevel"/>
    <w:tmpl w:val="DDFCCB36"/>
    <w:lvl w:ilvl="0" w:tplc="0809000F">
      <w:start w:val="1"/>
      <w:numFmt w:val="decimal"/>
      <w:lvlText w:val="%1."/>
      <w:lvlJc w:val="left"/>
      <w:pPr>
        <w:ind w:left="818" w:hanging="360"/>
      </w:pPr>
    </w:lvl>
    <w:lvl w:ilvl="1" w:tplc="08090019" w:tentative="1">
      <w:start w:val="1"/>
      <w:numFmt w:val="lowerLetter"/>
      <w:lvlText w:val="%2."/>
      <w:lvlJc w:val="left"/>
      <w:pPr>
        <w:ind w:left="1538" w:hanging="360"/>
      </w:pPr>
    </w:lvl>
    <w:lvl w:ilvl="2" w:tplc="0809001B" w:tentative="1">
      <w:start w:val="1"/>
      <w:numFmt w:val="lowerRoman"/>
      <w:lvlText w:val="%3."/>
      <w:lvlJc w:val="right"/>
      <w:pPr>
        <w:ind w:left="2258" w:hanging="180"/>
      </w:pPr>
    </w:lvl>
    <w:lvl w:ilvl="3" w:tplc="0809000F" w:tentative="1">
      <w:start w:val="1"/>
      <w:numFmt w:val="decimal"/>
      <w:lvlText w:val="%4."/>
      <w:lvlJc w:val="left"/>
      <w:pPr>
        <w:ind w:left="2978" w:hanging="360"/>
      </w:pPr>
    </w:lvl>
    <w:lvl w:ilvl="4" w:tplc="08090019" w:tentative="1">
      <w:start w:val="1"/>
      <w:numFmt w:val="lowerLetter"/>
      <w:lvlText w:val="%5."/>
      <w:lvlJc w:val="left"/>
      <w:pPr>
        <w:ind w:left="3698" w:hanging="360"/>
      </w:pPr>
    </w:lvl>
    <w:lvl w:ilvl="5" w:tplc="0809001B" w:tentative="1">
      <w:start w:val="1"/>
      <w:numFmt w:val="lowerRoman"/>
      <w:lvlText w:val="%6."/>
      <w:lvlJc w:val="right"/>
      <w:pPr>
        <w:ind w:left="4418" w:hanging="180"/>
      </w:pPr>
    </w:lvl>
    <w:lvl w:ilvl="6" w:tplc="0809000F" w:tentative="1">
      <w:start w:val="1"/>
      <w:numFmt w:val="decimal"/>
      <w:lvlText w:val="%7."/>
      <w:lvlJc w:val="left"/>
      <w:pPr>
        <w:ind w:left="5138" w:hanging="360"/>
      </w:pPr>
    </w:lvl>
    <w:lvl w:ilvl="7" w:tplc="08090019" w:tentative="1">
      <w:start w:val="1"/>
      <w:numFmt w:val="lowerLetter"/>
      <w:lvlText w:val="%8."/>
      <w:lvlJc w:val="left"/>
      <w:pPr>
        <w:ind w:left="5858" w:hanging="360"/>
      </w:pPr>
    </w:lvl>
    <w:lvl w:ilvl="8" w:tplc="0809001B" w:tentative="1">
      <w:start w:val="1"/>
      <w:numFmt w:val="lowerRoman"/>
      <w:lvlText w:val="%9."/>
      <w:lvlJc w:val="right"/>
      <w:pPr>
        <w:ind w:left="6578" w:hanging="180"/>
      </w:pPr>
    </w:lvl>
  </w:abstractNum>
  <w:abstractNum w:abstractNumId="26"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540A0D"/>
    <w:multiLevelType w:val="hybridMultilevel"/>
    <w:tmpl w:val="AD2E551C"/>
    <w:lvl w:ilvl="0" w:tplc="0809000F">
      <w:start w:val="1"/>
      <w:numFmt w:val="decimal"/>
      <w:lvlText w:val="%1."/>
      <w:lvlJc w:val="left"/>
      <w:pPr>
        <w:ind w:left="866" w:hanging="360"/>
      </w:pPr>
    </w:lvl>
    <w:lvl w:ilvl="1" w:tplc="08090019" w:tentative="1">
      <w:start w:val="1"/>
      <w:numFmt w:val="lowerLetter"/>
      <w:lvlText w:val="%2."/>
      <w:lvlJc w:val="left"/>
      <w:pPr>
        <w:ind w:left="1586" w:hanging="360"/>
      </w:pPr>
    </w:lvl>
    <w:lvl w:ilvl="2" w:tplc="0809001B" w:tentative="1">
      <w:start w:val="1"/>
      <w:numFmt w:val="lowerRoman"/>
      <w:lvlText w:val="%3."/>
      <w:lvlJc w:val="right"/>
      <w:pPr>
        <w:ind w:left="2306" w:hanging="180"/>
      </w:pPr>
    </w:lvl>
    <w:lvl w:ilvl="3" w:tplc="0809000F" w:tentative="1">
      <w:start w:val="1"/>
      <w:numFmt w:val="decimal"/>
      <w:lvlText w:val="%4."/>
      <w:lvlJc w:val="left"/>
      <w:pPr>
        <w:ind w:left="3026" w:hanging="360"/>
      </w:pPr>
    </w:lvl>
    <w:lvl w:ilvl="4" w:tplc="08090019" w:tentative="1">
      <w:start w:val="1"/>
      <w:numFmt w:val="lowerLetter"/>
      <w:lvlText w:val="%5."/>
      <w:lvlJc w:val="left"/>
      <w:pPr>
        <w:ind w:left="3746" w:hanging="360"/>
      </w:pPr>
    </w:lvl>
    <w:lvl w:ilvl="5" w:tplc="0809001B" w:tentative="1">
      <w:start w:val="1"/>
      <w:numFmt w:val="lowerRoman"/>
      <w:lvlText w:val="%6."/>
      <w:lvlJc w:val="right"/>
      <w:pPr>
        <w:ind w:left="4466" w:hanging="180"/>
      </w:pPr>
    </w:lvl>
    <w:lvl w:ilvl="6" w:tplc="0809000F" w:tentative="1">
      <w:start w:val="1"/>
      <w:numFmt w:val="decimal"/>
      <w:lvlText w:val="%7."/>
      <w:lvlJc w:val="left"/>
      <w:pPr>
        <w:ind w:left="5186" w:hanging="360"/>
      </w:pPr>
    </w:lvl>
    <w:lvl w:ilvl="7" w:tplc="08090019" w:tentative="1">
      <w:start w:val="1"/>
      <w:numFmt w:val="lowerLetter"/>
      <w:lvlText w:val="%8."/>
      <w:lvlJc w:val="left"/>
      <w:pPr>
        <w:ind w:left="5906" w:hanging="360"/>
      </w:pPr>
    </w:lvl>
    <w:lvl w:ilvl="8" w:tplc="0809001B" w:tentative="1">
      <w:start w:val="1"/>
      <w:numFmt w:val="lowerRoman"/>
      <w:lvlText w:val="%9."/>
      <w:lvlJc w:val="right"/>
      <w:pPr>
        <w:ind w:left="6626" w:hanging="180"/>
      </w:pPr>
    </w:lvl>
  </w:abstractNum>
  <w:abstractNum w:abstractNumId="2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14511523">
    <w:abstractNumId w:val="16"/>
  </w:num>
  <w:num w:numId="2" w16cid:durableId="1647541990">
    <w:abstractNumId w:val="18"/>
  </w:num>
  <w:num w:numId="3" w16cid:durableId="84957453">
    <w:abstractNumId w:val="4"/>
  </w:num>
  <w:num w:numId="4" w16cid:durableId="1942488619">
    <w:abstractNumId w:val="8"/>
  </w:num>
  <w:num w:numId="5" w16cid:durableId="880291334">
    <w:abstractNumId w:val="19"/>
  </w:num>
  <w:num w:numId="6" w16cid:durableId="21564407">
    <w:abstractNumId w:val="10"/>
  </w:num>
  <w:num w:numId="7" w16cid:durableId="848445314">
    <w:abstractNumId w:val="5"/>
  </w:num>
  <w:num w:numId="8" w16cid:durableId="1846555915">
    <w:abstractNumId w:val="20"/>
  </w:num>
  <w:num w:numId="9" w16cid:durableId="832646285">
    <w:abstractNumId w:val="7"/>
  </w:num>
  <w:num w:numId="10" w16cid:durableId="782116674">
    <w:abstractNumId w:val="11"/>
  </w:num>
  <w:num w:numId="11" w16cid:durableId="2048917739">
    <w:abstractNumId w:val="0"/>
  </w:num>
  <w:num w:numId="12" w16cid:durableId="835530872">
    <w:abstractNumId w:val="13"/>
  </w:num>
  <w:num w:numId="13" w16cid:durableId="1467702196">
    <w:abstractNumId w:val="9"/>
  </w:num>
  <w:num w:numId="14" w16cid:durableId="256063931">
    <w:abstractNumId w:val="28"/>
  </w:num>
  <w:num w:numId="15" w16cid:durableId="1252156344">
    <w:abstractNumId w:val="26"/>
  </w:num>
  <w:num w:numId="16" w16cid:durableId="1580018845">
    <w:abstractNumId w:val="3"/>
  </w:num>
  <w:num w:numId="17" w16cid:durableId="966084908">
    <w:abstractNumId w:val="14"/>
  </w:num>
  <w:num w:numId="18" w16cid:durableId="821433662">
    <w:abstractNumId w:val="1"/>
  </w:num>
  <w:num w:numId="19" w16cid:durableId="1593320311">
    <w:abstractNumId w:val="17"/>
  </w:num>
  <w:num w:numId="20" w16cid:durableId="276257143">
    <w:abstractNumId w:val="25"/>
  </w:num>
  <w:num w:numId="21" w16cid:durableId="2032295918">
    <w:abstractNumId w:val="27"/>
  </w:num>
  <w:num w:numId="22" w16cid:durableId="574435787">
    <w:abstractNumId w:val="2"/>
  </w:num>
  <w:num w:numId="23" w16cid:durableId="1706828690">
    <w:abstractNumId w:val="24"/>
  </w:num>
  <w:num w:numId="24" w16cid:durableId="1338922284">
    <w:abstractNumId w:val="12"/>
  </w:num>
  <w:num w:numId="25" w16cid:durableId="1137332056">
    <w:abstractNumId w:val="6"/>
  </w:num>
  <w:num w:numId="26" w16cid:durableId="1771587036">
    <w:abstractNumId w:val="22"/>
  </w:num>
  <w:num w:numId="27" w16cid:durableId="1111391643">
    <w:abstractNumId w:val="23"/>
  </w:num>
  <w:num w:numId="28" w16cid:durableId="1707946552">
    <w:abstractNumId w:val="21"/>
  </w:num>
  <w:num w:numId="29" w16cid:durableId="14199854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C40"/>
    <w:rsid w:val="00012729"/>
    <w:rsid w:val="00073D6B"/>
    <w:rsid w:val="00080D5E"/>
    <w:rsid w:val="00097A19"/>
    <w:rsid w:val="000B14A4"/>
    <w:rsid w:val="000B6F3A"/>
    <w:rsid w:val="000B7EC5"/>
    <w:rsid w:val="000F3AE9"/>
    <w:rsid w:val="001008BA"/>
    <w:rsid w:val="00122DA4"/>
    <w:rsid w:val="001319A2"/>
    <w:rsid w:val="00141C07"/>
    <w:rsid w:val="001601E3"/>
    <w:rsid w:val="001766F4"/>
    <w:rsid w:val="001A27CF"/>
    <w:rsid w:val="001B070D"/>
    <w:rsid w:val="001C74C0"/>
    <w:rsid w:val="001D21E8"/>
    <w:rsid w:val="00235F94"/>
    <w:rsid w:val="002B4318"/>
    <w:rsid w:val="002B4482"/>
    <w:rsid w:val="002C764A"/>
    <w:rsid w:val="00360D5F"/>
    <w:rsid w:val="00366120"/>
    <w:rsid w:val="003757E2"/>
    <w:rsid w:val="003A2035"/>
    <w:rsid w:val="003A6606"/>
    <w:rsid w:val="003D662A"/>
    <w:rsid w:val="003E2167"/>
    <w:rsid w:val="003F20AD"/>
    <w:rsid w:val="00404FEC"/>
    <w:rsid w:val="00433ACD"/>
    <w:rsid w:val="00485E27"/>
    <w:rsid w:val="0049282C"/>
    <w:rsid w:val="004A164E"/>
    <w:rsid w:val="004C5318"/>
    <w:rsid w:val="005025E8"/>
    <w:rsid w:val="005469A5"/>
    <w:rsid w:val="00554DF4"/>
    <w:rsid w:val="00556AC7"/>
    <w:rsid w:val="005709AA"/>
    <w:rsid w:val="0057714B"/>
    <w:rsid w:val="0058380F"/>
    <w:rsid w:val="00590899"/>
    <w:rsid w:val="005D6F99"/>
    <w:rsid w:val="0062051E"/>
    <w:rsid w:val="006312DA"/>
    <w:rsid w:val="006336F9"/>
    <w:rsid w:val="0064135B"/>
    <w:rsid w:val="006717B4"/>
    <w:rsid w:val="00721533"/>
    <w:rsid w:val="00761428"/>
    <w:rsid w:val="007C6E6F"/>
    <w:rsid w:val="007D07C0"/>
    <w:rsid w:val="00804524"/>
    <w:rsid w:val="0082488C"/>
    <w:rsid w:val="008A2943"/>
    <w:rsid w:val="008B03AE"/>
    <w:rsid w:val="008B717E"/>
    <w:rsid w:val="008C5FD4"/>
    <w:rsid w:val="008C7385"/>
    <w:rsid w:val="008E54A2"/>
    <w:rsid w:val="00926DA3"/>
    <w:rsid w:val="009322F6"/>
    <w:rsid w:val="00953DD9"/>
    <w:rsid w:val="009C39DF"/>
    <w:rsid w:val="009D0E33"/>
    <w:rsid w:val="009F36DE"/>
    <w:rsid w:val="00A05DBC"/>
    <w:rsid w:val="00A13748"/>
    <w:rsid w:val="00AB53F4"/>
    <w:rsid w:val="00AC5C66"/>
    <w:rsid w:val="00B43C40"/>
    <w:rsid w:val="00B51C68"/>
    <w:rsid w:val="00B72650"/>
    <w:rsid w:val="00B72F69"/>
    <w:rsid w:val="00BD06C7"/>
    <w:rsid w:val="00BE0CFD"/>
    <w:rsid w:val="00C029FC"/>
    <w:rsid w:val="00C04EE8"/>
    <w:rsid w:val="00C14BFD"/>
    <w:rsid w:val="00C17943"/>
    <w:rsid w:val="00C37924"/>
    <w:rsid w:val="00C46D4A"/>
    <w:rsid w:val="00C47814"/>
    <w:rsid w:val="00C71A9E"/>
    <w:rsid w:val="00C81727"/>
    <w:rsid w:val="00C83693"/>
    <w:rsid w:val="00C8652D"/>
    <w:rsid w:val="00C94379"/>
    <w:rsid w:val="00CB2870"/>
    <w:rsid w:val="00D1503E"/>
    <w:rsid w:val="00D214BB"/>
    <w:rsid w:val="00D33E70"/>
    <w:rsid w:val="00D46AF3"/>
    <w:rsid w:val="00DD0E81"/>
    <w:rsid w:val="00DD4229"/>
    <w:rsid w:val="00DE4316"/>
    <w:rsid w:val="00DF3F8E"/>
    <w:rsid w:val="00DF417E"/>
    <w:rsid w:val="00E503C7"/>
    <w:rsid w:val="00E51549"/>
    <w:rsid w:val="00E56157"/>
    <w:rsid w:val="00E8385B"/>
    <w:rsid w:val="00E841FF"/>
    <w:rsid w:val="00EB6540"/>
    <w:rsid w:val="00F0088F"/>
    <w:rsid w:val="00F211A6"/>
    <w:rsid w:val="00FE4E98"/>
    <w:rsid w:val="00FF0B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9F1C"/>
  <w15:docId w15:val="{26EE017E-4243-440D-BC1B-65C24485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3C40"/>
    <w:rPr>
      <w:rFonts w:ascii="Tahoma" w:hAnsi="Tahoma" w:cs="Tahoma"/>
      <w:sz w:val="16"/>
      <w:szCs w:val="16"/>
    </w:rPr>
  </w:style>
  <w:style w:type="paragraph" w:styleId="Header">
    <w:name w:val="header"/>
    <w:basedOn w:val="Normal"/>
    <w:link w:val="HeaderChar"/>
    <w:uiPriority w:val="99"/>
    <w:unhideWhenUsed/>
    <w:rsid w:val="00C817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727"/>
  </w:style>
  <w:style w:type="paragraph" w:styleId="Footer">
    <w:name w:val="footer"/>
    <w:basedOn w:val="Normal"/>
    <w:link w:val="FooterChar"/>
    <w:uiPriority w:val="99"/>
    <w:unhideWhenUsed/>
    <w:rsid w:val="00C817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727"/>
  </w:style>
  <w:style w:type="paragraph" w:styleId="ListParagraph">
    <w:name w:val="List Paragraph"/>
    <w:basedOn w:val="Normal"/>
    <w:link w:val="ListParagraphChar"/>
    <w:uiPriority w:val="1"/>
    <w:qFormat/>
    <w:rsid w:val="00B51C68"/>
    <w:pPr>
      <w:ind w:left="720"/>
      <w:contextualSpacing/>
    </w:pPr>
  </w:style>
  <w:style w:type="character" w:styleId="Hyperlink">
    <w:name w:val="Hyperlink"/>
    <w:basedOn w:val="DefaultParagraphFont"/>
    <w:uiPriority w:val="99"/>
    <w:unhideWhenUsed/>
    <w:rsid w:val="00804524"/>
    <w:rPr>
      <w:color w:val="0000FF" w:themeColor="hyperlink"/>
      <w:u w:val="single"/>
    </w:rPr>
  </w:style>
  <w:style w:type="character" w:styleId="UnresolvedMention">
    <w:name w:val="Unresolved Mention"/>
    <w:basedOn w:val="DefaultParagraphFont"/>
    <w:uiPriority w:val="99"/>
    <w:semiHidden/>
    <w:unhideWhenUsed/>
    <w:rsid w:val="00804524"/>
    <w:rPr>
      <w:color w:val="605E5C"/>
      <w:shd w:val="clear" w:color="auto" w:fill="E1DFDD"/>
    </w:rPr>
  </w:style>
  <w:style w:type="table" w:styleId="TableGrid">
    <w:name w:val="Table Grid"/>
    <w:basedOn w:val="TableNormal"/>
    <w:uiPriority w:val="59"/>
    <w:rsid w:val="00404F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5D6F99"/>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D6F99"/>
    <w:rPr>
      <w:rFonts w:ascii="Arial" w:eastAsia="Arial" w:hAnsi="Arial" w:cs="Arial"/>
    </w:rPr>
  </w:style>
  <w:style w:type="character" w:customStyle="1" w:styleId="ListParagraphChar">
    <w:name w:val="List Paragraph Char"/>
    <w:basedOn w:val="DefaultParagraphFont"/>
    <w:link w:val="ListParagraph"/>
    <w:uiPriority w:val="1"/>
    <w:rsid w:val="005D6F99"/>
  </w:style>
  <w:style w:type="paragraph" w:customStyle="1" w:styleId="Listparag">
    <w:name w:val="List parag"/>
    <w:basedOn w:val="ListParagraph"/>
    <w:link w:val="ListparagChar"/>
    <w:qFormat/>
    <w:rsid w:val="005D6F99"/>
    <w:pPr>
      <w:numPr>
        <w:numId w:val="18"/>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D6F99"/>
    <w:rPr>
      <w:rFonts w:ascii="Arial" w:eastAsia="Times New Roman" w:hAnsi="Arial" w:cs="Arial"/>
      <w:szCs w:val="24"/>
      <w:lang w:eastAsia="en-GB"/>
    </w:rPr>
  </w:style>
  <w:style w:type="paragraph" w:customStyle="1" w:styleId="Nornal">
    <w:name w:val="Nornal"/>
    <w:basedOn w:val="Normal"/>
    <w:link w:val="NornalChar"/>
    <w:qFormat/>
    <w:rsid w:val="005D6F99"/>
    <w:pPr>
      <w:spacing w:after="160" w:line="264" w:lineRule="auto"/>
    </w:pPr>
    <w:rPr>
      <w:rFonts w:ascii="Arial" w:hAnsi="Arial" w:cs="Arial"/>
    </w:rPr>
  </w:style>
  <w:style w:type="character" w:customStyle="1" w:styleId="NornalChar">
    <w:name w:val="Nornal Char"/>
    <w:basedOn w:val="DefaultParagraphFont"/>
    <w:link w:val="Nornal"/>
    <w:rsid w:val="005D6F99"/>
    <w:rPr>
      <w:rFonts w:ascii="Arial" w:hAnsi="Arial" w:cs="Arial"/>
    </w:rPr>
  </w:style>
  <w:style w:type="paragraph" w:styleId="Caption">
    <w:name w:val="caption"/>
    <w:basedOn w:val="Normal"/>
    <w:next w:val="Normal"/>
    <w:uiPriority w:val="35"/>
    <w:unhideWhenUsed/>
    <w:qFormat/>
    <w:rsid w:val="005D6F99"/>
    <w:pPr>
      <w:widowControl w:val="0"/>
      <w:autoSpaceDE w:val="0"/>
      <w:autoSpaceDN w:val="0"/>
      <w:spacing w:line="240" w:lineRule="auto"/>
    </w:pPr>
    <w:rPr>
      <w:rFonts w:ascii="Arial" w:eastAsia="Arial" w:hAnsi="Arial" w:cs="Arial"/>
      <w:i/>
      <w:iCs/>
      <w:color w:val="1F497D" w:themeColor="text2"/>
      <w:sz w:val="18"/>
      <w:szCs w:val="18"/>
    </w:rPr>
  </w:style>
  <w:style w:type="paragraph" w:styleId="NormalWeb">
    <w:name w:val="Normal (Web)"/>
    <w:basedOn w:val="Normal"/>
    <w:uiPriority w:val="99"/>
    <w:semiHidden/>
    <w:unhideWhenUsed/>
    <w:rsid w:val="007C6E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73254">
      <w:bodyDiv w:val="1"/>
      <w:marLeft w:val="0"/>
      <w:marRight w:val="0"/>
      <w:marTop w:val="0"/>
      <w:marBottom w:val="0"/>
      <w:divBdr>
        <w:top w:val="none" w:sz="0" w:space="0" w:color="auto"/>
        <w:left w:val="none" w:sz="0" w:space="0" w:color="auto"/>
        <w:bottom w:val="none" w:sz="0" w:space="0" w:color="auto"/>
        <w:right w:val="none" w:sz="0" w:space="0" w:color="auto"/>
      </w:divBdr>
    </w:div>
    <w:div w:id="356466132">
      <w:bodyDiv w:val="1"/>
      <w:marLeft w:val="0"/>
      <w:marRight w:val="0"/>
      <w:marTop w:val="0"/>
      <w:marBottom w:val="0"/>
      <w:divBdr>
        <w:top w:val="none" w:sz="0" w:space="0" w:color="auto"/>
        <w:left w:val="none" w:sz="0" w:space="0" w:color="auto"/>
        <w:bottom w:val="none" w:sz="0" w:space="0" w:color="auto"/>
        <w:right w:val="none" w:sz="0" w:space="0" w:color="auto"/>
      </w:divBdr>
    </w:div>
    <w:div w:id="761343421">
      <w:bodyDiv w:val="1"/>
      <w:marLeft w:val="0"/>
      <w:marRight w:val="0"/>
      <w:marTop w:val="0"/>
      <w:marBottom w:val="0"/>
      <w:divBdr>
        <w:top w:val="none" w:sz="0" w:space="0" w:color="auto"/>
        <w:left w:val="none" w:sz="0" w:space="0" w:color="auto"/>
        <w:bottom w:val="none" w:sz="0" w:space="0" w:color="auto"/>
        <w:right w:val="none" w:sz="0" w:space="0" w:color="auto"/>
      </w:divBdr>
    </w:div>
    <w:div w:id="1366640064">
      <w:bodyDiv w:val="1"/>
      <w:marLeft w:val="0"/>
      <w:marRight w:val="0"/>
      <w:marTop w:val="0"/>
      <w:marBottom w:val="0"/>
      <w:divBdr>
        <w:top w:val="none" w:sz="0" w:space="0" w:color="auto"/>
        <w:left w:val="none" w:sz="0" w:space="0" w:color="auto"/>
        <w:bottom w:val="none" w:sz="0" w:space="0" w:color="auto"/>
        <w:right w:val="none" w:sz="0" w:space="0" w:color="auto"/>
      </w:divBdr>
    </w:div>
    <w:div w:id="1561210984">
      <w:bodyDiv w:val="1"/>
      <w:marLeft w:val="0"/>
      <w:marRight w:val="0"/>
      <w:marTop w:val="0"/>
      <w:marBottom w:val="0"/>
      <w:divBdr>
        <w:top w:val="none" w:sz="0" w:space="0" w:color="auto"/>
        <w:left w:val="none" w:sz="0" w:space="0" w:color="auto"/>
        <w:bottom w:val="none" w:sz="0" w:space="0" w:color="auto"/>
        <w:right w:val="none" w:sz="0" w:space="0" w:color="auto"/>
      </w:divBdr>
    </w:div>
    <w:div w:id="207126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about/careers/applicat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pd.org/uk/knowledge/factsheets/well-being-factshe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who.int/governance/eb/who_constitution_en.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blgrou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3FFA021D4B834FB2E8B2EC812F07BE" ma:contentTypeVersion="19" ma:contentTypeDescription="Create a new document." ma:contentTypeScope="" ma:versionID="81079835278f0e7ea43e6a65287a1ec9">
  <xsd:schema xmlns:xsd="http://www.w3.org/2001/XMLSchema" xmlns:xs="http://www.w3.org/2001/XMLSchema" xmlns:p="http://schemas.microsoft.com/office/2006/metadata/properties" xmlns:ns2="0970e685-9bb0-486a-a631-6a9e6fa33b58" xmlns:ns3="804dd535-e76e-46af-aca9-12f988e15a73" targetNamespace="http://schemas.microsoft.com/office/2006/metadata/properties" ma:root="true" ma:fieldsID="98887bb607e267c42d63c7e072c3e3f5" ns2:_="" ns3:_="">
    <xsd:import namespace="0970e685-9bb0-486a-a631-6a9e6fa33b58"/>
    <xsd:import namespace="804dd535-e76e-46af-aca9-12f988e15a7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70e685-9bb0-486a-a631-6a9e6fa33b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f7af5d-849d-4c04-83be-e9fafe00bcd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4dd535-e76e-46af-aca9-12f988e15a73" elementFormDefault="qualified">
    <xsd:import namespace="http://schemas.microsoft.com/office/2006/documentManagement/types"/>
    <xsd:import namespace="http://schemas.microsoft.com/office/infopath/2007/PartnerControls"/>
    <xsd:element name="SharedWithUsers" ma:index="16"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3c7fa1b-87e3-4228-9c89-8b29da2cd3c9}" ma:internalName="TaxCatchAll" ma:showField="CatchAllData" ma:web="804dd535-e76e-46af-aca9-12f988e1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04dd535-e76e-46af-aca9-12f988e15a73" xsi:nil="true"/>
    <lcf76f155ced4ddcb4097134ff3c332f xmlns="0970e685-9bb0-486a-a631-6a9e6fa33b5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361014-0BCE-46AB-9B95-40450913804D}">
  <ds:schemaRefs>
    <ds:schemaRef ds:uri="http://schemas.microsoft.com/sharepoint/v3/contenttype/forms"/>
  </ds:schemaRefs>
</ds:datastoreItem>
</file>

<file path=customXml/itemProps2.xml><?xml version="1.0" encoding="utf-8"?>
<ds:datastoreItem xmlns:ds="http://schemas.openxmlformats.org/officeDocument/2006/customXml" ds:itemID="{09E94952-2542-4FFC-851B-CC9CA1491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70e685-9bb0-486a-a631-6a9e6fa33b58"/>
    <ds:schemaRef ds:uri="804dd535-e76e-46af-aca9-12f988e1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DD222E-F756-4E1A-9DB9-893750B6A3BA}">
  <ds:schemaRefs>
    <ds:schemaRef ds:uri="http://schemas.openxmlformats.org/officeDocument/2006/bibliography"/>
  </ds:schemaRefs>
</ds:datastoreItem>
</file>

<file path=customXml/itemProps4.xml><?xml version="1.0" encoding="utf-8"?>
<ds:datastoreItem xmlns:ds="http://schemas.openxmlformats.org/officeDocument/2006/customXml" ds:itemID="{B0AA50E5-29B4-4F95-8878-150C55CD4DB5}">
  <ds:schemaRefs>
    <ds:schemaRef ds:uri="http://schemas.microsoft.com/office/2006/metadata/properties"/>
    <ds:schemaRef ds:uri="http://schemas.microsoft.com/office/infopath/2007/PartnerControls"/>
    <ds:schemaRef ds:uri="804dd535-e76e-46af-aca9-12f988e15a73"/>
    <ds:schemaRef ds:uri="0970e685-9bb0-486a-a631-6a9e6fa33b5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5564</Words>
  <Characters>31717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zsu</dc:creator>
  <cp:lastModifiedBy>Nefyn Cardwell</cp:lastModifiedBy>
  <cp:revision>19</cp:revision>
  <cp:lastPrinted>2010-10-26T14:35:00Z</cp:lastPrinted>
  <dcterms:created xsi:type="dcterms:W3CDTF">2023-11-27T13:21:00Z</dcterms:created>
  <dcterms:modified xsi:type="dcterms:W3CDTF">2024-01-04T13:01:00Z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0x010100DF3FFA021D4B834FB2E8B2EC812F07BE</vt:lpwstr>
  </property>
</Properties>
</file>