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32AF3" w14:textId="77777777" w:rsidR="00D747D8" w:rsidRPr="00D808FF" w:rsidRDefault="00D747D8" w:rsidP="00D747D8">
      <w:pPr>
        <w:rPr>
          <w:b/>
          <w:bCs/>
        </w:rPr>
      </w:pPr>
      <w:r w:rsidRPr="00D808FF">
        <w:rPr>
          <w:noProof/>
        </w:rPr>
        <w:drawing>
          <wp:anchor distT="0" distB="0" distL="114300" distR="114300" simplePos="0" relativeHeight="251659264" behindDoc="0" locked="0" layoutInCell="1" allowOverlap="1" wp14:anchorId="77A2055F" wp14:editId="1DB4F930">
            <wp:simplePos x="0" y="0"/>
            <wp:positionH relativeFrom="column">
              <wp:posOffset>403860</wp:posOffset>
            </wp:positionH>
            <wp:positionV relativeFrom="paragraph">
              <wp:posOffset>0</wp:posOffset>
            </wp:positionV>
            <wp:extent cx="5295900" cy="2974340"/>
            <wp:effectExtent l="0" t="0" r="0" b="0"/>
            <wp:wrapTopAndBottom/>
            <wp:docPr id="157077835" name="Picture 2" descr="University of Wales Trinity Saint David launches ‘One Plan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‘One Planet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9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43AE5A" w14:textId="77777777" w:rsidR="00D747D8" w:rsidRDefault="00D747D8" w:rsidP="00D747D8">
      <w:pPr>
        <w:jc w:val="center"/>
        <w:rPr>
          <w:b/>
          <w:bCs/>
        </w:rPr>
      </w:pPr>
    </w:p>
    <w:p w14:paraId="05BFCCD6" w14:textId="77777777" w:rsidR="00D747D8" w:rsidRPr="00D747D8" w:rsidRDefault="00D747D8" w:rsidP="00D747D8">
      <w:pPr>
        <w:jc w:val="center"/>
        <w:rPr>
          <w:rFonts w:ascii="Arial" w:hAnsi="Arial" w:cs="Arial"/>
          <w:b/>
          <w:bCs/>
        </w:rPr>
      </w:pPr>
      <w:r w:rsidRPr="00D747D8">
        <w:rPr>
          <w:rFonts w:ascii="Arial" w:hAnsi="Arial" w:cs="Arial"/>
          <w:b/>
          <w:bCs/>
        </w:rPr>
        <w:t>Protecting and Supporting Families in Health and Care</w:t>
      </w:r>
    </w:p>
    <w:p w14:paraId="07F31FB8" w14:textId="0C7EE86F" w:rsidR="00D747D8" w:rsidRPr="00DA5241" w:rsidRDefault="00D747D8" w:rsidP="00D747D8">
      <w:pPr>
        <w:jc w:val="center"/>
        <w:rPr>
          <w:rFonts w:ascii="Arial" w:hAnsi="Arial" w:cs="Arial"/>
        </w:rPr>
      </w:pPr>
      <w:r w:rsidRPr="00DA5241">
        <w:rPr>
          <w:rFonts w:ascii="Arial" w:hAnsi="Arial" w:cs="Arial"/>
        </w:rPr>
        <w:t xml:space="preserve">Module Code - </w:t>
      </w:r>
      <w:r w:rsidRPr="00BF74EB">
        <w:rPr>
          <w:rFonts w:ascii="Arial" w:hAnsi="Arial" w:cs="Arial"/>
          <w:b/>
        </w:rPr>
        <w:t>BMHP502</w:t>
      </w:r>
      <w:r>
        <w:rPr>
          <w:rFonts w:ascii="Arial" w:hAnsi="Arial" w:cs="Arial"/>
          <w:b/>
        </w:rPr>
        <w:t>1</w:t>
      </w:r>
    </w:p>
    <w:p w14:paraId="15148713" w14:textId="77777777" w:rsidR="00D747D8" w:rsidRPr="00DA5241" w:rsidRDefault="00D747D8" w:rsidP="00D747D8">
      <w:pPr>
        <w:jc w:val="center"/>
        <w:rPr>
          <w:rFonts w:ascii="Arial" w:hAnsi="Arial" w:cs="Arial"/>
        </w:rPr>
      </w:pPr>
    </w:p>
    <w:p w14:paraId="4F8EA457" w14:textId="5B8C93D2" w:rsidR="00D747D8" w:rsidRDefault="00D747D8" w:rsidP="00D747D8">
      <w:pPr>
        <w:jc w:val="center"/>
        <w:rPr>
          <w:rFonts w:ascii="Arial" w:hAnsi="Arial" w:cs="Arial"/>
          <w:b/>
        </w:rPr>
      </w:pPr>
      <w:r w:rsidRPr="00DA5241">
        <w:rPr>
          <w:rFonts w:ascii="Arial" w:hAnsi="Arial" w:cs="Arial"/>
        </w:rPr>
        <w:t xml:space="preserve">Assignment </w:t>
      </w:r>
      <w:r>
        <w:rPr>
          <w:rFonts w:ascii="Arial" w:hAnsi="Arial" w:cs="Arial"/>
        </w:rPr>
        <w:t>–</w:t>
      </w:r>
      <w:r w:rsidRPr="00DA524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Individual Reference List</w:t>
      </w:r>
    </w:p>
    <w:p w14:paraId="2E437F8A" w14:textId="77777777" w:rsidR="00D747D8" w:rsidRPr="00DA5241" w:rsidRDefault="00D747D8" w:rsidP="00D747D8">
      <w:pPr>
        <w:jc w:val="center"/>
        <w:rPr>
          <w:rFonts w:ascii="Arial" w:hAnsi="Arial" w:cs="Arial"/>
        </w:rPr>
      </w:pPr>
    </w:p>
    <w:p w14:paraId="6E80941E" w14:textId="77777777" w:rsidR="00D747D8" w:rsidRPr="00DA5241" w:rsidRDefault="00D747D8" w:rsidP="00D747D8">
      <w:pPr>
        <w:jc w:val="center"/>
        <w:rPr>
          <w:rFonts w:ascii="Arial" w:hAnsi="Arial" w:cs="Arial"/>
        </w:rPr>
      </w:pPr>
      <w:r w:rsidRPr="00DA5241">
        <w:rPr>
          <w:rFonts w:ascii="Arial" w:hAnsi="Arial" w:cs="Arial"/>
        </w:rPr>
        <w:t xml:space="preserve">Student Name - Shumon Ahmed </w:t>
      </w:r>
    </w:p>
    <w:p w14:paraId="55BF2B93" w14:textId="77777777" w:rsidR="00D747D8" w:rsidRPr="00DA5241" w:rsidRDefault="00D747D8" w:rsidP="00D747D8">
      <w:pPr>
        <w:jc w:val="center"/>
        <w:rPr>
          <w:rFonts w:ascii="Arial" w:hAnsi="Arial" w:cs="Arial"/>
        </w:rPr>
      </w:pPr>
      <w:r w:rsidRPr="00DA5241">
        <w:rPr>
          <w:rFonts w:ascii="Arial" w:hAnsi="Arial" w:cs="Arial"/>
        </w:rPr>
        <w:t>Student Number - 2310119</w:t>
      </w:r>
    </w:p>
    <w:p w14:paraId="21F776CD" w14:textId="77777777" w:rsidR="00D747D8" w:rsidRPr="00DA5241" w:rsidRDefault="00D747D8" w:rsidP="00D747D8">
      <w:pPr>
        <w:jc w:val="center"/>
        <w:rPr>
          <w:rFonts w:ascii="Arial" w:hAnsi="Arial" w:cs="Arial"/>
        </w:rPr>
      </w:pPr>
    </w:p>
    <w:p w14:paraId="2D956C7E" w14:textId="08583A30" w:rsidR="00D747D8" w:rsidRPr="00DA5241" w:rsidRDefault="00D747D8" w:rsidP="00D747D8">
      <w:pPr>
        <w:jc w:val="center"/>
        <w:rPr>
          <w:rFonts w:ascii="Arial" w:hAnsi="Arial" w:cs="Arial"/>
        </w:rPr>
      </w:pPr>
      <w:r w:rsidRPr="00DA5241">
        <w:rPr>
          <w:rFonts w:ascii="Arial" w:hAnsi="Arial" w:cs="Arial"/>
        </w:rPr>
        <w:t xml:space="preserve">Lecturer – </w:t>
      </w:r>
      <w:r>
        <w:rPr>
          <w:rFonts w:ascii="Arial" w:hAnsi="Arial" w:cs="Arial"/>
        </w:rPr>
        <w:t>Philip Jones</w:t>
      </w:r>
    </w:p>
    <w:p w14:paraId="586FE554" w14:textId="77777777" w:rsidR="00D747D8" w:rsidRPr="00DA5241" w:rsidRDefault="00D747D8" w:rsidP="00D747D8">
      <w:pPr>
        <w:jc w:val="center"/>
        <w:rPr>
          <w:rFonts w:ascii="Arial" w:hAnsi="Arial" w:cs="Arial"/>
        </w:rPr>
      </w:pPr>
    </w:p>
    <w:p w14:paraId="57BDB343" w14:textId="768EAC4B" w:rsidR="00D747D8" w:rsidRDefault="00D747D8" w:rsidP="00D747D8">
      <w:pPr>
        <w:jc w:val="center"/>
        <w:rPr>
          <w:rFonts w:ascii="Arial" w:hAnsi="Arial" w:cs="Arial"/>
        </w:rPr>
      </w:pPr>
      <w:r w:rsidRPr="00DA5241">
        <w:rPr>
          <w:rFonts w:ascii="Arial" w:hAnsi="Arial" w:cs="Arial"/>
        </w:rPr>
        <w:t xml:space="preserve">Date </w:t>
      </w:r>
      <w:r>
        <w:rPr>
          <w:rFonts w:ascii="Arial" w:hAnsi="Arial" w:cs="Arial"/>
        </w:rPr>
        <w:t>–</w:t>
      </w:r>
      <w:r w:rsidRPr="00DA5241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2/</w:t>
      </w:r>
      <w:r>
        <w:rPr>
          <w:rFonts w:ascii="Arial" w:hAnsi="Arial" w:cs="Arial"/>
        </w:rPr>
        <w:t>10/2025</w:t>
      </w:r>
    </w:p>
    <w:p w14:paraId="0BB3AE5F" w14:textId="77777777" w:rsidR="00D747D8" w:rsidRDefault="00D747D8" w:rsidP="00D747D8">
      <w:pPr>
        <w:jc w:val="center"/>
        <w:rPr>
          <w:rFonts w:ascii="Arial" w:hAnsi="Arial" w:cs="Arial"/>
        </w:rPr>
      </w:pPr>
    </w:p>
    <w:p w14:paraId="1E10404C" w14:textId="77777777" w:rsidR="00D747D8" w:rsidRDefault="00D747D8" w:rsidP="00D747D8">
      <w:pPr>
        <w:jc w:val="center"/>
        <w:rPr>
          <w:rFonts w:ascii="Arial" w:hAnsi="Arial" w:cs="Arial"/>
        </w:rPr>
      </w:pPr>
    </w:p>
    <w:p w14:paraId="64BD64CD" w14:textId="77777777" w:rsidR="00D747D8" w:rsidRDefault="00D747D8" w:rsidP="00D747D8">
      <w:pPr>
        <w:jc w:val="center"/>
        <w:rPr>
          <w:rFonts w:ascii="Arial" w:hAnsi="Arial" w:cs="Arial"/>
        </w:rPr>
      </w:pPr>
    </w:p>
    <w:p w14:paraId="7E61A035" w14:textId="77777777" w:rsidR="00D747D8" w:rsidRDefault="00D747D8" w:rsidP="00D747D8">
      <w:pPr>
        <w:jc w:val="center"/>
        <w:rPr>
          <w:rFonts w:ascii="Arial" w:hAnsi="Arial" w:cs="Arial"/>
        </w:rPr>
      </w:pPr>
    </w:p>
    <w:p w14:paraId="39A2DA22" w14:textId="77777777" w:rsidR="00D747D8" w:rsidRDefault="00D747D8" w:rsidP="00D747D8">
      <w:pPr>
        <w:jc w:val="center"/>
        <w:rPr>
          <w:rFonts w:ascii="Arial" w:hAnsi="Arial" w:cs="Arial"/>
        </w:rPr>
      </w:pPr>
    </w:p>
    <w:p w14:paraId="3B7CBE2D" w14:textId="77777777" w:rsidR="00D747D8" w:rsidRDefault="00D747D8" w:rsidP="00D747D8">
      <w:pPr>
        <w:jc w:val="center"/>
        <w:rPr>
          <w:rFonts w:ascii="Arial" w:hAnsi="Arial" w:cs="Arial"/>
        </w:rPr>
      </w:pPr>
    </w:p>
    <w:p w14:paraId="2A9C4BB0" w14:textId="602EB405" w:rsidR="00016149" w:rsidRDefault="00D747D8" w:rsidP="0061639D">
      <w:pPr>
        <w:rPr>
          <w:rFonts w:ascii="Arial" w:hAnsi="Arial" w:cs="Arial"/>
          <w:b/>
          <w:bCs/>
          <w:u w:val="single"/>
        </w:rPr>
      </w:pPr>
      <w:r w:rsidRPr="00D747D8">
        <w:rPr>
          <w:rFonts w:ascii="Arial" w:hAnsi="Arial" w:cs="Arial"/>
          <w:b/>
          <w:bCs/>
          <w:u w:val="single"/>
        </w:rPr>
        <w:lastRenderedPageBreak/>
        <w:t>Reference</w:t>
      </w:r>
      <w:r>
        <w:rPr>
          <w:rFonts w:ascii="Arial" w:hAnsi="Arial" w:cs="Arial"/>
          <w:b/>
          <w:bCs/>
          <w:u w:val="single"/>
        </w:rPr>
        <w:t>s</w:t>
      </w:r>
    </w:p>
    <w:p w14:paraId="3055BBF1" w14:textId="77777777" w:rsidR="00A30E3E" w:rsidRDefault="00A30E3E" w:rsidP="0061639D">
      <w:pPr>
        <w:rPr>
          <w:rFonts w:ascii="Arial" w:hAnsi="Arial" w:cs="Arial"/>
          <w:b/>
          <w:bCs/>
          <w:u w:val="single"/>
        </w:rPr>
      </w:pPr>
    </w:p>
    <w:p w14:paraId="17E21CDF" w14:textId="21E02E1C" w:rsidR="00016149" w:rsidRPr="0061639D" w:rsidRDefault="00016149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>Centers for Disease Control and Prevention (CDC) (2021) Adverse Childhood Experiences (ACEs). Available at: </w:t>
      </w:r>
      <w:hyperlink r:id="rId5" w:anchor=":~:text=Overview,one%20generation%20to%20the%20next" w:tgtFrame="_blank" w:tooltip="https://www.cdc.gov/vitalsigns/aces/index.html#:~:text=Overview,one%20generation%20to%20the%20next" w:history="1">
        <w:r w:rsidRPr="0061639D">
          <w:rPr>
            <w:rStyle w:val="Hyperlink"/>
            <w:rFonts w:ascii="Arial" w:hAnsi="Arial" w:cs="Arial"/>
            <w:b/>
            <w:bCs/>
          </w:rPr>
          <w:t>https://www.cdc.gov/vitalsigns/aces/index.html#:~:text=Overview,one%20generation%20to%20the%20next</w:t>
        </w:r>
      </w:hyperlink>
      <w:r w:rsidRPr="0061639D">
        <w:rPr>
          <w:rFonts w:ascii="Arial" w:hAnsi="Arial" w:cs="Arial"/>
          <w:b/>
          <w:bCs/>
          <w:u w:val="single"/>
        </w:rPr>
        <w:t>. (Accessed: 20 October 2025). </w:t>
      </w:r>
    </w:p>
    <w:p w14:paraId="4BA83B09" w14:textId="15CB0759" w:rsidR="00A30E3E" w:rsidRDefault="00016149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>Diabetes UK (2010). Specialist diabetes team: role and members. Available at: </w:t>
      </w:r>
      <w:hyperlink r:id="rId6" w:tgtFrame="_blank" w:tooltip="https://www.diabetes.org.uk/for-professionals/improving-care/clinical-recommendations-for-professionals/healthcare-professional-staffing-competency/specialist-diabetes-team-role-and-members" w:history="1">
        <w:r w:rsidRPr="0061639D">
          <w:rPr>
            <w:rStyle w:val="Hyperlink"/>
            <w:rFonts w:ascii="Arial" w:hAnsi="Arial" w:cs="Arial"/>
            <w:b/>
            <w:bCs/>
          </w:rPr>
          <w:t>https://www.diabetes.org.uk/for-professionals/improving-care/clinical-recommendations-for-professionals/healthcare-professional-staffing-competency/specialist-diabetes-team-role-and-members</w:t>
        </w:r>
      </w:hyperlink>
      <w:r w:rsidRPr="0061639D">
        <w:rPr>
          <w:rFonts w:ascii="Arial" w:hAnsi="Arial" w:cs="Arial"/>
          <w:b/>
          <w:bCs/>
          <w:u w:val="single"/>
        </w:rPr>
        <w:t>. (Accessed: 20 October 2025).</w:t>
      </w:r>
    </w:p>
    <w:p w14:paraId="2DCC572D" w14:textId="48BFFD3C" w:rsidR="00A30E3E" w:rsidRPr="0061639D" w:rsidRDefault="00A30E3E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>‌Legislation.gov.uk (1989) Children Act 1989. Available at: </w:t>
      </w:r>
      <w:hyperlink r:id="rId7" w:tgtFrame="_blank" w:tooltip="https://www.legislation.gov.uk/ukpga/1989/41/section/47" w:history="1">
        <w:r w:rsidRPr="0061639D">
          <w:rPr>
            <w:rStyle w:val="Hyperlink"/>
            <w:rFonts w:ascii="Arial" w:hAnsi="Arial" w:cs="Arial"/>
            <w:b/>
            <w:bCs/>
          </w:rPr>
          <w:t>https://www.legislation.gov.uk/ukpga/1989/41/section/47</w:t>
        </w:r>
      </w:hyperlink>
      <w:r w:rsidRPr="0061639D">
        <w:rPr>
          <w:rFonts w:ascii="Arial" w:hAnsi="Arial" w:cs="Arial"/>
          <w:b/>
          <w:bCs/>
          <w:u w:val="single"/>
        </w:rPr>
        <w:t>.  (Accessed: 21 October  2025). </w:t>
      </w:r>
    </w:p>
    <w:p w14:paraId="6AC9DE11" w14:textId="77777777" w:rsidR="00016149" w:rsidRPr="0061639D" w:rsidRDefault="00016149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>Legislation.gov.uk (2004) Children Act 2004. Available at: </w:t>
      </w:r>
      <w:hyperlink r:id="rId8" w:tgtFrame="_blank" w:tooltip="https://www.legislation.gov.uk/ukpga/2004/31/section/11" w:history="1">
        <w:r w:rsidRPr="0061639D">
          <w:rPr>
            <w:rStyle w:val="Hyperlink"/>
            <w:rFonts w:ascii="Arial" w:hAnsi="Arial" w:cs="Arial"/>
            <w:b/>
            <w:bCs/>
          </w:rPr>
          <w:t>https://www.legislation.gov.uk/ukpga/2004/31/section/11</w:t>
        </w:r>
      </w:hyperlink>
      <w:r w:rsidRPr="0061639D">
        <w:rPr>
          <w:rFonts w:ascii="Arial" w:hAnsi="Arial" w:cs="Arial"/>
          <w:b/>
          <w:bCs/>
          <w:u w:val="single"/>
        </w:rPr>
        <w:t>. ‌ (Accessed: 20 October 2025). </w:t>
      </w:r>
    </w:p>
    <w:p w14:paraId="5D591694" w14:textId="77777777" w:rsidR="00016149" w:rsidRPr="0061639D" w:rsidRDefault="00016149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>Legislation.gov.uk (2014) Children Act 1989. Available at: </w:t>
      </w:r>
      <w:hyperlink r:id="rId9" w:tgtFrame="_blank" w:tooltip="https://www.legislation.gov.uk/ukpga/1989/41/section/46" w:history="1">
        <w:r w:rsidRPr="0061639D">
          <w:rPr>
            <w:rStyle w:val="Hyperlink"/>
            <w:rFonts w:ascii="Arial" w:hAnsi="Arial" w:cs="Arial"/>
            <w:b/>
            <w:bCs/>
          </w:rPr>
          <w:t>https://www.legislation.gov.uk/ukpga/1989/41/section/46</w:t>
        </w:r>
      </w:hyperlink>
      <w:r w:rsidRPr="0061639D">
        <w:rPr>
          <w:rFonts w:ascii="Arial" w:hAnsi="Arial" w:cs="Arial"/>
          <w:b/>
          <w:bCs/>
          <w:u w:val="single"/>
        </w:rPr>
        <w:t>. (Accessed: 21 October  2025). </w:t>
      </w:r>
    </w:p>
    <w:p w14:paraId="3DC414E4" w14:textId="77777777" w:rsidR="00016149" w:rsidRPr="0061639D" w:rsidRDefault="00016149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>National Institute for Health and Care Excellence (NICE) (2022) Type 2 diabetes in adults: management (NG28). Available at: </w:t>
      </w:r>
      <w:hyperlink r:id="rId10" w:tgtFrame="_blank" w:tooltip="https://www.nice.org.uk/guidance/ng28" w:history="1">
        <w:r w:rsidRPr="0061639D">
          <w:rPr>
            <w:rStyle w:val="Hyperlink"/>
            <w:rFonts w:ascii="Arial" w:hAnsi="Arial" w:cs="Arial"/>
            <w:b/>
            <w:bCs/>
          </w:rPr>
          <w:t>https://www.nice.org.uk/guidance/ng28</w:t>
        </w:r>
      </w:hyperlink>
      <w:r w:rsidRPr="0061639D">
        <w:rPr>
          <w:rFonts w:ascii="Arial" w:hAnsi="Arial" w:cs="Arial"/>
          <w:b/>
          <w:bCs/>
          <w:u w:val="single"/>
        </w:rPr>
        <w:t> (Accessed: 21 October 2025).</w:t>
      </w:r>
    </w:p>
    <w:p w14:paraId="2662429A" w14:textId="77777777" w:rsidR="00016149" w:rsidRPr="0061639D" w:rsidRDefault="00016149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>National Institute for Health and Care Excellence (NICE) (2023) Diabetes – type 2: Scenario: Management – adults. Available at: </w:t>
      </w:r>
      <w:hyperlink r:id="rId11" w:tgtFrame="_blank" w:tooltip="https://cks.nice.org.uk/topics/diabetes-type-2/management/management-adults/" w:history="1">
        <w:r w:rsidRPr="0061639D">
          <w:rPr>
            <w:rStyle w:val="Hyperlink"/>
            <w:rFonts w:ascii="Arial" w:hAnsi="Arial" w:cs="Arial"/>
            <w:b/>
            <w:bCs/>
          </w:rPr>
          <w:t>https://cks.nice.org.uk/topics/diabetes-type-2/management/management-adults/</w:t>
        </w:r>
      </w:hyperlink>
      <w:r w:rsidRPr="0061639D">
        <w:rPr>
          <w:rFonts w:ascii="Arial" w:hAnsi="Arial" w:cs="Arial"/>
          <w:b/>
          <w:bCs/>
          <w:u w:val="single"/>
        </w:rPr>
        <w:t> (Accessed: 20 October 2025).</w:t>
      </w:r>
    </w:p>
    <w:p w14:paraId="22A1C445" w14:textId="77777777" w:rsidR="00016149" w:rsidRPr="0061639D" w:rsidRDefault="00016149" w:rsidP="0061639D">
      <w:pPr>
        <w:rPr>
          <w:rFonts w:ascii="Arial" w:hAnsi="Arial" w:cs="Arial"/>
          <w:b/>
          <w:bCs/>
          <w:u w:val="single"/>
        </w:rPr>
      </w:pPr>
      <w:r w:rsidRPr="0061639D">
        <w:rPr>
          <w:rFonts w:ascii="Arial" w:hAnsi="Arial" w:cs="Arial"/>
          <w:b/>
          <w:bCs/>
          <w:u w:val="single"/>
        </w:rPr>
        <w:t xml:space="preserve">Taberna, M., Gil Moncayo, F., </w:t>
      </w:r>
      <w:proofErr w:type="spellStart"/>
      <w:r w:rsidRPr="0061639D">
        <w:rPr>
          <w:rFonts w:ascii="Arial" w:hAnsi="Arial" w:cs="Arial"/>
          <w:b/>
          <w:bCs/>
          <w:u w:val="single"/>
        </w:rPr>
        <w:t>Jané</w:t>
      </w:r>
      <w:proofErr w:type="spellEnd"/>
      <w:r w:rsidRPr="0061639D">
        <w:rPr>
          <w:rFonts w:ascii="Arial" w:hAnsi="Arial" w:cs="Arial"/>
          <w:b/>
          <w:bCs/>
          <w:u w:val="single"/>
        </w:rPr>
        <w:t xml:space="preserve">-Salas, E., Antonio, M., Arribas, L., </w:t>
      </w:r>
      <w:proofErr w:type="spellStart"/>
      <w:r w:rsidRPr="0061639D">
        <w:rPr>
          <w:rFonts w:ascii="Arial" w:hAnsi="Arial" w:cs="Arial"/>
          <w:b/>
          <w:bCs/>
          <w:u w:val="single"/>
        </w:rPr>
        <w:t>Vilajosana</w:t>
      </w:r>
      <w:proofErr w:type="spellEnd"/>
      <w:r w:rsidRPr="0061639D">
        <w:rPr>
          <w:rFonts w:ascii="Arial" w:hAnsi="Arial" w:cs="Arial"/>
          <w:b/>
          <w:bCs/>
          <w:u w:val="single"/>
        </w:rPr>
        <w:t xml:space="preserve">, E., </w:t>
      </w:r>
      <w:proofErr w:type="spellStart"/>
      <w:r w:rsidRPr="0061639D">
        <w:rPr>
          <w:rFonts w:ascii="Arial" w:hAnsi="Arial" w:cs="Arial"/>
          <w:b/>
          <w:bCs/>
          <w:u w:val="single"/>
        </w:rPr>
        <w:t>Peralvez</w:t>
      </w:r>
      <w:proofErr w:type="spellEnd"/>
      <w:r w:rsidRPr="0061639D">
        <w:rPr>
          <w:rFonts w:ascii="Arial" w:hAnsi="Arial" w:cs="Arial"/>
          <w:b/>
          <w:bCs/>
          <w:u w:val="single"/>
        </w:rPr>
        <w:t xml:space="preserve"> Torres, E. &amp; </w:t>
      </w:r>
      <w:proofErr w:type="spellStart"/>
      <w:r w:rsidRPr="0061639D">
        <w:rPr>
          <w:rFonts w:ascii="Arial" w:hAnsi="Arial" w:cs="Arial"/>
          <w:b/>
          <w:bCs/>
          <w:u w:val="single"/>
        </w:rPr>
        <w:t>Mesía</w:t>
      </w:r>
      <w:proofErr w:type="spellEnd"/>
      <w:r w:rsidRPr="0061639D">
        <w:rPr>
          <w:rFonts w:ascii="Arial" w:hAnsi="Arial" w:cs="Arial"/>
          <w:b/>
          <w:bCs/>
          <w:u w:val="single"/>
        </w:rPr>
        <w:t xml:space="preserve">, R. (2020) ‘The multidisciplinary team (MDT) approach and quality of care’, Frontiers in Oncology, 10, 85. </w:t>
      </w:r>
      <w:proofErr w:type="spellStart"/>
      <w:r w:rsidRPr="0061639D">
        <w:rPr>
          <w:rFonts w:ascii="Arial" w:hAnsi="Arial" w:cs="Arial"/>
          <w:b/>
          <w:bCs/>
          <w:u w:val="single"/>
        </w:rPr>
        <w:t>doi</w:t>
      </w:r>
      <w:proofErr w:type="spellEnd"/>
      <w:r w:rsidRPr="0061639D">
        <w:rPr>
          <w:rFonts w:ascii="Arial" w:hAnsi="Arial" w:cs="Arial"/>
          <w:b/>
          <w:bCs/>
          <w:u w:val="single"/>
        </w:rPr>
        <w:t>: 10.3389/fonc.2020.00085. Available at: </w:t>
      </w:r>
      <w:hyperlink r:id="rId12" w:tgtFrame="_blank" w:tooltip="https://pmc.ncbi.nlm.nih.gov/articles/PMC7100151/" w:history="1">
        <w:r w:rsidRPr="0061639D">
          <w:rPr>
            <w:rStyle w:val="Hyperlink"/>
            <w:rFonts w:ascii="Arial" w:hAnsi="Arial" w:cs="Arial"/>
            <w:b/>
            <w:bCs/>
          </w:rPr>
          <w:t>https://pmc.ncbi.nlm.nih.gov/articles/PMC7100151/</w:t>
        </w:r>
      </w:hyperlink>
      <w:r w:rsidRPr="0061639D">
        <w:rPr>
          <w:rFonts w:ascii="Arial" w:hAnsi="Arial" w:cs="Arial"/>
          <w:b/>
          <w:bCs/>
          <w:u w:val="single"/>
        </w:rPr>
        <w:t> (Accessed: 21 October 2025).</w:t>
      </w:r>
    </w:p>
    <w:p w14:paraId="40A7EBE9" w14:textId="77777777" w:rsidR="00D747D8" w:rsidRPr="00D747D8" w:rsidRDefault="00D747D8" w:rsidP="00D747D8">
      <w:pPr>
        <w:rPr>
          <w:rFonts w:ascii="Arial" w:hAnsi="Arial" w:cs="Arial"/>
          <w:b/>
          <w:bCs/>
          <w:u w:val="single"/>
        </w:rPr>
      </w:pPr>
    </w:p>
    <w:p w14:paraId="4F245306" w14:textId="77777777" w:rsidR="00D747D8" w:rsidRDefault="00D747D8" w:rsidP="00D747D8">
      <w:pPr>
        <w:rPr>
          <w:rFonts w:ascii="Arial" w:hAnsi="Arial" w:cs="Arial"/>
        </w:rPr>
      </w:pPr>
    </w:p>
    <w:p w14:paraId="5A3349AE" w14:textId="77777777" w:rsidR="00D747D8" w:rsidRPr="00DA5241" w:rsidRDefault="00D747D8" w:rsidP="00D747D8">
      <w:pPr>
        <w:rPr>
          <w:rFonts w:ascii="Arial" w:hAnsi="Arial" w:cs="Arial"/>
        </w:rPr>
      </w:pPr>
    </w:p>
    <w:p w14:paraId="2392F2D3" w14:textId="77777777" w:rsidR="00371CD0" w:rsidRDefault="00371CD0"/>
    <w:sectPr w:rsidR="00371C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7D8"/>
    <w:rsid w:val="00016149"/>
    <w:rsid w:val="001B5CEE"/>
    <w:rsid w:val="00371CD0"/>
    <w:rsid w:val="00374BE3"/>
    <w:rsid w:val="003D22BA"/>
    <w:rsid w:val="0061639D"/>
    <w:rsid w:val="0077152C"/>
    <w:rsid w:val="00A30E3E"/>
    <w:rsid w:val="00BA2D9D"/>
    <w:rsid w:val="00D747D8"/>
    <w:rsid w:val="00F2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9A7B4"/>
  <w15:chartTrackingRefBased/>
  <w15:docId w15:val="{99D93707-C753-497C-BF91-0D066685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7D8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47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47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7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7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47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47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47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47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47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47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47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747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47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47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47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47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47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47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47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4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7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4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47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47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47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47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7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7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47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63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63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section/1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1989/41/section/47" TargetMode="External"/><Relationship Id="rId12" Type="http://schemas.openxmlformats.org/officeDocument/2006/relationships/hyperlink" Target="https://pmc.ncbi.nlm.nih.gov/articles/PMC710015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abetes.org.uk/for-professionals/improving-care/clinical-recommendations-for-professionals/healthcare-professional-staffing-competency/specialist-diabetes-team-role-and-members" TargetMode="External"/><Relationship Id="rId11" Type="http://schemas.openxmlformats.org/officeDocument/2006/relationships/hyperlink" Target="https://cks.nice.org.uk/topics/diabetes-type-2/management/management-adults/" TargetMode="External"/><Relationship Id="rId5" Type="http://schemas.openxmlformats.org/officeDocument/2006/relationships/hyperlink" Target="https://www.cdc.gov/vitalsigns/aces/index.html" TargetMode="External"/><Relationship Id="rId10" Type="http://schemas.openxmlformats.org/officeDocument/2006/relationships/hyperlink" Target="https://www.nice.org.uk/guidance/ng28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legislation.gov.uk/ukpga/1989/41/section/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Shumon Ahmed</dc:creator>
  <cp:keywords/>
  <dc:description/>
  <cp:lastModifiedBy>Shumon Ahmed</cp:lastModifiedBy>
  <cp:revision>4</cp:revision>
  <dcterms:created xsi:type="dcterms:W3CDTF">2025-10-23T22:12:00Z</dcterms:created>
  <dcterms:modified xsi:type="dcterms:W3CDTF">2025-10-23T22:57:00Z</dcterms:modified>
</cp:coreProperties>
</file>