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A4299" w:rsidRDefault="00CA4299" w:rsidP="00CA4299">
      <w:pPr>
        <w:pStyle w:val="NormalWeb"/>
        <w:spacing w:line="360" w:lineRule="auto"/>
        <w:jc w:val="center"/>
        <w:rPr>
          <w:rFonts w:cs="Arial"/>
          <w:b/>
          <w:bCs/>
          <w:szCs w:val="22"/>
        </w:rPr>
      </w:pPr>
      <w:r>
        <w:rPr>
          <w:rFonts w:cs="Arial"/>
          <w:b/>
          <w:bCs/>
          <w:szCs w:val="22"/>
        </w:rPr>
        <w:t>Student Name</w:t>
      </w:r>
      <w:r w:rsidR="008C6714">
        <w:rPr>
          <w:rFonts w:cs="Arial"/>
          <w:b/>
          <w:bCs/>
          <w:szCs w:val="22"/>
        </w:rPr>
        <w:t>: TAHIA HAQUE</w:t>
      </w:r>
    </w:p>
    <w:p w:rsidR="00CA4299" w:rsidRDefault="00CA4299" w:rsidP="00CA4299">
      <w:pPr>
        <w:pStyle w:val="NormalWeb"/>
        <w:spacing w:line="360" w:lineRule="auto"/>
        <w:jc w:val="center"/>
        <w:rPr>
          <w:rFonts w:cs="Arial"/>
          <w:b/>
          <w:bCs/>
          <w:szCs w:val="22"/>
        </w:rPr>
      </w:pPr>
    </w:p>
    <w:p w:rsidR="00CA4299" w:rsidRDefault="00CA4299" w:rsidP="00CA4299">
      <w:pPr>
        <w:pStyle w:val="NormalWeb"/>
        <w:spacing w:line="360" w:lineRule="auto"/>
        <w:jc w:val="center"/>
        <w:rPr>
          <w:rFonts w:cs="Arial"/>
          <w:b/>
          <w:bCs/>
          <w:szCs w:val="22"/>
        </w:rPr>
      </w:pPr>
      <w:r>
        <w:rPr>
          <w:rFonts w:cs="Arial"/>
          <w:b/>
          <w:bCs/>
          <w:szCs w:val="22"/>
        </w:rPr>
        <w:t>Student ID Number</w:t>
      </w:r>
      <w:r w:rsidR="008C6714">
        <w:rPr>
          <w:rFonts w:cs="Arial"/>
          <w:b/>
          <w:bCs/>
          <w:szCs w:val="22"/>
        </w:rPr>
        <w:t>: 2513087</w:t>
      </w:r>
    </w:p>
    <w:p w:rsidR="00CA4299" w:rsidRDefault="00CA4299" w:rsidP="00CA4299">
      <w:pPr>
        <w:pStyle w:val="NormalWeb"/>
        <w:spacing w:line="360" w:lineRule="auto"/>
        <w:jc w:val="center"/>
        <w:rPr>
          <w:rFonts w:cs="Arial"/>
          <w:b/>
          <w:bCs/>
          <w:szCs w:val="22"/>
        </w:rPr>
      </w:pPr>
    </w:p>
    <w:p w:rsidR="00CA4299" w:rsidRDefault="00CA4299" w:rsidP="00CA4299">
      <w:pPr>
        <w:pStyle w:val="NormalWeb"/>
        <w:spacing w:line="360" w:lineRule="auto"/>
        <w:jc w:val="center"/>
        <w:rPr>
          <w:rFonts w:cs="Arial"/>
          <w:b/>
          <w:bCs/>
          <w:szCs w:val="22"/>
        </w:rPr>
      </w:pPr>
      <w:r>
        <w:rPr>
          <w:rFonts w:cs="Arial"/>
          <w:b/>
          <w:bCs/>
          <w:szCs w:val="22"/>
        </w:rPr>
        <w:t>Module Title</w:t>
      </w:r>
    </w:p>
    <w:p w:rsidR="00CA4299" w:rsidRDefault="00CA4299" w:rsidP="00CA4299">
      <w:pPr>
        <w:pStyle w:val="NormalWeb"/>
        <w:spacing w:line="360" w:lineRule="auto"/>
        <w:jc w:val="center"/>
        <w:rPr>
          <w:rFonts w:cs="Arial"/>
          <w:b/>
          <w:bCs/>
          <w:szCs w:val="22"/>
        </w:rPr>
      </w:pPr>
      <w:r w:rsidRPr="00C9442C">
        <w:rPr>
          <w:rFonts w:cs="Arial"/>
          <w:b/>
          <w:bCs/>
          <w:szCs w:val="22"/>
        </w:rPr>
        <w:t xml:space="preserve">Health Care System, </w:t>
      </w:r>
      <w:r w:rsidR="008C6714" w:rsidRPr="00C9442C">
        <w:rPr>
          <w:rFonts w:cs="Arial"/>
          <w:b/>
          <w:bCs/>
          <w:szCs w:val="22"/>
        </w:rPr>
        <w:t>Organization</w:t>
      </w:r>
      <w:r w:rsidRPr="00C9442C">
        <w:rPr>
          <w:rFonts w:cs="Arial"/>
          <w:b/>
          <w:bCs/>
          <w:szCs w:val="22"/>
        </w:rPr>
        <w:t xml:space="preserve"> and Leadership</w:t>
      </w:r>
    </w:p>
    <w:p w:rsidR="00CA4299" w:rsidRDefault="00CA4299" w:rsidP="00CA4299">
      <w:pPr>
        <w:pStyle w:val="NormalWeb"/>
        <w:spacing w:line="360" w:lineRule="auto"/>
        <w:jc w:val="center"/>
        <w:rPr>
          <w:rFonts w:cs="Arial"/>
          <w:b/>
          <w:bCs/>
          <w:szCs w:val="22"/>
        </w:rPr>
      </w:pPr>
    </w:p>
    <w:p w:rsidR="00CA4299" w:rsidRDefault="00CA4299" w:rsidP="00CA4299">
      <w:pPr>
        <w:pStyle w:val="NormalWeb"/>
        <w:spacing w:line="360" w:lineRule="auto"/>
        <w:jc w:val="center"/>
        <w:rPr>
          <w:rFonts w:cs="Arial"/>
          <w:b/>
          <w:bCs/>
          <w:szCs w:val="22"/>
        </w:rPr>
      </w:pPr>
      <w:r>
        <w:rPr>
          <w:rFonts w:cs="Arial"/>
          <w:b/>
          <w:bCs/>
          <w:szCs w:val="22"/>
        </w:rPr>
        <w:t>Module Code</w:t>
      </w:r>
    </w:p>
    <w:p w:rsidR="00CA4299" w:rsidRDefault="00CA4299" w:rsidP="00CA4299">
      <w:pPr>
        <w:pStyle w:val="NormalWeb"/>
        <w:spacing w:line="360" w:lineRule="auto"/>
        <w:jc w:val="center"/>
        <w:rPr>
          <w:rFonts w:cs="Arial"/>
          <w:b/>
          <w:bCs/>
          <w:szCs w:val="22"/>
        </w:rPr>
      </w:pPr>
      <w:r>
        <w:rPr>
          <w:rFonts w:cs="Arial"/>
          <w:b/>
          <w:bCs/>
          <w:szCs w:val="22"/>
        </w:rPr>
        <w:t>LCHS7002</w:t>
      </w:r>
    </w:p>
    <w:p w:rsidR="00CA4299" w:rsidRDefault="00CA4299" w:rsidP="00CA4299">
      <w:pPr>
        <w:pStyle w:val="NormalWeb"/>
        <w:spacing w:line="360" w:lineRule="auto"/>
        <w:jc w:val="center"/>
        <w:rPr>
          <w:rFonts w:cs="Arial"/>
          <w:b/>
          <w:bCs/>
          <w:szCs w:val="22"/>
        </w:rPr>
      </w:pPr>
    </w:p>
    <w:p w:rsidR="00CA4299" w:rsidRDefault="00CA4299" w:rsidP="00CA4299">
      <w:pPr>
        <w:pStyle w:val="NormalWeb"/>
        <w:spacing w:line="360" w:lineRule="auto"/>
        <w:jc w:val="center"/>
        <w:rPr>
          <w:rFonts w:cs="Arial"/>
          <w:b/>
          <w:bCs/>
          <w:szCs w:val="22"/>
        </w:rPr>
      </w:pPr>
      <w:r>
        <w:rPr>
          <w:rFonts w:cs="Arial"/>
          <w:b/>
          <w:bCs/>
          <w:szCs w:val="22"/>
        </w:rPr>
        <w:t>Lecturer’s Name</w:t>
      </w:r>
    </w:p>
    <w:p w:rsidR="00CA4299" w:rsidRDefault="00CA4299" w:rsidP="00CA4299">
      <w:pPr>
        <w:pStyle w:val="NormalWeb"/>
        <w:spacing w:line="360" w:lineRule="auto"/>
        <w:jc w:val="center"/>
        <w:rPr>
          <w:rFonts w:cs="Arial"/>
          <w:b/>
          <w:bCs/>
          <w:szCs w:val="22"/>
        </w:rPr>
      </w:pPr>
      <w:r w:rsidRPr="00C9442C">
        <w:rPr>
          <w:rFonts w:cs="Arial"/>
          <w:b/>
          <w:bCs/>
          <w:szCs w:val="22"/>
        </w:rPr>
        <w:t>Dr Fahad Khan</w:t>
      </w:r>
    </w:p>
    <w:p w:rsidR="00CA4299" w:rsidRDefault="00CA4299" w:rsidP="00CA4299">
      <w:pPr>
        <w:pStyle w:val="NormalWeb"/>
        <w:spacing w:line="360" w:lineRule="auto"/>
        <w:jc w:val="center"/>
        <w:rPr>
          <w:rFonts w:cs="Arial"/>
          <w:b/>
          <w:bCs/>
          <w:szCs w:val="22"/>
        </w:rPr>
      </w:pPr>
    </w:p>
    <w:p w:rsidR="00CA4299" w:rsidRDefault="00CA4299" w:rsidP="00CA4299">
      <w:pPr>
        <w:pStyle w:val="NormalWeb"/>
        <w:spacing w:line="360" w:lineRule="auto"/>
        <w:jc w:val="center"/>
        <w:rPr>
          <w:rFonts w:cs="Arial"/>
          <w:b/>
          <w:bCs/>
          <w:szCs w:val="22"/>
        </w:rPr>
      </w:pPr>
      <w:r>
        <w:rPr>
          <w:rFonts w:cs="Arial"/>
          <w:b/>
          <w:bCs/>
          <w:szCs w:val="22"/>
        </w:rPr>
        <w:t>Assignment Title</w:t>
      </w:r>
    </w:p>
    <w:p w:rsidR="00CA4299" w:rsidRPr="00C9442C" w:rsidRDefault="00CA4299" w:rsidP="00CA4299">
      <w:pPr>
        <w:pStyle w:val="NormalWeb"/>
        <w:jc w:val="center"/>
        <w:rPr>
          <w:rFonts w:cs="Arial"/>
          <w:b/>
          <w:bCs/>
          <w:szCs w:val="22"/>
        </w:rPr>
      </w:pPr>
      <w:r w:rsidRPr="00C9442C">
        <w:rPr>
          <w:rFonts w:cs="Arial"/>
          <w:b/>
          <w:bCs/>
          <w:szCs w:val="22"/>
        </w:rPr>
        <w:t xml:space="preserve">Case Study Analysis Report:   </w:t>
      </w:r>
    </w:p>
    <w:p w:rsidR="00CA4299" w:rsidRDefault="00CA4299" w:rsidP="00CA4299">
      <w:pPr>
        <w:pStyle w:val="NormalWeb"/>
        <w:spacing w:line="360" w:lineRule="auto"/>
        <w:jc w:val="center"/>
        <w:rPr>
          <w:rFonts w:cs="Arial"/>
          <w:b/>
          <w:bCs/>
          <w:szCs w:val="22"/>
        </w:rPr>
      </w:pPr>
      <w:r w:rsidRPr="00C9442C">
        <w:rPr>
          <w:rFonts w:cs="Arial"/>
          <w:b/>
          <w:bCs/>
          <w:szCs w:val="22"/>
        </w:rPr>
        <w:t>Comparative report on COVID19 leadership responses</w:t>
      </w:r>
    </w:p>
    <w:p w:rsidR="00CA4299" w:rsidRDefault="00CA4299" w:rsidP="00CA4299">
      <w:pPr>
        <w:pStyle w:val="NormalWeb"/>
        <w:spacing w:line="360" w:lineRule="auto"/>
        <w:jc w:val="center"/>
        <w:rPr>
          <w:rFonts w:cs="Arial"/>
          <w:b/>
          <w:bCs/>
          <w:szCs w:val="22"/>
        </w:rPr>
      </w:pPr>
    </w:p>
    <w:p w:rsidR="00372FDD" w:rsidRPr="002A5EA9" w:rsidRDefault="00CA4299" w:rsidP="00CA4299">
      <w:pPr>
        <w:pStyle w:val="NormalWeb"/>
        <w:spacing w:line="360" w:lineRule="auto"/>
        <w:jc w:val="center"/>
        <w:rPr>
          <w:rFonts w:cs="Arial"/>
          <w:b/>
          <w:bCs/>
          <w:szCs w:val="22"/>
        </w:rPr>
      </w:pPr>
      <w:r>
        <w:rPr>
          <w:rFonts w:cs="Arial"/>
          <w:b/>
          <w:bCs/>
          <w:szCs w:val="22"/>
        </w:rPr>
        <w:t>Word Count: 5</w:t>
      </w:r>
      <w:r w:rsidR="00CD50B4">
        <w:rPr>
          <w:rFonts w:cs="Arial"/>
          <w:b/>
          <w:bCs/>
          <w:szCs w:val="22"/>
        </w:rPr>
        <w:t>491</w:t>
      </w:r>
    </w:p>
    <w:p w:rsidR="00E40009" w:rsidRPr="00191E9E" w:rsidRDefault="00372FDD" w:rsidP="00191E9E">
      <w:pPr>
        <w:rPr>
          <w:b/>
          <w:bCs/>
          <w:sz w:val="24"/>
          <w:szCs w:val="24"/>
        </w:rPr>
      </w:pPr>
      <w:r w:rsidRPr="00191E9E">
        <w:rPr>
          <w:rFonts w:cs="Arial"/>
          <w:b/>
          <w:bCs/>
          <w:sz w:val="24"/>
          <w:szCs w:val="24"/>
        </w:rPr>
        <w:br w:type="page"/>
      </w:r>
      <w:r w:rsidR="00E40009" w:rsidRPr="00191E9E">
        <w:rPr>
          <w:b/>
          <w:bCs/>
          <w:sz w:val="24"/>
          <w:szCs w:val="24"/>
        </w:rPr>
        <w:lastRenderedPageBreak/>
        <w:t>Executive Summary</w:t>
      </w:r>
    </w:p>
    <w:p w:rsidR="00FD1CB8" w:rsidRPr="00FD1CB8" w:rsidRDefault="00FD1CB8" w:rsidP="00FD1CB8">
      <w:pPr>
        <w:spacing w:before="100" w:beforeAutospacing="1" w:after="100" w:afterAutospacing="1"/>
        <w:rPr>
          <w:rFonts w:eastAsia="Times New Roman" w:cs="Arial"/>
        </w:rPr>
      </w:pPr>
      <w:r w:rsidRPr="00FD1CB8">
        <w:rPr>
          <w:rFonts w:eastAsia="Times New Roman" w:cs="Arial"/>
        </w:rPr>
        <w:t>The COVID 19 pandemic confronted health system leaders with a fast moving, uncertain and politically contested crisis. Spain, South Korea and Canada all had relatively strong health systems on paper, yet their pandemic trajectories differed markedly. This report compares how political and health system leaders in the three countries used existing governance arrangements, public health capacity and digital infrastructure to steer their systems through the crisis. The analysis draws on systems thinking and complexity sensitive leadership theory, treating leadership as a collective practice distributed across levels rather than the attribute of a single heroic figure.</w:t>
      </w:r>
    </w:p>
    <w:p w:rsidR="00FD1CB8" w:rsidRPr="00FD1CB8" w:rsidRDefault="00FD1CB8" w:rsidP="00FD1CB8">
      <w:pPr>
        <w:spacing w:before="100" w:beforeAutospacing="1" w:after="100" w:afterAutospacing="1"/>
        <w:rPr>
          <w:rFonts w:eastAsia="Times New Roman" w:cs="Arial"/>
        </w:rPr>
      </w:pPr>
      <w:r w:rsidRPr="00FD1CB8">
        <w:rPr>
          <w:rFonts w:eastAsia="Times New Roman" w:cs="Arial"/>
        </w:rPr>
        <w:t>A comparative qualitative case study approach is used, combining peer reviewed literature, official inquiries and international reports. Spain illustrates a highly decentralised National Health System that entered the pandemic after a decade of austerity and weakly integrated long-term care. South Korea represents a system that had already internalised lessons from previous outbreaks and invested heavily in public health and data infrastructure. Canada shows the strengths and weaknesses of a federal system where provinces control health care and long-term care sits at the intersection of health and social policy.</w:t>
      </w:r>
    </w:p>
    <w:p w:rsidR="00FD1CB8" w:rsidRPr="00FD1CB8" w:rsidRDefault="00FD1CB8" w:rsidP="00FD1CB8">
      <w:pPr>
        <w:spacing w:before="100" w:beforeAutospacing="1" w:after="100" w:afterAutospacing="1"/>
        <w:rPr>
          <w:rFonts w:eastAsia="Times New Roman" w:cs="Arial"/>
        </w:rPr>
      </w:pPr>
      <w:r w:rsidRPr="00FD1CB8">
        <w:rPr>
          <w:rFonts w:eastAsia="Times New Roman" w:cs="Arial"/>
        </w:rPr>
        <w:t>The report argues that outcomes were shaped by three interlocking factors. First, preexisting investments in public health, surveillance and long-term care created very different starting points. Second, the balance between central direction and local autonomy influenced the speed and coherence of responses. Third, leadership practices related to communication, learning and attention to equity affected public trust and the distribution of harms. Hybrid arrangements that combined clear national stewardship with empowered subnational actors, and that treated long term care as a core part of the health system rather than a neglected adjunct, proved more resilient.</w:t>
      </w:r>
    </w:p>
    <w:p w:rsidR="00E40009" w:rsidRPr="00A95AC7" w:rsidRDefault="00FD1CB8" w:rsidP="00FD1CB8">
      <w:pPr>
        <w:spacing w:before="100" w:beforeAutospacing="1" w:after="100" w:afterAutospacing="1"/>
        <w:rPr>
          <w:rFonts w:eastAsia="Times New Roman" w:cs="Arial"/>
        </w:rPr>
      </w:pPr>
      <w:r w:rsidRPr="00FD1CB8">
        <w:rPr>
          <w:rFonts w:eastAsia="Times New Roman" w:cs="Arial"/>
        </w:rPr>
        <w:t>Recommendations focus on embedding complexity aware leadership capabilities, strengthening public health and long-term care, building integrated data and learning infrastructures, and designing governance that can flex between centralisation and decentralisation without losing accountability or equity.</w:t>
      </w:r>
    </w:p>
    <w:p w:rsidR="00E40009" w:rsidRDefault="00E40009">
      <w:pPr>
        <w:spacing w:after="78"/>
        <w:ind w:left="-6"/>
        <w:rPr>
          <w:rFonts w:cs="Arial"/>
        </w:rPr>
      </w:pPr>
      <w:r>
        <w:rPr>
          <w:rFonts w:cs="Arial"/>
        </w:rPr>
        <w:br w:type="page"/>
      </w:r>
    </w:p>
    <w:p w:rsidR="00372FDD" w:rsidRPr="004A1061" w:rsidRDefault="00372FDD" w:rsidP="004A1061">
      <w:pPr>
        <w:spacing w:after="78"/>
        <w:ind w:left="-6"/>
        <w:rPr>
          <w:rFonts w:eastAsia="Times New Roman" w:cs="Arial"/>
        </w:rPr>
      </w:pPr>
    </w:p>
    <w:sdt>
      <w:sdtPr>
        <w:rPr>
          <w:rFonts w:cs="Arial"/>
          <w:b/>
          <w:bCs/>
          <w:sz w:val="26"/>
          <w:szCs w:val="26"/>
        </w:rPr>
        <w:id w:val="1450279578"/>
        <w:docPartObj>
          <w:docPartGallery w:val="Table of Contents"/>
          <w:docPartUnique/>
        </w:docPartObj>
      </w:sdtPr>
      <w:sdtEndPr>
        <w:rPr>
          <w:noProof/>
          <w:sz w:val="22"/>
          <w:szCs w:val="22"/>
        </w:rPr>
      </w:sdtEndPr>
      <w:sdtContent>
        <w:p w:rsidR="00372FDD" w:rsidRPr="004A1061" w:rsidRDefault="00372FDD" w:rsidP="004A1061">
          <w:pPr>
            <w:rPr>
              <w:rFonts w:cs="Arial"/>
              <w:b/>
              <w:bCs/>
              <w:sz w:val="26"/>
              <w:szCs w:val="26"/>
            </w:rPr>
          </w:pPr>
          <w:r w:rsidRPr="004A1061">
            <w:rPr>
              <w:rFonts w:cs="Arial"/>
              <w:b/>
              <w:bCs/>
              <w:sz w:val="26"/>
              <w:szCs w:val="26"/>
            </w:rPr>
            <w:t>Table of Contents</w:t>
          </w:r>
        </w:p>
        <w:p w:rsidR="00203F5D" w:rsidRDefault="006A5278">
          <w:pPr>
            <w:pStyle w:val="TOC1"/>
            <w:tabs>
              <w:tab w:val="right" w:leader="dot" w:pos="9019"/>
            </w:tabs>
            <w:rPr>
              <w:rFonts w:asciiTheme="minorHAnsi" w:eastAsiaTheme="minorEastAsia" w:hAnsiTheme="minorHAnsi"/>
              <w:noProof/>
            </w:rPr>
          </w:pPr>
          <w:r w:rsidRPr="006A5278">
            <w:rPr>
              <w:rFonts w:cs="Arial"/>
            </w:rPr>
            <w:fldChar w:fldCharType="begin"/>
          </w:r>
          <w:r w:rsidR="00372FDD" w:rsidRPr="004A1061">
            <w:rPr>
              <w:rFonts w:cs="Arial"/>
            </w:rPr>
            <w:instrText xml:space="preserve"> TOC \o "1-3" \h \z \u </w:instrText>
          </w:r>
          <w:r w:rsidRPr="006A5278">
            <w:rPr>
              <w:rFonts w:cs="Arial"/>
            </w:rPr>
            <w:fldChar w:fldCharType="separate"/>
          </w:r>
          <w:hyperlink w:anchor="_Toc214574497" w:history="1">
            <w:r w:rsidR="00203F5D" w:rsidRPr="00E77A65">
              <w:rPr>
                <w:rStyle w:val="Hyperlink"/>
                <w:rFonts w:eastAsia="Times New Roman"/>
                <w:noProof/>
              </w:rPr>
              <w:t>1. Introduction</w:t>
            </w:r>
            <w:r w:rsidR="00203F5D">
              <w:rPr>
                <w:noProof/>
                <w:webHidden/>
              </w:rPr>
              <w:tab/>
            </w:r>
            <w:r>
              <w:rPr>
                <w:noProof/>
                <w:webHidden/>
              </w:rPr>
              <w:fldChar w:fldCharType="begin"/>
            </w:r>
            <w:r w:rsidR="00203F5D">
              <w:rPr>
                <w:noProof/>
                <w:webHidden/>
              </w:rPr>
              <w:instrText xml:space="preserve"> PAGEREF _Toc214574497 \h </w:instrText>
            </w:r>
            <w:r>
              <w:rPr>
                <w:noProof/>
                <w:webHidden/>
              </w:rPr>
            </w:r>
            <w:r>
              <w:rPr>
                <w:noProof/>
                <w:webHidden/>
              </w:rPr>
              <w:fldChar w:fldCharType="separate"/>
            </w:r>
            <w:r w:rsidR="00203F5D">
              <w:rPr>
                <w:noProof/>
                <w:webHidden/>
              </w:rPr>
              <w:t>5</w:t>
            </w:r>
            <w:r>
              <w:rPr>
                <w:noProof/>
                <w:webHidden/>
              </w:rPr>
              <w:fldChar w:fldCharType="end"/>
            </w:r>
          </w:hyperlink>
        </w:p>
        <w:p w:rsidR="00203F5D" w:rsidRDefault="006A5278">
          <w:pPr>
            <w:pStyle w:val="TOC1"/>
            <w:tabs>
              <w:tab w:val="right" w:leader="dot" w:pos="9019"/>
            </w:tabs>
            <w:rPr>
              <w:rFonts w:asciiTheme="minorHAnsi" w:eastAsiaTheme="minorEastAsia" w:hAnsiTheme="minorHAnsi"/>
              <w:noProof/>
            </w:rPr>
          </w:pPr>
          <w:hyperlink w:anchor="_Toc214574498" w:history="1">
            <w:r w:rsidR="00203F5D" w:rsidRPr="00E77A65">
              <w:rPr>
                <w:rStyle w:val="Hyperlink"/>
                <w:rFonts w:eastAsia="Times New Roman"/>
                <w:noProof/>
              </w:rPr>
              <w:t>2. Analytical framework and methods</w:t>
            </w:r>
            <w:r w:rsidR="00203F5D">
              <w:rPr>
                <w:noProof/>
                <w:webHidden/>
              </w:rPr>
              <w:tab/>
            </w:r>
            <w:r>
              <w:rPr>
                <w:noProof/>
                <w:webHidden/>
              </w:rPr>
              <w:fldChar w:fldCharType="begin"/>
            </w:r>
            <w:r w:rsidR="00203F5D">
              <w:rPr>
                <w:noProof/>
                <w:webHidden/>
              </w:rPr>
              <w:instrText xml:space="preserve"> PAGEREF _Toc214574498 \h </w:instrText>
            </w:r>
            <w:r>
              <w:rPr>
                <w:noProof/>
                <w:webHidden/>
              </w:rPr>
            </w:r>
            <w:r>
              <w:rPr>
                <w:noProof/>
                <w:webHidden/>
              </w:rPr>
              <w:fldChar w:fldCharType="separate"/>
            </w:r>
            <w:r w:rsidR="00203F5D">
              <w:rPr>
                <w:noProof/>
                <w:webHidden/>
              </w:rPr>
              <w:t>5</w:t>
            </w:r>
            <w:r>
              <w:rPr>
                <w:noProof/>
                <w:webHidden/>
              </w:rPr>
              <w:fldChar w:fldCharType="end"/>
            </w:r>
          </w:hyperlink>
        </w:p>
        <w:p w:rsidR="00203F5D" w:rsidRDefault="006A5278">
          <w:pPr>
            <w:pStyle w:val="TOC2"/>
            <w:tabs>
              <w:tab w:val="right" w:leader="dot" w:pos="9019"/>
            </w:tabs>
            <w:rPr>
              <w:rFonts w:asciiTheme="minorHAnsi" w:eastAsiaTheme="minorEastAsia" w:hAnsiTheme="minorHAnsi"/>
              <w:noProof/>
            </w:rPr>
          </w:pPr>
          <w:hyperlink w:anchor="_Toc214574499" w:history="1">
            <w:r w:rsidR="00203F5D" w:rsidRPr="00E77A65">
              <w:rPr>
                <w:rStyle w:val="Hyperlink"/>
                <w:noProof/>
              </w:rPr>
              <w:t>2.1. Leadership in complex health systems</w:t>
            </w:r>
            <w:r w:rsidR="00203F5D">
              <w:rPr>
                <w:noProof/>
                <w:webHidden/>
              </w:rPr>
              <w:tab/>
            </w:r>
            <w:r>
              <w:rPr>
                <w:noProof/>
                <w:webHidden/>
              </w:rPr>
              <w:fldChar w:fldCharType="begin"/>
            </w:r>
            <w:r w:rsidR="00203F5D">
              <w:rPr>
                <w:noProof/>
                <w:webHidden/>
              </w:rPr>
              <w:instrText xml:space="preserve"> PAGEREF _Toc214574499 \h </w:instrText>
            </w:r>
            <w:r>
              <w:rPr>
                <w:noProof/>
                <w:webHidden/>
              </w:rPr>
            </w:r>
            <w:r>
              <w:rPr>
                <w:noProof/>
                <w:webHidden/>
              </w:rPr>
              <w:fldChar w:fldCharType="separate"/>
            </w:r>
            <w:r w:rsidR="00203F5D">
              <w:rPr>
                <w:noProof/>
                <w:webHidden/>
              </w:rPr>
              <w:t>5</w:t>
            </w:r>
            <w:r>
              <w:rPr>
                <w:noProof/>
                <w:webHidden/>
              </w:rPr>
              <w:fldChar w:fldCharType="end"/>
            </w:r>
          </w:hyperlink>
        </w:p>
        <w:p w:rsidR="00203F5D" w:rsidRDefault="006A5278">
          <w:pPr>
            <w:pStyle w:val="TOC2"/>
            <w:tabs>
              <w:tab w:val="right" w:leader="dot" w:pos="9019"/>
            </w:tabs>
            <w:rPr>
              <w:rFonts w:asciiTheme="minorHAnsi" w:eastAsiaTheme="minorEastAsia" w:hAnsiTheme="minorHAnsi"/>
              <w:noProof/>
            </w:rPr>
          </w:pPr>
          <w:hyperlink w:anchor="_Toc214574500" w:history="1">
            <w:r w:rsidR="00203F5D" w:rsidRPr="00E77A65">
              <w:rPr>
                <w:rStyle w:val="Hyperlink"/>
                <w:noProof/>
              </w:rPr>
              <w:t>2.2. Systems thinking and rich picture mapping</w:t>
            </w:r>
            <w:r w:rsidR="00203F5D">
              <w:rPr>
                <w:noProof/>
                <w:webHidden/>
              </w:rPr>
              <w:tab/>
            </w:r>
            <w:r>
              <w:rPr>
                <w:noProof/>
                <w:webHidden/>
              </w:rPr>
              <w:fldChar w:fldCharType="begin"/>
            </w:r>
            <w:r w:rsidR="00203F5D">
              <w:rPr>
                <w:noProof/>
                <w:webHidden/>
              </w:rPr>
              <w:instrText xml:space="preserve"> PAGEREF _Toc214574500 \h </w:instrText>
            </w:r>
            <w:r>
              <w:rPr>
                <w:noProof/>
                <w:webHidden/>
              </w:rPr>
            </w:r>
            <w:r>
              <w:rPr>
                <w:noProof/>
                <w:webHidden/>
              </w:rPr>
              <w:fldChar w:fldCharType="separate"/>
            </w:r>
            <w:r w:rsidR="00203F5D">
              <w:rPr>
                <w:noProof/>
                <w:webHidden/>
              </w:rPr>
              <w:t>6</w:t>
            </w:r>
            <w:r>
              <w:rPr>
                <w:noProof/>
                <w:webHidden/>
              </w:rPr>
              <w:fldChar w:fldCharType="end"/>
            </w:r>
          </w:hyperlink>
        </w:p>
        <w:p w:rsidR="00203F5D" w:rsidRDefault="006A5278">
          <w:pPr>
            <w:pStyle w:val="TOC2"/>
            <w:tabs>
              <w:tab w:val="right" w:leader="dot" w:pos="9019"/>
            </w:tabs>
            <w:rPr>
              <w:rFonts w:asciiTheme="minorHAnsi" w:eastAsiaTheme="minorEastAsia" w:hAnsiTheme="minorHAnsi"/>
              <w:noProof/>
            </w:rPr>
          </w:pPr>
          <w:hyperlink w:anchor="_Toc214574501" w:history="1">
            <w:r w:rsidR="00203F5D" w:rsidRPr="00E77A65">
              <w:rPr>
                <w:rStyle w:val="Hyperlink"/>
                <w:noProof/>
              </w:rPr>
              <w:t>2.3. Centralisation, decentralisation and multilevel governance</w:t>
            </w:r>
            <w:r w:rsidR="00203F5D">
              <w:rPr>
                <w:noProof/>
                <w:webHidden/>
              </w:rPr>
              <w:tab/>
            </w:r>
            <w:r>
              <w:rPr>
                <w:noProof/>
                <w:webHidden/>
              </w:rPr>
              <w:fldChar w:fldCharType="begin"/>
            </w:r>
            <w:r w:rsidR="00203F5D">
              <w:rPr>
                <w:noProof/>
                <w:webHidden/>
              </w:rPr>
              <w:instrText xml:space="preserve"> PAGEREF _Toc214574501 \h </w:instrText>
            </w:r>
            <w:r>
              <w:rPr>
                <w:noProof/>
                <w:webHidden/>
              </w:rPr>
            </w:r>
            <w:r>
              <w:rPr>
                <w:noProof/>
                <w:webHidden/>
              </w:rPr>
              <w:fldChar w:fldCharType="separate"/>
            </w:r>
            <w:r w:rsidR="00203F5D">
              <w:rPr>
                <w:noProof/>
                <w:webHidden/>
              </w:rPr>
              <w:t>7</w:t>
            </w:r>
            <w:r>
              <w:rPr>
                <w:noProof/>
                <w:webHidden/>
              </w:rPr>
              <w:fldChar w:fldCharType="end"/>
            </w:r>
          </w:hyperlink>
        </w:p>
        <w:p w:rsidR="00203F5D" w:rsidRDefault="006A5278">
          <w:pPr>
            <w:pStyle w:val="TOC2"/>
            <w:tabs>
              <w:tab w:val="right" w:leader="dot" w:pos="9019"/>
            </w:tabs>
            <w:rPr>
              <w:rFonts w:asciiTheme="minorHAnsi" w:eastAsiaTheme="minorEastAsia" w:hAnsiTheme="minorHAnsi"/>
              <w:noProof/>
            </w:rPr>
          </w:pPr>
          <w:hyperlink w:anchor="_Toc214574502" w:history="1">
            <w:r w:rsidR="00203F5D" w:rsidRPr="00E77A65">
              <w:rPr>
                <w:rStyle w:val="Hyperlink"/>
                <w:noProof/>
              </w:rPr>
              <w:t>2.4. Methodology and data</w:t>
            </w:r>
            <w:r w:rsidR="00203F5D">
              <w:rPr>
                <w:noProof/>
                <w:webHidden/>
              </w:rPr>
              <w:tab/>
            </w:r>
            <w:r>
              <w:rPr>
                <w:noProof/>
                <w:webHidden/>
              </w:rPr>
              <w:fldChar w:fldCharType="begin"/>
            </w:r>
            <w:r w:rsidR="00203F5D">
              <w:rPr>
                <w:noProof/>
                <w:webHidden/>
              </w:rPr>
              <w:instrText xml:space="preserve"> PAGEREF _Toc214574502 \h </w:instrText>
            </w:r>
            <w:r>
              <w:rPr>
                <w:noProof/>
                <w:webHidden/>
              </w:rPr>
            </w:r>
            <w:r>
              <w:rPr>
                <w:noProof/>
                <w:webHidden/>
              </w:rPr>
              <w:fldChar w:fldCharType="separate"/>
            </w:r>
            <w:r w:rsidR="00203F5D">
              <w:rPr>
                <w:noProof/>
                <w:webHidden/>
              </w:rPr>
              <w:t>7</w:t>
            </w:r>
            <w:r>
              <w:rPr>
                <w:noProof/>
                <w:webHidden/>
              </w:rPr>
              <w:fldChar w:fldCharType="end"/>
            </w:r>
          </w:hyperlink>
        </w:p>
        <w:p w:rsidR="00203F5D" w:rsidRDefault="006A5278">
          <w:pPr>
            <w:pStyle w:val="TOC1"/>
            <w:tabs>
              <w:tab w:val="right" w:leader="dot" w:pos="9019"/>
            </w:tabs>
            <w:rPr>
              <w:rFonts w:asciiTheme="minorHAnsi" w:eastAsiaTheme="minorEastAsia" w:hAnsiTheme="minorHAnsi"/>
              <w:noProof/>
            </w:rPr>
          </w:pPr>
          <w:hyperlink w:anchor="_Toc214574503" w:history="1">
            <w:r w:rsidR="00203F5D" w:rsidRPr="00E77A65">
              <w:rPr>
                <w:rStyle w:val="Hyperlink"/>
                <w:rFonts w:eastAsia="Times New Roman"/>
                <w:noProof/>
              </w:rPr>
              <w:t>3. Health system organisation and governance before COVID 19</w:t>
            </w:r>
            <w:r w:rsidR="00203F5D">
              <w:rPr>
                <w:noProof/>
                <w:webHidden/>
              </w:rPr>
              <w:tab/>
            </w:r>
            <w:r>
              <w:rPr>
                <w:noProof/>
                <w:webHidden/>
              </w:rPr>
              <w:fldChar w:fldCharType="begin"/>
            </w:r>
            <w:r w:rsidR="00203F5D">
              <w:rPr>
                <w:noProof/>
                <w:webHidden/>
              </w:rPr>
              <w:instrText xml:space="preserve"> PAGEREF _Toc214574503 \h </w:instrText>
            </w:r>
            <w:r>
              <w:rPr>
                <w:noProof/>
                <w:webHidden/>
              </w:rPr>
            </w:r>
            <w:r>
              <w:rPr>
                <w:noProof/>
                <w:webHidden/>
              </w:rPr>
              <w:fldChar w:fldCharType="separate"/>
            </w:r>
            <w:r w:rsidR="00203F5D">
              <w:rPr>
                <w:noProof/>
                <w:webHidden/>
              </w:rPr>
              <w:t>8</w:t>
            </w:r>
            <w:r>
              <w:rPr>
                <w:noProof/>
                <w:webHidden/>
              </w:rPr>
              <w:fldChar w:fldCharType="end"/>
            </w:r>
          </w:hyperlink>
        </w:p>
        <w:p w:rsidR="00203F5D" w:rsidRDefault="006A5278">
          <w:pPr>
            <w:pStyle w:val="TOC2"/>
            <w:tabs>
              <w:tab w:val="right" w:leader="dot" w:pos="9019"/>
            </w:tabs>
            <w:rPr>
              <w:rFonts w:asciiTheme="minorHAnsi" w:eastAsiaTheme="minorEastAsia" w:hAnsiTheme="minorHAnsi"/>
              <w:noProof/>
            </w:rPr>
          </w:pPr>
          <w:hyperlink w:anchor="_Toc214574504" w:history="1">
            <w:r w:rsidR="00203F5D" w:rsidRPr="00E77A65">
              <w:rPr>
                <w:rStyle w:val="Hyperlink"/>
                <w:noProof/>
              </w:rPr>
              <w:t>3.1. Spain</w:t>
            </w:r>
            <w:r w:rsidR="00203F5D">
              <w:rPr>
                <w:noProof/>
                <w:webHidden/>
              </w:rPr>
              <w:tab/>
            </w:r>
            <w:r>
              <w:rPr>
                <w:noProof/>
                <w:webHidden/>
              </w:rPr>
              <w:fldChar w:fldCharType="begin"/>
            </w:r>
            <w:r w:rsidR="00203F5D">
              <w:rPr>
                <w:noProof/>
                <w:webHidden/>
              </w:rPr>
              <w:instrText xml:space="preserve"> PAGEREF _Toc214574504 \h </w:instrText>
            </w:r>
            <w:r>
              <w:rPr>
                <w:noProof/>
                <w:webHidden/>
              </w:rPr>
            </w:r>
            <w:r>
              <w:rPr>
                <w:noProof/>
                <w:webHidden/>
              </w:rPr>
              <w:fldChar w:fldCharType="separate"/>
            </w:r>
            <w:r w:rsidR="00203F5D">
              <w:rPr>
                <w:noProof/>
                <w:webHidden/>
              </w:rPr>
              <w:t>8</w:t>
            </w:r>
            <w:r>
              <w:rPr>
                <w:noProof/>
                <w:webHidden/>
              </w:rPr>
              <w:fldChar w:fldCharType="end"/>
            </w:r>
          </w:hyperlink>
        </w:p>
        <w:p w:rsidR="00203F5D" w:rsidRDefault="006A5278">
          <w:pPr>
            <w:pStyle w:val="TOC2"/>
            <w:tabs>
              <w:tab w:val="right" w:leader="dot" w:pos="9019"/>
            </w:tabs>
            <w:rPr>
              <w:rFonts w:asciiTheme="minorHAnsi" w:eastAsiaTheme="minorEastAsia" w:hAnsiTheme="minorHAnsi"/>
              <w:noProof/>
            </w:rPr>
          </w:pPr>
          <w:hyperlink w:anchor="_Toc214574505" w:history="1">
            <w:r w:rsidR="00203F5D" w:rsidRPr="00E77A65">
              <w:rPr>
                <w:rStyle w:val="Hyperlink"/>
                <w:noProof/>
              </w:rPr>
              <w:t>3.2. South Korea</w:t>
            </w:r>
            <w:r w:rsidR="00203F5D">
              <w:rPr>
                <w:noProof/>
                <w:webHidden/>
              </w:rPr>
              <w:tab/>
            </w:r>
            <w:r>
              <w:rPr>
                <w:noProof/>
                <w:webHidden/>
              </w:rPr>
              <w:fldChar w:fldCharType="begin"/>
            </w:r>
            <w:r w:rsidR="00203F5D">
              <w:rPr>
                <w:noProof/>
                <w:webHidden/>
              </w:rPr>
              <w:instrText xml:space="preserve"> PAGEREF _Toc214574505 \h </w:instrText>
            </w:r>
            <w:r>
              <w:rPr>
                <w:noProof/>
                <w:webHidden/>
              </w:rPr>
            </w:r>
            <w:r>
              <w:rPr>
                <w:noProof/>
                <w:webHidden/>
              </w:rPr>
              <w:fldChar w:fldCharType="separate"/>
            </w:r>
            <w:r w:rsidR="00203F5D">
              <w:rPr>
                <w:noProof/>
                <w:webHidden/>
              </w:rPr>
              <w:t>10</w:t>
            </w:r>
            <w:r>
              <w:rPr>
                <w:noProof/>
                <w:webHidden/>
              </w:rPr>
              <w:fldChar w:fldCharType="end"/>
            </w:r>
          </w:hyperlink>
        </w:p>
        <w:p w:rsidR="00203F5D" w:rsidRDefault="006A5278">
          <w:pPr>
            <w:pStyle w:val="TOC2"/>
            <w:tabs>
              <w:tab w:val="right" w:leader="dot" w:pos="9019"/>
            </w:tabs>
            <w:rPr>
              <w:rFonts w:asciiTheme="minorHAnsi" w:eastAsiaTheme="minorEastAsia" w:hAnsiTheme="minorHAnsi"/>
              <w:noProof/>
            </w:rPr>
          </w:pPr>
          <w:hyperlink w:anchor="_Toc214574506" w:history="1">
            <w:r w:rsidR="00203F5D" w:rsidRPr="00E77A65">
              <w:rPr>
                <w:rStyle w:val="Hyperlink"/>
                <w:noProof/>
              </w:rPr>
              <w:t>3.3. Canada</w:t>
            </w:r>
            <w:r w:rsidR="00203F5D">
              <w:rPr>
                <w:noProof/>
                <w:webHidden/>
              </w:rPr>
              <w:tab/>
            </w:r>
            <w:r>
              <w:rPr>
                <w:noProof/>
                <w:webHidden/>
              </w:rPr>
              <w:fldChar w:fldCharType="begin"/>
            </w:r>
            <w:r w:rsidR="00203F5D">
              <w:rPr>
                <w:noProof/>
                <w:webHidden/>
              </w:rPr>
              <w:instrText xml:space="preserve"> PAGEREF _Toc214574506 \h </w:instrText>
            </w:r>
            <w:r>
              <w:rPr>
                <w:noProof/>
                <w:webHidden/>
              </w:rPr>
            </w:r>
            <w:r>
              <w:rPr>
                <w:noProof/>
                <w:webHidden/>
              </w:rPr>
              <w:fldChar w:fldCharType="separate"/>
            </w:r>
            <w:r w:rsidR="00203F5D">
              <w:rPr>
                <w:noProof/>
                <w:webHidden/>
              </w:rPr>
              <w:t>12</w:t>
            </w:r>
            <w:r>
              <w:rPr>
                <w:noProof/>
                <w:webHidden/>
              </w:rPr>
              <w:fldChar w:fldCharType="end"/>
            </w:r>
          </w:hyperlink>
        </w:p>
        <w:p w:rsidR="00203F5D" w:rsidRDefault="006A5278">
          <w:pPr>
            <w:pStyle w:val="TOC1"/>
            <w:tabs>
              <w:tab w:val="right" w:leader="dot" w:pos="9019"/>
            </w:tabs>
            <w:rPr>
              <w:rFonts w:asciiTheme="minorHAnsi" w:eastAsiaTheme="minorEastAsia" w:hAnsiTheme="minorHAnsi"/>
              <w:noProof/>
            </w:rPr>
          </w:pPr>
          <w:hyperlink w:anchor="_Toc214574507" w:history="1">
            <w:r w:rsidR="00203F5D" w:rsidRPr="00E77A65">
              <w:rPr>
                <w:rStyle w:val="Hyperlink"/>
                <w:rFonts w:eastAsia="Times New Roman"/>
                <w:noProof/>
              </w:rPr>
              <w:t>4. Leadership responses to COVID 19</w:t>
            </w:r>
            <w:r w:rsidR="00203F5D">
              <w:rPr>
                <w:noProof/>
                <w:webHidden/>
              </w:rPr>
              <w:tab/>
            </w:r>
            <w:r>
              <w:rPr>
                <w:noProof/>
                <w:webHidden/>
              </w:rPr>
              <w:fldChar w:fldCharType="begin"/>
            </w:r>
            <w:r w:rsidR="00203F5D">
              <w:rPr>
                <w:noProof/>
                <w:webHidden/>
              </w:rPr>
              <w:instrText xml:space="preserve"> PAGEREF _Toc214574507 \h </w:instrText>
            </w:r>
            <w:r>
              <w:rPr>
                <w:noProof/>
                <w:webHidden/>
              </w:rPr>
            </w:r>
            <w:r>
              <w:rPr>
                <w:noProof/>
                <w:webHidden/>
              </w:rPr>
              <w:fldChar w:fldCharType="separate"/>
            </w:r>
            <w:r w:rsidR="00203F5D">
              <w:rPr>
                <w:noProof/>
                <w:webHidden/>
              </w:rPr>
              <w:t>14</w:t>
            </w:r>
            <w:r>
              <w:rPr>
                <w:noProof/>
                <w:webHidden/>
              </w:rPr>
              <w:fldChar w:fldCharType="end"/>
            </w:r>
          </w:hyperlink>
        </w:p>
        <w:p w:rsidR="00203F5D" w:rsidRDefault="006A5278">
          <w:pPr>
            <w:pStyle w:val="TOC2"/>
            <w:tabs>
              <w:tab w:val="right" w:leader="dot" w:pos="9019"/>
            </w:tabs>
            <w:rPr>
              <w:rFonts w:asciiTheme="minorHAnsi" w:eastAsiaTheme="minorEastAsia" w:hAnsiTheme="minorHAnsi"/>
              <w:noProof/>
            </w:rPr>
          </w:pPr>
          <w:hyperlink w:anchor="_Toc214574508" w:history="1">
            <w:r w:rsidR="00203F5D" w:rsidRPr="00E77A65">
              <w:rPr>
                <w:rStyle w:val="Hyperlink"/>
                <w:noProof/>
              </w:rPr>
              <w:t>4.1. Spain</w:t>
            </w:r>
            <w:r w:rsidR="00203F5D">
              <w:rPr>
                <w:noProof/>
                <w:webHidden/>
              </w:rPr>
              <w:tab/>
            </w:r>
            <w:r>
              <w:rPr>
                <w:noProof/>
                <w:webHidden/>
              </w:rPr>
              <w:fldChar w:fldCharType="begin"/>
            </w:r>
            <w:r w:rsidR="00203F5D">
              <w:rPr>
                <w:noProof/>
                <w:webHidden/>
              </w:rPr>
              <w:instrText xml:space="preserve"> PAGEREF _Toc214574508 \h </w:instrText>
            </w:r>
            <w:r>
              <w:rPr>
                <w:noProof/>
                <w:webHidden/>
              </w:rPr>
            </w:r>
            <w:r>
              <w:rPr>
                <w:noProof/>
                <w:webHidden/>
              </w:rPr>
              <w:fldChar w:fldCharType="separate"/>
            </w:r>
            <w:r w:rsidR="00203F5D">
              <w:rPr>
                <w:noProof/>
                <w:webHidden/>
              </w:rPr>
              <w:t>14</w:t>
            </w:r>
            <w:r>
              <w:rPr>
                <w:noProof/>
                <w:webHidden/>
              </w:rPr>
              <w:fldChar w:fldCharType="end"/>
            </w:r>
          </w:hyperlink>
        </w:p>
        <w:p w:rsidR="00203F5D" w:rsidRDefault="006A5278">
          <w:pPr>
            <w:pStyle w:val="TOC2"/>
            <w:tabs>
              <w:tab w:val="right" w:leader="dot" w:pos="9019"/>
            </w:tabs>
            <w:rPr>
              <w:rFonts w:asciiTheme="minorHAnsi" w:eastAsiaTheme="minorEastAsia" w:hAnsiTheme="minorHAnsi"/>
              <w:noProof/>
            </w:rPr>
          </w:pPr>
          <w:hyperlink w:anchor="_Toc214574509" w:history="1">
            <w:r w:rsidR="00203F5D" w:rsidRPr="00E77A65">
              <w:rPr>
                <w:rStyle w:val="Hyperlink"/>
                <w:noProof/>
              </w:rPr>
              <w:t>4.2. South Korea</w:t>
            </w:r>
            <w:r w:rsidR="00203F5D">
              <w:rPr>
                <w:noProof/>
                <w:webHidden/>
              </w:rPr>
              <w:tab/>
            </w:r>
            <w:r>
              <w:rPr>
                <w:noProof/>
                <w:webHidden/>
              </w:rPr>
              <w:fldChar w:fldCharType="begin"/>
            </w:r>
            <w:r w:rsidR="00203F5D">
              <w:rPr>
                <w:noProof/>
                <w:webHidden/>
              </w:rPr>
              <w:instrText xml:space="preserve"> PAGEREF _Toc214574509 \h </w:instrText>
            </w:r>
            <w:r>
              <w:rPr>
                <w:noProof/>
                <w:webHidden/>
              </w:rPr>
            </w:r>
            <w:r>
              <w:rPr>
                <w:noProof/>
                <w:webHidden/>
              </w:rPr>
              <w:fldChar w:fldCharType="separate"/>
            </w:r>
            <w:r w:rsidR="00203F5D">
              <w:rPr>
                <w:noProof/>
                <w:webHidden/>
              </w:rPr>
              <w:t>16</w:t>
            </w:r>
            <w:r>
              <w:rPr>
                <w:noProof/>
                <w:webHidden/>
              </w:rPr>
              <w:fldChar w:fldCharType="end"/>
            </w:r>
          </w:hyperlink>
        </w:p>
        <w:p w:rsidR="00203F5D" w:rsidRDefault="006A5278">
          <w:pPr>
            <w:pStyle w:val="TOC2"/>
            <w:tabs>
              <w:tab w:val="right" w:leader="dot" w:pos="9019"/>
            </w:tabs>
            <w:rPr>
              <w:rFonts w:asciiTheme="minorHAnsi" w:eastAsiaTheme="minorEastAsia" w:hAnsiTheme="minorHAnsi"/>
              <w:noProof/>
            </w:rPr>
          </w:pPr>
          <w:hyperlink w:anchor="_Toc214574510" w:history="1">
            <w:r w:rsidR="00203F5D" w:rsidRPr="00E77A65">
              <w:rPr>
                <w:rStyle w:val="Hyperlink"/>
                <w:noProof/>
              </w:rPr>
              <w:t>4.3. Canada</w:t>
            </w:r>
            <w:r w:rsidR="00203F5D">
              <w:rPr>
                <w:noProof/>
                <w:webHidden/>
              </w:rPr>
              <w:tab/>
            </w:r>
            <w:r>
              <w:rPr>
                <w:noProof/>
                <w:webHidden/>
              </w:rPr>
              <w:fldChar w:fldCharType="begin"/>
            </w:r>
            <w:r w:rsidR="00203F5D">
              <w:rPr>
                <w:noProof/>
                <w:webHidden/>
              </w:rPr>
              <w:instrText xml:space="preserve"> PAGEREF _Toc214574510 \h </w:instrText>
            </w:r>
            <w:r>
              <w:rPr>
                <w:noProof/>
                <w:webHidden/>
              </w:rPr>
            </w:r>
            <w:r>
              <w:rPr>
                <w:noProof/>
                <w:webHidden/>
              </w:rPr>
              <w:fldChar w:fldCharType="separate"/>
            </w:r>
            <w:r w:rsidR="00203F5D">
              <w:rPr>
                <w:noProof/>
                <w:webHidden/>
              </w:rPr>
              <w:t>17</w:t>
            </w:r>
            <w:r>
              <w:rPr>
                <w:noProof/>
                <w:webHidden/>
              </w:rPr>
              <w:fldChar w:fldCharType="end"/>
            </w:r>
          </w:hyperlink>
        </w:p>
        <w:p w:rsidR="00203F5D" w:rsidRDefault="006A5278">
          <w:pPr>
            <w:pStyle w:val="TOC1"/>
            <w:tabs>
              <w:tab w:val="right" w:leader="dot" w:pos="9019"/>
            </w:tabs>
            <w:rPr>
              <w:rFonts w:asciiTheme="minorHAnsi" w:eastAsiaTheme="minorEastAsia" w:hAnsiTheme="minorHAnsi"/>
              <w:noProof/>
            </w:rPr>
          </w:pPr>
          <w:hyperlink w:anchor="_Toc214574511" w:history="1">
            <w:r w:rsidR="00203F5D" w:rsidRPr="00E77A65">
              <w:rPr>
                <w:rStyle w:val="Hyperlink"/>
                <w:rFonts w:eastAsia="Times New Roman"/>
                <w:noProof/>
              </w:rPr>
              <w:t>5. Centralisation, decentralisation and system performance</w:t>
            </w:r>
            <w:r w:rsidR="00203F5D">
              <w:rPr>
                <w:noProof/>
                <w:webHidden/>
              </w:rPr>
              <w:tab/>
            </w:r>
            <w:r>
              <w:rPr>
                <w:noProof/>
                <w:webHidden/>
              </w:rPr>
              <w:fldChar w:fldCharType="begin"/>
            </w:r>
            <w:r w:rsidR="00203F5D">
              <w:rPr>
                <w:noProof/>
                <w:webHidden/>
              </w:rPr>
              <w:instrText xml:space="preserve"> PAGEREF _Toc214574511 \h </w:instrText>
            </w:r>
            <w:r>
              <w:rPr>
                <w:noProof/>
                <w:webHidden/>
              </w:rPr>
            </w:r>
            <w:r>
              <w:rPr>
                <w:noProof/>
                <w:webHidden/>
              </w:rPr>
              <w:fldChar w:fldCharType="separate"/>
            </w:r>
            <w:r w:rsidR="00203F5D">
              <w:rPr>
                <w:noProof/>
                <w:webHidden/>
              </w:rPr>
              <w:t>18</w:t>
            </w:r>
            <w:r>
              <w:rPr>
                <w:noProof/>
                <w:webHidden/>
              </w:rPr>
              <w:fldChar w:fldCharType="end"/>
            </w:r>
          </w:hyperlink>
        </w:p>
        <w:p w:rsidR="00203F5D" w:rsidRDefault="006A5278">
          <w:pPr>
            <w:pStyle w:val="TOC1"/>
            <w:tabs>
              <w:tab w:val="right" w:leader="dot" w:pos="9019"/>
            </w:tabs>
            <w:rPr>
              <w:rFonts w:asciiTheme="minorHAnsi" w:eastAsiaTheme="minorEastAsia" w:hAnsiTheme="minorHAnsi"/>
              <w:noProof/>
            </w:rPr>
          </w:pPr>
          <w:hyperlink w:anchor="_Toc214574512" w:history="1">
            <w:r w:rsidR="00203F5D" w:rsidRPr="00E77A65">
              <w:rPr>
                <w:rStyle w:val="Hyperlink"/>
                <w:rFonts w:eastAsia="Times New Roman"/>
                <w:noProof/>
              </w:rPr>
              <w:t>6. Cross case discussion: leadership styles and system shaping</w:t>
            </w:r>
            <w:r w:rsidR="00203F5D">
              <w:rPr>
                <w:noProof/>
                <w:webHidden/>
              </w:rPr>
              <w:tab/>
            </w:r>
            <w:r>
              <w:rPr>
                <w:noProof/>
                <w:webHidden/>
              </w:rPr>
              <w:fldChar w:fldCharType="begin"/>
            </w:r>
            <w:r w:rsidR="00203F5D">
              <w:rPr>
                <w:noProof/>
                <w:webHidden/>
              </w:rPr>
              <w:instrText xml:space="preserve"> PAGEREF _Toc214574512 \h </w:instrText>
            </w:r>
            <w:r>
              <w:rPr>
                <w:noProof/>
                <w:webHidden/>
              </w:rPr>
            </w:r>
            <w:r>
              <w:rPr>
                <w:noProof/>
                <w:webHidden/>
              </w:rPr>
              <w:fldChar w:fldCharType="separate"/>
            </w:r>
            <w:r w:rsidR="00203F5D">
              <w:rPr>
                <w:noProof/>
                <w:webHidden/>
              </w:rPr>
              <w:t>19</w:t>
            </w:r>
            <w:r>
              <w:rPr>
                <w:noProof/>
                <w:webHidden/>
              </w:rPr>
              <w:fldChar w:fldCharType="end"/>
            </w:r>
          </w:hyperlink>
        </w:p>
        <w:p w:rsidR="00203F5D" w:rsidRDefault="006A5278">
          <w:pPr>
            <w:pStyle w:val="TOC1"/>
            <w:tabs>
              <w:tab w:val="right" w:leader="dot" w:pos="9019"/>
            </w:tabs>
            <w:rPr>
              <w:rFonts w:asciiTheme="minorHAnsi" w:eastAsiaTheme="minorEastAsia" w:hAnsiTheme="minorHAnsi"/>
              <w:noProof/>
            </w:rPr>
          </w:pPr>
          <w:hyperlink w:anchor="_Toc214574513" w:history="1">
            <w:r w:rsidR="00203F5D" w:rsidRPr="00E77A65">
              <w:rPr>
                <w:rStyle w:val="Hyperlink"/>
                <w:rFonts w:eastAsia="Times New Roman"/>
                <w:noProof/>
              </w:rPr>
              <w:t>7. Lessons and recommendations for future health system leadership</w:t>
            </w:r>
            <w:r w:rsidR="00203F5D">
              <w:rPr>
                <w:noProof/>
                <w:webHidden/>
              </w:rPr>
              <w:tab/>
            </w:r>
            <w:r>
              <w:rPr>
                <w:noProof/>
                <w:webHidden/>
              </w:rPr>
              <w:fldChar w:fldCharType="begin"/>
            </w:r>
            <w:r w:rsidR="00203F5D">
              <w:rPr>
                <w:noProof/>
                <w:webHidden/>
              </w:rPr>
              <w:instrText xml:space="preserve"> PAGEREF _Toc214574513 \h </w:instrText>
            </w:r>
            <w:r>
              <w:rPr>
                <w:noProof/>
                <w:webHidden/>
              </w:rPr>
            </w:r>
            <w:r>
              <w:rPr>
                <w:noProof/>
                <w:webHidden/>
              </w:rPr>
              <w:fldChar w:fldCharType="separate"/>
            </w:r>
            <w:r w:rsidR="00203F5D">
              <w:rPr>
                <w:noProof/>
                <w:webHidden/>
              </w:rPr>
              <w:t>20</w:t>
            </w:r>
            <w:r>
              <w:rPr>
                <w:noProof/>
                <w:webHidden/>
              </w:rPr>
              <w:fldChar w:fldCharType="end"/>
            </w:r>
          </w:hyperlink>
        </w:p>
        <w:p w:rsidR="00203F5D" w:rsidRDefault="006A5278">
          <w:pPr>
            <w:pStyle w:val="TOC2"/>
            <w:tabs>
              <w:tab w:val="right" w:leader="dot" w:pos="9019"/>
            </w:tabs>
            <w:rPr>
              <w:rFonts w:asciiTheme="minorHAnsi" w:eastAsiaTheme="minorEastAsia" w:hAnsiTheme="minorHAnsi"/>
              <w:noProof/>
            </w:rPr>
          </w:pPr>
          <w:hyperlink w:anchor="_Toc214574514" w:history="1">
            <w:r w:rsidR="00203F5D" w:rsidRPr="00E77A65">
              <w:rPr>
                <w:rStyle w:val="Hyperlink"/>
                <w:noProof/>
              </w:rPr>
              <w:t>7.1. Design governance that combines central stewardship and local autonomy</w:t>
            </w:r>
            <w:r w:rsidR="00203F5D">
              <w:rPr>
                <w:noProof/>
                <w:webHidden/>
              </w:rPr>
              <w:tab/>
            </w:r>
            <w:r>
              <w:rPr>
                <w:noProof/>
                <w:webHidden/>
              </w:rPr>
              <w:fldChar w:fldCharType="begin"/>
            </w:r>
            <w:r w:rsidR="00203F5D">
              <w:rPr>
                <w:noProof/>
                <w:webHidden/>
              </w:rPr>
              <w:instrText xml:space="preserve"> PAGEREF _Toc214574514 \h </w:instrText>
            </w:r>
            <w:r>
              <w:rPr>
                <w:noProof/>
                <w:webHidden/>
              </w:rPr>
            </w:r>
            <w:r>
              <w:rPr>
                <w:noProof/>
                <w:webHidden/>
              </w:rPr>
              <w:fldChar w:fldCharType="separate"/>
            </w:r>
            <w:r w:rsidR="00203F5D">
              <w:rPr>
                <w:noProof/>
                <w:webHidden/>
              </w:rPr>
              <w:t>20</w:t>
            </w:r>
            <w:r>
              <w:rPr>
                <w:noProof/>
                <w:webHidden/>
              </w:rPr>
              <w:fldChar w:fldCharType="end"/>
            </w:r>
          </w:hyperlink>
        </w:p>
        <w:p w:rsidR="00203F5D" w:rsidRDefault="006A5278">
          <w:pPr>
            <w:pStyle w:val="TOC2"/>
            <w:tabs>
              <w:tab w:val="right" w:leader="dot" w:pos="9019"/>
            </w:tabs>
            <w:rPr>
              <w:rFonts w:asciiTheme="minorHAnsi" w:eastAsiaTheme="minorEastAsia" w:hAnsiTheme="minorHAnsi"/>
              <w:noProof/>
            </w:rPr>
          </w:pPr>
          <w:hyperlink w:anchor="_Toc214574515" w:history="1">
            <w:r w:rsidR="00203F5D" w:rsidRPr="00E77A65">
              <w:rPr>
                <w:rStyle w:val="Hyperlink"/>
                <w:noProof/>
              </w:rPr>
              <w:t>7.2. Develop complexity aware leadership capabilities</w:t>
            </w:r>
            <w:r w:rsidR="00203F5D">
              <w:rPr>
                <w:noProof/>
                <w:webHidden/>
              </w:rPr>
              <w:tab/>
            </w:r>
            <w:r>
              <w:rPr>
                <w:noProof/>
                <w:webHidden/>
              </w:rPr>
              <w:fldChar w:fldCharType="begin"/>
            </w:r>
            <w:r w:rsidR="00203F5D">
              <w:rPr>
                <w:noProof/>
                <w:webHidden/>
              </w:rPr>
              <w:instrText xml:space="preserve"> PAGEREF _Toc214574515 \h </w:instrText>
            </w:r>
            <w:r>
              <w:rPr>
                <w:noProof/>
                <w:webHidden/>
              </w:rPr>
            </w:r>
            <w:r>
              <w:rPr>
                <w:noProof/>
                <w:webHidden/>
              </w:rPr>
              <w:fldChar w:fldCharType="separate"/>
            </w:r>
            <w:r w:rsidR="00203F5D">
              <w:rPr>
                <w:noProof/>
                <w:webHidden/>
              </w:rPr>
              <w:t>21</w:t>
            </w:r>
            <w:r>
              <w:rPr>
                <w:noProof/>
                <w:webHidden/>
              </w:rPr>
              <w:fldChar w:fldCharType="end"/>
            </w:r>
          </w:hyperlink>
        </w:p>
        <w:p w:rsidR="00203F5D" w:rsidRDefault="006A5278">
          <w:pPr>
            <w:pStyle w:val="TOC2"/>
            <w:tabs>
              <w:tab w:val="right" w:leader="dot" w:pos="9019"/>
            </w:tabs>
            <w:rPr>
              <w:rFonts w:asciiTheme="minorHAnsi" w:eastAsiaTheme="minorEastAsia" w:hAnsiTheme="minorHAnsi"/>
              <w:noProof/>
            </w:rPr>
          </w:pPr>
          <w:hyperlink w:anchor="_Toc214574516" w:history="1">
            <w:r w:rsidR="00203F5D" w:rsidRPr="00E77A65">
              <w:rPr>
                <w:rStyle w:val="Hyperlink"/>
                <w:noProof/>
              </w:rPr>
              <w:t>7.3. Centre equity and trust in crisis governance</w:t>
            </w:r>
            <w:r w:rsidR="00203F5D">
              <w:rPr>
                <w:noProof/>
                <w:webHidden/>
              </w:rPr>
              <w:tab/>
            </w:r>
            <w:r>
              <w:rPr>
                <w:noProof/>
                <w:webHidden/>
              </w:rPr>
              <w:fldChar w:fldCharType="begin"/>
            </w:r>
            <w:r w:rsidR="00203F5D">
              <w:rPr>
                <w:noProof/>
                <w:webHidden/>
              </w:rPr>
              <w:instrText xml:space="preserve"> PAGEREF _Toc214574516 \h </w:instrText>
            </w:r>
            <w:r>
              <w:rPr>
                <w:noProof/>
                <w:webHidden/>
              </w:rPr>
            </w:r>
            <w:r>
              <w:rPr>
                <w:noProof/>
                <w:webHidden/>
              </w:rPr>
              <w:fldChar w:fldCharType="separate"/>
            </w:r>
            <w:r w:rsidR="00203F5D">
              <w:rPr>
                <w:noProof/>
                <w:webHidden/>
              </w:rPr>
              <w:t>21</w:t>
            </w:r>
            <w:r>
              <w:rPr>
                <w:noProof/>
                <w:webHidden/>
              </w:rPr>
              <w:fldChar w:fldCharType="end"/>
            </w:r>
          </w:hyperlink>
        </w:p>
        <w:p w:rsidR="00203F5D" w:rsidRDefault="006A5278">
          <w:pPr>
            <w:pStyle w:val="TOC2"/>
            <w:tabs>
              <w:tab w:val="right" w:leader="dot" w:pos="9019"/>
            </w:tabs>
            <w:rPr>
              <w:rFonts w:asciiTheme="minorHAnsi" w:eastAsiaTheme="minorEastAsia" w:hAnsiTheme="minorHAnsi"/>
              <w:noProof/>
            </w:rPr>
          </w:pPr>
          <w:hyperlink w:anchor="_Toc214574517" w:history="1">
            <w:r w:rsidR="00203F5D" w:rsidRPr="00E77A65">
              <w:rPr>
                <w:rStyle w:val="Hyperlink"/>
                <w:noProof/>
              </w:rPr>
              <w:t>7.4. Use digital tools responsibly</w:t>
            </w:r>
            <w:r w:rsidR="00203F5D">
              <w:rPr>
                <w:noProof/>
                <w:webHidden/>
              </w:rPr>
              <w:tab/>
            </w:r>
            <w:r>
              <w:rPr>
                <w:noProof/>
                <w:webHidden/>
              </w:rPr>
              <w:fldChar w:fldCharType="begin"/>
            </w:r>
            <w:r w:rsidR="00203F5D">
              <w:rPr>
                <w:noProof/>
                <w:webHidden/>
              </w:rPr>
              <w:instrText xml:space="preserve"> PAGEREF _Toc214574517 \h </w:instrText>
            </w:r>
            <w:r>
              <w:rPr>
                <w:noProof/>
                <w:webHidden/>
              </w:rPr>
            </w:r>
            <w:r>
              <w:rPr>
                <w:noProof/>
                <w:webHidden/>
              </w:rPr>
              <w:fldChar w:fldCharType="separate"/>
            </w:r>
            <w:r w:rsidR="00203F5D">
              <w:rPr>
                <w:noProof/>
                <w:webHidden/>
              </w:rPr>
              <w:t>21</w:t>
            </w:r>
            <w:r>
              <w:rPr>
                <w:noProof/>
                <w:webHidden/>
              </w:rPr>
              <w:fldChar w:fldCharType="end"/>
            </w:r>
          </w:hyperlink>
        </w:p>
        <w:p w:rsidR="00203F5D" w:rsidRDefault="006A5278">
          <w:pPr>
            <w:pStyle w:val="TOC1"/>
            <w:tabs>
              <w:tab w:val="right" w:leader="dot" w:pos="9019"/>
            </w:tabs>
            <w:rPr>
              <w:rFonts w:asciiTheme="minorHAnsi" w:eastAsiaTheme="minorEastAsia" w:hAnsiTheme="minorHAnsi"/>
              <w:noProof/>
            </w:rPr>
          </w:pPr>
          <w:hyperlink w:anchor="_Toc214574518" w:history="1">
            <w:r w:rsidR="00203F5D" w:rsidRPr="00E77A65">
              <w:rPr>
                <w:rStyle w:val="Hyperlink"/>
                <w:rFonts w:eastAsia="Times New Roman"/>
                <w:noProof/>
              </w:rPr>
              <w:t>8. Conclusion</w:t>
            </w:r>
            <w:r w:rsidR="00203F5D">
              <w:rPr>
                <w:noProof/>
                <w:webHidden/>
              </w:rPr>
              <w:tab/>
            </w:r>
            <w:r>
              <w:rPr>
                <w:noProof/>
                <w:webHidden/>
              </w:rPr>
              <w:fldChar w:fldCharType="begin"/>
            </w:r>
            <w:r w:rsidR="00203F5D">
              <w:rPr>
                <w:noProof/>
                <w:webHidden/>
              </w:rPr>
              <w:instrText xml:space="preserve"> PAGEREF _Toc214574518 \h </w:instrText>
            </w:r>
            <w:r>
              <w:rPr>
                <w:noProof/>
                <w:webHidden/>
              </w:rPr>
            </w:r>
            <w:r>
              <w:rPr>
                <w:noProof/>
                <w:webHidden/>
              </w:rPr>
              <w:fldChar w:fldCharType="separate"/>
            </w:r>
            <w:r w:rsidR="00203F5D">
              <w:rPr>
                <w:noProof/>
                <w:webHidden/>
              </w:rPr>
              <w:t>22</w:t>
            </w:r>
            <w:r>
              <w:rPr>
                <w:noProof/>
                <w:webHidden/>
              </w:rPr>
              <w:fldChar w:fldCharType="end"/>
            </w:r>
          </w:hyperlink>
        </w:p>
        <w:p w:rsidR="00203F5D" w:rsidRDefault="006A5278">
          <w:pPr>
            <w:pStyle w:val="TOC1"/>
            <w:tabs>
              <w:tab w:val="right" w:leader="dot" w:pos="9019"/>
            </w:tabs>
            <w:rPr>
              <w:rFonts w:asciiTheme="minorHAnsi" w:eastAsiaTheme="minorEastAsia" w:hAnsiTheme="minorHAnsi"/>
              <w:noProof/>
            </w:rPr>
          </w:pPr>
          <w:hyperlink w:anchor="_Toc214574519" w:history="1">
            <w:r w:rsidR="00203F5D" w:rsidRPr="00E77A65">
              <w:rPr>
                <w:rStyle w:val="Hyperlink"/>
                <w:rFonts w:eastAsia="Times New Roman"/>
                <w:noProof/>
              </w:rPr>
              <w:t>References</w:t>
            </w:r>
            <w:r w:rsidR="00203F5D">
              <w:rPr>
                <w:noProof/>
                <w:webHidden/>
              </w:rPr>
              <w:tab/>
            </w:r>
            <w:r>
              <w:rPr>
                <w:noProof/>
                <w:webHidden/>
              </w:rPr>
              <w:fldChar w:fldCharType="begin"/>
            </w:r>
            <w:r w:rsidR="00203F5D">
              <w:rPr>
                <w:noProof/>
                <w:webHidden/>
              </w:rPr>
              <w:instrText xml:space="preserve"> PAGEREF _Toc214574519 \h </w:instrText>
            </w:r>
            <w:r>
              <w:rPr>
                <w:noProof/>
                <w:webHidden/>
              </w:rPr>
            </w:r>
            <w:r>
              <w:rPr>
                <w:noProof/>
                <w:webHidden/>
              </w:rPr>
              <w:fldChar w:fldCharType="separate"/>
            </w:r>
            <w:r w:rsidR="00203F5D">
              <w:rPr>
                <w:noProof/>
                <w:webHidden/>
              </w:rPr>
              <w:t>23</w:t>
            </w:r>
            <w:r>
              <w:rPr>
                <w:noProof/>
                <w:webHidden/>
              </w:rPr>
              <w:fldChar w:fldCharType="end"/>
            </w:r>
          </w:hyperlink>
        </w:p>
        <w:p w:rsidR="00372FDD" w:rsidRPr="004A1061" w:rsidRDefault="006A5278" w:rsidP="004A1061">
          <w:pPr>
            <w:rPr>
              <w:rFonts w:cs="Arial"/>
            </w:rPr>
          </w:pPr>
          <w:r w:rsidRPr="004A1061">
            <w:rPr>
              <w:rFonts w:cs="Arial"/>
              <w:b/>
              <w:bCs/>
              <w:noProof/>
            </w:rPr>
            <w:fldChar w:fldCharType="end"/>
          </w:r>
        </w:p>
      </w:sdtContent>
    </w:sdt>
    <w:p w:rsidR="00372FDD" w:rsidRPr="004A1061" w:rsidRDefault="00372FDD" w:rsidP="004A1061">
      <w:pPr>
        <w:spacing w:after="78"/>
        <w:ind w:left="-6"/>
        <w:rPr>
          <w:rFonts w:eastAsia="Times New Roman" w:cs="Arial"/>
        </w:rPr>
      </w:pPr>
      <w:r w:rsidRPr="004A1061">
        <w:rPr>
          <w:rFonts w:cs="Arial"/>
        </w:rPr>
        <w:br w:type="page"/>
      </w:r>
    </w:p>
    <w:p w:rsidR="00FD5F29" w:rsidRPr="00311AAE" w:rsidRDefault="00372FDD" w:rsidP="00311AAE">
      <w:pPr>
        <w:pStyle w:val="NormalWeb"/>
        <w:spacing w:line="360" w:lineRule="auto"/>
        <w:jc w:val="center"/>
        <w:rPr>
          <w:rFonts w:cs="Arial"/>
          <w:b/>
          <w:bCs/>
          <w:sz w:val="26"/>
          <w:szCs w:val="26"/>
        </w:rPr>
      </w:pPr>
      <w:r w:rsidRPr="00311AAE">
        <w:rPr>
          <w:rFonts w:cs="Arial"/>
          <w:b/>
          <w:bCs/>
          <w:sz w:val="26"/>
          <w:szCs w:val="26"/>
        </w:rPr>
        <w:lastRenderedPageBreak/>
        <w:t>List of Figures</w:t>
      </w:r>
    </w:p>
    <w:p w:rsidR="00203F5D" w:rsidRDefault="006A5278" w:rsidP="00203F5D">
      <w:pPr>
        <w:pStyle w:val="TableofFigures"/>
        <w:tabs>
          <w:tab w:val="right" w:leader="dot" w:pos="9019"/>
        </w:tabs>
        <w:spacing w:before="240"/>
        <w:rPr>
          <w:rFonts w:asciiTheme="minorHAnsi" w:eastAsiaTheme="minorEastAsia" w:hAnsiTheme="minorHAnsi"/>
          <w:noProof/>
        </w:rPr>
      </w:pPr>
      <w:r w:rsidRPr="006A5278">
        <w:rPr>
          <w:rFonts w:cs="Arial"/>
        </w:rPr>
        <w:fldChar w:fldCharType="begin"/>
      </w:r>
      <w:r w:rsidR="00311AAE">
        <w:rPr>
          <w:rFonts w:cs="Arial"/>
        </w:rPr>
        <w:instrText xml:space="preserve"> TOC \h \z \c "Figure" </w:instrText>
      </w:r>
      <w:r w:rsidRPr="006A5278">
        <w:rPr>
          <w:rFonts w:cs="Arial"/>
        </w:rPr>
        <w:fldChar w:fldCharType="separate"/>
      </w:r>
      <w:hyperlink w:anchor="_Toc214574520" w:history="1">
        <w:r w:rsidR="00203F5D" w:rsidRPr="002D7D0E">
          <w:rPr>
            <w:rStyle w:val="Hyperlink"/>
            <w:noProof/>
          </w:rPr>
          <w:t>Figure 1: Rich picture of Spain’s COVID-19 leadership and health system response, illustrating the central role of the Ministry of Health and Interterritorial Council, the fragmented governance between central and regional authorities, and the impact of long-term care failures, media pressure and political conflict on system performance.</w:t>
        </w:r>
        <w:r w:rsidR="00203F5D">
          <w:rPr>
            <w:noProof/>
            <w:webHidden/>
          </w:rPr>
          <w:tab/>
        </w:r>
        <w:r>
          <w:rPr>
            <w:noProof/>
            <w:webHidden/>
          </w:rPr>
          <w:fldChar w:fldCharType="begin"/>
        </w:r>
        <w:r w:rsidR="00203F5D">
          <w:rPr>
            <w:noProof/>
            <w:webHidden/>
          </w:rPr>
          <w:instrText xml:space="preserve"> PAGEREF _Toc214574520 \h </w:instrText>
        </w:r>
        <w:r>
          <w:rPr>
            <w:noProof/>
            <w:webHidden/>
          </w:rPr>
        </w:r>
        <w:r>
          <w:rPr>
            <w:noProof/>
            <w:webHidden/>
          </w:rPr>
          <w:fldChar w:fldCharType="separate"/>
        </w:r>
        <w:r w:rsidR="00203F5D">
          <w:rPr>
            <w:noProof/>
            <w:webHidden/>
          </w:rPr>
          <w:t>10</w:t>
        </w:r>
        <w:r>
          <w:rPr>
            <w:noProof/>
            <w:webHidden/>
          </w:rPr>
          <w:fldChar w:fldCharType="end"/>
        </w:r>
      </w:hyperlink>
    </w:p>
    <w:p w:rsidR="00203F5D" w:rsidRDefault="006A5278" w:rsidP="00203F5D">
      <w:pPr>
        <w:pStyle w:val="TableofFigures"/>
        <w:tabs>
          <w:tab w:val="right" w:leader="dot" w:pos="9019"/>
        </w:tabs>
        <w:spacing w:before="240"/>
        <w:rPr>
          <w:rFonts w:asciiTheme="minorHAnsi" w:eastAsiaTheme="minorEastAsia" w:hAnsiTheme="minorHAnsi"/>
          <w:noProof/>
        </w:rPr>
      </w:pPr>
      <w:hyperlink w:anchor="_Toc214574521" w:history="1">
        <w:r w:rsidR="00203F5D" w:rsidRPr="002D7D0E">
          <w:rPr>
            <w:rStyle w:val="Hyperlink"/>
            <w:noProof/>
          </w:rPr>
          <w:t>Figure 2: Rich picture of South Korea’s COVID-19 leadership and health system response, highlighting the central coordination role of KDCA and the Central Disaster and Safety Countermeasures Headquarters, supported by digital data infrastructure, local public health centres and high levels of public compliance.</w:t>
        </w:r>
        <w:r w:rsidR="00203F5D">
          <w:rPr>
            <w:noProof/>
            <w:webHidden/>
          </w:rPr>
          <w:tab/>
        </w:r>
        <w:r>
          <w:rPr>
            <w:noProof/>
            <w:webHidden/>
          </w:rPr>
          <w:fldChar w:fldCharType="begin"/>
        </w:r>
        <w:r w:rsidR="00203F5D">
          <w:rPr>
            <w:noProof/>
            <w:webHidden/>
          </w:rPr>
          <w:instrText xml:space="preserve"> PAGEREF _Toc214574521 \h </w:instrText>
        </w:r>
        <w:r>
          <w:rPr>
            <w:noProof/>
            <w:webHidden/>
          </w:rPr>
        </w:r>
        <w:r>
          <w:rPr>
            <w:noProof/>
            <w:webHidden/>
          </w:rPr>
          <w:fldChar w:fldCharType="separate"/>
        </w:r>
        <w:r w:rsidR="00203F5D">
          <w:rPr>
            <w:noProof/>
            <w:webHidden/>
          </w:rPr>
          <w:t>12</w:t>
        </w:r>
        <w:r>
          <w:rPr>
            <w:noProof/>
            <w:webHidden/>
          </w:rPr>
          <w:fldChar w:fldCharType="end"/>
        </w:r>
      </w:hyperlink>
    </w:p>
    <w:p w:rsidR="00203F5D" w:rsidRDefault="006A5278" w:rsidP="00203F5D">
      <w:pPr>
        <w:pStyle w:val="TableofFigures"/>
        <w:tabs>
          <w:tab w:val="right" w:leader="dot" w:pos="9019"/>
        </w:tabs>
        <w:spacing w:before="240"/>
        <w:rPr>
          <w:rFonts w:asciiTheme="minorHAnsi" w:eastAsiaTheme="minorEastAsia" w:hAnsiTheme="minorHAnsi"/>
          <w:noProof/>
        </w:rPr>
      </w:pPr>
      <w:hyperlink w:anchor="_Toc214574522" w:history="1">
        <w:r w:rsidR="00203F5D" w:rsidRPr="002D7D0E">
          <w:rPr>
            <w:rStyle w:val="Hyperlink"/>
            <w:noProof/>
          </w:rPr>
          <w:t>Figure 3: Rich picture of Canada’s COVID-19 leadership and health system response, showing the multi-level governance between the federal government, PHAC and provincial/territorial authorities, and how regional health organisations, community actors and the long-term care workforce shaped outcomes for the population.</w:t>
        </w:r>
        <w:r w:rsidR="00203F5D">
          <w:rPr>
            <w:noProof/>
            <w:webHidden/>
          </w:rPr>
          <w:tab/>
        </w:r>
        <w:r>
          <w:rPr>
            <w:noProof/>
            <w:webHidden/>
          </w:rPr>
          <w:fldChar w:fldCharType="begin"/>
        </w:r>
        <w:r w:rsidR="00203F5D">
          <w:rPr>
            <w:noProof/>
            <w:webHidden/>
          </w:rPr>
          <w:instrText xml:space="preserve"> PAGEREF _Toc214574522 \h </w:instrText>
        </w:r>
        <w:r>
          <w:rPr>
            <w:noProof/>
            <w:webHidden/>
          </w:rPr>
        </w:r>
        <w:r>
          <w:rPr>
            <w:noProof/>
            <w:webHidden/>
          </w:rPr>
          <w:fldChar w:fldCharType="separate"/>
        </w:r>
        <w:r w:rsidR="00203F5D">
          <w:rPr>
            <w:noProof/>
            <w:webHidden/>
          </w:rPr>
          <w:t>14</w:t>
        </w:r>
        <w:r>
          <w:rPr>
            <w:noProof/>
            <w:webHidden/>
          </w:rPr>
          <w:fldChar w:fldCharType="end"/>
        </w:r>
      </w:hyperlink>
    </w:p>
    <w:p w:rsidR="004A1061" w:rsidRPr="004A1061" w:rsidRDefault="006A5278" w:rsidP="00C83B76">
      <w:pPr>
        <w:pStyle w:val="NormalWeb"/>
        <w:spacing w:before="240" w:beforeAutospacing="0" w:line="360" w:lineRule="auto"/>
        <w:jc w:val="both"/>
        <w:rPr>
          <w:rFonts w:cs="Arial"/>
          <w:szCs w:val="22"/>
        </w:rPr>
      </w:pPr>
      <w:r>
        <w:rPr>
          <w:rFonts w:cs="Arial"/>
          <w:szCs w:val="22"/>
        </w:rPr>
        <w:fldChar w:fldCharType="end"/>
      </w:r>
    </w:p>
    <w:p w:rsidR="00372FDD" w:rsidRPr="004A1061" w:rsidRDefault="00372FDD" w:rsidP="004A1061">
      <w:pPr>
        <w:pStyle w:val="NormalWeb"/>
        <w:spacing w:line="360" w:lineRule="auto"/>
        <w:jc w:val="both"/>
        <w:rPr>
          <w:rFonts w:cs="Arial"/>
          <w:szCs w:val="22"/>
        </w:rPr>
      </w:pPr>
    </w:p>
    <w:p w:rsidR="00487220" w:rsidRPr="004A1061" w:rsidRDefault="00487220" w:rsidP="004A1061">
      <w:pPr>
        <w:spacing w:after="78"/>
        <w:ind w:left="-6"/>
        <w:rPr>
          <w:rFonts w:eastAsia="Times New Roman" w:cs="Arial"/>
        </w:rPr>
      </w:pPr>
      <w:r w:rsidRPr="004A1061">
        <w:rPr>
          <w:rFonts w:cs="Arial"/>
        </w:rPr>
        <w:br w:type="page"/>
      </w:r>
    </w:p>
    <w:p w:rsidR="00191E9E" w:rsidRPr="00191E9E" w:rsidRDefault="00191E9E" w:rsidP="00191E9E">
      <w:pPr>
        <w:pStyle w:val="Heading1"/>
        <w:rPr>
          <w:rFonts w:eastAsia="Times New Roman"/>
        </w:rPr>
      </w:pPr>
      <w:bookmarkStart w:id="0" w:name="_Toc214574497"/>
      <w:r w:rsidRPr="00191E9E">
        <w:rPr>
          <w:rFonts w:eastAsia="Times New Roman"/>
        </w:rPr>
        <w:lastRenderedPageBreak/>
        <w:t>Introduction</w:t>
      </w:r>
      <w:bookmarkEnd w:id="0"/>
    </w:p>
    <w:p w:rsidR="00191E9E" w:rsidRPr="00375852" w:rsidRDefault="00191E9E" w:rsidP="00191E9E">
      <w:pPr>
        <w:spacing w:before="100" w:beforeAutospacing="1" w:after="100" w:afterAutospacing="1"/>
        <w:rPr>
          <w:rFonts w:eastAsia="Times New Roman" w:cs="Arial"/>
        </w:rPr>
      </w:pPr>
      <w:r w:rsidRPr="00375852">
        <w:rPr>
          <w:rFonts w:eastAsia="Times New Roman" w:cs="Arial"/>
        </w:rPr>
        <w:t>COVID 19 has often been described as a stress test for health systems. The virus arrived suddenly, scientific knowledge evolved quickly, and leaders had to make consequential decisions with limited information and intense media and public scrutiny. Some countries moved early with clear communication, extensive testing and strong community engagement. Others responded more slowly or inconsistently, with significant consequences for mortality and broader social harms.</w:t>
      </w:r>
    </w:p>
    <w:p w:rsidR="00191E9E" w:rsidRPr="00375852" w:rsidRDefault="00191E9E" w:rsidP="00191E9E">
      <w:pPr>
        <w:spacing w:before="100" w:beforeAutospacing="1" w:after="100" w:afterAutospacing="1"/>
        <w:rPr>
          <w:rFonts w:eastAsia="Times New Roman" w:cs="Arial"/>
        </w:rPr>
      </w:pPr>
      <w:r w:rsidRPr="00375852">
        <w:rPr>
          <w:rFonts w:eastAsia="Times New Roman" w:cs="Arial"/>
        </w:rPr>
        <w:t>Spain, South Korea and Canada all occupy the group of high income countries with formal commitments to universal health coverage. Yet their experiences during COVID 19 varied. Spain experienced one of the highest excess mortality burdens in Europe in the first wave, with severe pressure on hospitals and long term care facilities. South Korea managed to keep cases and deaths relatively low in the early phases without resorting to full national lockdowns, though not without costs to privacy and civil liberties. Canada largely preserved acute care capacity, but suffered catastrophic mortality in long term care homes during the first year of the pandemic.</w:t>
      </w:r>
    </w:p>
    <w:p w:rsidR="00191E9E" w:rsidRPr="00AF6799" w:rsidRDefault="00191E9E" w:rsidP="00191E9E">
      <w:pPr>
        <w:spacing w:before="100" w:beforeAutospacing="1" w:after="100" w:afterAutospacing="1"/>
        <w:rPr>
          <w:rFonts w:eastAsia="Times New Roman" w:cs="Arial"/>
        </w:rPr>
      </w:pPr>
      <w:r w:rsidRPr="00375852">
        <w:rPr>
          <w:rFonts w:eastAsia="Times New Roman" w:cs="Arial"/>
        </w:rPr>
        <w:t xml:space="preserve">These differences invite questions about how leadership and health system design interact. Leadership in this context is not only about the charisma or decisiveness of a prime minister or health minister. It includes the work of chief public health officers, regional health executives, professional leaders, and managers at the front line who had to interpret guidance and reconcile competing demands. Leadership is therefore treated as a collective, relational and </w:t>
      </w:r>
      <w:r w:rsidR="00EB17E5" w:rsidRPr="00375852">
        <w:rPr>
          <w:rFonts w:eastAsia="Times New Roman" w:cs="Arial"/>
        </w:rPr>
        <w:t>multi-level</w:t>
      </w:r>
      <w:r w:rsidRPr="00375852">
        <w:rPr>
          <w:rFonts w:eastAsia="Times New Roman" w:cs="Arial"/>
        </w:rPr>
        <w:t xml:space="preserve"> practice.</w:t>
      </w:r>
    </w:p>
    <w:p w:rsidR="00191E9E" w:rsidRPr="00191E9E" w:rsidRDefault="00191E9E" w:rsidP="00191E9E">
      <w:pPr>
        <w:pStyle w:val="Heading1"/>
        <w:rPr>
          <w:rFonts w:eastAsia="Times New Roman"/>
        </w:rPr>
      </w:pPr>
      <w:bookmarkStart w:id="1" w:name="_Toc214574498"/>
      <w:r w:rsidRPr="00191E9E">
        <w:rPr>
          <w:rFonts w:eastAsia="Times New Roman"/>
        </w:rPr>
        <w:t>Analytical framework and methods</w:t>
      </w:r>
      <w:bookmarkEnd w:id="1"/>
    </w:p>
    <w:p w:rsidR="00191E9E" w:rsidRPr="00191E9E" w:rsidRDefault="00191E9E" w:rsidP="00191E9E">
      <w:pPr>
        <w:pStyle w:val="Heading2"/>
      </w:pPr>
      <w:bookmarkStart w:id="2" w:name="_Toc214574499"/>
      <w:r w:rsidRPr="00191E9E">
        <w:t>Leadership in complex health systems</w:t>
      </w:r>
      <w:bookmarkEnd w:id="2"/>
    </w:p>
    <w:p w:rsidR="00191E9E" w:rsidRPr="00375852" w:rsidRDefault="00191E9E" w:rsidP="00191E9E">
      <w:pPr>
        <w:spacing w:before="100" w:beforeAutospacing="1" w:after="100" w:afterAutospacing="1"/>
        <w:rPr>
          <w:rFonts w:eastAsia="Times New Roman" w:cs="Arial"/>
        </w:rPr>
      </w:pPr>
      <w:r w:rsidRPr="00375852">
        <w:rPr>
          <w:rFonts w:eastAsia="Times New Roman" w:cs="Arial"/>
        </w:rPr>
        <w:t>Health systems are complex socio technical systems that involve interdependent organisations, professions and communities. Change in one part of the system often triggers responses elsewhere, and outcomes are rarely the product of single causes. Leadership in such systems requires more than issuing commands. It involves creating conditions in which people can adapt, experiment, learn and collaborate across boundaries.</w:t>
      </w:r>
    </w:p>
    <w:p w:rsidR="00191E9E" w:rsidRPr="00375852" w:rsidRDefault="00191E9E" w:rsidP="00191E9E">
      <w:pPr>
        <w:spacing w:before="100" w:beforeAutospacing="1" w:after="100" w:afterAutospacing="1"/>
        <w:rPr>
          <w:rFonts w:eastAsia="Times New Roman" w:cs="Arial"/>
        </w:rPr>
      </w:pPr>
      <w:r w:rsidRPr="00375852">
        <w:rPr>
          <w:rFonts w:eastAsia="Times New Roman" w:cs="Arial"/>
        </w:rPr>
        <w:t xml:space="preserve">Complexity oriented leadership theories emphasise that formal authority is only one source of influence. Uhl Bien and Arena (2018) argue that leaders in complex environments must balance three broad functions: administrative leadership, which maintains structures and </w:t>
      </w:r>
      <w:r w:rsidRPr="00375852">
        <w:rPr>
          <w:rFonts w:eastAsia="Times New Roman" w:cs="Arial"/>
        </w:rPr>
        <w:lastRenderedPageBreak/>
        <w:t>allocates resources; adaptive leadership, which mobilises people to tackle difficult problems; and enabling leadership, which connects networks and preserves space for innovation. In health care, Weberg (2012) highlights the need for leaders who can recognise patterns across the system, facilitate dialogue between stakeholders and remove rigidities that block adaptation.</w:t>
      </w:r>
    </w:p>
    <w:p w:rsidR="00191E9E" w:rsidRPr="00375852" w:rsidRDefault="00191E9E" w:rsidP="00191E9E">
      <w:pPr>
        <w:spacing w:before="100" w:beforeAutospacing="1" w:after="100" w:afterAutospacing="1"/>
        <w:rPr>
          <w:rFonts w:eastAsia="Times New Roman" w:cs="Arial"/>
        </w:rPr>
      </w:pPr>
      <w:r w:rsidRPr="00375852">
        <w:rPr>
          <w:rFonts w:eastAsia="Times New Roman" w:cs="Arial"/>
        </w:rPr>
        <w:t>Crisis leadership literature provides additional insights. Boin et al. (2017) stress the importance of sense making, decision making, meaning making and learning in crises marked by high uncertainty and urgency. Effective crisis leaders maintain a coherent strategic direction while remaining open to revising decisions as evidence changes. They also recognise that trust is a vital asset: once trust is lost through inconsistent communication or perceived unfairness, it is difficult to rebuild.</w:t>
      </w:r>
    </w:p>
    <w:p w:rsidR="00191E9E" w:rsidRPr="00375852" w:rsidRDefault="00191E9E" w:rsidP="00191E9E">
      <w:pPr>
        <w:spacing w:before="100" w:beforeAutospacing="1" w:after="100" w:afterAutospacing="1"/>
        <w:rPr>
          <w:rFonts w:eastAsia="Times New Roman" w:cs="Arial"/>
        </w:rPr>
      </w:pPr>
      <w:r w:rsidRPr="00375852">
        <w:rPr>
          <w:rFonts w:eastAsia="Times New Roman" w:cs="Arial"/>
        </w:rPr>
        <w:t>In this report, leadership is assessed along four dimensions that cut across these literatures:</w:t>
      </w:r>
    </w:p>
    <w:p w:rsidR="00191E9E" w:rsidRPr="00375852" w:rsidRDefault="00191E9E" w:rsidP="00191E9E">
      <w:pPr>
        <w:pStyle w:val="ListParagraph"/>
        <w:numPr>
          <w:ilvl w:val="0"/>
          <w:numId w:val="21"/>
        </w:numPr>
        <w:spacing w:before="100" w:beforeAutospacing="1" w:after="100" w:afterAutospacing="1"/>
        <w:rPr>
          <w:rFonts w:eastAsia="Times New Roman" w:cs="Arial"/>
        </w:rPr>
      </w:pPr>
      <w:r w:rsidRPr="00375852">
        <w:rPr>
          <w:rFonts w:eastAsia="Times New Roman" w:cs="Arial"/>
        </w:rPr>
        <w:t>Strategic direction: clarity about aims and priorities, and the extent to which these are aligned across levels.</w:t>
      </w:r>
    </w:p>
    <w:p w:rsidR="00191E9E" w:rsidRPr="00375852" w:rsidRDefault="00191E9E" w:rsidP="00191E9E">
      <w:pPr>
        <w:pStyle w:val="ListParagraph"/>
        <w:numPr>
          <w:ilvl w:val="0"/>
          <w:numId w:val="21"/>
        </w:numPr>
        <w:spacing w:before="100" w:beforeAutospacing="1" w:after="100" w:afterAutospacing="1"/>
        <w:rPr>
          <w:rFonts w:eastAsia="Times New Roman" w:cs="Arial"/>
        </w:rPr>
      </w:pPr>
      <w:r w:rsidRPr="00375852">
        <w:rPr>
          <w:rFonts w:eastAsia="Times New Roman" w:cs="Arial"/>
        </w:rPr>
        <w:t>Coordination and integration: mechanisms that connect actors and prevent fragmentation.</w:t>
      </w:r>
    </w:p>
    <w:p w:rsidR="00191E9E" w:rsidRPr="00375852" w:rsidRDefault="00191E9E" w:rsidP="00191E9E">
      <w:pPr>
        <w:pStyle w:val="ListParagraph"/>
        <w:numPr>
          <w:ilvl w:val="0"/>
          <w:numId w:val="21"/>
        </w:numPr>
        <w:spacing w:before="100" w:beforeAutospacing="1" w:after="100" w:afterAutospacing="1"/>
        <w:rPr>
          <w:rFonts w:eastAsia="Times New Roman" w:cs="Arial"/>
        </w:rPr>
      </w:pPr>
      <w:r w:rsidRPr="00375852">
        <w:rPr>
          <w:rFonts w:eastAsia="Times New Roman" w:cs="Arial"/>
        </w:rPr>
        <w:t>Learning and adaptation: how leaders use data and feedback to adjust course.</w:t>
      </w:r>
    </w:p>
    <w:p w:rsidR="00191E9E" w:rsidRPr="00191E9E" w:rsidRDefault="00191E9E" w:rsidP="00191E9E">
      <w:pPr>
        <w:pStyle w:val="ListParagraph"/>
        <w:numPr>
          <w:ilvl w:val="0"/>
          <w:numId w:val="21"/>
        </w:numPr>
        <w:spacing w:before="100" w:beforeAutospacing="1" w:after="100" w:afterAutospacing="1"/>
        <w:rPr>
          <w:rFonts w:eastAsia="Times New Roman" w:cs="Arial"/>
          <w:sz w:val="24"/>
          <w:szCs w:val="24"/>
        </w:rPr>
      </w:pPr>
      <w:r w:rsidRPr="00375852">
        <w:rPr>
          <w:rFonts w:eastAsia="Times New Roman" w:cs="Arial"/>
        </w:rPr>
        <w:t>Values and equity: how decisions reflect concern for fairness, particularly for those most at risk.</w:t>
      </w:r>
    </w:p>
    <w:p w:rsidR="00191E9E" w:rsidRPr="00191E9E" w:rsidRDefault="00191E9E" w:rsidP="00191E9E">
      <w:pPr>
        <w:pStyle w:val="Heading2"/>
      </w:pPr>
      <w:bookmarkStart w:id="3" w:name="_Toc214574500"/>
      <w:r w:rsidRPr="00191E9E">
        <w:t>Systems thinking and rich picture mapping</w:t>
      </w:r>
      <w:bookmarkEnd w:id="3"/>
    </w:p>
    <w:p w:rsidR="00191E9E" w:rsidRPr="00375852" w:rsidRDefault="00191E9E" w:rsidP="00191E9E">
      <w:pPr>
        <w:spacing w:before="100" w:beforeAutospacing="1" w:after="100" w:afterAutospacing="1"/>
        <w:rPr>
          <w:rFonts w:eastAsia="Times New Roman" w:cs="Arial"/>
        </w:rPr>
      </w:pPr>
      <w:r w:rsidRPr="00375852">
        <w:rPr>
          <w:rFonts w:eastAsia="Times New Roman" w:cs="Arial"/>
        </w:rPr>
        <w:t>Systems thinking offers tools for understanding health systems as networks of interacting components rather than as collections of isolated organisations. It draws attention to feedback loops, time delays, path dependence and unintended consequences (Hassan et al., 2020). During COVID 19, for example, decisions about school closures affected not only virus transmission, but also parental labour supply, mental health and household income. These in turn influenced the capacity of people to comply with public health measures.</w:t>
      </w:r>
    </w:p>
    <w:p w:rsidR="00191E9E" w:rsidRPr="00375852" w:rsidRDefault="00191E9E" w:rsidP="00191E9E">
      <w:pPr>
        <w:spacing w:before="100" w:beforeAutospacing="1" w:after="100" w:afterAutospacing="1"/>
        <w:rPr>
          <w:rFonts w:eastAsia="Times New Roman" w:cs="Arial"/>
        </w:rPr>
      </w:pPr>
      <w:r w:rsidRPr="00375852">
        <w:rPr>
          <w:rFonts w:eastAsia="Times New Roman" w:cs="Arial"/>
        </w:rPr>
        <w:t>Rich picture diagrams are a systems thinking technique used to capture qualitatively the main actors, relationships, conflicts and flows in a system. They provide a way of representing the formal structures of governance, such as ministries or agencies, alongside informal influences such as media, professional networks and community groups. For complex problems like pandemic response, rich pictures can help leaders see the whole system and avoid focusing narrowly on hospitals or case numbers alone.</w:t>
      </w:r>
    </w:p>
    <w:p w:rsidR="00191E9E" w:rsidRPr="00375852" w:rsidRDefault="00191E9E" w:rsidP="00191E9E">
      <w:pPr>
        <w:pStyle w:val="Heading2"/>
        <w:rPr>
          <w:szCs w:val="22"/>
        </w:rPr>
      </w:pPr>
      <w:bookmarkStart w:id="4" w:name="_Toc214574501"/>
      <w:r w:rsidRPr="00375852">
        <w:rPr>
          <w:szCs w:val="22"/>
        </w:rPr>
        <w:lastRenderedPageBreak/>
        <w:t>Centralisation, decentralisation and multilevel governance</w:t>
      </w:r>
      <w:bookmarkEnd w:id="4"/>
    </w:p>
    <w:p w:rsidR="00191E9E" w:rsidRPr="00375852" w:rsidRDefault="00191E9E" w:rsidP="00191E9E">
      <w:pPr>
        <w:spacing w:before="100" w:beforeAutospacing="1" w:after="100" w:afterAutospacing="1"/>
        <w:rPr>
          <w:rFonts w:eastAsia="Times New Roman" w:cs="Arial"/>
        </w:rPr>
      </w:pPr>
      <w:r w:rsidRPr="00375852">
        <w:rPr>
          <w:rFonts w:eastAsia="Times New Roman" w:cs="Arial"/>
        </w:rPr>
        <w:t>The degree to which decisions are centralised or decentralised is a central theme in debates about pandemic response. Highly centralised systems can move quickly and apply uniform measures, but may struggle to accommodate local variation. Highly decentralised systems may be more responsive to local conditions, but can suffer from fragmentation, duplication and inequity if coordination is weak (Marchildon, 2013; Bernal Delgado et al., 2018).</w:t>
      </w:r>
    </w:p>
    <w:p w:rsidR="00191E9E" w:rsidRPr="00375852" w:rsidRDefault="00191E9E" w:rsidP="00191E9E">
      <w:pPr>
        <w:spacing w:before="100" w:beforeAutospacing="1" w:after="100" w:afterAutospacing="1"/>
        <w:rPr>
          <w:rFonts w:eastAsia="Times New Roman" w:cs="Arial"/>
        </w:rPr>
      </w:pPr>
      <w:r w:rsidRPr="00375852">
        <w:rPr>
          <w:rFonts w:eastAsia="Times New Roman" w:cs="Arial"/>
        </w:rPr>
        <w:t>Spain and Canada are often classified as multilevel systems where subnational governments have extensive responsibilities for health. In Spain, Autonomous Communities manage most health budgets and services. In Canada, provinces and territories have primary responsibility for organising health care and long term care. South Korea, by contrast, retains stronger central authority in infectious disease control, although local governments play important roles in implementing policies (Kwon, 2009; Yoo et al., 2021).</w:t>
      </w:r>
    </w:p>
    <w:p w:rsidR="00191E9E" w:rsidRPr="00191E9E" w:rsidRDefault="00CF27C4" w:rsidP="00191E9E">
      <w:pPr>
        <w:spacing w:before="100" w:beforeAutospacing="1" w:after="100" w:afterAutospacing="1"/>
        <w:rPr>
          <w:rFonts w:eastAsia="Times New Roman" w:cs="Arial"/>
          <w:sz w:val="24"/>
          <w:szCs w:val="24"/>
        </w:rPr>
      </w:pPr>
      <w:r w:rsidRPr="00CF27C4">
        <w:rPr>
          <w:rFonts w:eastAsia="Times New Roman" w:cs="Arial"/>
        </w:rPr>
        <w:t>Multilevel governance studies indicate that successful systems are not based on either centralisation or decentralisation. With meaningful local autonomy and clear national stewardship and standards, they are instead a blend of the two. The main institutions are intergovernmental councils, formal data sharing agreements, and funding incentive alignment. These arrangements can facilitate action in the coordination of action during emergencies instead of ad hoc centralisation, which is subsequently challenged.</w:t>
      </w:r>
    </w:p>
    <w:p w:rsidR="00191E9E" w:rsidRPr="00191E9E" w:rsidRDefault="00191E9E" w:rsidP="00191E9E">
      <w:pPr>
        <w:pStyle w:val="Heading2"/>
      </w:pPr>
      <w:bookmarkStart w:id="5" w:name="_Toc214574502"/>
      <w:r w:rsidRPr="00191E9E">
        <w:t>Methodology and data</w:t>
      </w:r>
      <w:bookmarkEnd w:id="5"/>
    </w:p>
    <w:p w:rsidR="00191E9E" w:rsidRPr="00375852" w:rsidRDefault="00191E9E" w:rsidP="00191E9E">
      <w:pPr>
        <w:spacing w:before="100" w:beforeAutospacing="1" w:after="100" w:afterAutospacing="1"/>
        <w:rPr>
          <w:rFonts w:eastAsia="Times New Roman" w:cs="Arial"/>
        </w:rPr>
      </w:pPr>
      <w:r w:rsidRPr="00375852">
        <w:rPr>
          <w:rFonts w:eastAsia="Times New Roman" w:cs="Arial"/>
        </w:rPr>
        <w:t>The report uses a comparative case study design. The three countries were selected because they share a commitment to universal coverage but differ in governance structures, prior experience with epidemics and public health investment. This allows analysis of how leadership interacts with system characteristics rather than focusing solely on cultural or economic differences.</w:t>
      </w:r>
    </w:p>
    <w:p w:rsidR="00191E9E" w:rsidRPr="00375852" w:rsidRDefault="00191E9E" w:rsidP="00191E9E">
      <w:pPr>
        <w:spacing w:before="100" w:beforeAutospacing="1" w:after="100" w:afterAutospacing="1"/>
        <w:rPr>
          <w:rFonts w:eastAsia="Times New Roman" w:cs="Arial"/>
        </w:rPr>
      </w:pPr>
      <w:r w:rsidRPr="00375852">
        <w:rPr>
          <w:rFonts w:eastAsia="Times New Roman" w:cs="Arial"/>
        </w:rPr>
        <w:t>The analysis is based on secondary data. Key sources include:</w:t>
      </w:r>
    </w:p>
    <w:p w:rsidR="00191E9E" w:rsidRPr="00375852" w:rsidRDefault="00191E9E" w:rsidP="00191E9E">
      <w:pPr>
        <w:pStyle w:val="ListParagraph"/>
        <w:numPr>
          <w:ilvl w:val="0"/>
          <w:numId w:val="22"/>
        </w:numPr>
        <w:spacing w:before="100" w:beforeAutospacing="1" w:after="100" w:afterAutospacing="1"/>
        <w:rPr>
          <w:rFonts w:eastAsia="Times New Roman" w:cs="Arial"/>
        </w:rPr>
      </w:pPr>
      <w:r w:rsidRPr="00375852">
        <w:rPr>
          <w:rFonts w:eastAsia="Times New Roman" w:cs="Arial"/>
        </w:rPr>
        <w:t>Health Systems in Transition profiles for Spain and Canada (García Armesto et al., 2010; Marchildon, 2013).</w:t>
      </w:r>
    </w:p>
    <w:p w:rsidR="00191E9E" w:rsidRPr="00375852" w:rsidRDefault="00191E9E" w:rsidP="00191E9E">
      <w:pPr>
        <w:pStyle w:val="ListParagraph"/>
        <w:numPr>
          <w:ilvl w:val="0"/>
          <w:numId w:val="22"/>
        </w:numPr>
        <w:spacing w:before="100" w:beforeAutospacing="1" w:after="100" w:afterAutospacing="1"/>
        <w:rPr>
          <w:rFonts w:eastAsia="Times New Roman" w:cs="Arial"/>
        </w:rPr>
      </w:pPr>
      <w:r w:rsidRPr="00375852">
        <w:rPr>
          <w:rFonts w:eastAsia="Times New Roman" w:cs="Arial"/>
        </w:rPr>
        <w:t>Peer reviewed articles examining COVID 19 responses, including evaluations of Spain’s management (García Basteiro et al., 2020), studies of South Korean strategies (Yoo et al., 2021; Park, Choi and Ko, 2020) and analyses of long term care and COVID 19 in Canada (Hsu and Lane, 2020; Estabrooks et al., 2020).</w:t>
      </w:r>
    </w:p>
    <w:p w:rsidR="00191E9E" w:rsidRPr="00375852" w:rsidRDefault="00191E9E" w:rsidP="00191E9E">
      <w:pPr>
        <w:pStyle w:val="ListParagraph"/>
        <w:numPr>
          <w:ilvl w:val="0"/>
          <w:numId w:val="22"/>
        </w:numPr>
        <w:spacing w:before="100" w:beforeAutospacing="1" w:after="100" w:afterAutospacing="1"/>
        <w:rPr>
          <w:rFonts w:eastAsia="Times New Roman" w:cs="Arial"/>
        </w:rPr>
      </w:pPr>
      <w:r w:rsidRPr="00375852">
        <w:rPr>
          <w:rFonts w:eastAsia="Times New Roman" w:cs="Arial"/>
        </w:rPr>
        <w:lastRenderedPageBreak/>
        <w:t>Reports from organisations such as the OECD and the Canadian Institute for Health Information (CIHI, 2020; OECD, 2021).</w:t>
      </w:r>
    </w:p>
    <w:p w:rsidR="00191E9E" w:rsidRPr="00375852" w:rsidRDefault="00191E9E" w:rsidP="00191E9E">
      <w:pPr>
        <w:pStyle w:val="ListParagraph"/>
        <w:numPr>
          <w:ilvl w:val="0"/>
          <w:numId w:val="22"/>
        </w:numPr>
        <w:spacing w:before="100" w:beforeAutospacing="1" w:after="100" w:afterAutospacing="1"/>
        <w:rPr>
          <w:rFonts w:eastAsia="Times New Roman" w:cs="Arial"/>
        </w:rPr>
      </w:pPr>
      <w:r w:rsidRPr="00375852">
        <w:rPr>
          <w:rFonts w:eastAsia="Times New Roman" w:cs="Arial"/>
        </w:rPr>
        <w:t>Selected national inquiries and policy documents where available.</w:t>
      </w:r>
    </w:p>
    <w:p w:rsidR="00191E9E" w:rsidRPr="00191E9E" w:rsidRDefault="00191E9E" w:rsidP="00191E9E">
      <w:pPr>
        <w:spacing w:before="100" w:beforeAutospacing="1" w:after="100" w:afterAutospacing="1"/>
        <w:rPr>
          <w:rFonts w:eastAsia="Times New Roman" w:cs="Arial"/>
          <w:sz w:val="24"/>
          <w:szCs w:val="24"/>
        </w:rPr>
      </w:pPr>
      <w:r w:rsidRPr="00375852">
        <w:rPr>
          <w:rFonts w:eastAsia="Times New Roman" w:cs="Arial"/>
        </w:rPr>
        <w:t>The focus is on the first two years of the pandemic, while recognising that subsequent waves and vaccination campaigns continued to test systems. The literature base is strongest for early 2020 to mid-2022, which coincides with the period in which leadership decisions had the greatest impact on acute outcomes.</w:t>
      </w:r>
    </w:p>
    <w:p w:rsidR="00191E9E" w:rsidRPr="00191E9E" w:rsidRDefault="00191E9E" w:rsidP="00191E9E">
      <w:pPr>
        <w:pStyle w:val="Heading1"/>
        <w:rPr>
          <w:rFonts w:eastAsia="Times New Roman"/>
        </w:rPr>
      </w:pPr>
      <w:bookmarkStart w:id="6" w:name="_Toc214574503"/>
      <w:r w:rsidRPr="00191E9E">
        <w:rPr>
          <w:rFonts w:eastAsia="Times New Roman"/>
        </w:rPr>
        <w:t>Health system organisation and governance before COVID 19</w:t>
      </w:r>
      <w:bookmarkEnd w:id="6"/>
    </w:p>
    <w:p w:rsidR="00191E9E" w:rsidRPr="00191E9E" w:rsidRDefault="00191E9E" w:rsidP="00191E9E">
      <w:pPr>
        <w:pStyle w:val="Heading2"/>
      </w:pPr>
      <w:bookmarkStart w:id="7" w:name="_Toc214574504"/>
      <w:r w:rsidRPr="00191E9E">
        <w:t>Spain</w:t>
      </w:r>
      <w:bookmarkEnd w:id="7"/>
    </w:p>
    <w:p w:rsidR="00191E9E" w:rsidRPr="00375852" w:rsidRDefault="00191E9E" w:rsidP="00191E9E">
      <w:pPr>
        <w:spacing w:before="100" w:beforeAutospacing="1" w:after="100" w:afterAutospacing="1"/>
        <w:rPr>
          <w:rFonts w:eastAsia="Times New Roman" w:cs="Arial"/>
        </w:rPr>
      </w:pPr>
      <w:r w:rsidRPr="00375852">
        <w:rPr>
          <w:rFonts w:eastAsia="Times New Roman" w:cs="Arial"/>
        </w:rPr>
        <w:t>Spain’s National Health System (Sistema Nacional de Salud, SNS) is a tax financed system that provides near universal coverage for residents. Since the late 1970s, competencies for health care have been progressively transferred from the central state to the 17 Autonomous Communities and two autonomous cities. Regional governments now plan services, manage budgets and own most public hospitals and primary care centres (García Armesto et al., 2010; Bernal Delgado et al., 2018).</w:t>
      </w:r>
    </w:p>
    <w:p w:rsidR="00191E9E" w:rsidRPr="00375852" w:rsidRDefault="00191E9E" w:rsidP="00191E9E">
      <w:pPr>
        <w:spacing w:before="100" w:beforeAutospacing="1" w:after="100" w:afterAutospacing="1"/>
        <w:rPr>
          <w:rFonts w:eastAsia="Times New Roman" w:cs="Arial"/>
        </w:rPr>
      </w:pPr>
      <w:r w:rsidRPr="00375852">
        <w:rPr>
          <w:rFonts w:eastAsia="Times New Roman" w:cs="Arial"/>
        </w:rPr>
        <w:t>At the central level, the Ministry of Health is responsible for basic legislation, defining the common benefits package and coordinating across regions through the Interterritorial Council of the SNS. This council, which includes the minister and regional health councillors, is the main forum for agreement on national strategies. However, its decisions are usually made by consensus and often lack enforcement mechanisms. This has contributed to significant regional variation in spending levels, staffing and waiting times (Bernal Delgado et al., 2018).</w:t>
      </w:r>
    </w:p>
    <w:p w:rsidR="00191E9E" w:rsidRPr="00375852" w:rsidRDefault="00191E9E" w:rsidP="00191E9E">
      <w:pPr>
        <w:spacing w:before="100" w:beforeAutospacing="1" w:after="100" w:afterAutospacing="1"/>
        <w:rPr>
          <w:rFonts w:eastAsia="Times New Roman" w:cs="Arial"/>
        </w:rPr>
      </w:pPr>
      <w:r w:rsidRPr="00375852">
        <w:rPr>
          <w:rFonts w:eastAsia="Times New Roman" w:cs="Arial"/>
        </w:rPr>
        <w:t>Public health functions are shared between levels. The National Centre for Epidemiology and the Coordination Centre for Health Alerts and Emergencies provide technical leadership at national level, while regional public health directorates undertake surveillance, contact tracing and health promotion locally (García Basteiro et al., 2020). Information systems prior to COVID 19 were often fragmented, with incomplete and delayed reporting.</w:t>
      </w:r>
    </w:p>
    <w:p w:rsidR="00191E9E" w:rsidRPr="00375852" w:rsidRDefault="00191E9E" w:rsidP="00191E9E">
      <w:pPr>
        <w:spacing w:before="100" w:beforeAutospacing="1" w:after="100" w:afterAutospacing="1"/>
        <w:rPr>
          <w:rFonts w:eastAsia="Times New Roman" w:cs="Arial"/>
        </w:rPr>
      </w:pPr>
      <w:r w:rsidRPr="00375852">
        <w:rPr>
          <w:rFonts w:eastAsia="Times New Roman" w:cs="Arial"/>
        </w:rPr>
        <w:t xml:space="preserve">Long term care for older adults is organised largely through regional social services departments and is provided by a mix of public, not for profit and for profit organisations. Many facilities operate on thin margins and rely heavily on low paid staff with limited clinical training. Integration between long term care and the SNS is weak, with separate regulatory </w:t>
      </w:r>
      <w:r w:rsidRPr="00375852">
        <w:rPr>
          <w:rFonts w:eastAsia="Times New Roman" w:cs="Arial"/>
        </w:rPr>
        <w:lastRenderedPageBreak/>
        <w:t>frameworks, funding streams and information systems (Estabrooks et al., 2020; Grinspun et al., 2023).</w:t>
      </w:r>
    </w:p>
    <w:p w:rsidR="00191E9E" w:rsidRPr="00191E9E" w:rsidRDefault="00191E9E" w:rsidP="00191E9E">
      <w:pPr>
        <w:spacing w:before="100" w:beforeAutospacing="1" w:after="100" w:afterAutospacing="1"/>
        <w:rPr>
          <w:rFonts w:eastAsia="Times New Roman" w:cs="Arial"/>
          <w:sz w:val="24"/>
          <w:szCs w:val="24"/>
        </w:rPr>
      </w:pPr>
      <w:r w:rsidRPr="00375852">
        <w:rPr>
          <w:rFonts w:eastAsia="Times New Roman" w:cs="Arial"/>
        </w:rPr>
        <w:t>In the rich picture for Spain (Figure 1), the Ministry of Health and Interterritorial Council sit at the centre of a network that includes regional health ministries, SNS providers, regional public health agencies and long term care providers. Arrows indicate flows of finance, information and guidance, while feedback loops highlight how fiscal policy, political negotiation and media narratives shaped policy choices and public trust.</w:t>
      </w:r>
    </w:p>
    <w:p w:rsidR="00F542FF" w:rsidRDefault="00C83B76" w:rsidP="00C83B76">
      <w:pPr>
        <w:keepNext/>
        <w:spacing w:before="100" w:beforeAutospacing="1" w:after="100" w:afterAutospacing="1"/>
        <w:jc w:val="center"/>
      </w:pPr>
      <w:r>
        <w:rPr>
          <w:noProof/>
        </w:rPr>
        <w:drawing>
          <wp:inline distT="0" distB="0" distL="0" distR="0">
            <wp:extent cx="5733415" cy="5887085"/>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3415" cy="5887085"/>
                    </a:xfrm>
                    <a:prstGeom prst="rect">
                      <a:avLst/>
                    </a:prstGeom>
                    <a:noFill/>
                    <a:ln>
                      <a:noFill/>
                    </a:ln>
                  </pic:spPr>
                </pic:pic>
              </a:graphicData>
            </a:graphic>
          </wp:inline>
        </w:drawing>
      </w:r>
    </w:p>
    <w:p w:rsidR="0077528B" w:rsidRDefault="00F542FF" w:rsidP="00F542FF">
      <w:pPr>
        <w:jc w:val="center"/>
      </w:pPr>
      <w:bookmarkStart w:id="8" w:name="_Toc214574520"/>
      <w:r>
        <w:t xml:space="preserve">Figure </w:t>
      </w:r>
      <w:r w:rsidR="006A5278">
        <w:fldChar w:fldCharType="begin"/>
      </w:r>
      <w:r w:rsidR="004C0317">
        <w:instrText xml:space="preserve"> SEQ Figure \* ARABIC </w:instrText>
      </w:r>
      <w:r w:rsidR="006A5278">
        <w:fldChar w:fldCharType="separate"/>
      </w:r>
      <w:r>
        <w:rPr>
          <w:noProof/>
        </w:rPr>
        <w:t>1</w:t>
      </w:r>
      <w:r w:rsidR="006A5278">
        <w:rPr>
          <w:noProof/>
        </w:rPr>
        <w:fldChar w:fldCharType="end"/>
      </w:r>
      <w:r>
        <w:t xml:space="preserve">: </w:t>
      </w:r>
      <w:r w:rsidR="00C83B76" w:rsidRPr="00C83B76">
        <w:t xml:space="preserve">Rich picture of Spain’s COVID-19 leadership and health system response, illustrating the central role of the Ministry of Health and Interterritorial Council, the </w:t>
      </w:r>
      <w:r w:rsidR="00C83B76" w:rsidRPr="00C83B76">
        <w:lastRenderedPageBreak/>
        <w:t>fragmented governance between central and regional authorities, and the impact of long-term care failures, media pressure and political conflict on system performance.</w:t>
      </w:r>
      <w:bookmarkEnd w:id="8"/>
    </w:p>
    <w:p w:rsidR="00191E9E" w:rsidRPr="00191E9E" w:rsidRDefault="00191E9E" w:rsidP="00191E9E">
      <w:pPr>
        <w:pStyle w:val="Heading2"/>
      </w:pPr>
      <w:bookmarkStart w:id="9" w:name="_Toc214574505"/>
      <w:r w:rsidRPr="00191E9E">
        <w:t>South Korea</w:t>
      </w:r>
      <w:bookmarkEnd w:id="9"/>
    </w:p>
    <w:p w:rsidR="00191E9E" w:rsidRPr="00375852" w:rsidRDefault="00191E9E" w:rsidP="00191E9E">
      <w:pPr>
        <w:spacing w:before="100" w:beforeAutospacing="1" w:after="100" w:afterAutospacing="1"/>
        <w:rPr>
          <w:rFonts w:eastAsia="Times New Roman" w:cs="Arial"/>
        </w:rPr>
      </w:pPr>
      <w:r w:rsidRPr="00375852">
        <w:rPr>
          <w:rFonts w:eastAsia="Times New Roman" w:cs="Arial"/>
        </w:rPr>
        <w:t>South Korea has a single payer National Health Insurance (NHI) system that covers the vast majority of citizens and long term residents. Financing is based on contributions from employees, employers and government subsidies. Service delivery is dominated by private providers, especially hospitals and clinics, while the public sector retains responsibility for policy, regulation and population health (Kwon, 2009).</w:t>
      </w:r>
    </w:p>
    <w:p w:rsidR="00191E9E" w:rsidRPr="00375852" w:rsidRDefault="00191E9E" w:rsidP="00191E9E">
      <w:pPr>
        <w:spacing w:before="100" w:beforeAutospacing="1" w:after="100" w:afterAutospacing="1"/>
        <w:rPr>
          <w:rFonts w:eastAsia="Times New Roman" w:cs="Arial"/>
        </w:rPr>
      </w:pPr>
      <w:r w:rsidRPr="00375852">
        <w:rPr>
          <w:rFonts w:eastAsia="Times New Roman" w:cs="Arial"/>
        </w:rPr>
        <w:t>The Ministry of Health and Welfare oversees health policy and the NHI. The Korea Disease Control and Prevention Agency (KDCA), previously the Korea Centers for Disease Control and Prevention, is the lead agency for infectious disease surveillance and response. Its establishment and subsequent strengthening were strongly influenced by previous outbreaks, notably SARS in 2003 and MERS in 2015 (Ki, 2015; Yoo et al., 2021). After the MERS outbreak, South Korea revised its Infectious Disease Control and Prevention Act, increased investment in laboratory capacity and clarified the legal basis for data sharing and contact tracing.</w:t>
      </w:r>
    </w:p>
    <w:p w:rsidR="00191E9E" w:rsidRPr="00375852" w:rsidRDefault="00CF27C4" w:rsidP="00191E9E">
      <w:pPr>
        <w:spacing w:before="100" w:beforeAutospacing="1" w:after="100" w:afterAutospacing="1"/>
        <w:rPr>
          <w:rFonts w:eastAsia="Times New Roman" w:cs="Arial"/>
        </w:rPr>
      </w:pPr>
      <w:r w:rsidRPr="00CF27C4">
        <w:rPr>
          <w:rFonts w:eastAsia="Times New Roman" w:cs="Arial"/>
        </w:rPr>
        <w:t>The national government still exercises a lot of power in the context of emergency preparedness. The health minister and KDCA have legal provisions to coordinate the responses of the ministries, direct the local governments and requisite the resources of the private sector in case of specific emergencies. Meanwhile, local governments will have to do much to address the wide range of public health resources, including the testing center, quarantine centers, and the areas where distancing is enforced (Yoo et al., 2021). This segregation implies that the national agencies determine the strategy and standards whereas the local actors manage operational delivery.</w:t>
      </w:r>
    </w:p>
    <w:p w:rsidR="00191E9E" w:rsidRPr="00375852" w:rsidRDefault="00191E9E" w:rsidP="00191E9E">
      <w:pPr>
        <w:spacing w:before="100" w:beforeAutospacing="1" w:after="100" w:afterAutospacing="1"/>
        <w:rPr>
          <w:rFonts w:eastAsia="Times New Roman" w:cs="Arial"/>
        </w:rPr>
      </w:pPr>
      <w:r w:rsidRPr="00375852">
        <w:rPr>
          <w:rFonts w:eastAsia="Times New Roman" w:cs="Arial"/>
        </w:rPr>
        <w:t>Digital infrastructure is a distinctive feature of the South Korean system. High rates of smartphone use, integrated health insurance claims data and widespread electronic records created a foundation for advanced surveillance tools even before COVID 19. The government had already used credit card and mobile phone data during MERS to trace contacts, and legal frameworks were in place that allowed similar approaches during COVID 19 within defined safeguards (Park, Choi and Ko, 2020).</w:t>
      </w:r>
    </w:p>
    <w:p w:rsidR="00191E9E" w:rsidRPr="00375852" w:rsidRDefault="00191E9E" w:rsidP="00191E9E">
      <w:pPr>
        <w:spacing w:before="100" w:beforeAutospacing="1" w:after="100" w:afterAutospacing="1"/>
        <w:rPr>
          <w:rFonts w:eastAsia="Times New Roman" w:cs="Arial"/>
        </w:rPr>
      </w:pPr>
      <w:r w:rsidRPr="00375852">
        <w:rPr>
          <w:rFonts w:eastAsia="Times New Roman" w:cs="Arial"/>
        </w:rPr>
        <w:t xml:space="preserve">Long term care provision in South Korea has expanded rapidly in the last two decades, with the introduction of a national long term care insurance scheme. Many facilities are small and </w:t>
      </w:r>
      <w:r w:rsidRPr="00375852">
        <w:rPr>
          <w:rFonts w:eastAsia="Times New Roman" w:cs="Arial"/>
        </w:rPr>
        <w:lastRenderedPageBreak/>
        <w:t>privately owned, and concerns have been raised about variation in quality and staffing. Nevertheless, the existence of a national financing mechanism and closer alignment with the health system facilitated more consistent policy responses than in some other countries (Kwon, 2009).</w:t>
      </w:r>
    </w:p>
    <w:p w:rsidR="00191E9E" w:rsidRPr="00191E9E" w:rsidRDefault="00191E9E" w:rsidP="00191E9E">
      <w:pPr>
        <w:spacing w:before="100" w:beforeAutospacing="1" w:after="100" w:afterAutospacing="1"/>
        <w:rPr>
          <w:rFonts w:eastAsia="Times New Roman" w:cs="Arial"/>
          <w:sz w:val="24"/>
          <w:szCs w:val="24"/>
        </w:rPr>
      </w:pPr>
      <w:r w:rsidRPr="00375852">
        <w:rPr>
          <w:rFonts w:eastAsia="Times New Roman" w:cs="Arial"/>
        </w:rPr>
        <w:t>In the rich picture for South Korea (Figure 2), KDCA is positioned as a central node connecting the Ministry of Health and Welfare, the Prime Minister’s Office, local governments, laboratories and health care providers. Surrounding elements represent digital platforms, private manufacturers and the media. Feedback loops trace how epidemiological data informed policy decisions and how public communication influenced adherence and trust.</w:t>
      </w:r>
    </w:p>
    <w:p w:rsidR="00F542FF" w:rsidRDefault="00C83B76" w:rsidP="00F542FF">
      <w:pPr>
        <w:keepNext/>
        <w:spacing w:before="100" w:beforeAutospacing="1" w:after="100" w:afterAutospacing="1"/>
      </w:pPr>
      <w:r>
        <w:rPr>
          <w:noProof/>
        </w:rPr>
        <w:lastRenderedPageBreak/>
        <w:drawing>
          <wp:inline distT="0" distB="0" distL="0" distR="0">
            <wp:extent cx="5733415" cy="5905500"/>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3415" cy="5905500"/>
                    </a:xfrm>
                    <a:prstGeom prst="rect">
                      <a:avLst/>
                    </a:prstGeom>
                    <a:noFill/>
                    <a:ln>
                      <a:noFill/>
                    </a:ln>
                  </pic:spPr>
                </pic:pic>
              </a:graphicData>
            </a:graphic>
          </wp:inline>
        </w:drawing>
      </w:r>
    </w:p>
    <w:p w:rsidR="0077528B" w:rsidRDefault="00F542FF" w:rsidP="00F542FF">
      <w:pPr>
        <w:jc w:val="center"/>
      </w:pPr>
      <w:bookmarkStart w:id="10" w:name="_Toc214574521"/>
      <w:r>
        <w:t xml:space="preserve">Figure </w:t>
      </w:r>
      <w:r w:rsidR="006A5278">
        <w:fldChar w:fldCharType="begin"/>
      </w:r>
      <w:r w:rsidR="004C0317">
        <w:instrText xml:space="preserve"> SEQ Figure \* ARABIC </w:instrText>
      </w:r>
      <w:r w:rsidR="006A5278">
        <w:fldChar w:fldCharType="separate"/>
      </w:r>
      <w:r>
        <w:rPr>
          <w:noProof/>
        </w:rPr>
        <w:t>2</w:t>
      </w:r>
      <w:r w:rsidR="006A5278">
        <w:rPr>
          <w:noProof/>
        </w:rPr>
        <w:fldChar w:fldCharType="end"/>
      </w:r>
      <w:r>
        <w:t xml:space="preserve">: </w:t>
      </w:r>
      <w:r w:rsidR="00C83B76" w:rsidRPr="00C83B76">
        <w:t>Rich picture of South Korea’s COVID-19 leadership and health system response, highlighting the central coordination role of KDCA and the Central Disaster and Safety Countermeasures Headquarters, supported by digital data infrastructure, local public health centres and high levels of public compliance.</w:t>
      </w:r>
      <w:bookmarkEnd w:id="10"/>
    </w:p>
    <w:p w:rsidR="00191E9E" w:rsidRPr="00191E9E" w:rsidRDefault="00191E9E" w:rsidP="00191E9E">
      <w:pPr>
        <w:pStyle w:val="Heading2"/>
      </w:pPr>
      <w:bookmarkStart w:id="11" w:name="_Toc214574506"/>
      <w:r w:rsidRPr="00191E9E">
        <w:t>Canada</w:t>
      </w:r>
      <w:bookmarkEnd w:id="11"/>
    </w:p>
    <w:p w:rsidR="00191E9E" w:rsidRPr="00375852" w:rsidRDefault="00191E9E" w:rsidP="00191E9E">
      <w:pPr>
        <w:spacing w:before="100" w:beforeAutospacing="1" w:after="100" w:afterAutospacing="1"/>
        <w:rPr>
          <w:rFonts w:eastAsia="Times New Roman" w:cs="Arial"/>
        </w:rPr>
      </w:pPr>
      <w:r w:rsidRPr="00375852">
        <w:rPr>
          <w:rFonts w:eastAsia="Times New Roman" w:cs="Arial"/>
        </w:rPr>
        <w:t>Canada’s health system is a classic example of federal governance. The federal government provides funding and sets broad principles through the Canada Health Act, but provinces and territories organise and deliver most health services. As a result, Canada is often described as having 13 provincial and territorial health systems rather than a single integrated system (Marchildon, 2013).</w:t>
      </w:r>
    </w:p>
    <w:p w:rsidR="00191E9E" w:rsidRPr="00375852" w:rsidRDefault="00191E9E" w:rsidP="00191E9E">
      <w:pPr>
        <w:spacing w:before="100" w:beforeAutospacing="1" w:after="100" w:afterAutospacing="1"/>
        <w:rPr>
          <w:rFonts w:eastAsia="Times New Roman" w:cs="Arial"/>
        </w:rPr>
      </w:pPr>
      <w:r w:rsidRPr="00375852">
        <w:rPr>
          <w:rFonts w:eastAsia="Times New Roman" w:cs="Arial"/>
        </w:rPr>
        <w:lastRenderedPageBreak/>
        <w:t>Federal responsibilities include border control, public health surveillance, regulation of pharmaceuticals and medical devices, and targeted funding initiatives. The Public Health Agency of Canada (PHAC) was created after the SARS outbreak in 2003 to provide national leadership on communicable disease control and health promotion. The Chief Public Health Officer advises the federal government and communicates with the public during health emergencies.</w:t>
      </w:r>
    </w:p>
    <w:p w:rsidR="00191E9E" w:rsidRPr="00375852" w:rsidRDefault="00191E9E" w:rsidP="00191E9E">
      <w:pPr>
        <w:spacing w:before="100" w:beforeAutospacing="1" w:after="100" w:afterAutospacing="1"/>
        <w:rPr>
          <w:rFonts w:eastAsia="Times New Roman" w:cs="Arial"/>
        </w:rPr>
      </w:pPr>
      <w:r w:rsidRPr="00375852">
        <w:rPr>
          <w:rFonts w:eastAsia="Times New Roman" w:cs="Arial"/>
        </w:rPr>
        <w:t>Provinces and territories fund and regulate hospitals, physician services, public health units and many community services. They decide how to structure delivery, for example through regional health authorities or more centralised models. Public health units at regional or local level conduct surveillance, contact tracing and health promotion. The diversity of arrangements means that there is considerable variation in capacity and organisation across the country (PHAC, 2021; CIHI, 2020).</w:t>
      </w:r>
    </w:p>
    <w:p w:rsidR="00191E9E" w:rsidRPr="00375852" w:rsidRDefault="00191E9E" w:rsidP="00191E9E">
      <w:pPr>
        <w:spacing w:before="100" w:beforeAutospacing="1" w:after="100" w:afterAutospacing="1"/>
        <w:rPr>
          <w:rFonts w:eastAsia="Times New Roman" w:cs="Arial"/>
        </w:rPr>
      </w:pPr>
      <w:r w:rsidRPr="00375852">
        <w:rPr>
          <w:rFonts w:eastAsia="Times New Roman" w:cs="Arial"/>
        </w:rPr>
        <w:t>Long term care is not explicitly covered by the Canada Health Act and is financed and regulated separately in each province, often through ministries of health or social services. Ownership is mixed, with public, not for profit and for profit providers. Studies prior to COVID 19 documented longstanding problems in many facilities, including outdated buildings, multi bed rooms, understaffing and heavy reliance on part time and agency workers (Estabrooks et al., 2020; Royal Society of Canada, 2020).</w:t>
      </w:r>
    </w:p>
    <w:p w:rsidR="00191E9E" w:rsidRPr="00191E9E" w:rsidRDefault="00191E9E" w:rsidP="00191E9E">
      <w:pPr>
        <w:spacing w:before="100" w:beforeAutospacing="1" w:after="100" w:afterAutospacing="1"/>
        <w:rPr>
          <w:rFonts w:eastAsia="Times New Roman" w:cs="Arial"/>
          <w:sz w:val="24"/>
          <w:szCs w:val="24"/>
        </w:rPr>
      </w:pPr>
      <w:r w:rsidRPr="00375852">
        <w:rPr>
          <w:rFonts w:eastAsia="Times New Roman" w:cs="Arial"/>
        </w:rPr>
        <w:t xml:space="preserve">In the rich picture for Canada (Figure 3), the federal government and PHAC link to provincial and territorial governments, which in turn connect to regional health authorities, local public health units, hospitals and </w:t>
      </w:r>
      <w:r w:rsidR="00BF3DBF" w:rsidRPr="00375852">
        <w:rPr>
          <w:rFonts w:eastAsia="Times New Roman" w:cs="Arial"/>
        </w:rPr>
        <w:t>long-term</w:t>
      </w:r>
      <w:r w:rsidRPr="00375852">
        <w:rPr>
          <w:rFonts w:eastAsia="Times New Roman" w:cs="Arial"/>
        </w:rPr>
        <w:t xml:space="preserve"> care homes. Arrows indicate conditional funding flows and guidance, while feedback loops show how media coverage, public opinion and intergovernmental negotiations influence policy choices. The picture highlights the complexity of coordinating responses across multiple autonomous jurisdictions.</w:t>
      </w:r>
    </w:p>
    <w:p w:rsidR="00F542FF" w:rsidRDefault="00C83B76" w:rsidP="00F542FF">
      <w:pPr>
        <w:keepNext/>
        <w:spacing w:before="100" w:beforeAutospacing="1" w:after="100" w:afterAutospacing="1"/>
      </w:pPr>
      <w:r>
        <w:rPr>
          <w:noProof/>
        </w:rPr>
        <w:lastRenderedPageBreak/>
        <w:drawing>
          <wp:inline distT="0" distB="0" distL="0" distR="0">
            <wp:extent cx="5733415" cy="3722370"/>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3415" cy="3722370"/>
                    </a:xfrm>
                    <a:prstGeom prst="rect">
                      <a:avLst/>
                    </a:prstGeom>
                    <a:noFill/>
                    <a:ln>
                      <a:noFill/>
                    </a:ln>
                  </pic:spPr>
                </pic:pic>
              </a:graphicData>
            </a:graphic>
          </wp:inline>
        </w:drawing>
      </w:r>
    </w:p>
    <w:p w:rsidR="0077528B" w:rsidRDefault="00F542FF" w:rsidP="00F542FF">
      <w:pPr>
        <w:jc w:val="center"/>
      </w:pPr>
      <w:bookmarkStart w:id="12" w:name="_Toc214574522"/>
      <w:r>
        <w:t xml:space="preserve">Figure </w:t>
      </w:r>
      <w:r w:rsidR="006A5278">
        <w:fldChar w:fldCharType="begin"/>
      </w:r>
      <w:r w:rsidR="004C0317">
        <w:instrText xml:space="preserve"> SEQ Figure \* ARABIC </w:instrText>
      </w:r>
      <w:r w:rsidR="006A5278">
        <w:fldChar w:fldCharType="separate"/>
      </w:r>
      <w:r>
        <w:rPr>
          <w:noProof/>
        </w:rPr>
        <w:t>3</w:t>
      </w:r>
      <w:r w:rsidR="006A5278">
        <w:rPr>
          <w:noProof/>
        </w:rPr>
        <w:fldChar w:fldCharType="end"/>
      </w:r>
      <w:r>
        <w:t xml:space="preserve">: </w:t>
      </w:r>
      <w:r w:rsidR="00C83B76" w:rsidRPr="00C83B76">
        <w:t>Rich picture of Canada’s COVID-19 leadership and health system response, showing the multi-level governance between the federal government, PHAC and provincial/territorial authorities, and how regional health organisations, community actors and the long-term care workforce shaped outcomes for the population.</w:t>
      </w:r>
      <w:bookmarkEnd w:id="12"/>
    </w:p>
    <w:p w:rsidR="00191E9E" w:rsidRPr="00191E9E" w:rsidRDefault="00191E9E" w:rsidP="00191E9E">
      <w:pPr>
        <w:pStyle w:val="Heading1"/>
        <w:rPr>
          <w:rFonts w:eastAsia="Times New Roman"/>
        </w:rPr>
      </w:pPr>
      <w:bookmarkStart w:id="13" w:name="_Toc214574507"/>
      <w:r w:rsidRPr="00191E9E">
        <w:rPr>
          <w:rFonts w:eastAsia="Times New Roman"/>
        </w:rPr>
        <w:t>Leadership responses to COVID 19</w:t>
      </w:r>
      <w:bookmarkEnd w:id="13"/>
    </w:p>
    <w:p w:rsidR="00191E9E" w:rsidRPr="00191E9E" w:rsidRDefault="00191E9E" w:rsidP="00191E9E">
      <w:pPr>
        <w:pStyle w:val="Heading2"/>
      </w:pPr>
      <w:bookmarkStart w:id="14" w:name="_Toc214574508"/>
      <w:r w:rsidRPr="00191E9E">
        <w:t>Spain</w:t>
      </w:r>
      <w:bookmarkEnd w:id="14"/>
    </w:p>
    <w:p w:rsidR="00191E9E" w:rsidRPr="00375852" w:rsidRDefault="00191E9E" w:rsidP="00191E9E">
      <w:pPr>
        <w:spacing w:before="100" w:beforeAutospacing="1" w:after="100" w:afterAutospacing="1"/>
        <w:rPr>
          <w:rFonts w:eastAsia="Times New Roman" w:cs="Arial"/>
        </w:rPr>
      </w:pPr>
      <w:r w:rsidRPr="00375852">
        <w:rPr>
          <w:rFonts w:eastAsia="Times New Roman" w:cs="Arial"/>
        </w:rPr>
        <w:t>Spain detected its first confirmed cases of COVID 19 in early 2020, with rapid spread in Madrid and other regions. The country soon experienced a steep rise in hospital admissions and excess mortality, particularly during March and April 2020 (García Basteiro et al., 2020). Initial responses were shaped by limited testing capacity, incomplete surveillance data and political fragmentation.</w:t>
      </w:r>
    </w:p>
    <w:p w:rsidR="00191E9E" w:rsidRPr="00375852" w:rsidRDefault="00191E9E" w:rsidP="00191E9E">
      <w:pPr>
        <w:spacing w:before="100" w:beforeAutospacing="1" w:after="100" w:afterAutospacing="1"/>
        <w:rPr>
          <w:rFonts w:eastAsia="Times New Roman" w:cs="Arial"/>
        </w:rPr>
      </w:pPr>
      <w:r w:rsidRPr="00375852">
        <w:rPr>
          <w:rFonts w:eastAsia="Times New Roman" w:cs="Arial"/>
        </w:rPr>
        <w:t xml:space="preserve">The national government declared a state of alarm on 14 March 2020. Under this constitutional mechanism, key powers over health, mobility and security were temporarily centralised.Centralisation, however, came with tensions. Some Autonomous Communities felt that their expertise and situational knowledge were not sufficiently considered. Others criticised the government for acting too late, arguing that earlier interventions could have prevented the rapid escalation in cases. The Interterritorial Council became a visible, but at </w:t>
      </w:r>
      <w:r w:rsidRPr="00375852">
        <w:rPr>
          <w:rFonts w:eastAsia="Times New Roman" w:cs="Arial"/>
        </w:rPr>
        <w:lastRenderedPageBreak/>
        <w:t>times contested, forum where national and regional leaders debated the timing and stringency of measures (Bernal Delgado et al., 2018; García Basteiro et al., 2020).</w:t>
      </w:r>
    </w:p>
    <w:p w:rsidR="00191E9E" w:rsidRPr="00375852" w:rsidRDefault="00191E9E" w:rsidP="00191E9E">
      <w:pPr>
        <w:spacing w:before="100" w:beforeAutospacing="1" w:after="100" w:afterAutospacing="1"/>
        <w:rPr>
          <w:rFonts w:eastAsia="Times New Roman" w:cs="Arial"/>
        </w:rPr>
      </w:pPr>
      <w:r w:rsidRPr="00375852">
        <w:rPr>
          <w:rFonts w:eastAsia="Times New Roman" w:cs="Arial"/>
        </w:rPr>
        <w:t>Inside hospitals, leadership was highly adaptive. Managers and clinical leaders reorganised wards, repurposed operating theatres as intensive care units and reallocated staff at short notice. Professional networks, rather than formal hierarchies alone, often facilitated rapid dissemination of clinical protocols and innovations such as prone ventilation or cohorting strategies. However, the legacy of austerity meant that there was little surge capacity, and staff burnout and moral distress were widespread (Legido Quigley et al., 2013; Cervero Liceras, McKee and Legido Quigley, 2015).</w:t>
      </w:r>
    </w:p>
    <w:p w:rsidR="00191E9E" w:rsidRPr="00375852" w:rsidRDefault="00191E9E" w:rsidP="00191E9E">
      <w:pPr>
        <w:spacing w:before="100" w:beforeAutospacing="1" w:after="100" w:afterAutospacing="1"/>
        <w:rPr>
          <w:rFonts w:eastAsia="Times New Roman" w:cs="Arial"/>
        </w:rPr>
      </w:pPr>
      <w:r w:rsidRPr="00375852">
        <w:rPr>
          <w:rFonts w:eastAsia="Times New Roman" w:cs="Arial"/>
        </w:rPr>
        <w:t>Long term care emerged as a major vulnerability. Many residential facilities reported large outbreaks, high mortality and severe shortages of staff and protective equipment. The separation between the health and social care sectors delayed the integration of long term care homes into formal pandemic planning. In some regions, coordination between hospitals and long term care improved over time, with mobile teams and dedicated liaison roles, but this evolution was uneven and often came after significant harm had already occurred (García Basteiro et al., 2020; Grinspun et al., 2023).</w:t>
      </w:r>
    </w:p>
    <w:p w:rsidR="00191E9E" w:rsidRPr="00375852" w:rsidRDefault="00CF27C4" w:rsidP="00191E9E">
      <w:pPr>
        <w:spacing w:before="100" w:beforeAutospacing="1" w:after="100" w:afterAutospacing="1"/>
        <w:rPr>
          <w:rFonts w:eastAsia="Times New Roman" w:cs="Arial"/>
        </w:rPr>
      </w:pPr>
      <w:r w:rsidRPr="00CF27C4">
        <w:rPr>
          <w:rFonts w:eastAsia="Times New Roman" w:cs="Arial"/>
        </w:rPr>
        <w:t>There were changes in communication practices during the pandemic. National press conferences held daily were a major avenue where epidemiological information and policy announcements were done. With time, individual regions created their dashboards and messages, and in other cases, they did this variation. The open conflicts between politicians and specialists (which in turn were incited by the watchfulness of the general public) were approaching the destruction of their credibility. Simultaneously, some evidence of open communication regarding uncertainty and trade offs, specifically among technical professionals, was present as well and maintained legitimacy (García Basteiro et al., 2020).</w:t>
      </w:r>
    </w:p>
    <w:p w:rsidR="00191E9E" w:rsidRPr="00191E9E" w:rsidRDefault="00191E9E" w:rsidP="00191E9E">
      <w:pPr>
        <w:spacing w:before="100" w:beforeAutospacing="1" w:after="100" w:afterAutospacing="1"/>
        <w:rPr>
          <w:rFonts w:eastAsia="Times New Roman" w:cs="Arial"/>
          <w:sz w:val="24"/>
          <w:szCs w:val="24"/>
        </w:rPr>
      </w:pPr>
      <w:r w:rsidRPr="00375852">
        <w:rPr>
          <w:rFonts w:eastAsia="Times New Roman" w:cs="Arial"/>
        </w:rPr>
        <w:t>Seen through a complexity lens, Spanish leaders oscillated between central command and negotiated coordination. Adaptive solutions often arose locally, yet there were limited mechanisms to systematise learning across regions. The crisis reinforced existing debates about the need to strengthen primary care and public health, and to clarify responsibilities in shared emergencies.</w:t>
      </w:r>
    </w:p>
    <w:p w:rsidR="00191E9E" w:rsidRPr="00191E9E" w:rsidRDefault="00191E9E" w:rsidP="00191E9E">
      <w:pPr>
        <w:pStyle w:val="Heading2"/>
      </w:pPr>
      <w:bookmarkStart w:id="15" w:name="_Toc214574509"/>
      <w:r w:rsidRPr="00191E9E">
        <w:t>South Korea</w:t>
      </w:r>
      <w:bookmarkEnd w:id="15"/>
    </w:p>
    <w:p w:rsidR="00191E9E" w:rsidRPr="00375852" w:rsidRDefault="00191E9E" w:rsidP="00191E9E">
      <w:pPr>
        <w:spacing w:before="100" w:beforeAutospacing="1" w:after="100" w:afterAutospacing="1"/>
        <w:rPr>
          <w:rFonts w:eastAsia="Times New Roman" w:cs="Arial"/>
        </w:rPr>
      </w:pPr>
      <w:r w:rsidRPr="00375852">
        <w:rPr>
          <w:rFonts w:eastAsia="Times New Roman" w:cs="Arial"/>
        </w:rPr>
        <w:t xml:space="preserve">South Korea’s response to COVID 19 drew heavily on lessons from previous epidemics. Once human to human transmission was confirmed, KDCA rapidly activated national </w:t>
      </w:r>
      <w:r w:rsidRPr="00375852">
        <w:rPr>
          <w:rFonts w:eastAsia="Times New Roman" w:cs="Arial"/>
        </w:rPr>
        <w:lastRenderedPageBreak/>
        <w:t>emergency operations. The Central Disaster and Safety Countermeasures Headquarters, chaired by the Prime Minister, became the main decision making body for pandemic policy. This structure brought together multiple ministries, local governments, police, military and key agencies, enabling cross sector coordination from the outset (Yoo et al., 2021).</w:t>
      </w:r>
    </w:p>
    <w:p w:rsidR="00191E9E" w:rsidRPr="00375852" w:rsidRDefault="00191E9E" w:rsidP="00191E9E">
      <w:pPr>
        <w:spacing w:before="100" w:beforeAutospacing="1" w:after="100" w:afterAutospacing="1"/>
        <w:rPr>
          <w:rFonts w:eastAsia="Times New Roman" w:cs="Arial"/>
        </w:rPr>
      </w:pPr>
      <w:r w:rsidRPr="00375852">
        <w:rPr>
          <w:rFonts w:eastAsia="Times New Roman" w:cs="Arial"/>
        </w:rPr>
        <w:t>A distinctive feature of South Korea’s response was the early articulation of a clear strategy: aggressive testing, tracing and isolation with targeted social distancing. The government moved quickly to fast track approval of diagnostic test kits, working with domestic companies to scale up production and distribution. Drive through and walk in testing centres were rapidly deployed, reducing barriers to access and minimising nosocomial transmission (Yoo et al., 2021).</w:t>
      </w:r>
    </w:p>
    <w:p w:rsidR="00191E9E" w:rsidRPr="00375852" w:rsidRDefault="00191E9E" w:rsidP="00191E9E">
      <w:pPr>
        <w:spacing w:before="100" w:beforeAutospacing="1" w:after="100" w:afterAutospacing="1"/>
        <w:rPr>
          <w:rFonts w:eastAsia="Times New Roman" w:cs="Arial"/>
        </w:rPr>
      </w:pPr>
      <w:r w:rsidRPr="00375852">
        <w:rPr>
          <w:rFonts w:eastAsia="Times New Roman" w:cs="Arial"/>
        </w:rPr>
        <w:t>Digital technologies played a central role in leadership practice. Authorities combined health records, credit card transactions, mobile phone location data and CCTV footage to reconstruct the movements of confirmed cases. This information was used to identify close contacts, who were then notified and asked to test and self isolate. In some cases, anonymised movement histories were made public through websites and mobile applications, allowing citizens to assess their own exposure risk (Park, Choi and Ko, 2020). These practices were controversial from a privacy perspective, but they contributed to rapid interruption of transmission chains.</w:t>
      </w:r>
    </w:p>
    <w:p w:rsidR="00191E9E" w:rsidRPr="00375852" w:rsidRDefault="00191E9E" w:rsidP="00191E9E">
      <w:pPr>
        <w:spacing w:before="100" w:beforeAutospacing="1" w:after="100" w:afterAutospacing="1"/>
        <w:rPr>
          <w:rFonts w:eastAsia="Times New Roman" w:cs="Arial"/>
        </w:rPr>
      </w:pPr>
      <w:r w:rsidRPr="00375852">
        <w:rPr>
          <w:rFonts w:eastAsia="Times New Roman" w:cs="Arial"/>
        </w:rPr>
        <w:t>Communication was systematic and frequent. KDCA held daily briefings, during which officials presented data, explained rationales for policy changes and addressed questions from journalists. The ministry used simple, repeated messages about mask wearing, hand hygiene and ventilation. Local governments adapted messages for their populations, including targeted communication for high risk settings such as churches, nightclubs and migrant worker dormitories (Yoo et al., 2021).</w:t>
      </w:r>
    </w:p>
    <w:p w:rsidR="00191E9E" w:rsidRPr="00375852" w:rsidRDefault="00191E9E" w:rsidP="00191E9E">
      <w:pPr>
        <w:spacing w:before="100" w:beforeAutospacing="1" w:after="100" w:afterAutospacing="1"/>
        <w:rPr>
          <w:rFonts w:eastAsia="Times New Roman" w:cs="Arial"/>
        </w:rPr>
      </w:pPr>
      <w:r w:rsidRPr="00375852">
        <w:rPr>
          <w:rFonts w:eastAsia="Times New Roman" w:cs="Arial"/>
        </w:rPr>
        <w:t>Leadership also showed an ability to learn and adjust. For example, when a large outbreak linked to a church cluster challenged initial assumptions about religious gatherings, authorities worked with faith leaders to redesign worship practices, combining restrictions with support for remote services. Similarly, when vaccination rollout initially lagged behind some high income countries, the government adjusted procurement strategies and expanded vaccination sites, later achieving high coverage rates (OECD, 2021).</w:t>
      </w:r>
    </w:p>
    <w:p w:rsidR="00191E9E" w:rsidRPr="00191E9E" w:rsidRDefault="00CF27C4" w:rsidP="00191E9E">
      <w:pPr>
        <w:spacing w:before="100" w:beforeAutospacing="1" w:after="100" w:afterAutospacing="1"/>
        <w:rPr>
          <w:rFonts w:eastAsia="Times New Roman" w:cs="Arial"/>
          <w:sz w:val="24"/>
          <w:szCs w:val="24"/>
        </w:rPr>
      </w:pPr>
      <w:r w:rsidRPr="00CF27C4">
        <w:rPr>
          <w:rFonts w:eastAsia="Times New Roman" w:cs="Arial"/>
        </w:rPr>
        <w:t xml:space="preserve">In general, South Korea was characterized by solid central direction but local operational flexibility. KDCA served as a node that translated the knowledge of scientists into policy, whereas local actors put measures into context sensitive local ways. This trend is much in </w:t>
      </w:r>
      <w:r w:rsidRPr="00CF27C4">
        <w:rPr>
          <w:rFonts w:eastAsia="Times New Roman" w:cs="Arial"/>
        </w:rPr>
        <w:lastRenderedPageBreak/>
        <w:t>line with the concept of complexity oriented leadership which attempts to establish broad direction but allow adjustment at the periphery of the system.</w:t>
      </w:r>
    </w:p>
    <w:p w:rsidR="00191E9E" w:rsidRPr="00191E9E" w:rsidRDefault="00191E9E" w:rsidP="00191E9E">
      <w:pPr>
        <w:pStyle w:val="Heading2"/>
      </w:pPr>
      <w:bookmarkStart w:id="16" w:name="_Toc214574510"/>
      <w:r w:rsidRPr="00191E9E">
        <w:t>Canada</w:t>
      </w:r>
      <w:bookmarkEnd w:id="16"/>
    </w:p>
    <w:p w:rsidR="00191E9E" w:rsidRPr="00375852" w:rsidRDefault="00191E9E" w:rsidP="00191E9E">
      <w:pPr>
        <w:spacing w:before="100" w:beforeAutospacing="1" w:after="100" w:afterAutospacing="1"/>
        <w:rPr>
          <w:rFonts w:eastAsia="Times New Roman" w:cs="Arial"/>
        </w:rPr>
      </w:pPr>
      <w:r w:rsidRPr="00375852">
        <w:rPr>
          <w:rFonts w:eastAsia="Times New Roman" w:cs="Arial"/>
        </w:rPr>
        <w:t>Canada’s pandemic response was shaped by federalism and the heterogeneity of provincial health systems. The federal government assumed responsibility for border measures, financial support to individuals and businesses, and procurement of vaccines and some medical supplies. The Prime Minister and the Chief Public Health Officer provided national briefings, often emphasising solidarity and the need to protect vulnerable groups (PHAC, 2021).</w:t>
      </w:r>
    </w:p>
    <w:p w:rsidR="00191E9E" w:rsidRPr="00375852" w:rsidRDefault="00191E9E" w:rsidP="00191E9E">
      <w:pPr>
        <w:spacing w:before="100" w:beforeAutospacing="1" w:after="100" w:afterAutospacing="1"/>
        <w:rPr>
          <w:rFonts w:eastAsia="Times New Roman" w:cs="Arial"/>
        </w:rPr>
      </w:pPr>
      <w:r w:rsidRPr="00375852">
        <w:rPr>
          <w:rFonts w:eastAsia="Times New Roman" w:cs="Arial"/>
        </w:rPr>
        <w:t>Provinces and territories were responsible for most public health measures, including school closures, gathering limits, mask mandates and business restrictions. This led to a patchwork of approaches. Some provinces implemented stringent measures early, while others delayed or relaxed restrictions quickly in response to economic and political pressures. Variations were also evident in testing policies and the extent of investment in contact tracing capacity (CIHI, 2020; PHAC, 2021).</w:t>
      </w:r>
    </w:p>
    <w:p w:rsidR="00191E9E" w:rsidRPr="00375852" w:rsidRDefault="00191E9E" w:rsidP="00191E9E">
      <w:pPr>
        <w:spacing w:before="100" w:beforeAutospacing="1" w:after="100" w:afterAutospacing="1"/>
        <w:rPr>
          <w:rFonts w:eastAsia="Times New Roman" w:cs="Arial"/>
        </w:rPr>
      </w:pPr>
      <w:r w:rsidRPr="00375852">
        <w:rPr>
          <w:rFonts w:eastAsia="Times New Roman" w:cs="Arial"/>
        </w:rPr>
        <w:t>A central failure lay in long term care. During the first wave, a large majority of COVID 19 deaths occurred among residents of long term care homes. Outbreaks were amplified by crowded living arrangements, shared rooms, chronic understaffing and limited infection prevention and control training. In some provinces, staff worked across multiple facilities to make up full time hours, inadvertently carrying the virus between homes (Estabrooks et al., 2020; Royal Society of Canada, 2020).</w:t>
      </w:r>
    </w:p>
    <w:p w:rsidR="00191E9E" w:rsidRPr="00375852" w:rsidRDefault="00191E9E" w:rsidP="00191E9E">
      <w:pPr>
        <w:spacing w:before="100" w:beforeAutospacing="1" w:after="100" w:afterAutospacing="1"/>
        <w:rPr>
          <w:rFonts w:eastAsia="Times New Roman" w:cs="Arial"/>
        </w:rPr>
      </w:pPr>
      <w:r w:rsidRPr="00375852">
        <w:rPr>
          <w:rFonts w:eastAsia="Times New Roman" w:cs="Arial"/>
        </w:rPr>
        <w:t>Leadership responses in long term care varied. Provinces introduced measures such as restricting staff to a single facility, increasing wages and providing temporary funding for additional staff. The federal government deployed military personnel to some homes to provide emergency support. Reports from these deployments exposed distressing conditions, prompting public outrage and calls for reform (Shepherd et al., 2021). However, many changes were reactive rather than anticipatory, and underlying structural problems remained.</w:t>
      </w:r>
    </w:p>
    <w:p w:rsidR="00191E9E" w:rsidRPr="00375852" w:rsidRDefault="00191E9E" w:rsidP="00191E9E">
      <w:pPr>
        <w:spacing w:before="100" w:beforeAutospacing="1" w:after="100" w:afterAutospacing="1"/>
        <w:rPr>
          <w:rFonts w:eastAsia="Times New Roman" w:cs="Arial"/>
        </w:rPr>
      </w:pPr>
      <w:r w:rsidRPr="00375852">
        <w:rPr>
          <w:rFonts w:eastAsia="Times New Roman" w:cs="Arial"/>
        </w:rPr>
        <w:t xml:space="preserve">Communication styles also differed across jurisdictions. In several provinces, premiers and chief medical officers of health appeared together in regular media briefings, projecting a united front and centring scientific advice. In others, disagreements became visible, and at times public health officials were side lined or replaced, fuelling concerns about politicisation. </w:t>
      </w:r>
      <w:r w:rsidRPr="00375852">
        <w:rPr>
          <w:rFonts w:eastAsia="Times New Roman" w:cs="Arial"/>
        </w:rPr>
        <w:lastRenderedPageBreak/>
        <w:t>Surveys suggest that trust in public health authorities was generally higher where communication was transparent about uncertainty and where leaders explicitly acknowledged the social and economic costs of measures (Lazarus et al., 2021; PHAC, 2021).</w:t>
      </w:r>
    </w:p>
    <w:p w:rsidR="00191E9E" w:rsidRPr="00375852" w:rsidRDefault="00191E9E" w:rsidP="00191E9E">
      <w:pPr>
        <w:spacing w:before="100" w:beforeAutospacing="1" w:after="100" w:afterAutospacing="1"/>
        <w:rPr>
          <w:rFonts w:eastAsia="Times New Roman" w:cs="Arial"/>
        </w:rPr>
      </w:pPr>
      <w:r w:rsidRPr="00375852">
        <w:rPr>
          <w:rFonts w:eastAsia="Times New Roman" w:cs="Arial"/>
        </w:rPr>
        <w:t>The vaccination campaign illustrated both strengths and weaknesses of Canada’s governance model. Federal authorities secured vaccine supplies and distributed doses to provinces on a per capita basis. Provinces then designed their own rollout strategies, deciding on priority groups, booking systems and clinic models. In many places, health system leaders partnered with primary care providers, pharmacies and community organisations to reach high risk populations. However, inequities persisted, with lower coverage in some marginalised communities due to barriers such as language, transport and mistrust (PHAC, 2021; CIHI, 2020).</w:t>
      </w:r>
    </w:p>
    <w:p w:rsidR="00191E9E" w:rsidRPr="00191E9E" w:rsidRDefault="00CF27C4" w:rsidP="00191E9E">
      <w:pPr>
        <w:spacing w:before="100" w:beforeAutospacing="1" w:after="100" w:afterAutospacing="1"/>
        <w:rPr>
          <w:rFonts w:eastAsia="Times New Roman" w:cs="Arial"/>
          <w:sz w:val="24"/>
          <w:szCs w:val="24"/>
        </w:rPr>
      </w:pPr>
      <w:r w:rsidRPr="00CF27C4">
        <w:rPr>
          <w:rFonts w:eastAsia="Times New Roman" w:cs="Arial"/>
        </w:rPr>
        <w:t>Complexity wise, Canadian experience demonstrates the negative effects of decentralisation without robust shared standards in trying to enterprise across-cutting sectors such as long term care, which borders both health and social policy. Simultaneously, the multiplicity of actors also encouraged innovation and experimentation, including community led methods of vaccination in Indigenous and racialised communities. The leadership task is to utilize this diversity without violating minimum security and fairness.</w:t>
      </w:r>
    </w:p>
    <w:p w:rsidR="00191E9E" w:rsidRPr="00191E9E" w:rsidRDefault="00191E9E" w:rsidP="00191E9E">
      <w:pPr>
        <w:pStyle w:val="Heading1"/>
        <w:rPr>
          <w:rFonts w:eastAsia="Times New Roman"/>
        </w:rPr>
      </w:pPr>
      <w:bookmarkStart w:id="17" w:name="_Toc214574511"/>
      <w:r w:rsidRPr="00191E9E">
        <w:rPr>
          <w:rFonts w:eastAsia="Times New Roman"/>
        </w:rPr>
        <w:t>Centralisation, decentralisation and system performance</w:t>
      </w:r>
      <w:bookmarkEnd w:id="17"/>
    </w:p>
    <w:p w:rsidR="00191E9E" w:rsidRPr="00375852" w:rsidRDefault="00191E9E" w:rsidP="00191E9E">
      <w:pPr>
        <w:spacing w:before="100" w:beforeAutospacing="1" w:after="100" w:afterAutospacing="1"/>
        <w:rPr>
          <w:rFonts w:eastAsia="Times New Roman" w:cs="Arial"/>
        </w:rPr>
      </w:pPr>
      <w:r w:rsidRPr="00375852">
        <w:rPr>
          <w:rFonts w:eastAsia="Times New Roman" w:cs="Arial"/>
        </w:rPr>
        <w:t>The three cases illuminate the nuanced relationship between centralisation, decentralisation and pandemic performance. Centralisation is not inherently superior or inferior to decentralisation; what matters is how responsibilities are distributed, how well different levels coordinate and how capable each level is.</w:t>
      </w:r>
    </w:p>
    <w:p w:rsidR="00191E9E" w:rsidRPr="00375852" w:rsidRDefault="00191E9E" w:rsidP="00191E9E">
      <w:pPr>
        <w:spacing w:before="100" w:beforeAutospacing="1" w:after="100" w:afterAutospacing="1"/>
        <w:rPr>
          <w:rFonts w:eastAsia="Times New Roman" w:cs="Arial"/>
        </w:rPr>
      </w:pPr>
      <w:r w:rsidRPr="00375852">
        <w:rPr>
          <w:rFonts w:eastAsia="Times New Roman" w:cs="Arial"/>
        </w:rPr>
        <w:t>These differences suggest several broader points. First, the distribution of roles must be clear before a crisis. Attempting to clarify responsibilities in the middle of an emergency is difficult and politically charged. South Korea’s post MERS reforms meant that rules were well established before COVID 19 struck. Second, centralisation without adequate capacity at the periphery is ineffective. In Spain, emergency centralisation could not instantly compensate for years of underinvestment in public health and long term care. Third, decentralisation works best when accompanied by strong central stewardship, including data standards, minimum service expectations and mechanisms for joint decision making. Canada’s fragmented approach to long term care shows what happens when these elements are weak.</w:t>
      </w:r>
    </w:p>
    <w:p w:rsidR="00191E9E" w:rsidRPr="00191E9E" w:rsidRDefault="00191E9E" w:rsidP="00191E9E">
      <w:pPr>
        <w:spacing w:before="100" w:beforeAutospacing="1" w:after="100" w:afterAutospacing="1"/>
        <w:rPr>
          <w:rFonts w:eastAsia="Times New Roman" w:cs="Arial"/>
          <w:sz w:val="24"/>
          <w:szCs w:val="24"/>
        </w:rPr>
      </w:pPr>
      <w:r w:rsidRPr="00375852">
        <w:rPr>
          <w:rFonts w:eastAsia="Times New Roman" w:cs="Arial"/>
        </w:rPr>
        <w:lastRenderedPageBreak/>
        <w:t>Equally important is the role of trust. Centralisation is more likely to be accepted by subnational governments and the public when central authorities are perceived as competent, fair and transparent. Where trust is low, central interventions can trigger resistance that undermines implementation. Decentralisation, in turn, depends on trust that local authorities will act responsibly and in solidarity with other regions. Leadership styles that emphasise collaboration, shared problem solving and open communication can help build this trust over time.</w:t>
      </w:r>
    </w:p>
    <w:p w:rsidR="00191E9E" w:rsidRPr="00191E9E" w:rsidRDefault="00191E9E" w:rsidP="00191E9E">
      <w:pPr>
        <w:pStyle w:val="Heading1"/>
        <w:rPr>
          <w:rFonts w:eastAsia="Times New Roman"/>
        </w:rPr>
      </w:pPr>
      <w:bookmarkStart w:id="18" w:name="_Toc214574512"/>
      <w:r w:rsidRPr="00191E9E">
        <w:rPr>
          <w:rFonts w:eastAsia="Times New Roman"/>
        </w:rPr>
        <w:t>Cross case discussion: leadership styles and system shaping</w:t>
      </w:r>
      <w:bookmarkEnd w:id="18"/>
    </w:p>
    <w:p w:rsidR="00191E9E" w:rsidRPr="00375852" w:rsidRDefault="00191E9E" w:rsidP="00191E9E">
      <w:pPr>
        <w:spacing w:before="100" w:beforeAutospacing="1" w:after="100" w:afterAutospacing="1"/>
        <w:rPr>
          <w:rFonts w:eastAsia="Times New Roman" w:cs="Arial"/>
        </w:rPr>
      </w:pPr>
      <w:r w:rsidRPr="00375852">
        <w:rPr>
          <w:rFonts w:eastAsia="Times New Roman" w:cs="Arial"/>
        </w:rPr>
        <w:t>The three country cases show that leadership styles are entangled with institutional histories and political cultures. They also reveal how crises can either reinforce existing patterns or open windows for change.</w:t>
      </w:r>
    </w:p>
    <w:p w:rsidR="00191E9E" w:rsidRPr="00375852" w:rsidRDefault="00191E9E" w:rsidP="00191E9E">
      <w:pPr>
        <w:spacing w:before="100" w:beforeAutospacing="1" w:after="100" w:afterAutospacing="1"/>
        <w:rPr>
          <w:rFonts w:eastAsia="Times New Roman" w:cs="Arial"/>
        </w:rPr>
      </w:pPr>
      <w:r w:rsidRPr="00375852">
        <w:rPr>
          <w:rFonts w:eastAsia="Times New Roman" w:cs="Arial"/>
        </w:rPr>
        <w:t>In Spain, leadership during COVID 19 built on a history of contentious territorial politics. The national government’s use of the state of alarm and its efforts to centralise decision making were interpreted through existing narratives of centre periphery conflict. Some regional leaders framed disagreements about restrictions as defence of regional autonomy, even when epidemiological conditions warranted stringent measures. This politicisation complicated attempts to present a unified front and at times overshadowed technical debates (Bernal Delgado et al., 2018; García Basteiro et al., 2020).</w:t>
      </w:r>
    </w:p>
    <w:p w:rsidR="00191E9E" w:rsidRPr="00375852" w:rsidRDefault="00191E9E" w:rsidP="00191E9E">
      <w:pPr>
        <w:spacing w:before="100" w:beforeAutospacing="1" w:after="100" w:afterAutospacing="1"/>
        <w:rPr>
          <w:rFonts w:eastAsia="Times New Roman" w:cs="Arial"/>
        </w:rPr>
      </w:pPr>
      <w:r w:rsidRPr="00375852">
        <w:rPr>
          <w:rFonts w:eastAsia="Times New Roman" w:cs="Arial"/>
        </w:rPr>
        <w:t>At organisational level, Spanish health system leaders often exhibited strong commitment and creativity. Examples include rapid set up of field hospitals, redeployment of staff across facilities and introduction of teleconsultations in primary care. However, the lack of robust mechanisms for capturing and spreading such innovations limited system wide learning. Leadership was thus rich at the micro level but constrained at the meso and macro levels by structural and political barriers.</w:t>
      </w:r>
    </w:p>
    <w:p w:rsidR="00191E9E" w:rsidRPr="00375852" w:rsidRDefault="00191E9E" w:rsidP="00191E9E">
      <w:pPr>
        <w:spacing w:before="100" w:beforeAutospacing="1" w:after="100" w:afterAutospacing="1"/>
        <w:rPr>
          <w:rFonts w:eastAsia="Times New Roman" w:cs="Arial"/>
        </w:rPr>
      </w:pPr>
      <w:r w:rsidRPr="00375852">
        <w:rPr>
          <w:rFonts w:eastAsia="Times New Roman" w:cs="Arial"/>
        </w:rPr>
        <w:t>South Korean leadership can be characterised as technocratic and data intensive. KDCA and other expert bodies occupied a prominent public role, and politicians typically aligned themselves visibly with technical recommendations. This configuration supported continuity in strategy and helped build public confidence in the overall direction of policy, even when specific measures were burdensome. At the same time, limited public debate about the broader implications of surveillance tools sometimes meant that minority concerns were sidelined. Ensuring that future reforms integrate stronger privacy safeguards and participatory oversight will be important for maintaining legitimacy (Park, Choi and Ko, 2020; Yoo et al., 2021).</w:t>
      </w:r>
    </w:p>
    <w:p w:rsidR="00191E9E" w:rsidRPr="00375852" w:rsidRDefault="00260A01" w:rsidP="00191E9E">
      <w:pPr>
        <w:spacing w:before="100" w:beforeAutospacing="1" w:after="100" w:afterAutospacing="1"/>
        <w:rPr>
          <w:rFonts w:eastAsia="Times New Roman" w:cs="Arial"/>
        </w:rPr>
      </w:pPr>
      <w:r w:rsidRPr="00260A01">
        <w:rPr>
          <w:rFonts w:eastAsia="Times New Roman" w:cs="Arial"/>
        </w:rPr>
        <w:lastRenderedPageBreak/>
        <w:t>Most provinces in Canada had different leadership styles, yet a single trend was the use of political leaders and chief medical officers in the promotion of health. This was a dyad that occasionally operated as a partnership whereby scientific advice was strictly separated as compared to political judgement, and trade offs were deliberated publicly. Other cases saw stress arise as governments left or selectively focused on governmental health recommendations. These differences explain why it is such a tight walk between the authority expertise of the expert and the democratic responsibility in health crisis (PHAC, 2021).</w:t>
      </w:r>
    </w:p>
    <w:p w:rsidR="00191E9E" w:rsidRPr="00375852" w:rsidRDefault="00260A01" w:rsidP="00191E9E">
      <w:pPr>
        <w:spacing w:before="100" w:beforeAutospacing="1" w:after="100" w:afterAutospacing="1"/>
        <w:rPr>
          <w:rFonts w:eastAsia="Times New Roman" w:cs="Arial"/>
        </w:rPr>
      </w:pPr>
      <w:r w:rsidRPr="00260A01">
        <w:rPr>
          <w:rFonts w:eastAsia="Times New Roman" w:cs="Arial"/>
        </w:rPr>
        <w:t>In the three countries, the leadership was different in the way it dealt with equity. The governments of all countries were concerned about vulnerable populations, although specific measures were not similar. The system wide digital strategies used in South Korea had been very successful in aggregate but at other times failed to consider the needs of people who had limited access to digital services. Spain and Canada finally implemented some specific steps, including increased economic assistance and specific vaccination, but in many cases when gaps began to increase. The explicit approach taken by leaders in framing equity as a central objective and reaching out to the impacted communities gave them a better chance to formulate responses that would not merely recreate the existing inequity (Estabrooks et al., 2020; PHAC, 2021; Grinspun et al., 2023).</w:t>
      </w:r>
    </w:p>
    <w:p w:rsidR="00191E9E" w:rsidRPr="00191E9E" w:rsidRDefault="00191E9E" w:rsidP="00191E9E">
      <w:pPr>
        <w:spacing w:before="100" w:beforeAutospacing="1" w:after="100" w:afterAutospacing="1"/>
        <w:rPr>
          <w:rFonts w:eastAsia="Times New Roman" w:cs="Arial"/>
          <w:sz w:val="24"/>
          <w:szCs w:val="24"/>
        </w:rPr>
      </w:pPr>
      <w:r w:rsidRPr="00375852">
        <w:rPr>
          <w:rFonts w:eastAsia="Times New Roman" w:cs="Arial"/>
        </w:rPr>
        <w:t>These patterns underscore that leadership during crises is not only about managing the event itself. It also shapes future trajectories by influencing which reforms are placed on the agenda. In Spain, there is renewed political attention to primary care, public health and interterritorial coordination. In South Korea, debates about data protection and the scope of emergency powers have intensified. In Canada, there is growing momentum for pan Canadian long term care standards and improved data systems. The extent to which these debates translate into concrete changes will depend on whether leaders can maintain focus once the acute sense of crisis subsides.</w:t>
      </w:r>
    </w:p>
    <w:p w:rsidR="00191E9E" w:rsidRPr="00191E9E" w:rsidRDefault="00191E9E" w:rsidP="00191E9E">
      <w:pPr>
        <w:pStyle w:val="Heading1"/>
        <w:rPr>
          <w:rFonts w:eastAsia="Times New Roman"/>
        </w:rPr>
      </w:pPr>
      <w:bookmarkStart w:id="19" w:name="_Toc214574513"/>
      <w:r w:rsidRPr="00191E9E">
        <w:rPr>
          <w:rFonts w:eastAsia="Times New Roman"/>
        </w:rPr>
        <w:t>Lessons and recommendations for future health system leadership</w:t>
      </w:r>
      <w:bookmarkEnd w:id="19"/>
    </w:p>
    <w:p w:rsidR="00191E9E" w:rsidRPr="00191E9E" w:rsidRDefault="00191E9E" w:rsidP="003E68CC">
      <w:pPr>
        <w:spacing w:before="100" w:beforeAutospacing="1" w:after="100" w:afterAutospacing="1"/>
        <w:rPr>
          <w:rFonts w:eastAsia="Times New Roman" w:cs="Arial"/>
          <w:sz w:val="24"/>
          <w:szCs w:val="24"/>
        </w:rPr>
      </w:pPr>
      <w:r w:rsidRPr="00191E9E">
        <w:rPr>
          <w:rFonts w:eastAsia="Times New Roman" w:cs="Arial"/>
          <w:sz w:val="24"/>
          <w:szCs w:val="24"/>
        </w:rPr>
        <w:t>Building on the comparative analysis, several lessons emerge for health system leaders who seek to prepare for future pandemics and other complex shocks.</w:t>
      </w:r>
    </w:p>
    <w:p w:rsidR="00191E9E" w:rsidRPr="00191E9E" w:rsidRDefault="00191E9E" w:rsidP="00191E9E">
      <w:pPr>
        <w:pStyle w:val="Heading2"/>
      </w:pPr>
      <w:bookmarkStart w:id="20" w:name="_Toc214574514"/>
      <w:r w:rsidRPr="00191E9E">
        <w:t>Design governance that combines central stewardship and local autonomy</w:t>
      </w:r>
      <w:bookmarkEnd w:id="20"/>
    </w:p>
    <w:p w:rsidR="00191E9E" w:rsidRPr="00EB17E5" w:rsidRDefault="00EB17E5" w:rsidP="00375852">
      <w:r w:rsidRPr="00EB17E5">
        <w:t xml:space="preserve">The three country cases suggest that hybrid governance models, which blend central stewardship with meaningful local autonomy, are most promising. Policy makers should </w:t>
      </w:r>
      <w:r w:rsidRPr="00EB17E5">
        <w:lastRenderedPageBreak/>
        <w:t>clarify in advance the roles and responsibilities of central and subnational actors for emergency preparedness and response, including who has authority to declare emergencies and on what basis. Permanent intergovernmental forums, with representation from public health, social care and finance, need to meet regularly in routine times and be able to shift rapidly into crisis mode when required (Marchildon, 2013; Bernal Delgado et al., 2018). Funding arrangements can then be used to align incentives, for example by tying transfers to agreed standards in long term care or to investments in public health capacity, so that all levels of government share responsibility for resilience.</w:t>
      </w:r>
    </w:p>
    <w:p w:rsidR="00191E9E" w:rsidRPr="00191E9E" w:rsidRDefault="00191E9E" w:rsidP="00191E9E">
      <w:pPr>
        <w:pStyle w:val="Heading2"/>
      </w:pPr>
      <w:bookmarkStart w:id="21" w:name="_Toc214574515"/>
      <w:r w:rsidRPr="00191E9E">
        <w:t>Develop complexity aware leadership capabilities</w:t>
      </w:r>
      <w:bookmarkEnd w:id="21"/>
    </w:p>
    <w:p w:rsidR="00191E9E" w:rsidRPr="00EB17E5" w:rsidRDefault="00EB17E5" w:rsidP="00375852">
      <w:r w:rsidRPr="00EB17E5">
        <w:t>Leadership development programmes for health professionals and managers often emphasise individual competencies but give less attention to system level thinking. To strengthen resilience, these programmes should incorporate training in systems thinking tools such as rich pictures, causal loop diagrams and scenario planning, enabling leaders to visualise interdependencies and anticipate unintended consequences (Weberg, 2012; Hassan et al., 2020). They also need to cultivate relational skills, including the ability to collaborate across organisational boundaries, negotiate in multilevel governance settings and manage conflict constructively. Creating opportunities for leaders from different sectors, such as health, social care, emergency management and civil society, to learn together can help build shared mental models and a common language for dealing with complexity.</w:t>
      </w:r>
    </w:p>
    <w:p w:rsidR="00191E9E" w:rsidRPr="00191E9E" w:rsidRDefault="00191E9E" w:rsidP="00191E9E">
      <w:pPr>
        <w:pStyle w:val="Heading2"/>
      </w:pPr>
      <w:bookmarkStart w:id="22" w:name="_Toc214574516"/>
      <w:r w:rsidRPr="00191E9E">
        <w:t>Centre equity and trust in crisis governance</w:t>
      </w:r>
      <w:bookmarkEnd w:id="22"/>
    </w:p>
    <w:p w:rsidR="00191E9E" w:rsidRPr="00EB17E5" w:rsidRDefault="00EB17E5" w:rsidP="00375852">
      <w:r w:rsidRPr="00EB17E5">
        <w:t>Communities that faced social and economic marginalisation before COVID 19 often experienced the greatest harms during the pandemic, which means that equity and trust have to be central to crisis governance rather than treated as secondary concerns. Leaders should engage closely with community organisations, including those representing migrants, racialised groups and people with disabilities, when designing preparedness plans and response strategies, so that measures reflect lived realities and are more likely to be accepted. Public health strategies need to be combined with social protection measures such as income support and paid sick leave, recognising that people cannot comply with isolation rules if doing so threatens their livelihood (PHAC, 2021; Lazarus et al., 2021). Honest communication about uncertainty, trade offs and errors, together with visible efforts to apply lessons learned, can strengthen rather than weaken public trust over time.</w:t>
      </w:r>
    </w:p>
    <w:p w:rsidR="00191E9E" w:rsidRPr="00191E9E" w:rsidRDefault="00191E9E" w:rsidP="00191E9E">
      <w:pPr>
        <w:pStyle w:val="Heading2"/>
      </w:pPr>
      <w:bookmarkStart w:id="23" w:name="_Toc214574517"/>
      <w:r w:rsidRPr="00191E9E">
        <w:t>Use digital tools responsibly</w:t>
      </w:r>
      <w:bookmarkEnd w:id="23"/>
    </w:p>
    <w:p w:rsidR="00191E9E" w:rsidRPr="00191E9E" w:rsidRDefault="00EB17E5" w:rsidP="00375852">
      <w:r w:rsidRPr="00EB17E5">
        <w:t xml:space="preserve">Digital technologies provide powerful capabilities for surveillance, contact tracing and communication, but they also create significant risks for privacy and fairness. Leaders </w:t>
      </w:r>
      <w:r w:rsidRPr="00EB17E5">
        <w:lastRenderedPageBreak/>
        <w:t>should establish transparent legal frameworks for the use of digital tools in health emergencies, including clear limits on data collection, sunset clauses for extraordinary powers and independent oversight bodies to monitor their application (Park, Choi and Ko, 2020). Privacy by design principles should guide implementation, with a commitment to collect only the data that are genuinely needed and to minimise identifiability wherever possible. Digital interventions must also be accessible to people with limited digital literacy or internet access and should be complemented by non-digital options, such as telephone hotlines or community outreach, so that technological solutions do not exacerbate existing inequalities.</w:t>
      </w:r>
    </w:p>
    <w:p w:rsidR="00191E9E" w:rsidRPr="00191E9E" w:rsidRDefault="00191E9E" w:rsidP="00191E9E">
      <w:pPr>
        <w:pStyle w:val="Heading1"/>
        <w:rPr>
          <w:rFonts w:eastAsia="Times New Roman"/>
        </w:rPr>
      </w:pPr>
      <w:bookmarkStart w:id="24" w:name="_Toc214574518"/>
      <w:r w:rsidRPr="00191E9E">
        <w:rPr>
          <w:rFonts w:eastAsia="Times New Roman"/>
        </w:rPr>
        <w:t>Conclusion</w:t>
      </w:r>
      <w:bookmarkEnd w:id="24"/>
    </w:p>
    <w:p w:rsidR="00191E9E" w:rsidRPr="00191E9E" w:rsidRDefault="00191E9E" w:rsidP="00375852">
      <w:r w:rsidRPr="00191E9E">
        <w:t>The COVID 19 pandemic has been a prolonged test of leadership and governance in health systems worldwide. Spain, South Korea and Canada illustrate how similar values and economic resources can produce very different outcomes when mediated through distinct institutional arrangements and leadership practices.</w:t>
      </w:r>
    </w:p>
    <w:p w:rsidR="00191E9E" w:rsidRPr="00191E9E" w:rsidRDefault="00191E9E" w:rsidP="00375852">
      <w:r w:rsidRPr="00191E9E">
        <w:t xml:space="preserve">Spain’s decentralised National Health System, weakened by years of austerity and fragmented long term care governance, struggled in the early phases of the pandemic. Emergency centralisation under the state of alarm brought short term coherence, but </w:t>
      </w:r>
      <w:r w:rsidR="00227187" w:rsidRPr="00191E9E">
        <w:t>preexisting</w:t>
      </w:r>
      <w:r w:rsidRPr="00191E9E">
        <w:t xml:space="preserve"> capacity gaps and territorial political tensions limited performance.</w:t>
      </w:r>
    </w:p>
    <w:p w:rsidR="00191E9E" w:rsidRPr="00191E9E" w:rsidRDefault="00191E9E" w:rsidP="00375852">
      <w:r w:rsidRPr="00191E9E">
        <w:t>South Korea entered COVID 19 with a strong public health agency, clear legal powers for infectious disease control and advanced digital infrastructure, shaped by earlier experiences with SARS and MERS. Leaders leveraged these assets to implement an intensive test trace isolate strategy, maintaining relatively low mortality without generalised lockdowns.</w:t>
      </w:r>
    </w:p>
    <w:p w:rsidR="00191E9E" w:rsidRPr="00191E9E" w:rsidRDefault="00191E9E" w:rsidP="00375852">
      <w:r w:rsidRPr="00191E9E">
        <w:t>Canada’s federal system allowed provinces and territories to tailor responses to local context, but also resulted in variation in timing and stringency of measures. The most devastating failures occurred in long term care, where decades of underinvestment and fragmented governance culminated in high mortality among residents.</w:t>
      </w:r>
    </w:p>
    <w:p w:rsidR="00191E9E" w:rsidRPr="00191E9E" w:rsidRDefault="00191E9E" w:rsidP="00375852">
      <w:r w:rsidRPr="00191E9E">
        <w:t>Across all three countries, the crisis highlighted that leadership in complex health systems cannot be reduced to heroic individuals or single decisions. It depends on the alignment of institutions, data systems, professional cultures and public trust. Complexity oriented leadership that combines strategic direction with local autonomy, values equity, and cultivates learning over time offers a promising route toward more resilient systems.</w:t>
      </w:r>
    </w:p>
    <w:p w:rsidR="00191E9E" w:rsidRPr="00191E9E" w:rsidRDefault="00191E9E" w:rsidP="00191E9E">
      <w:pPr>
        <w:pStyle w:val="Heading1"/>
        <w:numPr>
          <w:ilvl w:val="0"/>
          <w:numId w:val="0"/>
        </w:numPr>
        <w:rPr>
          <w:rFonts w:eastAsia="Times New Roman"/>
        </w:rPr>
      </w:pPr>
      <w:bookmarkStart w:id="25" w:name="_Toc214574519"/>
      <w:r w:rsidRPr="00191E9E">
        <w:rPr>
          <w:rFonts w:eastAsia="Times New Roman"/>
        </w:rPr>
        <w:lastRenderedPageBreak/>
        <w:t>References</w:t>
      </w:r>
      <w:bookmarkEnd w:id="25"/>
    </w:p>
    <w:p w:rsidR="005D1DD9" w:rsidRPr="00191E9E" w:rsidRDefault="005D1DD9" w:rsidP="00375852">
      <w:r w:rsidRPr="00191E9E">
        <w:t>Armitage, R., Nellums, L.B., Reidy, C. and Goldberg, S. (2020) ‘Community resilience and disparities in the COVID 19 pandemic’, BMJ, 371, m4454.</w:t>
      </w:r>
    </w:p>
    <w:p w:rsidR="005D1DD9" w:rsidRPr="00191E9E" w:rsidRDefault="005D1DD9" w:rsidP="00375852">
      <w:r w:rsidRPr="00191E9E">
        <w:t>Bennett, N. and Lemoine, G. (2014) ‘What VUCA really means for you’, Harvard Business Review, 92(1–2), pp. 27–31.</w:t>
      </w:r>
    </w:p>
    <w:p w:rsidR="005D1DD9" w:rsidRPr="00191E9E" w:rsidRDefault="005D1DD9" w:rsidP="00375852">
      <w:r w:rsidRPr="00191E9E">
        <w:t>Bernal Delgado, E., García Armesto, S., Oliva, J. et al. (2018) Spain: Health system review. Health Systems in Transition, 20(2), pp. 1–179.</w:t>
      </w:r>
    </w:p>
    <w:p w:rsidR="005D1DD9" w:rsidRPr="00191E9E" w:rsidRDefault="005D1DD9" w:rsidP="00375852">
      <w:r w:rsidRPr="00191E9E">
        <w:t>Boin, A., t’Hart, P., Stern, E. and Sundelius, B. (2017) The politics of crisis management: Public leadership under pressure. 2nd edn. Cambridge: Cambridge University Press.</w:t>
      </w:r>
    </w:p>
    <w:p w:rsidR="005D1DD9" w:rsidRPr="00191E9E" w:rsidRDefault="005D1DD9" w:rsidP="00375852">
      <w:r w:rsidRPr="00191E9E">
        <w:t>Canadian Institute for Health Information (CIHI) (2020) COVID 19’s impact on long term care. Ottawa: CIHI.</w:t>
      </w:r>
    </w:p>
    <w:p w:rsidR="005D1DD9" w:rsidRPr="00191E9E" w:rsidRDefault="005D1DD9" w:rsidP="00375852">
      <w:r w:rsidRPr="00191E9E">
        <w:t>Cervero Liceras, F., McKee, M. and Legido Quigley, H. (2015) ‘The effects of the financial crisis and austerity measures on the Spanish health care system’, Health Policy, 119(1), pp. 100–106.</w:t>
      </w:r>
    </w:p>
    <w:p w:rsidR="005D1DD9" w:rsidRPr="00191E9E" w:rsidRDefault="005D1DD9" w:rsidP="00375852">
      <w:r w:rsidRPr="00191E9E">
        <w:t>Estabrooks, C.A., Straus, S.E., Flood, C.M. et al. (2020) ‘Restoring trust: COVID 19 and the future of long term care in Canada’, FACETS, 5(1), pp. 651–691.</w:t>
      </w:r>
    </w:p>
    <w:p w:rsidR="005D1DD9" w:rsidRPr="00191E9E" w:rsidRDefault="005D1DD9" w:rsidP="00375852">
      <w:r w:rsidRPr="00191E9E">
        <w:t>García Armesto, S., Abadía Taira, M.B., Durán, A., Hernández Quevedo, C. and Bernal Delgado, E. (2010) Spain: Health system review. Health Systems in Transition, 12(4), pp. 1–295.</w:t>
      </w:r>
    </w:p>
    <w:p w:rsidR="005D1DD9" w:rsidRPr="00191E9E" w:rsidRDefault="005D1DD9" w:rsidP="00375852">
      <w:r w:rsidRPr="00191E9E">
        <w:t>García Basteiro, A.L., Alvarez Díaz, N., Arenas, A. et al. (2020) ‘The need for an independent evaluation of the COVID 19 response in Spain’, The Lancet, 396(10250), pp. 529–530.</w:t>
      </w:r>
    </w:p>
    <w:p w:rsidR="005D1DD9" w:rsidRPr="00191E9E" w:rsidRDefault="005D1DD9" w:rsidP="00375852">
      <w:r w:rsidRPr="00191E9E">
        <w:t>Grinspun, D., Bajnok, I., Lloyd, M. et al. (2023) ‘COVID 19 and long term care: key drivers of adverse outcomes and policy lessons’, Health Services Insights, 16, pp. 1–13.</w:t>
      </w:r>
    </w:p>
    <w:p w:rsidR="005D1DD9" w:rsidRPr="00191E9E" w:rsidRDefault="005D1DD9" w:rsidP="00375852">
      <w:r w:rsidRPr="00191E9E">
        <w:t>Hassan, I., Moghith, S.M., Salama, A., El Etriby, S. and Abdel Rahman, A. (2020) ‘Applying systems thinking to address the COVID 19 pandemic’, Eastern Mediterranean Health Journal, 26(8), pp. 872–876.</w:t>
      </w:r>
    </w:p>
    <w:p w:rsidR="005D1DD9" w:rsidRPr="00191E9E" w:rsidRDefault="005D1DD9" w:rsidP="00375852">
      <w:r w:rsidRPr="00191E9E">
        <w:t>Hong, S., Lee, J. and Park, S. (2022) ‘Hybrid governance and South Korea’s COVID 19 response’, Policy and Society, 41(2), pp. 248–263.</w:t>
      </w:r>
    </w:p>
    <w:p w:rsidR="005D1DD9" w:rsidRPr="00191E9E" w:rsidRDefault="005D1DD9" w:rsidP="00375852">
      <w:r w:rsidRPr="00191E9E">
        <w:lastRenderedPageBreak/>
        <w:t>Hsu, A.T. and Lane, N. (2020) Impact of COVID 19 on residents of Canada’s long term care homes – ongoing challenges and policy response. London: International Long Term Care Policy Network.</w:t>
      </w:r>
    </w:p>
    <w:p w:rsidR="005D1DD9" w:rsidRPr="00191E9E" w:rsidRDefault="005D1DD9" w:rsidP="00375852">
      <w:r w:rsidRPr="00191E9E">
        <w:t>Ki, M. (2015) ‘2015 MERS outbreak in Korea: hospital to hospital transmission’, Epidemiology and Health, 37, e2015033.</w:t>
      </w:r>
    </w:p>
    <w:p w:rsidR="005D1DD9" w:rsidRPr="00CC4E5F" w:rsidRDefault="005D1DD9" w:rsidP="00375852">
      <w:r w:rsidRPr="00CC4E5F">
        <w:t>Kim, M.K., Han, K. and Lee, S.H. (2022) ‘Current trends of big data research using the Korean National Health Information Database’, Diabetes &amp; Metabolism Journal, 46(4), pp. 552–563.</w:t>
      </w:r>
    </w:p>
    <w:p w:rsidR="005D1DD9" w:rsidRPr="00191E9E" w:rsidRDefault="005D1DD9" w:rsidP="00375852">
      <w:r w:rsidRPr="00191E9E">
        <w:t>Kwon, S. (2009) ‘Thirty years of national health insurance in South Korea: lessons for achieving universal health care coverage’, Health Policy and Planning, 24(1), pp. 63–71.</w:t>
      </w:r>
    </w:p>
    <w:p w:rsidR="005D1DD9" w:rsidRPr="00191E9E" w:rsidRDefault="005D1DD9" w:rsidP="00375852">
      <w:r w:rsidRPr="00191E9E">
        <w:t>Lazarus, J.V., Ratzan, S.C., Palayew, A. et al. (2021) ‘A global survey of potential acceptance of a COVID 19 vaccine’, Nature Medicine, 27, pp. 225–228.</w:t>
      </w:r>
    </w:p>
    <w:p w:rsidR="005D1DD9" w:rsidRPr="00191E9E" w:rsidRDefault="005D1DD9" w:rsidP="00375852">
      <w:r w:rsidRPr="00191E9E">
        <w:t>Legido Quigley, H., Otero, L., La Parra, D. et al. (2013) ‘Will austerity cuts dismantle the Spanish healthcare system?’, BMJ, 346, f2363.</w:t>
      </w:r>
    </w:p>
    <w:p w:rsidR="005D1DD9" w:rsidRPr="00191E9E" w:rsidRDefault="005D1DD9" w:rsidP="00375852">
      <w:r w:rsidRPr="00191E9E">
        <w:t>Marchildon, G.P. (2013) Canada: Health system review. Health Systems in Transition, 15(1), pp. 1–179.</w:t>
      </w:r>
    </w:p>
    <w:p w:rsidR="005D1DD9" w:rsidRPr="00191E9E" w:rsidRDefault="005D1DD9" w:rsidP="00375852">
      <w:r w:rsidRPr="00191E9E">
        <w:t>Organisation for Economic Co operation and Development (OECD) (2021) Health at a Glance 2021: OECD indicators. Paris: OECD Publishing.</w:t>
      </w:r>
    </w:p>
    <w:p w:rsidR="005D1DD9" w:rsidRPr="00191E9E" w:rsidRDefault="005D1DD9" w:rsidP="00375852">
      <w:r w:rsidRPr="00191E9E">
        <w:t>Park, S., Choi, G.J. and Ko, H. (2020) ‘Information technology based tracing strategy in response to COVID 19 in South Korea: privacy controversies’, JAMA, 323(21), pp. 2129–2130.</w:t>
      </w:r>
    </w:p>
    <w:p w:rsidR="005D1DD9" w:rsidRPr="00191E9E" w:rsidRDefault="005D1DD9" w:rsidP="00375852">
      <w:r w:rsidRPr="00191E9E">
        <w:t>Public Health Agency of Canada (PHAC) (2021) From risk to resilience: An equity approach to COVID 19. Ottawa: PHAC.</w:t>
      </w:r>
    </w:p>
    <w:p w:rsidR="005D1DD9" w:rsidRPr="00191E9E" w:rsidRDefault="005D1DD9" w:rsidP="00375852">
      <w:r w:rsidRPr="00191E9E">
        <w:t>Royal Society of Canada (2020) Restoring trust: COVID 19 and the future of long term care. Ottawa: Royal Society of Canada.</w:t>
      </w:r>
    </w:p>
    <w:p w:rsidR="005D1DD9" w:rsidRPr="00191E9E" w:rsidRDefault="005D1DD9" w:rsidP="00375852">
      <w:r w:rsidRPr="00191E9E">
        <w:t>Shepherd, R., Campbell, M., Didiodato, G. and Hopman, W. (2021) ‘The impact of COVID 19 in long term care in Canada: focus on Ontario’, Geriatrics, 6(2), 39.</w:t>
      </w:r>
    </w:p>
    <w:p w:rsidR="005D1DD9" w:rsidRPr="00CC4E5F" w:rsidRDefault="005D1DD9" w:rsidP="00375852">
      <w:r w:rsidRPr="00CC4E5F">
        <w:t>Tikkanen, R., Osborn, R., Mossialos, E., Djordjevic, A. and Wharton, G. (2020) International profiles of health care systems 2020. New York: The Commonwealth Fund.</w:t>
      </w:r>
    </w:p>
    <w:p w:rsidR="005D1DD9" w:rsidRPr="00191E9E" w:rsidRDefault="005D1DD9" w:rsidP="00375852">
      <w:r w:rsidRPr="00191E9E">
        <w:t>Uhl Bien, M. and Arena, M. (2018) ‘Leadership for organizational adaptability: a theoretical synthesis and integrative framework’, The Leadership Quarterly, 29(1), pp. 89–104.</w:t>
      </w:r>
    </w:p>
    <w:p w:rsidR="005D1DD9" w:rsidRPr="00191E9E" w:rsidRDefault="005D1DD9" w:rsidP="00375852">
      <w:r w:rsidRPr="00191E9E">
        <w:lastRenderedPageBreak/>
        <w:t>Weberg, D. (2012) ‘Complexity leadership: a healthcare imperative’, Nursing Forum, 47(4), pp. 268–277.</w:t>
      </w:r>
    </w:p>
    <w:p w:rsidR="005D1DD9" w:rsidRPr="004A1061" w:rsidRDefault="005D1DD9" w:rsidP="00C0554B">
      <w:pPr>
        <w:rPr>
          <w:rFonts w:eastAsia="Times New Roman" w:cs="Arial"/>
          <w:sz w:val="24"/>
          <w:szCs w:val="24"/>
        </w:rPr>
      </w:pPr>
      <w:r w:rsidRPr="00191E9E">
        <w:t>Yoo, K.J., Kwon, S., Choi, Y. et al. (2021) ‘Systematic assessment of South Korea’s capabilities to control COVID 19’, Health Policy, 125(5), pp. 568–576.</w:t>
      </w:r>
    </w:p>
    <w:sectPr w:rsidR="005D1DD9" w:rsidRPr="004A1061" w:rsidSect="00B670E6">
      <w:footerReference w:type="default" r:id="rId11"/>
      <w:pgSz w:w="11909" w:h="16834" w:code="9"/>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B420E" w:rsidRDefault="008B420E" w:rsidP="00892C53">
      <w:pPr>
        <w:spacing w:after="0" w:line="240" w:lineRule="auto"/>
      </w:pPr>
      <w:r>
        <w:separator/>
      </w:r>
    </w:p>
  </w:endnote>
  <w:endnote w:type="continuationSeparator" w:id="1">
    <w:p w:rsidR="008B420E" w:rsidRDefault="008B420E" w:rsidP="00892C5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Kalpurush">
    <w:altName w:val="Times New Roman"/>
    <w:charset w:val="00"/>
    <w:family w:val="auto"/>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95579762"/>
      <w:docPartObj>
        <w:docPartGallery w:val="Page Numbers (Bottom of Page)"/>
        <w:docPartUnique/>
      </w:docPartObj>
    </w:sdtPr>
    <w:sdtEndPr>
      <w:rPr>
        <w:noProof/>
      </w:rPr>
    </w:sdtEndPr>
    <w:sdtContent>
      <w:p w:rsidR="00892C53" w:rsidRDefault="006A5278">
        <w:pPr>
          <w:pStyle w:val="Footer"/>
          <w:jc w:val="center"/>
        </w:pPr>
        <w:r>
          <w:fldChar w:fldCharType="begin"/>
        </w:r>
        <w:r w:rsidR="00892C53">
          <w:instrText xml:space="preserve"> PAGE   \* MERGEFORMAT </w:instrText>
        </w:r>
        <w:r>
          <w:fldChar w:fldCharType="separate"/>
        </w:r>
        <w:r w:rsidR="008C6714">
          <w:rPr>
            <w:noProof/>
          </w:rPr>
          <w:t>25</w:t>
        </w:r>
        <w:r>
          <w:rPr>
            <w:noProof/>
          </w:rPr>
          <w:fldChar w:fldCharType="end"/>
        </w:r>
      </w:p>
    </w:sdtContent>
  </w:sdt>
  <w:p w:rsidR="00892C53" w:rsidRDefault="00892C5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B420E" w:rsidRDefault="008B420E" w:rsidP="00892C53">
      <w:pPr>
        <w:spacing w:after="0" w:line="240" w:lineRule="auto"/>
      </w:pPr>
      <w:r>
        <w:separator/>
      </w:r>
    </w:p>
  </w:footnote>
  <w:footnote w:type="continuationSeparator" w:id="1">
    <w:p w:rsidR="008B420E" w:rsidRDefault="008B420E" w:rsidP="00892C5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2C766C"/>
    <w:multiLevelType w:val="multilevel"/>
    <w:tmpl w:val="3B6C18B2"/>
    <w:styleLink w:val="Thesis"/>
    <w:lvl w:ilvl="0">
      <w:start w:val="1"/>
      <w:numFmt w:val="decimal"/>
      <w:suff w:val="space"/>
      <w:lvlText w:val="Chapter %1:"/>
      <w:lvlJc w:val="left"/>
      <w:pPr>
        <w:ind w:left="0" w:firstLine="0"/>
      </w:pPr>
      <w:rPr>
        <w:rFonts w:hint="default"/>
      </w:rPr>
    </w:lvl>
    <w:lvl w:ilvl="1">
      <w:start w:val="1"/>
      <w:numFmt w:val="decimal"/>
      <w:suff w:val="space"/>
      <w:lvlText w:val="%1.%2"/>
      <w:lvlJc w:val="left"/>
      <w:pPr>
        <w:ind w:left="0" w:firstLine="0"/>
      </w:pPr>
      <w:rPr>
        <w:rFonts w:hint="default"/>
      </w:rPr>
    </w:lvl>
    <w:lvl w:ilvl="2">
      <w:start w:val="1"/>
      <w:numFmt w:val="decimal"/>
      <w:suff w:val="space"/>
      <w:lvlText w:val="%1.%2.%3"/>
      <w:lvlJc w:val="left"/>
      <w:pPr>
        <w:ind w:left="0" w:firstLine="0"/>
      </w:pPr>
      <w:rPr>
        <w:rFonts w:hint="default"/>
      </w:rPr>
    </w:lvl>
    <w:lvl w:ilvl="3">
      <w:start w:val="1"/>
      <w:numFmt w:val="decimal"/>
      <w:lvlText w:val="%1.%2.%3.%4"/>
      <w:lvlJc w:val="left"/>
      <w:pPr>
        <w:ind w:left="0" w:firstLine="0"/>
      </w:pPr>
      <w:rPr>
        <w:rFonts w:hint="default"/>
      </w:rPr>
    </w:lvl>
    <w:lvl w:ilvl="4">
      <w:start w:val="1"/>
      <w:numFmt w:val="decimal"/>
      <w:lvlText w:val="%1.%2.%3.%4.%5"/>
      <w:lvlJc w:val="left"/>
      <w:pPr>
        <w:ind w:left="0" w:firstLine="0"/>
      </w:pPr>
      <w:rPr>
        <w:rFonts w:hint="default"/>
      </w:rPr>
    </w:lvl>
    <w:lvl w:ilvl="5">
      <w:start w:val="1"/>
      <w:numFmt w:val="decimal"/>
      <w:lvlText w:val="%1.%2.%3.%4.%5.%6"/>
      <w:lvlJc w:val="left"/>
      <w:pPr>
        <w:ind w:left="0" w:firstLine="0"/>
      </w:pPr>
      <w:rPr>
        <w:rFonts w:hint="default"/>
      </w:rPr>
    </w:lvl>
    <w:lvl w:ilvl="6">
      <w:start w:val="1"/>
      <w:numFmt w:val="decimal"/>
      <w:lvlText w:val="%1.%2.%3.%4.%5.%6.%7"/>
      <w:lvlJc w:val="left"/>
      <w:pPr>
        <w:ind w:left="0" w:firstLine="0"/>
      </w:pPr>
      <w:rPr>
        <w:rFonts w:hint="default"/>
      </w:rPr>
    </w:lvl>
    <w:lvl w:ilvl="7">
      <w:start w:val="1"/>
      <w:numFmt w:val="decimal"/>
      <w:lvlText w:val="%1.%2.%3.%4.%5.%6.%7.%8"/>
      <w:lvlJc w:val="left"/>
      <w:pPr>
        <w:ind w:left="0" w:firstLine="0"/>
      </w:pPr>
      <w:rPr>
        <w:rFonts w:hint="default"/>
      </w:rPr>
    </w:lvl>
    <w:lvl w:ilvl="8">
      <w:start w:val="1"/>
      <w:numFmt w:val="decimal"/>
      <w:lvlText w:val="%1.%2.%3.%4.%5.%6.%7.%8.%9"/>
      <w:lvlJc w:val="left"/>
      <w:pPr>
        <w:ind w:left="0" w:firstLine="0"/>
      </w:pPr>
      <w:rPr>
        <w:rFonts w:hint="default"/>
      </w:rPr>
    </w:lvl>
  </w:abstractNum>
  <w:abstractNum w:abstractNumId="1">
    <w:nsid w:val="04B1336F"/>
    <w:multiLevelType w:val="multilevel"/>
    <w:tmpl w:val="ED5A588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04C64488"/>
    <w:multiLevelType w:val="multilevel"/>
    <w:tmpl w:val="B082157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06936064"/>
    <w:multiLevelType w:val="multilevel"/>
    <w:tmpl w:val="44E6C0B6"/>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06D07C11"/>
    <w:multiLevelType w:val="multilevel"/>
    <w:tmpl w:val="FBC4153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0C293F53"/>
    <w:multiLevelType w:val="hybridMultilevel"/>
    <w:tmpl w:val="1F44BE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0E2F48BB"/>
    <w:multiLevelType w:val="hybridMultilevel"/>
    <w:tmpl w:val="FDBCCA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330035A6"/>
    <w:multiLevelType w:val="multilevel"/>
    <w:tmpl w:val="CB2858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34F84FB1"/>
    <w:multiLevelType w:val="hybridMultilevel"/>
    <w:tmpl w:val="0012EA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352F0442"/>
    <w:multiLevelType w:val="hybridMultilevel"/>
    <w:tmpl w:val="065AF6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370D3E29"/>
    <w:multiLevelType w:val="multilevel"/>
    <w:tmpl w:val="DC509BE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3C43170A"/>
    <w:multiLevelType w:val="multilevel"/>
    <w:tmpl w:val="0B262A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407E6EDC"/>
    <w:multiLevelType w:val="multilevel"/>
    <w:tmpl w:val="9230A78A"/>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41981B83"/>
    <w:multiLevelType w:val="multilevel"/>
    <w:tmpl w:val="5B0E8F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4250464B"/>
    <w:multiLevelType w:val="hybridMultilevel"/>
    <w:tmpl w:val="B72A7D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46880F16"/>
    <w:multiLevelType w:val="multilevel"/>
    <w:tmpl w:val="F072D94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537A41CB"/>
    <w:multiLevelType w:val="multilevel"/>
    <w:tmpl w:val="7CC4D0E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53D022CD"/>
    <w:multiLevelType w:val="multilevel"/>
    <w:tmpl w:val="938616AC"/>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nsid w:val="57187AE1"/>
    <w:multiLevelType w:val="hybridMultilevel"/>
    <w:tmpl w:val="DA28DD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588F3628"/>
    <w:multiLevelType w:val="multilevel"/>
    <w:tmpl w:val="A11AF9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nsid w:val="60544702"/>
    <w:multiLevelType w:val="hybridMultilevel"/>
    <w:tmpl w:val="AAE6DA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61DB4E75"/>
    <w:multiLevelType w:val="multilevel"/>
    <w:tmpl w:val="583EA0D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nsid w:val="71F17344"/>
    <w:multiLevelType w:val="multilevel"/>
    <w:tmpl w:val="79D6AC8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nsid w:val="748C6024"/>
    <w:multiLevelType w:val="hybridMultilevel"/>
    <w:tmpl w:val="255C7BDE"/>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nsid w:val="757B48FA"/>
    <w:multiLevelType w:val="hybridMultilevel"/>
    <w:tmpl w:val="A6708D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76A7304A"/>
    <w:multiLevelType w:val="hybridMultilevel"/>
    <w:tmpl w:val="6A42F9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nsid w:val="789411ED"/>
    <w:multiLevelType w:val="multilevel"/>
    <w:tmpl w:val="E4E8322C"/>
    <w:lvl w:ilvl="0">
      <w:start w:val="1"/>
      <w:numFmt w:val="decimal"/>
      <w:pStyle w:val="Heading1"/>
      <w:suff w:val="space"/>
      <w:lvlText w:val="%1."/>
      <w:lvlJc w:val="left"/>
      <w:pPr>
        <w:ind w:left="0" w:firstLine="0"/>
      </w:pPr>
      <w:rPr>
        <w:rFonts w:hint="default"/>
      </w:rPr>
    </w:lvl>
    <w:lvl w:ilvl="1">
      <w:start w:val="1"/>
      <w:numFmt w:val="decimal"/>
      <w:pStyle w:val="Heading2"/>
      <w:suff w:val="space"/>
      <w:lvlText w:val="%1.%2."/>
      <w:lvlJc w:val="left"/>
      <w:pPr>
        <w:ind w:left="0" w:firstLine="0"/>
      </w:pPr>
      <w:rPr>
        <w:rFonts w:hint="default"/>
      </w:rPr>
    </w:lvl>
    <w:lvl w:ilvl="2">
      <w:start w:val="1"/>
      <w:numFmt w:val="decimal"/>
      <w:pStyle w:val="Heading3"/>
      <w:suff w:val="space"/>
      <w:lvlText w:val="%1.%2.%3."/>
      <w:lvlJc w:val="left"/>
      <w:pPr>
        <w:ind w:left="0" w:firstLine="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27">
    <w:nsid w:val="7FC15FE1"/>
    <w:multiLevelType w:val="multilevel"/>
    <w:tmpl w:val="F2C8A6A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nsid w:val="7FC6351B"/>
    <w:multiLevelType w:val="hybridMultilevel"/>
    <w:tmpl w:val="FBE648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3"/>
  </w:num>
  <w:num w:numId="3">
    <w:abstractNumId w:val="10"/>
  </w:num>
  <w:num w:numId="4">
    <w:abstractNumId w:val="7"/>
  </w:num>
  <w:num w:numId="5">
    <w:abstractNumId w:val="1"/>
  </w:num>
  <w:num w:numId="6">
    <w:abstractNumId w:val="15"/>
  </w:num>
  <w:num w:numId="7">
    <w:abstractNumId w:val="27"/>
  </w:num>
  <w:num w:numId="8">
    <w:abstractNumId w:val="3"/>
  </w:num>
  <w:num w:numId="9">
    <w:abstractNumId w:val="17"/>
  </w:num>
  <w:num w:numId="10">
    <w:abstractNumId w:val="26"/>
  </w:num>
  <w:num w:numId="11">
    <w:abstractNumId w:val="11"/>
  </w:num>
  <w:num w:numId="12">
    <w:abstractNumId w:val="16"/>
  </w:num>
  <w:num w:numId="13">
    <w:abstractNumId w:val="19"/>
  </w:num>
  <w:num w:numId="14">
    <w:abstractNumId w:val="21"/>
  </w:num>
  <w:num w:numId="15">
    <w:abstractNumId w:val="4"/>
  </w:num>
  <w:num w:numId="16">
    <w:abstractNumId w:val="22"/>
  </w:num>
  <w:num w:numId="17">
    <w:abstractNumId w:val="2"/>
  </w:num>
  <w:num w:numId="18">
    <w:abstractNumId w:val="12"/>
  </w:num>
  <w:num w:numId="19">
    <w:abstractNumId w:val="9"/>
  </w:num>
  <w:num w:numId="20">
    <w:abstractNumId w:val="8"/>
  </w:num>
  <w:num w:numId="21">
    <w:abstractNumId w:val="18"/>
  </w:num>
  <w:num w:numId="22">
    <w:abstractNumId w:val="24"/>
  </w:num>
  <w:num w:numId="23">
    <w:abstractNumId w:val="6"/>
  </w:num>
  <w:num w:numId="24">
    <w:abstractNumId w:val="25"/>
  </w:num>
  <w:num w:numId="25">
    <w:abstractNumId w:val="28"/>
  </w:num>
  <w:num w:numId="26">
    <w:abstractNumId w:val="23"/>
  </w:num>
  <w:num w:numId="27">
    <w:abstractNumId w:val="14"/>
  </w:num>
  <w:num w:numId="28">
    <w:abstractNumId w:val="20"/>
  </w:num>
  <w:num w:numId="29">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drawingGridHorizontalSpacing w:val="120"/>
  <w:displayHorizontalDrawingGridEvery w:val="2"/>
  <w:displayVerticalDrawingGridEvery w:val="2"/>
  <w:characterSpacingControl w:val="doNotCompress"/>
  <w:footnotePr>
    <w:footnote w:id="0"/>
    <w:footnote w:id="1"/>
  </w:footnotePr>
  <w:endnotePr>
    <w:endnote w:id="0"/>
    <w:endnote w:id="1"/>
  </w:endnotePr>
  <w:compat/>
  <w:rsids>
    <w:rsidRoot w:val="0094380C"/>
    <w:rsid w:val="000875C8"/>
    <w:rsid w:val="0009378B"/>
    <w:rsid w:val="000C3DB8"/>
    <w:rsid w:val="00142442"/>
    <w:rsid w:val="00152889"/>
    <w:rsid w:val="00191E9E"/>
    <w:rsid w:val="001A1ED8"/>
    <w:rsid w:val="00203F5D"/>
    <w:rsid w:val="00220439"/>
    <w:rsid w:val="00227187"/>
    <w:rsid w:val="00260A01"/>
    <w:rsid w:val="00264667"/>
    <w:rsid w:val="002751C3"/>
    <w:rsid w:val="002A5EA9"/>
    <w:rsid w:val="002C2926"/>
    <w:rsid w:val="002C3272"/>
    <w:rsid w:val="00311AAE"/>
    <w:rsid w:val="00372FDD"/>
    <w:rsid w:val="00375852"/>
    <w:rsid w:val="00375BAC"/>
    <w:rsid w:val="003E68CC"/>
    <w:rsid w:val="003F442A"/>
    <w:rsid w:val="003F58AB"/>
    <w:rsid w:val="004424D1"/>
    <w:rsid w:val="00465CCB"/>
    <w:rsid w:val="00487220"/>
    <w:rsid w:val="004959C0"/>
    <w:rsid w:val="004A1061"/>
    <w:rsid w:val="004C0317"/>
    <w:rsid w:val="004E23D9"/>
    <w:rsid w:val="00506C11"/>
    <w:rsid w:val="00513773"/>
    <w:rsid w:val="005812D0"/>
    <w:rsid w:val="005946C4"/>
    <w:rsid w:val="005A0E09"/>
    <w:rsid w:val="005D148D"/>
    <w:rsid w:val="005D1DD9"/>
    <w:rsid w:val="006A5278"/>
    <w:rsid w:val="006A704C"/>
    <w:rsid w:val="006B531E"/>
    <w:rsid w:val="006C4177"/>
    <w:rsid w:val="00757F2F"/>
    <w:rsid w:val="0077528B"/>
    <w:rsid w:val="00785174"/>
    <w:rsid w:val="007F3590"/>
    <w:rsid w:val="00833C00"/>
    <w:rsid w:val="00865059"/>
    <w:rsid w:val="00892C53"/>
    <w:rsid w:val="0089628D"/>
    <w:rsid w:val="008B420E"/>
    <w:rsid w:val="008C6714"/>
    <w:rsid w:val="0091498B"/>
    <w:rsid w:val="0094380C"/>
    <w:rsid w:val="00A42FFD"/>
    <w:rsid w:val="00A51D83"/>
    <w:rsid w:val="00A57669"/>
    <w:rsid w:val="00A83399"/>
    <w:rsid w:val="00A95AC7"/>
    <w:rsid w:val="00AF6799"/>
    <w:rsid w:val="00AF7016"/>
    <w:rsid w:val="00B10009"/>
    <w:rsid w:val="00B670E6"/>
    <w:rsid w:val="00BC08F9"/>
    <w:rsid w:val="00BD7920"/>
    <w:rsid w:val="00BF3DBF"/>
    <w:rsid w:val="00C0554B"/>
    <w:rsid w:val="00C21847"/>
    <w:rsid w:val="00C83B76"/>
    <w:rsid w:val="00CA4299"/>
    <w:rsid w:val="00CC4E5F"/>
    <w:rsid w:val="00CD50B4"/>
    <w:rsid w:val="00CF27C4"/>
    <w:rsid w:val="00D67464"/>
    <w:rsid w:val="00D81EED"/>
    <w:rsid w:val="00DC589C"/>
    <w:rsid w:val="00E40009"/>
    <w:rsid w:val="00E42DEE"/>
    <w:rsid w:val="00E5521B"/>
    <w:rsid w:val="00E7327C"/>
    <w:rsid w:val="00EB17E5"/>
    <w:rsid w:val="00ED070E"/>
    <w:rsid w:val="00ED6976"/>
    <w:rsid w:val="00F542FF"/>
    <w:rsid w:val="00F73C0F"/>
    <w:rsid w:val="00FA181B"/>
    <w:rsid w:val="00FB07FF"/>
    <w:rsid w:val="00FD1CB8"/>
    <w:rsid w:val="00FD5F29"/>
    <w:rsid w:val="00FE136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imes New Roman"/>
        <w:bCs/>
        <w:sz w:val="24"/>
        <w:szCs w:val="24"/>
        <w:lang w:val="en-US" w:eastAsia="en-US" w:bidi="ar-SA"/>
      </w:rPr>
    </w:rPrDefault>
    <w:pPrDefault>
      <w:pPr>
        <w:spacing w:after="78" w:line="360" w:lineRule="auto"/>
        <w:ind w:left="-6"/>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72FDD"/>
    <w:pPr>
      <w:spacing w:after="160"/>
      <w:ind w:left="0"/>
    </w:pPr>
    <w:rPr>
      <w:rFonts w:ascii="Arial" w:hAnsi="Arial" w:cstheme="minorBidi"/>
      <w:bCs w:val="0"/>
      <w:sz w:val="22"/>
      <w:szCs w:val="22"/>
    </w:rPr>
  </w:style>
  <w:style w:type="paragraph" w:styleId="Heading1">
    <w:name w:val="heading 1"/>
    <w:basedOn w:val="Normal"/>
    <w:next w:val="Normal"/>
    <w:link w:val="Heading1Char"/>
    <w:uiPriority w:val="9"/>
    <w:qFormat/>
    <w:rsid w:val="000C3DB8"/>
    <w:pPr>
      <w:keepNext/>
      <w:keepLines/>
      <w:numPr>
        <w:numId w:val="10"/>
      </w:numPr>
      <w:spacing w:before="240" w:after="240"/>
      <w:jc w:val="left"/>
      <w:outlineLvl w:val="0"/>
    </w:pPr>
    <w:rPr>
      <w:rFonts w:eastAsiaTheme="majorEastAsia" w:cstheme="majorBidi"/>
      <w:b/>
      <w:sz w:val="24"/>
      <w:szCs w:val="32"/>
    </w:rPr>
  </w:style>
  <w:style w:type="paragraph" w:styleId="Heading2">
    <w:name w:val="heading 2"/>
    <w:basedOn w:val="Normal"/>
    <w:next w:val="Normal"/>
    <w:link w:val="Heading2Char"/>
    <w:autoRedefine/>
    <w:uiPriority w:val="9"/>
    <w:unhideWhenUsed/>
    <w:qFormat/>
    <w:rsid w:val="004E23D9"/>
    <w:pPr>
      <w:keepNext/>
      <w:keepLines/>
      <w:numPr>
        <w:ilvl w:val="1"/>
        <w:numId w:val="10"/>
      </w:numPr>
      <w:spacing w:before="120" w:after="120"/>
      <w:outlineLvl w:val="1"/>
    </w:pPr>
    <w:rPr>
      <w:rFonts w:eastAsia="Times New Roman" w:cs="Times New Roman"/>
      <w:b/>
      <w:bCs/>
      <w:szCs w:val="24"/>
    </w:rPr>
  </w:style>
  <w:style w:type="paragraph" w:styleId="Heading3">
    <w:name w:val="heading 3"/>
    <w:basedOn w:val="Normal"/>
    <w:next w:val="Normal"/>
    <w:link w:val="Heading3Char"/>
    <w:uiPriority w:val="9"/>
    <w:semiHidden/>
    <w:unhideWhenUsed/>
    <w:qFormat/>
    <w:rsid w:val="00220439"/>
    <w:pPr>
      <w:keepNext/>
      <w:keepLines/>
      <w:numPr>
        <w:ilvl w:val="2"/>
        <w:numId w:val="10"/>
      </w:numPr>
      <w:spacing w:before="40" w:after="40"/>
      <w:outlineLvl w:val="2"/>
    </w:pPr>
    <w:rPr>
      <w:rFonts w:eastAsiaTheme="majorEastAsia" w:cstheme="majorBidi"/>
      <w:b/>
      <w:i/>
      <w:color w:val="000000" w:themeColor="text1"/>
      <w:szCs w:val="24"/>
    </w:rPr>
  </w:style>
  <w:style w:type="paragraph" w:styleId="Heading4">
    <w:name w:val="heading 4"/>
    <w:basedOn w:val="Normal"/>
    <w:next w:val="Normal"/>
    <w:link w:val="Heading4Char"/>
    <w:uiPriority w:val="9"/>
    <w:semiHidden/>
    <w:unhideWhenUsed/>
    <w:qFormat/>
    <w:rsid w:val="00372FDD"/>
    <w:pPr>
      <w:keepNext/>
      <w:keepLines/>
      <w:numPr>
        <w:ilvl w:val="3"/>
        <w:numId w:val="10"/>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72FDD"/>
    <w:pPr>
      <w:keepNext/>
      <w:keepLines/>
      <w:numPr>
        <w:ilvl w:val="4"/>
        <w:numId w:val="10"/>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72FDD"/>
    <w:pPr>
      <w:keepNext/>
      <w:keepLines/>
      <w:numPr>
        <w:ilvl w:val="5"/>
        <w:numId w:val="10"/>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72FDD"/>
    <w:pPr>
      <w:keepNext/>
      <w:keepLines/>
      <w:numPr>
        <w:ilvl w:val="6"/>
        <w:numId w:val="10"/>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72FDD"/>
    <w:pPr>
      <w:keepNext/>
      <w:keepLines/>
      <w:numPr>
        <w:ilvl w:val="7"/>
        <w:numId w:val="10"/>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72FDD"/>
    <w:pPr>
      <w:keepNext/>
      <w:keepLines/>
      <w:numPr>
        <w:ilvl w:val="8"/>
        <w:numId w:val="10"/>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3DB8"/>
    <w:rPr>
      <w:rFonts w:ascii="Arial" w:eastAsiaTheme="majorEastAsia" w:hAnsi="Arial" w:cstheme="majorBidi"/>
      <w:b/>
      <w:bCs w:val="0"/>
      <w:szCs w:val="32"/>
    </w:rPr>
  </w:style>
  <w:style w:type="character" w:customStyle="1" w:styleId="Heading2Char">
    <w:name w:val="Heading 2 Char"/>
    <w:basedOn w:val="DefaultParagraphFont"/>
    <w:link w:val="Heading2"/>
    <w:uiPriority w:val="9"/>
    <w:rsid w:val="004E23D9"/>
    <w:rPr>
      <w:rFonts w:ascii="Arial" w:eastAsia="Times New Roman" w:hAnsi="Arial"/>
      <w:b/>
      <w:sz w:val="22"/>
    </w:rPr>
  </w:style>
  <w:style w:type="paragraph" w:styleId="NoSpacing">
    <w:name w:val="No Spacing"/>
    <w:aliases w:val="Bangla"/>
    <w:next w:val="Normal"/>
    <w:autoRedefine/>
    <w:uiPriority w:val="1"/>
    <w:qFormat/>
    <w:rsid w:val="00D81EED"/>
    <w:pPr>
      <w:spacing w:after="0"/>
      <w:ind w:left="0"/>
    </w:pPr>
    <w:rPr>
      <w:rFonts w:ascii="Kalpurush" w:hAnsi="Kalpurush" w:cstheme="minorBidi"/>
      <w:bCs w:val="0"/>
      <w:szCs w:val="22"/>
      <w:lang w:val="en-GB"/>
    </w:rPr>
  </w:style>
  <w:style w:type="character" w:customStyle="1" w:styleId="Heading3Char">
    <w:name w:val="Heading 3 Char"/>
    <w:basedOn w:val="DefaultParagraphFont"/>
    <w:link w:val="Heading3"/>
    <w:uiPriority w:val="9"/>
    <w:semiHidden/>
    <w:rsid w:val="00220439"/>
    <w:rPr>
      <w:rFonts w:eastAsiaTheme="majorEastAsia" w:cstheme="majorBidi"/>
      <w:b/>
      <w:bCs w:val="0"/>
      <w:i/>
      <w:color w:val="000000" w:themeColor="text1"/>
    </w:rPr>
  </w:style>
  <w:style w:type="numbering" w:customStyle="1" w:styleId="Thesis">
    <w:name w:val="Thesis"/>
    <w:uiPriority w:val="99"/>
    <w:rsid w:val="00E5521B"/>
    <w:pPr>
      <w:numPr>
        <w:numId w:val="1"/>
      </w:numPr>
    </w:pPr>
  </w:style>
  <w:style w:type="paragraph" w:styleId="NormalWeb">
    <w:name w:val="Normal (Web)"/>
    <w:basedOn w:val="Normal"/>
    <w:uiPriority w:val="99"/>
    <w:semiHidden/>
    <w:unhideWhenUsed/>
    <w:rsid w:val="00FD5F29"/>
    <w:pPr>
      <w:spacing w:before="100" w:beforeAutospacing="1" w:after="100" w:afterAutospacing="1" w:line="240" w:lineRule="auto"/>
      <w:jc w:val="left"/>
    </w:pPr>
    <w:rPr>
      <w:rFonts w:eastAsia="Times New Roman" w:cs="Times New Roman"/>
      <w:szCs w:val="24"/>
    </w:rPr>
  </w:style>
  <w:style w:type="character" w:styleId="Emphasis">
    <w:name w:val="Emphasis"/>
    <w:basedOn w:val="DefaultParagraphFont"/>
    <w:uiPriority w:val="20"/>
    <w:qFormat/>
    <w:rsid w:val="00FD5F29"/>
    <w:rPr>
      <w:i/>
      <w:iCs/>
    </w:rPr>
  </w:style>
  <w:style w:type="character" w:customStyle="1" w:styleId="Heading4Char">
    <w:name w:val="Heading 4 Char"/>
    <w:basedOn w:val="DefaultParagraphFont"/>
    <w:link w:val="Heading4"/>
    <w:uiPriority w:val="9"/>
    <w:semiHidden/>
    <w:rsid w:val="00372FDD"/>
    <w:rPr>
      <w:rFonts w:asciiTheme="majorHAnsi" w:eastAsiaTheme="majorEastAsia" w:hAnsiTheme="majorHAnsi" w:cstheme="majorBidi"/>
      <w:bCs w:val="0"/>
      <w:i/>
      <w:iCs/>
      <w:color w:val="2F5496" w:themeColor="accent1" w:themeShade="BF"/>
      <w:szCs w:val="22"/>
    </w:rPr>
  </w:style>
  <w:style w:type="character" w:customStyle="1" w:styleId="Heading5Char">
    <w:name w:val="Heading 5 Char"/>
    <w:basedOn w:val="DefaultParagraphFont"/>
    <w:link w:val="Heading5"/>
    <w:uiPriority w:val="9"/>
    <w:semiHidden/>
    <w:rsid w:val="00372FDD"/>
    <w:rPr>
      <w:rFonts w:asciiTheme="majorHAnsi" w:eastAsiaTheme="majorEastAsia" w:hAnsiTheme="majorHAnsi" w:cstheme="majorBidi"/>
      <w:bCs w:val="0"/>
      <w:color w:val="2F5496" w:themeColor="accent1" w:themeShade="BF"/>
      <w:szCs w:val="22"/>
    </w:rPr>
  </w:style>
  <w:style w:type="character" w:customStyle="1" w:styleId="Heading6Char">
    <w:name w:val="Heading 6 Char"/>
    <w:basedOn w:val="DefaultParagraphFont"/>
    <w:link w:val="Heading6"/>
    <w:uiPriority w:val="9"/>
    <w:semiHidden/>
    <w:rsid w:val="00372FDD"/>
    <w:rPr>
      <w:rFonts w:asciiTheme="majorHAnsi" w:eastAsiaTheme="majorEastAsia" w:hAnsiTheme="majorHAnsi" w:cstheme="majorBidi"/>
      <w:bCs w:val="0"/>
      <w:color w:val="1F3763" w:themeColor="accent1" w:themeShade="7F"/>
      <w:szCs w:val="22"/>
    </w:rPr>
  </w:style>
  <w:style w:type="character" w:customStyle="1" w:styleId="Heading7Char">
    <w:name w:val="Heading 7 Char"/>
    <w:basedOn w:val="DefaultParagraphFont"/>
    <w:link w:val="Heading7"/>
    <w:uiPriority w:val="9"/>
    <w:semiHidden/>
    <w:rsid w:val="00372FDD"/>
    <w:rPr>
      <w:rFonts w:asciiTheme="majorHAnsi" w:eastAsiaTheme="majorEastAsia" w:hAnsiTheme="majorHAnsi" w:cstheme="majorBidi"/>
      <w:bCs w:val="0"/>
      <w:i/>
      <w:iCs/>
      <w:color w:val="1F3763" w:themeColor="accent1" w:themeShade="7F"/>
      <w:szCs w:val="22"/>
    </w:rPr>
  </w:style>
  <w:style w:type="character" w:customStyle="1" w:styleId="Heading8Char">
    <w:name w:val="Heading 8 Char"/>
    <w:basedOn w:val="DefaultParagraphFont"/>
    <w:link w:val="Heading8"/>
    <w:uiPriority w:val="9"/>
    <w:semiHidden/>
    <w:rsid w:val="00372FDD"/>
    <w:rPr>
      <w:rFonts w:asciiTheme="majorHAnsi" w:eastAsiaTheme="majorEastAsia" w:hAnsiTheme="majorHAnsi" w:cstheme="majorBidi"/>
      <w:bCs w:val="0"/>
      <w:color w:val="272727" w:themeColor="text1" w:themeTint="D8"/>
      <w:sz w:val="21"/>
      <w:szCs w:val="21"/>
    </w:rPr>
  </w:style>
  <w:style w:type="character" w:customStyle="1" w:styleId="Heading9Char">
    <w:name w:val="Heading 9 Char"/>
    <w:basedOn w:val="DefaultParagraphFont"/>
    <w:link w:val="Heading9"/>
    <w:uiPriority w:val="9"/>
    <w:semiHidden/>
    <w:rsid w:val="00372FDD"/>
    <w:rPr>
      <w:rFonts w:asciiTheme="majorHAnsi" w:eastAsiaTheme="majorEastAsia" w:hAnsiTheme="majorHAnsi" w:cstheme="majorBidi"/>
      <w:bCs w:val="0"/>
      <w:i/>
      <w:iCs/>
      <w:color w:val="272727" w:themeColor="text1" w:themeTint="D8"/>
      <w:sz w:val="21"/>
      <w:szCs w:val="21"/>
    </w:rPr>
  </w:style>
  <w:style w:type="paragraph" w:styleId="TOCHeading">
    <w:name w:val="TOC Heading"/>
    <w:basedOn w:val="Heading1"/>
    <w:next w:val="Normal"/>
    <w:uiPriority w:val="39"/>
    <w:unhideWhenUsed/>
    <w:qFormat/>
    <w:rsid w:val="00372FDD"/>
    <w:pPr>
      <w:numPr>
        <w:numId w:val="0"/>
      </w:numPr>
      <w:spacing w:after="0" w:line="259" w:lineRule="auto"/>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372FDD"/>
    <w:pPr>
      <w:spacing w:after="100"/>
    </w:pPr>
  </w:style>
  <w:style w:type="paragraph" w:styleId="TOC2">
    <w:name w:val="toc 2"/>
    <w:basedOn w:val="Normal"/>
    <w:next w:val="Normal"/>
    <w:autoRedefine/>
    <w:uiPriority w:val="39"/>
    <w:unhideWhenUsed/>
    <w:rsid w:val="00372FDD"/>
    <w:pPr>
      <w:spacing w:after="100"/>
      <w:ind w:left="240"/>
    </w:pPr>
  </w:style>
  <w:style w:type="character" w:styleId="Hyperlink">
    <w:name w:val="Hyperlink"/>
    <w:basedOn w:val="DefaultParagraphFont"/>
    <w:uiPriority w:val="99"/>
    <w:unhideWhenUsed/>
    <w:rsid w:val="00372FDD"/>
    <w:rPr>
      <w:color w:val="0563C1" w:themeColor="hyperlink"/>
      <w:u w:val="single"/>
    </w:rPr>
  </w:style>
  <w:style w:type="paragraph" w:styleId="Header">
    <w:name w:val="header"/>
    <w:basedOn w:val="Normal"/>
    <w:link w:val="HeaderChar"/>
    <w:uiPriority w:val="99"/>
    <w:unhideWhenUsed/>
    <w:rsid w:val="00892C5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92C53"/>
    <w:rPr>
      <w:rFonts w:ascii="Arial" w:hAnsi="Arial" w:cstheme="minorBidi"/>
      <w:bCs w:val="0"/>
      <w:sz w:val="22"/>
      <w:szCs w:val="22"/>
    </w:rPr>
  </w:style>
  <w:style w:type="paragraph" w:styleId="Footer">
    <w:name w:val="footer"/>
    <w:basedOn w:val="Normal"/>
    <w:link w:val="FooterChar"/>
    <w:uiPriority w:val="99"/>
    <w:unhideWhenUsed/>
    <w:rsid w:val="00892C5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92C53"/>
    <w:rPr>
      <w:rFonts w:ascii="Arial" w:hAnsi="Arial" w:cstheme="minorBidi"/>
      <w:bCs w:val="0"/>
      <w:sz w:val="22"/>
      <w:szCs w:val="22"/>
    </w:rPr>
  </w:style>
  <w:style w:type="paragraph" w:styleId="Caption">
    <w:name w:val="caption"/>
    <w:basedOn w:val="Normal"/>
    <w:next w:val="Normal"/>
    <w:uiPriority w:val="35"/>
    <w:unhideWhenUsed/>
    <w:qFormat/>
    <w:rsid w:val="00BD7920"/>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311AAE"/>
    <w:pPr>
      <w:spacing w:after="0"/>
    </w:pPr>
  </w:style>
  <w:style w:type="paragraph" w:styleId="ListParagraph">
    <w:name w:val="List Paragraph"/>
    <w:basedOn w:val="Normal"/>
    <w:uiPriority w:val="34"/>
    <w:qFormat/>
    <w:rsid w:val="004959C0"/>
    <w:pPr>
      <w:ind w:left="720"/>
      <w:contextualSpacing/>
    </w:pPr>
  </w:style>
  <w:style w:type="paragraph" w:styleId="BalloonText">
    <w:name w:val="Balloon Text"/>
    <w:basedOn w:val="Normal"/>
    <w:link w:val="BalloonTextChar"/>
    <w:uiPriority w:val="99"/>
    <w:semiHidden/>
    <w:unhideWhenUsed/>
    <w:rsid w:val="008C671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6714"/>
    <w:rPr>
      <w:rFonts w:ascii="Tahoma" w:hAnsi="Tahoma" w:cs="Tahoma"/>
      <w:bCs w:val="0"/>
      <w:sz w:val="16"/>
      <w:szCs w:val="16"/>
    </w:rPr>
  </w:style>
</w:styles>
</file>

<file path=word/webSettings.xml><?xml version="1.0" encoding="utf-8"?>
<w:webSettings xmlns:r="http://schemas.openxmlformats.org/officeDocument/2006/relationships" xmlns:w="http://schemas.openxmlformats.org/wordprocessingml/2006/main">
  <w:divs>
    <w:div w:id="194732395">
      <w:bodyDiv w:val="1"/>
      <w:marLeft w:val="0"/>
      <w:marRight w:val="0"/>
      <w:marTop w:val="0"/>
      <w:marBottom w:val="0"/>
      <w:divBdr>
        <w:top w:val="none" w:sz="0" w:space="0" w:color="auto"/>
        <w:left w:val="none" w:sz="0" w:space="0" w:color="auto"/>
        <w:bottom w:val="none" w:sz="0" w:space="0" w:color="auto"/>
        <w:right w:val="none" w:sz="0" w:space="0" w:color="auto"/>
      </w:divBdr>
    </w:div>
    <w:div w:id="1717661901">
      <w:bodyDiv w:val="1"/>
      <w:marLeft w:val="0"/>
      <w:marRight w:val="0"/>
      <w:marTop w:val="0"/>
      <w:marBottom w:val="0"/>
      <w:divBdr>
        <w:top w:val="none" w:sz="0" w:space="0" w:color="auto"/>
        <w:left w:val="none" w:sz="0" w:space="0" w:color="auto"/>
        <w:bottom w:val="none" w:sz="0" w:space="0" w:color="auto"/>
        <w:right w:val="none" w:sz="0" w:space="0" w:color="auto"/>
      </w:divBdr>
    </w:div>
    <w:div w:id="1761753089">
      <w:bodyDiv w:val="1"/>
      <w:marLeft w:val="0"/>
      <w:marRight w:val="0"/>
      <w:marTop w:val="0"/>
      <w:marBottom w:val="0"/>
      <w:divBdr>
        <w:top w:val="none" w:sz="0" w:space="0" w:color="auto"/>
        <w:left w:val="none" w:sz="0" w:space="0" w:color="auto"/>
        <w:bottom w:val="none" w:sz="0" w:space="0" w:color="auto"/>
        <w:right w:val="none" w:sz="0" w:space="0" w:color="auto"/>
      </w:divBdr>
    </w:div>
    <w:div w:id="18835956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FE501C7-E105-497D-B24C-544B6CDABE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25</Pages>
  <Words>7334</Words>
  <Characters>41806</Characters>
  <Application>Microsoft Office Word</Application>
  <DocSecurity>0</DocSecurity>
  <Lines>348</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49042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Lenovo</cp:lastModifiedBy>
  <cp:revision>2</cp:revision>
  <dcterms:created xsi:type="dcterms:W3CDTF">2025-11-20T23:43:00Z</dcterms:created>
  <dcterms:modified xsi:type="dcterms:W3CDTF">2025-11-20T23:43:00Z</dcterms:modified>
</cp:coreProperties>
</file>