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CB0282" w:rsidRDefault="00000000" w14:paraId="1A76E8D9" w14:textId="77777777">
      <w:pPr>
        <w:pStyle w:val="AssignmentTitle"/>
        <w:shd w:val="clear" w:color="auto" w:fill="17324D"/>
        <w:spacing w:before="520" w:after="160"/>
        <w:ind w:left="113" w:right="113"/>
      </w:pPr>
      <w:r>
        <w:rPr>
          <w:color w:val="FFFFFF"/>
          <w:sz w:val="20"/>
        </w:rPr>
        <w:t>LCHS4003  •  COMPONENT 1</w:t>
      </w:r>
    </w:p>
    <w:p w:rsidR="00CB0282" w:rsidRDefault="00000000" w14:paraId="5ECF8254" w14:textId="77777777">
      <w:pPr>
        <w:spacing w:before="360" w:after="40"/>
        <w:jc w:val="center"/>
      </w:pPr>
      <w:r>
        <w:rPr>
          <w:b/>
          <w:color w:val="17324D"/>
          <w:sz w:val="46"/>
        </w:rPr>
        <w:t>WRITTEN ASSIGNMENT</w:t>
      </w:r>
    </w:p>
    <w:p w:rsidR="00CB0282" w:rsidRDefault="00000000" w14:paraId="59C7C4E1" w14:textId="77777777">
      <w:pPr>
        <w:pBdr>
          <w:bottom w:val="single" w:color="D6A756" w:sz="8" w:space="5"/>
        </w:pBdr>
        <w:spacing w:before="80" w:after="280"/>
        <w:jc w:val="center"/>
      </w:pPr>
      <w:r>
        <w:rPr>
          <w:b/>
          <w:color w:val="1F6F78"/>
          <w:sz w:val="23"/>
        </w:rPr>
        <w:t>Coursework Portfolio  •  Health &amp; Social Care</w:t>
      </w:r>
    </w:p>
    <w:tbl>
      <w:tblPr>
        <w:tblW w:w="0" w:type="auto"/>
        <w:jc w:val="center"/>
        <w:tblBorders>
          <w:top w:val="single" w:color="DCE7EA" w:sz="6" w:space="0"/>
          <w:left w:val="single" w:color="DCE7EA" w:sz="6" w:space="0"/>
          <w:bottom w:val="single" w:color="DCE7EA" w:sz="6" w:space="0"/>
          <w:right w:val="single" w:color="DCE7EA" w:sz="6" w:space="0"/>
        </w:tblBorders>
        <w:tblLayout w:type="fixed"/>
        <w:tblLook w:val="04A0" w:firstRow="1" w:lastRow="0" w:firstColumn="1" w:lastColumn="0" w:noHBand="0" w:noVBand="1"/>
      </w:tblPr>
      <w:tblGrid>
        <w:gridCol w:w="4680"/>
        <w:gridCol w:w="4680"/>
      </w:tblGrid>
      <w:tr w:rsidR="00CB0282" w:rsidTr="0234C3BE" w14:paraId="50B28F28"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5FD8C8F3" w14:textId="77777777">
            <w:pPr>
              <w:spacing w:after="0" w:line="276" w:lineRule="auto"/>
            </w:pPr>
            <w:r>
              <w:rPr>
                <w:b/>
                <w:color w:val="1F6F78"/>
                <w:sz w:val="20"/>
              </w:rPr>
              <w:t>Student name:</w:t>
            </w:r>
          </w:p>
        </w:tc>
        <w:tc>
          <w:tcPr>
            <w:tcW w:w="4680" w:type="dxa"/>
            <w:shd w:val="clear" w:color="auto" w:fill="FFFFFF" w:themeFill="background1"/>
            <w:tcMar>
              <w:top w:w="110" w:type="dxa"/>
              <w:left w:w="160" w:type="dxa"/>
              <w:bottom w:w="110" w:type="dxa"/>
              <w:right w:w="160" w:type="dxa"/>
            </w:tcMar>
            <w:vAlign w:val="center"/>
          </w:tcPr>
          <w:p w:rsidR="00CB0282" w:rsidRDefault="00000000" w14:paraId="1AA1EA9F" w14:textId="77777777">
            <w:pPr>
              <w:spacing w:after="0" w:line="276" w:lineRule="auto"/>
            </w:pPr>
            <w:r>
              <w:rPr>
                <w:sz w:val="21"/>
              </w:rPr>
              <w:t>Fareen Akhtar</w:t>
            </w:r>
          </w:p>
        </w:tc>
      </w:tr>
      <w:tr w:rsidR="00CB0282" w:rsidTr="0234C3BE" w14:paraId="62B551CF"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6D2AD09D" w14:textId="77777777">
            <w:pPr>
              <w:spacing w:after="0" w:line="276" w:lineRule="auto"/>
            </w:pPr>
            <w:r>
              <w:rPr>
                <w:b/>
                <w:color w:val="1F6F78"/>
                <w:sz w:val="20"/>
              </w:rPr>
              <w:t>Student ID number:</w:t>
            </w:r>
          </w:p>
        </w:tc>
        <w:tc>
          <w:tcPr>
            <w:tcW w:w="4680" w:type="dxa"/>
            <w:shd w:val="clear" w:color="auto" w:fill="FAFCFD"/>
            <w:tcMar>
              <w:top w:w="110" w:type="dxa"/>
              <w:left w:w="160" w:type="dxa"/>
              <w:bottom w:w="110" w:type="dxa"/>
              <w:right w:w="160" w:type="dxa"/>
            </w:tcMar>
            <w:vAlign w:val="center"/>
          </w:tcPr>
          <w:p w:rsidR="00CB0282" w:rsidRDefault="00000000" w14:paraId="1E920422" w14:textId="77777777">
            <w:pPr>
              <w:spacing w:after="0" w:line="276" w:lineRule="auto"/>
            </w:pPr>
            <w:r>
              <w:rPr>
                <w:sz w:val="21"/>
              </w:rPr>
              <w:t>2533713</w:t>
            </w:r>
          </w:p>
        </w:tc>
      </w:tr>
      <w:tr w:rsidR="00CB0282" w:rsidTr="0234C3BE" w14:paraId="00DC4B69"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61105AA6" w14:textId="77777777">
            <w:pPr>
              <w:spacing w:after="0" w:line="276" w:lineRule="auto"/>
            </w:pPr>
            <w:r>
              <w:rPr>
                <w:b/>
                <w:color w:val="1F6F78"/>
                <w:sz w:val="20"/>
              </w:rPr>
              <w:t>Programme:</w:t>
            </w:r>
          </w:p>
        </w:tc>
        <w:tc>
          <w:tcPr>
            <w:tcW w:w="4680" w:type="dxa"/>
            <w:shd w:val="clear" w:color="auto" w:fill="FFFFFF" w:themeFill="background1"/>
            <w:tcMar>
              <w:top w:w="110" w:type="dxa"/>
              <w:left w:w="160" w:type="dxa"/>
              <w:bottom w:w="110" w:type="dxa"/>
              <w:right w:w="160" w:type="dxa"/>
            </w:tcMar>
            <w:vAlign w:val="center"/>
          </w:tcPr>
          <w:p w:rsidR="00CB0282" w:rsidRDefault="00000000" w14:paraId="4B727416" w14:textId="77777777">
            <w:pPr>
              <w:spacing w:after="0" w:line="276" w:lineRule="auto"/>
            </w:pPr>
            <w:r>
              <w:rPr>
                <w:sz w:val="21"/>
              </w:rPr>
              <w:t>Certificate of Higher Education Skills for the Workplace (Health &amp; Social Care)</w:t>
            </w:r>
          </w:p>
        </w:tc>
      </w:tr>
      <w:tr w:rsidR="00CB0282" w:rsidTr="0234C3BE" w14:paraId="0FFAB486"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1E459F56" w14:textId="77777777">
            <w:pPr>
              <w:spacing w:after="0" w:line="276" w:lineRule="auto"/>
            </w:pPr>
            <w:r>
              <w:rPr>
                <w:b/>
                <w:color w:val="1F6F78"/>
                <w:sz w:val="20"/>
              </w:rPr>
              <w:t>Module:</w:t>
            </w:r>
          </w:p>
        </w:tc>
        <w:tc>
          <w:tcPr>
            <w:tcW w:w="4680" w:type="dxa"/>
            <w:shd w:val="clear" w:color="auto" w:fill="FAFCFD"/>
            <w:tcMar>
              <w:top w:w="110" w:type="dxa"/>
              <w:left w:w="160" w:type="dxa"/>
              <w:bottom w:w="110" w:type="dxa"/>
              <w:right w:w="160" w:type="dxa"/>
            </w:tcMar>
            <w:vAlign w:val="center"/>
          </w:tcPr>
          <w:p w:rsidR="00CB0282" w:rsidRDefault="00000000" w14:paraId="6FFE75D1" w14:textId="77777777">
            <w:pPr>
              <w:spacing w:after="0" w:line="276" w:lineRule="auto"/>
            </w:pPr>
            <w:r>
              <w:rPr>
                <w:sz w:val="21"/>
              </w:rPr>
              <w:t>Introduction to Health and Social Care</w:t>
            </w:r>
          </w:p>
        </w:tc>
      </w:tr>
      <w:tr w:rsidR="00CB0282" w:rsidTr="0234C3BE" w14:paraId="4D5BC740"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1FEC2F9B" w14:textId="77777777">
            <w:pPr>
              <w:spacing w:after="0" w:line="276" w:lineRule="auto"/>
            </w:pPr>
            <w:r>
              <w:rPr>
                <w:b/>
                <w:color w:val="1F6F78"/>
                <w:sz w:val="20"/>
              </w:rPr>
              <w:t>Module code:</w:t>
            </w:r>
          </w:p>
        </w:tc>
        <w:tc>
          <w:tcPr>
            <w:tcW w:w="4680" w:type="dxa"/>
            <w:shd w:val="clear" w:color="auto" w:fill="FFFFFF" w:themeFill="background1"/>
            <w:tcMar>
              <w:top w:w="110" w:type="dxa"/>
              <w:left w:w="160" w:type="dxa"/>
              <w:bottom w:w="110" w:type="dxa"/>
              <w:right w:w="160" w:type="dxa"/>
            </w:tcMar>
            <w:vAlign w:val="center"/>
          </w:tcPr>
          <w:p w:rsidR="00CB0282" w:rsidRDefault="00000000" w14:paraId="42EB0641" w14:textId="77777777">
            <w:pPr>
              <w:spacing w:after="0" w:line="276" w:lineRule="auto"/>
            </w:pPr>
            <w:r>
              <w:rPr>
                <w:sz w:val="21"/>
              </w:rPr>
              <w:t>LCHS4003</w:t>
            </w:r>
          </w:p>
        </w:tc>
      </w:tr>
      <w:tr w:rsidR="00CB0282" w:rsidTr="0234C3BE" w14:paraId="08FE3BBC"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54F7C1B5" w14:textId="77777777">
            <w:pPr>
              <w:spacing w:after="0" w:line="276" w:lineRule="auto"/>
            </w:pPr>
            <w:r>
              <w:rPr>
                <w:b/>
                <w:color w:val="1F6F78"/>
                <w:sz w:val="20"/>
              </w:rPr>
              <w:t>Lecturer:</w:t>
            </w:r>
          </w:p>
        </w:tc>
        <w:tc>
          <w:tcPr>
            <w:tcW w:w="4680" w:type="dxa"/>
            <w:shd w:val="clear" w:color="auto" w:fill="FAFCFD"/>
            <w:tcMar>
              <w:top w:w="110" w:type="dxa"/>
              <w:left w:w="160" w:type="dxa"/>
              <w:bottom w:w="110" w:type="dxa"/>
              <w:right w:w="160" w:type="dxa"/>
            </w:tcMar>
            <w:vAlign w:val="center"/>
          </w:tcPr>
          <w:p w:rsidR="00CB0282" w:rsidRDefault="00000000" w14:paraId="3FCF2654" w14:textId="37341A96">
            <w:pPr>
              <w:spacing w:after="0" w:line="276" w:lineRule="auto"/>
            </w:pPr>
            <w:r w:rsidRPr="0234C3BE" w:rsidR="2B2B2082">
              <w:rPr>
                <w:sz w:val="21"/>
                <w:szCs w:val="21"/>
              </w:rPr>
              <w:t>Jane Ngarari</w:t>
            </w:r>
          </w:p>
        </w:tc>
      </w:tr>
      <w:tr w:rsidR="00CB0282" w:rsidTr="0234C3BE" w14:paraId="596D9448"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1C465F42" w14:textId="77777777">
            <w:pPr>
              <w:spacing w:after="0" w:line="276" w:lineRule="auto"/>
            </w:pPr>
            <w:r>
              <w:rPr>
                <w:b/>
                <w:color w:val="1F6F78"/>
                <w:sz w:val="20"/>
              </w:rPr>
              <w:t>Assessment:</w:t>
            </w:r>
          </w:p>
        </w:tc>
        <w:tc>
          <w:tcPr>
            <w:tcW w:w="4680" w:type="dxa"/>
            <w:shd w:val="clear" w:color="auto" w:fill="FFFFFF" w:themeFill="background1"/>
            <w:tcMar>
              <w:top w:w="110" w:type="dxa"/>
              <w:left w:w="160" w:type="dxa"/>
              <w:bottom w:w="110" w:type="dxa"/>
              <w:right w:w="160" w:type="dxa"/>
            </w:tcMar>
            <w:vAlign w:val="center"/>
          </w:tcPr>
          <w:p w:rsidR="00CB0282" w:rsidRDefault="00000000" w14:paraId="52C13726" w14:textId="77777777">
            <w:pPr>
              <w:spacing w:after="0" w:line="276" w:lineRule="auto"/>
            </w:pPr>
            <w:r>
              <w:rPr>
                <w:sz w:val="21"/>
              </w:rPr>
              <w:t>Component 1 – Coursework Portfolio</w:t>
            </w:r>
          </w:p>
        </w:tc>
      </w:tr>
      <w:tr w:rsidR="00CB0282" w:rsidTr="0234C3BE" w14:paraId="34C1C9BA"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5BDE6213" w14:textId="77777777">
            <w:pPr>
              <w:spacing w:after="0" w:line="276" w:lineRule="auto"/>
            </w:pPr>
            <w:r>
              <w:rPr>
                <w:b/>
                <w:color w:val="1F6F78"/>
                <w:sz w:val="20"/>
              </w:rPr>
              <w:t>Selected Task 1 service:</w:t>
            </w:r>
          </w:p>
        </w:tc>
        <w:tc>
          <w:tcPr>
            <w:tcW w:w="4680" w:type="dxa"/>
            <w:shd w:val="clear" w:color="auto" w:fill="FAFCFD"/>
            <w:tcMar>
              <w:top w:w="110" w:type="dxa"/>
              <w:left w:w="160" w:type="dxa"/>
              <w:bottom w:w="110" w:type="dxa"/>
              <w:right w:w="160" w:type="dxa"/>
            </w:tcMar>
            <w:vAlign w:val="center"/>
          </w:tcPr>
          <w:p w:rsidR="00CB0282" w:rsidRDefault="00000000" w14:paraId="7D655D86" w14:textId="77777777">
            <w:pPr>
              <w:spacing w:after="0" w:line="276" w:lineRule="auto"/>
            </w:pPr>
            <w:r>
              <w:rPr>
                <w:sz w:val="21"/>
              </w:rPr>
              <w:t>Community Mental Health Services</w:t>
            </w:r>
          </w:p>
        </w:tc>
      </w:tr>
      <w:tr w:rsidR="00CB0282" w:rsidTr="0234C3BE" w14:paraId="31F1AE41" w14:textId="77777777">
        <w:trPr>
          <w:jc w:val="center"/>
        </w:trPr>
        <w:tc>
          <w:tcPr>
            <w:tcW w:w="4680" w:type="dxa"/>
            <w:shd w:val="clear" w:color="auto" w:fill="EAF4F5"/>
            <w:tcMar>
              <w:top w:w="110" w:type="dxa"/>
              <w:left w:w="160" w:type="dxa"/>
              <w:bottom w:w="110" w:type="dxa"/>
              <w:right w:w="160" w:type="dxa"/>
            </w:tcMar>
            <w:vAlign w:val="center"/>
          </w:tcPr>
          <w:p w:rsidR="00CB0282" w:rsidRDefault="00000000" w14:paraId="0964BBB7" w14:textId="77777777">
            <w:pPr>
              <w:spacing w:after="0" w:line="276" w:lineRule="auto"/>
            </w:pPr>
            <w:r>
              <w:rPr>
                <w:b/>
                <w:color w:val="1F6F78"/>
                <w:sz w:val="20"/>
              </w:rPr>
              <w:t>Selected Task 2 service:</w:t>
            </w:r>
          </w:p>
        </w:tc>
        <w:tc>
          <w:tcPr>
            <w:tcW w:w="4680" w:type="dxa"/>
            <w:shd w:val="clear" w:color="auto" w:fill="FFFFFF" w:themeFill="background1"/>
            <w:tcMar>
              <w:top w:w="110" w:type="dxa"/>
              <w:left w:w="160" w:type="dxa"/>
              <w:bottom w:w="110" w:type="dxa"/>
              <w:right w:w="160" w:type="dxa"/>
            </w:tcMar>
            <w:vAlign w:val="center"/>
          </w:tcPr>
          <w:p w:rsidR="00CB0282" w:rsidRDefault="00000000" w14:paraId="78821878" w14:textId="77777777">
            <w:pPr>
              <w:spacing w:after="0" w:line="276" w:lineRule="auto"/>
            </w:pPr>
            <w:r>
              <w:rPr>
                <w:sz w:val="21"/>
              </w:rPr>
              <w:t>Community Antenatal Midwifery Services</w:t>
            </w:r>
          </w:p>
        </w:tc>
      </w:tr>
    </w:tbl>
    <w:p w:rsidR="00CB0282" w:rsidRDefault="00000000" w14:paraId="63CCA4FC" w14:textId="77777777">
      <w:pPr>
        <w:pStyle w:val="TaskHeading"/>
        <w:keepNext/>
        <w:pageBreakBefore/>
        <w:pBdr>
          <w:bottom w:val="single" w:color="D6A756" w:sz="12" w:space="0"/>
        </w:pBdr>
        <w:shd w:val="clear" w:color="auto" w:fill="17324D"/>
        <w:spacing w:before="200" w:after="240"/>
      </w:pPr>
      <w:r>
        <w:rPr>
          <w:color w:val="FFFFFF"/>
          <w:sz w:val="24"/>
        </w:rPr>
        <w:t>TASK 1: GUIDED SCENARIO RESPONSE – COMMUNITY MENTAL HEALTH SERVICES</w:t>
      </w:r>
    </w:p>
    <w:p w:rsidR="00CB0282" w:rsidRDefault="00000000" w14:paraId="3CE2379B" w14:textId="77777777">
      <w:pPr>
        <w:shd w:val="clear" w:color="auto" w:fill="F5F8FA"/>
        <w:spacing w:after="20"/>
        <w:ind w:left="68" w:right="68"/>
      </w:pPr>
      <w:r>
        <w:rPr>
          <w:b/>
          <w:color w:val="1F6F78"/>
          <w:sz w:val="21"/>
        </w:rPr>
        <w:t xml:space="preserve">To: </w:t>
      </w:r>
      <w:r>
        <w:rPr>
          <w:sz w:val="21"/>
        </w:rPr>
        <w:t>Councillor Nosheen Khalid, Cabinet Member for Health and Social Care, Birmingham City Council</w:t>
      </w:r>
    </w:p>
    <w:p w:rsidR="00CB0282" w:rsidRDefault="00000000" w14:paraId="4D7C09E7" w14:textId="77777777">
      <w:pPr>
        <w:shd w:val="clear" w:color="auto" w:fill="F5F8FA"/>
        <w:spacing w:after="20"/>
        <w:ind w:left="68" w:right="68"/>
      </w:pPr>
      <w:r>
        <w:rPr>
          <w:b/>
          <w:color w:val="1F6F78"/>
          <w:sz w:val="21"/>
        </w:rPr>
        <w:t xml:space="preserve">From: </w:t>
      </w:r>
      <w:r>
        <w:rPr>
          <w:sz w:val="21"/>
        </w:rPr>
        <w:t>Fareen Akhtar (Student ID: 2533713)</w:t>
      </w:r>
    </w:p>
    <w:p w:rsidR="00CB0282" w:rsidRDefault="00000000" w14:paraId="2A94BF88" w14:textId="77777777">
      <w:pPr>
        <w:shd w:val="clear" w:color="auto" w:fill="F5F8FA"/>
        <w:spacing w:after="20"/>
        <w:ind w:left="68" w:right="68"/>
      </w:pPr>
      <w:r>
        <w:rPr>
          <w:b/>
          <w:color w:val="1F6F78"/>
          <w:sz w:val="21"/>
        </w:rPr>
        <w:t xml:space="preserve">Date: </w:t>
      </w:r>
      <w:r>
        <w:rPr>
          <w:sz w:val="21"/>
        </w:rPr>
        <w:t>7 October 2026</w:t>
      </w:r>
    </w:p>
    <w:p w:rsidR="00CB0282" w:rsidRDefault="00000000" w14:paraId="27848B5D" w14:textId="77777777">
      <w:pPr>
        <w:shd w:val="clear" w:color="auto" w:fill="F5F8FA"/>
        <w:spacing w:after="20"/>
        <w:ind w:left="68" w:right="68"/>
      </w:pPr>
      <w:r>
        <w:rPr>
          <w:b/>
          <w:color w:val="1F6F78"/>
          <w:sz w:val="21"/>
        </w:rPr>
        <w:t xml:space="preserve">Subject: </w:t>
      </w:r>
      <w:r>
        <w:rPr>
          <w:sz w:val="21"/>
        </w:rPr>
        <w:t>Proposal to address the shortage of community mental health services in Birmingham</w:t>
      </w:r>
    </w:p>
    <w:p w:rsidR="00CB0282" w:rsidRDefault="00000000" w14:paraId="22E34927" w14:textId="77777777">
      <w:pPr>
        <w:pStyle w:val="SectionHeading"/>
        <w:keepNext/>
        <w:pBdr>
          <w:left w:val="single" w:color="2A8892" w:sz="20" w:space="4"/>
        </w:pBdr>
        <w:spacing w:before="200" w:after="80"/>
        <w:ind w:left="85"/>
      </w:pPr>
      <w:r>
        <w:rPr>
          <w:color w:val="17324D"/>
          <w:sz w:val="23"/>
        </w:rPr>
        <w:t>Introduction of the issue</w:t>
      </w:r>
    </w:p>
    <w:p w:rsidR="00CB0282" w:rsidRDefault="00000000" w14:paraId="047A12E5" w14:textId="77777777">
      <w:pPr>
        <w:spacing w:after="140"/>
        <w:jc w:val="both"/>
      </w:pPr>
      <w:r>
        <w:t>As Birmingham City Council’s Cabinet Member for Health and Social Care, your portfolio includes strategic leadership of adult social care and partnership working with the NHS (Birmingham City Council, 2026). Birmingham needs sufficient community mental health provision so that adults can receive timely assessment, treatment and social support without their needs escalating into crisis. Local evidence shows that access remains under pressure. Healthwatch Birmingham found that 49% of people who contributed to its 2024 investigation rated NHS community mental health services as poor or very poor; 22% reported waiting three to six months for a first appointment, 46% said they could not contact the service when they needed help and 59% did not have a care plan (Healthwatch Birmingham, 2024). Birmingham and Solihull Mental Health NHS Foundation Trust (BSMHFT) also reported 1,087 people waiting for a first Community Mental Health Team appointment in December 2024, although this had improved from 1,223 in June 2024 (BSMHFT, 2025a). These figures indicate that current capacity is not consistently matching demand.</w:t>
      </w:r>
    </w:p>
    <w:p w:rsidR="00CB0282" w:rsidRDefault="00000000" w14:paraId="5A3397BB" w14:textId="77777777">
      <w:pPr>
        <w:spacing w:after="140"/>
        <w:jc w:val="both"/>
      </w:pPr>
      <w:r>
        <w:t>The Care Act 2014 provides a clear basis for local action. Section 1 requires local authorities to promote individual wellbeing, including mental health, emotional wellbeing, personal relationships, participation and control over day-to-day life. Section 2 requires prevention or delay of care and support needs, while section 3 requires integration between care and support and health services where this improves wellbeing, prevention or outcomes. Section 5 also requires authorities to understand current and future demand and promote a diverse, sustainable market of high-quality services, and section 6 places duties on local authorities and relevant partners to cooperate (Great Britain, 2014).</w:t>
      </w:r>
    </w:p>
    <w:p w:rsidR="00CB0282" w:rsidRDefault="00000000" w14:paraId="0850D826" w14:textId="77777777">
      <w:pPr>
        <w:pStyle w:val="SectionHeading"/>
        <w:keepNext/>
        <w:pBdr>
          <w:left w:val="single" w:color="2A8892" w:sz="20" w:space="4"/>
        </w:pBdr>
        <w:spacing w:before="200" w:after="80"/>
        <w:ind w:left="85"/>
      </w:pPr>
      <w:r>
        <w:rPr>
          <w:color w:val="17324D"/>
          <w:sz w:val="23"/>
        </w:rPr>
        <w:t>Impact of the issue on the community</w:t>
      </w:r>
    </w:p>
    <w:p w:rsidR="00CB0282" w:rsidRDefault="00000000" w14:paraId="2080DCE8" w14:textId="77777777">
      <w:pPr>
        <w:spacing w:after="140"/>
        <w:jc w:val="both"/>
      </w:pPr>
      <w:r>
        <w:t xml:space="preserve">Insufficient community provision affects more than access to appointments. Long waits can allow symptoms to worsen, increase pressure on family carers and make it harder for people to </w:t>
      </w:r>
      <w:r>
        <w:t>maintain employment, education, housing and relationships. Poor continuity and difficulty contacting teams may also reduce trust and make people less likely to seek help early. This conflicts with the Care Act’s preventative approach and its broad concept of wellbeing. It can also shift demand towards crisis lines, emergency departments and inpatient services, which are more intensive and costly than timely community support. The impact is likely to be greatest for people with complex needs, language barriers, poverty, unstable housing or limited informal support.</w:t>
      </w:r>
    </w:p>
    <w:p w:rsidR="00CB0282" w:rsidRDefault="00000000" w14:paraId="0AA7857A" w14:textId="77777777">
      <w:pPr>
        <w:pStyle w:val="SectionHeading"/>
        <w:keepNext/>
        <w:pBdr>
          <w:left w:val="single" w:color="2A8892" w:sz="20" w:space="4"/>
        </w:pBdr>
        <w:spacing w:before="200" w:after="80"/>
        <w:ind w:left="85"/>
      </w:pPr>
      <w:r>
        <w:rPr>
          <w:color w:val="17324D"/>
          <w:sz w:val="23"/>
        </w:rPr>
        <w:t>Recommended response</w:t>
      </w:r>
    </w:p>
    <w:p w:rsidR="00CB0282" w:rsidRDefault="00000000" w14:paraId="57B860F3" w14:textId="77777777">
      <w:pPr>
        <w:spacing w:after="140"/>
        <w:jc w:val="both"/>
      </w:pPr>
      <w:r>
        <w:t>I recommend that Birmingham City Council establish a joint community mental health capacity plan with BSMHFT, Birmingham and Solihull Integrated Care Board, primary care and voluntary, community, faith and social enterprise organisations. First, the partners should use the Joint Strategic Needs Assessment and service waiting-list data to map unmet need by neighbourhood, protected characteristic and deprivation level, then publish measurable improvement targets. This would support evidence-based commissioning and the Care Act section 5 duty to anticipate demand.</w:t>
      </w:r>
    </w:p>
    <w:p w:rsidR="00CB0282" w:rsidRDefault="00000000" w14:paraId="576C3CFE" w14:textId="77777777">
      <w:pPr>
        <w:spacing w:after="140"/>
        <w:jc w:val="both"/>
      </w:pPr>
      <w:r>
        <w:t>Second, additional capacity should be commissioned in multidisciplinary neighbourhood teams, including community psychiatric nurses, psychologists, occupational therapists, social workers, peer-support workers and culturally competent voluntary-sector services. BSMHFT’s Community Mental Health and Wellbeing Service already brings NHS and community support into selected GP practices and addresses factors such as housing, work, money, relationships and addiction; expanding this model would improve access and integration (BSMHFT, 2025b). Recruitment should be supported by retention measures, protected supervision, training and realistic caseloads. Resources should be targeted towards neighbourhoods with the highest unmet need so that expansion reduces, rather than reproduces, inequalities in access.</w:t>
      </w:r>
    </w:p>
    <w:p w:rsidR="00CB0282" w:rsidRDefault="00000000" w14:paraId="6E6CB9A2" w14:textId="77777777">
      <w:pPr>
        <w:spacing w:after="140"/>
        <w:jc w:val="both"/>
      </w:pPr>
      <w:r>
        <w:t>Third, residents waiting for specialist treatment should receive an interim support offer rather than simply remaining on a list. This should include a named contact, clear care plan, regular review, self-management information, social prescribing, carer support and rapid escalation if risk increases. Evening, weekend, telephone and face-to-face options should be available, with interpreting and accessible information. These actions reflect sections 1 to 3 of the Care Act by promoting choice, prevention and coordinated care.</w:t>
      </w:r>
    </w:p>
    <w:p w:rsidR="00CB0282" w:rsidRDefault="00000000" w14:paraId="5C1A6221" w14:textId="77777777">
      <w:pPr>
        <w:spacing w:after="140"/>
        <w:jc w:val="both"/>
      </w:pPr>
      <w:r>
        <w:t>Finally, the Council should monitor outcomes quarterly, including first-appointment waits, numbers waiting over agreed thresholds, ability to contact teams, care-plan completion, service-</w:t>
      </w:r>
      <w:r>
        <w:t>user experience and avoidable crisis attendance. Commissioning decisions should be revised where outcomes remain poor.</w:t>
      </w:r>
    </w:p>
    <w:p w:rsidR="00CB0282" w:rsidRDefault="00000000" w14:paraId="7B336393" w14:textId="77777777">
      <w:pPr>
        <w:pStyle w:val="SectionHeading"/>
        <w:keepNext/>
        <w:pBdr>
          <w:left w:val="single" w:color="2A8892" w:sz="20" w:space="4"/>
        </w:pBdr>
        <w:spacing w:before="200" w:after="80"/>
        <w:ind w:left="85"/>
      </w:pPr>
      <w:r>
        <w:rPr>
          <w:color w:val="17324D"/>
          <w:sz w:val="23"/>
        </w:rPr>
        <w:t>Conclusion</w:t>
      </w:r>
    </w:p>
    <w:p w:rsidR="00CB0282" w:rsidRDefault="00000000" w14:paraId="7D800B90" w14:textId="77777777">
      <w:pPr>
        <w:spacing w:after="140"/>
        <w:jc w:val="both"/>
      </w:pPr>
      <w:r>
        <w:t>The shortage of community mental health support in Birmingham is a wellbeing, prevention and partnership issue, not only an NHS waiting-list problem. By expanding neighbourhood capacity, supporting people while they wait and jointly monitoring access and outcomes, Birmingham City Council can meet the Care Act 2014 principles more effectively and reduce the risk that unmet needs become crises.</w:t>
      </w:r>
    </w:p>
    <w:p w:rsidR="00CB0282" w:rsidRDefault="00000000" w14:paraId="34489B9C" w14:textId="77777777">
      <w:r>
        <w:br w:type="page"/>
      </w:r>
    </w:p>
    <w:p w:rsidR="00CB0282" w:rsidRDefault="00000000" w14:paraId="608672BB" w14:textId="77777777">
      <w:pPr>
        <w:pStyle w:val="TaskHeading"/>
        <w:keepNext/>
        <w:pageBreakBefore/>
        <w:pBdr>
          <w:bottom w:val="single" w:color="D6A756" w:sz="12" w:space="0"/>
        </w:pBdr>
        <w:shd w:val="clear" w:color="auto" w:fill="17324D"/>
        <w:spacing w:before="200" w:after="240"/>
      </w:pPr>
      <w:r>
        <w:rPr>
          <w:color w:val="FFFFFF"/>
          <w:sz w:val="24"/>
        </w:rPr>
        <w:t>TASK 2: ESSAY – COMMUNITY ANTENATAL MIDWIFERY SERVICES</w:t>
      </w:r>
    </w:p>
    <w:p w:rsidR="00CB0282" w:rsidRDefault="00000000" w14:paraId="20EC5F94" w14:textId="77777777">
      <w:pPr>
        <w:spacing w:after="140"/>
        <w:jc w:val="both"/>
      </w:pPr>
      <w:r>
        <w:t>Community antenatal midwifery services provide pregnancy care close to where women live, often through GP practices, health centres, community hubs and home visits. Their modern role combines clinical surveillance with health promotion, emotional support, safeguarding and coordination with obstetric and specialist services. The service has developed from a long history of community-based birth care into a regulated part of the NHS.</w:t>
      </w:r>
    </w:p>
    <w:p w:rsidR="00CB0282" w:rsidRDefault="00000000" w14:paraId="271B7CF8" w14:textId="77777777">
      <w:pPr>
        <w:spacing w:after="140"/>
        <w:jc w:val="both"/>
      </w:pPr>
      <w:r>
        <w:t>The professional foundations of modern midwifery in England and Wales were strengthened by the Midwives Act 1902. The Act aimed to improve training and regulate practice, introduced certification and established formal supervision through the Central Midwives Board and local supervising authorities (Great Britain, 1902). This was important because childbirth care had previously varied greatly in training, standards and local organisation. A further major change came with the National Health Service Act 1946. Section 23 required local health authorities to secure enough certified midwives for women in their areas, including attendance in the home, and the NHS began in 1948 as a comprehensive service free at the point of use (Great Britain, 1946). During the following decades, maternity care became increasingly hospital-centred, while community midwives retained a key role in antenatal and postnatal care. Research on the period 1948–1974 shows that service reorganisation and local differences strongly shaped women’s experiences of maternity care (Davis, 2011). Today, regulation is led by the Nursing and Midwifery Council (NMC), whose standards describe the midwife as an accountable and autonomous professional responsible for safe, effective and person-centred care (NMC, 2019).</w:t>
      </w:r>
    </w:p>
    <w:p w:rsidR="00CB0282" w:rsidRDefault="00000000" w14:paraId="64960584" w14:textId="77777777">
      <w:pPr>
        <w:spacing w:after="140"/>
        <w:jc w:val="both"/>
      </w:pPr>
      <w:r>
        <w:t>In current practice, community antenatal care begins early in pregnancy. NICE recommends that the first booking appointment takes place by 10 weeks, with 10 routine antenatal appointments planned for a first pregnancy and seven for women who have previously given birth, with extra or longer appointments according to medical, social and emotional need (NICE, 2021). Community midwives take histories, assess risk, measure maternal and fetal wellbeing, arrange screening and blood tests, provide information about nutrition, medicines, smoking, alcohol and immunisation, discuss mental health and safeguarding, and refer to obstetricians, GPs, perinatal mental health teams or social care when necessary (NICE, 2021; NMC, 2019). This means the service is not simply a series of physical checks: it is a point of entry into wider maternity and family support.</w:t>
      </w:r>
    </w:p>
    <w:p w:rsidR="00CB0282" w:rsidRDefault="00000000" w14:paraId="6A5E8778" w14:textId="77777777">
      <w:pPr>
        <w:spacing w:after="140"/>
        <w:jc w:val="both"/>
      </w:pPr>
      <w:r>
        <w:t xml:space="preserve">A major strength is continuity and accessibility. Regular contact with a known midwife or small team can help women build trust, ask sensitive questions and participate in decisions. A 2024 Cochrane review found that midwife continuity models were associated with fewer caesarean </w:t>
      </w:r>
      <w:r>
        <w:t>and instrumental births, more spontaneous vaginal births, more positive experiences and some cost savings, although evidence was less certain for several rare outcomes and high-risk groups were under-represented (Sandall et al., 2024). This supports continuity as a valuable model but also shows that it should not be treated as a universal solution without adequate specialist backup.</w:t>
      </w:r>
    </w:p>
    <w:p w:rsidR="00CB0282" w:rsidRDefault="00000000" w14:paraId="478003B9" w14:textId="77777777">
      <w:pPr>
        <w:spacing w:after="140"/>
        <w:jc w:val="both"/>
      </w:pPr>
      <w:r>
        <w:t>Current performance is mixed. The Care Quality Commission’s 2025 maternity survey found that 89% of respondents said antenatal staff always spoke in a way they could understand, 81% said they were always given enough time to ask questions and 90% had been offered mental health support during pregnancy (CQC, 2025). However, inequalities remain. NICE implementation data show substantial variation in early booking between areas and population groups, while the CQC also found poorer experiences among some deprived and lower-continuity groups (NICE, 2021; CQC, 2025). Workforce pressure can make continuity and timely appointments difficult; the Royal College of Midwives has continued to warn of understaffing and recruitment restrictions in maternity services (RCM, 2025). Therefore, the quality of community care depends not only on professional standards but also on staffing, time, communication, interpreting support and effective referral pathways.</w:t>
      </w:r>
    </w:p>
    <w:p w:rsidR="00CB0282" w:rsidRDefault="00000000" w14:paraId="151BB716" w14:textId="77777777">
      <w:pPr>
        <w:spacing w:after="140"/>
        <w:jc w:val="both"/>
      </w:pPr>
      <w:r>
        <w:t>Community antenatal midwifery improves quality of life by identifying complications early while also supporting confidence, autonomy and emotional wellbeing. Advice and screening can reduce avoidable risks, while discussion of mental health, domestic abuse, housing, finances or social isolation can connect women with help before problems escalate. Care delivered locally may reduce travel burdens and make appointments easier to attend. For women with complex needs, a trusted midwife can provide continuity across otherwise fragmented services.</w:t>
      </w:r>
    </w:p>
    <w:p w:rsidR="00CB0282" w:rsidRDefault="00000000" w14:paraId="634B8987" w14:textId="77777777">
      <w:pPr>
        <w:spacing w:after="140"/>
        <w:jc w:val="both"/>
      </w:pPr>
      <w:r>
        <w:t>In conclusion, community antenatal midwifery has developed from locally organised and inconsistently regulated practice into a regulated NHS service with a strong preventive and coordinating role. Its value lies in combining clinical safety with relationship-based support. However, staffing pressures and unequal access can limit these benefits. Maintaining sufficient workforce capacity, early access, continuity and culturally responsive care is therefore essential if the service is to improve both pregnancy outcomes and the everyday quality of life of women and families.</w:t>
      </w:r>
    </w:p>
    <w:p w:rsidR="00CB0282" w:rsidRDefault="00000000" w14:paraId="63E7E545" w14:textId="77777777">
      <w:r>
        <w:br w:type="page"/>
      </w:r>
    </w:p>
    <w:p w:rsidR="00CB0282" w:rsidRDefault="00000000" w14:paraId="5253711D" w14:textId="77777777">
      <w:pPr>
        <w:pStyle w:val="TaskHeading"/>
        <w:keepNext/>
        <w:pageBreakBefore/>
        <w:pBdr>
          <w:bottom w:val="single" w:color="D6A756" w:sz="12" w:space="0"/>
        </w:pBdr>
        <w:shd w:val="clear" w:color="auto" w:fill="17324D"/>
        <w:spacing w:before="200" w:after="240"/>
      </w:pPr>
      <w:r>
        <w:rPr>
          <w:color w:val="FFFFFF"/>
          <w:sz w:val="24"/>
        </w:rPr>
        <w:t>REFERENCE LIST</w:t>
      </w:r>
    </w:p>
    <w:p w:rsidR="00CB0282" w:rsidRDefault="00000000" w14:paraId="662758B3" w14:textId="38453FFD">
      <w:pPr>
        <w:spacing w:after="140"/>
        <w:ind w:left="567" w:hanging="567"/>
      </w:pPr>
      <w:r>
        <w:rPr>
          <w:sz w:val="20"/>
        </w:rPr>
        <w:t xml:space="preserve">Birmingham City Council (2026) </w:t>
      </w:r>
      <w:r>
        <w:rPr>
          <w:i/>
          <w:sz w:val="20"/>
        </w:rPr>
        <w:t>Councillor Nosheen Khalid</w:t>
      </w:r>
      <w:r>
        <w:rPr>
          <w:sz w:val="20"/>
        </w:rPr>
        <w:t xml:space="preserve">. Available at: </w:t>
      </w:r>
      <w:hyperlink w:history="1" r:id="rId8">
        <w:r w:rsidRPr="000E5A17" w:rsidR="00CC558C">
          <w:rPr>
            <w:rStyle w:val="Hyperlink"/>
            <w:sz w:val="20"/>
          </w:rPr>
          <w:t>https://www.birmingham.gov.uk/councillors/61/</w:t>
        </w:r>
      </w:hyperlink>
      <w:r w:rsidR="00CC558C">
        <w:rPr>
          <w:sz w:val="20"/>
        </w:rPr>
        <w:t xml:space="preserve"> </w:t>
      </w:r>
      <w:r>
        <w:rPr>
          <w:sz w:val="20"/>
        </w:rPr>
        <w:t xml:space="preserve"> </w:t>
      </w:r>
    </w:p>
    <w:p w:rsidR="00CB0282" w:rsidRDefault="00000000" w14:paraId="0E82ABD7" w14:textId="7A781355">
      <w:pPr>
        <w:spacing w:after="140"/>
        <w:ind w:left="567" w:hanging="567"/>
      </w:pPr>
      <w:r>
        <w:rPr>
          <w:sz w:val="20"/>
        </w:rPr>
        <w:t xml:space="preserve">Birmingham and Solihull Mental Health NHS Foundation Trust (2025a) </w:t>
      </w:r>
      <w:r>
        <w:rPr>
          <w:i/>
          <w:sz w:val="20"/>
        </w:rPr>
        <w:t>Board of Directors Public Meeting, 2 April 2025</w:t>
      </w:r>
      <w:r>
        <w:rPr>
          <w:sz w:val="20"/>
        </w:rPr>
        <w:t xml:space="preserve">. Available at: </w:t>
      </w:r>
      <w:hyperlink w:history="1" r:id="rId9">
        <w:r w:rsidRPr="000E5A17" w:rsidR="00CC558C">
          <w:rPr>
            <w:rStyle w:val="Hyperlink"/>
            <w:sz w:val="20"/>
          </w:rPr>
          <w:t>https://www.bsmhft.nhs.uk/wp-content/uploads/2025/04/Board-of-Directors-Public-Meeting-2-April-2025.pdf</w:t>
        </w:r>
      </w:hyperlink>
      <w:r w:rsidR="00CC558C">
        <w:rPr>
          <w:sz w:val="20"/>
        </w:rPr>
        <w:t xml:space="preserve"> </w:t>
      </w:r>
      <w:r>
        <w:rPr>
          <w:sz w:val="20"/>
        </w:rPr>
        <w:t xml:space="preserve"> </w:t>
      </w:r>
      <w:r w:rsidR="00CC558C">
        <w:rPr>
          <w:sz w:val="20"/>
        </w:rPr>
        <w:t xml:space="preserve"> </w:t>
      </w:r>
    </w:p>
    <w:p w:rsidR="00CB0282" w:rsidRDefault="00000000" w14:paraId="4606FE4B" w14:textId="584EEA2B">
      <w:pPr>
        <w:spacing w:after="140"/>
        <w:ind w:left="567" w:hanging="567"/>
      </w:pPr>
      <w:r>
        <w:rPr>
          <w:sz w:val="20"/>
        </w:rPr>
        <w:t xml:space="preserve">Birmingham and Solihull Mental Health NHS Foundation Trust (2025b) </w:t>
      </w:r>
      <w:r>
        <w:rPr>
          <w:i/>
          <w:sz w:val="20"/>
        </w:rPr>
        <w:t>Community Mental Health and Wellbeing Service</w:t>
      </w:r>
      <w:r>
        <w:rPr>
          <w:sz w:val="20"/>
        </w:rPr>
        <w:t xml:space="preserve">. Available at: </w:t>
      </w:r>
      <w:hyperlink w:history="1" r:id="rId10">
        <w:r w:rsidRPr="000E5A17" w:rsidR="00CC558C">
          <w:rPr>
            <w:rStyle w:val="Hyperlink"/>
            <w:sz w:val="20"/>
          </w:rPr>
          <w:t>https://www.bsmhft.nhs.uk/our-services/birmingham-and-solihull-community-mental-health-and-wellbeing-service/</w:t>
        </w:r>
      </w:hyperlink>
      <w:r w:rsidR="00CC558C">
        <w:rPr>
          <w:sz w:val="20"/>
        </w:rPr>
        <w:t xml:space="preserve"> </w:t>
      </w:r>
      <w:r>
        <w:rPr>
          <w:sz w:val="20"/>
        </w:rPr>
        <w:t xml:space="preserve"> </w:t>
      </w:r>
    </w:p>
    <w:p w:rsidR="00CB0282" w:rsidRDefault="00000000" w14:paraId="15565D03" w14:textId="3A86F7BE">
      <w:pPr>
        <w:spacing w:after="140"/>
        <w:ind w:left="567" w:hanging="567"/>
      </w:pPr>
      <w:r>
        <w:rPr>
          <w:sz w:val="20"/>
        </w:rPr>
        <w:t xml:space="preserve">Care Quality Commission (2025) </w:t>
      </w:r>
      <w:r>
        <w:rPr>
          <w:i/>
          <w:sz w:val="20"/>
        </w:rPr>
        <w:t>Maternity survey 2025</w:t>
      </w:r>
      <w:r>
        <w:rPr>
          <w:sz w:val="20"/>
        </w:rPr>
        <w:t xml:space="preserve">. Available at: </w:t>
      </w:r>
      <w:hyperlink w:history="1" r:id="rId11">
        <w:r w:rsidRPr="000E5A17" w:rsidR="00CC558C">
          <w:rPr>
            <w:rStyle w:val="Hyperlink"/>
            <w:sz w:val="20"/>
          </w:rPr>
          <w:t>https://www.cqc.org.uk/publications/surveys/maternity-survey</w:t>
        </w:r>
      </w:hyperlink>
      <w:r w:rsidR="00CC558C">
        <w:rPr>
          <w:sz w:val="20"/>
        </w:rPr>
        <w:t xml:space="preserve">  </w:t>
      </w:r>
      <w:r>
        <w:rPr>
          <w:sz w:val="20"/>
        </w:rPr>
        <w:t xml:space="preserve"> </w:t>
      </w:r>
    </w:p>
    <w:p w:rsidR="00CB0282" w:rsidRDefault="00000000" w14:paraId="2D3B06CB" w14:textId="03D8D704">
      <w:pPr>
        <w:spacing w:after="140"/>
        <w:ind w:left="567" w:hanging="567"/>
      </w:pPr>
      <w:r>
        <w:rPr>
          <w:sz w:val="20"/>
        </w:rPr>
        <w:t>Davis, A. (</w:t>
      </w:r>
      <w:proofErr w:type="gramStart"/>
      <w:r>
        <w:rPr>
          <w:sz w:val="20"/>
        </w:rPr>
        <w:t xml:space="preserve">2011) </w:t>
      </w:r>
      <w:r>
        <w:rPr>
          <w:i/>
          <w:sz w:val="20"/>
        </w:rPr>
        <w:t>‘</w:t>
      </w:r>
      <w:proofErr w:type="gramEnd"/>
      <w:r>
        <w:rPr>
          <w:i/>
          <w:sz w:val="20"/>
        </w:rPr>
        <w:t>A Revolution in Maternity Care? Women and the Maternity Services, Oxfordshire c. 1948–1974’</w:t>
      </w:r>
      <w:r>
        <w:rPr>
          <w:sz w:val="20"/>
        </w:rPr>
        <w:t xml:space="preserve">, Social History of Medicine, 24(2), pp. 389–406. Available at: </w:t>
      </w:r>
      <w:hyperlink w:history="1" r:id="rId12">
        <w:r w:rsidRPr="000E5A17" w:rsidR="00CC558C">
          <w:rPr>
            <w:rStyle w:val="Hyperlink"/>
            <w:sz w:val="20"/>
          </w:rPr>
          <w:t>https://doi.org/10.1093/shm/hkq092</w:t>
        </w:r>
      </w:hyperlink>
      <w:r w:rsidR="00CC558C">
        <w:rPr>
          <w:sz w:val="20"/>
        </w:rPr>
        <w:t xml:space="preserve"> </w:t>
      </w:r>
      <w:r>
        <w:rPr>
          <w:sz w:val="20"/>
        </w:rPr>
        <w:t xml:space="preserve"> </w:t>
      </w:r>
      <w:r w:rsidR="00CC558C">
        <w:rPr>
          <w:sz w:val="20"/>
        </w:rPr>
        <w:t xml:space="preserve"> </w:t>
      </w:r>
    </w:p>
    <w:p w:rsidR="00CB0282" w:rsidRDefault="00000000" w14:paraId="4C807742" w14:textId="55DD530F">
      <w:pPr>
        <w:spacing w:after="140"/>
        <w:ind w:left="567" w:hanging="567"/>
      </w:pPr>
      <w:r>
        <w:rPr>
          <w:sz w:val="20"/>
        </w:rPr>
        <w:t xml:space="preserve">Great Britain (1902) </w:t>
      </w:r>
      <w:r>
        <w:rPr>
          <w:i/>
          <w:sz w:val="20"/>
        </w:rPr>
        <w:t>Midwives Act 1902</w:t>
      </w:r>
      <w:r>
        <w:rPr>
          <w:sz w:val="20"/>
        </w:rPr>
        <w:t xml:space="preserve">, 2 Edw. 7 c.17. Available at: </w:t>
      </w:r>
      <w:hyperlink w:history="1" r:id="rId13">
        <w:r w:rsidRPr="000E5A17" w:rsidR="00CC558C">
          <w:rPr>
            <w:rStyle w:val="Hyperlink"/>
            <w:sz w:val="20"/>
          </w:rPr>
          <w:t>https://www.legislation.gov.uk/ukpga/Edw7/2/17/contents/enacted</w:t>
        </w:r>
      </w:hyperlink>
      <w:r w:rsidR="00CC558C">
        <w:rPr>
          <w:sz w:val="20"/>
        </w:rPr>
        <w:t xml:space="preserve"> </w:t>
      </w:r>
      <w:r>
        <w:rPr>
          <w:sz w:val="20"/>
        </w:rPr>
        <w:t xml:space="preserve"> </w:t>
      </w:r>
    </w:p>
    <w:p w:rsidR="00CB0282" w:rsidRDefault="00000000" w14:paraId="776BECD3" w14:textId="017A3C24">
      <w:pPr>
        <w:spacing w:after="140"/>
        <w:ind w:left="567" w:hanging="567"/>
      </w:pPr>
      <w:r>
        <w:rPr>
          <w:sz w:val="20"/>
        </w:rPr>
        <w:t xml:space="preserve">Great Britain (1946) </w:t>
      </w:r>
      <w:r>
        <w:rPr>
          <w:i/>
          <w:sz w:val="20"/>
        </w:rPr>
        <w:t>National Health Service Act 1946</w:t>
      </w:r>
      <w:r>
        <w:rPr>
          <w:sz w:val="20"/>
        </w:rPr>
        <w:t xml:space="preserve">, 9 &amp; 10 Geo. 6 c.81. Available at: </w:t>
      </w:r>
      <w:hyperlink w:history="1" r:id="rId14">
        <w:r w:rsidRPr="000E5A17" w:rsidR="00CC558C">
          <w:rPr>
            <w:rStyle w:val="Hyperlink"/>
            <w:sz w:val="20"/>
          </w:rPr>
          <w:t>https://www.legislation.gov.uk/ukpga/1946/81/contents/enacted</w:t>
        </w:r>
      </w:hyperlink>
      <w:r w:rsidR="00CC558C">
        <w:rPr>
          <w:sz w:val="20"/>
        </w:rPr>
        <w:t xml:space="preserve"> </w:t>
      </w:r>
      <w:r>
        <w:rPr>
          <w:sz w:val="20"/>
        </w:rPr>
        <w:t xml:space="preserve"> </w:t>
      </w:r>
    </w:p>
    <w:p w:rsidR="00CB0282" w:rsidRDefault="00000000" w14:paraId="0269504B" w14:textId="44E4B201">
      <w:pPr>
        <w:spacing w:after="140"/>
        <w:ind w:left="567" w:hanging="567"/>
      </w:pPr>
      <w:r>
        <w:rPr>
          <w:sz w:val="20"/>
        </w:rPr>
        <w:t xml:space="preserve">Great Britain (2014) </w:t>
      </w:r>
      <w:r>
        <w:rPr>
          <w:i/>
          <w:sz w:val="20"/>
        </w:rPr>
        <w:t>Care Act 2014</w:t>
      </w:r>
      <w:r>
        <w:rPr>
          <w:sz w:val="20"/>
        </w:rPr>
        <w:t xml:space="preserve">, c.23. Available at: https://www.legislation.gov.uk/ukpga/2014/23/part/1 </w:t>
      </w:r>
    </w:p>
    <w:p w:rsidR="00CB0282" w:rsidRDefault="00000000" w14:paraId="1D3A079E" w14:textId="23E1C0DA">
      <w:pPr>
        <w:spacing w:after="140"/>
        <w:ind w:left="567" w:hanging="567"/>
      </w:pPr>
      <w:r>
        <w:rPr>
          <w:sz w:val="20"/>
        </w:rPr>
        <w:t xml:space="preserve">Healthwatch Birmingham (2024) </w:t>
      </w:r>
      <w:r>
        <w:rPr>
          <w:i/>
          <w:sz w:val="20"/>
        </w:rPr>
        <w:t>Experiences of NHS Community mental health services in South and East Birmingham</w:t>
      </w:r>
      <w:r>
        <w:rPr>
          <w:sz w:val="20"/>
        </w:rPr>
        <w:t xml:space="preserve">. Available at: </w:t>
      </w:r>
      <w:hyperlink w:history="1" r:id="rId15">
        <w:r w:rsidRPr="000E5A17" w:rsidR="00CC558C">
          <w:rPr>
            <w:rStyle w:val="Hyperlink"/>
            <w:sz w:val="20"/>
          </w:rPr>
          <w:t>https://healthwatchbsol.org.uk/report/community-mental-health/</w:t>
        </w:r>
      </w:hyperlink>
      <w:r w:rsidR="00CC558C">
        <w:rPr>
          <w:sz w:val="20"/>
        </w:rPr>
        <w:t xml:space="preserve"> </w:t>
      </w:r>
      <w:r>
        <w:rPr>
          <w:sz w:val="20"/>
        </w:rPr>
        <w:t xml:space="preserve"> </w:t>
      </w:r>
    </w:p>
    <w:p w:rsidR="00CB0282" w:rsidRDefault="00000000" w14:paraId="5642FEFB" w14:textId="197289DD">
      <w:pPr>
        <w:spacing w:after="140"/>
        <w:ind w:left="567" w:hanging="567"/>
      </w:pPr>
      <w:r>
        <w:rPr>
          <w:sz w:val="20"/>
        </w:rPr>
        <w:t xml:space="preserve">National Institute for Health and Care Excellence (2021) </w:t>
      </w:r>
      <w:r>
        <w:rPr>
          <w:i/>
          <w:sz w:val="20"/>
        </w:rPr>
        <w:t>Antenatal care</w:t>
      </w:r>
      <w:r>
        <w:rPr>
          <w:sz w:val="20"/>
        </w:rPr>
        <w:t xml:space="preserve">. NICE guideline NG201. Available at: </w:t>
      </w:r>
      <w:hyperlink w:history="1" r:id="rId16">
        <w:r w:rsidRPr="000E5A17" w:rsidR="00CC558C">
          <w:rPr>
            <w:rStyle w:val="Hyperlink"/>
            <w:sz w:val="20"/>
          </w:rPr>
          <w:t>https://www.nice.org.uk/guidance/ng201</w:t>
        </w:r>
      </w:hyperlink>
      <w:r w:rsidR="00CC558C">
        <w:rPr>
          <w:sz w:val="20"/>
        </w:rPr>
        <w:t xml:space="preserve"> </w:t>
      </w:r>
      <w:r>
        <w:rPr>
          <w:sz w:val="20"/>
        </w:rPr>
        <w:t xml:space="preserve"> </w:t>
      </w:r>
    </w:p>
    <w:p w:rsidR="00CB0282" w:rsidRDefault="00000000" w14:paraId="633CD812" w14:textId="59835B27">
      <w:pPr>
        <w:spacing w:after="140"/>
        <w:ind w:left="567" w:hanging="567"/>
      </w:pPr>
      <w:r>
        <w:rPr>
          <w:sz w:val="20"/>
        </w:rPr>
        <w:t xml:space="preserve">Nursing and Midwifery Council (2019) </w:t>
      </w:r>
      <w:r>
        <w:rPr>
          <w:i/>
          <w:sz w:val="20"/>
        </w:rPr>
        <w:t>Standards of proficiency for midwives</w:t>
      </w:r>
      <w:r>
        <w:rPr>
          <w:sz w:val="20"/>
        </w:rPr>
        <w:t xml:space="preserve">. Available at: </w:t>
      </w:r>
      <w:hyperlink w:history="1" r:id="rId17">
        <w:r w:rsidRPr="000E5A17" w:rsidR="00CC558C">
          <w:rPr>
            <w:rStyle w:val="Hyperlink"/>
            <w:sz w:val="20"/>
          </w:rPr>
          <w:t>https://www.nmc.org.uk/standards/standards-for-midwives/standards-of-proficiency-for-midwives/</w:t>
        </w:r>
      </w:hyperlink>
      <w:r w:rsidR="00CC558C">
        <w:rPr>
          <w:sz w:val="20"/>
        </w:rPr>
        <w:t xml:space="preserve"> </w:t>
      </w:r>
      <w:r>
        <w:rPr>
          <w:sz w:val="20"/>
        </w:rPr>
        <w:t xml:space="preserve"> </w:t>
      </w:r>
      <w:r w:rsidR="00CC558C">
        <w:rPr>
          <w:sz w:val="20"/>
        </w:rPr>
        <w:t xml:space="preserve">  </w:t>
      </w:r>
    </w:p>
    <w:p w:rsidR="00CB0282" w:rsidRDefault="00000000" w14:paraId="303A122B" w14:textId="5196A275">
      <w:pPr>
        <w:spacing w:after="140"/>
        <w:ind w:left="567" w:hanging="567"/>
      </w:pPr>
      <w:r>
        <w:rPr>
          <w:sz w:val="20"/>
        </w:rPr>
        <w:t xml:space="preserve">Royal College of Midwives (2025) </w:t>
      </w:r>
      <w:r>
        <w:rPr>
          <w:i/>
          <w:sz w:val="20"/>
        </w:rPr>
        <w:t>New midwives ready to work, but no jobs available despite understaffed services says RCM</w:t>
      </w:r>
      <w:r>
        <w:rPr>
          <w:sz w:val="20"/>
        </w:rPr>
        <w:t xml:space="preserve">. Available at: </w:t>
      </w:r>
      <w:hyperlink w:history="1" r:id="rId18">
        <w:r w:rsidRPr="000E5A17" w:rsidR="00CC558C">
          <w:rPr>
            <w:rStyle w:val="Hyperlink"/>
            <w:sz w:val="20"/>
          </w:rPr>
          <w:t>https://rcm.org.uk/media-releases/2025/06/new-midwives-ready-to-work-but-no-jobs-available-despite-understaffed-services-says-rcm/</w:t>
        </w:r>
      </w:hyperlink>
      <w:r w:rsidR="00CC558C">
        <w:rPr>
          <w:sz w:val="20"/>
        </w:rPr>
        <w:t xml:space="preserve"> </w:t>
      </w:r>
      <w:r>
        <w:rPr>
          <w:sz w:val="20"/>
        </w:rPr>
        <w:t xml:space="preserve"> </w:t>
      </w:r>
      <w:r w:rsidR="00CC558C">
        <w:rPr>
          <w:sz w:val="20"/>
        </w:rPr>
        <w:t xml:space="preserve"> </w:t>
      </w:r>
    </w:p>
    <w:p w:rsidR="00CB0282" w:rsidRDefault="00000000" w14:paraId="3ED7B71D" w14:textId="0A1E87A7">
      <w:pPr>
        <w:spacing w:after="140"/>
        <w:ind w:left="567" w:hanging="567"/>
      </w:pPr>
      <w:r>
        <w:rPr>
          <w:sz w:val="20"/>
        </w:rPr>
        <w:t xml:space="preserve">Sandall, J., Fernandez Turienzo, C., Devane, D., Soltani, H., Gillespie, P., Gates, S., Jones, L.V., Shennan, A.H. and Rayment-Jones, H. (2024) </w:t>
      </w:r>
      <w:r>
        <w:rPr>
          <w:i/>
          <w:sz w:val="20"/>
        </w:rPr>
        <w:t>‘Midwife continuity of care models versus other models of care for childbearing women’</w:t>
      </w:r>
      <w:r>
        <w:rPr>
          <w:sz w:val="20"/>
        </w:rPr>
        <w:t xml:space="preserve">, Cochrane Database of Systematic Reviews, 4, CD004667. Available at: </w:t>
      </w:r>
      <w:hyperlink w:history="1" r:id="rId19">
        <w:r w:rsidRPr="000E5A17" w:rsidR="00CC558C">
          <w:rPr>
            <w:rStyle w:val="Hyperlink"/>
            <w:sz w:val="20"/>
          </w:rPr>
          <w:t>https://doi.org/10.1002/14651858.CD004667.pub6</w:t>
        </w:r>
      </w:hyperlink>
      <w:r w:rsidR="00CC558C">
        <w:rPr>
          <w:sz w:val="20"/>
        </w:rPr>
        <w:t xml:space="preserve"> </w:t>
      </w:r>
    </w:p>
    <w:sectPr w:rsidR="00CB0282" w:rsidSect="00034616">
      <w:headerReference w:type="default" r:id="rId20"/>
      <w:footerReference w:type="default" r:id="rId21"/>
      <w:footerReference w:type="first" r:id="rId22"/>
      <w:pgSz w:w="12240" w:h="15840" w:orient="portrait"/>
      <w:pgMar w:top="1276" w:right="1389" w:bottom="1247" w:left="1389"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4D3CFA" w:rsidRDefault="004D3CFA" w14:paraId="4C688434" w14:textId="77777777">
      <w:pPr>
        <w:spacing w:after="0" w:line="240" w:lineRule="auto"/>
      </w:pPr>
      <w:r>
        <w:separator/>
      </w:r>
    </w:p>
  </w:endnote>
  <w:endnote w:type="continuationSeparator" w:id="0">
    <w:p w:rsidR="004D3CFA" w:rsidRDefault="004D3CFA" w14:paraId="243C5E5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B0282" w:rsidRDefault="00000000" w14:paraId="611E123D" w14:textId="77777777">
    <w:pPr>
      <w:pStyle w:val="Footer"/>
      <w:pBdr>
        <w:top w:val="single" w:color="D9E4E7" w:sz="4" w:space="2"/>
      </w:pBdr>
      <w:tabs>
        <w:tab w:val="right" w:pos="9071"/>
      </w:tabs>
      <w:spacing w:before="60"/>
      <w:jc w:val="center"/>
    </w:pPr>
    <w:r>
      <w:rPr>
        <w:color w:val="5D6873"/>
        <w:sz w:val="17"/>
      </w:rPr>
      <w:t xml:space="preserve">Fareen </w:t>
    </w:r>
    <w:proofErr w:type="gramStart"/>
    <w:r>
      <w:rPr>
        <w:color w:val="5D6873"/>
        <w:sz w:val="17"/>
      </w:rPr>
      <w:t>Akhtar  •</w:t>
    </w:r>
    <w:proofErr w:type="gramEnd"/>
    <w:r>
      <w:rPr>
        <w:color w:val="5D6873"/>
        <w:sz w:val="17"/>
      </w:rPr>
      <w:t xml:space="preserve">  2533713</w:t>
    </w:r>
    <w:r>
      <w:rPr>
        <w:color w:val="5D6873"/>
        <w:sz w:val="17"/>
      </w:rPr>
      <w:tab/>
    </w:r>
    <w:r>
      <w:rPr>
        <w:color w:val="5D6873"/>
        <w:sz w:val="17"/>
      </w:rPr>
      <w:t xml:space="preserve">Page </w:t>
    </w:r>
    <w:r>
      <w:rPr>
        <w:color w:val="5D6873"/>
        <w:sz w:val="17"/>
      </w:rPr>
      <w:fldChar w:fldCharType="begin"/>
    </w:r>
    <w:r>
      <w:rPr>
        <w:color w:val="5D6873"/>
        <w:sz w:val="17"/>
      </w:rPr>
      <w:instrText xml:space="preserve"> PAGE </w:instrText>
    </w:r>
    <w:r w:rsidR="00EA644E">
      <w:rPr>
        <w:color w:val="5D6873"/>
        <w:sz w:val="17"/>
      </w:rPr>
      <w:fldChar w:fldCharType="separate"/>
    </w:r>
    <w:r w:rsidR="00EA644E">
      <w:rPr>
        <w:noProof/>
        <w:color w:val="5D6873"/>
        <w:sz w:val="17"/>
      </w:rPr>
      <w:t>2</w:t>
    </w:r>
    <w:r>
      <w:rPr>
        <w:color w:val="5D6873"/>
        <w:sz w:val="17"/>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B0282" w:rsidRDefault="00000000" w14:paraId="1AE0146E" w14:textId="77777777">
    <w:pPr>
      <w:pStyle w:val="Footer"/>
      <w:jc w:val="center"/>
    </w:pPr>
    <w:r>
      <w:rPr>
        <w:color w:val="5D6873"/>
        <w:sz w:val="17"/>
      </w:rPr>
      <w:t xml:space="preserve">University of Wales Trinity Saint </w:t>
    </w:r>
    <w:proofErr w:type="gramStart"/>
    <w:r>
      <w:rPr>
        <w:color w:val="5D6873"/>
        <w:sz w:val="17"/>
      </w:rPr>
      <w:t>David  •</w:t>
    </w:r>
    <w:proofErr w:type="gramEnd"/>
    <w:r>
      <w:rPr>
        <w:color w:val="5D6873"/>
        <w:sz w:val="17"/>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4D3CFA" w:rsidRDefault="004D3CFA" w14:paraId="7E4891DB" w14:textId="77777777">
      <w:pPr>
        <w:spacing w:after="0" w:line="240" w:lineRule="auto"/>
      </w:pPr>
      <w:r>
        <w:separator/>
      </w:r>
    </w:p>
  </w:footnote>
  <w:footnote w:type="continuationSeparator" w:id="0">
    <w:p w:rsidR="004D3CFA" w:rsidRDefault="004D3CFA" w14:paraId="2E07712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CB0282" w:rsidRDefault="00000000" w14:paraId="27699090" w14:textId="77777777">
    <w:pPr>
      <w:pStyle w:val="Header"/>
      <w:pBdr>
        <w:bottom w:val="single" w:color="B7CDD1" w:sz="5" w:space="2"/>
      </w:pBdr>
      <w:spacing w:after="60"/>
    </w:pPr>
    <w:r>
      <w:rPr>
        <w:b/>
        <w:color w:val="1F6F78"/>
        <w:sz w:val="17"/>
      </w:rPr>
      <w:t>LCHS</w:t>
    </w:r>
    <w:proofErr w:type="gramStart"/>
    <w:r>
      <w:rPr>
        <w:b/>
        <w:color w:val="1F6F78"/>
        <w:sz w:val="17"/>
      </w:rPr>
      <w:t>4003  |</w:t>
    </w:r>
    <w:proofErr w:type="gramEnd"/>
    <w:r>
      <w:rPr>
        <w:b/>
        <w:color w:val="1F6F78"/>
        <w:sz w:val="17"/>
      </w:rPr>
      <w:t xml:space="preserve">  INTRODUCTION TO HEALTH AND SOCIAL CARE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hint="default" w:ascii="Symbol" w:hAnsi="Symbol"/>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hint="default" w:ascii="Symbol" w:hAnsi="Symbol"/>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hint="default" w:ascii="Symbol" w:hAnsi="Symbol"/>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hint="default" w:ascii="Symbol" w:hAnsi="Symbol"/>
      </w:rPr>
    </w:lvl>
  </w:abstractNum>
  <w:num w:numId="1" w16cid:durableId="1436749205">
    <w:abstractNumId w:val="8"/>
  </w:num>
  <w:num w:numId="2" w16cid:durableId="1281259467">
    <w:abstractNumId w:val="6"/>
  </w:num>
  <w:num w:numId="3" w16cid:durableId="929512141">
    <w:abstractNumId w:val="5"/>
  </w:num>
  <w:num w:numId="4" w16cid:durableId="1903132562">
    <w:abstractNumId w:val="4"/>
  </w:num>
  <w:num w:numId="5" w16cid:durableId="1639065400">
    <w:abstractNumId w:val="7"/>
  </w:num>
  <w:num w:numId="6" w16cid:durableId="2074044359">
    <w:abstractNumId w:val="3"/>
  </w:num>
  <w:num w:numId="7" w16cid:durableId="1350642299">
    <w:abstractNumId w:val="2"/>
  </w:num>
  <w:num w:numId="8" w16cid:durableId="2138449314">
    <w:abstractNumId w:val="1"/>
  </w:num>
  <w:num w:numId="9" w16cid:durableId="11143825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trackRevisions w:val="fals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336A2"/>
    <w:rsid w:val="0015074B"/>
    <w:rsid w:val="0029639D"/>
    <w:rsid w:val="00326F90"/>
    <w:rsid w:val="0032766A"/>
    <w:rsid w:val="004D3CFA"/>
    <w:rsid w:val="007739EB"/>
    <w:rsid w:val="00AA1D8D"/>
    <w:rsid w:val="00B47730"/>
    <w:rsid w:val="00CB0282"/>
    <w:rsid w:val="00CB0664"/>
    <w:rsid w:val="00CC558C"/>
    <w:rsid w:val="00EA644E"/>
    <w:rsid w:val="00FC693F"/>
    <w:rsid w:val="0234C3BE"/>
    <w:rsid w:val="2B2B2082"/>
    <w:rsid w:val="6EE43A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2DBDF57"/>
  <w14:defaultImageDpi w14:val="300"/>
  <w15:docId w15:val="{D3D2018D-793A-4530-B2F2-FEE593999C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EastAsia"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C693F"/>
    <w:pPr>
      <w:spacing w:after="120" w:line="360" w:lineRule="auto"/>
    </w:pPr>
    <w:rPr>
      <w:rFonts w:ascii="Arial" w:hAnsi="Arial"/>
      <w:color w:val="222222"/>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hAnsiTheme="majorHAnsi" w:eastAsiaTheme="majorEastAsia"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hAnsiTheme="majorHAnsi" w:eastAsiaTheme="majorEastAsia"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hAnsiTheme="majorHAnsi" w:eastAsiaTheme="majorEastAsia"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hAnsiTheme="majorHAnsi" w:eastAsiaTheme="majorEastAsia"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hAnsiTheme="majorHAnsi" w:eastAsiaTheme="majorEastAsia"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hAnsiTheme="majorHAnsi" w:eastAsiaTheme="majorEastAsia" w:cstheme="majorBidi"/>
      <w:i/>
      <w:iCs/>
      <w:color w:val="404040" w:themeColor="text1" w:themeTint="BF"/>
      <w:sz w:val="20"/>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styleId="HeaderChar" w:customStyle="1">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styleId="FooterChar" w:customStyle="1">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styleId="Heading1Char" w:customStyle="1">
    <w:name w:val="Heading 1 Char"/>
    <w:basedOn w:val="DefaultParagraphFont"/>
    <w:link w:val="Heading1"/>
    <w:uiPriority w:val="9"/>
    <w:rsid w:val="00FC693F"/>
    <w:rPr>
      <w:rFonts w:asciiTheme="majorHAnsi" w:hAnsiTheme="majorHAnsi" w:eastAsiaTheme="majorEastAsia" w:cstheme="majorBidi"/>
      <w:b/>
      <w:bCs/>
      <w:color w:val="365F91" w:themeColor="accent1" w:themeShade="BF"/>
      <w:sz w:val="28"/>
      <w:szCs w:val="28"/>
    </w:rPr>
  </w:style>
  <w:style w:type="character" w:styleId="Heading2Char" w:customStyle="1">
    <w:name w:val="Heading 2 Char"/>
    <w:basedOn w:val="DefaultParagraphFont"/>
    <w:link w:val="Heading2"/>
    <w:uiPriority w:val="9"/>
    <w:rsid w:val="00FC693F"/>
    <w:rPr>
      <w:rFonts w:asciiTheme="majorHAnsi" w:hAnsiTheme="majorHAnsi" w:eastAsiaTheme="majorEastAsia" w:cstheme="majorBidi"/>
      <w:b/>
      <w:bCs/>
      <w:color w:val="4F81BD" w:themeColor="accent1"/>
      <w:sz w:val="26"/>
      <w:szCs w:val="26"/>
    </w:rPr>
  </w:style>
  <w:style w:type="character" w:styleId="Heading3Char" w:customStyle="1">
    <w:name w:val="Heading 3 Char"/>
    <w:basedOn w:val="DefaultParagraphFont"/>
    <w:link w:val="Heading3"/>
    <w:uiPriority w:val="9"/>
    <w:rsid w:val="00FC693F"/>
    <w:rPr>
      <w:rFonts w:asciiTheme="majorHAnsi" w:hAnsiTheme="majorHAnsi" w:eastAsiaTheme="majorEastAsia" w:cstheme="majorBidi"/>
      <w:b/>
      <w:bCs/>
      <w:color w:val="4F81BD" w:themeColor="accent1"/>
    </w:rPr>
  </w:style>
  <w:style w:type="paragraph" w:styleId="Title">
    <w:name w:val="Title"/>
    <w:basedOn w:val="Normal"/>
    <w:next w:val="Normal"/>
    <w:link w:val="TitleChar"/>
    <w:uiPriority w:val="10"/>
    <w:qFormat/>
    <w:rsid w:val="00FC693F"/>
    <w:pPr>
      <w:pBdr>
        <w:bottom w:val="single" w:color="4F81BD" w:themeColor="accent1" w:sz="8" w:space="4"/>
      </w:pBdr>
      <w:spacing w:after="300" w:line="240" w:lineRule="auto"/>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1">
    <w:name w:val="Title Char"/>
    <w:basedOn w:val="DefaultParagraphFont"/>
    <w:link w:val="Title"/>
    <w:uiPriority w:val="10"/>
    <w:rsid w:val="00FC693F"/>
    <w:rPr>
      <w:rFonts w:asciiTheme="majorHAnsi" w:hAnsiTheme="majorHAnsi" w:eastAsiaTheme="majorEastAsia"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hAnsiTheme="majorHAnsi" w:eastAsiaTheme="majorEastAsia" w:cstheme="majorBidi"/>
      <w:i/>
      <w:iCs/>
      <w:color w:val="4F81BD" w:themeColor="accent1"/>
      <w:spacing w:val="15"/>
      <w:sz w:val="24"/>
      <w:szCs w:val="24"/>
    </w:rPr>
  </w:style>
  <w:style w:type="character" w:styleId="SubtitleChar" w:customStyle="1">
    <w:name w:val="Subtitle Char"/>
    <w:basedOn w:val="DefaultParagraphFont"/>
    <w:link w:val="Subtitle"/>
    <w:uiPriority w:val="11"/>
    <w:rsid w:val="00FC693F"/>
    <w:rPr>
      <w:rFonts w:asciiTheme="majorHAnsi" w:hAnsiTheme="majorHAnsi" w:eastAsiaTheme="majorEastAsia"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styleId="BodyTextChar" w:customStyle="1">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styleId="BodyText2Char" w:customStyle="1">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styleId="BodyText3Char" w:customStyle="1">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styleId="MacroTextChar" w:customStyle="1">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styleId="QuoteChar" w:customStyle="1">
    <w:name w:val="Quote Char"/>
    <w:basedOn w:val="DefaultParagraphFont"/>
    <w:link w:val="Quote"/>
    <w:uiPriority w:val="29"/>
    <w:rsid w:val="00FC693F"/>
    <w:rPr>
      <w:i/>
      <w:iCs/>
      <w:color w:val="000000" w:themeColor="text1"/>
    </w:rPr>
  </w:style>
  <w:style w:type="character" w:styleId="Heading4Char" w:customStyle="1">
    <w:name w:val="Heading 4 Char"/>
    <w:basedOn w:val="DefaultParagraphFont"/>
    <w:link w:val="Heading4"/>
    <w:uiPriority w:val="9"/>
    <w:semiHidden/>
    <w:rsid w:val="00FC693F"/>
    <w:rPr>
      <w:rFonts w:asciiTheme="majorHAnsi" w:hAnsiTheme="majorHAnsi" w:eastAsiaTheme="majorEastAsia" w:cstheme="majorBidi"/>
      <w:b/>
      <w:bCs/>
      <w:i/>
      <w:iCs/>
      <w:color w:val="4F81BD" w:themeColor="accent1"/>
    </w:rPr>
  </w:style>
  <w:style w:type="character" w:styleId="Heading5Char" w:customStyle="1">
    <w:name w:val="Heading 5 Char"/>
    <w:basedOn w:val="DefaultParagraphFont"/>
    <w:link w:val="Heading5"/>
    <w:uiPriority w:val="9"/>
    <w:semiHidden/>
    <w:rsid w:val="00FC693F"/>
    <w:rPr>
      <w:rFonts w:asciiTheme="majorHAnsi" w:hAnsiTheme="majorHAnsi" w:eastAsiaTheme="majorEastAsia" w:cstheme="majorBidi"/>
      <w:color w:val="243F60" w:themeColor="accent1" w:themeShade="7F"/>
    </w:rPr>
  </w:style>
  <w:style w:type="character" w:styleId="Heading6Char" w:customStyle="1">
    <w:name w:val="Heading 6 Char"/>
    <w:basedOn w:val="DefaultParagraphFont"/>
    <w:link w:val="Heading6"/>
    <w:uiPriority w:val="9"/>
    <w:semiHidden/>
    <w:rsid w:val="00FC693F"/>
    <w:rPr>
      <w:rFonts w:asciiTheme="majorHAnsi" w:hAnsiTheme="majorHAnsi" w:eastAsiaTheme="majorEastAsia" w:cstheme="majorBidi"/>
      <w:i/>
      <w:iCs/>
      <w:color w:val="243F60" w:themeColor="accent1" w:themeShade="7F"/>
    </w:rPr>
  </w:style>
  <w:style w:type="character" w:styleId="Heading7Char" w:customStyle="1">
    <w:name w:val="Heading 7 Char"/>
    <w:basedOn w:val="DefaultParagraphFont"/>
    <w:link w:val="Heading7"/>
    <w:uiPriority w:val="9"/>
    <w:semiHidden/>
    <w:rsid w:val="00FC693F"/>
    <w:rPr>
      <w:rFonts w:asciiTheme="majorHAnsi" w:hAnsiTheme="majorHAnsi" w:eastAsiaTheme="majorEastAsia" w:cstheme="majorBidi"/>
      <w:i/>
      <w:iCs/>
      <w:color w:val="404040" w:themeColor="text1" w:themeTint="BF"/>
    </w:rPr>
  </w:style>
  <w:style w:type="character" w:styleId="Heading8Char" w:customStyle="1">
    <w:name w:val="Heading 8 Char"/>
    <w:basedOn w:val="DefaultParagraphFont"/>
    <w:link w:val="Heading8"/>
    <w:uiPriority w:val="9"/>
    <w:semiHidden/>
    <w:rsid w:val="00FC693F"/>
    <w:rPr>
      <w:rFonts w:asciiTheme="majorHAnsi" w:hAnsiTheme="majorHAnsi" w:eastAsiaTheme="majorEastAsia" w:cstheme="majorBidi"/>
      <w:color w:val="4F81BD" w:themeColor="accent1"/>
      <w:sz w:val="20"/>
      <w:szCs w:val="20"/>
    </w:rPr>
  </w:style>
  <w:style w:type="character" w:styleId="Heading9Char" w:customStyle="1">
    <w:name w:val="Heading 9 Char"/>
    <w:basedOn w:val="DefaultParagraphFont"/>
    <w:link w:val="Heading9"/>
    <w:uiPriority w:val="9"/>
    <w:semiHidden/>
    <w:rsid w:val="00FC693F"/>
    <w:rPr>
      <w:rFonts w:asciiTheme="majorHAnsi" w:hAnsiTheme="majorHAnsi" w:eastAsiaTheme="majorEastAsia"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color="4F81BD" w:themeColor="accent1" w:sz="4" w:space="4"/>
      </w:pBdr>
      <w:spacing w:before="200" w:after="280"/>
      <w:ind w:left="936" w:right="936"/>
    </w:pPr>
    <w:rPr>
      <w:b/>
      <w:bCs/>
      <w:i/>
      <w:iCs/>
      <w:color w:val="4F81BD" w:themeColor="accent1"/>
    </w:rPr>
  </w:style>
  <w:style w:type="character" w:styleId="IntenseQuoteChar" w:customStyle="1">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AssignmentTitle" w:customStyle="1">
    <w:name w:val="Assignment Title"/>
    <w:pPr>
      <w:spacing w:before="120" w:after="120" w:line="360" w:lineRule="auto"/>
      <w:jc w:val="center"/>
    </w:pPr>
    <w:rPr>
      <w:rFonts w:ascii="Arial" w:hAnsi="Arial"/>
      <w:b/>
    </w:rPr>
  </w:style>
  <w:style w:type="paragraph" w:styleId="TaskHeading" w:customStyle="1">
    <w:name w:val="Task Heading"/>
    <w:pPr>
      <w:spacing w:before="120" w:after="120" w:line="360" w:lineRule="auto"/>
    </w:pPr>
    <w:rPr>
      <w:rFonts w:ascii="Arial" w:hAnsi="Arial"/>
      <w:b/>
    </w:rPr>
  </w:style>
  <w:style w:type="paragraph" w:styleId="SectionHeading" w:customStyle="1">
    <w:name w:val="Section Heading"/>
    <w:pPr>
      <w:spacing w:before="120" w:after="120" w:line="360" w:lineRule="auto"/>
    </w:pPr>
    <w:rPr>
      <w:rFonts w:ascii="Arial" w:hAnsi="Arial"/>
      <w:b/>
    </w:rPr>
  </w:style>
  <w:style w:type="character" w:styleId="Hyperlink">
    <w:name w:val="Hyperlink"/>
    <w:basedOn w:val="DefaultParagraphFont"/>
    <w:uiPriority w:val="99"/>
    <w:unhideWhenUsed/>
    <w:rsid w:val="00CC558C"/>
    <w:rPr>
      <w:color w:val="0000FF" w:themeColor="hyperlink"/>
      <w:u w:val="single"/>
    </w:rPr>
  </w:style>
  <w:style w:type="character" w:styleId="UnresolvedMention">
    <w:name w:val="Unresolved Mention"/>
    <w:basedOn w:val="DefaultParagraphFont"/>
    <w:uiPriority w:val="99"/>
    <w:semiHidden/>
    <w:unhideWhenUsed/>
    <w:rsid w:val="00CC558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&#65279;<?xml version="1.0" encoding="utf-8"?><Relationships xmlns="http://schemas.openxmlformats.org/package/2006/relationships"><Relationship Type="http://schemas.openxmlformats.org/officeDocument/2006/relationships/hyperlink" Target="https://www.birmingham.gov.uk/councillors/61/" TargetMode="External" Id="rId8" /><Relationship Type="http://schemas.openxmlformats.org/officeDocument/2006/relationships/hyperlink" Target="https://www.legislation.gov.uk/ukpga/Edw7/2/17/contents/enacted" TargetMode="External" Id="rId13" /><Relationship Type="http://schemas.openxmlformats.org/officeDocument/2006/relationships/hyperlink" Target="https://rcm.org.uk/media-releases/2025/06/new-midwives-ready-to-work-but-no-jobs-available-despite-understaffed-services-says-rcm/" TargetMode="External" Id="rId18" /><Relationship Type="http://schemas.openxmlformats.org/officeDocument/2006/relationships/styles" Target="styles.xml" Id="rId3" /><Relationship Type="http://schemas.openxmlformats.org/officeDocument/2006/relationships/footer" Target="footer1.xml" Id="rId21" /><Relationship Type="http://schemas.openxmlformats.org/officeDocument/2006/relationships/endnotes" Target="endnotes.xml" Id="rId7" /><Relationship Type="http://schemas.openxmlformats.org/officeDocument/2006/relationships/hyperlink" Target="https://doi.org/10.1093/shm/hkq092" TargetMode="External" Id="rId12" /><Relationship Type="http://schemas.openxmlformats.org/officeDocument/2006/relationships/hyperlink" Target="https://www.nmc.org.uk/standards/standards-for-midwives/standards-of-proficiency-for-midwives/" TargetMode="External" Id="rId17" /><Relationship Type="http://schemas.openxmlformats.org/officeDocument/2006/relationships/numbering" Target="numbering.xml" Id="rId2" /><Relationship Type="http://schemas.openxmlformats.org/officeDocument/2006/relationships/hyperlink" Target="https://www.nice.org.uk/guidance/ng201" TargetMode="External" Id="rId16" /><Relationship Type="http://schemas.openxmlformats.org/officeDocument/2006/relationships/header" Target="header1.xml" Id="rId20"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www.cqc.org.uk/publications/surveys/maternity-survey" TargetMode="External" Id="rId11" /><Relationship Type="http://schemas.openxmlformats.org/officeDocument/2006/relationships/theme" Target="theme/theme1.xml" Id="rId24" /><Relationship Type="http://schemas.openxmlformats.org/officeDocument/2006/relationships/webSettings" Target="webSettings.xml" Id="rId5" /><Relationship Type="http://schemas.openxmlformats.org/officeDocument/2006/relationships/hyperlink" Target="https://healthwatchbsol.org.uk/report/community-mental-health/" TargetMode="External" Id="rId15" /><Relationship Type="http://schemas.openxmlformats.org/officeDocument/2006/relationships/fontTable" Target="fontTable.xml" Id="rId23" /><Relationship Type="http://schemas.openxmlformats.org/officeDocument/2006/relationships/hyperlink" Target="https://www.bsmhft.nhs.uk/our-services/birmingham-and-solihull-community-mental-health-and-wellbeing-service/" TargetMode="External" Id="rId10" /><Relationship Type="http://schemas.openxmlformats.org/officeDocument/2006/relationships/hyperlink" Target="https://doi.org/10.1002/14651858.CD004667.pub6" TargetMode="External" Id="rId19" /><Relationship Type="http://schemas.openxmlformats.org/officeDocument/2006/relationships/settings" Target="settings.xml" Id="rId4" /><Relationship Type="http://schemas.openxmlformats.org/officeDocument/2006/relationships/hyperlink" Target="https://www.bsmhft.nhs.uk/wp-content/uploads/2025/04/Board-of-Directors-Public-Meeting-2-April-2025.pdf" TargetMode="External" Id="rId9" /><Relationship Type="http://schemas.openxmlformats.org/officeDocument/2006/relationships/hyperlink" Target="https://www.legislation.gov.uk/ukpga/1946/81/contents/enacted" TargetMode="External" Id="rId14" /><Relationship Type="http://schemas.openxmlformats.org/officeDocument/2006/relationships/footer" Target="footer2.xml" Id="rId2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Manager/>
  <ap:Company/>
  <ap:SharedDoc>false</ap:SharedDoc>
  <ap:HyperlinkBase/>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LCHS4003 Component 1 - Fareen Akhtar</dc:title>
  <dc:subject>Introduction to Health and Social Care - Coursework Portfolio</dc:subject>
  <dc:creator>python-docx</dc:creator>
  <keywords/>
  <dc:description>generated by python-docx</dc:description>
  <lastModifiedBy>Fareen Akhtar (2533713)</lastModifiedBy>
  <revision>8</revision>
  <dcterms:created xsi:type="dcterms:W3CDTF">2013-12-23T23:15:00.0000000Z</dcterms:created>
  <dcterms:modified xsi:type="dcterms:W3CDTF">2026-10-08T17:27:44.7798153Z</dcterms:modified>
  <category/>
</coreProperties>
</file>