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027565386"/>
        <w:docPartObj>
          <w:docPartGallery w:val="Cover Pages"/>
          <w:docPartUnique/>
        </w:docPartObj>
      </w:sdtPr>
      <w:sdtEndPr>
        <w:rPr>
          <w:rFonts w:ascii="Arial" w:hAnsi="Arial" w:cs="Arial"/>
        </w:rPr>
      </w:sdtEndPr>
      <w:sdtContent>
        <w:p w14:paraId="1EBAED90" w14:textId="10B41560" w:rsidR="00D829DA" w:rsidRDefault="00D829DA">
          <w:r>
            <w:rPr>
              <w:noProof/>
            </w:rPr>
            <mc:AlternateContent>
              <mc:Choice Requires="wpg">
                <w:drawing>
                  <wp:anchor distT="0" distB="0" distL="114300" distR="114300" simplePos="0" relativeHeight="251662336" behindDoc="0" locked="0" layoutInCell="1" allowOverlap="1" wp14:anchorId="04387998" wp14:editId="059D6C4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39DBED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34E974A" wp14:editId="23319769">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BC0232" w14:textId="35FE6B08" w:rsidR="00D829DA" w:rsidRDefault="00D829DA">
                                <w:pPr>
                                  <w:pStyle w:val="NoSpacing"/>
                                  <w:jc w:val="right"/>
                                  <w:rPr>
                                    <w:color w:val="595959" w:themeColor="text1" w:themeTint="A6"/>
                                    <w:sz w:val="18"/>
                                    <w:szCs w:val="18"/>
                                  </w:rPr>
                                </w:pPr>
                                <w:r>
                                  <w:rPr>
                                    <w:rFonts w:ascii="Arial" w:hAnsi="Arial" w:cs="Arial"/>
                                    <w:b/>
                                  </w:rPr>
                                  <w:t>BMPL6007</w:t>
                                </w:r>
                                <w:sdt>
                                  <w:sdtPr>
                                    <w:rPr>
                                      <w:caps/>
                                      <w:color w:val="5B9BD5" w:themeColor="accent5"/>
                                    </w:rPr>
                                    <w:alias w:val="Email"/>
                                    <w:tag w:val="Email"/>
                                    <w:id w:val="942260680"/>
                                    <w:dataBinding w:prefixMappings="xmlns:ns0='http://schemas.microsoft.com/office/2006/coverPageProps' " w:xpath="/ns0:CoverPageProperties[1]/ns0:CompanyEmail[1]" w:storeItemID="{55AF091B-3C7A-41E3-B477-F2FDAA23CFDA}"/>
                                    <w:text/>
                                  </w:sdtPr>
                                  <w:sdtContent>
                                    <w:r w:rsidRPr="00D829DA">
                                      <w:rPr>
                                        <w:caps/>
                                        <w:color w:val="5B9BD5" w:themeColor="accent5"/>
                                      </w:rPr>
                                      <w:t xml:space="preserve"> Student ID- 2005879</w:t>
                                    </w:r>
                                  </w:sdtContent>
                                </w:sdt>
                              </w:p>
                              <w:p w14:paraId="1923E733" w14:textId="3A37FF2E" w:rsidR="00D829DA" w:rsidRDefault="00D829DA">
                                <w:pPr>
                                  <w:pStyle w:val="NoSpacing"/>
                                  <w:jc w:val="right"/>
                                  <w:rPr>
                                    <w:color w:val="595959" w:themeColor="text1" w:themeTint="A6"/>
                                    <w:sz w:val="18"/>
                                    <w:szCs w:val="18"/>
                                  </w:rPr>
                                </w:pPr>
                              </w:p>
                              <w:p w14:paraId="1145532B" w14:textId="77777777" w:rsidR="00D829DA" w:rsidRDefault="00D829DA">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34E974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" filled="f" stroked="f" strokeweight=".5pt">
                    <v:textbox inset="126pt,0,54pt,0">
                      <w:txbxContent>
                        <w:p w14:paraId="11BC0232" w14:textId="35FE6B08" w:rsidR="00D829DA" w:rsidRDefault="00D829DA">
                          <w:pPr>
                            <w:pStyle w:val="NoSpacing"/>
                            <w:jc w:val="right"/>
                            <w:rPr>
                              <w:color w:val="595959" w:themeColor="text1" w:themeTint="A6"/>
                              <w:sz w:val="18"/>
                              <w:szCs w:val="18"/>
                            </w:rPr>
                          </w:pPr>
                          <w:r>
                            <w:rPr>
                              <w:rFonts w:ascii="Arial" w:hAnsi="Arial" w:cs="Arial"/>
                              <w:b/>
                            </w:rPr>
                            <w:t>BMPL6007</w:t>
                          </w:r>
                          <w:sdt>
                            <w:sdtPr>
                              <w:rPr>
                                <w:caps/>
                                <w:color w:val="5B9BD5" w:themeColor="accent5"/>
                              </w:rPr>
                              <w:alias w:val="Email"/>
                              <w:tag w:val="Email"/>
                              <w:id w:val="942260680"/>
                              <w:dataBinding w:prefixMappings="xmlns:ns0='http://schemas.microsoft.com/office/2006/coverPageProps' " w:xpath="/ns0:CoverPageProperties[1]/ns0:CompanyEmail[1]" w:storeItemID="{55AF091B-3C7A-41E3-B477-F2FDAA23CFDA}"/>
                              <w:text/>
                            </w:sdtPr>
                            <w:sdtContent>
                              <w:r w:rsidRPr="00D829DA">
                                <w:rPr>
                                  <w:caps/>
                                  <w:color w:val="5B9BD5" w:themeColor="accent5"/>
                                </w:rPr>
                                <w:t xml:space="preserve"> Student ID- 2005879</w:t>
                              </w:r>
                            </w:sdtContent>
                          </w:sdt>
                        </w:p>
                        <w:p w14:paraId="1923E733" w14:textId="3A37FF2E" w:rsidR="00D829DA" w:rsidRDefault="00D829DA">
                          <w:pPr>
                            <w:pStyle w:val="NoSpacing"/>
                            <w:jc w:val="right"/>
                            <w:rPr>
                              <w:color w:val="595959" w:themeColor="text1" w:themeTint="A6"/>
                              <w:sz w:val="18"/>
                              <w:szCs w:val="18"/>
                            </w:rPr>
                          </w:pPr>
                        </w:p>
                        <w:p w14:paraId="1145532B" w14:textId="77777777" w:rsidR="00D829DA" w:rsidRDefault="00D829DA">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C346744" wp14:editId="67A4B613">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3638550"/>
                    <wp:effectExtent l="0" t="0" r="0" b="444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14BEA6" w14:textId="77777777" w:rsidR="00D829DA" w:rsidRPr="00487325" w:rsidRDefault="00D829DA" w:rsidP="00D829DA">
                                <w:pPr>
                                  <w:spacing w:line="360" w:lineRule="auto"/>
                                  <w:rPr>
                                    <w:rStyle w:val="normaltextrun"/>
                                    <w:rFonts w:ascii="Arial" w:hAnsi="Arial" w:cs="Arial"/>
                                    <w:b/>
                                    <w:bCs/>
                                    <w:sz w:val="22"/>
                                    <w:szCs w:val="22"/>
                                  </w:rPr>
                                </w:pPr>
                                <w:r w:rsidRPr="00487325">
                                  <w:rPr>
                                    <w:rStyle w:val="normaltextrun"/>
                                    <w:rFonts w:ascii="Arial" w:hAnsi="Arial" w:cs="Arial"/>
                                    <w:b/>
                                    <w:bCs/>
                                    <w:sz w:val="22"/>
                                    <w:szCs w:val="22"/>
                                  </w:rPr>
                                  <w:t>Can the impact of early intervention can help to curve offending? Discuss</w:t>
                                </w:r>
                              </w:p>
                              <w:p w14:paraId="7DC9952D" w14:textId="55D54DC1" w:rsidR="00D829DA" w:rsidRDefault="00D829DA">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C346744"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" filled="f" stroked="f" strokeweight=".5pt">
                    <v:textbox inset="126pt,0,54pt,0">
                      <w:txbxContent>
                        <w:p w14:paraId="7314BEA6" w14:textId="77777777" w:rsidR="00D829DA" w:rsidRPr="00487325" w:rsidRDefault="00D829DA" w:rsidP="00D829DA">
                          <w:pPr>
                            <w:spacing w:line="360" w:lineRule="auto"/>
                            <w:rPr>
                              <w:rStyle w:val="normaltextrun"/>
                              <w:rFonts w:ascii="Arial" w:hAnsi="Arial" w:cs="Arial"/>
                              <w:b/>
                              <w:bCs/>
                              <w:sz w:val="22"/>
                              <w:szCs w:val="22"/>
                            </w:rPr>
                          </w:pPr>
                          <w:r w:rsidRPr="00487325">
                            <w:rPr>
                              <w:rStyle w:val="normaltextrun"/>
                              <w:rFonts w:ascii="Arial" w:hAnsi="Arial" w:cs="Arial"/>
                              <w:b/>
                              <w:bCs/>
                              <w:sz w:val="22"/>
                              <w:szCs w:val="22"/>
                            </w:rPr>
                            <w:t>Can the impact of early intervention can help to curve offending? Discuss</w:t>
                          </w:r>
                        </w:p>
                        <w:p w14:paraId="7DC9952D" w14:textId="55D54DC1" w:rsidR="00D829DA" w:rsidRDefault="00D829DA">
                          <w:pPr>
                            <w:jc w:val="right"/>
                            <w:rPr>
                              <w:smallCaps/>
                              <w:color w:val="404040" w:themeColor="text1" w:themeTint="BF"/>
                              <w:sz w:val="36"/>
                              <w:szCs w:val="36"/>
                            </w:rPr>
                          </w:pPr>
                        </w:p>
                      </w:txbxContent>
                    </v:textbox>
                    <w10:wrap type="square" anchorx="page" anchory="page"/>
                  </v:shape>
                </w:pict>
              </mc:Fallback>
            </mc:AlternateContent>
          </w:r>
        </w:p>
        <w:p w14:paraId="1C5CD96D" w14:textId="3B51B0FF" w:rsidR="00D829DA" w:rsidRDefault="00D829DA">
          <w:pPr>
            <w:rPr>
              <w:rFonts w:ascii="Arial" w:hAnsi="Arial" w:cs="Arial"/>
            </w:rPr>
          </w:pPr>
          <w:r>
            <w:rPr>
              <w:rFonts w:ascii="Arial" w:hAnsi="Arial" w:cs="Arial"/>
            </w:rPr>
            <w:br w:type="page"/>
          </w:r>
        </w:p>
      </w:sdtContent>
    </w:sdt>
    <w:p w14:paraId="5CB031E6" w14:textId="6E7724D6" w:rsidR="00AE0E86" w:rsidRPr="00487325" w:rsidRDefault="00AE0E86" w:rsidP="00487325">
      <w:pPr>
        <w:spacing w:line="360" w:lineRule="auto"/>
        <w:rPr>
          <w:rStyle w:val="normaltextrun"/>
          <w:rFonts w:ascii="Arial" w:hAnsi="Arial" w:cs="Arial"/>
          <w:b/>
          <w:bCs/>
          <w:sz w:val="22"/>
          <w:szCs w:val="22"/>
        </w:rPr>
      </w:pPr>
    </w:p>
    <w:p w14:paraId="6BCD0F3D" w14:textId="4E31E06A" w:rsidR="00AE0E86" w:rsidRPr="00487325" w:rsidRDefault="00AE0E86" w:rsidP="00487325">
      <w:pPr>
        <w:spacing w:line="360" w:lineRule="auto"/>
        <w:rPr>
          <w:rFonts w:ascii="Arial" w:hAnsi="Arial" w:cs="Arial"/>
        </w:rPr>
      </w:pPr>
      <w:r w:rsidRPr="00487325">
        <w:rPr>
          <w:rStyle w:val="normaltextrun"/>
          <w:rFonts w:ascii="Arial" w:hAnsi="Arial" w:cs="Arial"/>
          <w:sz w:val="22"/>
          <w:szCs w:val="22"/>
        </w:rPr>
        <w:t>Early intervention is</w:t>
      </w:r>
      <w:r w:rsidRPr="00487325">
        <w:rPr>
          <w:rFonts w:ascii="Arial" w:hAnsi="Arial" w:cs="Arial"/>
        </w:rPr>
        <w:t xml:space="preserve"> the use of restorative practice within young people, to ultimately keep them out of the criminal justice system (Case, 2006). Early intervention can be practiced within the community, schools, crime prevention/ youth offending programmes. There is evidence to support the correlation between adverse child experiences and criminal activity. When surveyed, in Scotland, 56% of young individuals that had been brought into custody stated that they had been sworn at and humiliated by someone from their home</w:t>
      </w:r>
      <w:r w:rsidR="00487325">
        <w:rPr>
          <w:rFonts w:ascii="Arial" w:hAnsi="Arial" w:cs="Arial"/>
        </w:rPr>
        <w:t xml:space="preserve"> (</w:t>
      </w:r>
      <w:proofErr w:type="spellStart"/>
      <w:r w:rsidR="00487325">
        <w:rPr>
          <w:rFonts w:ascii="Arial" w:hAnsi="Arial" w:cs="Arial"/>
        </w:rPr>
        <w:t>Urbas</w:t>
      </w:r>
      <w:proofErr w:type="spellEnd"/>
      <w:r w:rsidR="00487325">
        <w:rPr>
          <w:rFonts w:ascii="Arial" w:hAnsi="Arial" w:cs="Arial"/>
        </w:rPr>
        <w:t>, 2000)</w:t>
      </w:r>
      <w:r w:rsidRPr="00487325">
        <w:rPr>
          <w:rFonts w:ascii="Arial" w:hAnsi="Arial" w:cs="Arial"/>
        </w:rPr>
        <w:t xml:space="preserve">. The principal architects of youth justice reform in 1996, argued that “Inadequate attention is being given to changing the behaviour of young people.” He argues that not enough is done in the early stages of someone’s life to “nip offending in the bud”. He believes that teaching right from wrong has not been a priority and that societal norms are altering the concept of normal behaviour (Straw, 1996). This paper will evaluate the impact of early intervention, the different forms, </w:t>
      </w:r>
      <w:r w:rsidR="00374823" w:rsidRPr="00487325">
        <w:rPr>
          <w:rFonts w:ascii="Arial" w:hAnsi="Arial" w:cs="Arial"/>
        </w:rPr>
        <w:t>the reasons for</w:t>
      </w:r>
      <w:r w:rsidR="00C25907" w:rsidRPr="00487325">
        <w:rPr>
          <w:rFonts w:ascii="Arial" w:hAnsi="Arial" w:cs="Arial"/>
        </w:rPr>
        <w:t xml:space="preserve"> young people committing crime. W</w:t>
      </w:r>
      <w:r w:rsidRPr="00487325">
        <w:rPr>
          <w:rFonts w:ascii="Arial" w:hAnsi="Arial" w:cs="Arial"/>
        </w:rPr>
        <w:t>hilst discussing what's currently in place to lesser incriminate young people</w:t>
      </w:r>
      <w:r w:rsidR="00C25907" w:rsidRPr="00487325">
        <w:rPr>
          <w:rFonts w:ascii="Arial" w:hAnsi="Arial" w:cs="Arial"/>
        </w:rPr>
        <w:t xml:space="preserve"> </w:t>
      </w:r>
      <w:r w:rsidRPr="00487325">
        <w:rPr>
          <w:rFonts w:ascii="Arial" w:hAnsi="Arial" w:cs="Arial"/>
        </w:rPr>
        <w:t xml:space="preserve">and whether they’re effective. </w:t>
      </w:r>
    </w:p>
    <w:p w14:paraId="66EEF8A7" w14:textId="78C60DEF" w:rsidR="00AE0E86" w:rsidRPr="00487325" w:rsidRDefault="00AE0E86" w:rsidP="00487325">
      <w:pPr>
        <w:spacing w:line="360" w:lineRule="auto"/>
        <w:rPr>
          <w:rFonts w:ascii="Arial" w:hAnsi="Arial" w:cs="Arial"/>
        </w:rPr>
      </w:pPr>
    </w:p>
    <w:p w14:paraId="61117FE9" w14:textId="7764F1AC" w:rsidR="00AE0E86" w:rsidRPr="00487325" w:rsidRDefault="00AE0E86" w:rsidP="00487325">
      <w:pPr>
        <w:spacing w:line="360" w:lineRule="auto"/>
        <w:rPr>
          <w:rFonts w:ascii="Arial" w:hAnsi="Arial" w:cs="Arial"/>
        </w:rPr>
      </w:pPr>
    </w:p>
    <w:p w14:paraId="76984021" w14:textId="49E11A83" w:rsidR="00AE0E86" w:rsidRPr="00487325" w:rsidRDefault="00AE0E86" w:rsidP="00487325">
      <w:pPr>
        <w:spacing w:line="360" w:lineRule="auto"/>
        <w:rPr>
          <w:rFonts w:ascii="Arial" w:hAnsi="Arial" w:cs="Arial"/>
        </w:rPr>
      </w:pPr>
    </w:p>
    <w:p w14:paraId="5BC2FC6A" w14:textId="046DA70D" w:rsidR="00AE0E86" w:rsidRPr="00487325" w:rsidRDefault="00AE0E86" w:rsidP="00487325">
      <w:pPr>
        <w:spacing w:line="360" w:lineRule="auto"/>
        <w:rPr>
          <w:rFonts w:ascii="Arial" w:hAnsi="Arial" w:cs="Arial"/>
        </w:rPr>
      </w:pPr>
      <w:r w:rsidRPr="00487325">
        <w:rPr>
          <w:rFonts w:ascii="Arial" w:hAnsi="Arial" w:cs="Arial"/>
        </w:rPr>
        <w:t xml:space="preserve">The characteristics that make a young offender, differ from country to county due to age. This differs due to the age of criminal responsibility. In England and Wales, the age of criminal responsibility is 10 years old. This meaning that any child between the ages of 10 and 17 are liable for arrest, meaning they can be </w:t>
      </w:r>
      <w:r w:rsidR="0087017F" w:rsidRPr="00487325">
        <w:rPr>
          <w:rFonts w:ascii="Arial" w:hAnsi="Arial" w:cs="Arial"/>
        </w:rPr>
        <w:t>summoned</w:t>
      </w:r>
      <w:r w:rsidRPr="00487325">
        <w:rPr>
          <w:rFonts w:ascii="Arial" w:hAnsi="Arial" w:cs="Arial"/>
        </w:rPr>
        <w:t xml:space="preserve"> to court should they be a preparator of crime</w:t>
      </w:r>
      <w:r w:rsidR="00487325">
        <w:rPr>
          <w:rFonts w:ascii="Arial" w:hAnsi="Arial" w:cs="Arial"/>
        </w:rPr>
        <w:t xml:space="preserve"> (</w:t>
      </w:r>
      <w:proofErr w:type="spellStart"/>
      <w:r w:rsidR="00487325">
        <w:rPr>
          <w:rFonts w:ascii="Arial" w:hAnsi="Arial" w:cs="Arial"/>
          <w:color w:val="222222"/>
          <w:sz w:val="20"/>
          <w:szCs w:val="20"/>
          <w:shd w:val="clear" w:color="auto" w:fill="FFFFFF"/>
        </w:rPr>
        <w:t>Delmage</w:t>
      </w:r>
      <w:proofErr w:type="spellEnd"/>
      <w:r w:rsidR="00487325">
        <w:rPr>
          <w:rFonts w:ascii="Arial" w:hAnsi="Arial" w:cs="Arial"/>
          <w:color w:val="222222"/>
          <w:sz w:val="20"/>
          <w:szCs w:val="20"/>
          <w:shd w:val="clear" w:color="auto" w:fill="FFFFFF"/>
        </w:rPr>
        <w:t xml:space="preserve"> ,</w:t>
      </w:r>
      <w:r w:rsidR="00487325">
        <w:rPr>
          <w:rFonts w:ascii="Arial" w:hAnsi="Arial" w:cs="Arial"/>
          <w:color w:val="222222"/>
          <w:sz w:val="20"/>
          <w:szCs w:val="20"/>
          <w:shd w:val="clear" w:color="auto" w:fill="FFFFFF"/>
        </w:rPr>
        <w:t>2013</w:t>
      </w:r>
      <w:r w:rsidR="00487325">
        <w:rPr>
          <w:rFonts w:ascii="Arial" w:hAnsi="Arial" w:cs="Arial"/>
          <w:color w:val="222222"/>
          <w:sz w:val="20"/>
          <w:szCs w:val="20"/>
          <w:shd w:val="clear" w:color="auto" w:fill="FFFFFF"/>
        </w:rPr>
        <w:t>)</w:t>
      </w:r>
      <w:r w:rsidRPr="00487325">
        <w:rPr>
          <w:rFonts w:ascii="Arial" w:hAnsi="Arial" w:cs="Arial"/>
        </w:rPr>
        <w:t xml:space="preserve">. However, their treatment comes with a level of consideration. These young individuals are reprimanded for their </w:t>
      </w:r>
      <w:r w:rsidR="00111417" w:rsidRPr="00487325">
        <w:rPr>
          <w:rFonts w:ascii="Arial" w:hAnsi="Arial" w:cs="Arial"/>
        </w:rPr>
        <w:t>crimes,</w:t>
      </w:r>
      <w:r w:rsidRPr="00487325">
        <w:rPr>
          <w:rFonts w:ascii="Arial" w:hAnsi="Arial" w:cs="Arial"/>
        </w:rPr>
        <w:t xml:space="preserve"> however, are treated considerably different than an adult of criminal responsibility. The young </w:t>
      </w:r>
      <w:r w:rsidR="00111417" w:rsidRPr="00487325">
        <w:rPr>
          <w:rFonts w:ascii="Arial" w:hAnsi="Arial" w:cs="Arial"/>
        </w:rPr>
        <w:t>individuals</w:t>
      </w:r>
      <w:r w:rsidRPr="00487325">
        <w:rPr>
          <w:rFonts w:ascii="Arial" w:hAnsi="Arial" w:cs="Arial"/>
        </w:rPr>
        <w:t xml:space="preserve"> are dealt with by youth courts. </w:t>
      </w:r>
      <w:r w:rsidR="00111417" w:rsidRPr="00487325">
        <w:rPr>
          <w:rFonts w:ascii="Arial" w:hAnsi="Arial" w:cs="Arial"/>
        </w:rPr>
        <w:t>A young offender</w:t>
      </w:r>
      <w:r w:rsidRPr="00487325">
        <w:rPr>
          <w:rFonts w:ascii="Arial" w:hAnsi="Arial" w:cs="Arial"/>
        </w:rPr>
        <w:t xml:space="preserve"> is given favourable sentences dependant on their crimes. Young offenders are placed within secure centres rather than average prisons for adults. Whereby the aim is to rehabilitation rather than punishment, this ideation is based on the impacts of environment in behaviour. A theoretical study to support this is the ‘Behavioural Learning Theory’. The Behavioural Learning theory is a theory that suggests that all behaviours are henceforth learned </w:t>
      </w:r>
      <w:r w:rsidR="00111417" w:rsidRPr="00487325">
        <w:rPr>
          <w:rFonts w:ascii="Arial" w:hAnsi="Arial" w:cs="Arial"/>
        </w:rPr>
        <w:t>via environmental interaction</w:t>
      </w:r>
      <w:r w:rsidR="00487325">
        <w:rPr>
          <w:rFonts w:ascii="Arial" w:hAnsi="Arial" w:cs="Arial"/>
        </w:rPr>
        <w:t xml:space="preserve"> (Peel, 2005)</w:t>
      </w:r>
      <w:r w:rsidR="00111417" w:rsidRPr="00487325">
        <w:rPr>
          <w:rFonts w:ascii="Arial" w:hAnsi="Arial" w:cs="Arial"/>
        </w:rPr>
        <w:t xml:space="preserve">. Ultimately suggesting that all inhibited behaviours are learned or inherited by the </w:t>
      </w:r>
      <w:r w:rsidR="00111417" w:rsidRPr="00487325">
        <w:rPr>
          <w:rFonts w:ascii="Arial" w:hAnsi="Arial" w:cs="Arial"/>
        </w:rPr>
        <w:lastRenderedPageBreak/>
        <w:t>people and the environment surrounding (</w:t>
      </w:r>
      <w:r w:rsidR="00111417" w:rsidRPr="00111417">
        <w:rPr>
          <w:rFonts w:ascii="Arial" w:hAnsi="Arial" w:cs="Arial"/>
          <w:color w:val="222222"/>
          <w:sz w:val="20"/>
          <w:szCs w:val="20"/>
          <w:shd w:val="clear" w:color="auto" w:fill="FFFFFF"/>
        </w:rPr>
        <w:t>Walker, 2017</w:t>
      </w:r>
      <w:r w:rsidR="00111417" w:rsidRPr="00487325">
        <w:rPr>
          <w:rFonts w:ascii="Arial" w:hAnsi="Arial" w:cs="Arial"/>
          <w:color w:val="222222"/>
          <w:sz w:val="20"/>
          <w:szCs w:val="20"/>
          <w:shd w:val="clear" w:color="auto" w:fill="FFFFFF"/>
        </w:rPr>
        <w:t>)</w:t>
      </w:r>
      <w:r w:rsidR="00111417" w:rsidRPr="00487325">
        <w:rPr>
          <w:rFonts w:ascii="Arial" w:hAnsi="Arial" w:cs="Arial"/>
        </w:rPr>
        <w:t xml:space="preserve">.  The age of criminal responsibility being 10 </w:t>
      </w:r>
      <w:r w:rsidR="0087017F" w:rsidRPr="00487325">
        <w:rPr>
          <w:rFonts w:ascii="Arial" w:hAnsi="Arial" w:cs="Arial"/>
        </w:rPr>
        <w:t>years</w:t>
      </w:r>
      <w:r w:rsidR="00111417" w:rsidRPr="00487325">
        <w:rPr>
          <w:rFonts w:ascii="Arial" w:hAnsi="Arial" w:cs="Arial"/>
        </w:rPr>
        <w:t xml:space="preserve"> old, doesn’t </w:t>
      </w:r>
      <w:r w:rsidR="0087017F" w:rsidRPr="00487325">
        <w:rPr>
          <w:rFonts w:ascii="Arial" w:hAnsi="Arial" w:cs="Arial"/>
        </w:rPr>
        <w:t>necessarily</w:t>
      </w:r>
      <w:r w:rsidR="00111417" w:rsidRPr="00487325">
        <w:rPr>
          <w:rFonts w:ascii="Arial" w:hAnsi="Arial" w:cs="Arial"/>
        </w:rPr>
        <w:t xml:space="preserve"> mean that all young individuals below that age is </w:t>
      </w:r>
      <w:r w:rsidR="0087017F" w:rsidRPr="00487325">
        <w:rPr>
          <w:rFonts w:ascii="Arial" w:hAnsi="Arial" w:cs="Arial"/>
        </w:rPr>
        <w:t>eligible</w:t>
      </w:r>
      <w:r w:rsidR="00111417" w:rsidRPr="00487325">
        <w:rPr>
          <w:rFonts w:ascii="Arial" w:hAnsi="Arial" w:cs="Arial"/>
        </w:rPr>
        <w:t xml:space="preserve"> or a ‘free pass’ to criminality, there are some sanctions though there is more emphasis on support. As it stands, children under the age of 10 cannot be charged however, they can be issued with a child safety order or a local child curfew. The </w:t>
      </w:r>
      <w:r w:rsidR="0087017F" w:rsidRPr="00487325">
        <w:rPr>
          <w:rFonts w:ascii="Arial" w:hAnsi="Arial" w:cs="Arial"/>
        </w:rPr>
        <w:t>likelihood</w:t>
      </w:r>
      <w:r w:rsidR="00111417" w:rsidRPr="00487325">
        <w:rPr>
          <w:rFonts w:ascii="Arial" w:hAnsi="Arial" w:cs="Arial"/>
        </w:rPr>
        <w:t xml:space="preserve"> of a child offender below the age of 10, is considerably unlikely. In this scenario, an in-depth investigation/ emphasis on </w:t>
      </w:r>
      <w:r w:rsidR="0087017F" w:rsidRPr="00487325">
        <w:rPr>
          <w:rFonts w:ascii="Arial" w:hAnsi="Arial" w:cs="Arial"/>
        </w:rPr>
        <w:t>parents’ responsibility is necessary</w:t>
      </w:r>
      <w:r w:rsidR="00487325">
        <w:rPr>
          <w:rFonts w:ascii="Arial" w:hAnsi="Arial" w:cs="Arial"/>
        </w:rPr>
        <w:t xml:space="preserve"> (</w:t>
      </w:r>
      <w:proofErr w:type="spellStart"/>
      <w:r w:rsidR="00487325">
        <w:rPr>
          <w:rFonts w:ascii="Arial" w:hAnsi="Arial" w:cs="Arial"/>
        </w:rPr>
        <w:t>McDiarmid</w:t>
      </w:r>
      <w:proofErr w:type="spellEnd"/>
      <w:r w:rsidR="00487325">
        <w:rPr>
          <w:rFonts w:ascii="Arial" w:hAnsi="Arial" w:cs="Arial"/>
        </w:rPr>
        <w:t>, 2013).</w:t>
      </w:r>
      <w:r w:rsidR="0087017F" w:rsidRPr="00487325">
        <w:rPr>
          <w:rFonts w:ascii="Arial" w:hAnsi="Arial" w:cs="Arial"/>
        </w:rPr>
        <w:t xml:space="preserve"> Contrary to this, the criminal procedure for Scotland is different. In Scotland, the age of criminal responsibility is 8 years old. This subsequently meaning that all children above the age of 8 can be arrested and charged for a crime. With this, the age of criminal prosecution is 12 years old. Children who are between the ages of 8 and 11 are dealt within a children’s Hearing, whilst children aged between 12 and 16 can be taken to court although, this is primarily for perpetrators of serious crime</w:t>
      </w:r>
      <w:r w:rsidR="00487325">
        <w:rPr>
          <w:rFonts w:ascii="Arial" w:hAnsi="Arial" w:cs="Arial"/>
        </w:rPr>
        <w:t xml:space="preserve"> (Elliott, 2011)</w:t>
      </w:r>
      <w:r w:rsidR="0087017F" w:rsidRPr="00487325">
        <w:rPr>
          <w:rFonts w:ascii="Arial" w:hAnsi="Arial" w:cs="Arial"/>
        </w:rPr>
        <w:t xml:space="preserve">. </w:t>
      </w:r>
    </w:p>
    <w:p w14:paraId="3D3FE860" w14:textId="5C0747D2" w:rsidR="00AE0E86" w:rsidRPr="00487325" w:rsidRDefault="00AE0E86" w:rsidP="00487325">
      <w:pPr>
        <w:spacing w:line="360" w:lineRule="auto"/>
        <w:rPr>
          <w:rFonts w:ascii="Arial" w:hAnsi="Arial" w:cs="Arial"/>
        </w:rPr>
      </w:pPr>
    </w:p>
    <w:p w14:paraId="1E5B1BB5" w14:textId="2842AF1E" w:rsidR="0087017F" w:rsidRPr="00487325" w:rsidRDefault="0087017F" w:rsidP="00487325">
      <w:pPr>
        <w:spacing w:line="360" w:lineRule="auto"/>
        <w:rPr>
          <w:rFonts w:ascii="Arial" w:hAnsi="Arial" w:cs="Arial"/>
        </w:rPr>
      </w:pPr>
    </w:p>
    <w:p w14:paraId="2144ECDD" w14:textId="6C3FA164" w:rsidR="0087017F" w:rsidRPr="00487325" w:rsidRDefault="0087017F" w:rsidP="00487325">
      <w:pPr>
        <w:spacing w:line="360" w:lineRule="auto"/>
        <w:rPr>
          <w:rFonts w:ascii="Arial" w:hAnsi="Arial" w:cs="Arial"/>
        </w:rPr>
      </w:pPr>
    </w:p>
    <w:p w14:paraId="601F61A0" w14:textId="64AD37BF" w:rsidR="0087017F" w:rsidRPr="00487325" w:rsidRDefault="0087017F" w:rsidP="00487325">
      <w:pPr>
        <w:spacing w:line="360" w:lineRule="auto"/>
        <w:rPr>
          <w:rFonts w:ascii="Arial" w:hAnsi="Arial" w:cs="Arial"/>
        </w:rPr>
      </w:pPr>
      <w:r w:rsidRPr="00487325">
        <w:rPr>
          <w:rFonts w:ascii="Arial" w:hAnsi="Arial" w:cs="Arial"/>
        </w:rPr>
        <w:t>Some famous cases involving child offending is ‘Thompson and Venables’, as well as the ‘</w:t>
      </w:r>
      <w:proofErr w:type="spellStart"/>
      <w:r w:rsidRPr="00487325">
        <w:rPr>
          <w:rFonts w:ascii="Arial" w:hAnsi="Arial" w:cs="Arial"/>
        </w:rPr>
        <w:t>Tondheim</w:t>
      </w:r>
      <w:proofErr w:type="spellEnd"/>
      <w:r w:rsidRPr="00487325">
        <w:rPr>
          <w:rFonts w:ascii="Arial" w:hAnsi="Arial" w:cs="Arial"/>
        </w:rPr>
        <w:t xml:space="preserve"> case’. On the 12</w:t>
      </w:r>
      <w:r w:rsidRPr="00487325">
        <w:rPr>
          <w:rFonts w:ascii="Arial" w:hAnsi="Arial" w:cs="Arial"/>
          <w:vertAlign w:val="superscript"/>
        </w:rPr>
        <w:t>th</w:t>
      </w:r>
      <w:r w:rsidRPr="00487325">
        <w:rPr>
          <w:rFonts w:ascii="Arial" w:hAnsi="Arial" w:cs="Arial"/>
        </w:rPr>
        <w:t xml:space="preserve"> of February 1993, two </w:t>
      </w:r>
      <w:proofErr w:type="gramStart"/>
      <w:r w:rsidRPr="00487325">
        <w:rPr>
          <w:rFonts w:ascii="Arial" w:hAnsi="Arial" w:cs="Arial"/>
        </w:rPr>
        <w:t>ten year old</w:t>
      </w:r>
      <w:proofErr w:type="gramEnd"/>
      <w:r w:rsidRPr="00487325">
        <w:rPr>
          <w:rFonts w:ascii="Arial" w:hAnsi="Arial" w:cs="Arial"/>
        </w:rPr>
        <w:t xml:space="preserve"> boys Robert Thompson and John Venables abducted and murdered two year old James Bulger</w:t>
      </w:r>
      <w:r w:rsidR="00487325">
        <w:rPr>
          <w:rFonts w:ascii="Arial" w:hAnsi="Arial" w:cs="Arial"/>
        </w:rPr>
        <w:t xml:space="preserve"> (</w:t>
      </w:r>
      <w:proofErr w:type="spellStart"/>
      <w:r w:rsidR="00487325">
        <w:rPr>
          <w:rFonts w:ascii="Arial" w:hAnsi="Arial" w:cs="Arial"/>
        </w:rPr>
        <w:t>Rowbotham</w:t>
      </w:r>
      <w:proofErr w:type="spellEnd"/>
      <w:r w:rsidR="00487325">
        <w:rPr>
          <w:rFonts w:ascii="Arial" w:hAnsi="Arial" w:cs="Arial"/>
        </w:rPr>
        <w:t>, 2003)</w:t>
      </w:r>
      <w:r w:rsidRPr="00487325">
        <w:rPr>
          <w:rFonts w:ascii="Arial" w:hAnsi="Arial" w:cs="Arial"/>
        </w:rPr>
        <w:t>. When looking at characteristics of both children, it appears they were very similar in terms of their upbringing. Many people have studied these characteristics to determine why young offenders commit crimes, to uncover the contributing factors that fundamentally makes a criminal. Thompson was described as a difficult child, mum was described an alcoholic, divorced parents, family was heavily involved with social services</w:t>
      </w:r>
      <w:r w:rsidR="00487325">
        <w:rPr>
          <w:rFonts w:ascii="Arial" w:hAnsi="Arial" w:cs="Arial"/>
        </w:rPr>
        <w:t xml:space="preserve"> (</w:t>
      </w:r>
      <w:proofErr w:type="spellStart"/>
      <w:r w:rsidR="00487325">
        <w:rPr>
          <w:rFonts w:ascii="Arial" w:hAnsi="Arial" w:cs="Arial"/>
        </w:rPr>
        <w:t>Gurnham</w:t>
      </w:r>
      <w:proofErr w:type="spellEnd"/>
      <w:r w:rsidR="00487325">
        <w:rPr>
          <w:rFonts w:ascii="Arial" w:hAnsi="Arial" w:cs="Arial"/>
        </w:rPr>
        <w:t>, 2003)</w:t>
      </w:r>
      <w:r w:rsidRPr="00487325">
        <w:rPr>
          <w:rFonts w:ascii="Arial" w:hAnsi="Arial" w:cs="Arial"/>
        </w:rPr>
        <w:t xml:space="preserve">. Venables displayed hyperactivity, feared his mother, lack of engagement within the community. The factors that both </w:t>
      </w:r>
      <w:proofErr w:type="gramStart"/>
      <w:r w:rsidRPr="00487325">
        <w:rPr>
          <w:rFonts w:ascii="Arial" w:hAnsi="Arial" w:cs="Arial"/>
        </w:rPr>
        <w:t>boy</w:t>
      </w:r>
      <w:proofErr w:type="gramEnd"/>
      <w:r w:rsidRPr="00487325">
        <w:rPr>
          <w:rFonts w:ascii="Arial" w:hAnsi="Arial" w:cs="Arial"/>
        </w:rPr>
        <w:t xml:space="preserve"> had in common were that they came from single parent/ broken homes, both received poor education, both feared their frequently absent mother and had no father figure. Due to their age of 10 making them criminally responsible, they were sentenced to indefinite </w:t>
      </w:r>
      <w:r w:rsidR="002C1D7F" w:rsidRPr="00487325">
        <w:rPr>
          <w:rFonts w:ascii="Arial" w:hAnsi="Arial" w:cs="Arial"/>
        </w:rPr>
        <w:t>detention</w:t>
      </w:r>
      <w:r w:rsidRPr="00487325">
        <w:rPr>
          <w:rFonts w:ascii="Arial" w:hAnsi="Arial" w:cs="Arial"/>
        </w:rPr>
        <w:t xml:space="preserve"> immediately. </w:t>
      </w:r>
      <w:r w:rsidR="002C1D7F" w:rsidRPr="00487325">
        <w:rPr>
          <w:rFonts w:ascii="Arial" w:hAnsi="Arial" w:cs="Arial"/>
        </w:rPr>
        <w:t>As a form of curving reoffending, both boys were cared for in a secure unit under different names, with 24hr care and monitoring. They were provided with education and extensive support</w:t>
      </w:r>
      <w:r w:rsidR="00487325">
        <w:rPr>
          <w:rFonts w:ascii="Arial" w:hAnsi="Arial" w:cs="Arial"/>
        </w:rPr>
        <w:t xml:space="preserve"> (Haydon, 2000)</w:t>
      </w:r>
      <w:r w:rsidR="002C1D7F" w:rsidRPr="00487325">
        <w:rPr>
          <w:rFonts w:ascii="Arial" w:hAnsi="Arial" w:cs="Arial"/>
        </w:rPr>
        <w:t xml:space="preserve">. </w:t>
      </w:r>
    </w:p>
    <w:p w14:paraId="33B37EF1" w14:textId="0819C230" w:rsidR="0087017F" w:rsidRPr="00487325" w:rsidRDefault="0087017F" w:rsidP="00487325">
      <w:pPr>
        <w:spacing w:line="360" w:lineRule="auto"/>
        <w:rPr>
          <w:rFonts w:ascii="Arial" w:hAnsi="Arial" w:cs="Arial"/>
        </w:rPr>
      </w:pPr>
    </w:p>
    <w:p w14:paraId="5F3B6EB9" w14:textId="6652E25D" w:rsidR="0087017F" w:rsidRPr="00487325" w:rsidRDefault="0087017F" w:rsidP="00487325">
      <w:pPr>
        <w:spacing w:line="360" w:lineRule="auto"/>
        <w:rPr>
          <w:rFonts w:ascii="Arial" w:hAnsi="Arial" w:cs="Arial"/>
        </w:rPr>
      </w:pPr>
      <w:r w:rsidRPr="00487325">
        <w:rPr>
          <w:rFonts w:ascii="Arial" w:hAnsi="Arial" w:cs="Arial"/>
        </w:rPr>
        <w:t>Contrary to this, is the T</w:t>
      </w:r>
      <w:r w:rsidR="00487325">
        <w:rPr>
          <w:rFonts w:ascii="Arial" w:hAnsi="Arial" w:cs="Arial"/>
        </w:rPr>
        <w:t>r</w:t>
      </w:r>
      <w:r w:rsidRPr="00487325">
        <w:rPr>
          <w:rFonts w:ascii="Arial" w:hAnsi="Arial" w:cs="Arial"/>
        </w:rPr>
        <w:t xml:space="preserve">ondheim case. In October 1994, three children were playing outside in the snow, two boys aged 6 and a girl aged 5 named </w:t>
      </w:r>
      <w:proofErr w:type="spellStart"/>
      <w:r w:rsidRPr="00487325">
        <w:rPr>
          <w:rFonts w:ascii="Arial" w:hAnsi="Arial" w:cs="Arial"/>
        </w:rPr>
        <w:t>Silje</w:t>
      </w:r>
      <w:proofErr w:type="spellEnd"/>
      <w:r w:rsidRPr="00487325">
        <w:rPr>
          <w:rFonts w:ascii="Arial" w:hAnsi="Arial" w:cs="Arial"/>
        </w:rPr>
        <w:t xml:space="preserve"> </w:t>
      </w:r>
      <w:proofErr w:type="spellStart"/>
      <w:r w:rsidRPr="00487325">
        <w:rPr>
          <w:rFonts w:ascii="Arial" w:hAnsi="Arial" w:cs="Arial"/>
        </w:rPr>
        <w:t>Redergard</w:t>
      </w:r>
      <w:proofErr w:type="spellEnd"/>
      <w:r w:rsidRPr="00487325">
        <w:rPr>
          <w:rFonts w:ascii="Arial" w:hAnsi="Arial" w:cs="Arial"/>
        </w:rPr>
        <w:t xml:space="preserve">. The two boys murdered </w:t>
      </w:r>
      <w:proofErr w:type="spellStart"/>
      <w:r w:rsidRPr="00487325">
        <w:rPr>
          <w:rFonts w:ascii="Arial" w:hAnsi="Arial" w:cs="Arial"/>
        </w:rPr>
        <w:t>Redgergard</w:t>
      </w:r>
      <w:proofErr w:type="spellEnd"/>
      <w:r w:rsidRPr="00487325">
        <w:rPr>
          <w:rFonts w:ascii="Arial" w:hAnsi="Arial" w:cs="Arial"/>
        </w:rPr>
        <w:t xml:space="preserve"> by beating her to death with stones, following an altercation. After the beating, the two boys removed her clothes and left to die outside in the snow. </w:t>
      </w:r>
      <w:r w:rsidR="002C1D7F" w:rsidRPr="00487325">
        <w:rPr>
          <w:rFonts w:ascii="Arial" w:hAnsi="Arial" w:cs="Arial"/>
        </w:rPr>
        <w:t>Norway’s response to this brutal killing, due to the criminal responsibility age being 15</w:t>
      </w:r>
      <w:r w:rsidR="00487325">
        <w:rPr>
          <w:rFonts w:ascii="Arial" w:hAnsi="Arial" w:cs="Arial"/>
        </w:rPr>
        <w:t xml:space="preserve"> (Grau, 2002)</w:t>
      </w:r>
      <w:r w:rsidR="002C1D7F" w:rsidRPr="00487325">
        <w:rPr>
          <w:rFonts w:ascii="Arial" w:hAnsi="Arial" w:cs="Arial"/>
        </w:rPr>
        <w:t xml:space="preserve">. Because of this, mum and stepdad of the boys were found guilty and blamed for the killing. Mum and dad were further investigated and found guilty </w:t>
      </w:r>
      <w:proofErr w:type="gramStart"/>
      <w:r w:rsidR="002C1D7F" w:rsidRPr="00487325">
        <w:rPr>
          <w:rFonts w:ascii="Arial" w:hAnsi="Arial" w:cs="Arial"/>
        </w:rPr>
        <w:t>for</w:t>
      </w:r>
      <w:proofErr w:type="gramEnd"/>
      <w:r w:rsidR="002C1D7F" w:rsidRPr="00487325">
        <w:rPr>
          <w:rFonts w:ascii="Arial" w:hAnsi="Arial" w:cs="Arial"/>
        </w:rPr>
        <w:t xml:space="preserve"> neglect and child abuse. As a way of early intervention, both boys were situated in new schools with new identities, provided with extensive care packages along with a high standard of education</w:t>
      </w:r>
      <w:r w:rsidR="00487325">
        <w:rPr>
          <w:rFonts w:ascii="Arial" w:hAnsi="Arial" w:cs="Arial"/>
        </w:rPr>
        <w:t xml:space="preserve"> (</w:t>
      </w:r>
      <w:proofErr w:type="spellStart"/>
      <w:r w:rsidR="00487325">
        <w:rPr>
          <w:rFonts w:ascii="Arial" w:hAnsi="Arial" w:cs="Arial"/>
        </w:rPr>
        <w:t>Kehily</w:t>
      </w:r>
      <w:proofErr w:type="spellEnd"/>
      <w:r w:rsidR="00487325">
        <w:rPr>
          <w:rFonts w:ascii="Arial" w:hAnsi="Arial" w:cs="Arial"/>
        </w:rPr>
        <w:t>, 2004)</w:t>
      </w:r>
      <w:r w:rsidR="002C1D7F" w:rsidRPr="00487325">
        <w:rPr>
          <w:rFonts w:ascii="Arial" w:hAnsi="Arial" w:cs="Arial"/>
        </w:rPr>
        <w:t xml:space="preserve">. </w:t>
      </w:r>
    </w:p>
    <w:p w14:paraId="5A67A94D" w14:textId="55D6D121" w:rsidR="00AE0E86" w:rsidRPr="00487325" w:rsidRDefault="00AE0E86" w:rsidP="00487325">
      <w:pPr>
        <w:spacing w:line="360" w:lineRule="auto"/>
        <w:rPr>
          <w:rFonts w:ascii="Arial" w:hAnsi="Arial" w:cs="Arial"/>
        </w:rPr>
      </w:pPr>
    </w:p>
    <w:p w14:paraId="0AB9CA10" w14:textId="050266F0" w:rsidR="002C1D7F" w:rsidRPr="00487325" w:rsidRDefault="002C1D7F" w:rsidP="00487325">
      <w:pPr>
        <w:spacing w:line="360" w:lineRule="auto"/>
        <w:rPr>
          <w:rFonts w:ascii="Arial" w:hAnsi="Arial" w:cs="Arial"/>
        </w:rPr>
      </w:pPr>
      <w:r w:rsidRPr="00487325">
        <w:rPr>
          <w:rFonts w:ascii="Arial" w:hAnsi="Arial" w:cs="Arial"/>
        </w:rPr>
        <w:t xml:space="preserve">The correlation between both cases is that all 4 perpetrators experienced Adverse child experiences (ACE). Both cases came from broken homes, suffering emotional neglect and abuse from a mother figure. Following prosecution, all 4 boys received a level of early intervention to ultimately prevent re-offending. All 4 boys having the same experience and the exact same level of support, 2 out of 4 boys received this well and were able to live a relatively normal life. However, the other had reportedly rejected all aids and went on to a life of drugs and further criminal activity. Therefore, concluding that early intervention in these scenarios was only 50% effective against re-offending however, it is fair to say that the ‘early intervention’ was not in place early enough. Forms of early intervention such as social services involvement could’ve potentially prevented the events from taking place, had measures to identify the children’s vulnerability been in place sooner. </w:t>
      </w:r>
    </w:p>
    <w:p w14:paraId="01C86E2D" w14:textId="01375279" w:rsidR="00AE0E86" w:rsidRPr="00487325" w:rsidRDefault="00AE0E86" w:rsidP="00487325">
      <w:pPr>
        <w:spacing w:line="360" w:lineRule="auto"/>
        <w:rPr>
          <w:rFonts w:ascii="Arial" w:hAnsi="Arial" w:cs="Arial"/>
        </w:rPr>
      </w:pPr>
    </w:p>
    <w:p w14:paraId="4263ABAE" w14:textId="04BE1ADC" w:rsidR="00AE0E86" w:rsidRPr="00487325" w:rsidRDefault="00AE0E86" w:rsidP="00487325">
      <w:pPr>
        <w:spacing w:line="360" w:lineRule="auto"/>
        <w:rPr>
          <w:rFonts w:ascii="Arial" w:hAnsi="Arial" w:cs="Arial"/>
        </w:rPr>
      </w:pPr>
    </w:p>
    <w:p w14:paraId="17EFF36C" w14:textId="5F1BC22F" w:rsidR="00AE0E86" w:rsidRPr="00487325" w:rsidRDefault="002C1D7F" w:rsidP="00487325">
      <w:pPr>
        <w:spacing w:line="360" w:lineRule="auto"/>
        <w:rPr>
          <w:rFonts w:ascii="Arial" w:hAnsi="Arial" w:cs="Arial"/>
        </w:rPr>
      </w:pPr>
      <w:r w:rsidRPr="00487325">
        <w:rPr>
          <w:rFonts w:ascii="Arial" w:hAnsi="Arial" w:cs="Arial"/>
        </w:rPr>
        <w:t>As stated, it is clear that Adverse Child experiences play a significant role in</w:t>
      </w:r>
      <w:r w:rsidR="00BC309C" w:rsidRPr="00487325">
        <w:rPr>
          <w:rFonts w:ascii="Arial" w:hAnsi="Arial" w:cs="Arial"/>
        </w:rPr>
        <w:t xml:space="preserve"> someone committing crime</w:t>
      </w:r>
      <w:r w:rsidRPr="00487325">
        <w:rPr>
          <w:rFonts w:ascii="Arial" w:hAnsi="Arial" w:cs="Arial"/>
        </w:rPr>
        <w:t xml:space="preserve">. </w:t>
      </w:r>
      <w:r w:rsidR="00B17928" w:rsidRPr="00487325">
        <w:rPr>
          <w:rFonts w:ascii="Arial" w:hAnsi="Arial" w:cs="Arial"/>
        </w:rPr>
        <w:t>Adverse Childhood Experiences are traumatic experiences that occurs to an individual before the age o</w:t>
      </w:r>
      <w:r w:rsidR="00487325">
        <w:rPr>
          <w:rFonts w:ascii="Arial" w:hAnsi="Arial" w:cs="Arial"/>
        </w:rPr>
        <w:t>f</w:t>
      </w:r>
      <w:r w:rsidR="00B17928" w:rsidRPr="00487325">
        <w:rPr>
          <w:rFonts w:ascii="Arial" w:hAnsi="Arial" w:cs="Arial"/>
        </w:rPr>
        <w:t xml:space="preserve"> 18</w:t>
      </w:r>
      <w:r w:rsidR="00487325">
        <w:rPr>
          <w:rFonts w:ascii="Arial" w:hAnsi="Arial" w:cs="Arial"/>
        </w:rPr>
        <w:t xml:space="preserve"> (</w:t>
      </w:r>
      <w:proofErr w:type="spellStart"/>
      <w:r w:rsidR="00487325">
        <w:rPr>
          <w:rFonts w:ascii="Arial" w:hAnsi="Arial" w:cs="Arial"/>
        </w:rPr>
        <w:t>Reavis</w:t>
      </w:r>
      <w:proofErr w:type="spellEnd"/>
      <w:r w:rsidR="00487325">
        <w:rPr>
          <w:rFonts w:ascii="Arial" w:hAnsi="Arial" w:cs="Arial"/>
        </w:rPr>
        <w:t>, 2018)</w:t>
      </w:r>
      <w:r w:rsidR="00B17928" w:rsidRPr="00487325">
        <w:rPr>
          <w:rFonts w:ascii="Arial" w:hAnsi="Arial" w:cs="Arial"/>
        </w:rPr>
        <w:t xml:space="preserve">. This can mean any form of abuse, that be emotional, physical or sexual. This can also mean coming from a broken home, divorces parents, or a household with domestic violence. Any traumatic experience witnessed as a child, dramatically impacts the future of the child, primarily negative. Studies show that experiencing ACE can increase risk of alcoholism and smoking 4 times. A person is also fourteen times </w:t>
      </w:r>
      <w:r w:rsidR="00B17928" w:rsidRPr="00487325">
        <w:rPr>
          <w:rFonts w:ascii="Arial" w:hAnsi="Arial" w:cs="Arial"/>
        </w:rPr>
        <w:lastRenderedPageBreak/>
        <w:t xml:space="preserve">more likely to be involved in violence and 20 times more likely to be imprisoned following this type of childhood. </w:t>
      </w:r>
      <w:r w:rsidR="00BC309C" w:rsidRPr="00487325">
        <w:rPr>
          <w:rFonts w:ascii="Arial" w:hAnsi="Arial" w:cs="Arial"/>
        </w:rPr>
        <w:t>ACE can cause overall poor mental wellbeing, mental illness, sometimes physical illness, as well as premature mortality. Studies stated that men who experience 2 ACE’s are 57% more likely to die a premature death than the average man</w:t>
      </w:r>
      <w:r w:rsidR="00487325">
        <w:rPr>
          <w:rFonts w:ascii="Arial" w:hAnsi="Arial" w:cs="Arial"/>
        </w:rPr>
        <w:t xml:space="preserve"> (</w:t>
      </w:r>
      <w:proofErr w:type="spellStart"/>
      <w:r w:rsidR="00487325">
        <w:rPr>
          <w:rFonts w:ascii="Arial" w:hAnsi="Arial" w:cs="Arial"/>
        </w:rPr>
        <w:t>DeLisi</w:t>
      </w:r>
      <w:proofErr w:type="spellEnd"/>
      <w:r w:rsidR="00487325">
        <w:rPr>
          <w:rFonts w:ascii="Arial" w:hAnsi="Arial" w:cs="Arial"/>
        </w:rPr>
        <w:t>, 2017)</w:t>
      </w:r>
      <w:r w:rsidR="00BC309C" w:rsidRPr="00487325">
        <w:rPr>
          <w:rFonts w:ascii="Arial" w:hAnsi="Arial" w:cs="Arial"/>
        </w:rPr>
        <w:t xml:space="preserve">. There is significant research to prove correlation between experiencing ACE and being a victim of crime. In the same hand, people who have these experienced Ace are 9 times more likely to become preparators of crime.  </w:t>
      </w:r>
      <w:r w:rsidR="00374823" w:rsidRPr="00487325">
        <w:rPr>
          <w:rFonts w:ascii="Arial" w:hAnsi="Arial" w:cs="Arial"/>
        </w:rPr>
        <w:t>One of the methods of early intervention introduced by the government to curve offending, is specifically targeted at families and children who have experienced ACE. Called ‘The Troubled Families programme’ is a programme that targets intervention by identifying ‘troubled families’ within the locality, working closely offering personalised support packaged. By 2015, 120,000 families were worked with, producing a 99% turn around</w:t>
      </w:r>
      <w:r w:rsidR="00487325">
        <w:rPr>
          <w:rFonts w:ascii="Arial" w:hAnsi="Arial" w:cs="Arial"/>
        </w:rPr>
        <w:t xml:space="preserve"> (Sayer, 2017)</w:t>
      </w:r>
      <w:r w:rsidR="00374823" w:rsidRPr="00487325">
        <w:rPr>
          <w:rFonts w:ascii="Arial" w:hAnsi="Arial" w:cs="Arial"/>
        </w:rPr>
        <w:t>.</w:t>
      </w:r>
    </w:p>
    <w:p w14:paraId="2C195DE8" w14:textId="71A8851A" w:rsidR="00374823" w:rsidRPr="00487325" w:rsidRDefault="00374823" w:rsidP="00487325">
      <w:pPr>
        <w:spacing w:line="360" w:lineRule="auto"/>
        <w:rPr>
          <w:rFonts w:ascii="Arial" w:hAnsi="Arial" w:cs="Arial"/>
        </w:rPr>
      </w:pPr>
    </w:p>
    <w:p w14:paraId="1DFF36E4" w14:textId="7BCB9A2F" w:rsidR="00374823" w:rsidRPr="00487325" w:rsidRDefault="00C25907" w:rsidP="00487325">
      <w:pPr>
        <w:spacing w:line="360" w:lineRule="auto"/>
        <w:rPr>
          <w:rFonts w:ascii="Arial" w:hAnsi="Arial" w:cs="Arial"/>
        </w:rPr>
      </w:pPr>
      <w:r w:rsidRPr="00487325">
        <w:rPr>
          <w:rFonts w:ascii="Arial" w:hAnsi="Arial" w:cs="Arial"/>
        </w:rPr>
        <w:t>Contrary to this, there are some cases in which young individuals are subject to crime without experiencing any Adverse Child experiences. An example of this is radicalisation. This process is being groomed potentially online or in person to believe certain beliefs, this includes exposure to violent and inappropriate information. This is often seen in young girls/ boys being brain washed/ radicalised to commit terrorist related crimes</w:t>
      </w:r>
      <w:r w:rsidR="00487325">
        <w:rPr>
          <w:rFonts w:ascii="Arial" w:hAnsi="Arial" w:cs="Arial"/>
        </w:rPr>
        <w:t xml:space="preserve"> (Stanley, 2015)</w:t>
      </w:r>
      <w:r w:rsidRPr="00487325">
        <w:rPr>
          <w:rFonts w:ascii="Arial" w:hAnsi="Arial" w:cs="Arial"/>
        </w:rPr>
        <w:t>. Salman Abedi, the suicide bomber who detonated a bomb in Manchester Arena is an example of a young radicalisation victim</w:t>
      </w:r>
      <w:r w:rsidR="00487325">
        <w:rPr>
          <w:rFonts w:ascii="Arial" w:hAnsi="Arial" w:cs="Arial"/>
        </w:rPr>
        <w:t xml:space="preserve"> (Cottee, 2017)</w:t>
      </w:r>
      <w:r w:rsidRPr="00487325">
        <w:rPr>
          <w:rFonts w:ascii="Arial" w:hAnsi="Arial" w:cs="Arial"/>
        </w:rPr>
        <w:t>. Since this, there has been sufficient emphasis and funding in the government scheme ‘PREVENT’. Prevent is a programme for early intervention targeted at identifying any potential terrorist activity. It received referrals which then trigger a multi-agency response to tackle the issues</w:t>
      </w:r>
      <w:r w:rsidR="00487325">
        <w:rPr>
          <w:rFonts w:ascii="Arial" w:hAnsi="Arial" w:cs="Arial"/>
        </w:rPr>
        <w:t xml:space="preserve"> (Philips, 2017)</w:t>
      </w:r>
      <w:r w:rsidRPr="00487325">
        <w:rPr>
          <w:rFonts w:ascii="Arial" w:hAnsi="Arial" w:cs="Arial"/>
        </w:rPr>
        <w:t>. An example of how prevent can be utilised is within schools. If Schools suspect a child displaying odd behaviour or receive intel of a child who has terrorist ideologies, prevent is who the school refer to. Once this referral is made, the response from prevent would equally be shared to appropriate agencies</w:t>
      </w:r>
      <w:r w:rsidR="00487325">
        <w:rPr>
          <w:rFonts w:ascii="Arial" w:hAnsi="Arial" w:cs="Arial"/>
        </w:rPr>
        <w:t xml:space="preserve"> (Miller, 2005).</w:t>
      </w:r>
      <w:r w:rsidRPr="00487325">
        <w:rPr>
          <w:rFonts w:ascii="Arial" w:hAnsi="Arial" w:cs="Arial"/>
        </w:rPr>
        <w:t xml:space="preserve"> Agencies such as WECTU, now re branded to the Counter terrorism team within South Wales Police. From this, that individual will be investigated extensively. Should investigations conclude they pose a potential terrorism threat, that young individual would be appointed with a specific officer from Counter Terrorism. This officer would work closely with the individual, monitoring their whereabouts, limiting what information they have access </w:t>
      </w:r>
      <w:r w:rsidRPr="00487325">
        <w:rPr>
          <w:rFonts w:ascii="Arial" w:hAnsi="Arial" w:cs="Arial"/>
        </w:rPr>
        <w:lastRenderedPageBreak/>
        <w:t>to, as well as what people they are meeting up with. That officer would also ensure that the individual received in-depth assessment from an educational psychologist, to evaluate the extent of ideations as well as level of threat that person is posing. From this, the offender management team would manage the individual in a way that incarcerated that person should they misbehave or break their set of rules/ guidelines</w:t>
      </w:r>
      <w:r w:rsidR="00487325">
        <w:rPr>
          <w:rFonts w:ascii="Arial" w:hAnsi="Arial" w:cs="Arial"/>
        </w:rPr>
        <w:t xml:space="preserve"> (Bayley, 2019)</w:t>
      </w:r>
      <w:r w:rsidRPr="00487325">
        <w:rPr>
          <w:rFonts w:ascii="Arial" w:hAnsi="Arial" w:cs="Arial"/>
        </w:rPr>
        <w:t>.</w:t>
      </w:r>
    </w:p>
    <w:p w14:paraId="035C84C8" w14:textId="0F5E9592" w:rsidR="00C25907" w:rsidRPr="00487325" w:rsidRDefault="00C25907" w:rsidP="00487325">
      <w:pPr>
        <w:spacing w:line="360" w:lineRule="auto"/>
        <w:rPr>
          <w:rFonts w:ascii="Arial" w:hAnsi="Arial" w:cs="Arial"/>
        </w:rPr>
      </w:pPr>
    </w:p>
    <w:p w14:paraId="3A9CBC42" w14:textId="29EF0EFD" w:rsidR="00C25907" w:rsidRPr="00487325" w:rsidRDefault="00C25907" w:rsidP="00487325">
      <w:pPr>
        <w:spacing w:line="360" w:lineRule="auto"/>
        <w:rPr>
          <w:rFonts w:ascii="Arial" w:hAnsi="Arial" w:cs="Arial"/>
        </w:rPr>
      </w:pPr>
    </w:p>
    <w:p w14:paraId="531EBFAC" w14:textId="07C519FF" w:rsidR="00C25907" w:rsidRPr="00487325" w:rsidRDefault="00C25907" w:rsidP="00487325">
      <w:pPr>
        <w:spacing w:line="360" w:lineRule="auto"/>
        <w:rPr>
          <w:rFonts w:ascii="Arial" w:hAnsi="Arial" w:cs="Arial"/>
        </w:rPr>
      </w:pPr>
      <w:r w:rsidRPr="00487325">
        <w:rPr>
          <w:rFonts w:ascii="Arial" w:hAnsi="Arial" w:cs="Arial"/>
        </w:rPr>
        <w:t xml:space="preserve">There are multiple types of early intervention imposed by south wales police when dealing with youth offenders. Depending on the severity of the crime, officers can use discretion to decide the legal fate of that individual. Firstly, if the young individual has committed low level crime such as Anti-social Behaviour, this is considered very </w:t>
      </w:r>
      <w:r w:rsidR="00A63F2C" w:rsidRPr="00487325">
        <w:rPr>
          <w:rFonts w:ascii="Arial" w:hAnsi="Arial" w:cs="Arial"/>
        </w:rPr>
        <w:t>low-level</w:t>
      </w:r>
      <w:r w:rsidRPr="00487325">
        <w:rPr>
          <w:rFonts w:ascii="Arial" w:hAnsi="Arial" w:cs="Arial"/>
        </w:rPr>
        <w:t xml:space="preserve"> crime. The Anti-social behaviour system consists of several warning letters to parents before that individual is moved up the stages from 1 all the way to charge however, a charge for anti-social behaviour alone is extremely rare</w:t>
      </w:r>
      <w:r w:rsidR="00487325">
        <w:rPr>
          <w:rFonts w:ascii="Arial" w:hAnsi="Arial" w:cs="Arial"/>
        </w:rPr>
        <w:t xml:space="preserve"> (Millie, 2015)</w:t>
      </w:r>
      <w:r w:rsidRPr="00487325">
        <w:rPr>
          <w:rFonts w:ascii="Arial" w:hAnsi="Arial" w:cs="Arial"/>
        </w:rPr>
        <w:t>. Therefore, an anti-social behaviour call would consist of taking details of the young individuals doing what’s known as a ‘person check’. Once this has been completed officers can use discretion to decide whether a verbal warning is appropriate, or if they should be issues with an Anti-social behaviour warning. Another outcome often used for young offenders is NFA standing for No further action</w:t>
      </w:r>
      <w:r w:rsidR="00487325">
        <w:rPr>
          <w:rFonts w:ascii="Arial" w:hAnsi="Arial" w:cs="Arial"/>
        </w:rPr>
        <w:t xml:space="preserve"> (College of Policing, 2023)</w:t>
      </w:r>
      <w:r w:rsidRPr="00487325">
        <w:rPr>
          <w:rFonts w:ascii="Arial" w:hAnsi="Arial" w:cs="Arial"/>
        </w:rPr>
        <w:t xml:space="preserve">. If an officer deems the behaviour not fit for charge or caution, that young individual can receive a verbal warning and be escorted home. Otherwise, Officers can issue </w:t>
      </w:r>
      <w:r w:rsidR="007051F4" w:rsidRPr="00487325">
        <w:rPr>
          <w:rFonts w:ascii="Arial" w:hAnsi="Arial" w:cs="Arial"/>
        </w:rPr>
        <w:t>what’s</w:t>
      </w:r>
      <w:r w:rsidRPr="00487325">
        <w:rPr>
          <w:rFonts w:ascii="Arial" w:hAnsi="Arial" w:cs="Arial"/>
        </w:rPr>
        <w:t xml:space="preserve"> known as Community Resolution better referred to as Restorative justice (RJ). RJ’s again are issued for fairly low-level crime, whereby the perpetrator is admitting of their crime and the victim is happy for that person to receive a warning meaning they state no formal action</w:t>
      </w:r>
      <w:r w:rsidR="00487325">
        <w:rPr>
          <w:rFonts w:ascii="Arial" w:hAnsi="Arial" w:cs="Arial"/>
        </w:rPr>
        <w:t xml:space="preserve"> (Johnstone, 2013)</w:t>
      </w:r>
      <w:r w:rsidRPr="00487325">
        <w:rPr>
          <w:rFonts w:ascii="Arial" w:hAnsi="Arial" w:cs="Arial"/>
        </w:rPr>
        <w:t xml:space="preserve">. This outcome is particularly used in </w:t>
      </w:r>
      <w:r w:rsidR="007051F4" w:rsidRPr="00487325">
        <w:rPr>
          <w:rFonts w:ascii="Arial" w:hAnsi="Arial" w:cs="Arial"/>
        </w:rPr>
        <w:t>p</w:t>
      </w:r>
      <w:r w:rsidRPr="00487325">
        <w:rPr>
          <w:rFonts w:ascii="Arial" w:hAnsi="Arial" w:cs="Arial"/>
        </w:rPr>
        <w:t xml:space="preserve">olicing as it poses no criminal record for that young individual but provides them with significant warning of their behaviour. </w:t>
      </w:r>
      <w:r w:rsidR="007051F4" w:rsidRPr="00487325">
        <w:rPr>
          <w:rFonts w:ascii="Arial" w:hAnsi="Arial" w:cs="Arial"/>
        </w:rPr>
        <w:t xml:space="preserve">Police officers can impose early intervention by submitting PPN and Early Help referrals for the young individuals they come across. A PPN (Public protection Notice) is a document that is shared with relevant agencies such as schools, GP, Social services, Youth Services etc in order to apply a </w:t>
      </w:r>
      <w:proofErr w:type="spellStart"/>
      <w:r w:rsidR="007051F4" w:rsidRPr="00487325">
        <w:rPr>
          <w:rFonts w:ascii="Arial" w:hAnsi="Arial" w:cs="Arial"/>
        </w:rPr>
        <w:t>multi agency</w:t>
      </w:r>
      <w:proofErr w:type="spellEnd"/>
      <w:r w:rsidR="007051F4" w:rsidRPr="00487325">
        <w:rPr>
          <w:rFonts w:ascii="Arial" w:hAnsi="Arial" w:cs="Arial"/>
        </w:rPr>
        <w:t xml:space="preserve"> approach for young individuals who are considered vulnerable for any reason. ‘Early help’ is a method of early intervention that helps young offenders by allocating a community safety officer to assess that individual as </w:t>
      </w:r>
      <w:r w:rsidR="007051F4" w:rsidRPr="00487325">
        <w:rPr>
          <w:rFonts w:ascii="Arial" w:hAnsi="Arial" w:cs="Arial"/>
        </w:rPr>
        <w:lastRenderedPageBreak/>
        <w:t>well as their home life, to see how the police can play a part in rehabilitation/ crime prevention</w:t>
      </w:r>
      <w:r w:rsidR="00487325">
        <w:rPr>
          <w:rFonts w:ascii="Arial" w:hAnsi="Arial" w:cs="Arial"/>
        </w:rPr>
        <w:t xml:space="preserve"> (NSPCC, 2023)</w:t>
      </w:r>
      <w:r w:rsidR="007051F4" w:rsidRPr="00487325">
        <w:rPr>
          <w:rFonts w:ascii="Arial" w:hAnsi="Arial" w:cs="Arial"/>
        </w:rPr>
        <w:t xml:space="preserve">.  This ties in well with Adverse Child experiences, if an officer thinks a child could be subject to risk of </w:t>
      </w:r>
      <w:proofErr w:type="gramStart"/>
      <w:r w:rsidR="007051F4" w:rsidRPr="00487325">
        <w:rPr>
          <w:rFonts w:ascii="Arial" w:hAnsi="Arial" w:cs="Arial"/>
        </w:rPr>
        <w:t>ACE</w:t>
      </w:r>
      <w:proofErr w:type="gramEnd"/>
      <w:r w:rsidR="007051F4" w:rsidRPr="00487325">
        <w:rPr>
          <w:rFonts w:ascii="Arial" w:hAnsi="Arial" w:cs="Arial"/>
        </w:rPr>
        <w:t xml:space="preserve"> they can complete an early help form submission. </w:t>
      </w:r>
    </w:p>
    <w:p w14:paraId="462BE70D" w14:textId="77777777" w:rsidR="00374823" w:rsidRPr="00487325" w:rsidRDefault="00374823" w:rsidP="00487325">
      <w:pPr>
        <w:spacing w:line="360" w:lineRule="auto"/>
        <w:rPr>
          <w:rFonts w:ascii="Arial" w:hAnsi="Arial" w:cs="Arial"/>
        </w:rPr>
      </w:pPr>
    </w:p>
    <w:p w14:paraId="7CF93D0B" w14:textId="00A7D6FF" w:rsidR="00AE0E86" w:rsidRPr="00487325" w:rsidRDefault="00AE0E86" w:rsidP="00487325">
      <w:pPr>
        <w:spacing w:line="360" w:lineRule="auto"/>
        <w:rPr>
          <w:rFonts w:ascii="Arial" w:hAnsi="Arial" w:cs="Arial"/>
        </w:rPr>
      </w:pPr>
    </w:p>
    <w:p w14:paraId="41EF9BD3" w14:textId="49365125" w:rsidR="00AE0E86" w:rsidRPr="00487325" w:rsidRDefault="007051F4" w:rsidP="00487325">
      <w:pPr>
        <w:spacing w:line="360" w:lineRule="auto"/>
        <w:rPr>
          <w:rFonts w:ascii="Arial" w:hAnsi="Arial" w:cs="Arial"/>
        </w:rPr>
      </w:pPr>
      <w:r w:rsidRPr="00487325">
        <w:rPr>
          <w:rFonts w:ascii="Arial" w:hAnsi="Arial" w:cs="Arial"/>
        </w:rPr>
        <w:t>Early intervention is a form of restorative practice, that ultimately challenged young individuals to deal with issues faced in a progressive way with an optimistic outlook. In care homes early intervention is executed daily</w:t>
      </w:r>
      <w:r w:rsidR="00487325">
        <w:rPr>
          <w:rFonts w:ascii="Arial" w:hAnsi="Arial" w:cs="Arial"/>
        </w:rPr>
        <w:t xml:space="preserve"> (Dodge, 2015)</w:t>
      </w:r>
      <w:r w:rsidRPr="00487325">
        <w:rPr>
          <w:rFonts w:ascii="Arial" w:hAnsi="Arial" w:cs="Arial"/>
        </w:rPr>
        <w:t xml:space="preserve">. Children in the care system predominantly are at greater risk of criminal exploitation due to their environment as well as their past trauma’s (ACE). Due to this, it is essential that staff are practicing restorative practice on a daily basis. This meaning, providing a positive, safe environment where the young individual receives support in every aspect of their life. Restorative Wales released statistics to support that restorative practice has reduced re-offending by 55% across wales (Restorative wales, 2023). A piece of legislation that underpins restorative practice is </w:t>
      </w:r>
      <w:r w:rsidRPr="00487325">
        <w:rPr>
          <w:rFonts w:ascii="Arial" w:eastAsiaTheme="majorEastAsia" w:hAnsi="Arial" w:cs="Arial"/>
        </w:rPr>
        <w:t>The Children and Young Persons Acts of 1963 and 1969</w:t>
      </w:r>
      <w:r w:rsidRPr="00487325">
        <w:rPr>
          <w:rFonts w:ascii="Arial" w:hAnsi="Arial" w:cs="Arial"/>
        </w:rPr>
        <w:t>. This Act reformed the treatment of young offenders in the UK in juvenile courts</w:t>
      </w:r>
      <w:r w:rsidR="00487325">
        <w:rPr>
          <w:rFonts w:ascii="Arial" w:hAnsi="Arial" w:cs="Arial"/>
        </w:rPr>
        <w:t xml:space="preserve"> (Callaghan, 1968)</w:t>
      </w:r>
      <w:r w:rsidRPr="00487325">
        <w:rPr>
          <w:rFonts w:ascii="Arial" w:hAnsi="Arial" w:cs="Arial"/>
        </w:rPr>
        <w:t xml:space="preserve">. The act places emphasis on the care and needs of the young offender rather than the criminal acts they’ve committed. It places a person-centred approach to offender management by placing incrimination as a ‘last resort’ and taking into consideration the past history and home life of the young person. This act Is historical in youth offender management as it raised the criminal responsibility from the age of 8, to </w:t>
      </w:r>
      <w:r w:rsidR="00487325">
        <w:rPr>
          <w:rFonts w:ascii="Arial" w:hAnsi="Arial" w:cs="Arial"/>
        </w:rPr>
        <w:t>10</w:t>
      </w:r>
      <w:r w:rsidRPr="00487325">
        <w:rPr>
          <w:rFonts w:ascii="Arial" w:hAnsi="Arial" w:cs="Arial"/>
        </w:rPr>
        <w:t>. Deeming any person below the age of 10 that</w:t>
      </w:r>
      <w:r w:rsidR="00487325">
        <w:rPr>
          <w:rFonts w:ascii="Arial" w:hAnsi="Arial" w:cs="Arial"/>
        </w:rPr>
        <w:t xml:space="preserve"> commits</w:t>
      </w:r>
      <w:r w:rsidRPr="00487325">
        <w:rPr>
          <w:rFonts w:ascii="Arial" w:hAnsi="Arial" w:cs="Arial"/>
        </w:rPr>
        <w:t xml:space="preserve"> crime is not therefore responsible, instead its contributing factors that are responsible for crimes committed such as background, disability, homelife</w:t>
      </w:r>
      <w:r w:rsidR="00487325">
        <w:rPr>
          <w:rFonts w:ascii="Arial" w:hAnsi="Arial" w:cs="Arial"/>
        </w:rPr>
        <w:t xml:space="preserve"> (Freeman, 1980)</w:t>
      </w:r>
      <w:r w:rsidRPr="00487325">
        <w:rPr>
          <w:rFonts w:ascii="Arial" w:hAnsi="Arial" w:cs="Arial"/>
        </w:rPr>
        <w:t xml:space="preserve">. </w:t>
      </w:r>
    </w:p>
    <w:p w14:paraId="4701785B" w14:textId="1E730876" w:rsidR="00AE0E86" w:rsidRPr="00487325" w:rsidRDefault="00AE0E86" w:rsidP="00487325">
      <w:pPr>
        <w:spacing w:line="360" w:lineRule="auto"/>
        <w:rPr>
          <w:rFonts w:ascii="Arial" w:hAnsi="Arial" w:cs="Arial"/>
        </w:rPr>
      </w:pPr>
    </w:p>
    <w:p w14:paraId="3E1862B2" w14:textId="488F199C" w:rsidR="00AE0E86" w:rsidRPr="00487325" w:rsidRDefault="00AE0E86" w:rsidP="00487325">
      <w:pPr>
        <w:spacing w:line="360" w:lineRule="auto"/>
        <w:rPr>
          <w:rFonts w:ascii="Arial" w:hAnsi="Arial" w:cs="Arial"/>
        </w:rPr>
      </w:pPr>
    </w:p>
    <w:p w14:paraId="34D6526F" w14:textId="1D254138" w:rsidR="00AE0E86" w:rsidRPr="00487325" w:rsidRDefault="00AE0E86" w:rsidP="00487325">
      <w:pPr>
        <w:spacing w:line="360" w:lineRule="auto"/>
        <w:rPr>
          <w:rFonts w:ascii="Arial" w:hAnsi="Arial" w:cs="Arial"/>
        </w:rPr>
      </w:pPr>
    </w:p>
    <w:p w14:paraId="3943D377" w14:textId="15CCD283" w:rsidR="00AE0E86" w:rsidRPr="00487325" w:rsidRDefault="007051F4" w:rsidP="00487325">
      <w:pPr>
        <w:spacing w:line="360" w:lineRule="auto"/>
        <w:rPr>
          <w:rFonts w:ascii="Arial" w:hAnsi="Arial" w:cs="Arial"/>
        </w:rPr>
      </w:pPr>
      <w:r w:rsidRPr="00487325">
        <w:rPr>
          <w:rFonts w:ascii="Arial" w:hAnsi="Arial" w:cs="Arial"/>
        </w:rPr>
        <w:t>A study by the NHS based on males within Parc Prison revealed that 46% of prisoners had experienced at least four or more Adverse child experiences. This strong correlation between ACE and perpetration highlights the importance of early intervention</w:t>
      </w:r>
      <w:r w:rsidR="00487325">
        <w:rPr>
          <w:rFonts w:ascii="Arial" w:hAnsi="Arial" w:cs="Arial"/>
        </w:rPr>
        <w:t xml:space="preserve"> (Ford, 2019)</w:t>
      </w:r>
      <w:r w:rsidRPr="00487325">
        <w:rPr>
          <w:rFonts w:ascii="Arial" w:hAnsi="Arial" w:cs="Arial"/>
        </w:rPr>
        <w:t xml:space="preserve">. Whilst early intervention is effective, cases such as Thompson and Venables proves that early intervention isn’t always early enough. It </w:t>
      </w:r>
      <w:r w:rsidRPr="00487325">
        <w:rPr>
          <w:rFonts w:ascii="Arial" w:hAnsi="Arial" w:cs="Arial"/>
        </w:rPr>
        <w:lastRenderedPageBreak/>
        <w:t xml:space="preserve">is easy for </w:t>
      </w:r>
      <w:r w:rsidR="00487325">
        <w:rPr>
          <w:rFonts w:ascii="Arial" w:hAnsi="Arial" w:cs="Arial"/>
        </w:rPr>
        <w:t>p</w:t>
      </w:r>
      <w:r w:rsidRPr="00487325">
        <w:rPr>
          <w:rFonts w:ascii="Arial" w:hAnsi="Arial" w:cs="Arial"/>
        </w:rPr>
        <w:t xml:space="preserve">olice forces and partner agencies to put intervention practices in place after someone has offended, but the issue lies with the vigilance of police and partner agencies in identifying </w:t>
      </w:r>
      <w:r w:rsidR="00A63F2C" w:rsidRPr="00487325">
        <w:rPr>
          <w:rFonts w:ascii="Arial" w:hAnsi="Arial" w:cs="Arial"/>
        </w:rPr>
        <w:t xml:space="preserve">issues and potential vulnerability </w:t>
      </w:r>
      <w:r w:rsidRPr="00487325">
        <w:rPr>
          <w:rFonts w:ascii="Arial" w:hAnsi="Arial" w:cs="Arial"/>
        </w:rPr>
        <w:t>early on.</w:t>
      </w:r>
    </w:p>
    <w:p w14:paraId="739E46E8" w14:textId="77777777" w:rsidR="00A63F2C" w:rsidRPr="00487325" w:rsidRDefault="00A63F2C" w:rsidP="00487325">
      <w:pPr>
        <w:spacing w:line="360" w:lineRule="auto"/>
        <w:rPr>
          <w:rFonts w:ascii="Arial" w:hAnsi="Arial" w:cs="Arial"/>
        </w:rPr>
      </w:pPr>
    </w:p>
    <w:p w14:paraId="79A9BD09" w14:textId="7FC5F6C8" w:rsidR="00AE0E86" w:rsidRPr="00487325" w:rsidRDefault="00AE0E86" w:rsidP="00487325">
      <w:pPr>
        <w:spacing w:line="360" w:lineRule="auto"/>
        <w:rPr>
          <w:rFonts w:ascii="Arial" w:hAnsi="Arial" w:cs="Arial"/>
        </w:rPr>
      </w:pPr>
    </w:p>
    <w:p w14:paraId="689941E0" w14:textId="413F9C48" w:rsidR="00AE0E86" w:rsidRDefault="00AE0E86" w:rsidP="00487325">
      <w:pPr>
        <w:spacing w:line="360" w:lineRule="auto"/>
        <w:rPr>
          <w:rFonts w:ascii="Arial" w:hAnsi="Arial" w:cs="Arial"/>
        </w:rPr>
      </w:pPr>
    </w:p>
    <w:p w14:paraId="405B49B4" w14:textId="3C97B28C" w:rsidR="00D829DA" w:rsidRDefault="00D829DA" w:rsidP="00487325">
      <w:pPr>
        <w:spacing w:line="360" w:lineRule="auto"/>
        <w:rPr>
          <w:rFonts w:ascii="Arial" w:hAnsi="Arial" w:cs="Arial"/>
        </w:rPr>
      </w:pPr>
    </w:p>
    <w:p w14:paraId="0668FB2D" w14:textId="1F44EE1F" w:rsidR="00D829DA" w:rsidRPr="00D829DA" w:rsidRDefault="00D829DA" w:rsidP="00487325">
      <w:pPr>
        <w:spacing w:line="360" w:lineRule="auto"/>
        <w:rPr>
          <w:rFonts w:ascii="Arial" w:hAnsi="Arial" w:cs="Arial"/>
          <w:b/>
          <w:bCs/>
          <w:u w:val="single"/>
        </w:rPr>
      </w:pPr>
      <w:r w:rsidRPr="00D829DA">
        <w:rPr>
          <w:rFonts w:ascii="Arial" w:hAnsi="Arial" w:cs="Arial"/>
          <w:b/>
          <w:bCs/>
          <w:u w:val="single"/>
        </w:rPr>
        <w:t xml:space="preserve">References </w:t>
      </w:r>
    </w:p>
    <w:p w14:paraId="287D3A18" w14:textId="672A7F03" w:rsidR="00AE0E86" w:rsidRPr="00487325" w:rsidRDefault="00AE0E86" w:rsidP="00487325">
      <w:pPr>
        <w:spacing w:line="360" w:lineRule="auto"/>
        <w:rPr>
          <w:rFonts w:ascii="Arial" w:hAnsi="Arial" w:cs="Arial"/>
        </w:rPr>
      </w:pPr>
    </w:p>
    <w:p w14:paraId="08CD26D5" w14:textId="77777777" w:rsidR="00D829DA" w:rsidRDefault="00D829DA" w:rsidP="00D829DA">
      <w:r>
        <w:rPr>
          <w:rFonts w:ascii="Arial" w:hAnsi="Arial" w:cs="Arial"/>
          <w:color w:val="222222"/>
          <w:sz w:val="20"/>
          <w:szCs w:val="20"/>
          <w:shd w:val="clear" w:color="auto" w:fill="FFFFFF"/>
        </w:rPr>
        <w:t>Bayley, D.H. and Weisburd, D., 2019. Cops and spooks: The role of police in counterterrorism. In </w:t>
      </w:r>
      <w:r>
        <w:rPr>
          <w:rFonts w:ascii="Arial" w:hAnsi="Arial" w:cs="Arial"/>
          <w:i/>
          <w:iCs/>
          <w:color w:val="222222"/>
          <w:sz w:val="20"/>
          <w:szCs w:val="20"/>
          <w:shd w:val="clear" w:color="auto" w:fill="FFFFFF"/>
        </w:rPr>
        <w:t>To protect and to serve</w:t>
      </w:r>
      <w:r>
        <w:rPr>
          <w:rFonts w:ascii="Arial" w:hAnsi="Arial" w:cs="Arial"/>
          <w:color w:val="222222"/>
          <w:sz w:val="20"/>
          <w:szCs w:val="20"/>
          <w:shd w:val="clear" w:color="auto" w:fill="FFFFFF"/>
        </w:rPr>
        <w:t> (pp. 81-99). Springer, New York, NY.</w:t>
      </w:r>
    </w:p>
    <w:p w14:paraId="415771E0" w14:textId="77777777" w:rsidR="00D829DA" w:rsidRDefault="00D829DA" w:rsidP="00D829DA">
      <w:pPr>
        <w:rPr>
          <w:rFonts w:ascii="Arial" w:hAnsi="Arial" w:cs="Arial"/>
          <w:color w:val="222222"/>
          <w:sz w:val="20"/>
          <w:szCs w:val="20"/>
          <w:shd w:val="clear" w:color="auto" w:fill="FFFFFF"/>
        </w:rPr>
      </w:pPr>
    </w:p>
    <w:p w14:paraId="52B87691" w14:textId="77777777" w:rsidR="00D829DA" w:rsidRDefault="00D829DA" w:rsidP="00D829DA">
      <w:pPr>
        <w:spacing w:line="360" w:lineRule="atLeast"/>
        <w:outlineLvl w:val="3"/>
        <w:rPr>
          <w:rFonts w:ascii="Arial" w:hAnsi="Arial" w:cs="Arial"/>
          <w:color w:val="000000"/>
          <w:sz w:val="21"/>
          <w:szCs w:val="21"/>
        </w:rPr>
      </w:pPr>
      <w:r w:rsidRPr="00E61266">
        <w:rPr>
          <w:rFonts w:ascii="Arial" w:hAnsi="Arial" w:cs="Arial"/>
          <w:i/>
          <w:iCs/>
          <w:color w:val="000000"/>
          <w:sz w:val="21"/>
          <w:szCs w:val="21"/>
        </w:rPr>
        <w:t>College of Policing</w:t>
      </w:r>
      <w:r w:rsidRPr="00E61266">
        <w:rPr>
          <w:rFonts w:ascii="Arial" w:hAnsi="Arial" w:cs="Arial"/>
          <w:color w:val="000000"/>
          <w:sz w:val="21"/>
          <w:szCs w:val="21"/>
        </w:rPr>
        <w:t> (2015). Available at: https://www.college.police.uk/research/crime-reduction-toolkit/restorative-justice-conferencing (Accessed: 13 January 2023).</w:t>
      </w:r>
    </w:p>
    <w:p w14:paraId="09A96A80" w14:textId="77777777" w:rsidR="00D829DA" w:rsidRDefault="00D829DA" w:rsidP="00D829DA">
      <w:pPr>
        <w:spacing w:line="360" w:lineRule="atLeast"/>
        <w:outlineLvl w:val="3"/>
        <w:rPr>
          <w:rFonts w:ascii="Arial" w:hAnsi="Arial" w:cs="Arial"/>
          <w:color w:val="000000"/>
          <w:sz w:val="21"/>
          <w:szCs w:val="21"/>
        </w:rPr>
      </w:pPr>
    </w:p>
    <w:p w14:paraId="43677177" w14:textId="77777777" w:rsidR="00D829DA" w:rsidRDefault="00D829DA" w:rsidP="00D829DA">
      <w:pPr>
        <w:spacing w:line="360" w:lineRule="atLeast"/>
        <w:outlineLvl w:val="3"/>
        <w:rPr>
          <w:rFonts w:ascii="Arial" w:hAnsi="Arial" w:cs="Arial"/>
          <w:color w:val="000000"/>
          <w:sz w:val="21"/>
          <w:szCs w:val="21"/>
        </w:rPr>
      </w:pPr>
      <w:r w:rsidRPr="00E61266">
        <w:rPr>
          <w:rFonts w:ascii="Arial" w:hAnsi="Arial" w:cs="Arial"/>
          <w:i/>
          <w:iCs/>
          <w:color w:val="000000"/>
          <w:sz w:val="21"/>
          <w:szCs w:val="21"/>
        </w:rPr>
        <w:t>College of Policing</w:t>
      </w:r>
      <w:r w:rsidRPr="00E61266">
        <w:rPr>
          <w:rFonts w:ascii="Arial" w:hAnsi="Arial" w:cs="Arial"/>
          <w:color w:val="000000"/>
          <w:sz w:val="21"/>
          <w:szCs w:val="21"/>
        </w:rPr>
        <w:t> (2015). Available at: https://www.college.police.uk/research/crime-reduction-toolkit/restorative-justice-conferencing (Accessed: 13 January 2023).</w:t>
      </w:r>
    </w:p>
    <w:p w14:paraId="7278A836" w14:textId="77777777" w:rsidR="00D829DA" w:rsidRDefault="00D829DA" w:rsidP="00D829DA">
      <w:pPr>
        <w:spacing w:line="360" w:lineRule="atLeast"/>
        <w:outlineLvl w:val="3"/>
        <w:rPr>
          <w:rFonts w:ascii="Arial" w:hAnsi="Arial" w:cs="Arial"/>
          <w:color w:val="000000"/>
          <w:sz w:val="21"/>
          <w:szCs w:val="21"/>
        </w:rPr>
      </w:pPr>
    </w:p>
    <w:p w14:paraId="19DA127C" w14:textId="77777777" w:rsidR="00D829DA" w:rsidRDefault="00D829DA" w:rsidP="00D829DA">
      <w:pPr>
        <w:rPr>
          <w:rFonts w:ascii="Arial" w:hAnsi="Arial" w:cs="Arial"/>
          <w:color w:val="222222"/>
          <w:sz w:val="20"/>
          <w:szCs w:val="20"/>
          <w:shd w:val="clear" w:color="auto" w:fill="FFFFFF"/>
        </w:rPr>
      </w:pPr>
      <w:r>
        <w:rPr>
          <w:rFonts w:ascii="Arial" w:hAnsi="Arial" w:cs="Arial"/>
          <w:color w:val="222222"/>
          <w:sz w:val="20"/>
          <w:szCs w:val="20"/>
          <w:shd w:val="clear" w:color="auto" w:fill="FFFFFF"/>
        </w:rPr>
        <w:t>Cottee, S., 2017. All that we'll never know about Manchester bomber Salman Ramadan Abedi. </w:t>
      </w:r>
      <w:r>
        <w:rPr>
          <w:rFonts w:ascii="Arial" w:hAnsi="Arial" w:cs="Arial"/>
          <w:i/>
          <w:iCs/>
          <w:color w:val="222222"/>
          <w:sz w:val="20"/>
          <w:szCs w:val="20"/>
          <w:shd w:val="clear" w:color="auto" w:fill="FFFFFF"/>
        </w:rPr>
        <w:t>The Los Angeles Times</w:t>
      </w:r>
      <w:r>
        <w:rPr>
          <w:rFonts w:ascii="Arial" w:hAnsi="Arial" w:cs="Arial"/>
          <w:color w:val="222222"/>
          <w:sz w:val="20"/>
          <w:szCs w:val="20"/>
          <w:shd w:val="clear" w:color="auto" w:fill="FFFFFF"/>
        </w:rPr>
        <w:t>.</w:t>
      </w:r>
    </w:p>
    <w:p w14:paraId="5E03E40E" w14:textId="77777777" w:rsidR="00D829DA" w:rsidRDefault="00D829DA" w:rsidP="00D829DA">
      <w:pPr>
        <w:rPr>
          <w:rFonts w:ascii="Arial" w:hAnsi="Arial" w:cs="Arial"/>
          <w:color w:val="222222"/>
          <w:sz w:val="20"/>
          <w:szCs w:val="20"/>
          <w:shd w:val="clear" w:color="auto" w:fill="FFFFFF"/>
        </w:rPr>
      </w:pPr>
    </w:p>
    <w:p w14:paraId="5650D217" w14:textId="77777777" w:rsidR="00D829DA" w:rsidRDefault="00D829DA" w:rsidP="00D829DA">
      <w:r>
        <w:rPr>
          <w:rFonts w:ascii="Arial" w:hAnsi="Arial" w:cs="Arial"/>
          <w:color w:val="222222"/>
          <w:sz w:val="20"/>
          <w:szCs w:val="20"/>
          <w:shd w:val="clear" w:color="auto" w:fill="FFFFFF"/>
        </w:rPr>
        <w:t>Callaghan, J., 1968. The Children and Young Persons Act 1963 (Commencement No. 3) Order 1968.</w:t>
      </w:r>
    </w:p>
    <w:p w14:paraId="7598907F" w14:textId="77777777" w:rsidR="00D829DA" w:rsidRDefault="00D829DA" w:rsidP="00D829DA">
      <w:pPr>
        <w:rPr>
          <w:rFonts w:ascii="Arial" w:hAnsi="Arial" w:cs="Arial"/>
          <w:color w:val="222222"/>
          <w:sz w:val="20"/>
          <w:szCs w:val="20"/>
          <w:shd w:val="clear" w:color="auto" w:fill="FFFFFF"/>
        </w:rPr>
      </w:pPr>
    </w:p>
    <w:p w14:paraId="78EC57A9" w14:textId="77777777" w:rsidR="00D829DA" w:rsidRDefault="00D829DA" w:rsidP="00D829DA">
      <w:pPr>
        <w:spacing w:line="360" w:lineRule="atLeast"/>
        <w:outlineLvl w:val="3"/>
        <w:rPr>
          <w:rFonts w:ascii="Arial" w:hAnsi="Arial" w:cs="Arial"/>
          <w:color w:val="000000"/>
          <w:sz w:val="21"/>
          <w:szCs w:val="21"/>
        </w:rPr>
      </w:pPr>
    </w:p>
    <w:p w14:paraId="1DEBF498" w14:textId="77777777" w:rsidR="00D829DA" w:rsidRDefault="00D829DA" w:rsidP="00D829DA">
      <w:pPr>
        <w:spacing w:line="360" w:lineRule="auto"/>
        <w:rPr>
          <w:rFonts w:ascii="Arial" w:hAnsi="Arial" w:cs="Arial"/>
          <w:color w:val="222222"/>
          <w:sz w:val="20"/>
          <w:szCs w:val="20"/>
          <w:shd w:val="clear" w:color="auto" w:fill="FFFFFF"/>
        </w:rPr>
      </w:pPr>
      <w:r w:rsidRPr="00AE0E86">
        <w:rPr>
          <w:rFonts w:ascii="Arial" w:hAnsi="Arial" w:cs="Arial"/>
          <w:color w:val="222222"/>
          <w:sz w:val="20"/>
          <w:szCs w:val="20"/>
          <w:shd w:val="clear" w:color="auto" w:fill="FFFFFF"/>
        </w:rPr>
        <w:t xml:space="preserve">Case, S., 2006. Young people ‘at </w:t>
      </w:r>
      <w:proofErr w:type="spellStart"/>
      <w:r w:rsidRPr="00AE0E86">
        <w:rPr>
          <w:rFonts w:ascii="Arial" w:hAnsi="Arial" w:cs="Arial"/>
          <w:color w:val="222222"/>
          <w:sz w:val="20"/>
          <w:szCs w:val="20"/>
          <w:shd w:val="clear" w:color="auto" w:fill="FFFFFF"/>
        </w:rPr>
        <w:t>risk’of</w:t>
      </w:r>
      <w:proofErr w:type="spellEnd"/>
      <w:r w:rsidRPr="00AE0E86">
        <w:rPr>
          <w:rFonts w:ascii="Arial" w:hAnsi="Arial" w:cs="Arial"/>
          <w:color w:val="222222"/>
          <w:sz w:val="20"/>
          <w:szCs w:val="20"/>
          <w:shd w:val="clear" w:color="auto" w:fill="FFFFFF"/>
        </w:rPr>
        <w:t xml:space="preserve"> what? Challenging risk-focused early intervention as crime prevention. </w:t>
      </w:r>
      <w:r w:rsidRPr="00AE0E86">
        <w:rPr>
          <w:rFonts w:ascii="Arial" w:hAnsi="Arial" w:cs="Arial"/>
          <w:i/>
          <w:iCs/>
          <w:color w:val="222222"/>
          <w:sz w:val="20"/>
          <w:szCs w:val="20"/>
          <w:shd w:val="clear" w:color="auto" w:fill="FFFFFF"/>
        </w:rPr>
        <w:t>Youth Justice</w:t>
      </w:r>
      <w:r w:rsidRPr="00AE0E86">
        <w:rPr>
          <w:rFonts w:ascii="Arial" w:hAnsi="Arial" w:cs="Arial"/>
          <w:color w:val="222222"/>
          <w:sz w:val="20"/>
          <w:szCs w:val="20"/>
          <w:shd w:val="clear" w:color="auto" w:fill="FFFFFF"/>
        </w:rPr>
        <w:t>, </w:t>
      </w:r>
      <w:r w:rsidRPr="00AE0E86">
        <w:rPr>
          <w:rFonts w:ascii="Arial" w:hAnsi="Arial" w:cs="Arial"/>
          <w:i/>
          <w:iCs/>
          <w:color w:val="222222"/>
          <w:sz w:val="20"/>
          <w:szCs w:val="20"/>
          <w:shd w:val="clear" w:color="auto" w:fill="FFFFFF"/>
        </w:rPr>
        <w:t>6</w:t>
      </w:r>
      <w:r w:rsidRPr="00AE0E86">
        <w:rPr>
          <w:rFonts w:ascii="Arial" w:hAnsi="Arial" w:cs="Arial"/>
          <w:color w:val="222222"/>
          <w:sz w:val="20"/>
          <w:szCs w:val="20"/>
          <w:shd w:val="clear" w:color="auto" w:fill="FFFFFF"/>
        </w:rPr>
        <w:t>(3), pp.171-179.</w:t>
      </w:r>
    </w:p>
    <w:p w14:paraId="00132AFD" w14:textId="77777777" w:rsidR="00D829DA" w:rsidRDefault="00D829DA" w:rsidP="00D829DA">
      <w:r>
        <w:rPr>
          <w:rFonts w:ascii="Arial" w:hAnsi="Arial" w:cs="Arial"/>
          <w:color w:val="222222"/>
          <w:sz w:val="20"/>
          <w:szCs w:val="20"/>
          <w:shd w:val="clear" w:color="auto" w:fill="FFFFFF"/>
        </w:rPr>
        <w:t>Callaghan, J., 1968. The Children and Young Persons Act 1963 (Commencement No. 3) Order 1968.</w:t>
      </w:r>
    </w:p>
    <w:p w14:paraId="7A64CF20" w14:textId="77777777" w:rsidR="00D829DA" w:rsidRDefault="00D829DA" w:rsidP="00D829DA">
      <w:pPr>
        <w:spacing w:line="360" w:lineRule="auto"/>
        <w:rPr>
          <w:rFonts w:ascii="Arial" w:hAnsi="Arial" w:cs="Arial"/>
          <w:color w:val="222222"/>
          <w:sz w:val="20"/>
          <w:szCs w:val="20"/>
          <w:shd w:val="clear" w:color="auto" w:fill="FFFFFF"/>
        </w:rPr>
      </w:pPr>
    </w:p>
    <w:p w14:paraId="086AE6B5" w14:textId="77777777" w:rsidR="00D829DA" w:rsidRDefault="00D829DA" w:rsidP="00D829DA"/>
    <w:p w14:paraId="0821540C" w14:textId="77777777" w:rsidR="00D829DA" w:rsidRDefault="00D829DA" w:rsidP="00D829DA">
      <w:pPr>
        <w:spacing w:line="360" w:lineRule="atLeast"/>
        <w:outlineLvl w:val="3"/>
        <w:rPr>
          <w:rFonts w:ascii="Arial" w:hAnsi="Arial" w:cs="Arial"/>
          <w:color w:val="000000"/>
          <w:sz w:val="21"/>
          <w:szCs w:val="21"/>
        </w:rPr>
      </w:pPr>
    </w:p>
    <w:p w14:paraId="01A1FCDF" w14:textId="77777777" w:rsidR="00D829DA" w:rsidRDefault="00D829DA" w:rsidP="00D829DA">
      <w:proofErr w:type="spellStart"/>
      <w:r>
        <w:rPr>
          <w:rFonts w:ascii="Arial" w:hAnsi="Arial" w:cs="Arial"/>
          <w:color w:val="222222"/>
          <w:sz w:val="20"/>
          <w:szCs w:val="20"/>
          <w:shd w:val="clear" w:color="auto" w:fill="FFFFFF"/>
        </w:rPr>
        <w:t>DeLisi</w:t>
      </w:r>
      <w:proofErr w:type="spellEnd"/>
      <w:r>
        <w:rPr>
          <w:rFonts w:ascii="Arial" w:hAnsi="Arial" w:cs="Arial"/>
          <w:color w:val="222222"/>
          <w:sz w:val="20"/>
          <w:szCs w:val="20"/>
          <w:shd w:val="clear" w:color="auto" w:fill="FFFFFF"/>
        </w:rPr>
        <w:t xml:space="preserve">, M., Alcala, J., </w:t>
      </w:r>
      <w:proofErr w:type="spellStart"/>
      <w:r>
        <w:rPr>
          <w:rFonts w:ascii="Arial" w:hAnsi="Arial" w:cs="Arial"/>
          <w:color w:val="222222"/>
          <w:sz w:val="20"/>
          <w:szCs w:val="20"/>
          <w:shd w:val="clear" w:color="auto" w:fill="FFFFFF"/>
        </w:rPr>
        <w:t>Kusow</w:t>
      </w:r>
      <w:proofErr w:type="spellEnd"/>
      <w:r>
        <w:rPr>
          <w:rFonts w:ascii="Arial" w:hAnsi="Arial" w:cs="Arial"/>
          <w:color w:val="222222"/>
          <w:sz w:val="20"/>
          <w:szCs w:val="20"/>
          <w:shd w:val="clear" w:color="auto" w:fill="FFFFFF"/>
        </w:rPr>
        <w:t xml:space="preserve">, A., Hochstetler, A., </w:t>
      </w:r>
      <w:proofErr w:type="spellStart"/>
      <w:r>
        <w:rPr>
          <w:rFonts w:ascii="Arial" w:hAnsi="Arial" w:cs="Arial"/>
          <w:color w:val="222222"/>
          <w:sz w:val="20"/>
          <w:szCs w:val="20"/>
          <w:shd w:val="clear" w:color="auto" w:fill="FFFFFF"/>
        </w:rPr>
        <w:t>Heirigs</w:t>
      </w:r>
      <w:proofErr w:type="spellEnd"/>
      <w:r>
        <w:rPr>
          <w:rFonts w:ascii="Arial" w:hAnsi="Arial" w:cs="Arial"/>
          <w:color w:val="222222"/>
          <w:sz w:val="20"/>
          <w:szCs w:val="20"/>
          <w:shd w:val="clear" w:color="auto" w:fill="FFFFFF"/>
        </w:rPr>
        <w:t xml:space="preserve">, M.H., Caudill, J.W., </w:t>
      </w:r>
      <w:proofErr w:type="spellStart"/>
      <w:r>
        <w:rPr>
          <w:rFonts w:ascii="Arial" w:hAnsi="Arial" w:cs="Arial"/>
          <w:color w:val="222222"/>
          <w:sz w:val="20"/>
          <w:szCs w:val="20"/>
          <w:shd w:val="clear" w:color="auto" w:fill="FFFFFF"/>
        </w:rPr>
        <w:t>Trulson</w:t>
      </w:r>
      <w:proofErr w:type="spellEnd"/>
      <w:r>
        <w:rPr>
          <w:rFonts w:ascii="Arial" w:hAnsi="Arial" w:cs="Arial"/>
          <w:color w:val="222222"/>
          <w:sz w:val="20"/>
          <w:szCs w:val="20"/>
          <w:shd w:val="clear" w:color="auto" w:fill="FFFFFF"/>
        </w:rPr>
        <w:t xml:space="preserve">, C.R. and </w:t>
      </w:r>
      <w:proofErr w:type="spellStart"/>
      <w:r>
        <w:rPr>
          <w:rFonts w:ascii="Arial" w:hAnsi="Arial" w:cs="Arial"/>
          <w:color w:val="222222"/>
          <w:sz w:val="20"/>
          <w:szCs w:val="20"/>
          <w:shd w:val="clear" w:color="auto" w:fill="FFFFFF"/>
        </w:rPr>
        <w:t>Baglivio</w:t>
      </w:r>
      <w:proofErr w:type="spellEnd"/>
      <w:r>
        <w:rPr>
          <w:rFonts w:ascii="Arial" w:hAnsi="Arial" w:cs="Arial"/>
          <w:color w:val="222222"/>
          <w:sz w:val="20"/>
          <w:szCs w:val="20"/>
          <w:shd w:val="clear" w:color="auto" w:fill="FFFFFF"/>
        </w:rPr>
        <w:t>, M.T., 2017. Adverse childhood experiences, commitment offense, and race/ethnicity: Are the effects crime-, race-, and ethnicity-</w:t>
      </w:r>
      <w:proofErr w:type="gramStart"/>
      <w:r>
        <w:rPr>
          <w:rFonts w:ascii="Arial" w:hAnsi="Arial" w:cs="Arial"/>
          <w:color w:val="222222"/>
          <w:sz w:val="20"/>
          <w:szCs w:val="20"/>
          <w:shd w:val="clear" w:color="auto" w:fill="FFFFFF"/>
        </w:rPr>
        <w:t>specific?.</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International journal of environmental research and public health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w:t>
      </w:r>
      <w:r>
        <w:rPr>
          <w:rFonts w:ascii="Arial" w:hAnsi="Arial" w:cs="Arial"/>
          <w:color w:val="222222"/>
          <w:sz w:val="20"/>
          <w:szCs w:val="20"/>
          <w:shd w:val="clear" w:color="auto" w:fill="FFFFFF"/>
        </w:rPr>
        <w:t>(3), p.331.</w:t>
      </w:r>
    </w:p>
    <w:p w14:paraId="3E6EA671" w14:textId="77777777" w:rsidR="00D829DA" w:rsidRPr="00E61266" w:rsidRDefault="00D829DA" w:rsidP="00D829DA">
      <w:pPr>
        <w:spacing w:line="360" w:lineRule="atLeast"/>
        <w:outlineLvl w:val="3"/>
        <w:rPr>
          <w:rFonts w:ascii="Arial" w:hAnsi="Arial" w:cs="Arial"/>
          <w:color w:val="000000"/>
          <w:sz w:val="21"/>
          <w:szCs w:val="21"/>
        </w:rPr>
      </w:pPr>
    </w:p>
    <w:p w14:paraId="35F41611" w14:textId="77777777" w:rsidR="00D829DA" w:rsidRPr="00487325" w:rsidRDefault="00D829DA" w:rsidP="00D829DA">
      <w:pPr>
        <w:spacing w:line="360" w:lineRule="auto"/>
        <w:rPr>
          <w:rFonts w:ascii="Arial" w:hAnsi="Arial" w:cs="Arial"/>
        </w:rPr>
      </w:pPr>
    </w:p>
    <w:p w14:paraId="6FFF6762" w14:textId="77777777" w:rsidR="00D829DA" w:rsidRDefault="00D829DA" w:rsidP="00D829DA">
      <w:proofErr w:type="spellStart"/>
      <w:r>
        <w:rPr>
          <w:rFonts w:ascii="Arial" w:hAnsi="Arial" w:cs="Arial"/>
          <w:color w:val="222222"/>
          <w:sz w:val="20"/>
          <w:szCs w:val="20"/>
          <w:shd w:val="clear" w:color="auto" w:fill="FFFFFF"/>
        </w:rPr>
        <w:t>Delmage</w:t>
      </w:r>
      <w:proofErr w:type="spellEnd"/>
      <w:r>
        <w:rPr>
          <w:rFonts w:ascii="Arial" w:hAnsi="Arial" w:cs="Arial"/>
          <w:color w:val="222222"/>
          <w:sz w:val="20"/>
          <w:szCs w:val="20"/>
          <w:shd w:val="clear" w:color="auto" w:fill="FFFFFF"/>
        </w:rPr>
        <w:t>, E., 2013. The minimum age of criminal responsibility: A medico-legal perspective. </w:t>
      </w:r>
      <w:r>
        <w:rPr>
          <w:rFonts w:ascii="Arial" w:hAnsi="Arial" w:cs="Arial"/>
          <w:i/>
          <w:iCs/>
          <w:color w:val="222222"/>
          <w:sz w:val="20"/>
          <w:szCs w:val="20"/>
          <w:shd w:val="clear" w:color="auto" w:fill="FFFFFF"/>
        </w:rPr>
        <w:t>Youth justice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(2), pp.102-110.</w:t>
      </w:r>
    </w:p>
    <w:p w14:paraId="342E194E" w14:textId="77777777" w:rsidR="00D829DA" w:rsidRDefault="00D829DA" w:rsidP="00D829DA">
      <w:pPr>
        <w:spacing w:line="360" w:lineRule="auto"/>
        <w:rPr>
          <w:rFonts w:ascii="Arial" w:hAnsi="Arial" w:cs="Arial"/>
          <w:color w:val="222222"/>
          <w:sz w:val="20"/>
          <w:szCs w:val="20"/>
          <w:shd w:val="clear" w:color="auto" w:fill="FFFFFF"/>
        </w:rPr>
      </w:pPr>
    </w:p>
    <w:p w14:paraId="678DA52B" w14:textId="77777777" w:rsidR="00D829DA" w:rsidRDefault="00D829DA" w:rsidP="00D829DA">
      <w:r>
        <w:rPr>
          <w:rFonts w:ascii="Arial" w:hAnsi="Arial" w:cs="Arial"/>
          <w:color w:val="222222"/>
          <w:sz w:val="20"/>
          <w:szCs w:val="20"/>
          <w:shd w:val="clear" w:color="auto" w:fill="FFFFFF"/>
        </w:rPr>
        <w:t xml:space="preserve">Dodge, K.A., Bierman, K.L., </w:t>
      </w:r>
      <w:proofErr w:type="spellStart"/>
      <w:r>
        <w:rPr>
          <w:rFonts w:ascii="Arial" w:hAnsi="Arial" w:cs="Arial"/>
          <w:color w:val="222222"/>
          <w:sz w:val="20"/>
          <w:szCs w:val="20"/>
          <w:shd w:val="clear" w:color="auto" w:fill="FFFFFF"/>
        </w:rPr>
        <w:t>Coie</w:t>
      </w:r>
      <w:proofErr w:type="spellEnd"/>
      <w:r>
        <w:rPr>
          <w:rFonts w:ascii="Arial" w:hAnsi="Arial" w:cs="Arial"/>
          <w:color w:val="222222"/>
          <w:sz w:val="20"/>
          <w:szCs w:val="20"/>
          <w:shd w:val="clear" w:color="auto" w:fill="FFFFFF"/>
        </w:rPr>
        <w:t xml:space="preserve">, J.D., Greenberg, M.T., </w:t>
      </w:r>
      <w:proofErr w:type="spellStart"/>
      <w:r>
        <w:rPr>
          <w:rFonts w:ascii="Arial" w:hAnsi="Arial" w:cs="Arial"/>
          <w:color w:val="222222"/>
          <w:sz w:val="20"/>
          <w:szCs w:val="20"/>
          <w:shd w:val="clear" w:color="auto" w:fill="FFFFFF"/>
        </w:rPr>
        <w:t>Lochman</w:t>
      </w:r>
      <w:proofErr w:type="spellEnd"/>
      <w:r>
        <w:rPr>
          <w:rFonts w:ascii="Arial" w:hAnsi="Arial" w:cs="Arial"/>
          <w:color w:val="222222"/>
          <w:sz w:val="20"/>
          <w:szCs w:val="20"/>
          <w:shd w:val="clear" w:color="auto" w:fill="FFFFFF"/>
        </w:rPr>
        <w:t xml:space="preserve">, J.E., McMahon, R.J., </w:t>
      </w:r>
      <w:proofErr w:type="spellStart"/>
      <w:r>
        <w:rPr>
          <w:rFonts w:ascii="Arial" w:hAnsi="Arial" w:cs="Arial"/>
          <w:color w:val="222222"/>
          <w:sz w:val="20"/>
          <w:szCs w:val="20"/>
          <w:shd w:val="clear" w:color="auto" w:fill="FFFFFF"/>
        </w:rPr>
        <w:t>Pinderhughes</w:t>
      </w:r>
      <w:proofErr w:type="spellEnd"/>
      <w:r>
        <w:rPr>
          <w:rFonts w:ascii="Arial" w:hAnsi="Arial" w:cs="Arial"/>
          <w:color w:val="222222"/>
          <w:sz w:val="20"/>
          <w:szCs w:val="20"/>
          <w:shd w:val="clear" w:color="auto" w:fill="FFFFFF"/>
        </w:rPr>
        <w:t>, E.E. and Conduct Problems Prevention Research Group, 2015. Impact of early intervention on psychopathology, crime, and well-being at age 25. </w:t>
      </w:r>
      <w:r>
        <w:rPr>
          <w:rFonts w:ascii="Arial" w:hAnsi="Arial" w:cs="Arial"/>
          <w:i/>
          <w:iCs/>
          <w:color w:val="222222"/>
          <w:sz w:val="20"/>
          <w:szCs w:val="20"/>
          <w:shd w:val="clear" w:color="auto" w:fill="FFFFFF"/>
        </w:rPr>
        <w:t>American journal of psychiatry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172</w:t>
      </w:r>
      <w:r>
        <w:rPr>
          <w:rFonts w:ascii="Arial" w:hAnsi="Arial" w:cs="Arial"/>
          <w:color w:val="222222"/>
          <w:sz w:val="20"/>
          <w:szCs w:val="20"/>
          <w:shd w:val="clear" w:color="auto" w:fill="FFFFFF"/>
        </w:rPr>
        <w:t>(1), pp.59-70.</w:t>
      </w:r>
    </w:p>
    <w:p w14:paraId="400648AC" w14:textId="77777777" w:rsidR="00D829DA" w:rsidRDefault="00D829DA" w:rsidP="00D829DA">
      <w:pPr>
        <w:spacing w:line="360" w:lineRule="auto"/>
        <w:rPr>
          <w:rFonts w:ascii="Arial" w:hAnsi="Arial" w:cs="Arial"/>
          <w:color w:val="222222"/>
          <w:sz w:val="20"/>
          <w:szCs w:val="20"/>
          <w:shd w:val="clear" w:color="auto" w:fill="FFFFFF"/>
        </w:rPr>
      </w:pPr>
    </w:p>
    <w:p w14:paraId="4C1ED775" w14:textId="77777777" w:rsidR="00D829DA" w:rsidRDefault="00D829DA" w:rsidP="00D829DA">
      <w:r>
        <w:rPr>
          <w:rFonts w:ascii="Arial" w:hAnsi="Arial" w:cs="Arial"/>
          <w:color w:val="222222"/>
          <w:sz w:val="20"/>
          <w:szCs w:val="20"/>
          <w:shd w:val="clear" w:color="auto" w:fill="FFFFFF"/>
        </w:rPr>
        <w:lastRenderedPageBreak/>
        <w:t>Elliott, C., 2011. Criminal responsibility and children: A new defence required to acknowledge the absence of capacity and choice. </w:t>
      </w:r>
      <w:r>
        <w:rPr>
          <w:rFonts w:ascii="Arial" w:hAnsi="Arial" w:cs="Arial"/>
          <w:i/>
          <w:iCs/>
          <w:color w:val="222222"/>
          <w:sz w:val="20"/>
          <w:szCs w:val="20"/>
          <w:shd w:val="clear" w:color="auto" w:fill="FFFFFF"/>
        </w:rPr>
        <w:t>The Journal of Criminal Law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75</w:t>
      </w:r>
      <w:r>
        <w:rPr>
          <w:rFonts w:ascii="Arial" w:hAnsi="Arial" w:cs="Arial"/>
          <w:color w:val="222222"/>
          <w:sz w:val="20"/>
          <w:szCs w:val="20"/>
          <w:shd w:val="clear" w:color="auto" w:fill="FFFFFF"/>
        </w:rPr>
        <w:t>(4), pp.289-308.</w:t>
      </w:r>
    </w:p>
    <w:p w14:paraId="563C8FB3" w14:textId="77777777" w:rsidR="00D829DA" w:rsidRDefault="00D829DA" w:rsidP="00D829DA">
      <w:pPr>
        <w:spacing w:line="360" w:lineRule="auto"/>
        <w:rPr>
          <w:rFonts w:ascii="Arial" w:hAnsi="Arial" w:cs="Arial"/>
          <w:color w:val="222222"/>
          <w:sz w:val="20"/>
          <w:szCs w:val="20"/>
          <w:shd w:val="clear" w:color="auto" w:fill="FFFFFF"/>
        </w:rPr>
      </w:pPr>
    </w:p>
    <w:p w14:paraId="6C61AAF4" w14:textId="77777777" w:rsidR="00D829DA" w:rsidRDefault="00D829DA" w:rsidP="00D829DA">
      <w:pPr>
        <w:spacing w:line="360" w:lineRule="atLeast"/>
        <w:outlineLvl w:val="3"/>
        <w:rPr>
          <w:rFonts w:ascii="Arial" w:hAnsi="Arial" w:cs="Arial"/>
          <w:color w:val="222222"/>
          <w:sz w:val="20"/>
          <w:szCs w:val="20"/>
        </w:rPr>
      </w:pPr>
      <w:r>
        <w:rPr>
          <w:rFonts w:ascii="Arial" w:hAnsi="Arial" w:cs="Arial"/>
          <w:color w:val="222222"/>
          <w:sz w:val="20"/>
          <w:szCs w:val="20"/>
        </w:rPr>
        <w:t xml:space="preserve">Grau, E.A. and </w:t>
      </w:r>
      <w:proofErr w:type="spellStart"/>
      <w:r>
        <w:rPr>
          <w:rFonts w:ascii="Arial" w:hAnsi="Arial" w:cs="Arial"/>
          <w:color w:val="222222"/>
          <w:sz w:val="20"/>
          <w:szCs w:val="20"/>
        </w:rPr>
        <w:t>Infinito</w:t>
      </w:r>
      <w:proofErr w:type="spellEnd"/>
      <w:r>
        <w:rPr>
          <w:rFonts w:ascii="Arial" w:hAnsi="Arial" w:cs="Arial"/>
          <w:color w:val="222222"/>
          <w:sz w:val="20"/>
          <w:szCs w:val="20"/>
        </w:rPr>
        <w:t>, J., 2002. Innocence Lost: Three Constructions of Juvenile Crime.</w:t>
      </w:r>
    </w:p>
    <w:p w14:paraId="79E8462D" w14:textId="77777777" w:rsidR="00D829DA" w:rsidRDefault="00D829DA" w:rsidP="00D829DA">
      <w:pPr>
        <w:spacing w:line="360" w:lineRule="auto"/>
        <w:rPr>
          <w:rFonts w:ascii="Arial" w:hAnsi="Arial" w:cs="Arial"/>
        </w:rPr>
      </w:pPr>
    </w:p>
    <w:p w14:paraId="5ED93025" w14:textId="77777777" w:rsidR="00D829DA" w:rsidRDefault="00D829DA" w:rsidP="00D829DA">
      <w:proofErr w:type="spellStart"/>
      <w:r>
        <w:rPr>
          <w:rFonts w:ascii="Arial" w:hAnsi="Arial" w:cs="Arial"/>
          <w:color w:val="222222"/>
          <w:sz w:val="20"/>
          <w:szCs w:val="20"/>
          <w:shd w:val="clear" w:color="auto" w:fill="FFFFFF"/>
        </w:rPr>
        <w:t>Gurnham</w:t>
      </w:r>
      <w:proofErr w:type="spellEnd"/>
      <w:r>
        <w:rPr>
          <w:rFonts w:ascii="Arial" w:hAnsi="Arial" w:cs="Arial"/>
          <w:color w:val="222222"/>
          <w:sz w:val="20"/>
          <w:szCs w:val="20"/>
          <w:shd w:val="clear" w:color="auto" w:fill="FFFFFF"/>
        </w:rPr>
        <w:t>, D., 2003. The moral narrative of criminal responsibility and the principled justification of tariffs for murder: Myra Hindley and Thompson and Venables. </w:t>
      </w:r>
      <w:r>
        <w:rPr>
          <w:rFonts w:ascii="Arial" w:hAnsi="Arial" w:cs="Arial"/>
          <w:i/>
          <w:iCs/>
          <w:color w:val="222222"/>
          <w:sz w:val="20"/>
          <w:szCs w:val="20"/>
          <w:shd w:val="clear" w:color="auto" w:fill="FFFFFF"/>
        </w:rPr>
        <w:t>Legal Studies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23</w:t>
      </w:r>
      <w:r>
        <w:rPr>
          <w:rFonts w:ascii="Arial" w:hAnsi="Arial" w:cs="Arial"/>
          <w:color w:val="222222"/>
          <w:sz w:val="20"/>
          <w:szCs w:val="20"/>
          <w:shd w:val="clear" w:color="auto" w:fill="FFFFFF"/>
        </w:rPr>
        <w:t>(4), pp.605-623.</w:t>
      </w:r>
    </w:p>
    <w:p w14:paraId="4D18E8C3" w14:textId="77777777" w:rsidR="00D829DA" w:rsidRPr="00E61266" w:rsidRDefault="00D829DA" w:rsidP="00D829DA">
      <w:pPr>
        <w:spacing w:line="360" w:lineRule="atLeast"/>
        <w:outlineLvl w:val="3"/>
        <w:rPr>
          <w:rFonts w:ascii="Arial" w:hAnsi="Arial" w:cs="Arial"/>
          <w:color w:val="000000"/>
          <w:sz w:val="21"/>
          <w:szCs w:val="21"/>
        </w:rPr>
      </w:pPr>
    </w:p>
    <w:p w14:paraId="4FA65B34" w14:textId="77777777" w:rsidR="00D829DA" w:rsidRDefault="00D829DA" w:rsidP="00D829DA">
      <w:pPr>
        <w:rPr>
          <w:rFonts w:ascii="Arial" w:hAnsi="Arial" w:cs="Arial"/>
          <w:color w:val="222222"/>
          <w:sz w:val="20"/>
          <w:szCs w:val="20"/>
          <w:shd w:val="clear" w:color="auto" w:fill="FFFFFF"/>
        </w:rPr>
      </w:pPr>
    </w:p>
    <w:p w14:paraId="3C05B5FA" w14:textId="77777777" w:rsidR="00D829DA" w:rsidRDefault="00D829DA" w:rsidP="00D829DA">
      <w:pPr>
        <w:rPr>
          <w:rFonts w:ascii="Arial" w:hAnsi="Arial" w:cs="Arial"/>
          <w:color w:val="222222"/>
          <w:sz w:val="20"/>
          <w:szCs w:val="20"/>
          <w:shd w:val="clear" w:color="auto" w:fill="FFFFFF"/>
        </w:rPr>
      </w:pPr>
      <w:r w:rsidRPr="00E61266">
        <w:rPr>
          <w:rFonts w:ascii="Arial" w:hAnsi="Arial" w:cs="Arial"/>
          <w:color w:val="222222"/>
          <w:sz w:val="20"/>
          <w:szCs w:val="20"/>
          <w:shd w:val="clear" w:color="auto" w:fill="FFFFFF"/>
        </w:rPr>
        <w:t xml:space="preserve">Haydon, D. and </w:t>
      </w:r>
      <w:proofErr w:type="spellStart"/>
      <w:r w:rsidRPr="00E61266">
        <w:rPr>
          <w:rFonts w:ascii="Arial" w:hAnsi="Arial" w:cs="Arial"/>
          <w:color w:val="222222"/>
          <w:sz w:val="20"/>
          <w:szCs w:val="20"/>
          <w:shd w:val="clear" w:color="auto" w:fill="FFFFFF"/>
        </w:rPr>
        <w:t>Scraton</w:t>
      </w:r>
      <w:proofErr w:type="spellEnd"/>
      <w:r w:rsidRPr="00E61266">
        <w:rPr>
          <w:rFonts w:ascii="Arial" w:hAnsi="Arial" w:cs="Arial"/>
          <w:color w:val="222222"/>
          <w:sz w:val="20"/>
          <w:szCs w:val="20"/>
          <w:shd w:val="clear" w:color="auto" w:fill="FFFFFF"/>
        </w:rPr>
        <w:t>, P., 2000. ‘Condemn a Little More, Understand a Little Less’: The Political Context and Rights’ Implications of the Domestic and European Rulings in the Venables</w:t>
      </w:r>
      <w:r w:rsidRPr="00E61266">
        <w:rPr>
          <w:rFonts w:ascii="Cambria Math" w:hAnsi="Cambria Math" w:cs="Cambria Math"/>
          <w:color w:val="222222"/>
          <w:sz w:val="20"/>
          <w:szCs w:val="20"/>
          <w:shd w:val="clear" w:color="auto" w:fill="FFFFFF"/>
        </w:rPr>
        <w:t>‐</w:t>
      </w:r>
      <w:r w:rsidRPr="00E61266">
        <w:rPr>
          <w:rFonts w:ascii="Arial" w:hAnsi="Arial" w:cs="Arial"/>
          <w:color w:val="222222"/>
          <w:sz w:val="20"/>
          <w:szCs w:val="20"/>
          <w:shd w:val="clear" w:color="auto" w:fill="FFFFFF"/>
        </w:rPr>
        <w:t>Thompson Case. </w:t>
      </w:r>
      <w:r w:rsidRPr="00E61266">
        <w:rPr>
          <w:rFonts w:ascii="Arial" w:hAnsi="Arial" w:cs="Arial"/>
          <w:i/>
          <w:iCs/>
          <w:color w:val="222222"/>
          <w:sz w:val="20"/>
          <w:szCs w:val="20"/>
          <w:shd w:val="clear" w:color="auto" w:fill="FFFFFF"/>
        </w:rPr>
        <w:t>Journal of Law and Society</w:t>
      </w:r>
      <w:r w:rsidRPr="00E61266">
        <w:rPr>
          <w:rFonts w:ascii="Arial" w:hAnsi="Arial" w:cs="Arial"/>
          <w:color w:val="222222"/>
          <w:sz w:val="20"/>
          <w:szCs w:val="20"/>
          <w:shd w:val="clear" w:color="auto" w:fill="FFFFFF"/>
        </w:rPr>
        <w:t>, </w:t>
      </w:r>
      <w:r w:rsidRPr="00E61266">
        <w:rPr>
          <w:rFonts w:ascii="Arial" w:hAnsi="Arial" w:cs="Arial"/>
          <w:i/>
          <w:iCs/>
          <w:color w:val="222222"/>
          <w:sz w:val="20"/>
          <w:szCs w:val="20"/>
          <w:shd w:val="clear" w:color="auto" w:fill="FFFFFF"/>
        </w:rPr>
        <w:t>27</w:t>
      </w:r>
      <w:r w:rsidRPr="00E61266">
        <w:rPr>
          <w:rFonts w:ascii="Arial" w:hAnsi="Arial" w:cs="Arial"/>
          <w:color w:val="222222"/>
          <w:sz w:val="20"/>
          <w:szCs w:val="20"/>
          <w:shd w:val="clear" w:color="auto" w:fill="FFFFFF"/>
        </w:rPr>
        <w:t>(3), pp.416-448.</w:t>
      </w:r>
    </w:p>
    <w:p w14:paraId="42231ABA" w14:textId="77777777" w:rsidR="00D829DA" w:rsidRDefault="00D829DA" w:rsidP="00D829DA">
      <w:pPr>
        <w:rPr>
          <w:rFonts w:ascii="Arial" w:hAnsi="Arial" w:cs="Arial"/>
          <w:color w:val="222222"/>
          <w:sz w:val="20"/>
          <w:szCs w:val="20"/>
          <w:shd w:val="clear" w:color="auto" w:fill="FFFFFF"/>
        </w:rPr>
      </w:pPr>
    </w:p>
    <w:p w14:paraId="57C5226B" w14:textId="77777777" w:rsidR="00D829DA" w:rsidRDefault="00D829DA" w:rsidP="00D829DA">
      <w:pPr>
        <w:rPr>
          <w:rFonts w:ascii="Arial" w:hAnsi="Arial" w:cs="Arial"/>
          <w:color w:val="222222"/>
          <w:sz w:val="20"/>
          <w:szCs w:val="20"/>
        </w:rPr>
      </w:pPr>
      <w:r>
        <w:rPr>
          <w:rFonts w:ascii="Arial" w:hAnsi="Arial" w:cs="Arial"/>
          <w:color w:val="222222"/>
          <w:sz w:val="20"/>
          <w:szCs w:val="20"/>
        </w:rPr>
        <w:t>Johnstone, G. and Van Ness, D. eds., 2013. </w:t>
      </w:r>
      <w:r>
        <w:rPr>
          <w:rFonts w:ascii="Arial" w:hAnsi="Arial" w:cs="Arial"/>
          <w:i/>
          <w:iCs/>
          <w:color w:val="222222"/>
          <w:sz w:val="20"/>
          <w:szCs w:val="20"/>
        </w:rPr>
        <w:t>Handbook of restorative justice</w:t>
      </w:r>
      <w:r>
        <w:rPr>
          <w:rFonts w:ascii="Arial" w:hAnsi="Arial" w:cs="Arial"/>
          <w:color w:val="222222"/>
          <w:sz w:val="20"/>
          <w:szCs w:val="20"/>
        </w:rPr>
        <w:t>. Routledge.</w:t>
      </w:r>
    </w:p>
    <w:p w14:paraId="40C63C56" w14:textId="77777777" w:rsidR="00D829DA" w:rsidRDefault="00D829DA" w:rsidP="00D829DA">
      <w:pPr>
        <w:rPr>
          <w:rFonts w:ascii="Arial" w:hAnsi="Arial" w:cs="Arial"/>
          <w:color w:val="222222"/>
          <w:sz w:val="20"/>
          <w:szCs w:val="20"/>
        </w:rPr>
      </w:pPr>
      <w:proofErr w:type="spellStart"/>
      <w:r>
        <w:rPr>
          <w:rFonts w:ascii="Arial" w:hAnsi="Arial" w:cs="Arial"/>
          <w:color w:val="222222"/>
          <w:sz w:val="20"/>
          <w:szCs w:val="20"/>
        </w:rPr>
        <w:t>Kehily</w:t>
      </w:r>
      <w:proofErr w:type="spellEnd"/>
      <w:r>
        <w:rPr>
          <w:rFonts w:ascii="Arial" w:hAnsi="Arial" w:cs="Arial"/>
          <w:color w:val="222222"/>
          <w:sz w:val="20"/>
          <w:szCs w:val="20"/>
        </w:rPr>
        <w:t>, M.J., 2004. Understanding childhood: An introduction to some key themes and issues. </w:t>
      </w:r>
      <w:r>
        <w:rPr>
          <w:rFonts w:ascii="Arial" w:hAnsi="Arial" w:cs="Arial"/>
          <w:i/>
          <w:iCs/>
          <w:color w:val="222222"/>
          <w:sz w:val="20"/>
          <w:szCs w:val="20"/>
        </w:rPr>
        <w:t>An introduction to childhood studies</w:t>
      </w:r>
      <w:r>
        <w:rPr>
          <w:rFonts w:ascii="Arial" w:hAnsi="Arial" w:cs="Arial"/>
          <w:color w:val="222222"/>
          <w:sz w:val="20"/>
          <w:szCs w:val="20"/>
        </w:rPr>
        <w:t>, </w:t>
      </w:r>
      <w:r>
        <w:rPr>
          <w:rFonts w:ascii="Arial" w:hAnsi="Arial" w:cs="Arial"/>
          <w:i/>
          <w:iCs/>
          <w:color w:val="222222"/>
          <w:sz w:val="20"/>
          <w:szCs w:val="20"/>
        </w:rPr>
        <w:t>1</w:t>
      </w:r>
      <w:r>
        <w:rPr>
          <w:rFonts w:ascii="Arial" w:hAnsi="Arial" w:cs="Arial"/>
          <w:color w:val="222222"/>
          <w:sz w:val="20"/>
          <w:szCs w:val="20"/>
        </w:rPr>
        <w:t>.</w:t>
      </w:r>
    </w:p>
    <w:p w14:paraId="10058470" w14:textId="77777777" w:rsidR="00D829DA" w:rsidRDefault="00D829DA" w:rsidP="00D829DA">
      <w:pPr>
        <w:rPr>
          <w:rFonts w:ascii="Arial" w:hAnsi="Arial" w:cs="Arial"/>
          <w:color w:val="222222"/>
          <w:sz w:val="20"/>
          <w:szCs w:val="20"/>
        </w:rPr>
      </w:pPr>
    </w:p>
    <w:p w14:paraId="3EB68452" w14:textId="77777777" w:rsidR="00D829DA" w:rsidRDefault="00D829DA" w:rsidP="00D829DA">
      <w:r>
        <w:rPr>
          <w:rFonts w:ascii="Arial" w:hAnsi="Arial" w:cs="Arial"/>
          <w:color w:val="222222"/>
          <w:sz w:val="20"/>
          <w:szCs w:val="20"/>
          <w:shd w:val="clear" w:color="auto" w:fill="FFFFFF"/>
        </w:rPr>
        <w:t>Lum, C., Kennedy, L.W. and Sherley, A., 2006. Are counter-terrorism strategies effective? The results of the Campbell systematic review on counter-terrorism evaluation research. </w:t>
      </w:r>
      <w:r>
        <w:rPr>
          <w:rFonts w:ascii="Arial" w:hAnsi="Arial" w:cs="Arial"/>
          <w:i/>
          <w:iCs/>
          <w:color w:val="222222"/>
          <w:sz w:val="20"/>
          <w:szCs w:val="20"/>
          <w:shd w:val="clear" w:color="auto" w:fill="FFFFFF"/>
        </w:rPr>
        <w:t>Journal of Experimental Criminology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(4), pp.489-516.</w:t>
      </w:r>
    </w:p>
    <w:p w14:paraId="7AFF0A23" w14:textId="77777777" w:rsidR="00D829DA" w:rsidRPr="00E61266" w:rsidRDefault="00D829DA" w:rsidP="00D829DA"/>
    <w:p w14:paraId="2534E471" w14:textId="77777777" w:rsidR="00D829DA" w:rsidRDefault="00D829DA" w:rsidP="00D829DA"/>
    <w:p w14:paraId="792C831C" w14:textId="77777777" w:rsidR="00D829DA" w:rsidRPr="00E61266" w:rsidRDefault="00D829DA" w:rsidP="00D829DA">
      <w:proofErr w:type="spellStart"/>
      <w:r w:rsidRPr="00E61266">
        <w:rPr>
          <w:rFonts w:ascii="Arial" w:hAnsi="Arial" w:cs="Arial"/>
          <w:color w:val="222222"/>
          <w:sz w:val="20"/>
          <w:szCs w:val="20"/>
          <w:shd w:val="clear" w:color="auto" w:fill="FFFFFF"/>
        </w:rPr>
        <w:t>McDiarmid</w:t>
      </w:r>
      <w:proofErr w:type="spellEnd"/>
      <w:r w:rsidRPr="00E61266">
        <w:rPr>
          <w:rFonts w:ascii="Arial" w:hAnsi="Arial" w:cs="Arial"/>
          <w:color w:val="222222"/>
          <w:sz w:val="20"/>
          <w:szCs w:val="20"/>
          <w:shd w:val="clear" w:color="auto" w:fill="FFFFFF"/>
        </w:rPr>
        <w:t>, C., 2013. An age of complexity: Children and criminal responsibility in law. </w:t>
      </w:r>
      <w:r w:rsidRPr="00E61266">
        <w:rPr>
          <w:rFonts w:ascii="Arial" w:hAnsi="Arial" w:cs="Arial"/>
          <w:i/>
          <w:iCs/>
          <w:color w:val="222222"/>
          <w:sz w:val="20"/>
          <w:szCs w:val="20"/>
          <w:shd w:val="clear" w:color="auto" w:fill="FFFFFF"/>
        </w:rPr>
        <w:t>Youth justice</w:t>
      </w:r>
      <w:r w:rsidRPr="00E61266">
        <w:rPr>
          <w:rFonts w:ascii="Arial" w:hAnsi="Arial" w:cs="Arial"/>
          <w:color w:val="222222"/>
          <w:sz w:val="20"/>
          <w:szCs w:val="20"/>
          <w:shd w:val="clear" w:color="auto" w:fill="FFFFFF"/>
        </w:rPr>
        <w:t>, </w:t>
      </w:r>
      <w:r w:rsidRPr="00E61266">
        <w:rPr>
          <w:rFonts w:ascii="Arial" w:hAnsi="Arial" w:cs="Arial"/>
          <w:i/>
          <w:iCs/>
          <w:color w:val="222222"/>
          <w:sz w:val="20"/>
          <w:szCs w:val="20"/>
          <w:shd w:val="clear" w:color="auto" w:fill="FFFFFF"/>
        </w:rPr>
        <w:t>13</w:t>
      </w:r>
      <w:r w:rsidRPr="00E61266">
        <w:rPr>
          <w:rFonts w:ascii="Arial" w:hAnsi="Arial" w:cs="Arial"/>
          <w:color w:val="222222"/>
          <w:sz w:val="20"/>
          <w:szCs w:val="20"/>
          <w:shd w:val="clear" w:color="auto" w:fill="FFFFFF"/>
        </w:rPr>
        <w:t>(2), pp.145-160.</w:t>
      </w:r>
    </w:p>
    <w:p w14:paraId="3BAED4FD" w14:textId="77777777" w:rsidR="00D829DA" w:rsidRDefault="00D829DA" w:rsidP="00D829DA"/>
    <w:p w14:paraId="3D2DC5A7" w14:textId="77777777" w:rsidR="00D829DA" w:rsidRDefault="00D829DA" w:rsidP="00D829DA"/>
    <w:p w14:paraId="2004660C" w14:textId="77777777" w:rsidR="00D829DA" w:rsidRDefault="00D829DA" w:rsidP="00D829DA">
      <w:pPr>
        <w:rPr>
          <w:rFonts w:ascii="Arial" w:hAnsi="Arial" w:cs="Arial"/>
          <w:color w:val="222222"/>
          <w:sz w:val="20"/>
          <w:szCs w:val="20"/>
          <w:shd w:val="clear" w:color="auto" w:fill="FFFFFF"/>
        </w:rPr>
      </w:pPr>
      <w:r>
        <w:rPr>
          <w:rFonts w:ascii="Arial" w:hAnsi="Arial" w:cs="Arial"/>
          <w:color w:val="222222"/>
          <w:sz w:val="20"/>
          <w:szCs w:val="20"/>
          <w:shd w:val="clear" w:color="auto" w:fill="FFFFFF"/>
        </w:rPr>
        <w:t>Millie, A., Jacobson, J., Hough, M. and McDonald, E., 2015. </w:t>
      </w:r>
      <w:r>
        <w:rPr>
          <w:rFonts w:ascii="Arial" w:hAnsi="Arial" w:cs="Arial"/>
          <w:i/>
          <w:iCs/>
          <w:color w:val="222222"/>
          <w:sz w:val="20"/>
          <w:szCs w:val="20"/>
          <w:shd w:val="clear" w:color="auto" w:fill="FFFFFF"/>
        </w:rPr>
        <w:t>Anti-social behaviour strategies: Finding a balance</w:t>
      </w:r>
      <w:r>
        <w:rPr>
          <w:rFonts w:ascii="Arial" w:hAnsi="Arial" w:cs="Arial"/>
          <w:color w:val="222222"/>
          <w:sz w:val="20"/>
          <w:szCs w:val="20"/>
          <w:shd w:val="clear" w:color="auto" w:fill="FFFFFF"/>
        </w:rPr>
        <w:t>. Policy Press.</w:t>
      </w:r>
    </w:p>
    <w:p w14:paraId="63CB8DAF" w14:textId="77777777" w:rsidR="00D829DA" w:rsidRDefault="00D829DA" w:rsidP="00D829DA">
      <w:pPr>
        <w:rPr>
          <w:rFonts w:ascii="Arial" w:hAnsi="Arial" w:cs="Arial"/>
          <w:color w:val="222222"/>
          <w:sz w:val="20"/>
          <w:szCs w:val="20"/>
          <w:shd w:val="clear" w:color="auto" w:fill="FFFFFF"/>
        </w:rPr>
      </w:pPr>
    </w:p>
    <w:p w14:paraId="13075CAD" w14:textId="77777777" w:rsidR="00D829DA" w:rsidRDefault="00D829DA" w:rsidP="00D829DA">
      <w:pPr>
        <w:pStyle w:val="Heading4"/>
        <w:spacing w:before="0" w:beforeAutospacing="0" w:after="0" w:afterAutospacing="0" w:line="360" w:lineRule="atLeast"/>
        <w:rPr>
          <w:rFonts w:ascii="Arial" w:hAnsi="Arial" w:cs="Arial"/>
          <w:b w:val="0"/>
          <w:bCs w:val="0"/>
          <w:color w:val="000000"/>
          <w:sz w:val="21"/>
          <w:szCs w:val="21"/>
        </w:rPr>
      </w:pPr>
      <w:r>
        <w:rPr>
          <w:rFonts w:ascii="Arial" w:hAnsi="Arial" w:cs="Arial"/>
          <w:b w:val="0"/>
          <w:bCs w:val="0"/>
          <w:i/>
          <w:iCs/>
          <w:color w:val="000000"/>
          <w:sz w:val="21"/>
          <w:szCs w:val="21"/>
        </w:rPr>
        <w:t>NSPCC Learning</w:t>
      </w:r>
      <w:r>
        <w:rPr>
          <w:rFonts w:ascii="Arial" w:hAnsi="Arial" w:cs="Arial"/>
          <w:b w:val="0"/>
          <w:bCs w:val="0"/>
          <w:color w:val="000000"/>
          <w:sz w:val="21"/>
          <w:szCs w:val="21"/>
        </w:rPr>
        <w:t> (2023). Available at: https://learning.nspcc.org.uk/safeguarding-child-protection/early-help-early-intervention (Accessed: 13 January 2023).</w:t>
      </w:r>
    </w:p>
    <w:p w14:paraId="1C7B141E" w14:textId="77777777" w:rsidR="00D829DA" w:rsidRDefault="00D829DA" w:rsidP="00D829DA"/>
    <w:p w14:paraId="38BF9060" w14:textId="77777777" w:rsidR="00D829DA" w:rsidRDefault="00D829DA" w:rsidP="00D829DA">
      <w:r>
        <w:rPr>
          <w:rFonts w:ascii="Arial" w:hAnsi="Arial" w:cs="Arial"/>
          <w:color w:val="222222"/>
          <w:sz w:val="20"/>
          <w:szCs w:val="20"/>
          <w:shd w:val="clear" w:color="auto" w:fill="FFFFFF"/>
        </w:rPr>
        <w:t>Peel, D., 2005. The significance of behavioural learning theory to the development of effective coaching practice. </w:t>
      </w:r>
      <w:r>
        <w:rPr>
          <w:rFonts w:ascii="Arial" w:hAnsi="Arial" w:cs="Arial"/>
          <w:i/>
          <w:iCs/>
          <w:color w:val="222222"/>
          <w:sz w:val="20"/>
          <w:szCs w:val="20"/>
          <w:shd w:val="clear" w:color="auto" w:fill="FFFFFF"/>
        </w:rPr>
        <w:t>International Journal of Evidence Based Coaching and Mentoring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w:t>
      </w:r>
      <w:r>
        <w:rPr>
          <w:rFonts w:ascii="Arial" w:hAnsi="Arial" w:cs="Arial"/>
          <w:color w:val="222222"/>
          <w:sz w:val="20"/>
          <w:szCs w:val="20"/>
          <w:shd w:val="clear" w:color="auto" w:fill="FFFFFF"/>
        </w:rPr>
        <w:t>(1), pp.18-28.</w:t>
      </w:r>
    </w:p>
    <w:p w14:paraId="281285AC" w14:textId="77777777" w:rsidR="00D829DA" w:rsidRDefault="00D829DA" w:rsidP="00D829DA"/>
    <w:p w14:paraId="699EE64F" w14:textId="77777777" w:rsidR="00D829DA" w:rsidRDefault="00D829DA" w:rsidP="00D829DA">
      <w:proofErr w:type="spellStart"/>
      <w:r>
        <w:rPr>
          <w:rFonts w:ascii="Arial" w:hAnsi="Arial" w:cs="Arial"/>
          <w:color w:val="222222"/>
          <w:sz w:val="20"/>
          <w:szCs w:val="20"/>
          <w:shd w:val="clear" w:color="auto" w:fill="FFFFFF"/>
        </w:rPr>
        <w:t>Reavis</w:t>
      </w:r>
      <w:proofErr w:type="spellEnd"/>
      <w:r>
        <w:rPr>
          <w:rFonts w:ascii="Arial" w:hAnsi="Arial" w:cs="Arial"/>
          <w:color w:val="222222"/>
          <w:sz w:val="20"/>
          <w:szCs w:val="20"/>
          <w:shd w:val="clear" w:color="auto" w:fill="FFFFFF"/>
        </w:rPr>
        <w:t xml:space="preserve">, J.A., </w:t>
      </w:r>
      <w:proofErr w:type="spellStart"/>
      <w:r>
        <w:rPr>
          <w:rFonts w:ascii="Arial" w:hAnsi="Arial" w:cs="Arial"/>
          <w:color w:val="222222"/>
          <w:sz w:val="20"/>
          <w:szCs w:val="20"/>
          <w:shd w:val="clear" w:color="auto" w:fill="FFFFFF"/>
        </w:rPr>
        <w:t>Looman</w:t>
      </w:r>
      <w:proofErr w:type="spellEnd"/>
      <w:r>
        <w:rPr>
          <w:rFonts w:ascii="Arial" w:hAnsi="Arial" w:cs="Arial"/>
          <w:color w:val="222222"/>
          <w:sz w:val="20"/>
          <w:szCs w:val="20"/>
          <w:shd w:val="clear" w:color="auto" w:fill="FFFFFF"/>
        </w:rPr>
        <w:t xml:space="preserve">, J., Franco, K.A. and Rojas, B., 2013. Adverse childhood experiences and adult criminality: how long must we live before we possess our own </w:t>
      </w:r>
      <w:proofErr w:type="gramStart"/>
      <w:r>
        <w:rPr>
          <w:rFonts w:ascii="Arial" w:hAnsi="Arial" w:cs="Arial"/>
          <w:color w:val="222222"/>
          <w:sz w:val="20"/>
          <w:szCs w:val="20"/>
          <w:shd w:val="clear" w:color="auto" w:fill="FFFFFF"/>
        </w:rPr>
        <w:t>lives?.</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The Permanente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17</w:t>
      </w:r>
      <w:r>
        <w:rPr>
          <w:rFonts w:ascii="Arial" w:hAnsi="Arial" w:cs="Arial"/>
          <w:color w:val="222222"/>
          <w:sz w:val="20"/>
          <w:szCs w:val="20"/>
          <w:shd w:val="clear" w:color="auto" w:fill="FFFFFF"/>
        </w:rPr>
        <w:t>(2), p.44.</w:t>
      </w:r>
    </w:p>
    <w:p w14:paraId="0FF641D7" w14:textId="77777777" w:rsidR="00D829DA" w:rsidRDefault="00D829DA" w:rsidP="00D829DA"/>
    <w:p w14:paraId="7548801D" w14:textId="77777777" w:rsidR="00D829DA" w:rsidRDefault="00D829DA" w:rsidP="00D829DA">
      <w:proofErr w:type="spellStart"/>
      <w:r>
        <w:rPr>
          <w:rFonts w:ascii="Arial" w:hAnsi="Arial" w:cs="Arial"/>
          <w:color w:val="222222"/>
          <w:sz w:val="20"/>
          <w:szCs w:val="20"/>
          <w:shd w:val="clear" w:color="auto" w:fill="FFFFFF"/>
        </w:rPr>
        <w:t>Rowbotham</w:t>
      </w:r>
      <w:proofErr w:type="spellEnd"/>
      <w:r>
        <w:rPr>
          <w:rFonts w:ascii="Arial" w:hAnsi="Arial" w:cs="Arial"/>
          <w:color w:val="222222"/>
          <w:sz w:val="20"/>
          <w:szCs w:val="20"/>
          <w:shd w:val="clear" w:color="auto" w:fill="FFFFFF"/>
        </w:rPr>
        <w:t xml:space="preserve">, J., Stevenson, K. and </w:t>
      </w:r>
      <w:proofErr w:type="spellStart"/>
      <w:r>
        <w:rPr>
          <w:rFonts w:ascii="Arial" w:hAnsi="Arial" w:cs="Arial"/>
          <w:color w:val="222222"/>
          <w:sz w:val="20"/>
          <w:szCs w:val="20"/>
          <w:shd w:val="clear" w:color="auto" w:fill="FFFFFF"/>
        </w:rPr>
        <w:t>Pegg</w:t>
      </w:r>
      <w:proofErr w:type="spellEnd"/>
      <w:r>
        <w:rPr>
          <w:rFonts w:ascii="Arial" w:hAnsi="Arial" w:cs="Arial"/>
          <w:color w:val="222222"/>
          <w:sz w:val="20"/>
          <w:szCs w:val="20"/>
          <w:shd w:val="clear" w:color="auto" w:fill="FFFFFF"/>
        </w:rPr>
        <w:t>, S., 2003. Children of misfortune: Parallels in the cases of child murderers Thompson and Venables, Barratt and Bradley. </w:t>
      </w:r>
      <w:r>
        <w:rPr>
          <w:rFonts w:ascii="Arial" w:hAnsi="Arial" w:cs="Arial"/>
          <w:i/>
          <w:iCs/>
          <w:color w:val="222222"/>
          <w:sz w:val="20"/>
          <w:szCs w:val="20"/>
          <w:shd w:val="clear" w:color="auto" w:fill="FFFFFF"/>
        </w:rPr>
        <w:t>The Howard journal of criminal justice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42</w:t>
      </w:r>
      <w:r>
        <w:rPr>
          <w:rFonts w:ascii="Arial" w:hAnsi="Arial" w:cs="Arial"/>
          <w:color w:val="222222"/>
          <w:sz w:val="20"/>
          <w:szCs w:val="20"/>
          <w:shd w:val="clear" w:color="auto" w:fill="FFFFFF"/>
        </w:rPr>
        <w:t>(2), pp.107-122.</w:t>
      </w:r>
    </w:p>
    <w:p w14:paraId="7967BC69" w14:textId="77777777" w:rsidR="00D829DA" w:rsidRDefault="00D829DA" w:rsidP="00D829DA"/>
    <w:p w14:paraId="1BB40D4B" w14:textId="77777777" w:rsidR="00D829DA" w:rsidRDefault="00D829DA" w:rsidP="00D829DA"/>
    <w:tbl>
      <w:tblPr>
        <w:tblW w:w="6537" w:type="dxa"/>
        <w:shd w:val="clear" w:color="auto" w:fill="FFFFFF"/>
        <w:tblCellMar>
          <w:left w:w="0" w:type="dxa"/>
          <w:right w:w="0" w:type="dxa"/>
        </w:tblCellMar>
        <w:tblLook w:val="04A0" w:firstRow="1" w:lastRow="0" w:firstColumn="1" w:lastColumn="0" w:noHBand="0" w:noVBand="1"/>
      </w:tblPr>
      <w:tblGrid>
        <w:gridCol w:w="6537"/>
      </w:tblGrid>
      <w:tr w:rsidR="00D829DA" w14:paraId="65E9FC68" w14:textId="77777777" w:rsidTr="00EF6CE8">
        <w:tc>
          <w:tcPr>
            <w:tcW w:w="0" w:type="auto"/>
            <w:shd w:val="clear" w:color="auto" w:fill="FFFFFF"/>
            <w:vAlign w:val="center"/>
            <w:hideMark/>
          </w:tcPr>
          <w:p w14:paraId="656EC78B" w14:textId="77777777" w:rsidR="00D829DA" w:rsidRDefault="00D829DA" w:rsidP="00EF6CE8"/>
        </w:tc>
      </w:tr>
      <w:tr w:rsidR="00D829DA" w14:paraId="760EC4E9" w14:textId="77777777" w:rsidTr="00EF6CE8">
        <w:tc>
          <w:tcPr>
            <w:tcW w:w="0" w:type="auto"/>
            <w:shd w:val="clear" w:color="auto" w:fill="FFFFFF"/>
            <w:tcMar>
              <w:top w:w="120" w:type="dxa"/>
              <w:left w:w="0" w:type="dxa"/>
              <w:bottom w:w="120" w:type="dxa"/>
              <w:right w:w="0" w:type="dxa"/>
            </w:tcMar>
            <w:hideMark/>
          </w:tcPr>
          <w:p w14:paraId="5C85049C" w14:textId="77777777" w:rsidR="00D829DA" w:rsidRDefault="00D829DA" w:rsidP="00EF6CE8">
            <w:pPr>
              <w:rPr>
                <w:rFonts w:ascii="Arial" w:hAnsi="Arial" w:cs="Arial"/>
                <w:color w:val="222222"/>
                <w:sz w:val="20"/>
                <w:szCs w:val="20"/>
              </w:rPr>
            </w:pPr>
          </w:p>
        </w:tc>
      </w:tr>
    </w:tbl>
    <w:p w14:paraId="2FA52298" w14:textId="77777777" w:rsidR="00D829DA" w:rsidRDefault="00D829DA" w:rsidP="00D829DA"/>
    <w:p w14:paraId="6D2CF61C" w14:textId="77777777" w:rsidR="00D829DA" w:rsidRDefault="00D829DA" w:rsidP="00D829DA"/>
    <w:tbl>
      <w:tblPr>
        <w:tblW w:w="6564" w:type="dxa"/>
        <w:shd w:val="clear" w:color="auto" w:fill="FFFFFF"/>
        <w:tblCellMar>
          <w:left w:w="0" w:type="dxa"/>
          <w:right w:w="0" w:type="dxa"/>
        </w:tblCellMar>
        <w:tblLook w:val="04A0" w:firstRow="1" w:lastRow="0" w:firstColumn="1" w:lastColumn="0" w:noHBand="0" w:noVBand="1"/>
      </w:tblPr>
      <w:tblGrid>
        <w:gridCol w:w="6564"/>
      </w:tblGrid>
      <w:tr w:rsidR="00D829DA" w14:paraId="708971DD" w14:textId="77777777" w:rsidTr="00EF6CE8">
        <w:tc>
          <w:tcPr>
            <w:tcW w:w="0" w:type="auto"/>
            <w:shd w:val="clear" w:color="auto" w:fill="FFFFFF"/>
            <w:vAlign w:val="center"/>
            <w:hideMark/>
          </w:tcPr>
          <w:p w14:paraId="70EA88A7" w14:textId="77777777" w:rsidR="00D829DA" w:rsidRDefault="00D829DA" w:rsidP="00EF6CE8"/>
        </w:tc>
      </w:tr>
      <w:tr w:rsidR="00D829DA" w14:paraId="76FBA888" w14:textId="77777777" w:rsidTr="00EF6CE8">
        <w:tc>
          <w:tcPr>
            <w:tcW w:w="0" w:type="auto"/>
            <w:shd w:val="clear" w:color="auto" w:fill="FFFFFF"/>
            <w:tcMar>
              <w:top w:w="120" w:type="dxa"/>
              <w:left w:w="0" w:type="dxa"/>
              <w:bottom w:w="120" w:type="dxa"/>
              <w:right w:w="0" w:type="dxa"/>
            </w:tcMar>
            <w:hideMark/>
          </w:tcPr>
          <w:p w14:paraId="63E22D95" w14:textId="77777777" w:rsidR="00D829DA" w:rsidRDefault="00D829DA" w:rsidP="00EF6CE8">
            <w:pPr>
              <w:rPr>
                <w:rFonts w:ascii="Arial" w:hAnsi="Arial" w:cs="Arial"/>
                <w:color w:val="222222"/>
                <w:sz w:val="20"/>
                <w:szCs w:val="20"/>
              </w:rPr>
            </w:pPr>
            <w:r>
              <w:rPr>
                <w:rFonts w:ascii="Arial" w:hAnsi="Arial" w:cs="Arial"/>
                <w:color w:val="222222"/>
                <w:sz w:val="20"/>
                <w:szCs w:val="20"/>
              </w:rPr>
              <w:t xml:space="preserve">Sayer, A., 2017. Responding to the troubled </w:t>
            </w:r>
            <w:proofErr w:type="gramStart"/>
            <w:r>
              <w:rPr>
                <w:rFonts w:ascii="Arial" w:hAnsi="Arial" w:cs="Arial"/>
                <w:color w:val="222222"/>
                <w:sz w:val="20"/>
                <w:szCs w:val="20"/>
              </w:rPr>
              <w:t>families</w:t>
            </w:r>
            <w:proofErr w:type="gramEnd"/>
            <w:r>
              <w:rPr>
                <w:rFonts w:ascii="Arial" w:hAnsi="Arial" w:cs="Arial"/>
                <w:color w:val="222222"/>
                <w:sz w:val="20"/>
                <w:szCs w:val="20"/>
              </w:rPr>
              <w:t xml:space="preserve"> programme: Framing the injuries of inequality. </w:t>
            </w:r>
            <w:r>
              <w:rPr>
                <w:rFonts w:ascii="Arial" w:hAnsi="Arial" w:cs="Arial"/>
                <w:i/>
                <w:iCs/>
                <w:color w:val="222222"/>
                <w:sz w:val="20"/>
                <w:szCs w:val="20"/>
              </w:rPr>
              <w:t>Social Policy and Society</w:t>
            </w:r>
            <w:r>
              <w:rPr>
                <w:rFonts w:ascii="Arial" w:hAnsi="Arial" w:cs="Arial"/>
                <w:color w:val="222222"/>
                <w:sz w:val="20"/>
                <w:szCs w:val="20"/>
              </w:rPr>
              <w:t>, </w:t>
            </w:r>
            <w:r>
              <w:rPr>
                <w:rFonts w:ascii="Arial" w:hAnsi="Arial" w:cs="Arial"/>
                <w:i/>
                <w:iCs/>
                <w:color w:val="222222"/>
                <w:sz w:val="20"/>
                <w:szCs w:val="20"/>
              </w:rPr>
              <w:t>16</w:t>
            </w:r>
            <w:r>
              <w:rPr>
                <w:rFonts w:ascii="Arial" w:hAnsi="Arial" w:cs="Arial"/>
                <w:color w:val="222222"/>
                <w:sz w:val="20"/>
                <w:szCs w:val="20"/>
              </w:rPr>
              <w:t>(1), pp.155-164.</w:t>
            </w:r>
          </w:p>
        </w:tc>
      </w:tr>
    </w:tbl>
    <w:p w14:paraId="2F7D6FD4" w14:textId="77777777" w:rsidR="00D829DA" w:rsidRDefault="00D829DA" w:rsidP="00D829DA"/>
    <w:p w14:paraId="7A37ECC2" w14:textId="77777777" w:rsidR="00D829DA" w:rsidRDefault="00D829DA" w:rsidP="00D829DA">
      <w:r>
        <w:rPr>
          <w:rFonts w:ascii="Arial" w:hAnsi="Arial" w:cs="Arial"/>
          <w:color w:val="222222"/>
          <w:sz w:val="20"/>
          <w:szCs w:val="20"/>
          <w:shd w:val="clear" w:color="auto" w:fill="FFFFFF"/>
        </w:rPr>
        <w:t>Stanley, T. and Guru, S., 2015. Childhood radicalisation risk: An emerging practice issue. </w:t>
      </w:r>
      <w:r>
        <w:rPr>
          <w:rFonts w:ascii="Arial" w:hAnsi="Arial" w:cs="Arial"/>
          <w:i/>
          <w:iCs/>
          <w:color w:val="222222"/>
          <w:sz w:val="20"/>
          <w:szCs w:val="20"/>
          <w:shd w:val="clear" w:color="auto" w:fill="FFFFFF"/>
        </w:rPr>
        <w:t>Practice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27</w:t>
      </w:r>
      <w:r>
        <w:rPr>
          <w:rFonts w:ascii="Arial" w:hAnsi="Arial" w:cs="Arial"/>
          <w:color w:val="222222"/>
          <w:sz w:val="20"/>
          <w:szCs w:val="20"/>
          <w:shd w:val="clear" w:color="auto" w:fill="FFFFFF"/>
        </w:rPr>
        <w:t>(5), pp.353-366.</w:t>
      </w:r>
    </w:p>
    <w:p w14:paraId="4E82B906" w14:textId="77777777" w:rsidR="00D829DA" w:rsidRDefault="00D829DA" w:rsidP="00D829DA"/>
    <w:p w14:paraId="08010069" w14:textId="77777777" w:rsidR="00D829DA" w:rsidRDefault="00D829DA" w:rsidP="00D829DA"/>
    <w:p w14:paraId="29797ED5" w14:textId="77777777" w:rsidR="00D829DA" w:rsidRDefault="00D829DA" w:rsidP="00D829DA">
      <w:r>
        <w:rPr>
          <w:rFonts w:ascii="Arial" w:hAnsi="Arial" w:cs="Arial"/>
          <w:color w:val="222222"/>
          <w:sz w:val="20"/>
          <w:szCs w:val="20"/>
          <w:shd w:val="clear" w:color="auto" w:fill="FFFFFF"/>
        </w:rPr>
        <w:t xml:space="preserve">Phillips, C., </w:t>
      </w:r>
      <w:proofErr w:type="spellStart"/>
      <w:r>
        <w:rPr>
          <w:rFonts w:ascii="Arial" w:hAnsi="Arial" w:cs="Arial"/>
          <w:color w:val="222222"/>
          <w:sz w:val="20"/>
          <w:szCs w:val="20"/>
          <w:shd w:val="clear" w:color="auto" w:fill="FFFFFF"/>
        </w:rPr>
        <w:t>Tse</w:t>
      </w:r>
      <w:proofErr w:type="spellEnd"/>
      <w:r>
        <w:rPr>
          <w:rFonts w:ascii="Arial" w:hAnsi="Arial" w:cs="Arial"/>
          <w:color w:val="222222"/>
          <w:sz w:val="20"/>
          <w:szCs w:val="20"/>
          <w:shd w:val="clear" w:color="auto" w:fill="FFFFFF"/>
        </w:rPr>
        <w:t xml:space="preserve">, D., Johnson, F. and Mori, I., 2011. Community cohesion and PREVENT: how have schools </w:t>
      </w:r>
      <w:proofErr w:type="gramStart"/>
      <w:r>
        <w:rPr>
          <w:rFonts w:ascii="Arial" w:hAnsi="Arial" w:cs="Arial"/>
          <w:color w:val="222222"/>
          <w:sz w:val="20"/>
          <w:szCs w:val="20"/>
          <w:shd w:val="clear" w:color="auto" w:fill="FFFFFF"/>
        </w:rPr>
        <w:t>responded?.</w:t>
      </w:r>
      <w:proofErr w:type="gramEnd"/>
    </w:p>
    <w:p w14:paraId="35037E2E" w14:textId="77777777" w:rsidR="00D829DA" w:rsidRDefault="00D829DA" w:rsidP="00D829DA"/>
    <w:p w14:paraId="620C8B84" w14:textId="77777777" w:rsidR="00D829DA" w:rsidRPr="00487325" w:rsidRDefault="00D829DA" w:rsidP="00D829DA">
      <w:pPr>
        <w:spacing w:line="360" w:lineRule="auto"/>
        <w:rPr>
          <w:rFonts w:ascii="Arial" w:hAnsi="Arial" w:cs="Arial"/>
        </w:rPr>
      </w:pPr>
      <w:proofErr w:type="spellStart"/>
      <w:r w:rsidRPr="00487325">
        <w:rPr>
          <w:rFonts w:ascii="Arial" w:hAnsi="Arial" w:cs="Arial"/>
          <w:color w:val="222222"/>
          <w:sz w:val="20"/>
          <w:szCs w:val="20"/>
          <w:shd w:val="clear" w:color="auto" w:fill="FFFFFF"/>
        </w:rPr>
        <w:t>Urbas</w:t>
      </w:r>
      <w:proofErr w:type="spellEnd"/>
      <w:r w:rsidRPr="00487325">
        <w:rPr>
          <w:rFonts w:ascii="Arial" w:hAnsi="Arial" w:cs="Arial"/>
          <w:color w:val="222222"/>
          <w:sz w:val="20"/>
          <w:szCs w:val="20"/>
          <w:shd w:val="clear" w:color="auto" w:fill="FFFFFF"/>
        </w:rPr>
        <w:t>, G., 2000. </w:t>
      </w:r>
      <w:r w:rsidRPr="00487325">
        <w:rPr>
          <w:rFonts w:ascii="Arial" w:hAnsi="Arial" w:cs="Arial"/>
          <w:i/>
          <w:iCs/>
          <w:color w:val="222222"/>
          <w:sz w:val="20"/>
          <w:szCs w:val="20"/>
          <w:shd w:val="clear" w:color="auto" w:fill="FFFFFF"/>
        </w:rPr>
        <w:t>The age of criminal responsibility</w:t>
      </w:r>
      <w:r w:rsidRPr="00487325">
        <w:rPr>
          <w:rFonts w:ascii="Arial" w:hAnsi="Arial" w:cs="Arial"/>
          <w:color w:val="222222"/>
          <w:sz w:val="20"/>
          <w:szCs w:val="20"/>
          <w:shd w:val="clear" w:color="auto" w:fill="FFFFFF"/>
        </w:rPr>
        <w:t> (Vol. 181). Canberra, Australian Capital Territory: Australian Institute of Criminology.</w:t>
      </w:r>
    </w:p>
    <w:p w14:paraId="16513ADF" w14:textId="77777777" w:rsidR="00D829DA" w:rsidRDefault="00D829DA" w:rsidP="00D829DA"/>
    <w:p w14:paraId="454C306A" w14:textId="77777777" w:rsidR="00D829DA" w:rsidRDefault="00D829DA" w:rsidP="00D829DA"/>
    <w:tbl>
      <w:tblPr>
        <w:tblW w:w="6564" w:type="dxa"/>
        <w:shd w:val="clear" w:color="auto" w:fill="FFFFFF"/>
        <w:tblCellMar>
          <w:left w:w="0" w:type="dxa"/>
          <w:right w:w="0" w:type="dxa"/>
        </w:tblCellMar>
        <w:tblLook w:val="04A0" w:firstRow="1" w:lastRow="0" w:firstColumn="1" w:lastColumn="0" w:noHBand="0" w:noVBand="1"/>
      </w:tblPr>
      <w:tblGrid>
        <w:gridCol w:w="6564"/>
      </w:tblGrid>
      <w:tr w:rsidR="00D829DA" w14:paraId="2E6F7E21" w14:textId="77777777" w:rsidTr="00EF6CE8">
        <w:tc>
          <w:tcPr>
            <w:tcW w:w="0" w:type="auto"/>
            <w:shd w:val="clear" w:color="auto" w:fill="FFFFFF"/>
            <w:vAlign w:val="center"/>
            <w:hideMark/>
          </w:tcPr>
          <w:p w14:paraId="16EA1D37" w14:textId="77777777" w:rsidR="00D829DA" w:rsidRDefault="00D829DA" w:rsidP="00EF6CE8"/>
        </w:tc>
      </w:tr>
      <w:tr w:rsidR="00D829DA" w14:paraId="5A895861" w14:textId="77777777" w:rsidTr="00EF6CE8">
        <w:tc>
          <w:tcPr>
            <w:tcW w:w="0" w:type="auto"/>
            <w:shd w:val="clear" w:color="auto" w:fill="FFFFFF"/>
            <w:tcMar>
              <w:top w:w="120" w:type="dxa"/>
              <w:left w:w="0" w:type="dxa"/>
              <w:bottom w:w="120" w:type="dxa"/>
              <w:right w:w="0" w:type="dxa"/>
            </w:tcMar>
            <w:hideMark/>
          </w:tcPr>
          <w:p w14:paraId="064685D8" w14:textId="77777777" w:rsidR="00D829DA" w:rsidRDefault="00D829DA" w:rsidP="00EF6CE8">
            <w:pPr>
              <w:rPr>
                <w:rFonts w:ascii="Arial" w:hAnsi="Arial" w:cs="Arial"/>
                <w:color w:val="222222"/>
                <w:sz w:val="20"/>
                <w:szCs w:val="20"/>
              </w:rPr>
            </w:pPr>
            <w:r>
              <w:rPr>
                <w:rFonts w:ascii="Arial" w:hAnsi="Arial" w:cs="Arial"/>
                <w:color w:val="222222"/>
                <w:sz w:val="20"/>
                <w:szCs w:val="20"/>
              </w:rPr>
              <w:t>Van Ness, D. and Strong, K.H., 2014. </w:t>
            </w:r>
            <w:r>
              <w:rPr>
                <w:rFonts w:ascii="Arial" w:hAnsi="Arial" w:cs="Arial"/>
                <w:i/>
                <w:iCs/>
                <w:color w:val="222222"/>
                <w:sz w:val="20"/>
                <w:szCs w:val="20"/>
              </w:rPr>
              <w:t>Restoring justice: An introduction to restorative justice</w:t>
            </w:r>
            <w:r>
              <w:rPr>
                <w:rFonts w:ascii="Arial" w:hAnsi="Arial" w:cs="Arial"/>
                <w:color w:val="222222"/>
                <w:sz w:val="20"/>
                <w:szCs w:val="20"/>
              </w:rPr>
              <w:t>. Routledge.</w:t>
            </w:r>
          </w:p>
        </w:tc>
      </w:tr>
    </w:tbl>
    <w:p w14:paraId="621061D2" w14:textId="77777777" w:rsidR="00D829DA" w:rsidRDefault="00D829DA" w:rsidP="00D829DA"/>
    <w:p w14:paraId="18EE7C1A" w14:textId="77777777" w:rsidR="00D829DA" w:rsidRDefault="00D829DA" w:rsidP="00D829DA"/>
    <w:p w14:paraId="12E59D21" w14:textId="43B9EC98" w:rsidR="00D829DA" w:rsidRPr="00AE0E86" w:rsidRDefault="00D829DA" w:rsidP="00D829DA">
      <w:pPr>
        <w:pStyle w:val="Heading4"/>
        <w:spacing w:before="0" w:beforeAutospacing="0" w:after="0" w:afterAutospacing="0" w:line="360" w:lineRule="atLeast"/>
        <w:rPr>
          <w:rFonts w:ascii="Arial" w:hAnsi="Arial" w:cs="Arial"/>
          <w:b w:val="0"/>
          <w:bCs w:val="0"/>
          <w:color w:val="000000"/>
          <w:sz w:val="21"/>
          <w:szCs w:val="21"/>
        </w:rPr>
      </w:pPr>
      <w:r>
        <w:rPr>
          <w:rFonts w:ascii="Arial" w:hAnsi="Arial" w:cs="Arial"/>
          <w:b w:val="0"/>
          <w:bCs w:val="0"/>
          <w:i/>
          <w:iCs/>
          <w:color w:val="000000"/>
          <w:sz w:val="21"/>
          <w:szCs w:val="21"/>
        </w:rPr>
        <w:t>Wales Restorative Approaches Partnership (WRAP)</w:t>
      </w:r>
      <w:r>
        <w:rPr>
          <w:rFonts w:ascii="Arial" w:hAnsi="Arial" w:cs="Arial"/>
          <w:b w:val="0"/>
          <w:bCs w:val="0"/>
          <w:color w:val="000000"/>
          <w:sz w:val="21"/>
          <w:szCs w:val="21"/>
        </w:rPr>
        <w:t> (2023). Available at: https://restorativewales.org.uk/ (Accessed: 13 January 2023).</w:t>
      </w:r>
    </w:p>
    <w:p w14:paraId="0DC9B5CF" w14:textId="77777777" w:rsidR="00D829DA" w:rsidRPr="00487325" w:rsidRDefault="00D829DA" w:rsidP="00D829DA">
      <w:pPr>
        <w:spacing w:line="360" w:lineRule="auto"/>
        <w:rPr>
          <w:rFonts w:ascii="Arial" w:hAnsi="Arial" w:cs="Arial"/>
          <w:b/>
          <w:bCs/>
          <w:sz w:val="22"/>
          <w:szCs w:val="22"/>
        </w:rPr>
      </w:pPr>
    </w:p>
    <w:p w14:paraId="0E50903B" w14:textId="77777777" w:rsidR="00D829DA" w:rsidRPr="00111417" w:rsidRDefault="00D829DA" w:rsidP="00D829DA">
      <w:pPr>
        <w:spacing w:line="360" w:lineRule="auto"/>
        <w:rPr>
          <w:rFonts w:ascii="Arial" w:hAnsi="Arial" w:cs="Arial"/>
        </w:rPr>
      </w:pPr>
      <w:r w:rsidRPr="00111417">
        <w:rPr>
          <w:rFonts w:ascii="Arial" w:hAnsi="Arial" w:cs="Arial"/>
          <w:color w:val="222222"/>
          <w:sz w:val="20"/>
          <w:szCs w:val="20"/>
          <w:shd w:val="clear" w:color="auto" w:fill="FFFFFF"/>
        </w:rPr>
        <w:t>Walker, S., 2017. </w:t>
      </w:r>
      <w:r w:rsidRPr="00111417">
        <w:rPr>
          <w:rFonts w:ascii="Arial" w:hAnsi="Arial" w:cs="Arial"/>
          <w:i/>
          <w:iCs/>
          <w:color w:val="222222"/>
          <w:sz w:val="20"/>
          <w:szCs w:val="20"/>
          <w:shd w:val="clear" w:color="auto" w:fill="FFFFFF"/>
        </w:rPr>
        <w:t>Learning theory and behaviour modification</w:t>
      </w:r>
      <w:r w:rsidRPr="00111417">
        <w:rPr>
          <w:rFonts w:ascii="Arial" w:hAnsi="Arial" w:cs="Arial"/>
          <w:color w:val="222222"/>
          <w:sz w:val="20"/>
          <w:szCs w:val="20"/>
          <w:shd w:val="clear" w:color="auto" w:fill="FFFFFF"/>
        </w:rPr>
        <w:t>. Routledge.</w:t>
      </w:r>
    </w:p>
    <w:p w14:paraId="4809ECDE" w14:textId="77777777" w:rsidR="00111417" w:rsidRPr="00487325" w:rsidRDefault="00111417" w:rsidP="00487325">
      <w:pPr>
        <w:spacing w:line="360" w:lineRule="auto"/>
        <w:rPr>
          <w:rFonts w:ascii="Arial" w:hAnsi="Arial" w:cs="Arial"/>
          <w:b/>
          <w:bCs/>
          <w:sz w:val="22"/>
          <w:szCs w:val="22"/>
        </w:rPr>
      </w:pPr>
    </w:p>
    <w:sectPr w:rsidR="00111417" w:rsidRPr="00487325" w:rsidSect="00D829DA">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0E86"/>
    <w:rsid w:val="00111417"/>
    <w:rsid w:val="002C1D7F"/>
    <w:rsid w:val="00342BB6"/>
    <w:rsid w:val="00374823"/>
    <w:rsid w:val="00487325"/>
    <w:rsid w:val="007051F4"/>
    <w:rsid w:val="0078184F"/>
    <w:rsid w:val="007B4B61"/>
    <w:rsid w:val="0087017F"/>
    <w:rsid w:val="00A63F2C"/>
    <w:rsid w:val="00AE0E86"/>
    <w:rsid w:val="00B17928"/>
    <w:rsid w:val="00BC309C"/>
    <w:rsid w:val="00C25907"/>
    <w:rsid w:val="00D066BA"/>
    <w:rsid w:val="00D829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EED311"/>
  <w15:chartTrackingRefBased/>
  <w15:docId w15:val="{0F53BEE8-09FF-4447-8589-4874F1E423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7325"/>
    <w:rPr>
      <w:rFonts w:ascii="Times New Roman" w:eastAsia="Times New Roman" w:hAnsi="Times New Roman" w:cs="Times New Roman"/>
      <w:lang w:eastAsia="en-GB"/>
    </w:rPr>
  </w:style>
  <w:style w:type="paragraph" w:styleId="Heading4">
    <w:name w:val="heading 4"/>
    <w:basedOn w:val="Normal"/>
    <w:link w:val="Heading4Char"/>
    <w:uiPriority w:val="9"/>
    <w:qFormat/>
    <w:rsid w:val="00D829DA"/>
    <w:pPr>
      <w:spacing w:before="100" w:beforeAutospacing="1" w:after="100" w:afterAutospacing="1"/>
      <w:outlineLvl w:val="3"/>
    </w:pPr>
    <w:rPr>
      <w:b/>
      <w:b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AE0E86"/>
  </w:style>
  <w:style w:type="paragraph" w:styleId="NoSpacing">
    <w:name w:val="No Spacing"/>
    <w:link w:val="NoSpacingChar"/>
    <w:uiPriority w:val="1"/>
    <w:qFormat/>
    <w:rsid w:val="00D829DA"/>
    <w:rPr>
      <w:rFonts w:eastAsiaTheme="minorEastAsia"/>
      <w:sz w:val="22"/>
      <w:szCs w:val="22"/>
      <w:lang w:val="en-US" w:eastAsia="zh-CN"/>
    </w:rPr>
  </w:style>
  <w:style w:type="character" w:customStyle="1" w:styleId="NoSpacingChar">
    <w:name w:val="No Spacing Char"/>
    <w:basedOn w:val="DefaultParagraphFont"/>
    <w:link w:val="NoSpacing"/>
    <w:uiPriority w:val="1"/>
    <w:rsid w:val="00D829DA"/>
    <w:rPr>
      <w:rFonts w:eastAsiaTheme="minorEastAsia"/>
      <w:sz w:val="22"/>
      <w:szCs w:val="22"/>
      <w:lang w:val="en-US" w:eastAsia="zh-CN"/>
    </w:rPr>
  </w:style>
  <w:style w:type="character" w:customStyle="1" w:styleId="Heading4Char">
    <w:name w:val="Heading 4 Char"/>
    <w:basedOn w:val="DefaultParagraphFont"/>
    <w:link w:val="Heading4"/>
    <w:uiPriority w:val="9"/>
    <w:rsid w:val="00D829DA"/>
    <w:rPr>
      <w:rFonts w:ascii="Times New Roman" w:eastAsia="Times New Roman" w:hAnsi="Times New Roman" w:cs="Times New Roman"/>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28653730">
      <w:bodyDiv w:val="1"/>
      <w:marLeft w:val="0"/>
      <w:marRight w:val="0"/>
      <w:marTop w:val="0"/>
      <w:marBottom w:val="0"/>
      <w:divBdr>
        <w:top w:val="none" w:sz="0" w:space="0" w:color="auto"/>
        <w:left w:val="none" w:sz="0" w:space="0" w:color="auto"/>
        <w:bottom w:val="none" w:sz="0" w:space="0" w:color="auto"/>
        <w:right w:val="none" w:sz="0" w:space="0" w:color="auto"/>
      </w:divBdr>
    </w:div>
    <w:div w:id="847253939">
      <w:bodyDiv w:val="1"/>
      <w:marLeft w:val="0"/>
      <w:marRight w:val="0"/>
      <w:marTop w:val="0"/>
      <w:marBottom w:val="0"/>
      <w:divBdr>
        <w:top w:val="none" w:sz="0" w:space="0" w:color="auto"/>
        <w:left w:val="none" w:sz="0" w:space="0" w:color="auto"/>
        <w:bottom w:val="none" w:sz="0" w:space="0" w:color="auto"/>
        <w:right w:val="none" w:sz="0" w:space="0" w:color="auto"/>
      </w:divBdr>
    </w:div>
    <w:div w:id="1401054043">
      <w:bodyDiv w:val="1"/>
      <w:marLeft w:val="0"/>
      <w:marRight w:val="0"/>
      <w:marTop w:val="0"/>
      <w:marBottom w:val="0"/>
      <w:divBdr>
        <w:top w:val="none" w:sz="0" w:space="0" w:color="auto"/>
        <w:left w:val="none" w:sz="0" w:space="0" w:color="auto"/>
        <w:bottom w:val="none" w:sz="0" w:space="0" w:color="auto"/>
        <w:right w:val="none" w:sz="0" w:space="0" w:color="auto"/>
      </w:divBdr>
    </w:div>
    <w:div w:id="1614435772">
      <w:bodyDiv w:val="1"/>
      <w:marLeft w:val="0"/>
      <w:marRight w:val="0"/>
      <w:marTop w:val="0"/>
      <w:marBottom w:val="0"/>
      <w:divBdr>
        <w:top w:val="none" w:sz="0" w:space="0" w:color="auto"/>
        <w:left w:val="none" w:sz="0" w:space="0" w:color="auto"/>
        <w:bottom w:val="none" w:sz="0" w:space="0" w:color="auto"/>
        <w:right w:val="none" w:sz="0" w:space="0" w:color="auto"/>
      </w:divBdr>
    </w:div>
    <w:div w:id="1636906942">
      <w:bodyDiv w:val="1"/>
      <w:marLeft w:val="0"/>
      <w:marRight w:val="0"/>
      <w:marTop w:val="0"/>
      <w:marBottom w:val="0"/>
      <w:divBdr>
        <w:top w:val="none" w:sz="0" w:space="0" w:color="auto"/>
        <w:left w:val="none" w:sz="0" w:space="0" w:color="auto"/>
        <w:bottom w:val="none" w:sz="0" w:space="0" w:color="auto"/>
        <w:right w:val="none" w:sz="0" w:space="0" w:color="auto"/>
      </w:divBdr>
    </w:div>
    <w:div w:id="1900895540">
      <w:bodyDiv w:val="1"/>
      <w:marLeft w:val="0"/>
      <w:marRight w:val="0"/>
      <w:marTop w:val="0"/>
      <w:marBottom w:val="0"/>
      <w:divBdr>
        <w:top w:val="none" w:sz="0" w:space="0" w:color="auto"/>
        <w:left w:val="none" w:sz="0" w:space="0" w:color="auto"/>
        <w:bottom w:val="none" w:sz="0" w:space="0" w:color="auto"/>
        <w:right w:val="none" w:sz="0" w:space="0" w:color="auto"/>
      </w:divBdr>
    </w:div>
    <w:div w:id="21470421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Student ID- 2005879</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2982</Words>
  <Characters>17002</Characters>
  <Application>Microsoft Office Word</Application>
  <DocSecurity>0</DocSecurity>
  <Lines>141</Lines>
  <Paragraphs>39</Paragraphs>
  <ScaleCrop>false</ScaleCrop>
  <Company/>
  <LinksUpToDate>false</LinksUpToDate>
  <CharactersWithSpaces>19945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Cana</dc:creator>
  <cp:keywords/>
  <dc:description/>
  <cp:lastModifiedBy>Molly Cana</cp:lastModifiedBy>
  <cp:revision>2</cp:revision>
  <dcterms:created xsi:type="dcterms:W3CDTF">2023-01-13T18:58:00Z</dcterms:created>
  <dcterms:modified xsi:type="dcterms:W3CDTF">2023-01-13T18:58:00Z</dcterms:modified>
</cp:coreProperties>
</file>