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EC7049" w14:textId="77777777" w:rsidR="00EE398F" w:rsidRDefault="00EE398F" w:rsidP="00EE398F">
      <w:pPr>
        <w:ind w:right="107"/>
        <w:jc w:val="center"/>
        <w:rPr>
          <w:b/>
          <w:bCs/>
          <w:sz w:val="24"/>
          <w:szCs w:val="24"/>
        </w:rPr>
      </w:pPr>
      <w:r>
        <w:rPr>
          <w:b/>
          <w:bCs/>
          <w:sz w:val="24"/>
          <w:szCs w:val="24"/>
        </w:rPr>
        <w:t>Task 1</w:t>
      </w:r>
    </w:p>
    <w:p w14:paraId="5D9C9675" w14:textId="77777777" w:rsidR="00EE398F" w:rsidRDefault="00EE398F" w:rsidP="00EE398F">
      <w:pPr>
        <w:ind w:right="107"/>
        <w:jc w:val="both"/>
        <w:rPr>
          <w:b/>
          <w:sz w:val="24"/>
          <w:szCs w:val="24"/>
        </w:rPr>
      </w:pPr>
    </w:p>
    <w:p w14:paraId="5B44DC98" w14:textId="77777777" w:rsidR="00EE398F" w:rsidRDefault="00EE398F" w:rsidP="00EE398F">
      <w:pPr>
        <w:ind w:right="237"/>
        <w:jc w:val="both"/>
        <w:rPr>
          <w:b/>
          <w:sz w:val="24"/>
          <w:szCs w:val="24"/>
        </w:rPr>
      </w:pPr>
      <w:r>
        <w:rPr>
          <w:b/>
          <w:sz w:val="24"/>
          <w:szCs w:val="24"/>
        </w:rPr>
        <w:t xml:space="preserve">Relevant areas of the National Policing Curriculum: </w:t>
      </w:r>
    </w:p>
    <w:p w14:paraId="7BCFA81B" w14:textId="77777777" w:rsidR="00EE398F" w:rsidRDefault="00EE398F" w:rsidP="00EE398F">
      <w:pPr>
        <w:ind w:right="107"/>
        <w:jc w:val="both"/>
        <w:rPr>
          <w:color w:val="000000"/>
          <w:sz w:val="24"/>
          <w:szCs w:val="24"/>
        </w:rPr>
      </w:pPr>
      <w:r>
        <w:rPr>
          <w:sz w:val="24"/>
          <w:szCs w:val="24"/>
        </w:rPr>
        <w:t>Understanding the role of a constable.</w:t>
      </w:r>
    </w:p>
    <w:p w14:paraId="6870FB6F" w14:textId="77777777" w:rsidR="00EE398F" w:rsidRDefault="00EE398F" w:rsidP="00EE398F">
      <w:pPr>
        <w:ind w:right="107"/>
        <w:jc w:val="both"/>
        <w:rPr>
          <w:b/>
          <w:sz w:val="24"/>
          <w:szCs w:val="24"/>
        </w:rPr>
      </w:pPr>
    </w:p>
    <w:p w14:paraId="516AB341" w14:textId="77777777" w:rsidR="00EE398F" w:rsidRDefault="00EE398F" w:rsidP="00EE398F">
      <w:pPr>
        <w:ind w:right="107"/>
        <w:jc w:val="both"/>
        <w:rPr>
          <w:i/>
          <w:sz w:val="24"/>
          <w:szCs w:val="24"/>
        </w:rPr>
      </w:pPr>
      <w:r>
        <w:rPr>
          <w:i/>
          <w:sz w:val="24"/>
          <w:szCs w:val="24"/>
        </w:rPr>
        <w:t xml:space="preserve">Guidance:  </w:t>
      </w:r>
    </w:p>
    <w:p w14:paraId="056BADF7" w14:textId="77777777" w:rsidR="00EE398F" w:rsidRDefault="00EE398F" w:rsidP="00EE398F">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EE398F" w14:paraId="1BE2F008" w14:textId="77777777" w:rsidTr="00EE398F">
        <w:tc>
          <w:tcPr>
            <w:tcW w:w="10278" w:type="dxa"/>
            <w:tcBorders>
              <w:top w:val="single" w:sz="4" w:space="0" w:color="auto"/>
              <w:left w:val="single" w:sz="4" w:space="0" w:color="auto"/>
              <w:bottom w:val="single" w:sz="4" w:space="0" w:color="auto"/>
              <w:right w:val="single" w:sz="4" w:space="0" w:color="auto"/>
            </w:tcBorders>
          </w:tcPr>
          <w:p w14:paraId="0EFD9F0C" w14:textId="77777777" w:rsidR="00EE398F" w:rsidRDefault="00EE398F">
            <w:pPr>
              <w:jc w:val="both"/>
              <w:rPr>
                <w:sz w:val="20"/>
                <w:szCs w:val="20"/>
                <w:lang w:eastAsia="zh-TW"/>
              </w:rPr>
            </w:pPr>
            <w:r>
              <w:rPr>
                <w:rFonts w:eastAsia="Arial"/>
                <w:color w:val="000000" w:themeColor="text1"/>
                <w:sz w:val="24"/>
                <w:szCs w:val="24"/>
                <w:lang w:eastAsia="zh-TW"/>
              </w:rPr>
              <w:t xml:space="preserve">Focussing on your initial 6 months of learning and since being attested as a Police Constable, </w:t>
            </w:r>
            <w:proofErr w:type="gramStart"/>
            <w:r>
              <w:rPr>
                <w:rFonts w:eastAsia="Arial"/>
                <w:b/>
                <w:bCs/>
                <w:color w:val="000000" w:themeColor="text1"/>
                <w:sz w:val="24"/>
                <w:szCs w:val="24"/>
                <w:lang w:eastAsia="zh-TW"/>
              </w:rPr>
              <w:t>discuss</w:t>
            </w:r>
            <w:proofErr w:type="gramEnd"/>
            <w:r>
              <w:rPr>
                <w:rFonts w:eastAsia="Arial"/>
                <w:b/>
                <w:bCs/>
                <w:color w:val="000000" w:themeColor="text1"/>
                <w:sz w:val="24"/>
                <w:szCs w:val="24"/>
                <w:lang w:eastAsia="zh-TW"/>
              </w:rPr>
              <w:t xml:space="preserve"> and compare</w:t>
            </w:r>
            <w:r>
              <w:rPr>
                <w:rFonts w:eastAsia="Arial"/>
                <w:color w:val="000000" w:themeColor="text1"/>
                <w:sz w:val="24"/>
                <w:szCs w:val="24"/>
                <w:lang w:eastAsia="zh-TW"/>
              </w:rPr>
              <w:t xml:space="preserve"> the coping strategies you have applied to develop resilience and minimise stress.</w:t>
            </w:r>
          </w:p>
          <w:p w14:paraId="32CB3952" w14:textId="77777777" w:rsidR="00EE398F" w:rsidRDefault="00EE398F">
            <w:pPr>
              <w:ind w:right="107"/>
              <w:jc w:val="both"/>
              <w:rPr>
                <w:color w:val="000000" w:themeColor="text1"/>
                <w:sz w:val="24"/>
                <w:szCs w:val="24"/>
                <w:lang w:eastAsia="zh-TW"/>
              </w:rPr>
            </w:pPr>
          </w:p>
          <w:p w14:paraId="3962CDD7" w14:textId="77777777" w:rsidR="00EE398F" w:rsidRDefault="00EE398F">
            <w:pPr>
              <w:ind w:right="107"/>
              <w:jc w:val="both"/>
              <w:rPr>
                <w:color w:val="000000" w:themeColor="text1"/>
                <w:sz w:val="24"/>
                <w:szCs w:val="24"/>
                <w:lang w:eastAsia="zh-TW"/>
              </w:rPr>
            </w:pPr>
          </w:p>
          <w:p w14:paraId="1E7F7CC9" w14:textId="77777777" w:rsidR="00EE398F" w:rsidRDefault="00EE398F">
            <w:pPr>
              <w:ind w:right="107"/>
              <w:jc w:val="both"/>
              <w:rPr>
                <w:i/>
                <w:iCs/>
                <w:color w:val="000000"/>
                <w:sz w:val="24"/>
                <w:szCs w:val="24"/>
                <w:lang w:eastAsia="zh-TW"/>
              </w:rPr>
            </w:pPr>
            <w:r>
              <w:rPr>
                <w:i/>
                <w:iCs/>
                <w:sz w:val="24"/>
                <w:szCs w:val="24"/>
                <w:lang w:eastAsia="zh-TW"/>
              </w:rPr>
              <w:t>1000 words (+/- 10%: include your actual word count at the end of each section)</w:t>
            </w:r>
          </w:p>
        </w:tc>
      </w:tr>
    </w:tbl>
    <w:p w14:paraId="6C1F218B" w14:textId="77777777" w:rsidR="00EE398F" w:rsidRDefault="00EE398F" w:rsidP="00EE398F">
      <w:pPr>
        <w:ind w:right="107"/>
        <w:jc w:val="both"/>
        <w:rPr>
          <w:rFonts w:ascii="Arial" w:hAnsi="Arial" w:cs="Arial"/>
          <w:b/>
          <w:color w:val="000000"/>
          <w:sz w:val="24"/>
          <w:szCs w:val="24"/>
          <w:lang w:eastAsia="en-GB"/>
        </w:rPr>
      </w:pPr>
    </w:p>
    <w:p w14:paraId="0156CC02" w14:textId="77777777" w:rsidR="00EE398F" w:rsidRDefault="00EE398F" w:rsidP="00EE398F">
      <w:pPr>
        <w:ind w:right="107"/>
        <w:jc w:val="both"/>
        <w:rPr>
          <w:b/>
          <w:sz w:val="24"/>
          <w:szCs w:val="24"/>
        </w:rPr>
      </w:pPr>
      <w:r>
        <w:rPr>
          <w:b/>
          <w:sz w:val="24"/>
          <w:szCs w:val="24"/>
        </w:rPr>
        <w:t>ANSWER:</w:t>
      </w:r>
    </w:p>
    <w:p w14:paraId="39D19A06" w14:textId="77777777" w:rsidR="00EE398F" w:rsidRDefault="00EE398F" w:rsidP="00EE398F">
      <w:pPr>
        <w:rPr>
          <w:sz w:val="24"/>
          <w:szCs w:val="24"/>
        </w:rPr>
      </w:pPr>
      <w:r>
        <w:rPr>
          <w:sz w:val="24"/>
          <w:szCs w:val="24"/>
        </w:rPr>
        <w:t xml:space="preserve">In this essay I will discuss and compare coping strategies I have applied to develop resilience and minimise stress since being attested as a Police Constable, using Kolb’s reflective model (Morris 2020) to structure the discussion. I begin by defining stress and resilience, with reference specifically to how this relates to my role. I will begin with Kolb’s concrete experience stage (Morris 2020), discussing how I have utilised physical activity and mindfulness to reduce stress and engaging in reflective observation regarding how this impacted my stress levels. During the abstract conceptualisation stage (Morris 2020) I will utilise academic research and my experiences to consider how useful these coping strategies have been and how to best use the strategies going forward in line with Kolb’s active experimentation stage (Morris 2020). </w:t>
      </w:r>
    </w:p>
    <w:p w14:paraId="390EA249" w14:textId="77777777" w:rsidR="00EE398F" w:rsidRDefault="00EE398F" w:rsidP="00EE398F">
      <w:pPr>
        <w:rPr>
          <w:sz w:val="24"/>
          <w:szCs w:val="24"/>
        </w:rPr>
      </w:pPr>
      <w:r>
        <w:rPr>
          <w:sz w:val="24"/>
          <w:szCs w:val="24"/>
        </w:rPr>
        <w:t>Stress can be defined as a bodily response to a challenge perceived as capable of overwhelming response mechanisms (Day 2005). Stress can be the result of factors disturbing the natural state of being in the body and mind, taxing the body or responding to environmental change (</w:t>
      </w:r>
      <w:proofErr w:type="spellStart"/>
      <w:r>
        <w:rPr>
          <w:sz w:val="24"/>
          <w:szCs w:val="24"/>
        </w:rPr>
        <w:t>Stranks</w:t>
      </w:r>
      <w:proofErr w:type="spellEnd"/>
      <w:r>
        <w:rPr>
          <w:sz w:val="24"/>
          <w:szCs w:val="24"/>
        </w:rPr>
        <w:t xml:space="preserve"> 2005). Stress may be understood as a three-stage process; beginning with the alarm reaction in which the defence response is triggered, the resistance stage in which a person adapts to the stressor and the stage of exhaustion in which functions become fatigued (Rochette et al 2023). </w:t>
      </w:r>
      <w:r w:rsidRPr="00593141">
        <w:rPr>
          <w:sz w:val="24"/>
          <w:szCs w:val="24"/>
        </w:rPr>
        <w:t xml:space="preserve">Understanding and minimising stress is important as a Police Constable as police officers have </w:t>
      </w:r>
      <w:r>
        <w:rPr>
          <w:sz w:val="24"/>
          <w:szCs w:val="24"/>
        </w:rPr>
        <w:t xml:space="preserve">been found to show </w:t>
      </w:r>
      <w:r w:rsidRPr="00593141">
        <w:rPr>
          <w:sz w:val="24"/>
          <w:szCs w:val="24"/>
        </w:rPr>
        <w:t>higher levels of stress compared to other occupations (Miller 2006). However, it i</w:t>
      </w:r>
      <w:r>
        <w:rPr>
          <w:sz w:val="24"/>
          <w:szCs w:val="24"/>
        </w:rPr>
        <w:t xml:space="preserve">s </w:t>
      </w:r>
      <w:r w:rsidRPr="00593141">
        <w:rPr>
          <w:sz w:val="24"/>
          <w:szCs w:val="24"/>
        </w:rPr>
        <w:t xml:space="preserve">recognised that not all Police Constables will </w:t>
      </w:r>
      <w:r>
        <w:rPr>
          <w:sz w:val="24"/>
          <w:szCs w:val="24"/>
        </w:rPr>
        <w:t xml:space="preserve">show the same </w:t>
      </w:r>
      <w:r w:rsidRPr="00593141">
        <w:rPr>
          <w:sz w:val="24"/>
          <w:szCs w:val="24"/>
        </w:rPr>
        <w:t xml:space="preserve">levels of stress as individual factors in officers can impact upon the extent of the stress response they experience </w:t>
      </w:r>
      <w:r>
        <w:rPr>
          <w:sz w:val="24"/>
          <w:szCs w:val="24"/>
        </w:rPr>
        <w:t>responding to</w:t>
      </w:r>
      <w:r w:rsidRPr="00593141">
        <w:rPr>
          <w:sz w:val="24"/>
          <w:szCs w:val="24"/>
        </w:rPr>
        <w:t xml:space="preserve"> triggers (Lucas et al 2012).</w:t>
      </w:r>
      <w:r>
        <w:rPr>
          <w:sz w:val="24"/>
          <w:szCs w:val="24"/>
        </w:rPr>
        <w:t xml:space="preserve"> As such, I am motivated to </w:t>
      </w:r>
      <w:r>
        <w:rPr>
          <w:sz w:val="24"/>
          <w:szCs w:val="24"/>
        </w:rPr>
        <w:lastRenderedPageBreak/>
        <w:t>utilise coping strategies to strengthen my individual factors such as hardiness to better cope with stress.</w:t>
      </w:r>
    </w:p>
    <w:p w14:paraId="017496A7" w14:textId="77777777" w:rsidR="00EE398F" w:rsidRDefault="00EE398F" w:rsidP="00EE398F">
      <w:pPr>
        <w:rPr>
          <w:sz w:val="24"/>
          <w:szCs w:val="24"/>
        </w:rPr>
      </w:pPr>
      <w:r>
        <w:rPr>
          <w:sz w:val="24"/>
          <w:szCs w:val="24"/>
        </w:rPr>
        <w:t>Stress has been shown to have implications for physical health, including cardiovascular issues or depression (Brunner 2004) and as such, I am motivated to build resilience and minimise this stress to avoid these outcomes. It is particularly important to build resilience to stress as a Police Constable as the challenges of undertaking shift work is likely to cause sleep challenges which worsen stress (</w:t>
      </w:r>
      <w:proofErr w:type="spellStart"/>
      <w:r>
        <w:rPr>
          <w:sz w:val="24"/>
          <w:szCs w:val="24"/>
        </w:rPr>
        <w:t>Stranks</w:t>
      </w:r>
      <w:proofErr w:type="spellEnd"/>
      <w:r>
        <w:rPr>
          <w:sz w:val="24"/>
          <w:szCs w:val="24"/>
        </w:rPr>
        <w:t xml:space="preserve"> 2005) but can be significantly reduced through coping mechanisms (</w:t>
      </w:r>
      <w:proofErr w:type="spellStart"/>
      <w:r>
        <w:rPr>
          <w:sz w:val="24"/>
          <w:szCs w:val="24"/>
        </w:rPr>
        <w:t>Setyowati</w:t>
      </w:r>
      <w:proofErr w:type="spellEnd"/>
      <w:r>
        <w:rPr>
          <w:sz w:val="24"/>
          <w:szCs w:val="24"/>
        </w:rPr>
        <w:t xml:space="preserve"> 2023). </w:t>
      </w:r>
    </w:p>
    <w:p w14:paraId="70C426C2" w14:textId="77777777" w:rsidR="00EE398F" w:rsidRDefault="00EE398F" w:rsidP="00EE398F">
      <w:r w:rsidRPr="00A4327D">
        <w:rPr>
          <w:sz w:val="24"/>
          <w:szCs w:val="24"/>
        </w:rPr>
        <w:t xml:space="preserve">Managing or minimising stress </w:t>
      </w:r>
      <w:r>
        <w:rPr>
          <w:sz w:val="24"/>
          <w:szCs w:val="24"/>
        </w:rPr>
        <w:t>refers to interventions that</w:t>
      </w:r>
      <w:r w:rsidRPr="00A4327D">
        <w:rPr>
          <w:sz w:val="24"/>
          <w:szCs w:val="24"/>
        </w:rPr>
        <w:t xml:space="preserve"> focus upon tackling the source of the stress (Murphy &amp; Sauter 2003 as in </w:t>
      </w:r>
      <w:r>
        <w:rPr>
          <w:sz w:val="24"/>
          <w:szCs w:val="24"/>
        </w:rPr>
        <w:t>Richardson &amp; Rothstein 2008</w:t>
      </w:r>
      <w:r w:rsidRPr="00A4327D">
        <w:rPr>
          <w:sz w:val="24"/>
          <w:szCs w:val="24"/>
        </w:rPr>
        <w:t xml:space="preserve">), attempt to limit severity of stress response such as meditation, journalling, time management (Murphy &amp; Sauter 2003 as in </w:t>
      </w:r>
      <w:r>
        <w:rPr>
          <w:sz w:val="24"/>
          <w:szCs w:val="24"/>
        </w:rPr>
        <w:t>Richardson &amp; Rothstein 2008</w:t>
      </w:r>
      <w:r w:rsidRPr="00A4327D">
        <w:rPr>
          <w:sz w:val="24"/>
          <w:szCs w:val="24"/>
        </w:rPr>
        <w:t xml:space="preserve">) or attempt to build resilience or alter the person’s </w:t>
      </w:r>
      <w:r>
        <w:rPr>
          <w:sz w:val="24"/>
          <w:szCs w:val="24"/>
        </w:rPr>
        <w:t xml:space="preserve">cognitive </w:t>
      </w:r>
      <w:r w:rsidRPr="00A4327D">
        <w:rPr>
          <w:sz w:val="24"/>
          <w:szCs w:val="24"/>
        </w:rPr>
        <w:t xml:space="preserve">process around stress (Bond &amp; Bunce 2000 as in </w:t>
      </w:r>
      <w:r>
        <w:rPr>
          <w:sz w:val="24"/>
          <w:szCs w:val="24"/>
        </w:rPr>
        <w:t>Richardson &amp; Rothstein 2008</w:t>
      </w:r>
      <w:r w:rsidRPr="00A4327D">
        <w:rPr>
          <w:sz w:val="24"/>
          <w:szCs w:val="24"/>
        </w:rPr>
        <w:t xml:space="preserve">). </w:t>
      </w:r>
      <w:r>
        <w:rPr>
          <w:sz w:val="24"/>
          <w:szCs w:val="24"/>
        </w:rPr>
        <w:t>R</w:t>
      </w:r>
      <w:r w:rsidRPr="00A4327D">
        <w:rPr>
          <w:sz w:val="24"/>
          <w:szCs w:val="24"/>
        </w:rPr>
        <w:t xml:space="preserve">esilience refers to a </w:t>
      </w:r>
      <w:r>
        <w:rPr>
          <w:sz w:val="24"/>
          <w:szCs w:val="24"/>
        </w:rPr>
        <w:t>p</w:t>
      </w:r>
      <w:r w:rsidRPr="00A4327D">
        <w:rPr>
          <w:sz w:val="24"/>
          <w:szCs w:val="24"/>
        </w:rPr>
        <w:t>erson’s ability to withstand stressors and their negative effects (Pollock 2020), including adjusting to challenges and avoiding burnout such as exhaustion or fatigue at work (WHO 2019)</w:t>
      </w:r>
      <w:r>
        <w:rPr>
          <w:sz w:val="24"/>
          <w:szCs w:val="24"/>
        </w:rPr>
        <w:t xml:space="preserve">. Police Officers who demonstrated higher levels of resilience or hardiness showed less negative stress responses to their colleagues with lower levels of resilience (Stein &amp; Bartone 2020). Officers with high levels of resilience showed a positive response to stressors, with increased performance and focus (Stein and Bartone 2020). Clearly, building resilience and minimising stress is advantageous in my career and personal life. </w:t>
      </w:r>
    </w:p>
    <w:p w14:paraId="300FD31F" w14:textId="77777777" w:rsidR="00EE398F" w:rsidRDefault="00EE398F" w:rsidP="00EE398F">
      <w:pPr>
        <w:rPr>
          <w:sz w:val="24"/>
          <w:szCs w:val="24"/>
        </w:rPr>
      </w:pPr>
      <w:r w:rsidRPr="005C7241">
        <w:rPr>
          <w:sz w:val="24"/>
          <w:szCs w:val="24"/>
        </w:rPr>
        <w:t xml:space="preserve">One strategy I have used to minimise stress is regular physical activity through </w:t>
      </w:r>
      <w:r>
        <w:rPr>
          <w:sz w:val="24"/>
          <w:szCs w:val="24"/>
        </w:rPr>
        <w:t xml:space="preserve">walking, </w:t>
      </w:r>
      <w:r w:rsidRPr="005C7241">
        <w:rPr>
          <w:sz w:val="24"/>
          <w:szCs w:val="24"/>
        </w:rPr>
        <w:t>weight training</w:t>
      </w:r>
      <w:r>
        <w:rPr>
          <w:sz w:val="24"/>
          <w:szCs w:val="24"/>
        </w:rPr>
        <w:t xml:space="preserve"> or</w:t>
      </w:r>
      <w:r w:rsidRPr="005C7241">
        <w:rPr>
          <w:sz w:val="24"/>
          <w:szCs w:val="24"/>
        </w:rPr>
        <w:t xml:space="preserve"> running. Physical activity refers to moving the body through the skeletal muscular system</w:t>
      </w:r>
      <w:r>
        <w:rPr>
          <w:sz w:val="24"/>
          <w:szCs w:val="24"/>
        </w:rPr>
        <w:t xml:space="preserve">, </w:t>
      </w:r>
      <w:r w:rsidRPr="005C7241">
        <w:rPr>
          <w:sz w:val="24"/>
          <w:szCs w:val="24"/>
        </w:rPr>
        <w:t>result</w:t>
      </w:r>
      <w:r>
        <w:rPr>
          <w:sz w:val="24"/>
          <w:szCs w:val="24"/>
        </w:rPr>
        <w:t>ing</w:t>
      </w:r>
      <w:r w:rsidRPr="005C7241">
        <w:rPr>
          <w:sz w:val="24"/>
          <w:szCs w:val="24"/>
        </w:rPr>
        <w:t xml:space="preserve"> in the expenditure of energy above average levels (Stults-Kolehmainen et al 2014).</w:t>
      </w:r>
      <w:r>
        <w:rPr>
          <w:sz w:val="24"/>
          <w:szCs w:val="24"/>
        </w:rPr>
        <w:t xml:space="preserve"> Engaging in physical activity has relieved my stress and anxiety levels and boosted my sense of mental clarity and energy. This is supported by Stults-Kolehmainen et al (2014), concluding that physical activity lowers levels of anxiety, </w:t>
      </w:r>
      <w:proofErr w:type="gramStart"/>
      <w:r>
        <w:rPr>
          <w:sz w:val="24"/>
          <w:szCs w:val="24"/>
        </w:rPr>
        <w:t>fatigue</w:t>
      </w:r>
      <w:proofErr w:type="gramEnd"/>
      <w:r>
        <w:rPr>
          <w:sz w:val="24"/>
          <w:szCs w:val="24"/>
        </w:rPr>
        <w:t xml:space="preserve"> and cognitive impairments. Engaging in physical activity has also helped to minimise stress as it has created a sense of achievement, with meeting goals demonstrating clear ability to reduce stress and boost resilience (Carmack et al 1999). </w:t>
      </w:r>
    </w:p>
    <w:p w14:paraId="6A2307D4" w14:textId="77777777" w:rsidR="00EE398F" w:rsidRDefault="00EE398F" w:rsidP="00EE398F">
      <w:pPr>
        <w:rPr>
          <w:sz w:val="24"/>
          <w:szCs w:val="24"/>
        </w:rPr>
      </w:pPr>
      <w:r>
        <w:rPr>
          <w:sz w:val="24"/>
          <w:szCs w:val="24"/>
        </w:rPr>
        <w:t>Physical activity as a coping mechanism can be a challenge as finding time to be active daily can be difficult when balancing the demands of adult life, as seen widely in the adult population (</w:t>
      </w:r>
      <w:proofErr w:type="spellStart"/>
      <w:r>
        <w:rPr>
          <w:sz w:val="24"/>
          <w:szCs w:val="24"/>
        </w:rPr>
        <w:t>Deforche</w:t>
      </w:r>
      <w:proofErr w:type="spellEnd"/>
      <w:r>
        <w:rPr>
          <w:sz w:val="24"/>
          <w:szCs w:val="24"/>
        </w:rPr>
        <w:t xml:space="preserve"> et al 2015). It is also important to avoid becoming over dependent on physical activity as this may lead to exercise addiction (Landolfi 2013). Further, physical activity will not prevent job related issues leading to burnout (Heuse et al 2021) and as such, I must take steps to tackle these issues directly. </w:t>
      </w:r>
    </w:p>
    <w:p w14:paraId="5CF0395D" w14:textId="77777777" w:rsidR="00EE398F" w:rsidRPr="00482AE1" w:rsidRDefault="00EE398F" w:rsidP="00EE398F">
      <w:pPr>
        <w:rPr>
          <w:sz w:val="24"/>
          <w:szCs w:val="24"/>
        </w:rPr>
      </w:pPr>
      <w:r w:rsidRPr="00285532">
        <w:rPr>
          <w:sz w:val="24"/>
          <w:szCs w:val="24"/>
        </w:rPr>
        <w:t>I have also incorporated mindfulness to minimise stress, a practice root</w:t>
      </w:r>
      <w:r>
        <w:rPr>
          <w:sz w:val="24"/>
          <w:szCs w:val="24"/>
        </w:rPr>
        <w:t>ed</w:t>
      </w:r>
      <w:r w:rsidRPr="00285532">
        <w:rPr>
          <w:sz w:val="24"/>
          <w:szCs w:val="24"/>
        </w:rPr>
        <w:t xml:space="preserve"> in Buddhist tradition</w:t>
      </w:r>
      <w:r>
        <w:rPr>
          <w:sz w:val="24"/>
          <w:szCs w:val="24"/>
        </w:rPr>
        <w:t xml:space="preserve"> </w:t>
      </w:r>
      <w:r w:rsidRPr="00285532">
        <w:rPr>
          <w:sz w:val="24"/>
          <w:szCs w:val="24"/>
        </w:rPr>
        <w:t>(Finkelstein-Fox et al 2019</w:t>
      </w:r>
      <w:r w:rsidRPr="007B5E2D">
        <w:rPr>
          <w:sz w:val="24"/>
          <w:szCs w:val="24"/>
        </w:rPr>
        <w:t>) that encourages intentional awareness of the present moment without judgement (Lilly 2019). I have incorporated mindfulness through several forms including meditation and journalling. Mindfulness has helped calm physical symptoms of stress and quieten my mind as supported by Zimmaro et</w:t>
      </w:r>
      <w:r>
        <w:rPr>
          <w:sz w:val="24"/>
          <w:szCs w:val="24"/>
        </w:rPr>
        <w:t xml:space="preserve"> a</w:t>
      </w:r>
      <w:r w:rsidRPr="007B5E2D">
        <w:rPr>
          <w:sz w:val="24"/>
          <w:szCs w:val="24"/>
        </w:rPr>
        <w:t xml:space="preserve">l </w:t>
      </w:r>
      <w:r>
        <w:rPr>
          <w:sz w:val="24"/>
          <w:szCs w:val="24"/>
        </w:rPr>
        <w:lastRenderedPageBreak/>
        <w:t>(</w:t>
      </w:r>
      <w:r w:rsidRPr="007B5E2D">
        <w:rPr>
          <w:sz w:val="24"/>
          <w:szCs w:val="24"/>
        </w:rPr>
        <w:t>2016</w:t>
      </w:r>
      <w:r>
        <w:rPr>
          <w:sz w:val="24"/>
          <w:szCs w:val="24"/>
        </w:rPr>
        <w:t>)</w:t>
      </w:r>
      <w:r w:rsidRPr="007B5E2D">
        <w:rPr>
          <w:sz w:val="24"/>
          <w:szCs w:val="24"/>
        </w:rPr>
        <w:t>.</w:t>
      </w:r>
      <w:r>
        <w:rPr>
          <w:sz w:val="24"/>
          <w:szCs w:val="24"/>
        </w:rPr>
        <w:t xml:space="preserve"> Research supports the success of mindfulness in minimising stress levels mindfulness, particularly in reducing stress in emergency workers (Lilly 2019). Research suggests its effectiveness can be maximised if cognitive coping strategies are incorporated (Richardson &amp; Rothstein 2008). Therefore, I will be incorporating cognitive strategies such as challenging thought processes around stress triggers to </w:t>
      </w:r>
      <w:proofErr w:type="gramStart"/>
      <w:r>
        <w:rPr>
          <w:sz w:val="24"/>
          <w:szCs w:val="24"/>
        </w:rPr>
        <w:t>more effectively minimise stress</w:t>
      </w:r>
      <w:proofErr w:type="gramEnd"/>
      <w:r>
        <w:rPr>
          <w:sz w:val="24"/>
          <w:szCs w:val="24"/>
        </w:rPr>
        <w:t xml:space="preserve">. It is imperative that I do not use mindfulness as a substitute for tackling issues, a concern that has been </w:t>
      </w:r>
      <w:r w:rsidRPr="00482AE1">
        <w:rPr>
          <w:sz w:val="24"/>
          <w:szCs w:val="24"/>
        </w:rPr>
        <w:t>raised with mindfulness as a coping strategy (Finkelstein-Fox et al 2019).</w:t>
      </w:r>
    </w:p>
    <w:p w14:paraId="06D58D77" w14:textId="77777777" w:rsidR="00EE398F" w:rsidRPr="00482AE1" w:rsidRDefault="00EE398F" w:rsidP="00EE398F">
      <w:pPr>
        <w:rPr>
          <w:color w:val="000000" w:themeColor="text1"/>
          <w:sz w:val="24"/>
          <w:szCs w:val="24"/>
        </w:rPr>
      </w:pPr>
      <w:r w:rsidRPr="00482AE1">
        <w:rPr>
          <w:color w:val="000000" w:themeColor="text1"/>
          <w:sz w:val="24"/>
          <w:szCs w:val="24"/>
        </w:rPr>
        <w:t xml:space="preserve">However, it has been shown that employing coping strategies, regardless of what they are, and adapting is what is most important in managing stress (Moeller et al 2020). Whilst mindfulness has been shown to be particularly effective as a means of observing and accepting changes (Finkelstein-Fox et al 2019), both physical activity and mindfulness are likely to be helpful in minimising stress if embraced as a means of adapting to life in my new role. </w:t>
      </w:r>
    </w:p>
    <w:p w14:paraId="49A0B831" w14:textId="77777777" w:rsidR="00EE398F" w:rsidRDefault="00EE398F" w:rsidP="00EE398F">
      <w:pPr>
        <w:rPr>
          <w:sz w:val="24"/>
          <w:szCs w:val="24"/>
        </w:rPr>
      </w:pPr>
      <w:r>
        <w:rPr>
          <w:sz w:val="24"/>
          <w:szCs w:val="24"/>
        </w:rPr>
        <w:t xml:space="preserve">In conclusion, I have applied physical activity and mindfulness to minimise stress and build resilience since becoming an attested Police Constable. Both coping strategies have been shown to be successful with their greatest value being when both strategies are combined to provide a holistic approach. In future, I will take care to ensure that these coping strategies are used in a balanced manner, avoiding over dependence or avoidance. </w:t>
      </w:r>
    </w:p>
    <w:p w14:paraId="79DD1B9A" w14:textId="77777777" w:rsidR="00EE398F" w:rsidRDefault="00EE398F" w:rsidP="00EE398F">
      <w:pPr>
        <w:ind w:right="107"/>
        <w:jc w:val="both"/>
        <w:rPr>
          <w:sz w:val="24"/>
          <w:szCs w:val="24"/>
        </w:rPr>
      </w:pPr>
    </w:p>
    <w:p w14:paraId="3278C999" w14:textId="77777777" w:rsidR="00EE398F" w:rsidRDefault="00EE398F" w:rsidP="00EE398F">
      <w:pPr>
        <w:ind w:right="107"/>
        <w:jc w:val="both"/>
        <w:rPr>
          <w:sz w:val="24"/>
          <w:szCs w:val="24"/>
        </w:rPr>
      </w:pPr>
    </w:p>
    <w:p w14:paraId="6BA0113C" w14:textId="77777777" w:rsidR="00EE398F" w:rsidRDefault="00EE398F" w:rsidP="00EE398F">
      <w:pPr>
        <w:rPr>
          <w:rFonts w:ascii="Arial" w:hAnsi="Arial" w:cs="Arial"/>
          <w:b/>
          <w:bCs/>
        </w:rPr>
      </w:pPr>
    </w:p>
    <w:p w14:paraId="10A81FF5" w14:textId="77777777" w:rsidR="00EE398F" w:rsidRDefault="00EE398F" w:rsidP="00EE398F">
      <w:pPr>
        <w:rPr>
          <w:rFonts w:ascii="Arial" w:hAnsi="Arial" w:cs="Arial"/>
          <w:b/>
          <w:bCs/>
        </w:rPr>
      </w:pPr>
    </w:p>
    <w:p w14:paraId="018305D3" w14:textId="77777777" w:rsidR="00EE398F" w:rsidRDefault="00EE398F">
      <w:pPr>
        <w:rPr>
          <w:rFonts w:ascii="Arial" w:hAnsi="Arial" w:cs="Arial"/>
          <w:b/>
          <w:bCs/>
        </w:rPr>
      </w:pPr>
    </w:p>
    <w:p w14:paraId="35AAC65C" w14:textId="77777777" w:rsidR="00EE398F" w:rsidRDefault="00EE398F">
      <w:pPr>
        <w:rPr>
          <w:rFonts w:ascii="Arial" w:hAnsi="Arial" w:cs="Arial"/>
          <w:b/>
          <w:bCs/>
        </w:rPr>
      </w:pPr>
    </w:p>
    <w:p w14:paraId="55E81F30" w14:textId="77777777" w:rsidR="00EE398F" w:rsidRDefault="00EE398F">
      <w:pPr>
        <w:rPr>
          <w:rFonts w:ascii="Arial" w:hAnsi="Arial" w:cs="Arial"/>
          <w:b/>
          <w:bCs/>
        </w:rPr>
      </w:pPr>
    </w:p>
    <w:p w14:paraId="61D3A10B" w14:textId="77777777" w:rsidR="00EE398F" w:rsidRDefault="00EE398F">
      <w:pPr>
        <w:rPr>
          <w:rFonts w:ascii="Arial" w:hAnsi="Arial" w:cs="Arial"/>
          <w:b/>
          <w:bCs/>
        </w:rPr>
      </w:pPr>
    </w:p>
    <w:p w14:paraId="46A6FD7F" w14:textId="77777777" w:rsidR="00EE398F" w:rsidRDefault="00EE398F">
      <w:pPr>
        <w:rPr>
          <w:rFonts w:ascii="Arial" w:hAnsi="Arial" w:cs="Arial"/>
          <w:b/>
          <w:bCs/>
        </w:rPr>
      </w:pPr>
    </w:p>
    <w:p w14:paraId="33554A0C" w14:textId="77777777" w:rsidR="00EE398F" w:rsidRDefault="00EE398F">
      <w:pPr>
        <w:rPr>
          <w:rFonts w:ascii="Arial" w:hAnsi="Arial" w:cs="Arial"/>
          <w:b/>
          <w:bCs/>
        </w:rPr>
      </w:pPr>
    </w:p>
    <w:p w14:paraId="18C91103" w14:textId="77777777" w:rsidR="00EE398F" w:rsidRDefault="00EE398F">
      <w:pPr>
        <w:rPr>
          <w:rFonts w:ascii="Arial" w:hAnsi="Arial" w:cs="Arial"/>
          <w:b/>
          <w:bCs/>
        </w:rPr>
      </w:pPr>
    </w:p>
    <w:p w14:paraId="7926B146" w14:textId="77777777" w:rsidR="00EE398F" w:rsidRDefault="00EE398F">
      <w:pPr>
        <w:rPr>
          <w:rFonts w:ascii="Arial" w:hAnsi="Arial" w:cs="Arial"/>
          <w:b/>
          <w:bCs/>
        </w:rPr>
      </w:pPr>
    </w:p>
    <w:p w14:paraId="2FDBE87E" w14:textId="77777777" w:rsidR="00EE398F" w:rsidRDefault="00EE398F">
      <w:pPr>
        <w:rPr>
          <w:rFonts w:ascii="Arial" w:hAnsi="Arial" w:cs="Arial"/>
          <w:b/>
          <w:bCs/>
        </w:rPr>
      </w:pPr>
    </w:p>
    <w:p w14:paraId="321F070B" w14:textId="77777777" w:rsidR="00EE398F" w:rsidRDefault="00EE398F">
      <w:pPr>
        <w:rPr>
          <w:rFonts w:ascii="Arial" w:hAnsi="Arial" w:cs="Arial"/>
          <w:b/>
          <w:bCs/>
        </w:rPr>
      </w:pPr>
    </w:p>
    <w:p w14:paraId="109EF341" w14:textId="77777777" w:rsidR="00EE398F" w:rsidRDefault="00EE398F">
      <w:pPr>
        <w:rPr>
          <w:rFonts w:ascii="Arial" w:hAnsi="Arial" w:cs="Arial"/>
          <w:b/>
          <w:bCs/>
        </w:rPr>
      </w:pPr>
    </w:p>
    <w:p w14:paraId="7CF9FBF3" w14:textId="77777777" w:rsidR="00EE398F" w:rsidRDefault="00EE398F">
      <w:pPr>
        <w:rPr>
          <w:rFonts w:ascii="Arial" w:hAnsi="Arial" w:cs="Arial"/>
          <w:b/>
          <w:bCs/>
        </w:rPr>
      </w:pPr>
    </w:p>
    <w:p w14:paraId="32FE3AB9" w14:textId="77777777" w:rsidR="00EE398F" w:rsidRDefault="00EE398F" w:rsidP="00EE398F">
      <w:pPr>
        <w:ind w:right="107"/>
        <w:jc w:val="center"/>
        <w:rPr>
          <w:b/>
          <w:bCs/>
          <w:sz w:val="24"/>
          <w:szCs w:val="24"/>
        </w:rPr>
      </w:pPr>
      <w:r>
        <w:rPr>
          <w:b/>
          <w:bCs/>
          <w:sz w:val="24"/>
          <w:szCs w:val="24"/>
        </w:rPr>
        <w:lastRenderedPageBreak/>
        <w:t>Task 2</w:t>
      </w:r>
    </w:p>
    <w:p w14:paraId="5E1FA7D1" w14:textId="77777777" w:rsidR="00EE398F" w:rsidRDefault="00EE398F" w:rsidP="00EE398F">
      <w:pPr>
        <w:ind w:right="107"/>
        <w:jc w:val="both"/>
        <w:rPr>
          <w:b/>
          <w:sz w:val="24"/>
          <w:szCs w:val="24"/>
        </w:rPr>
      </w:pPr>
    </w:p>
    <w:p w14:paraId="7F75EA3E" w14:textId="77777777" w:rsidR="00EE398F" w:rsidRDefault="00EE398F" w:rsidP="00EE398F">
      <w:pPr>
        <w:ind w:right="237"/>
        <w:jc w:val="both"/>
        <w:rPr>
          <w:b/>
          <w:sz w:val="24"/>
          <w:szCs w:val="24"/>
        </w:rPr>
      </w:pPr>
      <w:r>
        <w:rPr>
          <w:b/>
          <w:sz w:val="24"/>
          <w:szCs w:val="24"/>
        </w:rPr>
        <w:t xml:space="preserve">Relevant areas of the National Policing Curriculum: </w:t>
      </w:r>
    </w:p>
    <w:p w14:paraId="69A84D3F" w14:textId="77777777" w:rsidR="00EE398F" w:rsidRDefault="00EE398F" w:rsidP="00EE398F">
      <w:pPr>
        <w:ind w:right="107"/>
        <w:jc w:val="both"/>
        <w:rPr>
          <w:b/>
          <w:sz w:val="24"/>
          <w:szCs w:val="24"/>
        </w:rPr>
      </w:pPr>
      <w:r>
        <w:rPr>
          <w:b/>
          <w:sz w:val="24"/>
          <w:szCs w:val="24"/>
        </w:rPr>
        <w:t xml:space="preserve">Communication Skills, Managing Conflict, Valuing </w:t>
      </w:r>
      <w:proofErr w:type="gramStart"/>
      <w:r>
        <w:rPr>
          <w:b/>
          <w:sz w:val="24"/>
          <w:szCs w:val="24"/>
        </w:rPr>
        <w:t>Difference</w:t>
      </w:r>
      <w:proofErr w:type="gramEnd"/>
      <w:r>
        <w:rPr>
          <w:b/>
          <w:sz w:val="24"/>
          <w:szCs w:val="24"/>
        </w:rPr>
        <w:t xml:space="preserve"> and Inclusion</w:t>
      </w:r>
    </w:p>
    <w:p w14:paraId="78A86C7C" w14:textId="77777777" w:rsidR="00EE398F" w:rsidRDefault="00EE398F" w:rsidP="00EE398F">
      <w:pPr>
        <w:ind w:right="107"/>
        <w:jc w:val="both"/>
        <w:rPr>
          <w:color w:val="000000"/>
          <w:sz w:val="24"/>
          <w:szCs w:val="24"/>
        </w:rPr>
      </w:pPr>
    </w:p>
    <w:p w14:paraId="7056C1E3" w14:textId="77777777" w:rsidR="00EE398F" w:rsidRDefault="00EE398F" w:rsidP="00EE398F">
      <w:pPr>
        <w:ind w:right="107"/>
        <w:jc w:val="both"/>
        <w:rPr>
          <w:sz w:val="24"/>
          <w:szCs w:val="24"/>
        </w:rPr>
      </w:pPr>
      <w:r>
        <w:rPr>
          <w:sz w:val="24"/>
          <w:szCs w:val="24"/>
        </w:rPr>
        <w:t xml:space="preserve">You must choose </w:t>
      </w:r>
      <w:r>
        <w:rPr>
          <w:b/>
          <w:sz w:val="24"/>
          <w:szCs w:val="24"/>
          <w:u w:val="single"/>
        </w:rPr>
        <w:t xml:space="preserve">a policing incident involving conflict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4B591095" w14:textId="77777777" w:rsidR="00EE398F" w:rsidRDefault="00EE398F" w:rsidP="00EE398F">
      <w:pPr>
        <w:ind w:right="107"/>
        <w:jc w:val="both"/>
        <w:rPr>
          <w:sz w:val="24"/>
          <w:szCs w:val="24"/>
        </w:rPr>
      </w:pPr>
    </w:p>
    <w:p w14:paraId="32DE0C5B" w14:textId="77777777" w:rsidR="00EE398F" w:rsidRDefault="00EE398F" w:rsidP="00EE398F">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E398F" w14:paraId="78C74D78" w14:textId="77777777" w:rsidTr="00EE398F">
        <w:tc>
          <w:tcPr>
            <w:tcW w:w="10188" w:type="dxa"/>
            <w:tcBorders>
              <w:top w:val="single" w:sz="4" w:space="0" w:color="auto"/>
              <w:left w:val="single" w:sz="4" w:space="0" w:color="auto"/>
              <w:bottom w:val="single" w:sz="4" w:space="0" w:color="auto"/>
              <w:right w:val="single" w:sz="4" w:space="0" w:color="auto"/>
            </w:tcBorders>
          </w:tcPr>
          <w:p w14:paraId="0B8CCBF0" w14:textId="77777777" w:rsidR="00EE398F" w:rsidRDefault="00EE398F">
            <w:pPr>
              <w:ind w:right="107"/>
              <w:rPr>
                <w:sz w:val="24"/>
                <w:szCs w:val="24"/>
                <w:lang w:eastAsia="zh-TW"/>
              </w:rPr>
            </w:pPr>
          </w:p>
          <w:p w14:paraId="3378779A" w14:textId="77777777" w:rsidR="00EE398F" w:rsidRDefault="00EE398F">
            <w:pPr>
              <w:ind w:right="107"/>
              <w:jc w:val="both"/>
              <w:rPr>
                <w:sz w:val="24"/>
                <w:szCs w:val="24"/>
                <w:lang w:eastAsia="zh-TW"/>
              </w:rPr>
            </w:pPr>
            <w:r>
              <w:rPr>
                <w:b/>
                <w:bCs/>
                <w:sz w:val="24"/>
                <w:szCs w:val="24"/>
                <w:lang w:eastAsia="zh-TW"/>
              </w:rPr>
              <w:t xml:space="preserve">Critically assess </w:t>
            </w:r>
            <w:r>
              <w:rPr>
                <w:sz w:val="24"/>
                <w:szCs w:val="24"/>
                <w:lang w:eastAsia="zh-TW"/>
              </w:rPr>
              <w:t xml:space="preserve">the incident including social and legislative contexts and any relevant cultural, ethnicity and language issues. </w:t>
            </w:r>
          </w:p>
          <w:p w14:paraId="2F911860" w14:textId="77777777" w:rsidR="00EE398F" w:rsidRDefault="00EE398F">
            <w:pPr>
              <w:ind w:right="107"/>
              <w:jc w:val="both"/>
              <w:rPr>
                <w:sz w:val="24"/>
                <w:szCs w:val="24"/>
                <w:lang w:eastAsia="zh-TW"/>
              </w:rPr>
            </w:pPr>
          </w:p>
          <w:p w14:paraId="6C60F503" w14:textId="77777777" w:rsidR="00EE398F" w:rsidRDefault="00EE398F">
            <w:pPr>
              <w:ind w:right="107"/>
              <w:jc w:val="both"/>
              <w:rPr>
                <w:sz w:val="24"/>
                <w:szCs w:val="24"/>
                <w:lang w:eastAsia="zh-TW"/>
              </w:rPr>
            </w:pPr>
            <w:r>
              <w:rPr>
                <w:sz w:val="24"/>
                <w:szCs w:val="24"/>
                <w:lang w:eastAsia="zh-TW"/>
              </w:rPr>
              <w:t>Consider the use of effective communication skills that you used within the incident.</w:t>
            </w:r>
          </w:p>
          <w:p w14:paraId="5EA461A2" w14:textId="77777777" w:rsidR="00EE398F" w:rsidRDefault="00EE398F">
            <w:pPr>
              <w:ind w:right="107"/>
              <w:rPr>
                <w:b/>
                <w:bCs/>
                <w:sz w:val="24"/>
                <w:szCs w:val="24"/>
                <w:lang w:eastAsia="zh-TW"/>
              </w:rPr>
            </w:pPr>
          </w:p>
          <w:p w14:paraId="63427345" w14:textId="77777777" w:rsidR="00EE398F" w:rsidRDefault="00EE398F">
            <w:pPr>
              <w:ind w:right="107"/>
              <w:jc w:val="both"/>
              <w:rPr>
                <w:color w:val="000000" w:themeColor="text1"/>
                <w:sz w:val="24"/>
                <w:szCs w:val="24"/>
                <w:lang w:eastAsia="zh-TW"/>
              </w:rPr>
            </w:pPr>
            <w:r>
              <w:rPr>
                <w:b/>
                <w:bCs/>
                <w:color w:val="000000" w:themeColor="text1"/>
                <w:sz w:val="24"/>
                <w:szCs w:val="24"/>
                <w:lang w:eastAsia="zh-TW"/>
              </w:rPr>
              <w:t>Reflecting</w:t>
            </w:r>
            <w:r>
              <w:rPr>
                <w:color w:val="000000" w:themeColor="text1"/>
                <w:sz w:val="24"/>
                <w:szCs w:val="24"/>
                <w:lang w:eastAsia="zh-TW"/>
              </w:rPr>
              <w:t xml:space="preserve"> upon your incident, critically evaluate any theories or models underpinning the causes of conflict within policing interventions. (Examples would include, </w:t>
            </w:r>
            <w:proofErr w:type="spellStart"/>
            <w:r>
              <w:rPr>
                <w:color w:val="000000" w:themeColor="text1"/>
                <w:sz w:val="24"/>
                <w:szCs w:val="24"/>
                <w:lang w:eastAsia="zh-TW"/>
              </w:rPr>
              <w:t>Betaris</w:t>
            </w:r>
            <w:proofErr w:type="spellEnd"/>
            <w:r>
              <w:rPr>
                <w:color w:val="000000" w:themeColor="text1"/>
                <w:sz w:val="24"/>
                <w:szCs w:val="24"/>
                <w:lang w:eastAsia="zh-TW"/>
              </w:rPr>
              <w:t xml:space="preserve"> Box, The Drama Triangle). </w:t>
            </w:r>
          </w:p>
          <w:p w14:paraId="074CFBBB" w14:textId="77777777" w:rsidR="00EE398F" w:rsidRDefault="00EE398F">
            <w:pPr>
              <w:ind w:right="107"/>
              <w:jc w:val="both"/>
              <w:rPr>
                <w:color w:val="000000" w:themeColor="text1"/>
                <w:sz w:val="24"/>
                <w:szCs w:val="24"/>
                <w:lang w:eastAsia="zh-TW"/>
              </w:rPr>
            </w:pPr>
          </w:p>
          <w:p w14:paraId="2F61EA5C" w14:textId="77777777" w:rsidR="00EE398F" w:rsidRDefault="00EE398F">
            <w:pPr>
              <w:ind w:right="107"/>
              <w:jc w:val="both"/>
              <w:rPr>
                <w:color w:val="000000"/>
                <w:sz w:val="24"/>
                <w:szCs w:val="24"/>
                <w:lang w:eastAsia="zh-TW"/>
              </w:rPr>
            </w:pPr>
          </w:p>
          <w:p w14:paraId="5A689274" w14:textId="77777777" w:rsidR="00EE398F" w:rsidRDefault="00EE398F">
            <w:pPr>
              <w:ind w:right="107"/>
              <w:jc w:val="both"/>
              <w:rPr>
                <w:sz w:val="24"/>
                <w:szCs w:val="24"/>
                <w:lang w:eastAsia="zh-TW"/>
              </w:rPr>
            </w:pPr>
            <w:r>
              <w:rPr>
                <w:sz w:val="24"/>
                <w:szCs w:val="24"/>
                <w:lang w:eastAsia="zh-TW"/>
              </w:rPr>
              <w:t xml:space="preserve">2000 words </w:t>
            </w:r>
            <w:r>
              <w:rPr>
                <w:i/>
                <w:iCs/>
                <w:sz w:val="24"/>
                <w:szCs w:val="24"/>
                <w:lang w:eastAsia="zh-TW"/>
              </w:rPr>
              <w:t>(+/- 10%: include your actual word count at the end of each section)</w:t>
            </w:r>
          </w:p>
        </w:tc>
      </w:tr>
    </w:tbl>
    <w:p w14:paraId="47637E69" w14:textId="77777777" w:rsidR="00EE398F" w:rsidRDefault="00EE398F">
      <w:pPr>
        <w:rPr>
          <w:rFonts w:ascii="Arial" w:hAnsi="Arial" w:cs="Arial"/>
          <w:b/>
          <w:bCs/>
        </w:rPr>
      </w:pPr>
    </w:p>
    <w:p w14:paraId="45BCA853" w14:textId="77777777" w:rsidR="00EE398F" w:rsidRDefault="00EE398F" w:rsidP="00EE398F">
      <w:r>
        <w:t xml:space="preserve">In this essay I will refer to a single incident involving conflict in my policing career in which I played a significant role, assessing the incident in terms of both my own skills and the wider social and legislative contexts. I will also consider cultural, ethnicity and language issues that may have been present and the impact of this. When reflecting upon the incident, I will utilise conflict theories and models including the Drama Triangle and </w:t>
      </w:r>
      <w:proofErr w:type="spellStart"/>
      <w:r>
        <w:t>Betaris</w:t>
      </w:r>
      <w:proofErr w:type="spellEnd"/>
      <w:r>
        <w:t xml:space="preserve"> Box along with relevant policing materials such as the National Decision Model and Conflict Impact Factors. The reflection throughout this piece will be guided by </w:t>
      </w:r>
      <w:r w:rsidRPr="0017028C">
        <w:rPr>
          <w:color w:val="000000" w:themeColor="text1"/>
        </w:rPr>
        <w:t>Borton’s reflective model (1970) (</w:t>
      </w:r>
      <w:proofErr w:type="spellStart"/>
      <w:r w:rsidRPr="0017028C">
        <w:rPr>
          <w:color w:val="000000" w:themeColor="text1"/>
        </w:rPr>
        <w:t>Haghihat</w:t>
      </w:r>
      <w:proofErr w:type="spellEnd"/>
      <w:r w:rsidRPr="0017028C">
        <w:rPr>
          <w:color w:val="000000" w:themeColor="text1"/>
        </w:rPr>
        <w:t xml:space="preserve"> et al 2019), </w:t>
      </w:r>
      <w:r>
        <w:t xml:space="preserve">beginning with considering what happened, moving to </w:t>
      </w:r>
      <w:proofErr w:type="gramStart"/>
      <w:r>
        <w:t>ask</w:t>
      </w:r>
      <w:proofErr w:type="gramEnd"/>
      <w:r>
        <w:t xml:space="preserve"> ‘so what?’ to consider what this means and the theories or guidelines that provide context for the incident. This essay will end with considering what lessons will be taken forward.</w:t>
      </w:r>
    </w:p>
    <w:p w14:paraId="719244F3" w14:textId="77777777" w:rsidR="00EE398F" w:rsidRPr="00D1466B" w:rsidRDefault="00EE398F" w:rsidP="00EE398F">
      <w:pPr>
        <w:rPr>
          <w:u w:val="single"/>
        </w:rPr>
      </w:pPr>
    </w:p>
    <w:p w14:paraId="136C2573" w14:textId="77777777" w:rsidR="00EE398F" w:rsidRPr="00D1466B" w:rsidRDefault="00EE398F" w:rsidP="00EE398F">
      <w:pPr>
        <w:rPr>
          <w:u w:val="single"/>
        </w:rPr>
      </w:pPr>
      <w:r w:rsidRPr="00D1466B">
        <w:rPr>
          <w:u w:val="single"/>
        </w:rPr>
        <w:t>Stage One: What</w:t>
      </w:r>
    </w:p>
    <w:p w14:paraId="36E57A54" w14:textId="77777777" w:rsidR="00EE398F" w:rsidRDefault="00EE398F" w:rsidP="00EE398F">
      <w:pPr>
        <w:rPr>
          <w:b/>
          <w:bCs/>
        </w:rPr>
      </w:pPr>
      <w:r w:rsidRPr="00F02EA9">
        <w:rPr>
          <w:b/>
          <w:bCs/>
        </w:rPr>
        <w:lastRenderedPageBreak/>
        <w:t>The incident and discussion:</w:t>
      </w:r>
    </w:p>
    <w:p w14:paraId="1C92C248" w14:textId="77777777" w:rsidR="00EE398F" w:rsidRDefault="00EE398F" w:rsidP="00EE398F">
      <w:r>
        <w:t xml:space="preserve">The following incident is a call that I attended in my role as a Police Officer. This summary has been sanitised of any personal or identifiable details in line with General Data Protection Regulations (2018). A member of the public had reported her seventeen-year-old son leaving the home address on foot, very upset and in possession of a large knife. The caller mentioned that her son was Autistic and provided a description of his appearance that was passed to my colleague and </w:t>
      </w:r>
      <w:proofErr w:type="gramStart"/>
      <w:r>
        <w:t>I.</w:t>
      </w:r>
      <w:proofErr w:type="gramEnd"/>
      <w:r>
        <w:t xml:space="preserve"> We made our way to the area when further information was passed to say that the male appeared to be making his way to a local primary school. </w:t>
      </w:r>
    </w:p>
    <w:p w14:paraId="45340EDC" w14:textId="77777777" w:rsidR="00EE398F" w:rsidRPr="00070E8B" w:rsidRDefault="00EE398F" w:rsidP="00EE398F">
      <w:pPr>
        <w:rPr>
          <w:b/>
          <w:bCs/>
        </w:rPr>
      </w:pPr>
      <w:r w:rsidRPr="00070E8B">
        <w:rPr>
          <w:b/>
          <w:bCs/>
        </w:rPr>
        <w:t>National Decision Model:</w:t>
      </w:r>
    </w:p>
    <w:p w14:paraId="792AEB6E" w14:textId="77777777" w:rsidR="00EE398F" w:rsidRDefault="00EE398F" w:rsidP="00EE398F">
      <w:r>
        <w:t xml:space="preserve">Utilising the seven-stage process of the National Decision model (NDM) (College of Policing 2013), I had received the information about the male, his possession of a knife and his location as near a local primary school. As a result, I assessed the threat of the male and the risk to officers and the public as high due to him possessing a large knife. As I approached the area, I developed a working strategy with protecting the public as the priority, considering my powers and policies around this such as a Section 1 Search under the Policing and Criminal Evidence Act (PACE) (1984) if the weapon could not be seen or the Section 24 power of arrest (PACE 1984) if the weapon was visible. As threat and risk was high and it was a dynamic incident I had not yet arrived at, it was important to identify options and contingencies such as specialist officers that could assist if required. Once my colleague and I arrived at the location, the next stage of the NDM (College of Policing 2013) was to </w:t>
      </w:r>
      <w:proofErr w:type="gramStart"/>
      <w:r>
        <w:t>take action</w:t>
      </w:r>
      <w:proofErr w:type="gramEnd"/>
      <w:r>
        <w:t xml:space="preserve"> and reflect, ensuring that I acted in line with the Code of Ethics throughout. </w:t>
      </w:r>
    </w:p>
    <w:p w14:paraId="7E96CF2C" w14:textId="77777777" w:rsidR="00EE398F" w:rsidRPr="00115851" w:rsidRDefault="00EE398F" w:rsidP="00EE398F">
      <w:pPr>
        <w:rPr>
          <w:b/>
          <w:bCs/>
        </w:rPr>
      </w:pPr>
      <w:r w:rsidRPr="00115851">
        <w:rPr>
          <w:b/>
          <w:bCs/>
        </w:rPr>
        <w:t>Use of Force:</w:t>
      </w:r>
    </w:p>
    <w:p w14:paraId="7A96C0B2" w14:textId="77777777" w:rsidR="00EE398F" w:rsidRDefault="00EE398F" w:rsidP="00EE398F">
      <w:r>
        <w:t xml:space="preserve">As my colleague and I arrived at the location, I immediately identified a male matching the description passed. I exited the vehicle, turned on my body worn video camera in line with force policy and shouted to the male, telling him to remain still where he was. I had noted multiple children playing in the street and wanted to act quickly to ensure that the male did not make off and put the children at elevated risk of harm if he left my reach. I made my way towards the male with open palm gestures, being careful not to make any sudden movements which may have triggered a sudden defensive response from the male who was reportedly already in an emotionally volatile state. This was particularly important when considering his diagnosis of Autism and the challenge autistic individuals often face in regulating emotions (Samson et al 2015). </w:t>
      </w:r>
    </w:p>
    <w:p w14:paraId="046B544B" w14:textId="77777777" w:rsidR="00EE398F" w:rsidRDefault="00EE398F" w:rsidP="00EE398F">
      <w:r>
        <w:t xml:space="preserve">The male turned away from me and started walking away, I repeated the command of “stay where you are”. As I performed a visual search of the male, I identified him holding a twelve-inch knife in his left hand. At this point, I reassessed the threat and risk, considering the Impact Factors (College of Policing 2017) of the subject’s size as he was larger than me, his apparent mental health disturbance, the presence of a weapon, the location in its proximity to children and my own skills as an officer who does not carry Taser. As a result, the risk of threat and harm appeared very high and the threat was immediate or imminent as the male was holding the knife, standing less than two meters away from me. As such, to protect myself under Common Law and to execute my duties under Section 117 </w:t>
      </w:r>
      <w:r w:rsidRPr="004C5119">
        <w:rPr>
          <w:color w:val="000000" w:themeColor="text1"/>
        </w:rPr>
        <w:t xml:space="preserve">(PACE 1984), </w:t>
      </w:r>
      <w:r>
        <w:t xml:space="preserve">I removed my PAVA from its holster and adopted the ready position at an appropriate distance. I also considered my colleague’s skills as a Taser officer and stepped out of his way </w:t>
      </w:r>
      <w:proofErr w:type="gramStart"/>
      <w:r>
        <w:t>in order to</w:t>
      </w:r>
      <w:proofErr w:type="gramEnd"/>
      <w:r>
        <w:t xml:space="preserve"> allow him to discharge his Taser without obstructing his path if necessary.</w:t>
      </w:r>
    </w:p>
    <w:p w14:paraId="248D7CD1" w14:textId="77777777" w:rsidR="00EE398F" w:rsidRDefault="00EE398F" w:rsidP="00EE398F">
      <w:r>
        <w:lastRenderedPageBreak/>
        <w:t xml:space="preserve">I shouted, “drop the knife”, making clear commands to the male and alerting my colleague of the knife’s presence. I then engaged in tactical communication with the male along with my colleague who had drawn his Taser. This included repeating the clear command to drop the knife, telling him not to make any sudden movements and warning him that I was in possession of PAVA and would use it if he did not drop the knife. The male did not drop the knife and stood still. I monitored the male’s body language while scanning in my peripheral vision for other members of the public, as in conflict scenarios this can often be forgotten as the body and mind focus on the threat (Andersen &amp; </w:t>
      </w:r>
      <w:proofErr w:type="spellStart"/>
      <w:r>
        <w:t>Gustafsberg</w:t>
      </w:r>
      <w:proofErr w:type="spellEnd"/>
      <w:r>
        <w:t xml:space="preserve"> 2016). After repeating the command to drop the knife multiple times, the male did drop it. I immediately told the male to stay still and slowly place his hands behind his back, conscious that he may have other weapons on him. I then approached the male, handcuffing him in a rear back-to-back position and performing the relevant safety checks on the handcuffs. I then arrested the male for possession of bladed article in a public place (</w:t>
      </w:r>
      <w:r w:rsidRPr="00F31921">
        <w:rPr>
          <w:color w:val="000000" w:themeColor="text1"/>
        </w:rPr>
        <w:t xml:space="preserve">Sec 139 Criminal Justice Act 1988), </w:t>
      </w:r>
      <w:r>
        <w:t>cautioned him and informed him of the necessities. My colleague collected and seized the knife.</w:t>
      </w:r>
    </w:p>
    <w:p w14:paraId="62FA20E9" w14:textId="77777777" w:rsidR="00EE398F" w:rsidRDefault="00EE398F" w:rsidP="00EE398F">
      <w:r>
        <w:t xml:space="preserve">At this point, the male’s mother approached and began screaming, </w:t>
      </w:r>
      <w:proofErr w:type="gramStart"/>
      <w:r>
        <w:t>crying</w:t>
      </w:r>
      <w:proofErr w:type="gramEnd"/>
      <w:r>
        <w:t xml:space="preserve"> and telling us to let him go. The male then started shouting and swearing at me, trying to pull out of my grip and barge me with his shoulders, screaming “you’re killing me”. I kept a firm grip on the male, told him to stay still and stop resisting, reminding him that he was safe, and we were taking him to the car. His Mother continued screaming which appeared to elevate the male’s resistance and upset towards my colleague and </w:t>
      </w:r>
      <w:proofErr w:type="gramStart"/>
      <w:r>
        <w:t>I.</w:t>
      </w:r>
      <w:proofErr w:type="gramEnd"/>
      <w:r>
        <w:t xml:space="preserve"> </w:t>
      </w:r>
    </w:p>
    <w:p w14:paraId="30CD7352" w14:textId="77777777" w:rsidR="00EE398F" w:rsidRDefault="00EE398F" w:rsidP="00EE398F"/>
    <w:p w14:paraId="54CDE11C" w14:textId="77777777" w:rsidR="00EE398F" w:rsidRPr="00070E8B" w:rsidRDefault="00EE398F" w:rsidP="00EE398F">
      <w:pPr>
        <w:rPr>
          <w:b/>
          <w:bCs/>
        </w:rPr>
      </w:pPr>
      <w:r w:rsidRPr="00070E8B">
        <w:rPr>
          <w:b/>
          <w:bCs/>
        </w:rPr>
        <w:t>Drama Triangle</w:t>
      </w:r>
    </w:p>
    <w:p w14:paraId="7941E495" w14:textId="77777777" w:rsidR="00EE398F" w:rsidRDefault="00EE398F" w:rsidP="00EE398F">
      <w:r>
        <w:t xml:space="preserve">This scenario once introducing his mother can be seen as in line with the Drama Triangle, created by </w:t>
      </w:r>
      <w:r w:rsidRPr="00A970B4">
        <w:rPr>
          <w:color w:val="000000" w:themeColor="text1"/>
        </w:rPr>
        <w:t xml:space="preserve">Karpman (1968) </w:t>
      </w:r>
      <w:r>
        <w:t xml:space="preserve">(Lac &amp; Donaldson 2022) Which states that in conflict scenarios there is often a victim, </w:t>
      </w:r>
      <w:proofErr w:type="gramStart"/>
      <w:r>
        <w:t>rescuer</w:t>
      </w:r>
      <w:proofErr w:type="gramEnd"/>
      <w:r>
        <w:t xml:space="preserve"> and persecutor and that all three roles keep the cycle of conflict going (Lac &amp; Donaldson 2022). The victim acts as helpless, oppressed, in a powerless, depressed state. They receive blame from perpetrator and help from rescuer (Lac &amp; Donaldson 2022). In the incident, the male arrested could be seen to play this role through crying for help and claiming we were killing him, which was obviously untrue. The male’s mother could be seen to fit the rescuer role, showing a desire to help, perceiving the victim as too weak to fend for himself, deciding what is best for him and having the mindset of the peacemaker (Lac &amp; Donaldson 2022).  In this incident when the male’s mother approached, my colleague and I could be placed in the persecutor role by them as they likely perceived us as aggressive in handcuffing him and to be playing a superior role, with little tolerance for the wishes of others (Lac &amp; Donaldson 2022). In playing these roles, particularly the rescuer, the conflict continues until the roles are broken (</w:t>
      </w:r>
      <w:proofErr w:type="spellStart"/>
      <w:r>
        <w:t>L’Abate</w:t>
      </w:r>
      <w:proofErr w:type="spellEnd"/>
      <w:r>
        <w:t xml:space="preserve"> 2009). </w:t>
      </w:r>
    </w:p>
    <w:p w14:paraId="6FEB1A2B" w14:textId="77777777" w:rsidR="00EE398F" w:rsidRDefault="00EE398F" w:rsidP="00EE398F">
      <w:r>
        <w:t xml:space="preserve">With this theory and personal safety in mind, I told the mother politely and firmly to step back, reassuring her that her son was safe and that we would speak with her once he WAS safely in the vehicle. The Mother did leave the immediate area and the male became calmer, allowing me to move him to the vehicle. I then conducted a Section 32 (PACE 1984) search of the male, speaking calmly with him about my hand placement and ensuring that his mother could see the search taking place. I then seated the male in the police vehicle, checked his welfare and explained what had happened and why for him to better understand as he was then in a calm state where his brain was likely better able to absorb information (Cordova et al 2023). Throughout transporting the male to custody and when waiting to be seen in custody, I worked </w:t>
      </w:r>
      <w:r>
        <w:lastRenderedPageBreak/>
        <w:t xml:space="preserve">to build a rapport with the male through making conversation about his interests, explaining the process to him, and offering refreshments. </w:t>
      </w:r>
    </w:p>
    <w:p w14:paraId="2957CF25" w14:textId="77777777" w:rsidR="00EE398F" w:rsidRPr="001638C2" w:rsidRDefault="00EE398F" w:rsidP="00EE398F">
      <w:pPr>
        <w:rPr>
          <w:u w:val="single"/>
        </w:rPr>
      </w:pPr>
      <w:proofErr w:type="gramStart"/>
      <w:r w:rsidRPr="001638C2">
        <w:rPr>
          <w:u w:val="single"/>
        </w:rPr>
        <w:t>So</w:t>
      </w:r>
      <w:proofErr w:type="gramEnd"/>
      <w:r w:rsidRPr="001638C2">
        <w:rPr>
          <w:u w:val="single"/>
        </w:rPr>
        <w:t xml:space="preserve"> what:</w:t>
      </w:r>
    </w:p>
    <w:p w14:paraId="28B28B18" w14:textId="77777777" w:rsidR="00EE398F" w:rsidRDefault="00EE398F" w:rsidP="00EE398F">
      <w:r>
        <w:t xml:space="preserve">This incident can </w:t>
      </w:r>
      <w:proofErr w:type="gramStart"/>
      <w:r>
        <w:t>be located in</w:t>
      </w:r>
      <w:proofErr w:type="gramEnd"/>
      <w:r>
        <w:t xml:space="preserve"> a much wider social context in a number of ways. First and foremost, there is a particularly pertinent social context in this incident’s nature as a knife crime. This is because knife crime has been a central topic in the UK in recent years, with knife deaths accounting for more deaths in young males in the UK than those relating to firearms (</w:t>
      </w:r>
      <w:proofErr w:type="spellStart"/>
      <w:r>
        <w:t>Coid</w:t>
      </w:r>
      <w:proofErr w:type="spellEnd"/>
      <w:r>
        <w:t xml:space="preserve"> et al 2021). As the incident involved a young male in possession of a knife it is important to recognise that there has been a rise in weapon related youth crime in the UK (Haylock et al 2020). This context meant that it was important that I acted to tackle the presence of a knife at the scene and worked to engage with this male to gain a clear understanding of what had led to this incident to reduce the likelihood of him becoming part of growing knife crime statistics. There is also an important context in that police officers have been injured recently in knife attacks (BBC 2024), meaning that I was conscious of the risk that the male posed to my colleague and </w:t>
      </w:r>
      <w:proofErr w:type="gramStart"/>
      <w:r>
        <w:t>I.</w:t>
      </w:r>
      <w:proofErr w:type="gramEnd"/>
      <w:r>
        <w:t xml:space="preserve"> This risk was something that I was keen to negate. Finally, it is vital to consider the fact that the local area has a recent history of knife crime incidents that have had a profound community impact. Whilst this did not alter the risk level, it did mean that it was imperative that officers acted in a manner which would encourage public confidence and avoid sparking fear for members of the public who may have witnessed the incident. </w:t>
      </w:r>
    </w:p>
    <w:p w14:paraId="648EEA96" w14:textId="77777777" w:rsidR="00EE398F" w:rsidRPr="001638C2" w:rsidRDefault="00EE398F" w:rsidP="00EE398F">
      <w:pPr>
        <w:rPr>
          <w:u w:val="single"/>
        </w:rPr>
      </w:pPr>
      <w:r w:rsidRPr="001638C2">
        <w:rPr>
          <w:u w:val="single"/>
        </w:rPr>
        <w:t>Now what:</w:t>
      </w:r>
    </w:p>
    <w:p w14:paraId="59CA78A6" w14:textId="77777777" w:rsidR="00EE398F" w:rsidRDefault="00EE398F" w:rsidP="00EE398F">
      <w:r>
        <w:t xml:space="preserve">In reflecting on the incident, most important elements in handling this conflict were clear identification and eliminating of the risk, adapting the approach based on individual factors and working to build a rapport following the conflict. Building a rapport was particularly important following the incident as it allowed me to build a positive, trusting relationship with the male (Collins &amp; Carthy 2019) which in turn, allowed him to discuss the factors that led to the incident taking place. I was then able to propose the most appropriate course of action to tackle this factor and hopefully, avoid him becoming involved in incidents of this nature in the future. My prior knowledge of autism was also very helpful as it prompted me to ensure communication was clear, that I was not needlessly positioned too close to the male and that I explained all processes, what to expect and any </w:t>
      </w:r>
      <w:proofErr w:type="gramStart"/>
      <w:r>
        <w:t>close proximity</w:t>
      </w:r>
      <w:proofErr w:type="gramEnd"/>
      <w:r>
        <w:t xml:space="preserve"> that would occur. I will utilise these skills in similar incidents in the future and will strive to build upon my ability to communicate effectively with suspects, public and my colleagues in such situations.</w:t>
      </w:r>
    </w:p>
    <w:p w14:paraId="79BB2B29" w14:textId="77777777" w:rsidR="00EE398F" w:rsidRDefault="00EE398F">
      <w:pPr>
        <w:rPr>
          <w:rFonts w:ascii="Arial" w:hAnsi="Arial" w:cs="Arial"/>
          <w:b/>
          <w:bCs/>
        </w:rPr>
      </w:pPr>
    </w:p>
    <w:p w14:paraId="361E80FD" w14:textId="77777777" w:rsidR="00EE398F" w:rsidRDefault="00EE398F">
      <w:pPr>
        <w:rPr>
          <w:rFonts w:ascii="Arial" w:hAnsi="Arial" w:cs="Arial"/>
          <w:b/>
          <w:bCs/>
        </w:rPr>
      </w:pPr>
    </w:p>
    <w:p w14:paraId="03FCBC98" w14:textId="77777777" w:rsidR="00EE398F" w:rsidRDefault="00EE398F">
      <w:pPr>
        <w:rPr>
          <w:rFonts w:ascii="Arial" w:hAnsi="Arial" w:cs="Arial"/>
          <w:b/>
          <w:bCs/>
        </w:rPr>
      </w:pPr>
    </w:p>
    <w:p w14:paraId="3953B5F7" w14:textId="77777777" w:rsidR="00EE398F" w:rsidRDefault="00EE398F">
      <w:pPr>
        <w:rPr>
          <w:rFonts w:ascii="Arial" w:hAnsi="Arial" w:cs="Arial"/>
          <w:b/>
          <w:bCs/>
        </w:rPr>
      </w:pPr>
    </w:p>
    <w:p w14:paraId="39FB6028" w14:textId="77777777" w:rsidR="00EE398F" w:rsidRDefault="00EE398F">
      <w:pPr>
        <w:rPr>
          <w:rFonts w:ascii="Arial" w:hAnsi="Arial" w:cs="Arial"/>
          <w:b/>
          <w:bCs/>
        </w:rPr>
      </w:pPr>
    </w:p>
    <w:p w14:paraId="77D4D69B" w14:textId="77777777" w:rsidR="00EE398F" w:rsidRDefault="00EE398F">
      <w:pPr>
        <w:rPr>
          <w:rFonts w:ascii="Arial" w:hAnsi="Arial" w:cs="Arial"/>
          <w:b/>
          <w:bCs/>
        </w:rPr>
      </w:pPr>
    </w:p>
    <w:p w14:paraId="37E323A7" w14:textId="77777777" w:rsidR="00EE398F" w:rsidRDefault="00EE398F">
      <w:pPr>
        <w:rPr>
          <w:rFonts w:ascii="Arial" w:hAnsi="Arial" w:cs="Arial"/>
          <w:b/>
          <w:bCs/>
        </w:rPr>
      </w:pPr>
    </w:p>
    <w:p w14:paraId="42A9F1EE" w14:textId="77777777" w:rsidR="00EE398F" w:rsidRDefault="00EE398F">
      <w:pPr>
        <w:rPr>
          <w:rFonts w:ascii="Arial" w:hAnsi="Arial" w:cs="Arial"/>
          <w:b/>
          <w:bCs/>
        </w:rPr>
      </w:pPr>
    </w:p>
    <w:p w14:paraId="4C18EF3D" w14:textId="77777777" w:rsidR="00EE398F" w:rsidRDefault="00EE398F">
      <w:pPr>
        <w:rPr>
          <w:rFonts w:ascii="Arial" w:hAnsi="Arial" w:cs="Arial"/>
          <w:b/>
          <w:bCs/>
        </w:rPr>
      </w:pPr>
    </w:p>
    <w:p w14:paraId="438FB155" w14:textId="77777777" w:rsidR="00EE398F" w:rsidRDefault="00EE398F" w:rsidP="00EE398F">
      <w:pPr>
        <w:ind w:right="107"/>
        <w:jc w:val="center"/>
        <w:rPr>
          <w:b/>
          <w:bCs/>
          <w:sz w:val="24"/>
          <w:szCs w:val="24"/>
        </w:rPr>
      </w:pPr>
      <w:r>
        <w:rPr>
          <w:b/>
          <w:bCs/>
          <w:sz w:val="24"/>
          <w:szCs w:val="24"/>
        </w:rPr>
        <w:lastRenderedPageBreak/>
        <w:t>Task 3</w:t>
      </w:r>
    </w:p>
    <w:p w14:paraId="7A92D900" w14:textId="77777777" w:rsidR="00EE398F" w:rsidRDefault="00EE398F" w:rsidP="00EE398F">
      <w:pPr>
        <w:ind w:right="107"/>
        <w:jc w:val="both"/>
        <w:rPr>
          <w:b/>
          <w:sz w:val="24"/>
          <w:szCs w:val="24"/>
        </w:rPr>
      </w:pPr>
    </w:p>
    <w:p w14:paraId="6E9BCE02" w14:textId="77777777" w:rsidR="00EE398F" w:rsidRDefault="00EE398F" w:rsidP="00EE398F">
      <w:pPr>
        <w:ind w:right="237"/>
        <w:jc w:val="both"/>
        <w:rPr>
          <w:b/>
          <w:sz w:val="24"/>
          <w:szCs w:val="24"/>
        </w:rPr>
      </w:pPr>
      <w:r>
        <w:rPr>
          <w:b/>
          <w:sz w:val="24"/>
          <w:szCs w:val="24"/>
        </w:rPr>
        <w:t xml:space="preserve">Relevant areas of the National Policing Curriculum: </w:t>
      </w:r>
    </w:p>
    <w:p w14:paraId="6A3B0A0D" w14:textId="77777777" w:rsidR="00EE398F" w:rsidRDefault="00EE398F" w:rsidP="00EE398F">
      <w:pPr>
        <w:ind w:right="107"/>
        <w:jc w:val="both"/>
        <w:rPr>
          <w:b/>
          <w:color w:val="000000"/>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75FD8124" w14:textId="77777777" w:rsidR="00EE398F" w:rsidRDefault="00EE398F" w:rsidP="00EE398F">
      <w:pPr>
        <w:ind w:right="107"/>
        <w:jc w:val="both"/>
        <w:rPr>
          <w:sz w:val="24"/>
          <w:szCs w:val="24"/>
          <w:highlight w:val="yellow"/>
        </w:rPr>
      </w:pPr>
    </w:p>
    <w:p w14:paraId="19503BEA" w14:textId="77777777" w:rsidR="00EE398F" w:rsidRDefault="00EE398F" w:rsidP="00EE398F">
      <w:pPr>
        <w:ind w:right="107"/>
        <w:jc w:val="both"/>
        <w:rPr>
          <w:sz w:val="24"/>
          <w:szCs w:val="24"/>
        </w:rPr>
      </w:pPr>
      <w:r>
        <w:rPr>
          <w:sz w:val="24"/>
          <w:szCs w:val="24"/>
        </w:rPr>
        <w:t xml:space="preserve">You must choose </w:t>
      </w:r>
      <w:r>
        <w:rPr>
          <w:b/>
          <w:bCs/>
          <w:sz w:val="24"/>
          <w:szCs w:val="24"/>
          <w:u w:val="single"/>
        </w:rPr>
        <w:t>a policing incident</w:t>
      </w:r>
      <w:r>
        <w:rPr>
          <w:b/>
          <w:bCs/>
          <w:sz w:val="24"/>
          <w:szCs w:val="24"/>
        </w:rPr>
        <w:t xml:space="preserve"> </w:t>
      </w:r>
      <w:r>
        <w:rPr>
          <w:sz w:val="24"/>
          <w:szCs w:val="24"/>
        </w:rPr>
        <w:t>in which you played a significant role with an offender/ service</w:t>
      </w:r>
      <w:r>
        <w:rPr>
          <w:b/>
          <w:bCs/>
          <w:sz w:val="24"/>
          <w:szCs w:val="24"/>
        </w:rPr>
        <w:t xml:space="preserve"> </w:t>
      </w:r>
      <w:r>
        <w:rPr>
          <w:sz w:val="24"/>
          <w:szCs w:val="24"/>
        </w:rPr>
        <w:t xml:space="preserve">user/victim and reflect on what </w:t>
      </w:r>
      <w:proofErr w:type="gramStart"/>
      <w:r>
        <w:rPr>
          <w:sz w:val="24"/>
          <w:szCs w:val="24"/>
        </w:rPr>
        <w:t>happened</w:t>
      </w:r>
      <w:proofErr w:type="gramEnd"/>
    </w:p>
    <w:p w14:paraId="361740F9" w14:textId="77777777" w:rsidR="00EE398F" w:rsidRDefault="00EE398F" w:rsidP="00EE398F">
      <w:pPr>
        <w:ind w:right="107"/>
        <w:jc w:val="both"/>
        <w:rPr>
          <w:b/>
          <w:sz w:val="24"/>
          <w:szCs w:val="24"/>
          <w:u w:val="single"/>
        </w:rPr>
      </w:pPr>
    </w:p>
    <w:p w14:paraId="35245671" w14:textId="77777777" w:rsidR="00EE398F" w:rsidRDefault="00EE398F" w:rsidP="00EE398F">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E398F" w14:paraId="2A79A743" w14:textId="77777777" w:rsidTr="00EE398F">
        <w:tc>
          <w:tcPr>
            <w:tcW w:w="10188" w:type="dxa"/>
            <w:tcBorders>
              <w:top w:val="single" w:sz="4" w:space="0" w:color="auto"/>
              <w:left w:val="single" w:sz="4" w:space="0" w:color="auto"/>
              <w:bottom w:val="single" w:sz="4" w:space="0" w:color="auto"/>
              <w:right w:val="single" w:sz="4" w:space="0" w:color="auto"/>
            </w:tcBorders>
          </w:tcPr>
          <w:p w14:paraId="4E14F98D" w14:textId="77777777" w:rsidR="00EE398F" w:rsidRDefault="00EE398F">
            <w:pPr>
              <w:ind w:right="107"/>
              <w:rPr>
                <w:b/>
                <w:bCs/>
                <w:sz w:val="24"/>
                <w:szCs w:val="24"/>
                <w:lang w:eastAsia="zh-TW"/>
              </w:rPr>
            </w:pPr>
            <w:r>
              <w:rPr>
                <w:b/>
                <w:bCs/>
                <w:sz w:val="24"/>
                <w:szCs w:val="24"/>
                <w:lang w:eastAsia="zh-TW"/>
              </w:rPr>
              <w:t xml:space="preserve">  </w:t>
            </w:r>
          </w:p>
          <w:p w14:paraId="15B68186" w14:textId="77777777" w:rsidR="00EE398F" w:rsidRDefault="00EE398F">
            <w:pPr>
              <w:ind w:right="107"/>
              <w:rPr>
                <w:b/>
                <w:bCs/>
                <w:color w:val="000000" w:themeColor="text1"/>
                <w:sz w:val="24"/>
                <w:szCs w:val="24"/>
                <w:lang w:eastAsia="zh-TW"/>
              </w:rPr>
            </w:pPr>
          </w:p>
          <w:p w14:paraId="1593A95B" w14:textId="77777777" w:rsidR="00EE398F" w:rsidRDefault="00EE398F">
            <w:pPr>
              <w:ind w:right="107"/>
              <w:rPr>
                <w:color w:val="000000" w:themeColor="text1"/>
                <w:sz w:val="24"/>
                <w:szCs w:val="24"/>
                <w:lang w:eastAsia="zh-TW"/>
              </w:rPr>
            </w:pPr>
            <w:r>
              <w:rPr>
                <w:b/>
                <w:bCs/>
                <w:color w:val="000000" w:themeColor="text1"/>
                <w:sz w:val="24"/>
                <w:szCs w:val="24"/>
                <w:lang w:eastAsia="zh-TW"/>
              </w:rPr>
              <w:t>Critically explore</w:t>
            </w:r>
            <w:r>
              <w:rPr>
                <w:color w:val="000000" w:themeColor="text1"/>
                <w:sz w:val="24"/>
                <w:szCs w:val="24"/>
                <w:lang w:eastAsia="zh-TW"/>
              </w:rPr>
              <w:t xml:space="preserve"> a policing incident that you have attended and examine how you dealt with competing issues such as legislation, social issues, </w:t>
            </w:r>
            <w:proofErr w:type="gramStart"/>
            <w:r>
              <w:rPr>
                <w:color w:val="000000" w:themeColor="text1"/>
                <w:sz w:val="24"/>
                <w:szCs w:val="24"/>
                <w:lang w:eastAsia="zh-TW"/>
              </w:rPr>
              <w:t>culture</w:t>
            </w:r>
            <w:proofErr w:type="gramEnd"/>
            <w:r>
              <w:rPr>
                <w:color w:val="000000" w:themeColor="text1"/>
                <w:sz w:val="24"/>
                <w:szCs w:val="24"/>
                <w:lang w:eastAsia="zh-TW"/>
              </w:rPr>
              <w:t xml:space="preserve"> and language. </w:t>
            </w:r>
          </w:p>
          <w:p w14:paraId="5CD4B9F6" w14:textId="77777777" w:rsidR="00EE398F" w:rsidRDefault="00EE398F">
            <w:pPr>
              <w:ind w:right="107"/>
              <w:rPr>
                <w:color w:val="000000" w:themeColor="text1"/>
                <w:sz w:val="24"/>
                <w:szCs w:val="24"/>
                <w:lang w:eastAsia="zh-TW"/>
              </w:rPr>
            </w:pPr>
          </w:p>
          <w:p w14:paraId="67EEEB28" w14:textId="77777777" w:rsidR="00EE398F" w:rsidRDefault="00EE398F">
            <w:pPr>
              <w:ind w:right="107"/>
              <w:rPr>
                <w:color w:val="000000" w:themeColor="text1"/>
                <w:sz w:val="24"/>
                <w:szCs w:val="24"/>
                <w:lang w:eastAsia="zh-TW"/>
              </w:rPr>
            </w:pPr>
            <w:r>
              <w:rPr>
                <w:color w:val="000000" w:themeColor="text1"/>
                <w:sz w:val="24"/>
                <w:szCs w:val="24"/>
                <w:lang w:eastAsia="zh-TW"/>
              </w:rPr>
              <w:t xml:space="preserve">Consider the victims code of practice and how it was used to support your victim/witness through the criminal justice system. </w:t>
            </w:r>
          </w:p>
          <w:p w14:paraId="53C040BC" w14:textId="77777777" w:rsidR="00EE398F" w:rsidRDefault="00EE398F">
            <w:pPr>
              <w:ind w:right="107"/>
              <w:rPr>
                <w:color w:val="000000" w:themeColor="text1"/>
                <w:sz w:val="24"/>
                <w:szCs w:val="24"/>
                <w:lang w:eastAsia="zh-TW"/>
              </w:rPr>
            </w:pPr>
            <w:r>
              <w:rPr>
                <w:color w:val="000000" w:themeColor="text1"/>
                <w:sz w:val="24"/>
                <w:szCs w:val="24"/>
                <w:lang w:eastAsia="zh-TW"/>
              </w:rPr>
              <w:t xml:space="preserve"> </w:t>
            </w:r>
          </w:p>
          <w:p w14:paraId="11805905" w14:textId="77777777" w:rsidR="00EE398F" w:rsidRDefault="00EE398F">
            <w:pPr>
              <w:ind w:right="107"/>
              <w:rPr>
                <w:color w:val="000000"/>
                <w:sz w:val="24"/>
                <w:szCs w:val="24"/>
                <w:lang w:eastAsia="zh-TW"/>
              </w:rPr>
            </w:pPr>
            <w:r>
              <w:rPr>
                <w:sz w:val="24"/>
                <w:szCs w:val="24"/>
                <w:lang w:eastAsia="zh-TW"/>
              </w:rPr>
              <w:t xml:space="preserve">Your reflection must illustrate your understanding and application of core principles of ethics, equality, </w:t>
            </w:r>
            <w:proofErr w:type="gramStart"/>
            <w:r>
              <w:rPr>
                <w:sz w:val="24"/>
                <w:szCs w:val="24"/>
                <w:lang w:eastAsia="zh-TW"/>
              </w:rPr>
              <w:t>diversity</w:t>
            </w:r>
            <w:proofErr w:type="gramEnd"/>
            <w:r>
              <w:rPr>
                <w:sz w:val="24"/>
                <w:szCs w:val="24"/>
                <w:lang w:eastAsia="zh-TW"/>
              </w:rPr>
              <w:t xml:space="preserve"> and human rights.</w:t>
            </w:r>
          </w:p>
          <w:p w14:paraId="03E3DDCD" w14:textId="77777777" w:rsidR="00EE398F" w:rsidRDefault="00EE398F">
            <w:pPr>
              <w:ind w:right="107"/>
              <w:jc w:val="both"/>
              <w:rPr>
                <w:color w:val="000000" w:themeColor="text1"/>
                <w:sz w:val="24"/>
                <w:szCs w:val="24"/>
                <w:lang w:eastAsia="zh-TW"/>
              </w:rPr>
            </w:pPr>
          </w:p>
          <w:p w14:paraId="57C0B1CD" w14:textId="77777777" w:rsidR="00EE398F" w:rsidRDefault="00EE398F">
            <w:pPr>
              <w:ind w:right="107"/>
              <w:jc w:val="both"/>
              <w:rPr>
                <w:i/>
                <w:iCs/>
                <w:color w:val="000000"/>
                <w:sz w:val="24"/>
                <w:szCs w:val="24"/>
                <w:lang w:eastAsia="zh-TW"/>
              </w:rPr>
            </w:pPr>
            <w:r>
              <w:rPr>
                <w:sz w:val="24"/>
                <w:szCs w:val="24"/>
                <w:lang w:eastAsia="zh-TW"/>
              </w:rPr>
              <w:t xml:space="preserve">1750 words </w:t>
            </w:r>
            <w:r>
              <w:rPr>
                <w:i/>
                <w:iCs/>
                <w:sz w:val="24"/>
                <w:szCs w:val="24"/>
                <w:lang w:eastAsia="zh-TW"/>
              </w:rPr>
              <w:t>(+/- 10%: include your actual word count at the end of each section)</w:t>
            </w:r>
          </w:p>
          <w:p w14:paraId="1671E562" w14:textId="77777777" w:rsidR="00EE398F" w:rsidRDefault="00EE398F">
            <w:pPr>
              <w:ind w:right="107"/>
              <w:jc w:val="both"/>
              <w:rPr>
                <w:sz w:val="24"/>
                <w:szCs w:val="24"/>
                <w:lang w:eastAsia="zh-TW"/>
              </w:rPr>
            </w:pPr>
          </w:p>
        </w:tc>
      </w:tr>
    </w:tbl>
    <w:p w14:paraId="3173BFC4" w14:textId="77777777" w:rsidR="00EE398F" w:rsidRDefault="00EE398F">
      <w:pPr>
        <w:rPr>
          <w:rFonts w:ascii="Arial" w:hAnsi="Arial" w:cs="Arial"/>
          <w:b/>
          <w:bCs/>
        </w:rPr>
      </w:pPr>
    </w:p>
    <w:p w14:paraId="0E740DA8" w14:textId="77777777" w:rsidR="00EE398F" w:rsidRPr="00EE398F" w:rsidRDefault="00EE398F" w:rsidP="00EE398F">
      <w:pPr>
        <w:rPr>
          <w:color w:val="000000" w:themeColor="text1"/>
        </w:rPr>
      </w:pPr>
      <w:proofErr w:type="gramStart"/>
      <w:r w:rsidRPr="00EE398F">
        <w:rPr>
          <w:color w:val="000000" w:themeColor="text1"/>
        </w:rPr>
        <w:t>As a police officer, there</w:t>
      </w:r>
      <w:proofErr w:type="gramEnd"/>
      <w:r w:rsidRPr="00EE398F">
        <w:rPr>
          <w:color w:val="000000" w:themeColor="text1"/>
        </w:rPr>
        <w:t xml:space="preserve"> are often competing issues of legislation, social issues, culture, and language that must be navigated. It is vital that officers respond to these issues with respect and integrity acting in compliance with the Code of Ethics (2024), Human Rights Act (1998) and importantly, to secure the confidence of the public and deliver on our commitment to them as a police service (National Police Chiefs Council 2024). This essay refers to an incident I have attended as a police officer, reflecting upon the competing issues of legislation, social issues, culture, and language. I will consider the victim’s code of practice (Ministry of Justice 2020) and its role in this incident in supporting the victim. Throughout this essay, the core principles of ethics, equality, diversity, and human rights will be central as I reflect upon my decisions, skills, and the outcome of the incident. </w:t>
      </w:r>
    </w:p>
    <w:p w14:paraId="153CA1CA" w14:textId="77777777" w:rsidR="00EE398F" w:rsidRPr="00EE398F" w:rsidRDefault="00EE398F" w:rsidP="00EE398F">
      <w:pPr>
        <w:rPr>
          <w:color w:val="000000" w:themeColor="text1"/>
        </w:rPr>
      </w:pPr>
      <w:r w:rsidRPr="00EE398F">
        <w:rPr>
          <w:color w:val="000000" w:themeColor="text1"/>
        </w:rPr>
        <w:t xml:space="preserve">This essay will use Boud’s reflective model (Boud et al 2013), a cyclical model that moves through experience, </w:t>
      </w:r>
      <w:proofErr w:type="gramStart"/>
      <w:r w:rsidRPr="00EE398F">
        <w:rPr>
          <w:color w:val="000000" w:themeColor="text1"/>
        </w:rPr>
        <w:t>reflection</w:t>
      </w:r>
      <w:proofErr w:type="gramEnd"/>
      <w:r w:rsidRPr="00EE398F">
        <w:rPr>
          <w:color w:val="000000" w:themeColor="text1"/>
        </w:rPr>
        <w:t xml:space="preserve"> and specific learning. It does not have a set beginning and end </w:t>
      </w:r>
      <w:r w:rsidRPr="00EE398F">
        <w:rPr>
          <w:color w:val="000000" w:themeColor="text1"/>
        </w:rPr>
        <w:lastRenderedPageBreak/>
        <w:t xml:space="preserve">point which was particularly useful in this case as I have not moved from one set point to another and have instead moved between the points of the model fluidly throughout this experience. As such, this essay is not structed in separated parts of the model as reference is made to the experience of the incident, my reflections on reasons for my actions and how helpful they were, and signposting made to specific learning throughout. </w:t>
      </w:r>
    </w:p>
    <w:p w14:paraId="5217839B" w14:textId="77777777" w:rsidR="00EE398F" w:rsidRPr="00EE398F" w:rsidRDefault="00EE398F" w:rsidP="00EE398F">
      <w:pPr>
        <w:rPr>
          <w:color w:val="000000" w:themeColor="text1"/>
        </w:rPr>
      </w:pPr>
      <w:r w:rsidRPr="00EE398F">
        <w:rPr>
          <w:color w:val="000000" w:themeColor="text1"/>
        </w:rPr>
        <w:t xml:space="preserve">INCIDENT </w:t>
      </w:r>
    </w:p>
    <w:p w14:paraId="6B20C2DC" w14:textId="77777777" w:rsidR="00EE398F" w:rsidRPr="00EE398F" w:rsidRDefault="00EE398F" w:rsidP="00EE398F">
      <w:pPr>
        <w:rPr>
          <w:color w:val="000000" w:themeColor="text1"/>
        </w:rPr>
      </w:pPr>
      <w:r w:rsidRPr="00EE398F">
        <w:rPr>
          <w:color w:val="000000" w:themeColor="text1"/>
        </w:rPr>
        <w:t xml:space="preserve">In the public waiting area of the station at the front desk I came across two </w:t>
      </w:r>
      <w:proofErr w:type="gramStart"/>
      <w:r w:rsidRPr="00EE398F">
        <w:rPr>
          <w:color w:val="000000" w:themeColor="text1"/>
        </w:rPr>
        <w:t>male</w:t>
      </w:r>
      <w:proofErr w:type="gramEnd"/>
      <w:r w:rsidRPr="00EE398F">
        <w:rPr>
          <w:color w:val="000000" w:themeColor="text1"/>
        </w:rPr>
        <w:t xml:space="preserve">, one of the males had a bandage around his head and his right eye was swollen and bruised. I asked if they were okay and if they required any help. One of the males informed me that they needed help as police did not listen to them last night. The male spoke limited English. He appeared frustrated and desperate, but it was difficult to establish what exactly had occurred. I invited the men into the station enquiry room. I made sure I was friendly and welcoming to these men and reassured them that I would manage the issues. </w:t>
      </w:r>
    </w:p>
    <w:p w14:paraId="62E06981" w14:textId="77777777" w:rsidR="00EE398F" w:rsidRPr="00EE398F" w:rsidRDefault="00EE398F" w:rsidP="00EE398F">
      <w:pPr>
        <w:rPr>
          <w:color w:val="000000" w:themeColor="text1"/>
        </w:rPr>
      </w:pPr>
      <w:r w:rsidRPr="00EE398F">
        <w:rPr>
          <w:color w:val="000000" w:themeColor="text1"/>
        </w:rPr>
        <w:t>CODE OF ETHICS OVERVIEW- TAKING ACCOUNTABILITY</w:t>
      </w:r>
    </w:p>
    <w:p w14:paraId="563C762B" w14:textId="77777777" w:rsidR="00EE398F" w:rsidRPr="00EE398F" w:rsidRDefault="00EE398F" w:rsidP="00EE398F">
      <w:pPr>
        <w:rPr>
          <w:color w:val="000000" w:themeColor="text1"/>
        </w:rPr>
      </w:pPr>
      <w:r w:rsidRPr="00EE398F">
        <w:rPr>
          <w:color w:val="000000" w:themeColor="text1"/>
        </w:rPr>
        <w:t xml:space="preserve">The actions I take as a police officer are guided by the code of ethics (College of Policing 2024). The core principles are courage, respect and empathy, and public service. While all principles could be incorporated into this incident, courage may be seen as particularly relevant in making decisions and being accountable through taking ownership of the issue and acting with integrity. Fostering integrity is important as officers are faced with situations where discretion is required and as such, moral reasoning skills need to be strong </w:t>
      </w:r>
      <w:r w:rsidRPr="00EE398F">
        <w:rPr>
          <w:rFonts w:cstheme="minorHAnsi"/>
          <w:color w:val="000000" w:themeColor="text1"/>
        </w:rPr>
        <w:t>(</w:t>
      </w:r>
      <w:r w:rsidRPr="00EE398F">
        <w:rPr>
          <w:rFonts w:cstheme="minorHAnsi"/>
          <w:color w:val="000000" w:themeColor="text1"/>
          <w:shd w:val="clear" w:color="auto" w:fill="FFFFFF"/>
        </w:rPr>
        <w:t xml:space="preserve">De Schrijver, A. and </w:t>
      </w:r>
      <w:proofErr w:type="spellStart"/>
      <w:r w:rsidRPr="00EE398F">
        <w:rPr>
          <w:rFonts w:cstheme="minorHAnsi"/>
          <w:color w:val="000000" w:themeColor="text1"/>
          <w:shd w:val="clear" w:color="auto" w:fill="FFFFFF"/>
        </w:rPr>
        <w:t>Maesschalck</w:t>
      </w:r>
      <w:proofErr w:type="spellEnd"/>
      <w:r w:rsidRPr="00EE398F">
        <w:rPr>
          <w:rFonts w:cstheme="minorHAnsi"/>
          <w:color w:val="000000" w:themeColor="text1"/>
          <w:shd w:val="clear" w:color="auto" w:fill="FFFFFF"/>
        </w:rPr>
        <w:t>, J. 2015).</w:t>
      </w:r>
    </w:p>
    <w:p w14:paraId="688E3692" w14:textId="77777777" w:rsidR="00EE398F" w:rsidRPr="00EE398F" w:rsidRDefault="00EE398F" w:rsidP="00EE398F">
      <w:pPr>
        <w:rPr>
          <w:color w:val="000000" w:themeColor="text1"/>
        </w:rPr>
      </w:pPr>
      <w:r w:rsidRPr="00EE398F">
        <w:rPr>
          <w:color w:val="000000" w:themeColor="text1"/>
        </w:rPr>
        <w:t xml:space="preserve">My priority was the male’s injuries. The male informed me that he had not received medical attention and gestured that he had been hit in the head. Therefore, I identified that this male was a victim and that he required urgent medical attention. Head injuries pose a risk as people with head injuries are at a heightened risk of serious brain damage, requiring immediate medical attention (NHS 2022). In the worst-case scenario, this could be linked to a person’s right to life, as detailed in Article Two of the Human Rights Act (1998). While I took details of the incident, my colleague arranged for medical attention for the male to manage threat, </w:t>
      </w:r>
      <w:proofErr w:type="gramStart"/>
      <w:r w:rsidRPr="00EE398F">
        <w:rPr>
          <w:color w:val="000000" w:themeColor="text1"/>
        </w:rPr>
        <w:t>harm</w:t>
      </w:r>
      <w:proofErr w:type="gramEnd"/>
      <w:r w:rsidRPr="00EE398F">
        <w:rPr>
          <w:color w:val="000000" w:themeColor="text1"/>
        </w:rPr>
        <w:t xml:space="preserve"> and risk. Considering threat, harm and risk and conducting dynamic risk assessments is an important skill as a police officer responding to emergencies (College of Policing 2013) as we encounter risks which require ongoing management. It also enabled me to swiftly note details of the assault, a right of victims under the Victim’s Code (Ministry of Justice 2020). </w:t>
      </w:r>
    </w:p>
    <w:p w14:paraId="32D06EE8" w14:textId="77777777" w:rsidR="00EE398F" w:rsidRPr="00EE398F" w:rsidRDefault="00EE398F" w:rsidP="00EE398F">
      <w:pPr>
        <w:rPr>
          <w:color w:val="000000" w:themeColor="text1"/>
        </w:rPr>
      </w:pPr>
      <w:r w:rsidRPr="00EE398F">
        <w:rPr>
          <w:color w:val="000000" w:themeColor="text1"/>
        </w:rPr>
        <w:t xml:space="preserve">The victim’s code (Ministry of Justice 2020) sets out twelve rights that apply to victims when a crime is reported to the police and as such, I have a duty as a police officer to ensure that these needs are met. The victims code recognises any person who has suffered harm of a physical, emotional, mental, or economic nature because of a criminal offence or a close relative of person whose death caused by criminal offence. It is important to examine people I </w:t>
      </w:r>
      <w:proofErr w:type="gramStart"/>
      <w:r w:rsidRPr="00EE398F">
        <w:rPr>
          <w:color w:val="000000" w:themeColor="text1"/>
        </w:rPr>
        <w:t>come into contact with</w:t>
      </w:r>
      <w:proofErr w:type="gramEnd"/>
      <w:r w:rsidRPr="00EE398F">
        <w:rPr>
          <w:color w:val="000000" w:themeColor="text1"/>
        </w:rPr>
        <w:t xml:space="preserve"> to establish if they fall into this category as they may not recognise it themselves. It is also the responsibility of professionals to act in accordance with the victim’s act (Ministry of Justice 2020) as victims are likely to be unaware of it, as only 19% of victims have heard of it (Wedlock and Tapley 2016). I also have a duty to treat all people, including victims, in line with the public sector equality duty (Ministry of Justice 2012) which aims to eliminate discrimination, harassment, victimisation, advance equality of opportunity, foster good relations. There is further direction in the Equality Act (2010) on protected characteristics that should be </w:t>
      </w:r>
      <w:r w:rsidRPr="00EE398F">
        <w:rPr>
          <w:color w:val="000000" w:themeColor="text1"/>
        </w:rPr>
        <w:lastRenderedPageBreak/>
        <w:t>accommodated for. While no protected characteristics were identified during this incident, I was aware that there may be protected characteristics present that may be identified when more in depth conversations took place and as such, I should not rule out the need to accommodate these.</w:t>
      </w:r>
    </w:p>
    <w:p w14:paraId="013B9B64" w14:textId="77777777" w:rsidR="00EE398F" w:rsidRPr="00EE398F" w:rsidRDefault="00EE398F" w:rsidP="00EE398F">
      <w:pPr>
        <w:rPr>
          <w:color w:val="000000" w:themeColor="text1"/>
        </w:rPr>
      </w:pPr>
    </w:p>
    <w:p w14:paraId="66C50E63" w14:textId="77777777" w:rsidR="00EE398F" w:rsidRPr="00EE398F" w:rsidRDefault="00EE398F" w:rsidP="00EE398F">
      <w:pPr>
        <w:rPr>
          <w:color w:val="000000" w:themeColor="text1"/>
        </w:rPr>
      </w:pPr>
      <w:r w:rsidRPr="00EE398F">
        <w:rPr>
          <w:color w:val="000000" w:themeColor="text1"/>
        </w:rPr>
        <w:t>Seeing to managing risk was particularly challenging as the males spoke limited English and I do not speak any other language. I was able to establish that they spoke Bulgarian and swiftly contacted an interpreter service using my mobile device to facilitate communication between the males and me. This was not only helpful in establishing accurate information for risk management and evidential purposes but also, in aiming to make the males feel comfortable and accommodated for. Research has shown that being able to convey feelings in one’s first language allows for emotions to be accessed and expressed more easily than when communicated in a second language for those who do not speak the second language to a highly competent level (Eilola et al 2007). This may also be seen as in keeping with the right of victims to understand and be understood (Ministry of Justice 2020).</w:t>
      </w:r>
    </w:p>
    <w:p w14:paraId="30C5DB9C" w14:textId="77777777" w:rsidR="00EE398F" w:rsidRPr="00EE398F" w:rsidRDefault="00EE398F" w:rsidP="00EE398F">
      <w:pPr>
        <w:rPr>
          <w:color w:val="000000" w:themeColor="text1"/>
        </w:rPr>
      </w:pPr>
      <w:r w:rsidRPr="00EE398F">
        <w:rPr>
          <w:color w:val="000000" w:themeColor="text1"/>
        </w:rPr>
        <w:t>DIVERSE COMMUNITIES</w:t>
      </w:r>
    </w:p>
    <w:p w14:paraId="3186C757" w14:textId="77777777" w:rsidR="00EE398F" w:rsidRPr="00EE398F" w:rsidRDefault="00EE398F" w:rsidP="00EE398F">
      <w:pPr>
        <w:rPr>
          <w:color w:val="000000" w:themeColor="text1"/>
        </w:rPr>
      </w:pPr>
      <w:r w:rsidRPr="00EE398F">
        <w:rPr>
          <w:color w:val="000000" w:themeColor="text1"/>
        </w:rPr>
        <w:t xml:space="preserve">When working with diverse communities, </w:t>
      </w:r>
      <w:proofErr w:type="gramStart"/>
      <w:r w:rsidRPr="00EE398F">
        <w:rPr>
          <w:color w:val="000000" w:themeColor="text1"/>
        </w:rPr>
        <w:t>understanding</w:t>
      </w:r>
      <w:proofErr w:type="gramEnd"/>
      <w:r w:rsidRPr="00EE398F">
        <w:rPr>
          <w:color w:val="000000" w:themeColor="text1"/>
        </w:rPr>
        <w:t xml:space="preserve"> and recognising that diversity as a police officer is very important (Black and Kari 2010). Success in policing diverse communities begins in training (Basham 2014) and this was true for this incident as in training I heard from trainers and colleagues who expressed their firsthand experiences in coming from culturally diverse backgrounds and the challenges in not feeling included in UK culture. This then helped through giving me an awareness of these issues and as such, striving to make extra effort to reach people from diverse communities who may be feeling excluded through accommodations such as a translator to ensure full understanding without the need for them to work harder to understand the language I speak. </w:t>
      </w:r>
    </w:p>
    <w:p w14:paraId="1A9A1C04" w14:textId="77777777" w:rsidR="00EE398F" w:rsidRPr="00EE398F" w:rsidRDefault="00EE398F" w:rsidP="00EE398F">
      <w:pPr>
        <w:rPr>
          <w:color w:val="000000" w:themeColor="text1"/>
        </w:rPr>
      </w:pPr>
      <w:r w:rsidRPr="00EE398F">
        <w:rPr>
          <w:color w:val="000000" w:themeColor="text1"/>
        </w:rPr>
        <w:t xml:space="preserve">I used the interpreter service to take first accounts of the incident from the males, establishing key details </w:t>
      </w:r>
      <w:proofErr w:type="gramStart"/>
      <w:r w:rsidRPr="00EE398F">
        <w:rPr>
          <w:color w:val="000000" w:themeColor="text1"/>
        </w:rPr>
        <w:t>in order to</w:t>
      </w:r>
      <w:proofErr w:type="gramEnd"/>
      <w:r w:rsidRPr="00EE398F">
        <w:rPr>
          <w:color w:val="000000" w:themeColor="text1"/>
        </w:rPr>
        <w:t xml:space="preserve"> aid investigation and manage risk without taking a longer period of time required for obtaining statements. I was also concerned with the ethical element of taking a statement from the male with the head injuries as the victim appeared unwell and as </w:t>
      </w:r>
      <w:proofErr w:type="gramStart"/>
      <w:r w:rsidRPr="00EE398F">
        <w:rPr>
          <w:color w:val="000000" w:themeColor="text1"/>
        </w:rPr>
        <w:t>such</w:t>
      </w:r>
      <w:proofErr w:type="gramEnd"/>
      <w:r w:rsidRPr="00EE398F">
        <w:rPr>
          <w:color w:val="000000" w:themeColor="text1"/>
        </w:rPr>
        <w:t xml:space="preserve"> I felt that I would be neglecting my duty to safeguard him and that he would not be able to provide a clear account which may hinder the case in future. As I had identified this male as a victim at this point, I also had a duty to refer him to relevant support (Ministry of Justice 2020) which in this case, included medical aid. When taking the first account of the other male, it became apparent that he had also been a victim of an assault. As such, I then had a duty to also treat him in line with the victim’s code such as to have details of the crime recorded without unjustified delay (Ministry of Justice 2020). I had already been striving to treat him with respect and reassure him that his account was being noted but took extra care in doing so. </w:t>
      </w:r>
    </w:p>
    <w:p w14:paraId="25317CE7" w14:textId="77777777" w:rsidR="00EE398F" w:rsidRPr="00EE398F" w:rsidRDefault="00EE398F" w:rsidP="00EE398F">
      <w:pPr>
        <w:rPr>
          <w:color w:val="000000" w:themeColor="text1"/>
        </w:rPr>
      </w:pPr>
      <w:r w:rsidRPr="00EE398F">
        <w:rPr>
          <w:color w:val="000000" w:themeColor="text1"/>
        </w:rPr>
        <w:t>While obtaining first accounts, I was checking in with the injured male and paying close attention to his welfare. Throughout, the males were both becoming upset and frustrated periodically. This was challenging to navigate through an interpreter, particularly as I was keen to complete the accounts as quickly as possible to allow the injured male to receive medical attention. I was however sure to be attentive to the perspective of the victims, considering that they likely wanted to feel heard by officers (Ricciardelli et al 2021) and needed to be able to express their feelings (</w:t>
      </w:r>
      <w:proofErr w:type="spellStart"/>
      <w:r w:rsidRPr="00EE398F">
        <w:rPr>
          <w:color w:val="000000" w:themeColor="text1"/>
        </w:rPr>
        <w:t>Stokkom</w:t>
      </w:r>
      <w:proofErr w:type="spellEnd"/>
      <w:r w:rsidRPr="00EE398F">
        <w:rPr>
          <w:color w:val="000000" w:themeColor="text1"/>
        </w:rPr>
        <w:t xml:space="preserve"> 2013). As such, I used the LEAPS active listening model (College </w:t>
      </w:r>
      <w:r w:rsidRPr="00EE398F">
        <w:rPr>
          <w:color w:val="000000" w:themeColor="text1"/>
        </w:rPr>
        <w:lastRenderedPageBreak/>
        <w:t xml:space="preserve">of Policing 2020) to affirm their feelings, validate and reassure and to allow us to move forward. The victims also expressed feeling let down by police in the UK and frustrated that they had only recently travelled to the UK and did not feel protected at a time of need. Research has shown that trust in the police in the UK is extremely low (Dodd 2024) thus it was important for me to act with the upmost care and integrity to counter this. I made sure to ask the interpreter to convey my apologies that the victims felt let down by the initial police reaction and to reassure them that we would be doing our best going forward. </w:t>
      </w:r>
    </w:p>
    <w:p w14:paraId="76916D47" w14:textId="77777777" w:rsidR="00EE398F" w:rsidRPr="00EE398F" w:rsidRDefault="00EE398F" w:rsidP="00EE398F">
      <w:pPr>
        <w:rPr>
          <w:color w:val="000000" w:themeColor="text1"/>
        </w:rPr>
      </w:pPr>
      <w:r w:rsidRPr="00EE398F">
        <w:rPr>
          <w:color w:val="000000" w:themeColor="text1"/>
        </w:rPr>
        <w:t xml:space="preserve">Once permission was given, we conveyed the male to hospital, waited with him until he was triaged and then took the required photograph of the injury. I checked in with the male and made sure that he understood what was happening, along with explaining the issue to the medical staff. I made sure that the male had his friend with him prior to officers leaving. I handed the victims a written note with the relevant information when they got back in touch with officers once fit and well. Both males were happy with this, and I left the hospital, updating the relevant Detective Sergeant to ensure that officers best trained to investigate the offences would be working with the victims. </w:t>
      </w:r>
    </w:p>
    <w:p w14:paraId="441A21F2" w14:textId="77777777" w:rsidR="00EE398F" w:rsidRPr="00B21DB6" w:rsidRDefault="00EE398F" w:rsidP="00EE398F">
      <w:pPr>
        <w:rPr>
          <w:color w:val="000000" w:themeColor="text1"/>
        </w:rPr>
      </w:pPr>
    </w:p>
    <w:p w14:paraId="16F27897" w14:textId="77777777" w:rsidR="00EE398F" w:rsidRDefault="00EE398F">
      <w:pPr>
        <w:rPr>
          <w:rFonts w:ascii="Arial" w:hAnsi="Arial" w:cs="Arial"/>
          <w:b/>
          <w:bCs/>
        </w:rPr>
      </w:pPr>
    </w:p>
    <w:p w14:paraId="02D110F0" w14:textId="77777777" w:rsidR="00EE398F" w:rsidRDefault="00EE398F">
      <w:pPr>
        <w:rPr>
          <w:rFonts w:ascii="Arial" w:hAnsi="Arial" w:cs="Arial"/>
          <w:b/>
          <w:bCs/>
        </w:rPr>
      </w:pPr>
    </w:p>
    <w:p w14:paraId="08F6BB48" w14:textId="77777777" w:rsidR="00EE398F" w:rsidRDefault="00EE398F">
      <w:pPr>
        <w:rPr>
          <w:rFonts w:ascii="Arial" w:hAnsi="Arial" w:cs="Arial"/>
          <w:b/>
          <w:bCs/>
        </w:rPr>
      </w:pPr>
    </w:p>
    <w:p w14:paraId="250EFF85" w14:textId="77777777" w:rsidR="00EE398F" w:rsidRDefault="00EE398F">
      <w:pPr>
        <w:rPr>
          <w:rFonts w:ascii="Arial" w:hAnsi="Arial" w:cs="Arial"/>
          <w:b/>
          <w:bCs/>
        </w:rPr>
      </w:pPr>
    </w:p>
    <w:p w14:paraId="3AA72966" w14:textId="77777777" w:rsidR="00EE398F" w:rsidRDefault="00EE398F">
      <w:pPr>
        <w:rPr>
          <w:rFonts w:ascii="Arial" w:hAnsi="Arial" w:cs="Arial"/>
          <w:b/>
          <w:bCs/>
        </w:rPr>
      </w:pPr>
    </w:p>
    <w:p w14:paraId="30DA9823" w14:textId="77777777" w:rsidR="00EE398F" w:rsidRDefault="00EE398F">
      <w:pPr>
        <w:rPr>
          <w:rFonts w:ascii="Arial" w:hAnsi="Arial" w:cs="Arial"/>
          <w:b/>
          <w:bCs/>
        </w:rPr>
      </w:pPr>
    </w:p>
    <w:p w14:paraId="45C7ED23" w14:textId="77777777" w:rsidR="00EE398F" w:rsidRDefault="00EE398F">
      <w:pPr>
        <w:rPr>
          <w:rFonts w:ascii="Arial" w:hAnsi="Arial" w:cs="Arial"/>
          <w:b/>
          <w:bCs/>
        </w:rPr>
      </w:pPr>
    </w:p>
    <w:p w14:paraId="586D584A" w14:textId="77777777" w:rsidR="00EE398F" w:rsidRDefault="00EE398F">
      <w:pPr>
        <w:rPr>
          <w:rFonts w:ascii="Arial" w:hAnsi="Arial" w:cs="Arial"/>
          <w:b/>
          <w:bCs/>
        </w:rPr>
      </w:pPr>
    </w:p>
    <w:p w14:paraId="5285F946" w14:textId="77777777" w:rsidR="00EE398F" w:rsidRDefault="00EE398F">
      <w:pPr>
        <w:rPr>
          <w:rFonts w:ascii="Arial" w:hAnsi="Arial" w:cs="Arial"/>
          <w:b/>
          <w:bCs/>
        </w:rPr>
      </w:pPr>
    </w:p>
    <w:p w14:paraId="31A438DA" w14:textId="77777777" w:rsidR="00EE398F" w:rsidRDefault="00EE398F">
      <w:pPr>
        <w:rPr>
          <w:rFonts w:ascii="Arial" w:hAnsi="Arial" w:cs="Arial"/>
          <w:b/>
          <w:bCs/>
        </w:rPr>
      </w:pPr>
    </w:p>
    <w:p w14:paraId="37F17E3B" w14:textId="77777777" w:rsidR="00EE398F" w:rsidRDefault="00EE398F">
      <w:pPr>
        <w:rPr>
          <w:rFonts w:ascii="Arial" w:hAnsi="Arial" w:cs="Arial"/>
          <w:b/>
          <w:bCs/>
        </w:rPr>
      </w:pPr>
    </w:p>
    <w:p w14:paraId="638A2278" w14:textId="77777777" w:rsidR="00EE398F" w:rsidRDefault="00EE398F">
      <w:pPr>
        <w:rPr>
          <w:rFonts w:ascii="Arial" w:hAnsi="Arial" w:cs="Arial"/>
          <w:b/>
          <w:bCs/>
        </w:rPr>
      </w:pPr>
    </w:p>
    <w:p w14:paraId="0D3ABBEF" w14:textId="77777777" w:rsidR="00EE398F" w:rsidRDefault="00EE398F">
      <w:pPr>
        <w:rPr>
          <w:rFonts w:ascii="Arial" w:hAnsi="Arial" w:cs="Arial"/>
          <w:b/>
          <w:bCs/>
        </w:rPr>
      </w:pPr>
    </w:p>
    <w:p w14:paraId="74BB3449" w14:textId="77777777" w:rsidR="00EE398F" w:rsidRDefault="00EE398F">
      <w:pPr>
        <w:rPr>
          <w:rFonts w:ascii="Arial" w:hAnsi="Arial" w:cs="Arial"/>
          <w:b/>
          <w:bCs/>
        </w:rPr>
      </w:pPr>
    </w:p>
    <w:p w14:paraId="29396A9D" w14:textId="77777777" w:rsidR="00EE398F" w:rsidRDefault="00EE398F">
      <w:pPr>
        <w:rPr>
          <w:rFonts w:ascii="Arial" w:hAnsi="Arial" w:cs="Arial"/>
          <w:b/>
          <w:bCs/>
        </w:rPr>
      </w:pPr>
    </w:p>
    <w:p w14:paraId="31C841E8" w14:textId="77777777" w:rsidR="00EE398F" w:rsidRDefault="00EE398F">
      <w:pPr>
        <w:rPr>
          <w:rFonts w:ascii="Arial" w:hAnsi="Arial" w:cs="Arial"/>
          <w:b/>
          <w:bCs/>
        </w:rPr>
      </w:pPr>
    </w:p>
    <w:p w14:paraId="77C2602F" w14:textId="77777777" w:rsidR="00EE398F" w:rsidRDefault="00EE398F">
      <w:pPr>
        <w:rPr>
          <w:rFonts w:ascii="Arial" w:hAnsi="Arial" w:cs="Arial"/>
          <w:b/>
          <w:bCs/>
        </w:rPr>
      </w:pPr>
    </w:p>
    <w:p w14:paraId="12510232" w14:textId="77777777" w:rsidR="00EE398F" w:rsidRDefault="00EE398F">
      <w:pPr>
        <w:rPr>
          <w:rFonts w:ascii="Arial" w:hAnsi="Arial" w:cs="Arial"/>
          <w:b/>
          <w:bCs/>
        </w:rPr>
      </w:pPr>
    </w:p>
    <w:p w14:paraId="22791A5A" w14:textId="77777777" w:rsidR="00EE398F" w:rsidRDefault="00EE398F">
      <w:pPr>
        <w:rPr>
          <w:rFonts w:ascii="Arial" w:hAnsi="Arial" w:cs="Arial"/>
          <w:b/>
          <w:bCs/>
        </w:rPr>
      </w:pPr>
    </w:p>
    <w:p w14:paraId="370C7780" w14:textId="77777777" w:rsidR="00EE398F" w:rsidRDefault="00EE398F">
      <w:pPr>
        <w:rPr>
          <w:rFonts w:ascii="Arial" w:hAnsi="Arial" w:cs="Arial"/>
          <w:b/>
          <w:bCs/>
        </w:rPr>
      </w:pPr>
    </w:p>
    <w:p w14:paraId="3F9A1A52" w14:textId="31F002EE" w:rsidR="00EE398F" w:rsidRPr="00EE398F" w:rsidRDefault="00EE398F">
      <w:pPr>
        <w:rPr>
          <w:rFonts w:ascii="Arial" w:hAnsi="Arial" w:cs="Arial"/>
          <w:b/>
          <w:bCs/>
        </w:rPr>
      </w:pPr>
      <w:r w:rsidRPr="00EE398F">
        <w:rPr>
          <w:rFonts w:ascii="Arial" w:hAnsi="Arial" w:cs="Arial"/>
          <w:b/>
          <w:bCs/>
        </w:rPr>
        <w:lastRenderedPageBreak/>
        <w:t>References:</w:t>
      </w:r>
    </w:p>
    <w:p w14:paraId="15F08945" w14:textId="77777777" w:rsidR="00EE398F" w:rsidRPr="00EE398F" w:rsidRDefault="00EE398F" w:rsidP="00EE398F">
      <w:pPr>
        <w:rPr>
          <w:rFonts w:ascii="Arial" w:hAnsi="Arial" w:cs="Arial"/>
        </w:rPr>
      </w:pPr>
      <w:r w:rsidRPr="00EE398F">
        <w:rPr>
          <w:rFonts w:ascii="Arial" w:hAnsi="Arial" w:cs="Arial"/>
          <w:color w:val="333333"/>
          <w:shd w:val="clear" w:color="auto" w:fill="FFFFFF"/>
        </w:rPr>
        <w:t xml:space="preserve">Andersen, J. P., &amp; </w:t>
      </w:r>
      <w:proofErr w:type="spellStart"/>
      <w:r w:rsidRPr="00EE398F">
        <w:rPr>
          <w:rFonts w:ascii="Arial" w:hAnsi="Arial" w:cs="Arial"/>
          <w:color w:val="333333"/>
          <w:shd w:val="clear" w:color="auto" w:fill="FFFFFF"/>
        </w:rPr>
        <w:t>Gustafsberg</w:t>
      </w:r>
      <w:proofErr w:type="spellEnd"/>
      <w:r w:rsidRPr="00EE398F">
        <w:rPr>
          <w:rFonts w:ascii="Arial" w:hAnsi="Arial" w:cs="Arial"/>
          <w:color w:val="333333"/>
          <w:shd w:val="clear" w:color="auto" w:fill="FFFFFF"/>
        </w:rPr>
        <w:t>, H. (2016). A Training Method to Improve Police Use of Force Decision Making: A Randomized Controlled Trial. </w:t>
      </w:r>
      <w:r w:rsidRPr="00EE398F">
        <w:rPr>
          <w:rFonts w:ascii="Arial" w:hAnsi="Arial" w:cs="Arial"/>
          <w:i/>
          <w:iCs/>
          <w:color w:val="333333"/>
          <w:shd w:val="clear" w:color="auto" w:fill="FFFFFF"/>
        </w:rPr>
        <w:t>Sage Open</w:t>
      </w:r>
      <w:r w:rsidRPr="00EE398F">
        <w:rPr>
          <w:rFonts w:ascii="Arial" w:hAnsi="Arial" w:cs="Arial"/>
          <w:color w:val="333333"/>
          <w:shd w:val="clear" w:color="auto" w:fill="FFFFFF"/>
        </w:rPr>
        <w:t>, </w:t>
      </w:r>
      <w:r w:rsidRPr="00EE398F">
        <w:rPr>
          <w:rFonts w:ascii="Arial" w:hAnsi="Arial" w:cs="Arial"/>
          <w:i/>
          <w:iCs/>
          <w:color w:val="333333"/>
          <w:shd w:val="clear" w:color="auto" w:fill="FFFFFF"/>
        </w:rPr>
        <w:t>6</w:t>
      </w:r>
      <w:r w:rsidRPr="00EE398F">
        <w:rPr>
          <w:rFonts w:ascii="Arial" w:hAnsi="Arial" w:cs="Arial"/>
          <w:color w:val="333333"/>
          <w:shd w:val="clear" w:color="auto" w:fill="FFFFFF"/>
        </w:rPr>
        <w:t>(2). </w:t>
      </w:r>
      <w:hyperlink r:id="rId4" w:history="1">
        <w:r w:rsidRPr="00EE398F">
          <w:rPr>
            <w:rStyle w:val="Hyperlink"/>
            <w:rFonts w:ascii="Arial" w:hAnsi="Arial" w:cs="Arial"/>
            <w:color w:val="006ACC"/>
            <w:shd w:val="clear" w:color="auto" w:fill="FFFFFF"/>
          </w:rPr>
          <w:t>https://doi.org/10.1177/2158244016638708</w:t>
        </w:r>
      </w:hyperlink>
    </w:p>
    <w:p w14:paraId="47CEC880" w14:textId="77777777" w:rsidR="00EE398F" w:rsidRPr="00EE398F" w:rsidRDefault="00EE398F" w:rsidP="00EE398F">
      <w:pPr>
        <w:rPr>
          <w:rFonts w:ascii="Arial" w:hAnsi="Arial" w:cs="Arial"/>
        </w:rPr>
      </w:pPr>
      <w:r w:rsidRPr="00EE398F">
        <w:rPr>
          <w:rFonts w:ascii="Arial" w:hAnsi="Arial" w:cs="Arial"/>
          <w:color w:val="333333"/>
          <w:shd w:val="clear" w:color="auto" w:fill="FFFFFF"/>
        </w:rPr>
        <w:t xml:space="preserve">Andersen, J. P., &amp; </w:t>
      </w:r>
      <w:proofErr w:type="spellStart"/>
      <w:r w:rsidRPr="00EE398F">
        <w:rPr>
          <w:rFonts w:ascii="Arial" w:hAnsi="Arial" w:cs="Arial"/>
          <w:color w:val="333333"/>
          <w:shd w:val="clear" w:color="auto" w:fill="FFFFFF"/>
        </w:rPr>
        <w:t>Gustafsberg</w:t>
      </w:r>
      <w:proofErr w:type="spellEnd"/>
      <w:r w:rsidRPr="00EE398F">
        <w:rPr>
          <w:rFonts w:ascii="Arial" w:hAnsi="Arial" w:cs="Arial"/>
          <w:color w:val="333333"/>
          <w:shd w:val="clear" w:color="auto" w:fill="FFFFFF"/>
        </w:rPr>
        <w:t>, H. (2016). A Training Method to Improve Police Use of Force Decision Making: A Randomized Controlled Trial. </w:t>
      </w:r>
      <w:r w:rsidRPr="00EE398F">
        <w:rPr>
          <w:rFonts w:ascii="Arial" w:hAnsi="Arial" w:cs="Arial"/>
          <w:i/>
          <w:iCs/>
          <w:color w:val="333333"/>
          <w:shd w:val="clear" w:color="auto" w:fill="FFFFFF"/>
        </w:rPr>
        <w:t>Sage Open</w:t>
      </w:r>
      <w:r w:rsidRPr="00EE398F">
        <w:rPr>
          <w:rFonts w:ascii="Arial" w:hAnsi="Arial" w:cs="Arial"/>
          <w:color w:val="333333"/>
          <w:shd w:val="clear" w:color="auto" w:fill="FFFFFF"/>
        </w:rPr>
        <w:t>, </w:t>
      </w:r>
      <w:r w:rsidRPr="00EE398F">
        <w:rPr>
          <w:rFonts w:ascii="Arial" w:hAnsi="Arial" w:cs="Arial"/>
          <w:i/>
          <w:iCs/>
          <w:color w:val="333333"/>
          <w:shd w:val="clear" w:color="auto" w:fill="FFFFFF"/>
        </w:rPr>
        <w:t>6</w:t>
      </w:r>
      <w:r w:rsidRPr="00EE398F">
        <w:rPr>
          <w:rFonts w:ascii="Arial" w:hAnsi="Arial" w:cs="Arial"/>
          <w:color w:val="333333"/>
          <w:shd w:val="clear" w:color="auto" w:fill="FFFFFF"/>
        </w:rPr>
        <w:t>(2). </w:t>
      </w:r>
      <w:hyperlink r:id="rId5" w:history="1">
        <w:r w:rsidRPr="00EE398F">
          <w:rPr>
            <w:rStyle w:val="Hyperlink"/>
            <w:rFonts w:ascii="Arial" w:hAnsi="Arial" w:cs="Arial"/>
            <w:color w:val="006ACC"/>
            <w:shd w:val="clear" w:color="auto" w:fill="FFFFFF"/>
          </w:rPr>
          <w:t>https://doi.org/10.1177/2158244016638708</w:t>
        </w:r>
      </w:hyperlink>
    </w:p>
    <w:p w14:paraId="62EEA553" w14:textId="77777777" w:rsidR="00EE398F" w:rsidRPr="00EE398F" w:rsidRDefault="00EE398F" w:rsidP="00EE398F">
      <w:pPr>
        <w:rPr>
          <w:rFonts w:ascii="Arial" w:hAnsi="Arial" w:cs="Arial"/>
          <w:color w:val="333333"/>
          <w:shd w:val="clear" w:color="auto" w:fill="FFFFFF"/>
        </w:rPr>
      </w:pPr>
      <w:r w:rsidRPr="00EE398F">
        <w:rPr>
          <w:rFonts w:ascii="Arial" w:hAnsi="Arial" w:cs="Arial"/>
          <w:color w:val="333333"/>
          <w:shd w:val="clear" w:color="auto" w:fill="FFFFFF"/>
        </w:rPr>
        <w:t>Basham B. R. (2014). Police instructor or police educator? </w:t>
      </w:r>
      <w:r w:rsidRPr="00EE398F">
        <w:rPr>
          <w:rStyle w:val="Emphasis"/>
          <w:rFonts w:ascii="Arial" w:hAnsi="Arial" w:cs="Arial"/>
          <w:color w:val="333333"/>
          <w:shd w:val="clear" w:color="auto" w:fill="FFFFFF"/>
        </w:rPr>
        <w:t>Salus Journal</w:t>
      </w:r>
      <w:r w:rsidRPr="00EE398F">
        <w:rPr>
          <w:rFonts w:ascii="Arial" w:hAnsi="Arial" w:cs="Arial"/>
          <w:color w:val="333333"/>
          <w:shd w:val="clear" w:color="auto" w:fill="FFFFFF"/>
        </w:rPr>
        <w:t>, 2, 99-109.</w:t>
      </w:r>
    </w:p>
    <w:p w14:paraId="78493E49" w14:textId="77777777" w:rsidR="00EE398F" w:rsidRPr="00EE398F" w:rsidRDefault="00EE398F" w:rsidP="00EE398F">
      <w:pPr>
        <w:rPr>
          <w:rStyle w:val="Hyperlink"/>
          <w:rFonts w:ascii="Arial" w:hAnsi="Arial" w:cs="Arial"/>
        </w:rPr>
      </w:pPr>
      <w:r w:rsidRPr="00EE398F">
        <w:rPr>
          <w:rFonts w:ascii="Arial" w:hAnsi="Arial" w:cs="Arial"/>
          <w:color w:val="222222"/>
          <w:shd w:val="clear" w:color="auto" w:fill="FFFFFF"/>
        </w:rPr>
        <w:t xml:space="preserve">BBC (2024) </w:t>
      </w:r>
      <w:r w:rsidRPr="00EE398F">
        <w:rPr>
          <w:rFonts w:ascii="Arial" w:hAnsi="Arial" w:cs="Arial"/>
          <w:i/>
          <w:iCs/>
          <w:color w:val="222222"/>
          <w:shd w:val="clear" w:color="auto" w:fill="FFFFFF"/>
        </w:rPr>
        <w:t>Enfield: Met Police Officer seriously injured in stabbing</w:t>
      </w:r>
      <w:r w:rsidRPr="00EE398F">
        <w:rPr>
          <w:rFonts w:ascii="Arial" w:hAnsi="Arial" w:cs="Arial"/>
          <w:color w:val="222222"/>
          <w:shd w:val="clear" w:color="auto" w:fill="FFFFFF"/>
        </w:rPr>
        <w:t xml:space="preserve">. Available at: </w:t>
      </w:r>
      <w:hyperlink r:id="rId6" w:history="1">
        <w:r w:rsidRPr="00EE398F">
          <w:rPr>
            <w:rStyle w:val="Hyperlink"/>
            <w:rFonts w:ascii="Arial" w:hAnsi="Arial" w:cs="Arial"/>
          </w:rPr>
          <w:t>Enfield: Met Police officer seriously injured in stabbing - BBC News</w:t>
        </w:r>
      </w:hyperlink>
    </w:p>
    <w:p w14:paraId="2CE76E42" w14:textId="77777777" w:rsidR="00EE398F" w:rsidRPr="00EE398F" w:rsidRDefault="00EE398F" w:rsidP="00EE398F">
      <w:pPr>
        <w:rPr>
          <w:rStyle w:val="Hyperlink"/>
          <w:rFonts w:ascii="Arial" w:hAnsi="Arial" w:cs="Arial"/>
        </w:rPr>
      </w:pPr>
      <w:r w:rsidRPr="00EE398F">
        <w:rPr>
          <w:rFonts w:ascii="Arial" w:hAnsi="Arial" w:cs="Arial"/>
          <w:color w:val="222222"/>
          <w:shd w:val="clear" w:color="auto" w:fill="FFFFFF"/>
        </w:rPr>
        <w:t xml:space="preserve">BBC (2024) </w:t>
      </w:r>
      <w:r w:rsidRPr="00EE398F">
        <w:rPr>
          <w:rFonts w:ascii="Arial" w:hAnsi="Arial" w:cs="Arial"/>
          <w:i/>
          <w:iCs/>
          <w:color w:val="222222"/>
          <w:shd w:val="clear" w:color="auto" w:fill="FFFFFF"/>
        </w:rPr>
        <w:t>Enfield: Met Police Officer seriously injured in stabbing</w:t>
      </w:r>
      <w:r w:rsidRPr="00EE398F">
        <w:rPr>
          <w:rFonts w:ascii="Arial" w:hAnsi="Arial" w:cs="Arial"/>
          <w:color w:val="222222"/>
          <w:shd w:val="clear" w:color="auto" w:fill="FFFFFF"/>
        </w:rPr>
        <w:t xml:space="preserve">. Available at: </w:t>
      </w:r>
      <w:hyperlink r:id="rId7" w:history="1">
        <w:r w:rsidRPr="00EE398F">
          <w:rPr>
            <w:rStyle w:val="Hyperlink"/>
            <w:rFonts w:ascii="Arial" w:hAnsi="Arial" w:cs="Arial"/>
          </w:rPr>
          <w:t>Enfield: Met Police officer seriously injured in stabbing - BBC News</w:t>
        </w:r>
      </w:hyperlink>
    </w:p>
    <w:p w14:paraId="457D97A4"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 xml:space="preserve">Black, P.J. and Kari, C.J. (2010) “Policing Diverse Communities: Do Gender and Minority Status Make a </w:t>
      </w:r>
      <w:proofErr w:type="gramStart"/>
      <w:r w:rsidRPr="00EE398F">
        <w:rPr>
          <w:rFonts w:ascii="Arial" w:hAnsi="Arial" w:cs="Arial"/>
          <w:color w:val="3A3A3A"/>
          <w:sz w:val="23"/>
          <w:szCs w:val="23"/>
          <w:shd w:val="clear" w:color="auto" w:fill="FFFFFF"/>
        </w:rPr>
        <w:t>Difference?,</w:t>
      </w:r>
      <w:proofErr w:type="gramEnd"/>
      <w:r w:rsidRPr="00EE398F">
        <w:rPr>
          <w:rFonts w:ascii="Arial" w:hAnsi="Arial" w:cs="Arial"/>
          <w:color w:val="3A3A3A"/>
          <w:sz w:val="23"/>
          <w:szCs w:val="23"/>
          <w:shd w:val="clear" w:color="auto" w:fill="FFFFFF"/>
        </w:rPr>
        <w:t>” </w:t>
      </w:r>
      <w:r w:rsidRPr="00EE398F">
        <w:rPr>
          <w:rFonts w:ascii="Arial" w:hAnsi="Arial" w:cs="Arial"/>
          <w:i/>
          <w:iCs/>
          <w:color w:val="3A3A3A"/>
          <w:sz w:val="23"/>
          <w:szCs w:val="23"/>
          <w:shd w:val="clear" w:color="auto" w:fill="FFFFFF"/>
        </w:rPr>
        <w:t>Journal of ethnicity in criminal justice</w:t>
      </w:r>
      <w:r w:rsidRPr="00EE398F">
        <w:rPr>
          <w:rFonts w:ascii="Arial" w:hAnsi="Arial" w:cs="Arial"/>
          <w:color w:val="3A3A3A"/>
          <w:sz w:val="23"/>
          <w:szCs w:val="23"/>
          <w:shd w:val="clear" w:color="auto" w:fill="FFFFFF"/>
        </w:rPr>
        <w:t xml:space="preserve">, 8(3), pp. 216–229. Available at: </w:t>
      </w:r>
      <w:hyperlink r:id="rId8" w:history="1">
        <w:r w:rsidRPr="00EE398F">
          <w:rPr>
            <w:rStyle w:val="Hyperlink"/>
            <w:rFonts w:ascii="Arial" w:hAnsi="Arial" w:cs="Arial"/>
            <w:sz w:val="23"/>
            <w:szCs w:val="23"/>
            <w:shd w:val="clear" w:color="auto" w:fill="FFFFFF"/>
          </w:rPr>
          <w:t>https://doi.org/10.1080/15377938.2010.502848</w:t>
        </w:r>
      </w:hyperlink>
      <w:r w:rsidRPr="00EE398F">
        <w:rPr>
          <w:rFonts w:ascii="Arial" w:hAnsi="Arial" w:cs="Arial"/>
          <w:color w:val="3A3A3A"/>
          <w:sz w:val="23"/>
          <w:szCs w:val="23"/>
          <w:shd w:val="clear" w:color="auto" w:fill="FFFFFF"/>
        </w:rPr>
        <w:t>.</w:t>
      </w:r>
    </w:p>
    <w:p w14:paraId="7E2F5B38"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rPr>
        <w:t>Bond, F. W., &amp; Bunce, D. (2000). Mediators of change in emotion-focused and problem-focused worksite stress management interventions. Journal of Occupational Health Psychology, 5, 156–163</w:t>
      </w:r>
    </w:p>
    <w:p w14:paraId="79CB8214" w14:textId="77777777" w:rsidR="00EE398F" w:rsidRPr="00EE398F" w:rsidRDefault="00EE398F" w:rsidP="00EE398F">
      <w:pPr>
        <w:rPr>
          <w:rFonts w:ascii="Arial" w:hAnsi="Arial" w:cs="Arial"/>
        </w:rPr>
      </w:pPr>
      <w:r w:rsidRPr="00EE398F">
        <w:rPr>
          <w:rFonts w:ascii="Arial" w:hAnsi="Arial" w:cs="Arial"/>
          <w:color w:val="222222"/>
          <w:sz w:val="20"/>
          <w:szCs w:val="20"/>
          <w:shd w:val="clear" w:color="auto" w:fill="FFFFFF"/>
        </w:rPr>
        <w:t>Boud, D., Keogh, R. and Walker, D., (2013). </w:t>
      </w:r>
      <w:r w:rsidRPr="00EE398F">
        <w:rPr>
          <w:rFonts w:ascii="Arial" w:hAnsi="Arial" w:cs="Arial"/>
          <w:i/>
          <w:iCs/>
          <w:color w:val="222222"/>
          <w:sz w:val="20"/>
          <w:szCs w:val="20"/>
          <w:shd w:val="clear" w:color="auto" w:fill="FFFFFF"/>
        </w:rPr>
        <w:t>Reflection: Turning experience into learning</w:t>
      </w:r>
      <w:r w:rsidRPr="00EE398F">
        <w:rPr>
          <w:rFonts w:ascii="Arial" w:hAnsi="Arial" w:cs="Arial"/>
          <w:color w:val="222222"/>
          <w:sz w:val="20"/>
          <w:szCs w:val="20"/>
          <w:shd w:val="clear" w:color="auto" w:fill="FFFFFF"/>
        </w:rPr>
        <w:t xml:space="preserve">. Routledge. Available at: </w:t>
      </w:r>
      <w:hyperlink r:id="rId9" w:history="1">
        <w:r w:rsidRPr="00EE398F">
          <w:rPr>
            <w:rStyle w:val="Hyperlink"/>
            <w:rFonts w:ascii="Arial" w:hAnsi="Arial" w:cs="Arial"/>
          </w:rPr>
          <w:t>10.4324_9781315059051_previewpdf.pdf</w:t>
        </w:r>
      </w:hyperlink>
    </w:p>
    <w:p w14:paraId="0F4A3A85" w14:textId="77777777" w:rsidR="00EE398F" w:rsidRPr="00EE398F" w:rsidRDefault="00EE398F" w:rsidP="00EE398F">
      <w:pPr>
        <w:rPr>
          <w:rFonts w:ascii="Arial" w:hAnsi="Arial" w:cs="Arial"/>
        </w:rPr>
      </w:pPr>
      <w:r w:rsidRPr="00EE398F">
        <w:rPr>
          <w:rFonts w:ascii="Arial" w:hAnsi="Arial" w:cs="Arial"/>
        </w:rPr>
        <w:t xml:space="preserve">Brunner, E.J., </w:t>
      </w:r>
      <w:proofErr w:type="spellStart"/>
      <w:r w:rsidRPr="00EE398F">
        <w:rPr>
          <w:rFonts w:ascii="Arial" w:hAnsi="Arial" w:cs="Arial"/>
        </w:rPr>
        <w:t>Kivima¨ki</w:t>
      </w:r>
      <w:proofErr w:type="spellEnd"/>
      <w:r w:rsidRPr="00EE398F">
        <w:rPr>
          <w:rFonts w:ascii="Arial" w:hAnsi="Arial" w:cs="Arial"/>
        </w:rPr>
        <w:t xml:space="preserve">, M., Siegrist, J., Theorell, T., Luukkonen, R., </w:t>
      </w:r>
      <w:proofErr w:type="spellStart"/>
      <w:r w:rsidRPr="00EE398F">
        <w:rPr>
          <w:rFonts w:ascii="Arial" w:hAnsi="Arial" w:cs="Arial"/>
        </w:rPr>
        <w:t>Riihima¨ki</w:t>
      </w:r>
      <w:proofErr w:type="spellEnd"/>
      <w:r w:rsidRPr="00EE398F">
        <w:rPr>
          <w:rFonts w:ascii="Arial" w:hAnsi="Arial" w:cs="Arial"/>
        </w:rPr>
        <w:t>, H., ...Leino-Arjas, P. (2004). Is the effect of work stress on cardiovascular mortality confounded by socioeconomic factors in the Valmet study? Journal of Epidemiology and Community Health, 58, 1019–1020.</w:t>
      </w:r>
    </w:p>
    <w:p w14:paraId="2DB3C088" w14:textId="77777777" w:rsidR="00EE398F" w:rsidRPr="00EE398F" w:rsidRDefault="00EE398F" w:rsidP="00EE398F">
      <w:pPr>
        <w:rPr>
          <w:rFonts w:ascii="Arial" w:hAnsi="Arial" w:cs="Arial"/>
          <w:color w:val="282828"/>
          <w:shd w:val="clear" w:color="auto" w:fill="F7F7F7"/>
        </w:rPr>
      </w:pPr>
      <w:r w:rsidRPr="00EE398F">
        <w:rPr>
          <w:rFonts w:ascii="Arial" w:hAnsi="Arial" w:cs="Arial"/>
          <w:color w:val="282828"/>
          <w:shd w:val="clear" w:color="auto" w:fill="F7F7F7"/>
        </w:rPr>
        <w:t>Carmack, C. L., de Moor, C., Boudreaux, E., Amaral-Melendez, M., and Brantley, P. J. (1999). Aerobic fitness and leisure physical activity as moderators of the stress-illness relation. </w:t>
      </w:r>
      <w:r w:rsidRPr="00EE398F">
        <w:rPr>
          <w:rFonts w:ascii="Arial" w:hAnsi="Arial" w:cs="Arial"/>
          <w:i/>
          <w:iCs/>
          <w:color w:val="282828"/>
          <w:shd w:val="clear" w:color="auto" w:fill="F7F7F7"/>
        </w:rPr>
        <w:t xml:space="preserve">Ann. </w:t>
      </w:r>
      <w:proofErr w:type="spellStart"/>
      <w:r w:rsidRPr="00EE398F">
        <w:rPr>
          <w:rFonts w:ascii="Arial" w:hAnsi="Arial" w:cs="Arial"/>
          <w:i/>
          <w:iCs/>
          <w:color w:val="282828"/>
          <w:shd w:val="clear" w:color="auto" w:fill="F7F7F7"/>
        </w:rPr>
        <w:t>Behav</w:t>
      </w:r>
      <w:proofErr w:type="spellEnd"/>
      <w:r w:rsidRPr="00EE398F">
        <w:rPr>
          <w:rFonts w:ascii="Arial" w:hAnsi="Arial" w:cs="Arial"/>
          <w:i/>
          <w:iCs/>
          <w:color w:val="282828"/>
          <w:shd w:val="clear" w:color="auto" w:fill="F7F7F7"/>
        </w:rPr>
        <w:t>. Med.</w:t>
      </w:r>
      <w:r w:rsidRPr="00EE398F">
        <w:rPr>
          <w:rFonts w:ascii="Arial" w:hAnsi="Arial" w:cs="Arial"/>
          <w:color w:val="282828"/>
          <w:shd w:val="clear" w:color="auto" w:fill="F7F7F7"/>
        </w:rPr>
        <w:t xml:space="preserve"> 21, 251–257. </w:t>
      </w:r>
      <w:proofErr w:type="spellStart"/>
      <w:r w:rsidRPr="00EE398F">
        <w:rPr>
          <w:rFonts w:ascii="Arial" w:hAnsi="Arial" w:cs="Arial"/>
          <w:color w:val="282828"/>
          <w:shd w:val="clear" w:color="auto" w:fill="F7F7F7"/>
        </w:rPr>
        <w:t>doi</w:t>
      </w:r>
      <w:proofErr w:type="spellEnd"/>
      <w:r w:rsidRPr="00EE398F">
        <w:rPr>
          <w:rFonts w:ascii="Arial" w:hAnsi="Arial" w:cs="Arial"/>
          <w:color w:val="282828"/>
          <w:shd w:val="clear" w:color="auto" w:fill="F7F7F7"/>
        </w:rPr>
        <w:t>: 10.1007/BF02884842</w:t>
      </w:r>
    </w:p>
    <w:p w14:paraId="63EDEE6E" w14:textId="77777777" w:rsidR="00EE398F" w:rsidRPr="00EE398F" w:rsidRDefault="00EE398F" w:rsidP="00EE398F">
      <w:pPr>
        <w:rPr>
          <w:rFonts w:ascii="Arial" w:hAnsi="Arial" w:cs="Arial"/>
          <w:color w:val="333333"/>
        </w:rPr>
      </w:pPr>
      <w:r w:rsidRPr="00EE398F">
        <w:rPr>
          <w:rFonts w:ascii="Arial" w:hAnsi="Arial" w:cs="Arial"/>
          <w:color w:val="333333"/>
        </w:rPr>
        <w:t xml:space="preserve">College of Policing (2013) </w:t>
      </w:r>
      <w:r w:rsidRPr="00EE398F">
        <w:rPr>
          <w:rFonts w:ascii="Arial" w:hAnsi="Arial" w:cs="Arial"/>
          <w:i/>
          <w:iCs/>
          <w:color w:val="333333"/>
        </w:rPr>
        <w:t>National Decision Model Authorised Professional Practice</w:t>
      </w:r>
      <w:r w:rsidRPr="00EE398F">
        <w:rPr>
          <w:rFonts w:ascii="Arial" w:hAnsi="Arial" w:cs="Arial"/>
          <w:color w:val="333333"/>
        </w:rPr>
        <w:t xml:space="preserve">. Available at: </w:t>
      </w:r>
      <w:hyperlink r:id="rId10" w:history="1">
        <w:r w:rsidRPr="00EE398F">
          <w:rPr>
            <w:rStyle w:val="Hyperlink"/>
            <w:rFonts w:ascii="Arial" w:hAnsi="Arial" w:cs="Arial"/>
          </w:rPr>
          <w:t>National decision model | College of Policing</w:t>
        </w:r>
      </w:hyperlink>
      <w:r w:rsidRPr="00EE398F">
        <w:rPr>
          <w:rFonts w:ascii="Arial" w:hAnsi="Arial" w:cs="Arial"/>
        </w:rPr>
        <w:t xml:space="preserve"> </w:t>
      </w:r>
      <w:r w:rsidRPr="00EE398F">
        <w:rPr>
          <w:rFonts w:ascii="Arial" w:hAnsi="Arial" w:cs="Arial"/>
          <w:color w:val="333333"/>
        </w:rPr>
        <w:t xml:space="preserve"> (Accessed XXXXX)</w:t>
      </w:r>
    </w:p>
    <w:p w14:paraId="39E0E7AD" w14:textId="77777777" w:rsidR="00EE398F" w:rsidRPr="00EE398F" w:rsidRDefault="00EE398F" w:rsidP="00EE398F">
      <w:pPr>
        <w:rPr>
          <w:rFonts w:ascii="Arial" w:hAnsi="Arial" w:cs="Arial"/>
        </w:rPr>
      </w:pPr>
      <w:r w:rsidRPr="00EE398F">
        <w:rPr>
          <w:rFonts w:ascii="Arial" w:hAnsi="Arial" w:cs="Arial"/>
        </w:rPr>
        <w:t xml:space="preserve">College of Policing (2013) Risk assessment. Available at: </w:t>
      </w:r>
      <w:hyperlink r:id="rId11" w:history="1">
        <w:r w:rsidRPr="00EE398F">
          <w:rPr>
            <w:rStyle w:val="Hyperlink"/>
            <w:rFonts w:ascii="Arial" w:hAnsi="Arial" w:cs="Arial"/>
          </w:rPr>
          <w:t>Risk assessment | College of Policing</w:t>
        </w:r>
      </w:hyperlink>
    </w:p>
    <w:p w14:paraId="0424990A" w14:textId="77777777" w:rsidR="00EE398F" w:rsidRPr="00EE398F" w:rsidRDefault="00EE398F" w:rsidP="00EE398F">
      <w:pPr>
        <w:rPr>
          <w:rFonts w:ascii="Arial" w:hAnsi="Arial" w:cs="Arial"/>
        </w:rPr>
      </w:pPr>
      <w:r w:rsidRPr="00EE398F">
        <w:rPr>
          <w:rFonts w:ascii="Arial" w:hAnsi="Arial" w:cs="Arial"/>
        </w:rPr>
        <w:t xml:space="preserve">College of Policing (2020) Conflict Management Skills. Available at: </w:t>
      </w:r>
      <w:hyperlink r:id="rId12" w:history="1">
        <w:r w:rsidRPr="00EE398F">
          <w:rPr>
            <w:rStyle w:val="Hyperlink"/>
            <w:rFonts w:ascii="Arial" w:hAnsi="Arial" w:cs="Arial"/>
          </w:rPr>
          <w:t>Conflict management skills | College of Policing</w:t>
        </w:r>
      </w:hyperlink>
    </w:p>
    <w:p w14:paraId="0B0FC929" w14:textId="77777777" w:rsidR="00EE398F" w:rsidRPr="00EE398F" w:rsidRDefault="00EE398F" w:rsidP="00EE398F">
      <w:pPr>
        <w:rPr>
          <w:rFonts w:ascii="Arial" w:hAnsi="Arial" w:cs="Arial"/>
        </w:rPr>
      </w:pPr>
      <w:r w:rsidRPr="00EE398F">
        <w:rPr>
          <w:rFonts w:ascii="Arial" w:hAnsi="Arial" w:cs="Arial"/>
        </w:rPr>
        <w:t xml:space="preserve">College of Policing (2024) </w:t>
      </w:r>
      <w:r w:rsidRPr="00EE398F">
        <w:rPr>
          <w:rFonts w:ascii="Arial" w:hAnsi="Arial" w:cs="Arial"/>
          <w:i/>
          <w:iCs/>
        </w:rPr>
        <w:t xml:space="preserve">Code of Ethics. </w:t>
      </w:r>
      <w:r w:rsidRPr="00EE398F">
        <w:rPr>
          <w:rFonts w:ascii="Arial" w:hAnsi="Arial" w:cs="Arial"/>
        </w:rPr>
        <w:t xml:space="preserve">Available at: </w:t>
      </w:r>
      <w:hyperlink r:id="rId13" w:history="1">
        <w:r w:rsidRPr="00EE398F">
          <w:rPr>
            <w:rStyle w:val="Hyperlink"/>
            <w:rFonts w:ascii="Arial" w:hAnsi="Arial" w:cs="Arial"/>
          </w:rPr>
          <w:t>Code of Ethics | College of Policing</w:t>
        </w:r>
      </w:hyperlink>
    </w:p>
    <w:p w14:paraId="77A4EA08" w14:textId="77777777" w:rsidR="00EE398F" w:rsidRPr="00EE398F" w:rsidRDefault="00EE398F" w:rsidP="00EE398F">
      <w:pPr>
        <w:rPr>
          <w:rFonts w:ascii="Arial" w:hAnsi="Arial" w:cs="Arial"/>
        </w:rPr>
      </w:pPr>
      <w:r w:rsidRPr="00EE398F">
        <w:rPr>
          <w:rFonts w:ascii="Arial" w:hAnsi="Arial" w:cs="Arial"/>
        </w:rPr>
        <w:t xml:space="preserve">College of Policing (2024) </w:t>
      </w:r>
      <w:r w:rsidRPr="00EE398F">
        <w:rPr>
          <w:rFonts w:ascii="Arial" w:hAnsi="Arial" w:cs="Arial"/>
          <w:i/>
          <w:iCs/>
        </w:rPr>
        <w:t xml:space="preserve">Code of Ethics. </w:t>
      </w:r>
      <w:r w:rsidRPr="00EE398F">
        <w:rPr>
          <w:rFonts w:ascii="Arial" w:hAnsi="Arial" w:cs="Arial"/>
        </w:rPr>
        <w:t xml:space="preserve">Available at: </w:t>
      </w:r>
      <w:hyperlink r:id="rId14" w:history="1">
        <w:r w:rsidRPr="00EE398F">
          <w:rPr>
            <w:rStyle w:val="Hyperlink"/>
            <w:rFonts w:ascii="Arial" w:hAnsi="Arial" w:cs="Arial"/>
          </w:rPr>
          <w:t>Code of Ethics | College of Policing</w:t>
        </w:r>
      </w:hyperlink>
      <w:r w:rsidRPr="00EE398F">
        <w:rPr>
          <w:rFonts w:ascii="Arial" w:hAnsi="Arial" w:cs="Arial"/>
        </w:rPr>
        <w:t xml:space="preserve"> </w:t>
      </w:r>
    </w:p>
    <w:p w14:paraId="0CB32155" w14:textId="77777777" w:rsidR="00EE398F" w:rsidRPr="00EE398F" w:rsidRDefault="00EE398F" w:rsidP="00EE398F">
      <w:pPr>
        <w:rPr>
          <w:rStyle w:val="Hyperlink"/>
          <w:rFonts w:ascii="Arial" w:hAnsi="Arial" w:cs="Arial"/>
          <w:sz w:val="23"/>
          <w:szCs w:val="23"/>
          <w:shd w:val="clear" w:color="auto" w:fill="FFFFFF"/>
        </w:rPr>
      </w:pPr>
      <w:r w:rsidRPr="00EE398F">
        <w:rPr>
          <w:rFonts w:ascii="Arial" w:hAnsi="Arial" w:cs="Arial"/>
          <w:color w:val="3A3A3A"/>
          <w:sz w:val="23"/>
          <w:szCs w:val="23"/>
          <w:shd w:val="clear" w:color="auto" w:fill="FFFFFF"/>
        </w:rPr>
        <w:t>Collins, K. and Carthy, N. (2019) “No rapport, no comment: The relationship between rapport and communication during investigative interviews with suspects,” </w:t>
      </w:r>
      <w:r w:rsidRPr="00EE398F">
        <w:rPr>
          <w:rFonts w:ascii="Arial" w:hAnsi="Arial" w:cs="Arial"/>
          <w:i/>
          <w:iCs/>
          <w:color w:val="3A3A3A"/>
          <w:sz w:val="23"/>
          <w:szCs w:val="23"/>
          <w:shd w:val="clear" w:color="auto" w:fill="FFFFFF"/>
        </w:rPr>
        <w:t>Journal of investigative psychology and offender profiling</w:t>
      </w:r>
      <w:r w:rsidRPr="00EE398F">
        <w:rPr>
          <w:rFonts w:ascii="Arial" w:hAnsi="Arial" w:cs="Arial"/>
          <w:color w:val="3A3A3A"/>
          <w:sz w:val="23"/>
          <w:szCs w:val="23"/>
          <w:shd w:val="clear" w:color="auto" w:fill="FFFFFF"/>
        </w:rPr>
        <w:t xml:space="preserve">, 16(1), pp. 18–31. Available at: </w:t>
      </w:r>
      <w:hyperlink r:id="rId15" w:history="1">
        <w:r w:rsidRPr="00EE398F">
          <w:rPr>
            <w:rStyle w:val="Hyperlink"/>
            <w:rFonts w:ascii="Arial" w:hAnsi="Arial" w:cs="Arial"/>
            <w:sz w:val="23"/>
            <w:szCs w:val="23"/>
            <w:shd w:val="clear" w:color="auto" w:fill="FFFFFF"/>
          </w:rPr>
          <w:t>https://doi.org/10.1002/jip.1517</w:t>
        </w:r>
      </w:hyperlink>
    </w:p>
    <w:p w14:paraId="4F12670F" w14:textId="77777777" w:rsidR="00EE398F" w:rsidRPr="00EE398F" w:rsidRDefault="00EE398F" w:rsidP="00EE398F">
      <w:pPr>
        <w:rPr>
          <w:rFonts w:ascii="Arial" w:hAnsi="Arial" w:cs="Arial"/>
        </w:rPr>
      </w:pPr>
      <w:r w:rsidRPr="00EE398F">
        <w:rPr>
          <w:rFonts w:ascii="Arial" w:hAnsi="Arial" w:cs="Arial"/>
          <w:color w:val="212121"/>
          <w:sz w:val="26"/>
          <w:szCs w:val="26"/>
          <w:shd w:val="clear" w:color="auto" w:fill="FFFFFF"/>
        </w:rPr>
        <w:lastRenderedPageBreak/>
        <w:t xml:space="preserve">Córdova A, Caballero-García A, </w:t>
      </w:r>
      <w:proofErr w:type="spellStart"/>
      <w:r w:rsidRPr="00EE398F">
        <w:rPr>
          <w:rFonts w:ascii="Arial" w:hAnsi="Arial" w:cs="Arial"/>
          <w:color w:val="212121"/>
          <w:sz w:val="26"/>
          <w:szCs w:val="26"/>
          <w:shd w:val="clear" w:color="auto" w:fill="FFFFFF"/>
        </w:rPr>
        <w:t>Drobnic</w:t>
      </w:r>
      <w:proofErr w:type="spellEnd"/>
      <w:r w:rsidRPr="00EE398F">
        <w:rPr>
          <w:rFonts w:ascii="Arial" w:hAnsi="Arial" w:cs="Arial"/>
          <w:color w:val="212121"/>
          <w:sz w:val="26"/>
          <w:szCs w:val="26"/>
          <w:shd w:val="clear" w:color="auto" w:fill="FFFFFF"/>
        </w:rPr>
        <w:t xml:space="preserve"> F, Roche E, Noriega DC. (2013) </w:t>
      </w:r>
      <w:r w:rsidRPr="00EE398F">
        <w:rPr>
          <w:rFonts w:ascii="Arial" w:hAnsi="Arial" w:cs="Arial"/>
          <w:i/>
          <w:iCs/>
          <w:color w:val="212121"/>
          <w:sz w:val="26"/>
          <w:szCs w:val="26"/>
          <w:shd w:val="clear" w:color="auto" w:fill="FFFFFF"/>
        </w:rPr>
        <w:t>Influence of Stress and Emotions in the Learning Process: The Example of COVID-19 on University Students: A Narrative Review.</w:t>
      </w:r>
      <w:r w:rsidRPr="00EE398F">
        <w:rPr>
          <w:rFonts w:ascii="Arial" w:hAnsi="Arial" w:cs="Arial"/>
          <w:color w:val="212121"/>
          <w:sz w:val="26"/>
          <w:szCs w:val="26"/>
          <w:shd w:val="clear" w:color="auto" w:fill="FFFFFF"/>
        </w:rPr>
        <w:t xml:space="preserve"> Healthcare (Basel). 2023 Jun 17;11(12):1787. </w:t>
      </w:r>
      <w:proofErr w:type="spellStart"/>
      <w:r w:rsidRPr="00EE398F">
        <w:rPr>
          <w:rFonts w:ascii="Arial" w:hAnsi="Arial" w:cs="Arial"/>
          <w:color w:val="212121"/>
          <w:sz w:val="26"/>
          <w:szCs w:val="26"/>
          <w:shd w:val="clear" w:color="auto" w:fill="FFFFFF"/>
        </w:rPr>
        <w:t>doi</w:t>
      </w:r>
      <w:proofErr w:type="spellEnd"/>
      <w:r w:rsidRPr="00EE398F">
        <w:rPr>
          <w:rFonts w:ascii="Arial" w:hAnsi="Arial" w:cs="Arial"/>
          <w:color w:val="212121"/>
          <w:sz w:val="26"/>
          <w:szCs w:val="26"/>
          <w:shd w:val="clear" w:color="auto" w:fill="FFFFFF"/>
        </w:rPr>
        <w:t xml:space="preserve">: 10.3390/healthcare11121787. PMID: 37372905; PMCID: PMC10298416. Available at: </w:t>
      </w:r>
      <w:hyperlink r:id="rId16" w:anchor=":~:text=High%20levels%20of%20stress%20can,information%2C%20and%20retaining%20new%20knowledge." w:history="1">
        <w:r w:rsidRPr="00EE398F">
          <w:rPr>
            <w:rStyle w:val="Hyperlink"/>
            <w:rFonts w:ascii="Arial" w:hAnsi="Arial" w:cs="Arial"/>
          </w:rPr>
          <w:t>Influence of Stress and Emotions in the Learning Process: The Example of COVID-19 on University Students: A Narrative Review - PMC (nih.gov)</w:t>
        </w:r>
      </w:hyperlink>
    </w:p>
    <w:p w14:paraId="10089899" w14:textId="77777777" w:rsidR="00EE398F" w:rsidRPr="00EE398F" w:rsidRDefault="00EE398F" w:rsidP="00EE398F">
      <w:pPr>
        <w:rPr>
          <w:rFonts w:ascii="Arial" w:hAnsi="Arial" w:cs="Arial"/>
        </w:rPr>
      </w:pPr>
      <w:r w:rsidRPr="00EE398F">
        <w:rPr>
          <w:rFonts w:ascii="Arial" w:hAnsi="Arial" w:cs="Arial"/>
          <w:color w:val="212121"/>
          <w:sz w:val="26"/>
          <w:szCs w:val="26"/>
          <w:shd w:val="clear" w:color="auto" w:fill="FFFFFF"/>
        </w:rPr>
        <w:t xml:space="preserve">Córdova A, Caballero-García A, </w:t>
      </w:r>
      <w:proofErr w:type="spellStart"/>
      <w:r w:rsidRPr="00EE398F">
        <w:rPr>
          <w:rFonts w:ascii="Arial" w:hAnsi="Arial" w:cs="Arial"/>
          <w:color w:val="212121"/>
          <w:sz w:val="26"/>
          <w:szCs w:val="26"/>
          <w:shd w:val="clear" w:color="auto" w:fill="FFFFFF"/>
        </w:rPr>
        <w:t>Drobnic</w:t>
      </w:r>
      <w:proofErr w:type="spellEnd"/>
      <w:r w:rsidRPr="00EE398F">
        <w:rPr>
          <w:rFonts w:ascii="Arial" w:hAnsi="Arial" w:cs="Arial"/>
          <w:color w:val="212121"/>
          <w:sz w:val="26"/>
          <w:szCs w:val="26"/>
          <w:shd w:val="clear" w:color="auto" w:fill="FFFFFF"/>
        </w:rPr>
        <w:t xml:space="preserve"> F, Roche E, Noriega DC. (2013) </w:t>
      </w:r>
      <w:r w:rsidRPr="00EE398F">
        <w:rPr>
          <w:rFonts w:ascii="Arial" w:hAnsi="Arial" w:cs="Arial"/>
          <w:i/>
          <w:iCs/>
          <w:color w:val="212121"/>
          <w:sz w:val="26"/>
          <w:szCs w:val="26"/>
          <w:shd w:val="clear" w:color="auto" w:fill="FFFFFF"/>
        </w:rPr>
        <w:t>Influence of Stress and Emotions in the Learning Process: The Example of COVID-19 on University Students: A Narrative Review.</w:t>
      </w:r>
      <w:r w:rsidRPr="00EE398F">
        <w:rPr>
          <w:rFonts w:ascii="Arial" w:hAnsi="Arial" w:cs="Arial"/>
          <w:color w:val="212121"/>
          <w:sz w:val="26"/>
          <w:szCs w:val="26"/>
          <w:shd w:val="clear" w:color="auto" w:fill="FFFFFF"/>
        </w:rPr>
        <w:t xml:space="preserve"> Healthcare (Basel). 2023 Jun 17;11(12):1787. </w:t>
      </w:r>
      <w:proofErr w:type="spellStart"/>
      <w:r w:rsidRPr="00EE398F">
        <w:rPr>
          <w:rFonts w:ascii="Arial" w:hAnsi="Arial" w:cs="Arial"/>
          <w:color w:val="212121"/>
          <w:sz w:val="26"/>
          <w:szCs w:val="26"/>
          <w:shd w:val="clear" w:color="auto" w:fill="FFFFFF"/>
        </w:rPr>
        <w:t>doi</w:t>
      </w:r>
      <w:proofErr w:type="spellEnd"/>
      <w:r w:rsidRPr="00EE398F">
        <w:rPr>
          <w:rFonts w:ascii="Arial" w:hAnsi="Arial" w:cs="Arial"/>
          <w:color w:val="212121"/>
          <w:sz w:val="26"/>
          <w:szCs w:val="26"/>
          <w:shd w:val="clear" w:color="auto" w:fill="FFFFFF"/>
        </w:rPr>
        <w:t xml:space="preserve">: 10.3390/healthcare11121787. PMID: 37372905; PMCID: PMC10298416. Available at: </w:t>
      </w:r>
      <w:hyperlink r:id="rId17" w:anchor=":~:text=High%20levels%20of%20stress%20can,information%2C%20and%20retaining%20new%20knowledge." w:history="1">
        <w:r w:rsidRPr="00EE398F">
          <w:rPr>
            <w:rStyle w:val="Hyperlink"/>
            <w:rFonts w:ascii="Arial" w:hAnsi="Arial" w:cs="Arial"/>
          </w:rPr>
          <w:t>Influence of Stress and Emotions in the Learning Process: The Example of COVID-19 on University Students: A Narrative Review - PMC (nih.gov)</w:t>
        </w:r>
      </w:hyperlink>
    </w:p>
    <w:p w14:paraId="34D2D982"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Day, T.A. (2005) “Defining stress as a prelude to mapping its neurocircuitry: No help from allostasis,” </w:t>
      </w:r>
      <w:r w:rsidRPr="00EE398F">
        <w:rPr>
          <w:rFonts w:ascii="Arial" w:hAnsi="Arial" w:cs="Arial"/>
          <w:i/>
          <w:iCs/>
          <w:color w:val="3A3A3A"/>
          <w:sz w:val="23"/>
          <w:szCs w:val="23"/>
          <w:shd w:val="clear" w:color="auto" w:fill="FFFFFF"/>
        </w:rPr>
        <w:t>Progress in neuro-psychopharmacology &amp; biological psychiatry</w:t>
      </w:r>
      <w:r w:rsidRPr="00EE398F">
        <w:rPr>
          <w:rFonts w:ascii="Arial" w:hAnsi="Arial" w:cs="Arial"/>
          <w:color w:val="3A3A3A"/>
          <w:sz w:val="23"/>
          <w:szCs w:val="23"/>
          <w:shd w:val="clear" w:color="auto" w:fill="FFFFFF"/>
        </w:rPr>
        <w:t xml:space="preserve">, 29(8), pp. 1195–1200. Available at: </w:t>
      </w:r>
      <w:hyperlink r:id="rId18" w:history="1">
        <w:r w:rsidRPr="00EE398F">
          <w:rPr>
            <w:rStyle w:val="Hyperlink"/>
            <w:rFonts w:ascii="Arial" w:hAnsi="Arial" w:cs="Arial"/>
            <w:sz w:val="23"/>
            <w:szCs w:val="23"/>
            <w:shd w:val="clear" w:color="auto" w:fill="FFFFFF"/>
          </w:rPr>
          <w:t>https://doi.org/10.1016/j.pnpbp.2005.08.005</w:t>
        </w:r>
      </w:hyperlink>
      <w:r w:rsidRPr="00EE398F">
        <w:rPr>
          <w:rFonts w:ascii="Arial" w:hAnsi="Arial" w:cs="Arial"/>
          <w:color w:val="3A3A3A"/>
          <w:sz w:val="23"/>
          <w:szCs w:val="23"/>
          <w:shd w:val="clear" w:color="auto" w:fill="FFFFFF"/>
        </w:rPr>
        <w:t>.</w:t>
      </w:r>
    </w:p>
    <w:p w14:paraId="17EF2559" w14:textId="77777777" w:rsidR="00EE398F" w:rsidRPr="00EE398F" w:rsidRDefault="00EE398F" w:rsidP="00EE398F">
      <w:pPr>
        <w:rPr>
          <w:rFonts w:ascii="Arial" w:hAnsi="Arial" w:cs="Arial"/>
          <w:color w:val="000000" w:themeColor="text1"/>
          <w:sz w:val="23"/>
          <w:szCs w:val="23"/>
          <w:shd w:val="clear" w:color="auto" w:fill="FFFFFF"/>
        </w:rPr>
      </w:pPr>
      <w:r w:rsidRPr="00EE398F">
        <w:rPr>
          <w:rFonts w:ascii="Arial" w:hAnsi="Arial" w:cs="Arial"/>
          <w:color w:val="000000" w:themeColor="text1"/>
          <w:sz w:val="23"/>
          <w:szCs w:val="23"/>
          <w:shd w:val="clear" w:color="auto" w:fill="FFFFFF"/>
        </w:rPr>
        <w:t xml:space="preserve">De Schrijver, A. and </w:t>
      </w:r>
      <w:proofErr w:type="spellStart"/>
      <w:r w:rsidRPr="00EE398F">
        <w:rPr>
          <w:rFonts w:ascii="Arial" w:hAnsi="Arial" w:cs="Arial"/>
          <w:color w:val="000000" w:themeColor="text1"/>
          <w:sz w:val="23"/>
          <w:szCs w:val="23"/>
          <w:shd w:val="clear" w:color="auto" w:fill="FFFFFF"/>
        </w:rPr>
        <w:t>Maesschalck</w:t>
      </w:r>
      <w:proofErr w:type="spellEnd"/>
      <w:r w:rsidRPr="00EE398F">
        <w:rPr>
          <w:rFonts w:ascii="Arial" w:hAnsi="Arial" w:cs="Arial"/>
          <w:color w:val="000000" w:themeColor="text1"/>
          <w:sz w:val="23"/>
          <w:szCs w:val="23"/>
          <w:shd w:val="clear" w:color="auto" w:fill="FFFFFF"/>
        </w:rPr>
        <w:t>, J. (2015) “The development of moral reasoning skills in police recruits,” </w:t>
      </w:r>
      <w:proofErr w:type="gramStart"/>
      <w:r w:rsidRPr="00EE398F">
        <w:rPr>
          <w:rFonts w:ascii="Arial" w:hAnsi="Arial" w:cs="Arial"/>
          <w:i/>
          <w:iCs/>
          <w:color w:val="000000" w:themeColor="text1"/>
          <w:sz w:val="23"/>
          <w:szCs w:val="23"/>
          <w:shd w:val="clear" w:color="auto" w:fill="FFFFFF"/>
        </w:rPr>
        <w:t>Policing :</w:t>
      </w:r>
      <w:proofErr w:type="gramEnd"/>
      <w:r w:rsidRPr="00EE398F">
        <w:rPr>
          <w:rFonts w:ascii="Arial" w:hAnsi="Arial" w:cs="Arial"/>
          <w:i/>
          <w:iCs/>
          <w:color w:val="000000" w:themeColor="text1"/>
          <w:sz w:val="23"/>
          <w:szCs w:val="23"/>
          <w:shd w:val="clear" w:color="auto" w:fill="FFFFFF"/>
        </w:rPr>
        <w:t xml:space="preserve"> an international journal of police strategies &amp; management</w:t>
      </w:r>
      <w:r w:rsidRPr="00EE398F">
        <w:rPr>
          <w:rFonts w:ascii="Arial" w:hAnsi="Arial" w:cs="Arial"/>
          <w:color w:val="000000" w:themeColor="text1"/>
          <w:sz w:val="23"/>
          <w:szCs w:val="23"/>
          <w:shd w:val="clear" w:color="auto" w:fill="FFFFFF"/>
        </w:rPr>
        <w:t xml:space="preserve">, 38(1), pp. 102–116. Available at: </w:t>
      </w:r>
      <w:hyperlink r:id="rId19" w:history="1">
        <w:r w:rsidRPr="00EE398F">
          <w:rPr>
            <w:rStyle w:val="Hyperlink"/>
            <w:rFonts w:ascii="Arial" w:hAnsi="Arial" w:cs="Arial"/>
            <w:sz w:val="23"/>
            <w:szCs w:val="23"/>
            <w:shd w:val="clear" w:color="auto" w:fill="FFFFFF"/>
          </w:rPr>
          <w:t>https://doi.org/10.1108/PIJPSM-09-2014-0091</w:t>
        </w:r>
      </w:hyperlink>
      <w:r w:rsidRPr="00EE398F">
        <w:rPr>
          <w:rFonts w:ascii="Arial" w:hAnsi="Arial" w:cs="Arial"/>
          <w:color w:val="000000" w:themeColor="text1"/>
          <w:sz w:val="23"/>
          <w:szCs w:val="23"/>
          <w:shd w:val="clear" w:color="auto" w:fill="FFFFFF"/>
        </w:rPr>
        <w:t>.</w:t>
      </w:r>
    </w:p>
    <w:p w14:paraId="4C7887FF" w14:textId="77777777" w:rsidR="00EE398F" w:rsidRPr="00EE398F" w:rsidRDefault="00EE398F" w:rsidP="00EE398F">
      <w:pPr>
        <w:rPr>
          <w:rFonts w:ascii="Arial" w:hAnsi="Arial" w:cs="Arial"/>
          <w:color w:val="282828"/>
          <w:shd w:val="clear" w:color="auto" w:fill="F7F7F7"/>
        </w:rPr>
      </w:pPr>
      <w:proofErr w:type="spellStart"/>
      <w:r w:rsidRPr="00EE398F">
        <w:rPr>
          <w:rFonts w:ascii="Arial" w:hAnsi="Arial" w:cs="Arial"/>
          <w:color w:val="282828"/>
          <w:shd w:val="clear" w:color="auto" w:fill="F7F7F7"/>
        </w:rPr>
        <w:t>Deforche</w:t>
      </w:r>
      <w:proofErr w:type="spellEnd"/>
      <w:r w:rsidRPr="00EE398F">
        <w:rPr>
          <w:rFonts w:ascii="Arial" w:hAnsi="Arial" w:cs="Arial"/>
          <w:color w:val="282828"/>
          <w:shd w:val="clear" w:color="auto" w:fill="F7F7F7"/>
        </w:rPr>
        <w:t xml:space="preserve">, B., Van Dyck, D., </w:t>
      </w:r>
      <w:proofErr w:type="spellStart"/>
      <w:r w:rsidRPr="00EE398F">
        <w:rPr>
          <w:rFonts w:ascii="Arial" w:hAnsi="Arial" w:cs="Arial"/>
          <w:color w:val="282828"/>
          <w:shd w:val="clear" w:color="auto" w:fill="F7F7F7"/>
        </w:rPr>
        <w:t>Deliens</w:t>
      </w:r>
      <w:proofErr w:type="spellEnd"/>
      <w:r w:rsidRPr="00EE398F">
        <w:rPr>
          <w:rFonts w:ascii="Arial" w:hAnsi="Arial" w:cs="Arial"/>
          <w:color w:val="282828"/>
          <w:shd w:val="clear" w:color="auto" w:fill="F7F7F7"/>
        </w:rPr>
        <w:t xml:space="preserve">, T., and De </w:t>
      </w:r>
      <w:proofErr w:type="spellStart"/>
      <w:r w:rsidRPr="00EE398F">
        <w:rPr>
          <w:rFonts w:ascii="Arial" w:hAnsi="Arial" w:cs="Arial"/>
          <w:color w:val="282828"/>
          <w:shd w:val="clear" w:color="auto" w:fill="F7F7F7"/>
        </w:rPr>
        <w:t>Bourdeaudhuij</w:t>
      </w:r>
      <w:proofErr w:type="spellEnd"/>
      <w:r w:rsidRPr="00EE398F">
        <w:rPr>
          <w:rFonts w:ascii="Arial" w:hAnsi="Arial" w:cs="Arial"/>
          <w:color w:val="282828"/>
          <w:shd w:val="clear" w:color="auto" w:fill="F7F7F7"/>
        </w:rPr>
        <w:t xml:space="preserve">, I. (2015). Changes in weight, physical activity, sedentary </w:t>
      </w:r>
      <w:proofErr w:type="gramStart"/>
      <w:r w:rsidRPr="00EE398F">
        <w:rPr>
          <w:rFonts w:ascii="Arial" w:hAnsi="Arial" w:cs="Arial"/>
          <w:color w:val="282828"/>
          <w:shd w:val="clear" w:color="auto" w:fill="F7F7F7"/>
        </w:rPr>
        <w:t>behaviour</w:t>
      </w:r>
      <w:proofErr w:type="gramEnd"/>
      <w:r w:rsidRPr="00EE398F">
        <w:rPr>
          <w:rFonts w:ascii="Arial" w:hAnsi="Arial" w:cs="Arial"/>
          <w:color w:val="282828"/>
          <w:shd w:val="clear" w:color="auto" w:fill="F7F7F7"/>
        </w:rPr>
        <w:t xml:space="preserve"> and dietary intake during the transition to higher education: a prospective study. </w:t>
      </w:r>
      <w:r w:rsidRPr="00EE398F">
        <w:rPr>
          <w:rFonts w:ascii="Arial" w:hAnsi="Arial" w:cs="Arial"/>
          <w:i/>
          <w:iCs/>
          <w:color w:val="282828"/>
          <w:shd w:val="clear" w:color="auto" w:fill="F7F7F7"/>
        </w:rPr>
        <w:t xml:space="preserve">Int. J. </w:t>
      </w:r>
      <w:proofErr w:type="spellStart"/>
      <w:r w:rsidRPr="00EE398F">
        <w:rPr>
          <w:rFonts w:ascii="Arial" w:hAnsi="Arial" w:cs="Arial"/>
          <w:i/>
          <w:iCs/>
          <w:color w:val="282828"/>
          <w:shd w:val="clear" w:color="auto" w:fill="F7F7F7"/>
        </w:rPr>
        <w:t>Behav</w:t>
      </w:r>
      <w:proofErr w:type="spellEnd"/>
      <w:r w:rsidRPr="00EE398F">
        <w:rPr>
          <w:rFonts w:ascii="Arial" w:hAnsi="Arial" w:cs="Arial"/>
          <w:i/>
          <w:iCs/>
          <w:color w:val="282828"/>
          <w:shd w:val="clear" w:color="auto" w:fill="F7F7F7"/>
        </w:rPr>
        <w:t xml:space="preserve">. </w:t>
      </w:r>
      <w:proofErr w:type="spellStart"/>
      <w:r w:rsidRPr="00EE398F">
        <w:rPr>
          <w:rFonts w:ascii="Arial" w:hAnsi="Arial" w:cs="Arial"/>
          <w:i/>
          <w:iCs/>
          <w:color w:val="282828"/>
          <w:shd w:val="clear" w:color="auto" w:fill="F7F7F7"/>
        </w:rPr>
        <w:t>Nutr</w:t>
      </w:r>
      <w:proofErr w:type="spellEnd"/>
      <w:r w:rsidRPr="00EE398F">
        <w:rPr>
          <w:rFonts w:ascii="Arial" w:hAnsi="Arial" w:cs="Arial"/>
          <w:i/>
          <w:iCs/>
          <w:color w:val="282828"/>
          <w:shd w:val="clear" w:color="auto" w:fill="F7F7F7"/>
        </w:rPr>
        <w:t>. Phys. Activity</w:t>
      </w:r>
      <w:r w:rsidRPr="00EE398F">
        <w:rPr>
          <w:rFonts w:ascii="Arial" w:hAnsi="Arial" w:cs="Arial"/>
          <w:color w:val="282828"/>
          <w:shd w:val="clear" w:color="auto" w:fill="F7F7F7"/>
        </w:rPr>
        <w:t xml:space="preserve"> 12:16. </w:t>
      </w:r>
      <w:proofErr w:type="spellStart"/>
      <w:r w:rsidRPr="00EE398F">
        <w:rPr>
          <w:rFonts w:ascii="Arial" w:hAnsi="Arial" w:cs="Arial"/>
          <w:color w:val="282828"/>
          <w:shd w:val="clear" w:color="auto" w:fill="F7F7F7"/>
        </w:rPr>
        <w:t>doi</w:t>
      </w:r>
      <w:proofErr w:type="spellEnd"/>
      <w:r w:rsidRPr="00EE398F">
        <w:rPr>
          <w:rFonts w:ascii="Arial" w:hAnsi="Arial" w:cs="Arial"/>
          <w:color w:val="282828"/>
          <w:shd w:val="clear" w:color="auto" w:fill="F7F7F7"/>
        </w:rPr>
        <w:t>: 10.1186/s12966-015-0173-9</w:t>
      </w:r>
    </w:p>
    <w:p w14:paraId="4706121C" w14:textId="77777777" w:rsidR="00EE398F" w:rsidRPr="00EE398F" w:rsidRDefault="00EE398F" w:rsidP="00EE398F">
      <w:pPr>
        <w:rPr>
          <w:rFonts w:ascii="Arial" w:hAnsi="Arial" w:cs="Arial"/>
        </w:rPr>
      </w:pPr>
      <w:r w:rsidRPr="00EE398F">
        <w:rPr>
          <w:rFonts w:ascii="Arial" w:hAnsi="Arial" w:cs="Arial"/>
        </w:rPr>
        <w:t>Dodd (2024) Only 40% of People in England Trust their Police Force, The Guardian, 18</w:t>
      </w:r>
      <w:r w:rsidRPr="00EE398F">
        <w:rPr>
          <w:rFonts w:ascii="Arial" w:hAnsi="Arial" w:cs="Arial"/>
          <w:vertAlign w:val="superscript"/>
        </w:rPr>
        <w:t>th</w:t>
      </w:r>
      <w:r w:rsidRPr="00EE398F">
        <w:rPr>
          <w:rFonts w:ascii="Arial" w:hAnsi="Arial" w:cs="Arial"/>
        </w:rPr>
        <w:t xml:space="preserve"> April 2024. Available at: </w:t>
      </w:r>
      <w:hyperlink r:id="rId20" w:anchor=":~:text=Only%20four%20out%20of%2010,the%20police%20than%20male%20respondents." w:history="1">
        <w:r w:rsidRPr="00EE398F">
          <w:rPr>
            <w:rStyle w:val="Hyperlink"/>
            <w:rFonts w:ascii="Arial" w:hAnsi="Arial" w:cs="Arial"/>
          </w:rPr>
          <w:t>Only 40% of people in England trust their police force, research reveals | Police | The Guardian</w:t>
        </w:r>
      </w:hyperlink>
    </w:p>
    <w:p w14:paraId="4EF19928" w14:textId="77777777" w:rsidR="00EE398F" w:rsidRPr="00EE398F" w:rsidRDefault="00EE398F" w:rsidP="00EE398F">
      <w:pPr>
        <w:rPr>
          <w:rFonts w:ascii="Arial" w:hAnsi="Arial" w:cs="Arial"/>
          <w:color w:val="333333"/>
          <w:shd w:val="clear" w:color="auto" w:fill="EAEAEA"/>
        </w:rPr>
      </w:pPr>
      <w:r w:rsidRPr="00EE398F">
        <w:rPr>
          <w:rFonts w:ascii="Arial" w:hAnsi="Arial" w:cs="Arial"/>
          <w:color w:val="333333"/>
          <w:shd w:val="clear" w:color="auto" w:fill="EAEAEA"/>
        </w:rPr>
        <w:t>Eilola, T. M., Havelka, J., &amp; Sharma, D. (2007). Emotional activation in the first and second language. </w:t>
      </w:r>
      <w:r w:rsidRPr="00EE398F">
        <w:rPr>
          <w:rFonts w:ascii="Arial" w:hAnsi="Arial" w:cs="Arial"/>
          <w:i/>
          <w:iCs/>
          <w:color w:val="333333"/>
          <w:shd w:val="clear" w:color="auto" w:fill="EAEAEA"/>
        </w:rPr>
        <w:t>Cognition and Emotion</w:t>
      </w:r>
      <w:r w:rsidRPr="00EE398F">
        <w:rPr>
          <w:rFonts w:ascii="Arial" w:hAnsi="Arial" w:cs="Arial"/>
          <w:color w:val="333333"/>
          <w:shd w:val="clear" w:color="auto" w:fill="EAEAEA"/>
        </w:rPr>
        <w:t>, </w:t>
      </w:r>
      <w:r w:rsidRPr="00EE398F">
        <w:rPr>
          <w:rFonts w:ascii="Arial" w:hAnsi="Arial" w:cs="Arial"/>
          <w:i/>
          <w:iCs/>
          <w:color w:val="333333"/>
          <w:shd w:val="clear" w:color="auto" w:fill="EAEAEA"/>
        </w:rPr>
        <w:t>21</w:t>
      </w:r>
      <w:r w:rsidRPr="00EE398F">
        <w:rPr>
          <w:rFonts w:ascii="Arial" w:hAnsi="Arial" w:cs="Arial"/>
          <w:color w:val="333333"/>
          <w:shd w:val="clear" w:color="auto" w:fill="EAEAEA"/>
        </w:rPr>
        <w:t xml:space="preserve">(5), 1064–1076. </w:t>
      </w:r>
      <w:hyperlink r:id="rId21" w:history="1">
        <w:r w:rsidRPr="00EE398F">
          <w:rPr>
            <w:rStyle w:val="Hyperlink"/>
            <w:rFonts w:ascii="Arial" w:hAnsi="Arial" w:cs="Arial"/>
            <w:shd w:val="clear" w:color="auto" w:fill="EAEAEA"/>
          </w:rPr>
          <w:t>https://doi.org/10.1080/02699930601054109</w:t>
        </w:r>
      </w:hyperlink>
    </w:p>
    <w:p w14:paraId="258D7D55" w14:textId="77777777" w:rsidR="00EE398F" w:rsidRPr="00EE398F" w:rsidRDefault="00EE398F" w:rsidP="00EE398F">
      <w:pPr>
        <w:rPr>
          <w:rStyle w:val="Hyperlink"/>
          <w:rFonts w:ascii="Arial" w:hAnsi="Arial" w:cs="Arial"/>
        </w:rPr>
      </w:pPr>
      <w:r w:rsidRPr="00EE398F">
        <w:rPr>
          <w:rFonts w:ascii="Arial" w:hAnsi="Arial" w:cs="Arial"/>
          <w:color w:val="000000" w:themeColor="text1"/>
          <w:sz w:val="23"/>
          <w:szCs w:val="23"/>
          <w:shd w:val="clear" w:color="auto" w:fill="FFFFFF"/>
        </w:rPr>
        <w:t xml:space="preserve">Equality Act 2010. Available at: </w:t>
      </w:r>
      <w:hyperlink r:id="rId22" w:history="1">
        <w:r w:rsidRPr="00EE398F">
          <w:rPr>
            <w:rStyle w:val="Hyperlink"/>
            <w:rFonts w:ascii="Arial" w:hAnsi="Arial" w:cs="Arial"/>
          </w:rPr>
          <w:t>Equality Act 2010 (legislation.gov.uk)</w:t>
        </w:r>
      </w:hyperlink>
    </w:p>
    <w:p w14:paraId="400DEBA3"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Finkelstein-Fox, L., Park, C.L. and Riley, K.E. (2019) “Mindfulness’ Effects on Stress, Coping, and Mood: A Daily Diary Goodness-of-Fit Study,” </w:t>
      </w:r>
      <w:r w:rsidRPr="00EE398F">
        <w:rPr>
          <w:rFonts w:ascii="Arial" w:hAnsi="Arial" w:cs="Arial"/>
          <w:i/>
          <w:iCs/>
          <w:color w:val="3A3A3A"/>
          <w:sz w:val="23"/>
          <w:szCs w:val="23"/>
          <w:shd w:val="clear" w:color="auto" w:fill="FFFFFF"/>
        </w:rPr>
        <w:t>Emotion (Washington, D.C.)</w:t>
      </w:r>
      <w:r w:rsidRPr="00EE398F">
        <w:rPr>
          <w:rFonts w:ascii="Arial" w:hAnsi="Arial" w:cs="Arial"/>
          <w:color w:val="3A3A3A"/>
          <w:sz w:val="23"/>
          <w:szCs w:val="23"/>
          <w:shd w:val="clear" w:color="auto" w:fill="FFFFFF"/>
        </w:rPr>
        <w:t xml:space="preserve">, 19(6), pp. 1002–1013. Available at: </w:t>
      </w:r>
      <w:hyperlink r:id="rId23" w:history="1">
        <w:r w:rsidRPr="00EE398F">
          <w:rPr>
            <w:rStyle w:val="Hyperlink"/>
            <w:rFonts w:ascii="Arial" w:hAnsi="Arial" w:cs="Arial"/>
            <w:sz w:val="23"/>
            <w:szCs w:val="23"/>
            <w:shd w:val="clear" w:color="auto" w:fill="FFFFFF"/>
          </w:rPr>
          <w:t>https://doi.org/10.1037/emo0000495</w:t>
        </w:r>
      </w:hyperlink>
      <w:r w:rsidRPr="00EE398F">
        <w:rPr>
          <w:rFonts w:ascii="Arial" w:hAnsi="Arial" w:cs="Arial"/>
          <w:color w:val="3A3A3A"/>
          <w:sz w:val="23"/>
          <w:szCs w:val="23"/>
          <w:shd w:val="clear" w:color="auto" w:fill="FFFFFF"/>
        </w:rPr>
        <w:t>.</w:t>
      </w:r>
    </w:p>
    <w:p w14:paraId="7115AA2C" w14:textId="77777777" w:rsidR="00EE398F" w:rsidRPr="00EE398F" w:rsidRDefault="00EE398F" w:rsidP="00EE398F">
      <w:pPr>
        <w:rPr>
          <w:rFonts w:ascii="Arial" w:hAnsi="Arial" w:cs="Arial"/>
          <w:color w:val="555555"/>
          <w:sz w:val="18"/>
          <w:szCs w:val="18"/>
          <w:shd w:val="clear" w:color="auto" w:fill="FFFFFF"/>
        </w:rPr>
      </w:pPr>
      <w:r w:rsidRPr="00EE398F">
        <w:rPr>
          <w:rFonts w:ascii="Arial" w:hAnsi="Arial" w:cs="Arial"/>
          <w:color w:val="555555"/>
          <w:sz w:val="18"/>
          <w:szCs w:val="18"/>
          <w:shd w:val="clear" w:color="auto" w:fill="FFFFFF"/>
        </w:rPr>
        <w:t xml:space="preserve">Haghighat, G.E., </w:t>
      </w:r>
      <w:proofErr w:type="spellStart"/>
      <w:r w:rsidRPr="00EE398F">
        <w:rPr>
          <w:rFonts w:ascii="Arial" w:hAnsi="Arial" w:cs="Arial"/>
          <w:color w:val="555555"/>
          <w:sz w:val="18"/>
          <w:szCs w:val="18"/>
          <w:shd w:val="clear" w:color="auto" w:fill="FFFFFF"/>
        </w:rPr>
        <w:t>Hosseinichimeh</w:t>
      </w:r>
      <w:proofErr w:type="spellEnd"/>
      <w:r w:rsidRPr="00EE398F">
        <w:rPr>
          <w:rFonts w:ascii="Arial" w:hAnsi="Arial" w:cs="Arial"/>
          <w:color w:val="555555"/>
          <w:sz w:val="18"/>
          <w:szCs w:val="18"/>
          <w:shd w:val="clear" w:color="auto" w:fill="FFFFFF"/>
        </w:rPr>
        <w:t>, N. &amp; Kleiner, B.M. 2019, "Fundamental Elements of Reflective Practice in Organizations", </w:t>
      </w:r>
      <w:r w:rsidRPr="00EE398F">
        <w:rPr>
          <w:rFonts w:ascii="Arial" w:hAnsi="Arial" w:cs="Arial"/>
          <w:i/>
          <w:iCs/>
          <w:color w:val="555555"/>
          <w:sz w:val="18"/>
          <w:szCs w:val="18"/>
          <w:shd w:val="clear" w:color="auto" w:fill="FFFFFF"/>
        </w:rPr>
        <w:t xml:space="preserve">IIE Annual </w:t>
      </w:r>
      <w:proofErr w:type="spellStart"/>
      <w:r w:rsidRPr="00EE398F">
        <w:rPr>
          <w:rFonts w:ascii="Arial" w:hAnsi="Arial" w:cs="Arial"/>
          <w:i/>
          <w:iCs/>
          <w:color w:val="555555"/>
          <w:sz w:val="18"/>
          <w:szCs w:val="18"/>
          <w:shd w:val="clear" w:color="auto" w:fill="FFFFFF"/>
        </w:rPr>
        <w:t>Conference.Proceedings</w:t>
      </w:r>
      <w:proofErr w:type="spellEnd"/>
      <w:proofErr w:type="gramStart"/>
      <w:r w:rsidRPr="00EE398F">
        <w:rPr>
          <w:rFonts w:ascii="Arial" w:hAnsi="Arial" w:cs="Arial"/>
          <w:i/>
          <w:iCs/>
          <w:color w:val="555555"/>
          <w:sz w:val="18"/>
          <w:szCs w:val="18"/>
          <w:shd w:val="clear" w:color="auto" w:fill="FFFFFF"/>
        </w:rPr>
        <w:t>, </w:t>
      </w:r>
      <w:r w:rsidRPr="00EE398F">
        <w:rPr>
          <w:rFonts w:ascii="Arial" w:hAnsi="Arial" w:cs="Arial"/>
          <w:color w:val="555555"/>
          <w:sz w:val="18"/>
          <w:szCs w:val="18"/>
          <w:shd w:val="clear" w:color="auto" w:fill="FFFFFF"/>
        </w:rPr>
        <w:t>,</w:t>
      </w:r>
      <w:proofErr w:type="gramEnd"/>
      <w:r w:rsidRPr="00EE398F">
        <w:rPr>
          <w:rFonts w:ascii="Arial" w:hAnsi="Arial" w:cs="Arial"/>
          <w:color w:val="555555"/>
          <w:sz w:val="18"/>
          <w:szCs w:val="18"/>
          <w:shd w:val="clear" w:color="auto" w:fill="FFFFFF"/>
        </w:rPr>
        <w:t xml:space="preserve"> pp. 32-37.</w:t>
      </w:r>
    </w:p>
    <w:p w14:paraId="672E51A5" w14:textId="77777777" w:rsidR="00EE398F" w:rsidRPr="00EE398F" w:rsidRDefault="00EE398F" w:rsidP="00EE398F">
      <w:pPr>
        <w:rPr>
          <w:rFonts w:ascii="Arial" w:hAnsi="Arial" w:cs="Arial"/>
          <w:color w:val="555555"/>
          <w:sz w:val="18"/>
          <w:szCs w:val="18"/>
          <w:shd w:val="clear" w:color="auto" w:fill="FFFFFF"/>
        </w:rPr>
      </w:pPr>
      <w:r w:rsidRPr="00EE398F">
        <w:rPr>
          <w:rFonts w:ascii="Arial" w:hAnsi="Arial" w:cs="Arial"/>
          <w:color w:val="555555"/>
          <w:sz w:val="18"/>
          <w:szCs w:val="18"/>
          <w:shd w:val="clear" w:color="auto" w:fill="FFFFFF"/>
        </w:rPr>
        <w:t xml:space="preserve">Haghighat, G.E., </w:t>
      </w:r>
      <w:proofErr w:type="spellStart"/>
      <w:r w:rsidRPr="00EE398F">
        <w:rPr>
          <w:rFonts w:ascii="Arial" w:hAnsi="Arial" w:cs="Arial"/>
          <w:color w:val="555555"/>
          <w:sz w:val="18"/>
          <w:szCs w:val="18"/>
          <w:shd w:val="clear" w:color="auto" w:fill="FFFFFF"/>
        </w:rPr>
        <w:t>Hosseinichimeh</w:t>
      </w:r>
      <w:proofErr w:type="spellEnd"/>
      <w:r w:rsidRPr="00EE398F">
        <w:rPr>
          <w:rFonts w:ascii="Arial" w:hAnsi="Arial" w:cs="Arial"/>
          <w:color w:val="555555"/>
          <w:sz w:val="18"/>
          <w:szCs w:val="18"/>
          <w:shd w:val="clear" w:color="auto" w:fill="FFFFFF"/>
        </w:rPr>
        <w:t>, N. &amp; Kleiner, B.M. 2019, "Fundamental Elements of Reflective Practice in Organizations", </w:t>
      </w:r>
      <w:r w:rsidRPr="00EE398F">
        <w:rPr>
          <w:rFonts w:ascii="Arial" w:hAnsi="Arial" w:cs="Arial"/>
          <w:i/>
          <w:iCs/>
          <w:color w:val="555555"/>
          <w:sz w:val="18"/>
          <w:szCs w:val="18"/>
          <w:shd w:val="clear" w:color="auto" w:fill="FFFFFF"/>
        </w:rPr>
        <w:t xml:space="preserve">IIE Annual </w:t>
      </w:r>
      <w:proofErr w:type="spellStart"/>
      <w:r w:rsidRPr="00EE398F">
        <w:rPr>
          <w:rFonts w:ascii="Arial" w:hAnsi="Arial" w:cs="Arial"/>
          <w:i/>
          <w:iCs/>
          <w:color w:val="555555"/>
          <w:sz w:val="18"/>
          <w:szCs w:val="18"/>
          <w:shd w:val="clear" w:color="auto" w:fill="FFFFFF"/>
        </w:rPr>
        <w:t>Conference.Proceedings</w:t>
      </w:r>
      <w:proofErr w:type="spellEnd"/>
      <w:proofErr w:type="gramStart"/>
      <w:r w:rsidRPr="00EE398F">
        <w:rPr>
          <w:rFonts w:ascii="Arial" w:hAnsi="Arial" w:cs="Arial"/>
          <w:i/>
          <w:iCs/>
          <w:color w:val="555555"/>
          <w:sz w:val="18"/>
          <w:szCs w:val="18"/>
          <w:shd w:val="clear" w:color="auto" w:fill="FFFFFF"/>
        </w:rPr>
        <w:t>, </w:t>
      </w:r>
      <w:r w:rsidRPr="00EE398F">
        <w:rPr>
          <w:rFonts w:ascii="Arial" w:hAnsi="Arial" w:cs="Arial"/>
          <w:color w:val="555555"/>
          <w:sz w:val="18"/>
          <w:szCs w:val="18"/>
          <w:shd w:val="clear" w:color="auto" w:fill="FFFFFF"/>
        </w:rPr>
        <w:t>,</w:t>
      </w:r>
      <w:proofErr w:type="gramEnd"/>
      <w:r w:rsidRPr="00EE398F">
        <w:rPr>
          <w:rFonts w:ascii="Arial" w:hAnsi="Arial" w:cs="Arial"/>
          <w:color w:val="555555"/>
          <w:sz w:val="18"/>
          <w:szCs w:val="18"/>
          <w:shd w:val="clear" w:color="auto" w:fill="FFFFFF"/>
        </w:rPr>
        <w:t xml:space="preserve"> pp. 32-37.</w:t>
      </w:r>
    </w:p>
    <w:p w14:paraId="76FF03ED" w14:textId="77777777" w:rsidR="00EE398F" w:rsidRPr="00EE398F" w:rsidRDefault="00EE398F" w:rsidP="00EE398F">
      <w:pPr>
        <w:rPr>
          <w:rFonts w:ascii="Arial" w:hAnsi="Arial" w:cs="Arial"/>
          <w:color w:val="222222"/>
          <w:shd w:val="clear" w:color="auto" w:fill="FFFFFF"/>
        </w:rPr>
      </w:pPr>
      <w:r w:rsidRPr="00EE398F">
        <w:rPr>
          <w:rFonts w:ascii="Arial" w:hAnsi="Arial" w:cs="Arial"/>
          <w:color w:val="222222"/>
          <w:shd w:val="clear" w:color="auto" w:fill="FFFFFF"/>
        </w:rPr>
        <w:t xml:space="preserve">Haylock, S., </w:t>
      </w:r>
      <w:proofErr w:type="spellStart"/>
      <w:r w:rsidRPr="00EE398F">
        <w:rPr>
          <w:rFonts w:ascii="Arial" w:hAnsi="Arial" w:cs="Arial"/>
          <w:color w:val="222222"/>
          <w:shd w:val="clear" w:color="auto" w:fill="FFFFFF"/>
        </w:rPr>
        <w:t>Boshari</w:t>
      </w:r>
      <w:proofErr w:type="spellEnd"/>
      <w:r w:rsidRPr="00EE398F">
        <w:rPr>
          <w:rFonts w:ascii="Arial" w:hAnsi="Arial" w:cs="Arial"/>
          <w:color w:val="222222"/>
          <w:shd w:val="clear" w:color="auto" w:fill="FFFFFF"/>
        </w:rPr>
        <w:t>, T., Alexander, E.C. </w:t>
      </w:r>
      <w:r w:rsidRPr="00EE398F">
        <w:rPr>
          <w:rFonts w:ascii="Arial" w:hAnsi="Arial" w:cs="Arial"/>
          <w:i/>
          <w:iCs/>
          <w:color w:val="222222"/>
          <w:shd w:val="clear" w:color="auto" w:fill="FFFFFF"/>
        </w:rPr>
        <w:t>et al.</w:t>
      </w:r>
      <w:r w:rsidRPr="00EE398F">
        <w:rPr>
          <w:rFonts w:ascii="Arial" w:hAnsi="Arial" w:cs="Arial"/>
          <w:color w:val="222222"/>
          <w:shd w:val="clear" w:color="auto" w:fill="FFFFFF"/>
        </w:rPr>
        <w:t> (2020) Risk factors associated with knife-crime in United Kingdom among young people aged 10–24 years: a systematic review. </w:t>
      </w:r>
      <w:r w:rsidRPr="00EE398F">
        <w:rPr>
          <w:rFonts w:ascii="Arial" w:hAnsi="Arial" w:cs="Arial"/>
          <w:i/>
          <w:iCs/>
          <w:color w:val="222222"/>
          <w:shd w:val="clear" w:color="auto" w:fill="FFFFFF"/>
        </w:rPr>
        <w:t>BMC Public Health</w:t>
      </w:r>
      <w:r w:rsidRPr="00EE398F">
        <w:rPr>
          <w:rFonts w:ascii="Arial" w:hAnsi="Arial" w:cs="Arial"/>
          <w:color w:val="222222"/>
          <w:shd w:val="clear" w:color="auto" w:fill="FFFFFF"/>
        </w:rPr>
        <w:t> </w:t>
      </w:r>
      <w:r w:rsidRPr="00EE398F">
        <w:rPr>
          <w:rFonts w:ascii="Arial" w:hAnsi="Arial" w:cs="Arial"/>
          <w:b/>
          <w:bCs/>
          <w:color w:val="222222"/>
          <w:shd w:val="clear" w:color="auto" w:fill="FFFFFF"/>
        </w:rPr>
        <w:t>20</w:t>
      </w:r>
      <w:r w:rsidRPr="00EE398F">
        <w:rPr>
          <w:rFonts w:ascii="Arial" w:hAnsi="Arial" w:cs="Arial"/>
          <w:color w:val="222222"/>
          <w:shd w:val="clear" w:color="auto" w:fill="FFFFFF"/>
        </w:rPr>
        <w:t xml:space="preserve">, 1451 (2020). Available at: </w:t>
      </w:r>
      <w:hyperlink r:id="rId24" w:history="1">
        <w:r w:rsidRPr="00EE398F">
          <w:rPr>
            <w:rStyle w:val="Hyperlink"/>
            <w:rFonts w:ascii="Arial" w:hAnsi="Arial" w:cs="Arial"/>
            <w:shd w:val="clear" w:color="auto" w:fill="FFFFFF"/>
          </w:rPr>
          <w:t>https://doi.org/10.1186/s12889-020-09498-4</w:t>
        </w:r>
      </w:hyperlink>
      <w:r w:rsidRPr="00EE398F">
        <w:rPr>
          <w:rFonts w:ascii="Arial" w:hAnsi="Arial" w:cs="Arial"/>
          <w:color w:val="222222"/>
          <w:shd w:val="clear" w:color="auto" w:fill="FFFFFF"/>
        </w:rPr>
        <w:t xml:space="preserve"> </w:t>
      </w:r>
    </w:p>
    <w:p w14:paraId="304684E6" w14:textId="77777777" w:rsidR="00EE398F" w:rsidRPr="00EE398F" w:rsidRDefault="00EE398F" w:rsidP="00EE398F">
      <w:pPr>
        <w:rPr>
          <w:rFonts w:ascii="Arial" w:hAnsi="Arial" w:cs="Arial"/>
          <w:color w:val="222222"/>
          <w:shd w:val="clear" w:color="auto" w:fill="FFFFFF"/>
        </w:rPr>
      </w:pPr>
      <w:r w:rsidRPr="00EE398F">
        <w:rPr>
          <w:rFonts w:ascii="Arial" w:hAnsi="Arial" w:cs="Arial"/>
          <w:color w:val="222222"/>
          <w:shd w:val="clear" w:color="auto" w:fill="FFFFFF"/>
        </w:rPr>
        <w:lastRenderedPageBreak/>
        <w:t xml:space="preserve">Haylock, S., </w:t>
      </w:r>
      <w:proofErr w:type="spellStart"/>
      <w:r w:rsidRPr="00EE398F">
        <w:rPr>
          <w:rFonts w:ascii="Arial" w:hAnsi="Arial" w:cs="Arial"/>
          <w:color w:val="222222"/>
          <w:shd w:val="clear" w:color="auto" w:fill="FFFFFF"/>
        </w:rPr>
        <w:t>Boshari</w:t>
      </w:r>
      <w:proofErr w:type="spellEnd"/>
      <w:r w:rsidRPr="00EE398F">
        <w:rPr>
          <w:rFonts w:ascii="Arial" w:hAnsi="Arial" w:cs="Arial"/>
          <w:color w:val="222222"/>
          <w:shd w:val="clear" w:color="auto" w:fill="FFFFFF"/>
        </w:rPr>
        <w:t>, T., Alexander, E.C. </w:t>
      </w:r>
      <w:r w:rsidRPr="00EE398F">
        <w:rPr>
          <w:rFonts w:ascii="Arial" w:hAnsi="Arial" w:cs="Arial"/>
          <w:i/>
          <w:iCs/>
          <w:color w:val="222222"/>
          <w:shd w:val="clear" w:color="auto" w:fill="FFFFFF"/>
        </w:rPr>
        <w:t>et al.</w:t>
      </w:r>
      <w:r w:rsidRPr="00EE398F">
        <w:rPr>
          <w:rFonts w:ascii="Arial" w:hAnsi="Arial" w:cs="Arial"/>
          <w:color w:val="222222"/>
          <w:shd w:val="clear" w:color="auto" w:fill="FFFFFF"/>
        </w:rPr>
        <w:t> (2020) Risk factors associated with knife-crime in United Kingdom among young people aged 10–24 years: a systematic review. </w:t>
      </w:r>
      <w:r w:rsidRPr="00EE398F">
        <w:rPr>
          <w:rFonts w:ascii="Arial" w:hAnsi="Arial" w:cs="Arial"/>
          <w:i/>
          <w:iCs/>
          <w:color w:val="222222"/>
          <w:shd w:val="clear" w:color="auto" w:fill="FFFFFF"/>
        </w:rPr>
        <w:t>BMC Public Health</w:t>
      </w:r>
      <w:r w:rsidRPr="00EE398F">
        <w:rPr>
          <w:rFonts w:ascii="Arial" w:hAnsi="Arial" w:cs="Arial"/>
          <w:color w:val="222222"/>
          <w:shd w:val="clear" w:color="auto" w:fill="FFFFFF"/>
        </w:rPr>
        <w:t> </w:t>
      </w:r>
      <w:r w:rsidRPr="00EE398F">
        <w:rPr>
          <w:rFonts w:ascii="Arial" w:hAnsi="Arial" w:cs="Arial"/>
          <w:b/>
          <w:bCs/>
          <w:color w:val="222222"/>
          <w:shd w:val="clear" w:color="auto" w:fill="FFFFFF"/>
        </w:rPr>
        <w:t>20</w:t>
      </w:r>
      <w:r w:rsidRPr="00EE398F">
        <w:rPr>
          <w:rFonts w:ascii="Arial" w:hAnsi="Arial" w:cs="Arial"/>
          <w:color w:val="222222"/>
          <w:shd w:val="clear" w:color="auto" w:fill="FFFFFF"/>
        </w:rPr>
        <w:t xml:space="preserve">, 1451 (2020). Available at: </w:t>
      </w:r>
      <w:hyperlink r:id="rId25" w:history="1">
        <w:r w:rsidRPr="00EE398F">
          <w:rPr>
            <w:rStyle w:val="Hyperlink"/>
            <w:rFonts w:ascii="Arial" w:hAnsi="Arial" w:cs="Arial"/>
            <w:shd w:val="clear" w:color="auto" w:fill="FFFFFF"/>
          </w:rPr>
          <w:t>https://doi.org/10.1186/s12889-020-09498-4</w:t>
        </w:r>
      </w:hyperlink>
      <w:r w:rsidRPr="00EE398F">
        <w:rPr>
          <w:rFonts w:ascii="Arial" w:hAnsi="Arial" w:cs="Arial"/>
          <w:color w:val="222222"/>
          <w:shd w:val="clear" w:color="auto" w:fill="FFFFFF"/>
        </w:rPr>
        <w:t xml:space="preserve"> </w:t>
      </w:r>
    </w:p>
    <w:p w14:paraId="1C653151"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 xml:space="preserve">Heuse, S., </w:t>
      </w:r>
      <w:proofErr w:type="spellStart"/>
      <w:r w:rsidRPr="00EE398F">
        <w:rPr>
          <w:rFonts w:ascii="Arial" w:hAnsi="Arial" w:cs="Arial"/>
          <w:color w:val="3A3A3A"/>
          <w:sz w:val="23"/>
          <w:szCs w:val="23"/>
          <w:shd w:val="clear" w:color="auto" w:fill="FFFFFF"/>
        </w:rPr>
        <w:t>Gekeler</w:t>
      </w:r>
      <w:proofErr w:type="spellEnd"/>
      <w:r w:rsidRPr="00EE398F">
        <w:rPr>
          <w:rFonts w:ascii="Arial" w:hAnsi="Arial" w:cs="Arial"/>
          <w:color w:val="3A3A3A"/>
          <w:sz w:val="23"/>
          <w:szCs w:val="23"/>
          <w:shd w:val="clear" w:color="auto" w:fill="FFFFFF"/>
        </w:rPr>
        <w:t>, B. and Fodor, D. (2021) “The role of physical exercise as a personal resource against job stress,” </w:t>
      </w:r>
      <w:r w:rsidRPr="00EE398F">
        <w:rPr>
          <w:rFonts w:ascii="Arial" w:hAnsi="Arial" w:cs="Arial"/>
          <w:i/>
          <w:iCs/>
          <w:color w:val="3A3A3A"/>
          <w:sz w:val="23"/>
          <w:szCs w:val="23"/>
          <w:shd w:val="clear" w:color="auto" w:fill="FFFFFF"/>
        </w:rPr>
        <w:t>International journal of occupational safety and ergonomics</w:t>
      </w:r>
      <w:r w:rsidRPr="00EE398F">
        <w:rPr>
          <w:rFonts w:ascii="Arial" w:hAnsi="Arial" w:cs="Arial"/>
          <w:color w:val="3A3A3A"/>
          <w:sz w:val="23"/>
          <w:szCs w:val="23"/>
          <w:shd w:val="clear" w:color="auto" w:fill="FFFFFF"/>
        </w:rPr>
        <w:t xml:space="preserve">, 27(4), pp. 1251–1260. Available at: </w:t>
      </w:r>
      <w:hyperlink r:id="rId26" w:history="1">
        <w:r w:rsidRPr="00EE398F">
          <w:rPr>
            <w:rStyle w:val="Hyperlink"/>
            <w:rFonts w:ascii="Arial" w:hAnsi="Arial" w:cs="Arial"/>
            <w:sz w:val="23"/>
            <w:szCs w:val="23"/>
            <w:shd w:val="clear" w:color="auto" w:fill="FFFFFF"/>
          </w:rPr>
          <w:t>https://doi.org/10.1080/10803548.2020.1732648</w:t>
        </w:r>
      </w:hyperlink>
      <w:r w:rsidRPr="00EE398F">
        <w:rPr>
          <w:rFonts w:ascii="Arial" w:hAnsi="Arial" w:cs="Arial"/>
          <w:color w:val="3A3A3A"/>
          <w:sz w:val="23"/>
          <w:szCs w:val="23"/>
          <w:shd w:val="clear" w:color="auto" w:fill="FFFFFF"/>
        </w:rPr>
        <w:t>.</w:t>
      </w:r>
    </w:p>
    <w:p w14:paraId="7121A805" w14:textId="77777777" w:rsidR="00EE398F" w:rsidRPr="00EE398F" w:rsidRDefault="00EE398F" w:rsidP="00EE398F">
      <w:pPr>
        <w:rPr>
          <w:rFonts w:ascii="Arial" w:hAnsi="Arial" w:cs="Arial"/>
        </w:rPr>
      </w:pPr>
      <w:r w:rsidRPr="00EE398F">
        <w:rPr>
          <w:rFonts w:ascii="Arial" w:hAnsi="Arial" w:cs="Arial"/>
        </w:rPr>
        <w:t xml:space="preserve">Human Rights Act (1998) Available at: </w:t>
      </w:r>
      <w:hyperlink r:id="rId27" w:history="1">
        <w:r w:rsidRPr="00EE398F">
          <w:rPr>
            <w:rStyle w:val="Hyperlink"/>
            <w:rFonts w:ascii="Arial" w:hAnsi="Arial" w:cs="Arial"/>
          </w:rPr>
          <w:t>Human Rights Act 1998 (legislation.gov.uk)</w:t>
        </w:r>
      </w:hyperlink>
    </w:p>
    <w:p w14:paraId="3337BF7A" w14:textId="77777777" w:rsidR="00EE398F" w:rsidRPr="00EE398F" w:rsidRDefault="00EE398F" w:rsidP="00EE398F">
      <w:pPr>
        <w:rPr>
          <w:rFonts w:ascii="Arial" w:hAnsi="Arial" w:cs="Arial"/>
          <w:color w:val="333333"/>
        </w:rPr>
      </w:pPr>
      <w:proofErr w:type="spellStart"/>
      <w:r w:rsidRPr="00EE398F">
        <w:rPr>
          <w:rFonts w:ascii="Arial" w:hAnsi="Arial" w:cs="Arial"/>
          <w:color w:val="333333"/>
        </w:rPr>
        <w:t>L'Abate</w:t>
      </w:r>
      <w:proofErr w:type="spellEnd"/>
      <w:r w:rsidRPr="00EE398F">
        <w:rPr>
          <w:rFonts w:ascii="Arial" w:hAnsi="Arial" w:cs="Arial"/>
          <w:color w:val="333333"/>
        </w:rPr>
        <w:t>. (2009) </w:t>
      </w:r>
      <w:hyperlink r:id="rId28" w:history="1">
        <w:r w:rsidRPr="00EE398F">
          <w:rPr>
            <w:rStyle w:val="Hyperlink"/>
            <w:rFonts w:ascii="Arial" w:hAnsi="Arial" w:cs="Arial"/>
            <w:color w:val="10147E"/>
          </w:rPr>
          <w:t>The Drama Triangle: An Attempt to Resurrect a Neglected Pathogenic Model in Family Therapy Theory and Practice</w:t>
        </w:r>
      </w:hyperlink>
      <w:r w:rsidRPr="00EE398F">
        <w:rPr>
          <w:rFonts w:ascii="Arial" w:hAnsi="Arial" w:cs="Arial"/>
          <w:color w:val="333333"/>
        </w:rPr>
        <w:t>. </w:t>
      </w:r>
      <w:r w:rsidRPr="00EE398F">
        <w:rPr>
          <w:rFonts w:ascii="Arial" w:hAnsi="Arial" w:cs="Arial"/>
          <w:i/>
          <w:iCs/>
          <w:color w:val="333333"/>
        </w:rPr>
        <w:t>The American Journal of Family Therapy</w:t>
      </w:r>
      <w:r w:rsidRPr="00EE398F">
        <w:rPr>
          <w:rFonts w:ascii="Arial" w:hAnsi="Arial" w:cs="Arial"/>
          <w:color w:val="333333"/>
        </w:rPr>
        <w:t> 37:1, pages 1-11.</w:t>
      </w:r>
    </w:p>
    <w:p w14:paraId="7CB9884E"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 xml:space="preserve">Lac, A. and Donaldson, C.D. (2022) “Development and Validation of the Drama Triangle Scale: Are You a Victim, Rescuer, or </w:t>
      </w:r>
      <w:proofErr w:type="gramStart"/>
      <w:r w:rsidRPr="00EE398F">
        <w:rPr>
          <w:rFonts w:ascii="Arial" w:hAnsi="Arial" w:cs="Arial"/>
          <w:color w:val="3A3A3A"/>
          <w:sz w:val="23"/>
          <w:szCs w:val="23"/>
          <w:shd w:val="clear" w:color="auto" w:fill="FFFFFF"/>
        </w:rPr>
        <w:t>Persecutor?,</w:t>
      </w:r>
      <w:proofErr w:type="gramEnd"/>
      <w:r w:rsidRPr="00EE398F">
        <w:rPr>
          <w:rFonts w:ascii="Arial" w:hAnsi="Arial" w:cs="Arial"/>
          <w:color w:val="3A3A3A"/>
          <w:sz w:val="23"/>
          <w:szCs w:val="23"/>
          <w:shd w:val="clear" w:color="auto" w:fill="FFFFFF"/>
        </w:rPr>
        <w:t>” </w:t>
      </w:r>
      <w:r w:rsidRPr="00EE398F">
        <w:rPr>
          <w:rFonts w:ascii="Arial" w:hAnsi="Arial" w:cs="Arial"/>
          <w:i/>
          <w:iCs/>
          <w:color w:val="3A3A3A"/>
          <w:sz w:val="23"/>
          <w:szCs w:val="23"/>
          <w:shd w:val="clear" w:color="auto" w:fill="FFFFFF"/>
        </w:rPr>
        <w:t>Journal of interpersonal violence</w:t>
      </w:r>
      <w:r w:rsidRPr="00EE398F">
        <w:rPr>
          <w:rFonts w:ascii="Arial" w:hAnsi="Arial" w:cs="Arial"/>
          <w:color w:val="3A3A3A"/>
          <w:sz w:val="23"/>
          <w:szCs w:val="23"/>
          <w:shd w:val="clear" w:color="auto" w:fill="FFFFFF"/>
        </w:rPr>
        <w:t xml:space="preserve">, 37(7–8), pp. NP4057–NP4081. Available at: </w:t>
      </w:r>
      <w:hyperlink r:id="rId29" w:history="1">
        <w:r w:rsidRPr="00EE398F">
          <w:rPr>
            <w:rStyle w:val="Hyperlink"/>
            <w:rFonts w:ascii="Arial" w:hAnsi="Arial" w:cs="Arial"/>
            <w:sz w:val="23"/>
            <w:szCs w:val="23"/>
            <w:shd w:val="clear" w:color="auto" w:fill="FFFFFF"/>
          </w:rPr>
          <w:t>https://doi.org/10.1177/0886260520957696</w:t>
        </w:r>
      </w:hyperlink>
      <w:r w:rsidRPr="00EE398F">
        <w:rPr>
          <w:rFonts w:ascii="Arial" w:hAnsi="Arial" w:cs="Arial"/>
          <w:color w:val="3A3A3A"/>
          <w:sz w:val="23"/>
          <w:szCs w:val="23"/>
          <w:shd w:val="clear" w:color="auto" w:fill="FFFFFF"/>
        </w:rPr>
        <w:t>.</w:t>
      </w:r>
    </w:p>
    <w:p w14:paraId="74AF0222"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Landolfi, E. (2013) “Exercise Addiction,” </w:t>
      </w:r>
      <w:r w:rsidRPr="00EE398F">
        <w:rPr>
          <w:rFonts w:ascii="Arial" w:hAnsi="Arial" w:cs="Arial"/>
          <w:i/>
          <w:iCs/>
          <w:color w:val="3A3A3A"/>
          <w:sz w:val="23"/>
          <w:szCs w:val="23"/>
          <w:shd w:val="clear" w:color="auto" w:fill="FFFFFF"/>
        </w:rPr>
        <w:t>Sports medicine (Auckland)</w:t>
      </w:r>
      <w:r w:rsidRPr="00EE398F">
        <w:rPr>
          <w:rFonts w:ascii="Arial" w:hAnsi="Arial" w:cs="Arial"/>
          <w:color w:val="3A3A3A"/>
          <w:sz w:val="23"/>
          <w:szCs w:val="23"/>
          <w:shd w:val="clear" w:color="auto" w:fill="FFFFFF"/>
        </w:rPr>
        <w:t xml:space="preserve">, 43(2), pp. 111–119. Available at: </w:t>
      </w:r>
      <w:hyperlink r:id="rId30" w:history="1">
        <w:r w:rsidRPr="00EE398F">
          <w:rPr>
            <w:rStyle w:val="Hyperlink"/>
            <w:rFonts w:ascii="Arial" w:hAnsi="Arial" w:cs="Arial"/>
            <w:sz w:val="23"/>
            <w:szCs w:val="23"/>
            <w:shd w:val="clear" w:color="auto" w:fill="FFFFFF"/>
          </w:rPr>
          <w:t>https://doi.org/10.1007/s40279-012-0013-x</w:t>
        </w:r>
      </w:hyperlink>
      <w:r w:rsidRPr="00EE398F">
        <w:rPr>
          <w:rFonts w:ascii="Arial" w:hAnsi="Arial" w:cs="Arial"/>
          <w:color w:val="3A3A3A"/>
          <w:sz w:val="23"/>
          <w:szCs w:val="23"/>
          <w:shd w:val="clear" w:color="auto" w:fill="FFFFFF"/>
        </w:rPr>
        <w:t>.</w:t>
      </w:r>
    </w:p>
    <w:p w14:paraId="78F1BE78"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Lilly, M. </w:t>
      </w:r>
      <w:r w:rsidRPr="00EE398F">
        <w:rPr>
          <w:rFonts w:ascii="Arial" w:hAnsi="Arial" w:cs="Arial"/>
          <w:i/>
          <w:iCs/>
          <w:color w:val="3A3A3A"/>
          <w:sz w:val="23"/>
          <w:szCs w:val="23"/>
          <w:shd w:val="clear" w:color="auto" w:fill="FFFFFF"/>
        </w:rPr>
        <w:t>et al.</w:t>
      </w:r>
      <w:r w:rsidRPr="00EE398F">
        <w:rPr>
          <w:rFonts w:ascii="Arial" w:hAnsi="Arial" w:cs="Arial"/>
          <w:color w:val="3A3A3A"/>
          <w:sz w:val="23"/>
          <w:szCs w:val="23"/>
          <w:shd w:val="clear" w:color="auto" w:fill="FFFFFF"/>
        </w:rPr>
        <w:t> (2019) “Destress 9-1-1—an online mindfulness-based intervention in reducing stress among emergency medical dispatchers: a randomised controlled trial,” </w:t>
      </w:r>
      <w:r w:rsidRPr="00EE398F">
        <w:rPr>
          <w:rFonts w:ascii="Arial" w:hAnsi="Arial" w:cs="Arial"/>
          <w:i/>
          <w:iCs/>
          <w:color w:val="3A3A3A"/>
          <w:sz w:val="23"/>
          <w:szCs w:val="23"/>
          <w:shd w:val="clear" w:color="auto" w:fill="FFFFFF"/>
        </w:rPr>
        <w:t>Occupational and environmental medicine (London, England)</w:t>
      </w:r>
      <w:r w:rsidRPr="00EE398F">
        <w:rPr>
          <w:rFonts w:ascii="Arial" w:hAnsi="Arial" w:cs="Arial"/>
          <w:color w:val="3A3A3A"/>
          <w:sz w:val="23"/>
          <w:szCs w:val="23"/>
          <w:shd w:val="clear" w:color="auto" w:fill="FFFFFF"/>
        </w:rPr>
        <w:t xml:space="preserve">, 76(10), pp. 705–711. Available at: </w:t>
      </w:r>
      <w:hyperlink r:id="rId31" w:history="1">
        <w:r w:rsidRPr="00EE398F">
          <w:rPr>
            <w:rStyle w:val="Hyperlink"/>
            <w:rFonts w:ascii="Arial" w:hAnsi="Arial" w:cs="Arial"/>
            <w:sz w:val="23"/>
            <w:szCs w:val="23"/>
            <w:shd w:val="clear" w:color="auto" w:fill="FFFFFF"/>
          </w:rPr>
          <w:t>https://doi.org/10.1136/oemed-2018-105598</w:t>
        </w:r>
      </w:hyperlink>
      <w:r w:rsidRPr="00EE398F">
        <w:rPr>
          <w:rFonts w:ascii="Arial" w:hAnsi="Arial" w:cs="Arial"/>
          <w:color w:val="3A3A3A"/>
          <w:sz w:val="23"/>
          <w:szCs w:val="23"/>
          <w:shd w:val="clear" w:color="auto" w:fill="FFFFFF"/>
        </w:rPr>
        <w:t>.</w:t>
      </w:r>
    </w:p>
    <w:p w14:paraId="6D2505FD"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Lucas, T., Weidner, N. and Janisse, J. (2012) “Where does work stress come from? A generalizability analysis of stress in police officers,” </w:t>
      </w:r>
      <w:r w:rsidRPr="00EE398F">
        <w:rPr>
          <w:rFonts w:ascii="Arial" w:hAnsi="Arial" w:cs="Arial"/>
          <w:i/>
          <w:iCs/>
          <w:color w:val="3A3A3A"/>
          <w:sz w:val="23"/>
          <w:szCs w:val="23"/>
          <w:shd w:val="clear" w:color="auto" w:fill="FFFFFF"/>
        </w:rPr>
        <w:t>Psychology &amp; health</w:t>
      </w:r>
      <w:r w:rsidRPr="00EE398F">
        <w:rPr>
          <w:rFonts w:ascii="Arial" w:hAnsi="Arial" w:cs="Arial"/>
          <w:color w:val="3A3A3A"/>
          <w:sz w:val="23"/>
          <w:szCs w:val="23"/>
          <w:shd w:val="clear" w:color="auto" w:fill="FFFFFF"/>
        </w:rPr>
        <w:t xml:space="preserve">, 27(12), pp. 1426–1447. Available at: </w:t>
      </w:r>
      <w:hyperlink r:id="rId32" w:history="1">
        <w:r w:rsidRPr="00EE398F">
          <w:rPr>
            <w:rStyle w:val="Hyperlink"/>
            <w:rFonts w:ascii="Arial" w:hAnsi="Arial" w:cs="Arial"/>
            <w:sz w:val="23"/>
            <w:szCs w:val="23"/>
            <w:shd w:val="clear" w:color="auto" w:fill="FFFFFF"/>
          </w:rPr>
          <w:t>https://doi.org/10.1080/08870446.2012.687738</w:t>
        </w:r>
      </w:hyperlink>
      <w:r w:rsidRPr="00EE398F">
        <w:rPr>
          <w:rFonts w:ascii="Arial" w:hAnsi="Arial" w:cs="Arial"/>
          <w:color w:val="3A3A3A"/>
          <w:sz w:val="23"/>
          <w:szCs w:val="23"/>
          <w:shd w:val="clear" w:color="auto" w:fill="FFFFFF"/>
        </w:rPr>
        <w:t>.</w:t>
      </w:r>
    </w:p>
    <w:p w14:paraId="4063B99D" w14:textId="77777777" w:rsidR="00EE398F" w:rsidRPr="00EE398F" w:rsidRDefault="00EE398F" w:rsidP="00EE398F">
      <w:pPr>
        <w:rPr>
          <w:rFonts w:ascii="Arial" w:hAnsi="Arial" w:cs="Arial"/>
        </w:rPr>
      </w:pPr>
      <w:r w:rsidRPr="00EE398F">
        <w:rPr>
          <w:rFonts w:ascii="Arial" w:hAnsi="Arial" w:cs="Arial"/>
        </w:rPr>
        <w:t>Miller, L. (2006). Practical police psychology: Stress management and crisis intervention for law enforcement. Springfield, IL: Charles C. Thomas</w:t>
      </w:r>
    </w:p>
    <w:p w14:paraId="4CD49BDE" w14:textId="77777777" w:rsidR="00EE398F" w:rsidRPr="00EE398F" w:rsidRDefault="00EE398F" w:rsidP="00EE398F">
      <w:pPr>
        <w:rPr>
          <w:rFonts w:ascii="Arial" w:hAnsi="Arial" w:cs="Arial"/>
          <w:color w:val="000000" w:themeColor="text1"/>
          <w:sz w:val="23"/>
          <w:szCs w:val="23"/>
          <w:shd w:val="clear" w:color="auto" w:fill="FFFFFF"/>
        </w:rPr>
      </w:pPr>
      <w:r w:rsidRPr="00EE398F">
        <w:rPr>
          <w:rFonts w:ascii="Arial" w:hAnsi="Arial" w:cs="Arial"/>
          <w:color w:val="000000" w:themeColor="text1"/>
          <w:sz w:val="23"/>
          <w:szCs w:val="23"/>
          <w:shd w:val="clear" w:color="auto" w:fill="FFFFFF"/>
        </w:rPr>
        <w:t xml:space="preserve">Ministry of Justice (2012) Public Sector Equality Duty. Available at: </w:t>
      </w:r>
      <w:hyperlink r:id="rId33" w:history="1">
        <w:r w:rsidRPr="00EE398F">
          <w:rPr>
            <w:rStyle w:val="Hyperlink"/>
            <w:rFonts w:ascii="Arial" w:hAnsi="Arial" w:cs="Arial"/>
          </w:rPr>
          <w:t>Public sector equality duty - GOV.UK (www.gov.uk)</w:t>
        </w:r>
      </w:hyperlink>
      <w:r w:rsidRPr="00EE398F">
        <w:rPr>
          <w:rFonts w:ascii="Arial" w:hAnsi="Arial" w:cs="Arial"/>
          <w:color w:val="000000" w:themeColor="text1"/>
          <w:sz w:val="23"/>
          <w:szCs w:val="23"/>
          <w:shd w:val="clear" w:color="auto" w:fill="FFFFFF"/>
        </w:rPr>
        <w:t xml:space="preserve"> (Accessed XXXX)</w:t>
      </w:r>
    </w:p>
    <w:p w14:paraId="136C79B4" w14:textId="77777777" w:rsidR="00EE398F" w:rsidRPr="00EE398F" w:rsidRDefault="00EE398F" w:rsidP="00EE398F">
      <w:pPr>
        <w:rPr>
          <w:rFonts w:ascii="Arial" w:hAnsi="Arial" w:cs="Arial"/>
        </w:rPr>
      </w:pPr>
      <w:r w:rsidRPr="00EE398F">
        <w:rPr>
          <w:rFonts w:ascii="Arial" w:hAnsi="Arial" w:cs="Arial"/>
        </w:rPr>
        <w:t xml:space="preserve">Ministry of Justice (2020) </w:t>
      </w:r>
      <w:r w:rsidRPr="00EE398F">
        <w:rPr>
          <w:rFonts w:ascii="Arial" w:hAnsi="Arial" w:cs="Arial"/>
          <w:i/>
          <w:iCs/>
        </w:rPr>
        <w:t>Code of Practice for Victims of Crime in England and Wales.</w:t>
      </w:r>
      <w:r w:rsidRPr="00EE398F">
        <w:rPr>
          <w:rFonts w:ascii="Arial" w:hAnsi="Arial" w:cs="Arial"/>
        </w:rPr>
        <w:t xml:space="preserve"> Available at: </w:t>
      </w:r>
      <w:hyperlink r:id="rId34" w:history="1">
        <w:r w:rsidRPr="00EE398F">
          <w:rPr>
            <w:rStyle w:val="Hyperlink"/>
            <w:rFonts w:ascii="Arial" w:hAnsi="Arial" w:cs="Arial"/>
          </w:rPr>
          <w:t>MoJ Victims Code 2020 (publishing.service.gov.uk)</w:t>
        </w:r>
      </w:hyperlink>
    </w:p>
    <w:p w14:paraId="4385B101"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Morris, T.H. (2020) “Experiential learning - a systematic review and revision of Kolb’s model,” </w:t>
      </w:r>
      <w:r w:rsidRPr="00EE398F">
        <w:rPr>
          <w:rFonts w:ascii="Arial" w:hAnsi="Arial" w:cs="Arial"/>
          <w:i/>
          <w:iCs/>
          <w:color w:val="3A3A3A"/>
          <w:sz w:val="23"/>
          <w:szCs w:val="23"/>
          <w:shd w:val="clear" w:color="auto" w:fill="FFFFFF"/>
        </w:rPr>
        <w:t>Interactive learning environments</w:t>
      </w:r>
      <w:r w:rsidRPr="00EE398F">
        <w:rPr>
          <w:rFonts w:ascii="Arial" w:hAnsi="Arial" w:cs="Arial"/>
          <w:color w:val="3A3A3A"/>
          <w:sz w:val="23"/>
          <w:szCs w:val="23"/>
          <w:shd w:val="clear" w:color="auto" w:fill="FFFFFF"/>
        </w:rPr>
        <w:t xml:space="preserve">, 28(8), pp. 1064–1077. Available at: </w:t>
      </w:r>
      <w:hyperlink r:id="rId35" w:history="1">
        <w:r w:rsidRPr="00EE398F">
          <w:rPr>
            <w:rStyle w:val="Hyperlink"/>
            <w:rFonts w:ascii="Arial" w:hAnsi="Arial" w:cs="Arial"/>
            <w:sz w:val="23"/>
            <w:szCs w:val="23"/>
            <w:shd w:val="clear" w:color="auto" w:fill="FFFFFF"/>
          </w:rPr>
          <w:t>https://doi.org/10.1080/10494820.2019.1570279</w:t>
        </w:r>
      </w:hyperlink>
      <w:r w:rsidRPr="00EE398F">
        <w:rPr>
          <w:rFonts w:ascii="Arial" w:hAnsi="Arial" w:cs="Arial"/>
          <w:color w:val="3A3A3A"/>
          <w:sz w:val="23"/>
          <w:szCs w:val="23"/>
          <w:shd w:val="clear" w:color="auto" w:fill="FFFFFF"/>
        </w:rPr>
        <w:t>.</w:t>
      </w:r>
    </w:p>
    <w:p w14:paraId="7AE43931" w14:textId="77777777" w:rsidR="00EE398F" w:rsidRPr="00EE398F" w:rsidRDefault="00EE398F" w:rsidP="00EE398F">
      <w:pPr>
        <w:rPr>
          <w:rFonts w:ascii="Arial" w:hAnsi="Arial" w:cs="Arial"/>
        </w:rPr>
      </w:pPr>
      <w:r w:rsidRPr="00EE398F">
        <w:rPr>
          <w:rFonts w:ascii="Arial" w:hAnsi="Arial" w:cs="Arial"/>
        </w:rPr>
        <w:t>Murphy, L. R., &amp; Sauter, S. L. (2003). The USA perspective: Current issues and trends in the management of work stress. Australian Psychologist, 38, 151–157</w:t>
      </w:r>
    </w:p>
    <w:p w14:paraId="20731818" w14:textId="77777777" w:rsidR="00EE398F" w:rsidRPr="00EE398F" w:rsidRDefault="00EE398F" w:rsidP="00EE398F">
      <w:pPr>
        <w:rPr>
          <w:rFonts w:ascii="Arial" w:hAnsi="Arial" w:cs="Arial"/>
        </w:rPr>
      </w:pPr>
      <w:r w:rsidRPr="00EE398F">
        <w:rPr>
          <w:rFonts w:ascii="Arial" w:hAnsi="Arial" w:cs="Arial"/>
        </w:rPr>
        <w:t xml:space="preserve">National Police Chiefs Council (2024) </w:t>
      </w:r>
      <w:r w:rsidRPr="00EE398F">
        <w:rPr>
          <w:rFonts w:ascii="Arial" w:hAnsi="Arial" w:cs="Arial"/>
          <w:i/>
          <w:iCs/>
        </w:rPr>
        <w:t>Policing Vision 2030.</w:t>
      </w:r>
      <w:r w:rsidRPr="00EE398F">
        <w:rPr>
          <w:rFonts w:ascii="Arial" w:hAnsi="Arial" w:cs="Arial"/>
        </w:rPr>
        <w:t xml:space="preserve"> Available at: </w:t>
      </w:r>
      <w:hyperlink r:id="rId36" w:history="1">
        <w:r w:rsidRPr="00EE398F">
          <w:rPr>
            <w:rStyle w:val="Hyperlink"/>
            <w:rFonts w:ascii="Arial" w:hAnsi="Arial" w:cs="Arial"/>
          </w:rPr>
          <w:t>policing-vision-2030.pdf (npcc.police.uk)</w:t>
        </w:r>
      </w:hyperlink>
    </w:p>
    <w:p w14:paraId="7A701DF7" w14:textId="77777777" w:rsidR="00EE398F" w:rsidRPr="00EE398F" w:rsidRDefault="00EE398F" w:rsidP="00EE398F">
      <w:pPr>
        <w:rPr>
          <w:rFonts w:ascii="Arial" w:hAnsi="Arial" w:cs="Arial"/>
        </w:rPr>
      </w:pPr>
      <w:r w:rsidRPr="00EE398F">
        <w:rPr>
          <w:rFonts w:ascii="Arial" w:hAnsi="Arial" w:cs="Arial"/>
        </w:rPr>
        <w:t xml:space="preserve">NHS (2022) NHS Inform: Severe head injury. Available at: </w:t>
      </w:r>
      <w:hyperlink r:id="rId37" w:history="1">
        <w:r w:rsidRPr="00EE398F">
          <w:rPr>
            <w:rStyle w:val="Hyperlink"/>
            <w:rFonts w:ascii="Arial" w:hAnsi="Arial" w:cs="Arial"/>
          </w:rPr>
          <w:t>Severe head injury - Injuries &amp; first aid | NHS inform</w:t>
        </w:r>
      </w:hyperlink>
    </w:p>
    <w:p w14:paraId="3A3A9759"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Pollock, A. </w:t>
      </w:r>
      <w:r w:rsidRPr="00EE398F">
        <w:rPr>
          <w:rFonts w:ascii="Arial" w:hAnsi="Arial" w:cs="Arial"/>
          <w:i/>
          <w:iCs/>
          <w:color w:val="3A3A3A"/>
          <w:sz w:val="23"/>
          <w:szCs w:val="23"/>
          <w:shd w:val="clear" w:color="auto" w:fill="FFFFFF"/>
        </w:rPr>
        <w:t>et al.</w:t>
      </w:r>
      <w:r w:rsidRPr="00EE398F">
        <w:rPr>
          <w:rFonts w:ascii="Arial" w:hAnsi="Arial" w:cs="Arial"/>
          <w:color w:val="3A3A3A"/>
          <w:sz w:val="23"/>
          <w:szCs w:val="23"/>
          <w:shd w:val="clear" w:color="auto" w:fill="FFFFFF"/>
        </w:rPr>
        <w:t> (2020) “Interventions to support the resilience and mental health of frontline health and social care professionals during and after a disease outbreak, epidemic or pandemic: a mixed methods systematic review,” </w:t>
      </w:r>
      <w:r w:rsidRPr="00EE398F">
        <w:rPr>
          <w:rFonts w:ascii="Arial" w:hAnsi="Arial" w:cs="Arial"/>
          <w:i/>
          <w:iCs/>
          <w:color w:val="3A3A3A"/>
          <w:sz w:val="23"/>
          <w:szCs w:val="23"/>
          <w:shd w:val="clear" w:color="auto" w:fill="FFFFFF"/>
        </w:rPr>
        <w:t xml:space="preserve">Cochrane database of </w:t>
      </w:r>
      <w:r w:rsidRPr="00EE398F">
        <w:rPr>
          <w:rFonts w:ascii="Arial" w:hAnsi="Arial" w:cs="Arial"/>
          <w:i/>
          <w:iCs/>
          <w:color w:val="3A3A3A"/>
          <w:sz w:val="23"/>
          <w:szCs w:val="23"/>
          <w:shd w:val="clear" w:color="auto" w:fill="FFFFFF"/>
        </w:rPr>
        <w:lastRenderedPageBreak/>
        <w:t>systematic reviews</w:t>
      </w:r>
      <w:r w:rsidRPr="00EE398F">
        <w:rPr>
          <w:rFonts w:ascii="Arial" w:hAnsi="Arial" w:cs="Arial"/>
          <w:color w:val="3A3A3A"/>
          <w:sz w:val="23"/>
          <w:szCs w:val="23"/>
          <w:shd w:val="clear" w:color="auto" w:fill="FFFFFF"/>
        </w:rPr>
        <w:t xml:space="preserve">, 11(11), pp. CD013779-. Available at: </w:t>
      </w:r>
      <w:hyperlink r:id="rId38" w:history="1">
        <w:r w:rsidRPr="00EE398F">
          <w:rPr>
            <w:rStyle w:val="Hyperlink"/>
            <w:rFonts w:ascii="Arial" w:hAnsi="Arial" w:cs="Arial"/>
            <w:sz w:val="23"/>
            <w:szCs w:val="23"/>
            <w:shd w:val="clear" w:color="auto" w:fill="FFFFFF"/>
          </w:rPr>
          <w:t>https://doi.org/10.1002/14651858.CD013779</w:t>
        </w:r>
      </w:hyperlink>
      <w:r w:rsidRPr="00EE398F">
        <w:rPr>
          <w:rFonts w:ascii="Arial" w:hAnsi="Arial" w:cs="Arial"/>
          <w:color w:val="3A3A3A"/>
          <w:sz w:val="23"/>
          <w:szCs w:val="23"/>
          <w:shd w:val="clear" w:color="auto" w:fill="FFFFFF"/>
        </w:rPr>
        <w:t>.</w:t>
      </w:r>
    </w:p>
    <w:p w14:paraId="74CD0CAB" w14:textId="77777777" w:rsidR="00EE398F" w:rsidRPr="00EE398F" w:rsidRDefault="00EE398F" w:rsidP="00EE398F">
      <w:pPr>
        <w:rPr>
          <w:rFonts w:ascii="Arial" w:hAnsi="Arial" w:cs="Arial"/>
        </w:rPr>
      </w:pPr>
      <w:r w:rsidRPr="00EE398F">
        <w:rPr>
          <w:rFonts w:ascii="Arial" w:hAnsi="Arial" w:cs="Arial"/>
          <w:color w:val="333333"/>
          <w:shd w:val="clear" w:color="auto" w:fill="FFFFFF"/>
        </w:rPr>
        <w:t>Ricciardelli, R., Spencer, D. C., &amp; Dodge, A. (2021). “Society Wants to See a True Victim”: Police Interpretations of Victims of Sexual Violence. </w:t>
      </w:r>
      <w:r w:rsidRPr="00EE398F">
        <w:rPr>
          <w:rFonts w:ascii="Arial" w:hAnsi="Arial" w:cs="Arial"/>
          <w:i/>
          <w:iCs/>
          <w:color w:val="333333"/>
          <w:shd w:val="clear" w:color="auto" w:fill="FFFFFF"/>
        </w:rPr>
        <w:t>Feminist Criminology</w:t>
      </w:r>
      <w:r w:rsidRPr="00EE398F">
        <w:rPr>
          <w:rFonts w:ascii="Arial" w:hAnsi="Arial" w:cs="Arial"/>
          <w:color w:val="333333"/>
          <w:shd w:val="clear" w:color="auto" w:fill="FFFFFF"/>
        </w:rPr>
        <w:t>, </w:t>
      </w:r>
      <w:r w:rsidRPr="00EE398F">
        <w:rPr>
          <w:rFonts w:ascii="Arial" w:hAnsi="Arial" w:cs="Arial"/>
          <w:i/>
          <w:iCs/>
          <w:color w:val="333333"/>
          <w:shd w:val="clear" w:color="auto" w:fill="FFFFFF"/>
        </w:rPr>
        <w:t>16</w:t>
      </w:r>
      <w:r w:rsidRPr="00EE398F">
        <w:rPr>
          <w:rFonts w:ascii="Arial" w:hAnsi="Arial" w:cs="Arial"/>
          <w:color w:val="333333"/>
          <w:shd w:val="clear" w:color="auto" w:fill="FFFFFF"/>
        </w:rPr>
        <w:t>(2), 216-235. </w:t>
      </w:r>
      <w:hyperlink r:id="rId39" w:history="1">
        <w:r w:rsidRPr="00EE398F">
          <w:rPr>
            <w:rStyle w:val="Hyperlink"/>
            <w:rFonts w:ascii="Arial" w:hAnsi="Arial" w:cs="Arial"/>
            <w:color w:val="006ACC"/>
            <w:shd w:val="clear" w:color="auto" w:fill="FFFFFF"/>
          </w:rPr>
          <w:t>https://doi.org/10.1177/1557085120970270</w:t>
        </w:r>
      </w:hyperlink>
    </w:p>
    <w:p w14:paraId="796BE611" w14:textId="77777777" w:rsidR="00EE398F" w:rsidRPr="00EE398F" w:rsidRDefault="00EE398F" w:rsidP="00EE398F">
      <w:pPr>
        <w:rPr>
          <w:rFonts w:ascii="Arial" w:hAnsi="Arial" w:cs="Arial"/>
          <w:b/>
          <w:bCs/>
          <w:color w:val="FF33CC"/>
          <w:sz w:val="23"/>
          <w:szCs w:val="23"/>
          <w:shd w:val="clear" w:color="auto" w:fill="FFFFFF"/>
        </w:rPr>
      </w:pPr>
      <w:r w:rsidRPr="00EE398F">
        <w:rPr>
          <w:rFonts w:ascii="Arial" w:hAnsi="Arial" w:cs="Arial"/>
          <w:b/>
          <w:bCs/>
          <w:color w:val="FF33CC"/>
          <w:sz w:val="23"/>
          <w:szCs w:val="23"/>
          <w:shd w:val="clear" w:color="auto" w:fill="FFFFFF"/>
        </w:rPr>
        <w:t>Richardson, K.M. and Rothstein, H.R. (2008) “Effects of Occupational Stress Management Intervention Programs: A Meta-Analysis,” </w:t>
      </w:r>
      <w:r w:rsidRPr="00EE398F">
        <w:rPr>
          <w:rFonts w:ascii="Arial" w:hAnsi="Arial" w:cs="Arial"/>
          <w:b/>
          <w:bCs/>
          <w:i/>
          <w:iCs/>
          <w:color w:val="FF33CC"/>
          <w:sz w:val="23"/>
          <w:szCs w:val="23"/>
          <w:shd w:val="clear" w:color="auto" w:fill="FFFFFF"/>
        </w:rPr>
        <w:t>Journal of occupational health psychology</w:t>
      </w:r>
      <w:r w:rsidRPr="00EE398F">
        <w:rPr>
          <w:rFonts w:ascii="Arial" w:hAnsi="Arial" w:cs="Arial"/>
          <w:b/>
          <w:bCs/>
          <w:color w:val="FF33CC"/>
          <w:sz w:val="23"/>
          <w:szCs w:val="23"/>
          <w:shd w:val="clear" w:color="auto" w:fill="FFFFFF"/>
        </w:rPr>
        <w:t xml:space="preserve">, 13(1), pp. 69–93. Available at: </w:t>
      </w:r>
      <w:hyperlink r:id="rId40" w:history="1">
        <w:r w:rsidRPr="00EE398F">
          <w:rPr>
            <w:rStyle w:val="Hyperlink"/>
            <w:rFonts w:ascii="Arial" w:hAnsi="Arial" w:cs="Arial"/>
            <w:b/>
            <w:bCs/>
            <w:color w:val="FF33CC"/>
            <w:sz w:val="23"/>
            <w:szCs w:val="23"/>
            <w:shd w:val="clear" w:color="auto" w:fill="FFFFFF"/>
          </w:rPr>
          <w:t>https://doi.org/10.1037/1076-8998.13.1.69</w:t>
        </w:r>
      </w:hyperlink>
      <w:r w:rsidRPr="00EE398F">
        <w:rPr>
          <w:rFonts w:ascii="Arial" w:hAnsi="Arial" w:cs="Arial"/>
          <w:b/>
          <w:bCs/>
          <w:color w:val="FF33CC"/>
          <w:sz w:val="23"/>
          <w:szCs w:val="23"/>
          <w:shd w:val="clear" w:color="auto" w:fill="FFFFFF"/>
        </w:rPr>
        <w:t>.</w:t>
      </w:r>
    </w:p>
    <w:p w14:paraId="3B661462"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Robert W. Moeller </w:t>
      </w:r>
      <w:r w:rsidRPr="00EE398F">
        <w:rPr>
          <w:rFonts w:ascii="Arial" w:hAnsi="Arial" w:cs="Arial"/>
          <w:i/>
          <w:iCs/>
          <w:color w:val="3A3A3A"/>
          <w:sz w:val="23"/>
          <w:szCs w:val="23"/>
          <w:shd w:val="clear" w:color="auto" w:fill="FFFFFF"/>
        </w:rPr>
        <w:t>et al.</w:t>
      </w:r>
      <w:r w:rsidRPr="00EE398F">
        <w:rPr>
          <w:rFonts w:ascii="Arial" w:hAnsi="Arial" w:cs="Arial"/>
          <w:color w:val="3A3A3A"/>
          <w:sz w:val="23"/>
          <w:szCs w:val="23"/>
          <w:shd w:val="clear" w:color="auto" w:fill="FFFFFF"/>
        </w:rPr>
        <w:t> (2020) “The Differential Role of Coping, Physical Activity, and Mindfulness in College Student Adjustment,” </w:t>
      </w:r>
      <w:r w:rsidRPr="00EE398F">
        <w:rPr>
          <w:rFonts w:ascii="Arial" w:hAnsi="Arial" w:cs="Arial"/>
          <w:i/>
          <w:iCs/>
          <w:color w:val="3A3A3A"/>
          <w:sz w:val="23"/>
          <w:szCs w:val="23"/>
          <w:shd w:val="clear" w:color="auto" w:fill="FFFFFF"/>
        </w:rPr>
        <w:t>Frontiers in psychology</w:t>
      </w:r>
      <w:r w:rsidRPr="00EE398F">
        <w:rPr>
          <w:rFonts w:ascii="Arial" w:hAnsi="Arial" w:cs="Arial"/>
          <w:color w:val="3A3A3A"/>
          <w:sz w:val="23"/>
          <w:szCs w:val="23"/>
          <w:shd w:val="clear" w:color="auto" w:fill="FFFFFF"/>
        </w:rPr>
        <w:t xml:space="preserve">, 11. Available at: </w:t>
      </w:r>
      <w:hyperlink r:id="rId41" w:history="1">
        <w:r w:rsidRPr="00EE398F">
          <w:rPr>
            <w:rStyle w:val="Hyperlink"/>
            <w:rFonts w:ascii="Arial" w:hAnsi="Arial" w:cs="Arial"/>
            <w:sz w:val="23"/>
            <w:szCs w:val="23"/>
            <w:shd w:val="clear" w:color="auto" w:fill="FFFFFF"/>
          </w:rPr>
          <w:t>https://doi.org/10.3389/fpsyg.2020.01858</w:t>
        </w:r>
      </w:hyperlink>
      <w:r w:rsidRPr="00EE398F">
        <w:rPr>
          <w:rFonts w:ascii="Arial" w:hAnsi="Arial" w:cs="Arial"/>
          <w:color w:val="3A3A3A"/>
          <w:sz w:val="23"/>
          <w:szCs w:val="23"/>
          <w:shd w:val="clear" w:color="auto" w:fill="FFFFFF"/>
        </w:rPr>
        <w:t>.</w:t>
      </w:r>
    </w:p>
    <w:p w14:paraId="5628D755"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 xml:space="preserve">Rochette, L., Dogon, G. and </w:t>
      </w:r>
      <w:proofErr w:type="spellStart"/>
      <w:r w:rsidRPr="00EE398F">
        <w:rPr>
          <w:rFonts w:ascii="Arial" w:hAnsi="Arial" w:cs="Arial"/>
          <w:color w:val="3A3A3A"/>
          <w:sz w:val="23"/>
          <w:szCs w:val="23"/>
          <w:shd w:val="clear" w:color="auto" w:fill="FFFFFF"/>
        </w:rPr>
        <w:t>Vergely</w:t>
      </w:r>
      <w:proofErr w:type="spellEnd"/>
      <w:r w:rsidRPr="00EE398F">
        <w:rPr>
          <w:rFonts w:ascii="Arial" w:hAnsi="Arial" w:cs="Arial"/>
          <w:color w:val="3A3A3A"/>
          <w:sz w:val="23"/>
          <w:szCs w:val="23"/>
          <w:shd w:val="clear" w:color="auto" w:fill="FFFFFF"/>
        </w:rPr>
        <w:t>, C. (2023) “Stress: Eight Decades after Its Definition by Hans Selye: ‘Stress Is the Spice of Life,’” </w:t>
      </w:r>
      <w:r w:rsidRPr="00EE398F">
        <w:rPr>
          <w:rFonts w:ascii="Arial" w:hAnsi="Arial" w:cs="Arial"/>
          <w:i/>
          <w:iCs/>
          <w:color w:val="3A3A3A"/>
          <w:sz w:val="23"/>
          <w:szCs w:val="23"/>
          <w:shd w:val="clear" w:color="auto" w:fill="FFFFFF"/>
        </w:rPr>
        <w:t>Brain sciences</w:t>
      </w:r>
      <w:r w:rsidRPr="00EE398F">
        <w:rPr>
          <w:rFonts w:ascii="Arial" w:hAnsi="Arial" w:cs="Arial"/>
          <w:color w:val="3A3A3A"/>
          <w:sz w:val="23"/>
          <w:szCs w:val="23"/>
          <w:shd w:val="clear" w:color="auto" w:fill="FFFFFF"/>
        </w:rPr>
        <w:t xml:space="preserve">, 13(2), pp. 310-. Available at: </w:t>
      </w:r>
      <w:hyperlink r:id="rId42" w:history="1">
        <w:r w:rsidRPr="00EE398F">
          <w:rPr>
            <w:rStyle w:val="Hyperlink"/>
            <w:rFonts w:ascii="Arial" w:hAnsi="Arial" w:cs="Arial"/>
            <w:sz w:val="23"/>
            <w:szCs w:val="23"/>
            <w:shd w:val="clear" w:color="auto" w:fill="FFFFFF"/>
          </w:rPr>
          <w:t>https://doi.org/10.3390/brainsci13020310</w:t>
        </w:r>
      </w:hyperlink>
      <w:r w:rsidRPr="00EE398F">
        <w:rPr>
          <w:rFonts w:ascii="Arial" w:hAnsi="Arial" w:cs="Arial"/>
          <w:color w:val="3A3A3A"/>
          <w:sz w:val="23"/>
          <w:szCs w:val="23"/>
          <w:shd w:val="clear" w:color="auto" w:fill="FFFFFF"/>
        </w:rPr>
        <w:t>.</w:t>
      </w:r>
    </w:p>
    <w:p w14:paraId="77D9A8A6" w14:textId="77777777" w:rsidR="00EE398F" w:rsidRPr="00EE398F" w:rsidRDefault="00EE398F" w:rsidP="00EE398F">
      <w:pPr>
        <w:rPr>
          <w:rFonts w:ascii="Arial" w:hAnsi="Arial" w:cs="Arial"/>
        </w:rPr>
      </w:pPr>
      <w:r w:rsidRPr="00EE398F">
        <w:rPr>
          <w:rFonts w:ascii="Arial" w:hAnsi="Arial" w:cs="Arial"/>
          <w:color w:val="1C1D1E"/>
          <w:sz w:val="21"/>
          <w:szCs w:val="21"/>
          <w:shd w:val="clear" w:color="auto" w:fill="FFFFFF"/>
        </w:rPr>
        <w:t>Samson, A.C., Hardan, A.Y., Podell, R.W., Phillips, J.M. and Gross, J.J. (2015), Emotion regulation in autism spectrum disorder. Autism Res, 8: 9-18. Available at:  </w:t>
      </w:r>
      <w:hyperlink r:id="rId43" w:history="1">
        <w:r w:rsidRPr="00EE398F">
          <w:rPr>
            <w:rStyle w:val="Hyperlink"/>
            <w:rFonts w:ascii="Arial" w:hAnsi="Arial" w:cs="Arial"/>
            <w:sz w:val="21"/>
            <w:szCs w:val="21"/>
            <w:shd w:val="clear" w:color="auto" w:fill="FFFFFF"/>
          </w:rPr>
          <w:t>https://doi.org/10.1002/aur.1387</w:t>
        </w:r>
      </w:hyperlink>
    </w:p>
    <w:p w14:paraId="7427E129" w14:textId="77777777" w:rsidR="00EE398F" w:rsidRPr="00EE398F" w:rsidRDefault="00EE398F" w:rsidP="00EE398F">
      <w:pPr>
        <w:rPr>
          <w:rFonts w:ascii="Arial" w:hAnsi="Arial" w:cs="Arial"/>
        </w:rPr>
      </w:pPr>
      <w:r w:rsidRPr="00EE398F">
        <w:rPr>
          <w:rFonts w:ascii="Arial" w:hAnsi="Arial" w:cs="Arial"/>
          <w:color w:val="1C1D1E"/>
          <w:sz w:val="21"/>
          <w:szCs w:val="21"/>
          <w:shd w:val="clear" w:color="auto" w:fill="FFFFFF"/>
        </w:rPr>
        <w:t>Samson, A.C., Hardan, A.Y., Podell, R.W., Phillips, J.M. and Gross, J.J. (2015), Emotion regulation in autism spectrum disorder. Autism Res, 8: 9-18. Available at:  </w:t>
      </w:r>
      <w:hyperlink r:id="rId44" w:history="1">
        <w:r w:rsidRPr="00EE398F">
          <w:rPr>
            <w:rStyle w:val="Hyperlink"/>
            <w:rFonts w:ascii="Arial" w:hAnsi="Arial" w:cs="Arial"/>
            <w:sz w:val="21"/>
            <w:szCs w:val="21"/>
            <w:shd w:val="clear" w:color="auto" w:fill="FFFFFF"/>
          </w:rPr>
          <w:t>https://doi.org/10.1002/aur.1387</w:t>
        </w:r>
      </w:hyperlink>
    </w:p>
    <w:p w14:paraId="38F5E1A6" w14:textId="77777777" w:rsidR="00EE398F" w:rsidRPr="00EE398F" w:rsidRDefault="00EE398F" w:rsidP="00EE398F">
      <w:pPr>
        <w:rPr>
          <w:rFonts w:ascii="Arial" w:hAnsi="Arial" w:cs="Arial"/>
          <w:color w:val="3A3A3A"/>
          <w:sz w:val="23"/>
          <w:szCs w:val="23"/>
          <w:shd w:val="clear" w:color="auto" w:fill="FFFFFF"/>
        </w:rPr>
      </w:pPr>
      <w:proofErr w:type="spellStart"/>
      <w:r w:rsidRPr="00EE398F">
        <w:rPr>
          <w:rFonts w:ascii="Arial" w:hAnsi="Arial" w:cs="Arial"/>
          <w:color w:val="3A3A3A"/>
          <w:sz w:val="23"/>
          <w:szCs w:val="23"/>
          <w:shd w:val="clear" w:color="auto" w:fill="FFFFFF"/>
        </w:rPr>
        <w:t>Setyowati</w:t>
      </w:r>
      <w:proofErr w:type="spellEnd"/>
      <w:r w:rsidRPr="00EE398F">
        <w:rPr>
          <w:rFonts w:ascii="Arial" w:hAnsi="Arial" w:cs="Arial"/>
          <w:color w:val="3A3A3A"/>
          <w:sz w:val="23"/>
          <w:szCs w:val="23"/>
          <w:shd w:val="clear" w:color="auto" w:fill="FFFFFF"/>
        </w:rPr>
        <w:t>, A. </w:t>
      </w:r>
      <w:r w:rsidRPr="00EE398F">
        <w:rPr>
          <w:rFonts w:ascii="Arial" w:hAnsi="Arial" w:cs="Arial"/>
          <w:i/>
          <w:iCs/>
          <w:color w:val="3A3A3A"/>
          <w:sz w:val="23"/>
          <w:szCs w:val="23"/>
          <w:shd w:val="clear" w:color="auto" w:fill="FFFFFF"/>
        </w:rPr>
        <w:t>et al.</w:t>
      </w:r>
      <w:r w:rsidRPr="00EE398F">
        <w:rPr>
          <w:rFonts w:ascii="Arial" w:hAnsi="Arial" w:cs="Arial"/>
          <w:color w:val="3A3A3A"/>
          <w:sz w:val="23"/>
          <w:szCs w:val="23"/>
          <w:shd w:val="clear" w:color="auto" w:fill="FFFFFF"/>
        </w:rPr>
        <w:t> (2023) “Factors affecting shift work sleep disorder in female shift work nurses: Integrating shift workers’ coping with stress and transactional stress coping theory,” </w:t>
      </w:r>
      <w:r w:rsidRPr="00EE398F">
        <w:rPr>
          <w:rFonts w:ascii="Arial" w:hAnsi="Arial" w:cs="Arial"/>
          <w:i/>
          <w:iCs/>
          <w:color w:val="3A3A3A"/>
          <w:sz w:val="23"/>
          <w:szCs w:val="23"/>
          <w:shd w:val="clear" w:color="auto" w:fill="FFFFFF"/>
        </w:rPr>
        <w:t>Journal of public health research</w:t>
      </w:r>
      <w:r w:rsidRPr="00EE398F">
        <w:rPr>
          <w:rFonts w:ascii="Arial" w:hAnsi="Arial" w:cs="Arial"/>
          <w:color w:val="3A3A3A"/>
          <w:sz w:val="23"/>
          <w:szCs w:val="23"/>
          <w:shd w:val="clear" w:color="auto" w:fill="FFFFFF"/>
        </w:rPr>
        <w:t xml:space="preserve">, 12(2). Available at: </w:t>
      </w:r>
      <w:hyperlink r:id="rId45" w:history="1">
        <w:r w:rsidRPr="00EE398F">
          <w:rPr>
            <w:rStyle w:val="Hyperlink"/>
            <w:rFonts w:ascii="Arial" w:hAnsi="Arial" w:cs="Arial"/>
            <w:sz w:val="23"/>
            <w:szCs w:val="23"/>
            <w:shd w:val="clear" w:color="auto" w:fill="FFFFFF"/>
          </w:rPr>
          <w:t>https://doi.org/10.1177/22799036231182026</w:t>
        </w:r>
      </w:hyperlink>
      <w:r w:rsidRPr="00EE398F">
        <w:rPr>
          <w:rFonts w:ascii="Arial" w:hAnsi="Arial" w:cs="Arial"/>
          <w:color w:val="3A3A3A"/>
          <w:sz w:val="23"/>
          <w:szCs w:val="23"/>
          <w:shd w:val="clear" w:color="auto" w:fill="FFFFFF"/>
        </w:rPr>
        <w:t>.</w:t>
      </w:r>
    </w:p>
    <w:p w14:paraId="4BDE6B9B"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Stein, S. (Steven J.) and Bartone, P.T. (2020) </w:t>
      </w:r>
      <w:r w:rsidRPr="00EE398F">
        <w:rPr>
          <w:rFonts w:ascii="Arial" w:hAnsi="Arial" w:cs="Arial"/>
          <w:i/>
          <w:iCs/>
          <w:color w:val="3A3A3A"/>
          <w:sz w:val="23"/>
          <w:szCs w:val="23"/>
          <w:shd w:val="clear" w:color="auto" w:fill="FFFFFF"/>
        </w:rPr>
        <w:t>Hardiness making stress work for you to achieve your life goals</w:t>
      </w:r>
      <w:r w:rsidRPr="00EE398F">
        <w:rPr>
          <w:rFonts w:ascii="Arial" w:hAnsi="Arial" w:cs="Arial"/>
          <w:color w:val="3A3A3A"/>
          <w:sz w:val="23"/>
          <w:szCs w:val="23"/>
          <w:shd w:val="clear" w:color="auto" w:fill="FFFFFF"/>
        </w:rPr>
        <w:t>. Hoboken, New Jersey: John Wiley &amp; Sons, Inc.</w:t>
      </w:r>
    </w:p>
    <w:p w14:paraId="2ED2EC08" w14:textId="77777777" w:rsidR="00EE398F" w:rsidRPr="00EE398F" w:rsidRDefault="00EE398F" w:rsidP="00EE398F">
      <w:pPr>
        <w:rPr>
          <w:rFonts w:ascii="Arial" w:hAnsi="Arial" w:cs="Arial"/>
          <w:color w:val="3A3A3A"/>
          <w:sz w:val="23"/>
          <w:szCs w:val="23"/>
          <w:shd w:val="clear" w:color="auto" w:fill="FFFFFF"/>
        </w:rPr>
      </w:pPr>
      <w:proofErr w:type="spellStart"/>
      <w:r w:rsidRPr="00EE398F">
        <w:rPr>
          <w:rFonts w:ascii="Arial" w:hAnsi="Arial" w:cs="Arial"/>
          <w:color w:val="3A3A3A"/>
          <w:sz w:val="23"/>
          <w:szCs w:val="23"/>
          <w:shd w:val="clear" w:color="auto" w:fill="FFFFFF"/>
        </w:rPr>
        <w:t>Stranks</w:t>
      </w:r>
      <w:proofErr w:type="spellEnd"/>
      <w:r w:rsidRPr="00EE398F">
        <w:rPr>
          <w:rFonts w:ascii="Arial" w:hAnsi="Arial" w:cs="Arial"/>
          <w:color w:val="3A3A3A"/>
          <w:sz w:val="23"/>
          <w:szCs w:val="23"/>
          <w:shd w:val="clear" w:color="auto" w:fill="FFFFFF"/>
        </w:rPr>
        <w:t>, J.W. (2005) </w:t>
      </w:r>
      <w:r w:rsidRPr="00EE398F">
        <w:rPr>
          <w:rFonts w:ascii="Arial" w:hAnsi="Arial" w:cs="Arial"/>
          <w:i/>
          <w:iCs/>
          <w:color w:val="3A3A3A"/>
          <w:sz w:val="23"/>
          <w:szCs w:val="23"/>
          <w:shd w:val="clear" w:color="auto" w:fill="FFFFFF"/>
        </w:rPr>
        <w:t xml:space="preserve">Stress at </w:t>
      </w:r>
      <w:proofErr w:type="gramStart"/>
      <w:r w:rsidRPr="00EE398F">
        <w:rPr>
          <w:rFonts w:ascii="Arial" w:hAnsi="Arial" w:cs="Arial"/>
          <w:i/>
          <w:iCs/>
          <w:color w:val="3A3A3A"/>
          <w:sz w:val="23"/>
          <w:szCs w:val="23"/>
          <w:shd w:val="clear" w:color="auto" w:fill="FFFFFF"/>
        </w:rPr>
        <w:t>work :</w:t>
      </w:r>
      <w:proofErr w:type="gramEnd"/>
      <w:r w:rsidRPr="00EE398F">
        <w:rPr>
          <w:rFonts w:ascii="Arial" w:hAnsi="Arial" w:cs="Arial"/>
          <w:i/>
          <w:iCs/>
          <w:color w:val="3A3A3A"/>
          <w:sz w:val="23"/>
          <w:szCs w:val="23"/>
          <w:shd w:val="clear" w:color="auto" w:fill="FFFFFF"/>
        </w:rPr>
        <w:t xml:space="preserve"> management and prevention</w:t>
      </w:r>
      <w:r w:rsidRPr="00EE398F">
        <w:rPr>
          <w:rFonts w:ascii="Arial" w:hAnsi="Arial" w:cs="Arial"/>
          <w:color w:val="3A3A3A"/>
          <w:sz w:val="23"/>
          <w:szCs w:val="23"/>
          <w:shd w:val="clear" w:color="auto" w:fill="FFFFFF"/>
        </w:rPr>
        <w:t xml:space="preserve">. </w:t>
      </w:r>
      <w:proofErr w:type="gramStart"/>
      <w:r w:rsidRPr="00EE398F">
        <w:rPr>
          <w:rFonts w:ascii="Arial" w:hAnsi="Arial" w:cs="Arial"/>
          <w:color w:val="3A3A3A"/>
          <w:sz w:val="23"/>
          <w:szCs w:val="23"/>
          <w:shd w:val="clear" w:color="auto" w:fill="FFFFFF"/>
        </w:rPr>
        <w:t>Oxford ;</w:t>
      </w:r>
      <w:proofErr w:type="gramEnd"/>
      <w:r w:rsidRPr="00EE398F">
        <w:rPr>
          <w:rFonts w:ascii="Arial" w:hAnsi="Arial" w:cs="Arial"/>
          <w:color w:val="3A3A3A"/>
          <w:sz w:val="23"/>
          <w:szCs w:val="23"/>
          <w:shd w:val="clear" w:color="auto" w:fill="FFFFFF"/>
        </w:rPr>
        <w:t xml:space="preserve"> Elsevier/Butterworth-Heinemann. Available at: </w:t>
      </w:r>
      <w:hyperlink r:id="rId46" w:history="1">
        <w:r w:rsidRPr="00EE398F">
          <w:rPr>
            <w:rStyle w:val="Hyperlink"/>
            <w:rFonts w:ascii="Arial" w:hAnsi="Arial" w:cs="Arial"/>
            <w:sz w:val="23"/>
            <w:szCs w:val="23"/>
            <w:shd w:val="clear" w:color="auto" w:fill="FFFFFF"/>
          </w:rPr>
          <w:t>https://doi.org/10.4324/9780080481180</w:t>
        </w:r>
      </w:hyperlink>
      <w:r w:rsidRPr="00EE398F">
        <w:rPr>
          <w:rFonts w:ascii="Arial" w:hAnsi="Arial" w:cs="Arial"/>
          <w:color w:val="3A3A3A"/>
          <w:sz w:val="23"/>
          <w:szCs w:val="23"/>
          <w:shd w:val="clear" w:color="auto" w:fill="FFFFFF"/>
        </w:rPr>
        <w:t>.</w:t>
      </w:r>
    </w:p>
    <w:p w14:paraId="6CB5B6C3" w14:textId="77777777" w:rsidR="00EE398F" w:rsidRPr="00EE398F" w:rsidRDefault="00EE398F" w:rsidP="00EE398F">
      <w:pPr>
        <w:rPr>
          <w:rFonts w:ascii="Arial" w:hAnsi="Arial" w:cs="Arial"/>
          <w:color w:val="3A3A3A"/>
          <w:sz w:val="23"/>
          <w:szCs w:val="23"/>
          <w:shd w:val="clear" w:color="auto" w:fill="FFFFFF"/>
        </w:rPr>
      </w:pPr>
      <w:r w:rsidRPr="00EE398F">
        <w:rPr>
          <w:rFonts w:ascii="Arial" w:hAnsi="Arial" w:cs="Arial"/>
          <w:color w:val="3A3A3A"/>
          <w:sz w:val="23"/>
          <w:szCs w:val="23"/>
          <w:shd w:val="clear" w:color="auto" w:fill="FFFFFF"/>
        </w:rPr>
        <w:t>Stults-Kolehmainen, M.A. and Sinha, R. (2014) “The Effects of Stress on Physical Activity and Exercise,” </w:t>
      </w:r>
      <w:r w:rsidRPr="00EE398F">
        <w:rPr>
          <w:rFonts w:ascii="Arial" w:hAnsi="Arial" w:cs="Arial"/>
          <w:i/>
          <w:iCs/>
          <w:color w:val="3A3A3A"/>
          <w:sz w:val="23"/>
          <w:szCs w:val="23"/>
          <w:shd w:val="clear" w:color="auto" w:fill="FFFFFF"/>
        </w:rPr>
        <w:t>Sports medicine (Auckland)</w:t>
      </w:r>
      <w:r w:rsidRPr="00EE398F">
        <w:rPr>
          <w:rFonts w:ascii="Arial" w:hAnsi="Arial" w:cs="Arial"/>
          <w:color w:val="3A3A3A"/>
          <w:sz w:val="23"/>
          <w:szCs w:val="23"/>
          <w:shd w:val="clear" w:color="auto" w:fill="FFFFFF"/>
        </w:rPr>
        <w:t xml:space="preserve">, 44(1), pp. 81–121. Available at: </w:t>
      </w:r>
      <w:hyperlink r:id="rId47" w:history="1">
        <w:r w:rsidRPr="00EE398F">
          <w:rPr>
            <w:rStyle w:val="Hyperlink"/>
            <w:rFonts w:ascii="Arial" w:hAnsi="Arial" w:cs="Arial"/>
            <w:sz w:val="23"/>
            <w:szCs w:val="23"/>
            <w:shd w:val="clear" w:color="auto" w:fill="FFFFFF"/>
          </w:rPr>
          <w:t>https://doi.org/10.1007/s40279-013-0090-5</w:t>
        </w:r>
      </w:hyperlink>
      <w:r w:rsidRPr="00EE398F">
        <w:rPr>
          <w:rFonts w:ascii="Arial" w:hAnsi="Arial" w:cs="Arial"/>
          <w:color w:val="3A3A3A"/>
          <w:sz w:val="23"/>
          <w:szCs w:val="23"/>
          <w:shd w:val="clear" w:color="auto" w:fill="FFFFFF"/>
        </w:rPr>
        <w:t>.</w:t>
      </w:r>
    </w:p>
    <w:p w14:paraId="1231381A" w14:textId="77777777" w:rsidR="00EE398F" w:rsidRPr="00EE398F" w:rsidRDefault="00EE398F" w:rsidP="00EE398F">
      <w:pPr>
        <w:rPr>
          <w:rFonts w:ascii="Arial" w:hAnsi="Arial" w:cs="Arial"/>
          <w:color w:val="333333"/>
          <w:shd w:val="clear" w:color="auto" w:fill="EAEAEA"/>
        </w:rPr>
      </w:pPr>
      <w:r w:rsidRPr="00EE398F">
        <w:rPr>
          <w:rFonts w:ascii="Arial" w:hAnsi="Arial" w:cs="Arial"/>
          <w:color w:val="333333"/>
          <w:shd w:val="clear" w:color="auto" w:fill="EAEAEA"/>
        </w:rPr>
        <w:t xml:space="preserve">van </w:t>
      </w:r>
      <w:proofErr w:type="spellStart"/>
      <w:r w:rsidRPr="00EE398F">
        <w:rPr>
          <w:rFonts w:ascii="Arial" w:hAnsi="Arial" w:cs="Arial"/>
          <w:color w:val="333333"/>
          <w:shd w:val="clear" w:color="auto" w:fill="EAEAEA"/>
        </w:rPr>
        <w:t>Stokkom</w:t>
      </w:r>
      <w:proofErr w:type="spellEnd"/>
      <w:r w:rsidRPr="00EE398F">
        <w:rPr>
          <w:rFonts w:ascii="Arial" w:hAnsi="Arial" w:cs="Arial"/>
          <w:color w:val="333333"/>
          <w:shd w:val="clear" w:color="auto" w:fill="EAEAEA"/>
        </w:rPr>
        <w:t>, B. (2013). Victims’ needs and participation in justice: is there a role for vengeance? </w:t>
      </w:r>
      <w:r w:rsidRPr="00EE398F">
        <w:rPr>
          <w:rFonts w:ascii="Arial" w:hAnsi="Arial" w:cs="Arial"/>
          <w:i/>
          <w:iCs/>
          <w:color w:val="333333"/>
          <w:shd w:val="clear" w:color="auto" w:fill="EAEAEA"/>
        </w:rPr>
        <w:t>Restorative Justice</w:t>
      </w:r>
      <w:r w:rsidRPr="00EE398F">
        <w:rPr>
          <w:rFonts w:ascii="Arial" w:hAnsi="Arial" w:cs="Arial"/>
          <w:color w:val="333333"/>
          <w:shd w:val="clear" w:color="auto" w:fill="EAEAEA"/>
        </w:rPr>
        <w:t>, </w:t>
      </w:r>
      <w:r w:rsidRPr="00EE398F">
        <w:rPr>
          <w:rFonts w:ascii="Arial" w:hAnsi="Arial" w:cs="Arial"/>
          <w:i/>
          <w:iCs/>
          <w:color w:val="333333"/>
          <w:shd w:val="clear" w:color="auto" w:fill="EAEAEA"/>
        </w:rPr>
        <w:t>1</w:t>
      </w:r>
      <w:r w:rsidRPr="00EE398F">
        <w:rPr>
          <w:rFonts w:ascii="Arial" w:hAnsi="Arial" w:cs="Arial"/>
          <w:color w:val="333333"/>
          <w:shd w:val="clear" w:color="auto" w:fill="EAEAEA"/>
        </w:rPr>
        <w:t xml:space="preserve">(2), 168–189. </w:t>
      </w:r>
      <w:hyperlink r:id="rId48" w:history="1">
        <w:r w:rsidRPr="00EE398F">
          <w:rPr>
            <w:rStyle w:val="Hyperlink"/>
            <w:rFonts w:ascii="Arial" w:hAnsi="Arial" w:cs="Arial"/>
            <w:shd w:val="clear" w:color="auto" w:fill="EAEAEA"/>
          </w:rPr>
          <w:t>https://doi.org/10.5235/20504721.1.2.168</w:t>
        </w:r>
      </w:hyperlink>
    </w:p>
    <w:p w14:paraId="0541E83C" w14:textId="77777777" w:rsidR="00EE398F" w:rsidRPr="00EE398F" w:rsidRDefault="00EE398F" w:rsidP="00EE398F">
      <w:pPr>
        <w:rPr>
          <w:rFonts w:ascii="Arial" w:hAnsi="Arial" w:cs="Arial"/>
          <w:color w:val="000000" w:themeColor="text1"/>
        </w:rPr>
      </w:pPr>
      <w:r w:rsidRPr="00EE398F">
        <w:rPr>
          <w:rFonts w:ascii="Arial" w:hAnsi="Arial" w:cs="Arial"/>
          <w:color w:val="000000" w:themeColor="text1"/>
        </w:rPr>
        <w:t xml:space="preserve">Wedlock, Elaine and Tapley, Jacki (2016) What works in supporting victims of crime: A Rapid Evidence Assessment. Available at: </w:t>
      </w:r>
      <w:hyperlink r:id="rId49" w:history="1">
        <w:r w:rsidRPr="00EE398F">
          <w:rPr>
            <w:rStyle w:val="Hyperlink"/>
            <w:rFonts w:ascii="Arial" w:hAnsi="Arial" w:cs="Arial"/>
            <w:color w:val="000000" w:themeColor="text1"/>
          </w:rPr>
          <w:t>What works in supporting victims of crime: A Rapid Evidence Assessment</w:t>
        </w:r>
      </w:hyperlink>
      <w:r w:rsidRPr="00EE398F">
        <w:rPr>
          <w:rFonts w:ascii="Arial" w:hAnsi="Arial" w:cs="Arial"/>
          <w:color w:val="000000" w:themeColor="text1"/>
        </w:rPr>
        <w:t xml:space="preserve">  </w:t>
      </w:r>
    </w:p>
    <w:p w14:paraId="4C76EE68" w14:textId="77777777" w:rsidR="00EE398F" w:rsidRPr="00EE398F" w:rsidRDefault="00EE398F" w:rsidP="00EE398F">
      <w:pPr>
        <w:shd w:val="clear" w:color="auto" w:fill="FFFFFF"/>
        <w:spacing w:before="200" w:after="200" w:line="240" w:lineRule="auto"/>
        <w:rPr>
          <w:rFonts w:ascii="Arial" w:eastAsia="Times New Roman" w:hAnsi="Arial" w:cs="Arial"/>
          <w:color w:val="212121"/>
          <w:kern w:val="0"/>
          <w:sz w:val="26"/>
          <w:szCs w:val="26"/>
          <w:lang w:eastAsia="en-GB"/>
          <w14:ligatures w14:val="none"/>
        </w:rPr>
      </w:pPr>
      <w:r w:rsidRPr="00EE398F">
        <w:rPr>
          <w:rFonts w:ascii="Arial" w:eastAsia="Times New Roman" w:hAnsi="Arial" w:cs="Arial"/>
          <w:color w:val="212121"/>
          <w:kern w:val="0"/>
          <w:sz w:val="26"/>
          <w:szCs w:val="26"/>
          <w:lang w:eastAsia="en-GB"/>
          <w14:ligatures w14:val="none"/>
        </w:rPr>
        <w:t>World Health Organization. Burn-out an “occupational phenomenon”: International Classification of Diseases. </w:t>
      </w:r>
      <w:r w:rsidRPr="00EE398F">
        <w:rPr>
          <w:rFonts w:ascii="Arial" w:eastAsia="Times New Roman" w:hAnsi="Arial" w:cs="Arial"/>
          <w:i/>
          <w:iCs/>
          <w:color w:val="212121"/>
          <w:kern w:val="0"/>
          <w:sz w:val="26"/>
          <w:szCs w:val="26"/>
          <w:lang w:eastAsia="en-GB"/>
          <w14:ligatures w14:val="none"/>
        </w:rPr>
        <w:t>www.who.int/mental_health/evidence/burn-out/en/</w:t>
      </w:r>
      <w:r w:rsidRPr="00EE398F">
        <w:rPr>
          <w:rFonts w:ascii="Arial" w:eastAsia="Times New Roman" w:hAnsi="Arial" w:cs="Arial"/>
          <w:color w:val="212121"/>
          <w:kern w:val="0"/>
          <w:sz w:val="26"/>
          <w:szCs w:val="26"/>
          <w:lang w:eastAsia="en-GB"/>
          <w14:ligatures w14:val="none"/>
        </w:rPr>
        <w:t> 2019.</w:t>
      </w:r>
    </w:p>
    <w:p w14:paraId="09A4F6DB" w14:textId="77777777" w:rsidR="00EE398F" w:rsidRPr="00EE398F" w:rsidRDefault="00EE398F" w:rsidP="00EE398F">
      <w:pPr>
        <w:rPr>
          <w:rFonts w:ascii="Arial" w:hAnsi="Arial" w:cs="Arial"/>
          <w:sz w:val="24"/>
          <w:szCs w:val="24"/>
        </w:rPr>
      </w:pPr>
      <w:r w:rsidRPr="00EE398F">
        <w:rPr>
          <w:rFonts w:ascii="Arial" w:hAnsi="Arial" w:cs="Arial"/>
          <w:color w:val="282828"/>
          <w:shd w:val="clear" w:color="auto" w:fill="F7F7F7"/>
        </w:rPr>
        <w:lastRenderedPageBreak/>
        <w:t>Zimmaro, L. A., Salmon, P., Naidu, H., Rowe, J., Phillips, K., Rebholz, W. N., et al. (2016). Association of dispositional mindfulness with stress, cortisol, and well-being among university undergraduate students. </w:t>
      </w:r>
      <w:r w:rsidRPr="00EE398F">
        <w:rPr>
          <w:rFonts w:ascii="Arial" w:hAnsi="Arial" w:cs="Arial"/>
          <w:i/>
          <w:iCs/>
          <w:color w:val="282828"/>
          <w:shd w:val="clear" w:color="auto" w:fill="F7F7F7"/>
        </w:rPr>
        <w:t>Mindfulness</w:t>
      </w:r>
      <w:r w:rsidRPr="00EE398F">
        <w:rPr>
          <w:rFonts w:ascii="Arial" w:hAnsi="Arial" w:cs="Arial"/>
          <w:color w:val="282828"/>
          <w:shd w:val="clear" w:color="auto" w:fill="F7F7F7"/>
        </w:rPr>
        <w:t xml:space="preserve"> 7, 874–885. </w:t>
      </w:r>
      <w:proofErr w:type="spellStart"/>
      <w:r w:rsidRPr="00EE398F">
        <w:rPr>
          <w:rFonts w:ascii="Arial" w:hAnsi="Arial" w:cs="Arial"/>
          <w:color w:val="282828"/>
          <w:shd w:val="clear" w:color="auto" w:fill="F7F7F7"/>
        </w:rPr>
        <w:t>doi</w:t>
      </w:r>
      <w:proofErr w:type="spellEnd"/>
      <w:r w:rsidRPr="00EE398F">
        <w:rPr>
          <w:rFonts w:ascii="Arial" w:hAnsi="Arial" w:cs="Arial"/>
          <w:color w:val="282828"/>
          <w:shd w:val="clear" w:color="auto" w:fill="F7F7F7"/>
        </w:rPr>
        <w:t>: 10.1007/s12671-016-0526-</w:t>
      </w:r>
    </w:p>
    <w:sectPr w:rsidR="00EE398F" w:rsidRPr="00EE398F" w:rsidSect="00EE39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98F"/>
    <w:rsid w:val="00003499"/>
    <w:rsid w:val="00840A1C"/>
    <w:rsid w:val="009145EB"/>
    <w:rsid w:val="00B722FB"/>
    <w:rsid w:val="00BD4D2E"/>
    <w:rsid w:val="00EE398F"/>
    <w:rsid w:val="00F64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F89AF"/>
  <w15:chartTrackingRefBased/>
  <w15:docId w15:val="{203F4A4F-B856-4B34-8549-29CC7C76E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98F"/>
  </w:style>
  <w:style w:type="paragraph" w:styleId="Heading1">
    <w:name w:val="heading 1"/>
    <w:basedOn w:val="Normal"/>
    <w:next w:val="Normal"/>
    <w:link w:val="Heading1Char"/>
    <w:uiPriority w:val="9"/>
    <w:qFormat/>
    <w:rsid w:val="00EE39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39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39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9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9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9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9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9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9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9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39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39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9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9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9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9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9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98F"/>
    <w:rPr>
      <w:rFonts w:eastAsiaTheme="majorEastAsia" w:cstheme="majorBidi"/>
      <w:color w:val="272727" w:themeColor="text1" w:themeTint="D8"/>
    </w:rPr>
  </w:style>
  <w:style w:type="paragraph" w:styleId="Title">
    <w:name w:val="Title"/>
    <w:basedOn w:val="Normal"/>
    <w:next w:val="Normal"/>
    <w:link w:val="TitleChar"/>
    <w:uiPriority w:val="10"/>
    <w:qFormat/>
    <w:rsid w:val="00EE39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9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9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9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98F"/>
    <w:pPr>
      <w:spacing w:before="160"/>
      <w:jc w:val="center"/>
    </w:pPr>
    <w:rPr>
      <w:i/>
      <w:iCs/>
      <w:color w:val="404040" w:themeColor="text1" w:themeTint="BF"/>
    </w:rPr>
  </w:style>
  <w:style w:type="character" w:customStyle="1" w:styleId="QuoteChar">
    <w:name w:val="Quote Char"/>
    <w:basedOn w:val="DefaultParagraphFont"/>
    <w:link w:val="Quote"/>
    <w:uiPriority w:val="29"/>
    <w:rsid w:val="00EE398F"/>
    <w:rPr>
      <w:i/>
      <w:iCs/>
      <w:color w:val="404040" w:themeColor="text1" w:themeTint="BF"/>
    </w:rPr>
  </w:style>
  <w:style w:type="paragraph" w:styleId="ListParagraph">
    <w:name w:val="List Paragraph"/>
    <w:basedOn w:val="Normal"/>
    <w:uiPriority w:val="34"/>
    <w:qFormat/>
    <w:rsid w:val="00EE398F"/>
    <w:pPr>
      <w:ind w:left="720"/>
      <w:contextualSpacing/>
    </w:pPr>
  </w:style>
  <w:style w:type="character" w:styleId="IntenseEmphasis">
    <w:name w:val="Intense Emphasis"/>
    <w:basedOn w:val="DefaultParagraphFont"/>
    <w:uiPriority w:val="21"/>
    <w:qFormat/>
    <w:rsid w:val="00EE398F"/>
    <w:rPr>
      <w:i/>
      <w:iCs/>
      <w:color w:val="0F4761" w:themeColor="accent1" w:themeShade="BF"/>
    </w:rPr>
  </w:style>
  <w:style w:type="paragraph" w:styleId="IntenseQuote">
    <w:name w:val="Intense Quote"/>
    <w:basedOn w:val="Normal"/>
    <w:next w:val="Normal"/>
    <w:link w:val="IntenseQuoteChar"/>
    <w:uiPriority w:val="30"/>
    <w:qFormat/>
    <w:rsid w:val="00EE39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98F"/>
    <w:rPr>
      <w:i/>
      <w:iCs/>
      <w:color w:val="0F4761" w:themeColor="accent1" w:themeShade="BF"/>
    </w:rPr>
  </w:style>
  <w:style w:type="character" w:styleId="IntenseReference">
    <w:name w:val="Intense Reference"/>
    <w:basedOn w:val="DefaultParagraphFont"/>
    <w:uiPriority w:val="32"/>
    <w:qFormat/>
    <w:rsid w:val="00EE398F"/>
    <w:rPr>
      <w:b/>
      <w:bCs/>
      <w:smallCaps/>
      <w:color w:val="0F4761" w:themeColor="accent1" w:themeShade="BF"/>
      <w:spacing w:val="5"/>
    </w:rPr>
  </w:style>
  <w:style w:type="character" w:styleId="Hyperlink">
    <w:name w:val="Hyperlink"/>
    <w:basedOn w:val="DefaultParagraphFont"/>
    <w:uiPriority w:val="99"/>
    <w:unhideWhenUsed/>
    <w:rsid w:val="00EE398F"/>
    <w:rPr>
      <w:color w:val="467886" w:themeColor="hyperlink"/>
      <w:u w:val="single"/>
    </w:rPr>
  </w:style>
  <w:style w:type="character" w:styleId="Emphasis">
    <w:name w:val="Emphasis"/>
    <w:basedOn w:val="DefaultParagraphFont"/>
    <w:uiPriority w:val="20"/>
    <w:qFormat/>
    <w:rsid w:val="00EE39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9123406">
      <w:bodyDiv w:val="1"/>
      <w:marLeft w:val="0"/>
      <w:marRight w:val="0"/>
      <w:marTop w:val="0"/>
      <w:marBottom w:val="0"/>
      <w:divBdr>
        <w:top w:val="none" w:sz="0" w:space="0" w:color="auto"/>
        <w:left w:val="none" w:sz="0" w:space="0" w:color="auto"/>
        <w:bottom w:val="none" w:sz="0" w:space="0" w:color="auto"/>
        <w:right w:val="none" w:sz="0" w:space="0" w:color="auto"/>
      </w:divBdr>
    </w:div>
    <w:div w:id="701974715">
      <w:bodyDiv w:val="1"/>
      <w:marLeft w:val="0"/>
      <w:marRight w:val="0"/>
      <w:marTop w:val="0"/>
      <w:marBottom w:val="0"/>
      <w:divBdr>
        <w:top w:val="none" w:sz="0" w:space="0" w:color="auto"/>
        <w:left w:val="none" w:sz="0" w:space="0" w:color="auto"/>
        <w:bottom w:val="none" w:sz="0" w:space="0" w:color="auto"/>
        <w:right w:val="none" w:sz="0" w:space="0" w:color="auto"/>
      </w:divBdr>
    </w:div>
    <w:div w:id="1877545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ethics/code-of-ethics" TargetMode="External"/><Relationship Id="rId18" Type="http://schemas.openxmlformats.org/officeDocument/2006/relationships/hyperlink" Target="https://doi.org/10.1016/j.pnpbp.2005.08.005" TargetMode="External"/><Relationship Id="rId26" Type="http://schemas.openxmlformats.org/officeDocument/2006/relationships/hyperlink" Target="https://doi.org/10.1080/10803548.2020.1732648" TargetMode="External"/><Relationship Id="rId39" Type="http://schemas.openxmlformats.org/officeDocument/2006/relationships/hyperlink" Target="https://doi.org/10.1177/1557085120970270" TargetMode="External"/><Relationship Id="rId3" Type="http://schemas.openxmlformats.org/officeDocument/2006/relationships/webSettings" Target="webSettings.xml"/><Relationship Id="rId21" Type="http://schemas.openxmlformats.org/officeDocument/2006/relationships/hyperlink" Target="https://doi.org/10.1080/02699930601054109" TargetMode="External"/><Relationship Id="rId34" Type="http://schemas.openxmlformats.org/officeDocument/2006/relationships/hyperlink" Target="https://assets.publishing.service.gov.uk/government/uploads/system/uploads/attachment_data/file/936239/victims-code-2020.pdf" TargetMode="External"/><Relationship Id="rId42" Type="http://schemas.openxmlformats.org/officeDocument/2006/relationships/hyperlink" Target="https://doi.org/10.3390/brainsci13020310" TargetMode="External"/><Relationship Id="rId47" Type="http://schemas.openxmlformats.org/officeDocument/2006/relationships/hyperlink" Target="https://doi.org/10.1007/s40279-013-0090-5" TargetMode="External"/><Relationship Id="rId50" Type="http://schemas.openxmlformats.org/officeDocument/2006/relationships/fontTable" Target="fontTable.xml"/><Relationship Id="rId7" Type="http://schemas.openxmlformats.org/officeDocument/2006/relationships/hyperlink" Target="https://www.bbc.co.uk/news/uk-england-london-68834697" TargetMode="External"/><Relationship Id="rId12" Type="http://schemas.openxmlformats.org/officeDocument/2006/relationships/hyperlink" Target="https://www.college.police.uk/guidance/conflict-management/conflict-management-skills" TargetMode="External"/><Relationship Id="rId17" Type="http://schemas.openxmlformats.org/officeDocument/2006/relationships/hyperlink" Target="https://www.ncbi.nlm.nih.gov/pmc/articles/PMC10298416/" TargetMode="External"/><Relationship Id="rId25" Type="http://schemas.openxmlformats.org/officeDocument/2006/relationships/hyperlink" Target="https://doi.org/10.1186/s12889-020-09498-4" TargetMode="External"/><Relationship Id="rId33" Type="http://schemas.openxmlformats.org/officeDocument/2006/relationships/hyperlink" Target="https://www.gov.uk/government/publications/public-sector-equality-duty" TargetMode="External"/><Relationship Id="rId38" Type="http://schemas.openxmlformats.org/officeDocument/2006/relationships/hyperlink" Target="https://doi.org/10.1002/14651858.CD013779" TargetMode="External"/><Relationship Id="rId46" Type="http://schemas.openxmlformats.org/officeDocument/2006/relationships/hyperlink" Target="https://doi.org/10.4324/9780080481180" TargetMode="External"/><Relationship Id="rId2" Type="http://schemas.openxmlformats.org/officeDocument/2006/relationships/settings" Target="settings.xml"/><Relationship Id="rId16" Type="http://schemas.openxmlformats.org/officeDocument/2006/relationships/hyperlink" Target="https://www.ncbi.nlm.nih.gov/pmc/articles/PMC10298416/" TargetMode="External"/><Relationship Id="rId20" Type="http://schemas.openxmlformats.org/officeDocument/2006/relationships/hyperlink" Target="https://www.theguardian.com/uk-news/2024/apr/18/only-40-of-people-in-england-trust-their-police-force-research-reveals" TargetMode="External"/><Relationship Id="rId29" Type="http://schemas.openxmlformats.org/officeDocument/2006/relationships/hyperlink" Target="https://doi.org/10.1177/0886260520957696" TargetMode="External"/><Relationship Id="rId41" Type="http://schemas.openxmlformats.org/officeDocument/2006/relationships/hyperlink" Target="https://doi.org/10.3389/fpsyg.2020.01858" TargetMode="External"/><Relationship Id="rId1" Type="http://schemas.openxmlformats.org/officeDocument/2006/relationships/styles" Target="styles.xml"/><Relationship Id="rId6" Type="http://schemas.openxmlformats.org/officeDocument/2006/relationships/hyperlink" Target="https://www.bbc.co.uk/news/uk-england-london-68834697" TargetMode="External"/><Relationship Id="rId11" Type="http://schemas.openxmlformats.org/officeDocument/2006/relationships/hyperlink" Target="https://www.college.police.uk/app/civil-emergencies/civil-contingencies/risk-assessment" TargetMode="External"/><Relationship Id="rId24" Type="http://schemas.openxmlformats.org/officeDocument/2006/relationships/hyperlink" Target="https://doi.org/10.1186/s12889-020-09498-4" TargetMode="External"/><Relationship Id="rId32" Type="http://schemas.openxmlformats.org/officeDocument/2006/relationships/hyperlink" Target="https://doi.org/10.1080/08870446.2012.687738" TargetMode="External"/><Relationship Id="rId37" Type="http://schemas.openxmlformats.org/officeDocument/2006/relationships/hyperlink" Target="https://www.nhsinform.scot/illnesses-and-conditions/injuries/head-and-neck-injuries/severe-head-injury/" TargetMode="External"/><Relationship Id="rId40" Type="http://schemas.openxmlformats.org/officeDocument/2006/relationships/hyperlink" Target="https://doi.org/10.1037/1076-8998.13.1.69" TargetMode="External"/><Relationship Id="rId45" Type="http://schemas.openxmlformats.org/officeDocument/2006/relationships/hyperlink" Target="https://doi.org/10.1177/22799036231182026" TargetMode="External"/><Relationship Id="rId5" Type="http://schemas.openxmlformats.org/officeDocument/2006/relationships/hyperlink" Target="https://doi.org/10.1177/2158244016638708" TargetMode="External"/><Relationship Id="rId15" Type="http://schemas.openxmlformats.org/officeDocument/2006/relationships/hyperlink" Target="https://doi.org/10.1002/jip.1517" TargetMode="External"/><Relationship Id="rId23" Type="http://schemas.openxmlformats.org/officeDocument/2006/relationships/hyperlink" Target="https://doi.org/10.1037/emo0000495" TargetMode="External"/><Relationship Id="rId28" Type="http://schemas.openxmlformats.org/officeDocument/2006/relationships/hyperlink" Target="https://www.tandfonline.com/doi/full/10.1080/01926180701870163" TargetMode="External"/><Relationship Id="rId36" Type="http://schemas.openxmlformats.org/officeDocument/2006/relationships/hyperlink" Target="https://www.npcc.police.uk/SysSiteAssets/media/downloads/publications/policing-vision/policing-vision-2030.pdf" TargetMode="External"/><Relationship Id="rId49" Type="http://schemas.openxmlformats.org/officeDocument/2006/relationships/hyperlink" Target="https://pure.port.ac.uk/ws/portalfiles/portal/3695582/What_works_in_supporting_victims_of_crime.pdf" TargetMode="External"/><Relationship Id="rId10" Type="http://schemas.openxmlformats.org/officeDocument/2006/relationships/hyperlink" Target="https://www.college.police.uk/app/national-decision-model/national-decision-model" TargetMode="External"/><Relationship Id="rId19" Type="http://schemas.openxmlformats.org/officeDocument/2006/relationships/hyperlink" Target="https://doi.org/10.1108/PIJPSM-09-2014-0091" TargetMode="External"/><Relationship Id="rId31" Type="http://schemas.openxmlformats.org/officeDocument/2006/relationships/hyperlink" Target="https://doi.org/10.1136/oemed-2018-105598" TargetMode="External"/><Relationship Id="rId44" Type="http://schemas.openxmlformats.org/officeDocument/2006/relationships/hyperlink" Target="https://doi.org/10.1002/aur.1387" TargetMode="External"/><Relationship Id="rId4" Type="http://schemas.openxmlformats.org/officeDocument/2006/relationships/hyperlink" Target="https://doi.org/10.1177/2158244016638708" TargetMode="External"/><Relationship Id="rId9" Type="http://schemas.openxmlformats.org/officeDocument/2006/relationships/hyperlink" Target="file:///C:\Users\409301\Downloads\10.4324_9781315059051_previewpdf.pdf"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legislation.gov.uk/ukpga/2010/15/contents" TargetMode="External"/><Relationship Id="rId27" Type="http://schemas.openxmlformats.org/officeDocument/2006/relationships/hyperlink" Target="https://www.legislation.gov.uk/ukpga/1998/42/contents" TargetMode="External"/><Relationship Id="rId30" Type="http://schemas.openxmlformats.org/officeDocument/2006/relationships/hyperlink" Target="https://doi.org/10.1007/s40279-012-0013-x" TargetMode="External"/><Relationship Id="rId35" Type="http://schemas.openxmlformats.org/officeDocument/2006/relationships/hyperlink" Target="https://doi.org/10.1080/10494820.2019.1570279" TargetMode="External"/><Relationship Id="rId43" Type="http://schemas.openxmlformats.org/officeDocument/2006/relationships/hyperlink" Target="https://doi.org/10.1002/aur.1387" TargetMode="External"/><Relationship Id="rId48" Type="http://schemas.openxmlformats.org/officeDocument/2006/relationships/hyperlink" Target="https://doi.org/10.5235/20504721.1.2.168" TargetMode="External"/><Relationship Id="rId8" Type="http://schemas.openxmlformats.org/officeDocument/2006/relationships/hyperlink" Target="https://doi.org/10.1080/15377938.2010.502848"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6801</Words>
  <Characters>38771</Characters>
  <Application>Microsoft Office Word</Application>
  <DocSecurity>0</DocSecurity>
  <Lines>323</Lines>
  <Paragraphs>90</Paragraphs>
  <ScaleCrop>false</ScaleCrop>
  <Company>Gwent Police</Company>
  <LinksUpToDate>false</LinksUpToDate>
  <CharactersWithSpaces>45482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Horne, Lauren</dc:creator>
  <cp:keywords/>
  <dc:description/>
  <cp:lastModifiedBy>Horne, Lauren</cp:lastModifiedBy>
  <cp:revision>2</cp:revision>
  <dcterms:created xsi:type="dcterms:W3CDTF">2024-06-16T12:10:00Z</dcterms:created>
  <dcterms:modified xsi:type="dcterms:W3CDTF">2024-06-16T12:10:00Z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2024-06-16T12:01:21Z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0852d6f4-d17d-4a37-8c46-e464f9453918</vt:lpwstr>
  </property>
  <property fmtid="{D5CDD505-2E9C-101B-9397-08002B2CF9AE}" pid="8" name="MSIP_Label_f2acd28b-79a3-4a0f-b0ff-4b75658b1549_ContentBits">
    <vt:lpwstr>0</vt:lpwstr>
  </property>
</Properties>
</file>