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6ED9C9">
      <w:pPr>
        <w:pStyle w:val="3"/>
        <w:spacing w:line="240" w:lineRule="auto"/>
        <w:rPr>
          <w:rFonts w:ascii="Arial" w:hAnsi="Arial" w:cs="Arial"/>
          <w:b/>
        </w:rPr>
      </w:pPr>
    </w:p>
    <w:tbl>
      <w:tblPr>
        <w:tblStyle w:val="6"/>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ayout w:type="autofit"/>
        <w:tblCellMar>
          <w:top w:w="0" w:type="dxa"/>
          <w:left w:w="108" w:type="dxa"/>
          <w:bottom w:w="0" w:type="dxa"/>
          <w:right w:w="108" w:type="dxa"/>
        </w:tblCellMar>
      </w:tblPr>
      <w:tblGrid>
        <w:gridCol w:w="8129"/>
      </w:tblGrid>
      <w:tr w14:paraId="13FD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CellMar>
            <w:top w:w="0" w:type="dxa"/>
            <w:left w:w="108" w:type="dxa"/>
            <w:bottom w:w="0" w:type="dxa"/>
            <w:right w:w="108" w:type="dxa"/>
          </w:tblCellMar>
        </w:tblPrEx>
        <w:tc>
          <w:tcPr>
            <w:tcW w:w="9922" w:type="dxa"/>
            <w:shd w:val="clear" w:color="auto" w:fill="C0C0C0"/>
          </w:tcPr>
          <w:p w14:paraId="7EECE6BB">
            <w:pPr>
              <w:pStyle w:val="3"/>
              <w:spacing w:line="240" w:lineRule="auto"/>
              <w:rPr>
                <w:rFonts w:ascii="Arial" w:hAnsi="Arial" w:cs="Arial"/>
                <w:b/>
              </w:rPr>
            </w:pPr>
            <w:r>
              <w:rPr>
                <w:rFonts w:ascii="Arial" w:hAnsi="Arial" w:cs="Arial"/>
                <w:b/>
              </w:rPr>
              <w:t xml:space="preserve">LEVEL 6 ASSESSMENT SPECIFICATION </w:t>
            </w:r>
          </w:p>
        </w:tc>
      </w:tr>
    </w:tbl>
    <w:p w14:paraId="37BA11FA">
      <w:pPr>
        <w:spacing w:line="240" w:lineRule="auto"/>
        <w:jc w:val="center"/>
        <w:rPr>
          <w:rFonts w:ascii="Arial" w:hAnsi="Arial" w:cs="Arial"/>
          <w:b/>
          <w:i/>
          <w:sz w:val="32"/>
        </w:rPr>
      </w:pPr>
    </w:p>
    <w:tbl>
      <w:tblPr>
        <w:tblStyle w:val="6"/>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93"/>
        <w:gridCol w:w="3293"/>
        <w:gridCol w:w="2268"/>
        <w:gridCol w:w="2093"/>
        <w:gridCol w:w="175"/>
      </w:tblGrid>
      <w:tr w14:paraId="69CAB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64420FF5">
            <w:pPr>
              <w:spacing w:before="120" w:after="120" w:line="240" w:lineRule="auto"/>
              <w:jc w:val="both"/>
              <w:rPr>
                <w:rFonts w:ascii="Arial" w:hAnsi="Arial" w:cs="Arial"/>
                <w:b/>
                <w:sz w:val="22"/>
                <w:szCs w:val="22"/>
              </w:rPr>
            </w:pPr>
            <w:r>
              <w:rPr>
                <w:rFonts w:ascii="Arial" w:hAnsi="Arial" w:cs="Arial"/>
                <w:b/>
                <w:sz w:val="22"/>
                <w:szCs w:val="22"/>
              </w:rPr>
              <w:t>Student name:</w:t>
            </w:r>
          </w:p>
        </w:tc>
        <w:tc>
          <w:tcPr>
            <w:tcW w:w="3293" w:type="dxa"/>
          </w:tcPr>
          <w:p w14:paraId="569BD8B5">
            <w:pPr>
              <w:spacing w:before="120" w:after="120" w:line="240" w:lineRule="auto"/>
              <w:jc w:val="both"/>
              <w:rPr>
                <w:rFonts w:hint="default" w:ascii="Arial" w:hAnsi="Arial" w:eastAsia="宋体" w:cs="Arial"/>
                <w:b/>
                <w:sz w:val="22"/>
                <w:szCs w:val="22"/>
                <w:lang w:val="en-US" w:eastAsia="zh-CN"/>
              </w:rPr>
            </w:pPr>
            <w:r>
              <w:rPr>
                <w:rFonts w:hint="eastAsia" w:ascii="Arial" w:hAnsi="Arial" w:cs="Arial"/>
                <w:b/>
                <w:sz w:val="22"/>
                <w:szCs w:val="22"/>
                <w:lang w:val="en-US" w:eastAsia="zh-CN"/>
              </w:rPr>
              <w:t>Yuze Tang</w:t>
            </w:r>
          </w:p>
        </w:tc>
        <w:tc>
          <w:tcPr>
            <w:tcW w:w="2268" w:type="dxa"/>
            <w:shd w:val="clear" w:color="auto" w:fill="D9D9D9"/>
          </w:tcPr>
          <w:p w14:paraId="6C52463F">
            <w:pPr>
              <w:spacing w:before="120" w:after="120" w:line="240" w:lineRule="auto"/>
              <w:jc w:val="both"/>
              <w:rPr>
                <w:rFonts w:ascii="Arial" w:hAnsi="Arial" w:cs="Arial"/>
                <w:b/>
                <w:sz w:val="22"/>
                <w:szCs w:val="22"/>
              </w:rPr>
            </w:pPr>
            <w:r>
              <w:rPr>
                <w:rFonts w:ascii="Arial" w:hAnsi="Arial" w:cs="Arial"/>
                <w:b/>
                <w:sz w:val="22"/>
                <w:szCs w:val="22"/>
              </w:rPr>
              <w:t>Student ID number:</w:t>
            </w:r>
          </w:p>
        </w:tc>
        <w:tc>
          <w:tcPr>
            <w:tcW w:w="2268" w:type="dxa"/>
            <w:gridSpan w:val="2"/>
          </w:tcPr>
          <w:p w14:paraId="13E439CE">
            <w:pPr>
              <w:spacing w:before="120" w:after="120" w:line="240" w:lineRule="auto"/>
              <w:jc w:val="both"/>
              <w:rPr>
                <w:rFonts w:hint="default" w:ascii="Arial" w:hAnsi="Arial" w:eastAsia="宋体" w:cs="Arial"/>
                <w:b/>
                <w:sz w:val="22"/>
                <w:szCs w:val="22"/>
                <w:lang w:val="en-US" w:eastAsia="zh-CN"/>
              </w:rPr>
            </w:pPr>
            <w:r>
              <w:rPr>
                <w:rFonts w:hint="eastAsia" w:ascii="Arial" w:hAnsi="Arial" w:cs="Arial"/>
                <w:b/>
                <w:sz w:val="22"/>
                <w:szCs w:val="22"/>
                <w:lang w:val="en-US" w:eastAsia="zh-CN"/>
              </w:rPr>
              <w:t>2500218</w:t>
            </w:r>
          </w:p>
        </w:tc>
      </w:tr>
      <w:tr w14:paraId="34F0B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42165F4D">
            <w:pPr>
              <w:spacing w:before="120" w:after="120" w:line="240" w:lineRule="auto"/>
              <w:jc w:val="both"/>
              <w:rPr>
                <w:rFonts w:ascii="Arial" w:hAnsi="Arial" w:cs="Arial"/>
                <w:b/>
                <w:sz w:val="22"/>
                <w:szCs w:val="22"/>
              </w:rPr>
            </w:pPr>
            <w:bookmarkStart w:id="0" w:name="_Hlk48556012"/>
            <w:r>
              <w:rPr>
                <w:rFonts w:ascii="Arial" w:hAnsi="Arial" w:cs="Arial"/>
                <w:b/>
                <w:sz w:val="22"/>
                <w:szCs w:val="22"/>
              </w:rPr>
              <w:t>Programme:</w:t>
            </w:r>
          </w:p>
        </w:tc>
        <w:tc>
          <w:tcPr>
            <w:tcW w:w="7829" w:type="dxa"/>
            <w:gridSpan w:val="4"/>
          </w:tcPr>
          <w:p w14:paraId="0B68657A">
            <w:pPr>
              <w:spacing w:before="120" w:after="120" w:line="240" w:lineRule="auto"/>
              <w:contextualSpacing/>
              <w:rPr>
                <w:rFonts w:ascii="Arial" w:hAnsi="Arial" w:cs="Arial"/>
                <w:bCs/>
                <w:sz w:val="22"/>
                <w:szCs w:val="22"/>
              </w:rPr>
            </w:pPr>
            <w:r>
              <w:rPr>
                <w:rFonts w:ascii="Arial" w:hAnsi="Arial" w:cs="Arial"/>
                <w:bCs/>
                <w:sz w:val="22"/>
                <w:szCs w:val="22"/>
              </w:rPr>
              <w:t>BA Business Management (Marketing; HRM; International; Finance)</w:t>
            </w:r>
          </w:p>
          <w:p w14:paraId="3560B0D1">
            <w:pPr>
              <w:spacing w:before="120" w:after="120" w:line="240" w:lineRule="auto"/>
              <w:jc w:val="both"/>
              <w:rPr>
                <w:rFonts w:ascii="Arial" w:hAnsi="Arial" w:cs="Arial"/>
                <w:b/>
                <w:sz w:val="22"/>
                <w:szCs w:val="22"/>
              </w:rPr>
            </w:pPr>
            <w:r>
              <w:rPr>
                <w:rFonts w:ascii="Arial" w:hAnsi="Arial" w:cs="Arial"/>
                <w:bCs/>
                <w:sz w:val="22"/>
                <w:szCs w:val="22"/>
              </w:rPr>
              <w:t>BA (Hons) Public Services</w:t>
            </w:r>
          </w:p>
        </w:tc>
      </w:tr>
      <w:tr w14:paraId="6220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567898B5">
            <w:pPr>
              <w:spacing w:before="120" w:after="120" w:line="240" w:lineRule="auto"/>
              <w:jc w:val="both"/>
              <w:rPr>
                <w:rFonts w:ascii="Arial" w:hAnsi="Arial" w:cs="Arial"/>
                <w:b/>
                <w:sz w:val="22"/>
                <w:szCs w:val="22"/>
              </w:rPr>
            </w:pPr>
            <w:r>
              <w:rPr>
                <w:rFonts w:ascii="Arial" w:hAnsi="Arial" w:cs="Arial"/>
                <w:b/>
                <w:sz w:val="22"/>
                <w:szCs w:val="22"/>
              </w:rPr>
              <w:t>Module:</w:t>
            </w:r>
          </w:p>
        </w:tc>
        <w:tc>
          <w:tcPr>
            <w:tcW w:w="7829" w:type="dxa"/>
            <w:gridSpan w:val="4"/>
          </w:tcPr>
          <w:p w14:paraId="360F7B13">
            <w:pPr>
              <w:spacing w:before="120" w:after="120" w:line="240" w:lineRule="auto"/>
              <w:rPr>
                <w:rFonts w:ascii="Arial" w:hAnsi="Arial" w:cs="Arial"/>
                <w:bCs/>
                <w:sz w:val="22"/>
                <w:szCs w:val="22"/>
              </w:rPr>
            </w:pPr>
            <w:r>
              <w:rPr>
                <w:rFonts w:ascii="Arial" w:hAnsi="Arial" w:cs="Arial"/>
                <w:bCs/>
                <w:sz w:val="22"/>
                <w:szCs w:val="22"/>
              </w:rPr>
              <w:t>Global Ethics</w:t>
            </w:r>
          </w:p>
        </w:tc>
      </w:tr>
      <w:tr w14:paraId="6FAD0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04DC7396">
            <w:pPr>
              <w:spacing w:before="120" w:after="120" w:line="240" w:lineRule="auto"/>
              <w:jc w:val="both"/>
              <w:rPr>
                <w:rFonts w:ascii="Arial" w:hAnsi="Arial" w:cs="Arial"/>
                <w:b/>
                <w:sz w:val="22"/>
                <w:szCs w:val="22"/>
              </w:rPr>
            </w:pPr>
            <w:r>
              <w:rPr>
                <w:rFonts w:ascii="Arial" w:hAnsi="Arial" w:cs="Arial"/>
                <w:b/>
                <w:sz w:val="22"/>
                <w:szCs w:val="22"/>
              </w:rPr>
              <w:t>Module code:</w:t>
            </w:r>
          </w:p>
        </w:tc>
        <w:tc>
          <w:tcPr>
            <w:tcW w:w="3293" w:type="dxa"/>
          </w:tcPr>
          <w:p w14:paraId="1CBBD607">
            <w:pPr>
              <w:spacing w:before="120" w:after="120" w:line="240" w:lineRule="auto"/>
              <w:jc w:val="both"/>
              <w:rPr>
                <w:rFonts w:ascii="Arial" w:hAnsi="Arial" w:cs="Arial"/>
                <w:bCs/>
                <w:sz w:val="22"/>
                <w:szCs w:val="22"/>
              </w:rPr>
            </w:pPr>
            <w:r>
              <w:rPr>
                <w:rFonts w:ascii="Arial" w:hAnsi="Arial" w:cs="Arial"/>
                <w:bCs/>
                <w:sz w:val="22"/>
                <w:szCs w:val="22"/>
              </w:rPr>
              <w:t>BMBM6008</w:t>
            </w:r>
          </w:p>
        </w:tc>
        <w:tc>
          <w:tcPr>
            <w:tcW w:w="2268" w:type="dxa"/>
            <w:tcBorders>
              <w:top w:val="single" w:color="auto" w:sz="4" w:space="0"/>
              <w:left w:val="single" w:color="auto" w:sz="4" w:space="0"/>
              <w:bottom w:val="single" w:color="auto" w:sz="4" w:space="0"/>
              <w:right w:val="single" w:color="auto" w:sz="4" w:space="0"/>
            </w:tcBorders>
            <w:shd w:val="clear" w:color="auto" w:fill="D9D9D9"/>
          </w:tcPr>
          <w:p w14:paraId="327B5B9A">
            <w:pPr>
              <w:pStyle w:val="2"/>
              <w:spacing w:line="240" w:lineRule="auto"/>
              <w:jc w:val="left"/>
              <w:rPr>
                <w:rFonts w:ascii="Arial" w:hAnsi="Arial" w:cs="Arial"/>
                <w:sz w:val="22"/>
                <w:szCs w:val="22"/>
                <w:lang w:eastAsia="en-US"/>
              </w:rPr>
            </w:pPr>
            <w:r>
              <w:rPr>
                <w:rFonts w:ascii="Arial" w:hAnsi="Arial" w:cs="Arial"/>
                <w:sz w:val="22"/>
                <w:szCs w:val="22"/>
                <w:lang w:eastAsia="en-US"/>
              </w:rPr>
              <w:t>Contribution to Overall Module Assessment (%):</w:t>
            </w:r>
          </w:p>
        </w:tc>
        <w:tc>
          <w:tcPr>
            <w:tcW w:w="2268" w:type="dxa"/>
            <w:gridSpan w:val="2"/>
            <w:tcBorders>
              <w:top w:val="single" w:color="auto" w:sz="4" w:space="0"/>
              <w:left w:val="single" w:color="auto" w:sz="4" w:space="0"/>
              <w:bottom w:val="single" w:color="auto" w:sz="4" w:space="0"/>
              <w:right w:val="single" w:color="auto" w:sz="4" w:space="0"/>
            </w:tcBorders>
          </w:tcPr>
          <w:p w14:paraId="6FEE4CB0">
            <w:pPr>
              <w:spacing w:before="120" w:after="120" w:line="240" w:lineRule="auto"/>
              <w:jc w:val="both"/>
              <w:rPr>
                <w:rFonts w:ascii="Arial" w:hAnsi="Arial" w:cs="Arial"/>
                <w:bCs/>
                <w:sz w:val="22"/>
                <w:szCs w:val="22"/>
                <w:lang w:eastAsia="en-US"/>
              </w:rPr>
            </w:pPr>
            <w:r>
              <w:rPr>
                <w:rFonts w:ascii="Arial" w:hAnsi="Arial" w:cs="Arial"/>
                <w:bCs/>
                <w:lang w:eastAsia="en-US"/>
              </w:rPr>
              <w:t>50%</w:t>
            </w:r>
          </w:p>
        </w:tc>
      </w:tr>
      <w:bookmarkEnd w:id="0"/>
      <w:tr w14:paraId="56497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28103338">
            <w:pPr>
              <w:spacing w:before="120" w:after="120" w:line="240" w:lineRule="auto"/>
              <w:jc w:val="both"/>
              <w:rPr>
                <w:rFonts w:ascii="Arial" w:hAnsi="Arial" w:cs="Arial"/>
                <w:b/>
                <w:sz w:val="22"/>
                <w:szCs w:val="22"/>
              </w:rPr>
            </w:pPr>
            <w:r>
              <w:rPr>
                <w:rFonts w:ascii="Arial" w:hAnsi="Arial" w:cs="Arial"/>
                <w:b/>
                <w:sz w:val="22"/>
                <w:szCs w:val="22"/>
              </w:rPr>
              <w:t>Lecturer:</w:t>
            </w:r>
          </w:p>
        </w:tc>
        <w:tc>
          <w:tcPr>
            <w:tcW w:w="3293" w:type="dxa"/>
          </w:tcPr>
          <w:p w14:paraId="6CF5B7B3">
            <w:pPr>
              <w:spacing w:before="120" w:after="120" w:line="240" w:lineRule="auto"/>
              <w:jc w:val="both"/>
              <w:rPr>
                <w:rFonts w:ascii="Arial" w:hAnsi="Arial" w:cs="Arial"/>
                <w:bCs/>
                <w:sz w:val="22"/>
                <w:szCs w:val="22"/>
              </w:rPr>
            </w:pPr>
            <w:r>
              <w:rPr>
                <w:rFonts w:ascii="Arial" w:hAnsi="Arial" w:cs="Arial"/>
                <w:bCs/>
                <w:sz w:val="22"/>
                <w:szCs w:val="22"/>
              </w:rPr>
              <w:t>Arpu Kumar</w:t>
            </w:r>
          </w:p>
        </w:tc>
        <w:tc>
          <w:tcPr>
            <w:tcW w:w="2268" w:type="dxa"/>
            <w:tcBorders>
              <w:top w:val="single" w:color="auto" w:sz="4" w:space="0"/>
              <w:left w:val="single" w:color="auto" w:sz="4" w:space="0"/>
              <w:bottom w:val="single" w:color="auto" w:sz="4" w:space="0"/>
              <w:right w:val="single" w:color="auto" w:sz="4" w:space="0"/>
            </w:tcBorders>
            <w:shd w:val="clear" w:color="auto" w:fill="D9D9D9"/>
          </w:tcPr>
          <w:p w14:paraId="2B9A2EB9">
            <w:pPr>
              <w:spacing w:before="120" w:after="120" w:line="240" w:lineRule="auto"/>
              <w:rPr>
                <w:rFonts w:ascii="Arial" w:hAnsi="Arial" w:cs="Arial"/>
                <w:b/>
                <w:sz w:val="22"/>
                <w:szCs w:val="22"/>
                <w:lang w:eastAsia="en-US"/>
              </w:rPr>
            </w:pPr>
            <w:r>
              <w:rPr>
                <w:rFonts w:ascii="Arial" w:hAnsi="Arial" w:cs="Arial"/>
                <w:b/>
                <w:sz w:val="22"/>
                <w:szCs w:val="22"/>
                <w:lang w:eastAsia="en-US"/>
              </w:rPr>
              <w:t>Internal Verifier:</w:t>
            </w:r>
          </w:p>
        </w:tc>
        <w:tc>
          <w:tcPr>
            <w:tcW w:w="2268" w:type="dxa"/>
            <w:gridSpan w:val="2"/>
            <w:tcBorders>
              <w:top w:val="single" w:color="auto" w:sz="4" w:space="0"/>
              <w:left w:val="single" w:color="auto" w:sz="4" w:space="0"/>
              <w:bottom w:val="single" w:color="auto" w:sz="4" w:space="0"/>
              <w:right w:val="single" w:color="auto" w:sz="4" w:space="0"/>
            </w:tcBorders>
          </w:tcPr>
          <w:p w14:paraId="4FFA95EA">
            <w:pPr>
              <w:spacing w:before="120" w:after="120" w:line="240" w:lineRule="auto"/>
              <w:jc w:val="both"/>
              <w:rPr>
                <w:rFonts w:ascii="Arial" w:hAnsi="Arial" w:cs="Arial"/>
                <w:bCs/>
                <w:sz w:val="22"/>
                <w:szCs w:val="22"/>
                <w:lang w:eastAsia="en-US"/>
              </w:rPr>
            </w:pPr>
            <w:r>
              <w:rPr>
                <w:rFonts w:ascii="Arial" w:hAnsi="Arial" w:cs="Arial"/>
                <w:bCs/>
                <w:lang w:eastAsia="en-US"/>
              </w:rPr>
              <w:t>Robyn Griffiths</w:t>
            </w:r>
          </w:p>
        </w:tc>
      </w:tr>
      <w:tr w14:paraId="79274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19540087">
            <w:pPr>
              <w:spacing w:before="120" w:after="120" w:line="240" w:lineRule="auto"/>
              <w:jc w:val="both"/>
              <w:rPr>
                <w:rFonts w:ascii="Arial" w:hAnsi="Arial" w:cs="Arial"/>
                <w:b/>
                <w:sz w:val="22"/>
                <w:szCs w:val="22"/>
              </w:rPr>
            </w:pPr>
            <w:r>
              <w:rPr>
                <w:rFonts w:ascii="Arial" w:hAnsi="Arial" w:cs="Arial"/>
                <w:b/>
                <w:sz w:val="22"/>
                <w:szCs w:val="22"/>
              </w:rPr>
              <w:t>Assignment Title:</w:t>
            </w:r>
          </w:p>
        </w:tc>
        <w:tc>
          <w:tcPr>
            <w:tcW w:w="3293" w:type="dxa"/>
          </w:tcPr>
          <w:p w14:paraId="3F92A9D3">
            <w:pPr>
              <w:spacing w:before="120" w:after="120" w:line="240" w:lineRule="auto"/>
              <w:rPr>
                <w:rFonts w:ascii="Arial" w:hAnsi="Arial" w:cs="Arial"/>
                <w:bCs/>
                <w:sz w:val="22"/>
                <w:szCs w:val="22"/>
              </w:rPr>
            </w:pPr>
            <w:r>
              <w:rPr>
                <w:rFonts w:ascii="Arial" w:hAnsi="Arial" w:cs="Arial"/>
                <w:bCs/>
                <w:sz w:val="22"/>
                <w:szCs w:val="22"/>
              </w:rPr>
              <w:t>An essay on exploration of cultural differences in business ethics</w:t>
            </w:r>
          </w:p>
        </w:tc>
        <w:tc>
          <w:tcPr>
            <w:tcW w:w="2268" w:type="dxa"/>
            <w:tcBorders>
              <w:top w:val="single" w:color="auto" w:sz="4" w:space="0"/>
              <w:left w:val="single" w:color="auto" w:sz="4" w:space="0"/>
              <w:bottom w:val="single" w:color="auto" w:sz="4" w:space="0"/>
              <w:right w:val="single" w:color="auto" w:sz="4" w:space="0"/>
            </w:tcBorders>
            <w:shd w:val="pct15" w:color="auto" w:fill="auto"/>
          </w:tcPr>
          <w:p w14:paraId="26DE8125">
            <w:pPr>
              <w:spacing w:before="120" w:after="120" w:line="240" w:lineRule="auto"/>
              <w:rPr>
                <w:rFonts w:ascii="Arial" w:hAnsi="Arial" w:cs="Arial"/>
                <w:b/>
                <w:sz w:val="22"/>
                <w:szCs w:val="22"/>
                <w:lang w:eastAsia="en-US"/>
              </w:rPr>
            </w:pPr>
            <w:r>
              <w:rPr>
                <w:rFonts w:ascii="Arial" w:hAnsi="Arial" w:cs="Arial"/>
                <w:b/>
                <w:sz w:val="22"/>
                <w:szCs w:val="22"/>
                <w:lang w:eastAsia="en-US"/>
              </w:rPr>
              <w:t>Word count (or equivalent):</w:t>
            </w:r>
          </w:p>
        </w:tc>
        <w:tc>
          <w:tcPr>
            <w:tcW w:w="2268" w:type="dxa"/>
            <w:gridSpan w:val="2"/>
            <w:tcBorders>
              <w:top w:val="single" w:color="auto" w:sz="4" w:space="0"/>
              <w:left w:val="single" w:color="auto" w:sz="4" w:space="0"/>
              <w:bottom w:val="single" w:color="auto" w:sz="4" w:space="0"/>
              <w:right w:val="single" w:color="auto" w:sz="4" w:space="0"/>
            </w:tcBorders>
          </w:tcPr>
          <w:p w14:paraId="70A96DF7">
            <w:pPr>
              <w:spacing w:before="120" w:after="120" w:line="240" w:lineRule="auto"/>
              <w:jc w:val="both"/>
              <w:rPr>
                <w:rFonts w:ascii="Arial" w:hAnsi="Arial" w:cs="Arial"/>
                <w:bCs/>
                <w:sz w:val="22"/>
                <w:szCs w:val="22"/>
                <w:lang w:eastAsia="en-US"/>
              </w:rPr>
            </w:pPr>
            <w:r>
              <w:rPr>
                <w:rFonts w:ascii="Arial" w:hAnsi="Arial" w:cs="Arial"/>
                <w:bCs/>
                <w:sz w:val="22"/>
                <w:szCs w:val="22"/>
                <w:lang w:eastAsia="en-US"/>
              </w:rPr>
              <w:t xml:space="preserve">2500 words </w:t>
            </w:r>
          </w:p>
        </w:tc>
      </w:tr>
      <w:tr w14:paraId="02A4A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tcBorders>
              <w:top w:val="single" w:color="auto" w:sz="4" w:space="0"/>
              <w:left w:val="single" w:color="auto" w:sz="4" w:space="0"/>
              <w:bottom w:val="single" w:color="auto" w:sz="4" w:space="0"/>
              <w:right w:val="single" w:color="auto" w:sz="4" w:space="0"/>
            </w:tcBorders>
            <w:shd w:val="pct15" w:color="auto" w:fill="auto"/>
          </w:tcPr>
          <w:p w14:paraId="13CD4BCB">
            <w:pPr>
              <w:spacing w:before="120" w:after="120" w:line="240" w:lineRule="auto"/>
              <w:jc w:val="both"/>
              <w:rPr>
                <w:rFonts w:ascii="Arial" w:hAnsi="Arial" w:cs="Arial"/>
                <w:b/>
                <w:sz w:val="22"/>
                <w:szCs w:val="22"/>
                <w:lang w:eastAsia="en-US"/>
              </w:rPr>
            </w:pPr>
            <w:r>
              <w:rPr>
                <w:rFonts w:ascii="Arial" w:hAnsi="Arial" w:cs="Arial"/>
                <w:b/>
                <w:sz w:val="22"/>
                <w:szCs w:val="22"/>
                <w:lang w:eastAsia="en-US"/>
              </w:rPr>
              <w:t>Submission deadline:</w:t>
            </w:r>
          </w:p>
        </w:tc>
        <w:tc>
          <w:tcPr>
            <w:tcW w:w="3293" w:type="dxa"/>
            <w:tcBorders>
              <w:top w:val="single" w:color="auto" w:sz="4" w:space="0"/>
              <w:left w:val="single" w:color="auto" w:sz="4" w:space="0"/>
              <w:bottom w:val="single" w:color="auto" w:sz="4" w:space="0"/>
              <w:right w:val="single" w:color="auto" w:sz="4" w:space="0"/>
            </w:tcBorders>
          </w:tcPr>
          <w:p w14:paraId="5141148F">
            <w:pPr>
              <w:spacing w:before="120" w:after="120" w:line="240" w:lineRule="auto"/>
              <w:jc w:val="both"/>
              <w:rPr>
                <w:rFonts w:ascii="Arial" w:hAnsi="Arial" w:cs="Arial"/>
                <w:bCs/>
                <w:sz w:val="22"/>
                <w:szCs w:val="22"/>
                <w:lang w:eastAsia="en-US"/>
              </w:rPr>
            </w:pPr>
            <w:r>
              <w:rPr>
                <w:rFonts w:ascii="Arial" w:hAnsi="Arial" w:cs="Arial"/>
                <w:bCs/>
                <w:sz w:val="22"/>
                <w:szCs w:val="22"/>
                <w:lang w:eastAsia="en-US"/>
              </w:rPr>
              <w:t>12 December 2025</w:t>
            </w:r>
          </w:p>
        </w:tc>
        <w:tc>
          <w:tcPr>
            <w:tcW w:w="2268" w:type="dxa"/>
            <w:tcBorders>
              <w:top w:val="single" w:color="auto" w:sz="4" w:space="0"/>
              <w:left w:val="single" w:color="auto" w:sz="4" w:space="0"/>
              <w:bottom w:val="single" w:color="auto" w:sz="4" w:space="0"/>
              <w:right w:val="single" w:color="auto" w:sz="4" w:space="0"/>
            </w:tcBorders>
            <w:shd w:val="pct15" w:color="auto" w:fill="auto"/>
          </w:tcPr>
          <w:p w14:paraId="5F355D76">
            <w:pPr>
              <w:spacing w:before="120" w:after="120" w:line="240" w:lineRule="auto"/>
              <w:rPr>
                <w:rFonts w:ascii="Arial" w:hAnsi="Arial" w:cs="Arial"/>
                <w:b/>
                <w:sz w:val="22"/>
                <w:szCs w:val="22"/>
                <w:lang w:eastAsia="en-US"/>
              </w:rPr>
            </w:pPr>
            <w:r>
              <w:rPr>
                <w:rFonts w:ascii="Arial" w:hAnsi="Arial" w:cs="Arial"/>
                <w:b/>
                <w:sz w:val="22"/>
                <w:szCs w:val="22"/>
                <w:lang w:eastAsia="en-US"/>
              </w:rPr>
              <w:t>Return date of provisional marks &amp; written feedback:</w:t>
            </w:r>
          </w:p>
        </w:tc>
        <w:tc>
          <w:tcPr>
            <w:tcW w:w="2268" w:type="dxa"/>
            <w:gridSpan w:val="2"/>
            <w:tcBorders>
              <w:top w:val="single" w:color="auto" w:sz="4" w:space="0"/>
              <w:left w:val="single" w:color="auto" w:sz="4" w:space="0"/>
              <w:bottom w:val="single" w:color="auto" w:sz="4" w:space="0"/>
              <w:right w:val="single" w:color="auto" w:sz="4" w:space="0"/>
            </w:tcBorders>
          </w:tcPr>
          <w:p w14:paraId="747A25EC">
            <w:pPr>
              <w:spacing w:before="120" w:after="120" w:line="240" w:lineRule="auto"/>
              <w:rPr>
                <w:rFonts w:ascii="Arial" w:hAnsi="Arial" w:cs="Arial"/>
                <w:bCs/>
                <w:sz w:val="22"/>
                <w:szCs w:val="22"/>
                <w:lang w:eastAsia="en-US"/>
              </w:rPr>
            </w:pPr>
            <w:r>
              <w:rPr>
                <w:rFonts w:ascii="Arial" w:hAnsi="Arial" w:cs="Arial"/>
                <w:bCs/>
                <w:sz w:val="22"/>
                <w:szCs w:val="22"/>
                <w:lang w:eastAsia="en-US"/>
              </w:rPr>
              <w:t>3</w:t>
            </w:r>
            <w:r>
              <w:rPr>
                <w:rFonts w:ascii="Arial" w:hAnsi="Arial" w:cs="Arial"/>
                <w:bCs/>
                <w:sz w:val="22"/>
                <w:szCs w:val="22"/>
                <w:vertAlign w:val="superscript"/>
                <w:lang w:eastAsia="en-US"/>
              </w:rPr>
              <w:t>RD</w:t>
            </w:r>
            <w:r>
              <w:rPr>
                <w:rFonts w:ascii="Arial" w:hAnsi="Arial" w:cs="Arial"/>
                <w:bCs/>
                <w:sz w:val="22"/>
                <w:szCs w:val="22"/>
                <w:lang w:eastAsia="en-US"/>
              </w:rPr>
              <w:t xml:space="preserve"> January 2026</w:t>
            </w:r>
          </w:p>
        </w:tc>
      </w:tr>
      <w:tr w14:paraId="521FF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421FDD9E">
            <w:pPr>
              <w:spacing w:before="120" w:after="120" w:line="240" w:lineRule="auto"/>
              <w:jc w:val="both"/>
              <w:rPr>
                <w:rFonts w:ascii="Arial" w:hAnsi="Arial" w:cs="Arial"/>
                <w:b/>
                <w:sz w:val="22"/>
                <w:szCs w:val="22"/>
              </w:rPr>
            </w:pPr>
            <w:r>
              <w:rPr>
                <w:rFonts w:ascii="Arial" w:hAnsi="Arial" w:cs="Arial"/>
                <w:b/>
                <w:sz w:val="22"/>
                <w:szCs w:val="22"/>
              </w:rPr>
              <w:t>Submission method:</w:t>
            </w:r>
          </w:p>
        </w:tc>
        <w:tc>
          <w:tcPr>
            <w:tcW w:w="7829" w:type="dxa"/>
            <w:gridSpan w:val="4"/>
          </w:tcPr>
          <w:p w14:paraId="061C9686">
            <w:pPr>
              <w:spacing w:line="240" w:lineRule="auto"/>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91521D9">
            <w:pPr>
              <w:spacing w:before="120" w:after="120" w:line="240" w:lineRule="auto"/>
              <w:jc w:val="both"/>
              <w:rPr>
                <w:rFonts w:ascii="Arial" w:hAnsi="Arial" w:cs="Arial"/>
                <w:b/>
                <w:sz w:val="22"/>
                <w:szCs w:val="22"/>
              </w:rPr>
            </w:pPr>
            <w:r>
              <w:rPr>
                <w:rFonts w:ascii="Arial" w:hAnsi="Arial" w:cs="Arial"/>
                <w:b/>
                <w:sz w:val="22"/>
                <w:szCs w:val="22"/>
              </w:rPr>
              <w:t xml:space="preserve">Alternative submission method (if applicable): </w:t>
            </w:r>
          </w:p>
          <w:p w14:paraId="049DFEE1">
            <w:pPr>
              <w:spacing w:before="120" w:after="120" w:line="240" w:lineRule="auto"/>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14:paraId="0B6FF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3" w:type="dxa"/>
            <w:shd w:val="pct15" w:color="auto" w:fill="auto"/>
          </w:tcPr>
          <w:p w14:paraId="46640862">
            <w:pPr>
              <w:spacing w:before="120" w:after="120" w:line="240" w:lineRule="auto"/>
              <w:rPr>
                <w:rFonts w:ascii="Arial" w:hAnsi="Arial" w:cs="Arial"/>
                <w:b/>
                <w:sz w:val="22"/>
                <w:szCs w:val="22"/>
              </w:rPr>
            </w:pPr>
            <w:r>
              <w:rPr>
                <w:rFonts w:ascii="Arial" w:hAnsi="Arial" w:cs="Arial"/>
                <w:b/>
                <w:sz w:val="22"/>
                <w:szCs w:val="22"/>
              </w:rPr>
              <w:t>Academic honesty / referencing:</w:t>
            </w:r>
          </w:p>
        </w:tc>
        <w:tc>
          <w:tcPr>
            <w:tcW w:w="7829" w:type="dxa"/>
            <w:gridSpan w:val="4"/>
          </w:tcPr>
          <w:p w14:paraId="5F87FDEF">
            <w:pPr>
              <w:spacing w:before="120" w:after="120" w:line="240" w:lineRule="auto"/>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to complete this assessment.  </w:t>
            </w:r>
          </w:p>
        </w:tc>
      </w:tr>
      <w:tr w14:paraId="146E5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5" w:type="dxa"/>
        </w:trPr>
        <w:tc>
          <w:tcPr>
            <w:tcW w:w="9747" w:type="dxa"/>
            <w:gridSpan w:val="4"/>
            <w:shd w:val="pct10" w:color="auto" w:fill="auto"/>
          </w:tcPr>
          <w:p w14:paraId="09F12030">
            <w:pPr>
              <w:spacing w:line="240" w:lineRule="auto"/>
              <w:rPr>
                <w:rFonts w:ascii="Arial" w:hAnsi="Arial" w:cs="Arial"/>
                <w:b/>
                <w:sz w:val="22"/>
                <w:szCs w:val="22"/>
              </w:rPr>
            </w:pPr>
            <w:r>
              <w:rPr>
                <w:rFonts w:ascii="Arial" w:hAnsi="Arial" w:cs="Arial"/>
                <w:b/>
                <w:sz w:val="22"/>
                <w:szCs w:val="22"/>
              </w:rPr>
              <w:t xml:space="preserve">Module Learning Outcomes </w:t>
            </w:r>
          </w:p>
          <w:p w14:paraId="04072574">
            <w:pPr>
              <w:spacing w:line="240" w:lineRule="auto"/>
              <w:rPr>
                <w:rFonts w:ascii="Arial" w:hAnsi="Arial" w:cs="Arial"/>
                <w:sz w:val="22"/>
                <w:szCs w:val="22"/>
              </w:rPr>
            </w:pPr>
            <w:r>
              <w:rPr>
                <w:rFonts w:ascii="Arial" w:hAnsi="Arial" w:cs="Arial"/>
                <w:b/>
                <w:sz w:val="22"/>
                <w:szCs w:val="22"/>
              </w:rPr>
              <w:t>(from module syllabus)</w:t>
            </w:r>
          </w:p>
        </w:tc>
      </w:tr>
      <w:tr w14:paraId="3C809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75" w:type="dxa"/>
        </w:trPr>
        <w:tc>
          <w:tcPr>
            <w:tcW w:w="9747" w:type="dxa"/>
            <w:gridSpan w:val="4"/>
          </w:tcPr>
          <w:p w14:paraId="699425A7">
            <w:pPr>
              <w:spacing w:line="240" w:lineRule="auto"/>
              <w:rPr>
                <w:rFonts w:ascii="Arial" w:hAnsi="Arial" w:cs="Arial"/>
                <w:sz w:val="22"/>
                <w:szCs w:val="22"/>
              </w:rPr>
            </w:pPr>
          </w:p>
          <w:p w14:paraId="43E177A8">
            <w:pPr>
              <w:pStyle w:val="9"/>
              <w:numPr>
                <w:ilvl w:val="0"/>
                <w:numId w:val="1"/>
              </w:numPr>
              <w:spacing w:line="240" w:lineRule="auto"/>
              <w:rPr>
                <w:rFonts w:ascii="Arial" w:hAnsi="Arial" w:cs="Arial"/>
                <w:sz w:val="22"/>
                <w:szCs w:val="22"/>
              </w:rPr>
            </w:pPr>
            <w:r>
              <w:rPr>
                <w:rFonts w:ascii="Arial" w:hAnsi="Arial" w:cs="Arial"/>
                <w:sz w:val="22"/>
                <w:szCs w:val="22"/>
              </w:rPr>
              <w:t>Explore critically the response of management functions to ethical challenges and the ways in which business is constrained by its cultural, political and social environment</w:t>
            </w:r>
          </w:p>
          <w:p w14:paraId="3F5A346B">
            <w:pPr>
              <w:pStyle w:val="9"/>
              <w:numPr>
                <w:ilvl w:val="0"/>
                <w:numId w:val="1"/>
              </w:numPr>
              <w:spacing w:line="240" w:lineRule="auto"/>
              <w:rPr>
                <w:rFonts w:ascii="Arial" w:hAnsi="Arial" w:cs="Arial"/>
                <w:sz w:val="22"/>
                <w:szCs w:val="22"/>
              </w:rPr>
            </w:pPr>
            <w:r>
              <w:rPr>
                <w:rFonts w:ascii="Arial" w:hAnsi="Arial" w:cs="Arial"/>
                <w:sz w:val="22"/>
                <w:szCs w:val="22"/>
              </w:rPr>
              <w:t xml:space="preserve">Analyse facts and circumstances to determine the cause of a problem and identify and select appropriate solutions. </w:t>
            </w:r>
          </w:p>
          <w:p w14:paraId="04695E70">
            <w:pPr>
              <w:spacing w:line="240" w:lineRule="auto"/>
              <w:rPr>
                <w:rFonts w:ascii="Arial" w:hAnsi="Arial" w:cs="Arial"/>
                <w:sz w:val="22"/>
                <w:szCs w:val="22"/>
              </w:rPr>
            </w:pPr>
          </w:p>
          <w:p w14:paraId="704381F3">
            <w:pPr>
              <w:pStyle w:val="9"/>
              <w:spacing w:line="240" w:lineRule="auto"/>
              <w:rPr>
                <w:rFonts w:ascii="Arial" w:hAnsi="Arial" w:cs="Arial"/>
                <w:sz w:val="22"/>
                <w:szCs w:val="22"/>
              </w:rPr>
            </w:pPr>
          </w:p>
        </w:tc>
      </w:tr>
    </w:tbl>
    <w:p w14:paraId="0E2009DD">
      <w:pPr>
        <w:spacing w:before="480" w:after="480" w:line="480" w:lineRule="auto"/>
        <w:ind w:left="0"/>
        <w:jc w:val="both"/>
        <w:rPr>
          <w:rFonts w:hint="default" w:ascii="Times New Roman" w:hAnsi="Times New Roman" w:eastAsia="等线" w:cs="Times New Roman"/>
          <w:b w:val="0"/>
          <w:bCs/>
          <w:sz w:val="24"/>
          <w:szCs w:val="24"/>
        </w:rPr>
      </w:pPr>
    </w:p>
    <w:p w14:paraId="1D5907AA">
      <w:pPr>
        <w:spacing w:before="480" w:after="480" w:line="480" w:lineRule="auto"/>
        <w:ind w:left="0"/>
        <w:jc w:val="both"/>
        <w:rPr>
          <w:rFonts w:hint="default" w:ascii="Times New Roman" w:hAnsi="Times New Roman" w:eastAsia="等线" w:cs="Times New Roman"/>
          <w:b w:val="0"/>
          <w:bCs/>
          <w:sz w:val="24"/>
          <w:szCs w:val="24"/>
        </w:rPr>
      </w:pPr>
      <w:r>
        <w:rPr>
          <w:rFonts w:hint="default" w:ascii="Times New Roman" w:hAnsi="Times New Roman" w:eastAsia="等线" w:cs="Times New Roman"/>
          <w:b w:val="0"/>
          <w:bCs/>
          <w:sz w:val="24"/>
          <w:szCs w:val="24"/>
        </w:rPr>
        <w:t>Seeking Symbiosis in Differences: Constraints and Compatible Solutions to Ethical Conflicts in Global Business</w:t>
      </w:r>
    </w:p>
    <w:p w14:paraId="1AD7768A">
      <w:pPr>
        <w:spacing w:before="480" w:after="480" w:line="480" w:lineRule="auto"/>
        <w:ind w:left="0"/>
        <w:jc w:val="both"/>
        <w:rPr>
          <w:rFonts w:hint="default" w:ascii="Times New Roman" w:hAnsi="Times New Roman" w:eastAsia="等线" w:cs="Times New Roman"/>
          <w:b w:val="0"/>
          <w:bCs/>
          <w:sz w:val="24"/>
          <w:szCs w:val="24"/>
        </w:rPr>
      </w:pPr>
    </w:p>
    <w:p w14:paraId="161D861F">
      <w:pPr>
        <w:spacing w:before="480" w:after="480" w:line="480" w:lineRule="auto"/>
        <w:ind w:left="0"/>
        <w:jc w:val="both"/>
        <w:rPr>
          <w:rFonts w:hint="default" w:ascii="Times New Roman" w:hAnsi="Times New Roman" w:eastAsia="等线" w:cs="Times New Roman"/>
          <w:b w:val="0"/>
          <w:bCs/>
          <w:sz w:val="24"/>
          <w:szCs w:val="24"/>
        </w:rPr>
      </w:pPr>
    </w:p>
    <w:p w14:paraId="2DE45A28">
      <w:pPr>
        <w:spacing w:before="480" w:after="480" w:line="480" w:lineRule="auto"/>
        <w:ind w:left="0"/>
        <w:jc w:val="both"/>
        <w:rPr>
          <w:rFonts w:hint="default" w:ascii="Times New Roman" w:hAnsi="Times New Roman" w:eastAsia="等线" w:cs="Times New Roman"/>
          <w:b w:val="0"/>
          <w:bCs/>
          <w:sz w:val="24"/>
          <w:szCs w:val="24"/>
        </w:rPr>
      </w:pPr>
    </w:p>
    <w:p w14:paraId="56F3B4B3">
      <w:pPr>
        <w:spacing w:before="480" w:after="480" w:line="480" w:lineRule="auto"/>
        <w:ind w:left="0"/>
        <w:jc w:val="both"/>
        <w:rPr>
          <w:rFonts w:hint="default" w:ascii="Times New Roman" w:hAnsi="Times New Roman" w:eastAsia="等线" w:cs="Times New Roman"/>
          <w:b w:val="0"/>
          <w:bCs/>
          <w:sz w:val="24"/>
          <w:szCs w:val="24"/>
        </w:rPr>
      </w:pPr>
    </w:p>
    <w:p w14:paraId="3FE26563">
      <w:pPr>
        <w:spacing w:before="480" w:after="480" w:line="480" w:lineRule="auto"/>
        <w:ind w:left="0"/>
        <w:jc w:val="both"/>
        <w:rPr>
          <w:rFonts w:hint="default" w:ascii="Times New Roman" w:hAnsi="Times New Roman" w:eastAsia="等线" w:cs="Times New Roman"/>
          <w:b w:val="0"/>
          <w:bCs/>
          <w:sz w:val="24"/>
          <w:szCs w:val="24"/>
        </w:rPr>
      </w:pPr>
    </w:p>
    <w:p w14:paraId="3CEB5904">
      <w:pPr>
        <w:spacing w:before="480" w:after="480" w:line="480" w:lineRule="auto"/>
        <w:ind w:left="0"/>
        <w:jc w:val="both"/>
        <w:rPr>
          <w:rFonts w:hint="default" w:ascii="Times New Roman" w:hAnsi="Times New Roman" w:eastAsia="等线" w:cs="Times New Roman"/>
          <w:b w:val="0"/>
          <w:bCs/>
          <w:sz w:val="24"/>
          <w:szCs w:val="24"/>
        </w:rPr>
      </w:pPr>
    </w:p>
    <w:p w14:paraId="44409213">
      <w:pPr>
        <w:spacing w:before="480" w:after="480" w:line="480" w:lineRule="auto"/>
        <w:ind w:left="0"/>
        <w:jc w:val="both"/>
        <w:rPr>
          <w:rFonts w:hint="default" w:ascii="Times New Roman" w:hAnsi="Times New Roman" w:eastAsia="等线" w:cs="Times New Roman"/>
          <w:b w:val="0"/>
          <w:bCs/>
          <w:sz w:val="24"/>
          <w:szCs w:val="24"/>
        </w:rPr>
      </w:pPr>
    </w:p>
    <w:p w14:paraId="52B34893">
      <w:pPr>
        <w:spacing w:before="480" w:after="480" w:line="480" w:lineRule="auto"/>
        <w:ind w:left="0"/>
        <w:jc w:val="both"/>
        <w:rPr>
          <w:rFonts w:hint="default" w:ascii="Times New Roman" w:hAnsi="Times New Roman" w:eastAsia="等线" w:cs="Times New Roman"/>
          <w:b w:val="0"/>
          <w:bCs/>
          <w:sz w:val="24"/>
          <w:szCs w:val="24"/>
        </w:rPr>
      </w:pPr>
    </w:p>
    <w:p w14:paraId="766AC1F2">
      <w:pPr>
        <w:spacing w:before="480" w:after="480" w:line="480" w:lineRule="auto"/>
        <w:ind w:left="0"/>
        <w:jc w:val="both"/>
        <w:rPr>
          <w:rFonts w:hint="default" w:ascii="Times New Roman" w:hAnsi="Times New Roman" w:eastAsia="等线" w:cs="Times New Roman"/>
          <w:b w:val="0"/>
          <w:bCs/>
          <w:sz w:val="24"/>
          <w:szCs w:val="24"/>
        </w:rPr>
      </w:pPr>
    </w:p>
    <w:p w14:paraId="4C43173B">
      <w:pPr>
        <w:spacing w:before="480" w:after="480" w:line="480" w:lineRule="auto"/>
        <w:ind w:left="0"/>
        <w:jc w:val="both"/>
        <w:rPr>
          <w:rFonts w:hint="default" w:ascii="Times New Roman" w:hAnsi="Times New Roman" w:eastAsia="等线" w:cs="Times New Roman"/>
          <w:b w:val="0"/>
          <w:bCs/>
          <w:sz w:val="24"/>
          <w:szCs w:val="24"/>
        </w:rPr>
      </w:pPr>
    </w:p>
    <w:p w14:paraId="1DEB326F">
      <w:pPr>
        <w:spacing w:before="480" w:after="480" w:line="480" w:lineRule="auto"/>
        <w:ind w:left="0"/>
        <w:jc w:val="both"/>
        <w:rPr>
          <w:rFonts w:hint="default" w:ascii="Times New Roman" w:hAnsi="Times New Roman" w:eastAsia="等线" w:cs="Times New Roman"/>
          <w:b w:val="0"/>
          <w:bCs/>
          <w:sz w:val="24"/>
          <w:szCs w:val="24"/>
        </w:rPr>
      </w:pPr>
    </w:p>
    <w:p w14:paraId="7D601C23">
      <w:pPr>
        <w:spacing w:before="480" w:after="480" w:line="480" w:lineRule="auto"/>
        <w:ind w:left="0"/>
        <w:jc w:val="both"/>
        <w:rPr>
          <w:rFonts w:hint="default" w:ascii="Times New Roman" w:hAnsi="Times New Roman" w:eastAsia="等线" w:cs="Times New Roman"/>
          <w:b w:val="0"/>
          <w:bCs/>
          <w:sz w:val="24"/>
          <w:szCs w:val="24"/>
        </w:rPr>
      </w:pPr>
    </w:p>
    <w:p w14:paraId="554D47DC">
      <w:pPr>
        <w:pStyle w:val="5"/>
        <w:keepNext w:val="0"/>
        <w:keepLines w:val="0"/>
        <w:widowControl/>
        <w:suppressLineNumbers w:val="0"/>
        <w:spacing w:line="480" w:lineRule="auto"/>
        <w:jc w:val="both"/>
      </w:pPr>
      <w:r>
        <w:t>Abstract</w:t>
      </w:r>
    </w:p>
    <w:p w14:paraId="50CA9106">
      <w:pPr>
        <w:pStyle w:val="5"/>
        <w:keepNext w:val="0"/>
        <w:keepLines w:val="0"/>
        <w:widowControl/>
        <w:suppressLineNumbers w:val="0"/>
        <w:spacing w:line="480" w:lineRule="auto"/>
        <w:jc w:val="both"/>
      </w:pPr>
      <w:r>
        <w:t xml:space="preserve">Against the backdrop of deepening economic globalization, multinational corporations frequently find themselves entangled in ethical conflicts arising from the interplay of cultural values, political systems, and social norms. Striking a dynamic equilibrium between ethical integrity and commercial operations has become a central challenge in corporate globalization. This paper centers on “ethical conflicts in global business,” focusing on two critical issues: “the compatibility of ethical principles with global transactions” and “the trade-off logic between cultural-political factors and profit objectives.” Drawing on Hofstede's cultural dimensions theory and stakeholder theory, it examines two key cases—labor disputes at Nike's Vietnamese factories and Nestlé's palm oil sourcing practices—to explore how multinational corporations navigate these complex ethical dilemmas. the trade-off logic between cultural-political factors and profit objectives." Drawing on academic frameworks such as Hofstede's cultural dimensions theory and stakeholder theory, and examining case studies including Nike's labor disputes in Vietnam, Nestlé's palm oil supply chain restructuring, and Microsoft's cross-border data compliance efforts, this study systematically analyzes the multifaceted constraints imposed by cultural differences, political regulation, and societal expectations on corporate ethical decision-making. Our research reveals that the essence of global business ethics conflicts lies in the mismatch between “universal ethical principles” and “localized business realities.” While corporate core ethical bottom lines are non-negotiable, the specific forms of ethical practice can be flexibly adapted to localized contexts. Effective alignment with cultural and political factors not only mitigates operational risks but can also be transformed into differentiated business value. Accordingly, this paper proposes a dual-ethics management system featuring “rigid foundational principles and flexible local adaptation.” By establishing a three-tier global ethical baseline framework, a three-dimensional dynamic adaptation mechanism addressing cultural, political, and social dimensions, and technology-enabled precision control tools, it creates a systematic pathway for resolving ethical conflicts. Empirical research demonstrates that ethical adherence and commercial profitability are not mutually exclusive but can achieve a symbiotic relationship through scientific management. The findings provide multinational corporations with an operational pathway for global ethical management that holds both theoretical value and practical guidance. </w:t>
      </w:r>
    </w:p>
    <w:p w14:paraId="66845C6C">
      <w:pPr>
        <w:keepNext w:val="0"/>
        <w:keepLines w:val="0"/>
        <w:widowControl/>
        <w:suppressLineNumbers w:val="0"/>
        <w:spacing w:line="480" w:lineRule="auto"/>
        <w:jc w:val="left"/>
      </w:pPr>
    </w:p>
    <w:p w14:paraId="15E8249F">
      <w:pPr>
        <w:spacing w:before="480" w:after="480" w:line="480" w:lineRule="auto"/>
        <w:ind w:left="0"/>
        <w:jc w:val="both"/>
        <w:rPr>
          <w:rFonts w:hint="default" w:ascii="Times New Roman" w:hAnsi="Times New Roman" w:eastAsia="等线" w:cs="Times New Roman"/>
          <w:b w:val="0"/>
          <w:bCs/>
          <w:sz w:val="24"/>
          <w:szCs w:val="24"/>
        </w:rPr>
      </w:pPr>
    </w:p>
    <w:p w14:paraId="5B58793C">
      <w:pPr>
        <w:spacing w:before="480" w:after="480" w:line="480" w:lineRule="auto"/>
        <w:ind w:left="0"/>
        <w:jc w:val="both"/>
        <w:rPr>
          <w:rFonts w:hint="default" w:ascii="Times New Roman" w:hAnsi="Times New Roman" w:eastAsia="等线" w:cs="Times New Roman"/>
          <w:b w:val="0"/>
          <w:bCs/>
          <w:sz w:val="24"/>
          <w:szCs w:val="24"/>
        </w:rPr>
      </w:pPr>
    </w:p>
    <w:p w14:paraId="5699AF6E">
      <w:pPr>
        <w:spacing w:before="480" w:after="480" w:line="480" w:lineRule="auto"/>
        <w:ind w:left="0"/>
        <w:jc w:val="both"/>
        <w:rPr>
          <w:rFonts w:hint="default" w:ascii="Times New Roman" w:hAnsi="Times New Roman" w:eastAsia="等线" w:cs="Times New Roman"/>
          <w:b w:val="0"/>
          <w:bCs/>
          <w:sz w:val="24"/>
          <w:szCs w:val="24"/>
        </w:rPr>
      </w:pPr>
    </w:p>
    <w:p w14:paraId="0A010718">
      <w:pPr>
        <w:spacing w:before="480" w:after="480" w:line="480" w:lineRule="auto"/>
        <w:ind w:left="0"/>
        <w:jc w:val="both"/>
        <w:rPr>
          <w:rFonts w:hint="default" w:ascii="Times New Roman" w:hAnsi="Times New Roman" w:eastAsia="等线" w:cs="Times New Roman"/>
          <w:b w:val="0"/>
          <w:bCs/>
          <w:sz w:val="24"/>
          <w:szCs w:val="24"/>
        </w:rPr>
      </w:pPr>
    </w:p>
    <w:p w14:paraId="08E2CAB0">
      <w:pPr>
        <w:spacing w:before="480" w:after="480" w:line="480" w:lineRule="auto"/>
        <w:ind w:left="0"/>
        <w:jc w:val="both"/>
        <w:rPr>
          <w:rFonts w:hint="default" w:ascii="Times New Roman" w:hAnsi="Times New Roman" w:eastAsia="等线" w:cs="Times New Roman"/>
          <w:b w:val="0"/>
          <w:bCs/>
          <w:sz w:val="24"/>
          <w:szCs w:val="24"/>
        </w:rPr>
      </w:pPr>
    </w:p>
    <w:p w14:paraId="73CA8877">
      <w:pPr>
        <w:spacing w:before="480" w:after="480" w:line="480" w:lineRule="auto"/>
        <w:ind w:left="0"/>
        <w:jc w:val="both"/>
        <w:rPr>
          <w:rFonts w:hint="default" w:ascii="Times New Roman" w:hAnsi="Times New Roman" w:eastAsia="等线" w:cs="Times New Roman"/>
          <w:b w:val="0"/>
          <w:bCs/>
          <w:sz w:val="24"/>
          <w:szCs w:val="24"/>
        </w:rPr>
      </w:pPr>
    </w:p>
    <w:p w14:paraId="25BFF9FD">
      <w:pPr>
        <w:spacing w:before="480" w:after="480" w:line="480" w:lineRule="auto"/>
        <w:ind w:left="0"/>
        <w:jc w:val="both"/>
        <w:rPr>
          <w:rFonts w:hint="default" w:ascii="Times New Roman" w:hAnsi="Times New Roman" w:eastAsia="等线" w:cs="Times New Roman"/>
          <w:b w:val="0"/>
          <w:bCs/>
          <w:sz w:val="24"/>
          <w:szCs w:val="24"/>
        </w:rPr>
      </w:pPr>
    </w:p>
    <w:p w14:paraId="22587E3F">
      <w:pPr>
        <w:spacing w:before="480" w:after="480" w:line="240" w:lineRule="auto"/>
        <w:ind w:left="0"/>
        <w:jc w:val="both"/>
        <w:rPr>
          <w:rFonts w:hint="default" w:ascii="Times New Roman" w:hAnsi="Times New Roman" w:eastAsia="等线" w:cs="Times New Roman"/>
          <w:b w:val="0"/>
          <w:bCs/>
          <w:sz w:val="24"/>
          <w:szCs w:val="24"/>
          <w:lang w:val="en-US" w:eastAsia="zh-CN"/>
        </w:rPr>
      </w:pPr>
    </w:p>
    <w:p w14:paraId="2F6A89B9">
      <w:pPr>
        <w:spacing w:before="480" w:after="480" w:line="240" w:lineRule="auto"/>
        <w:ind w:left="0"/>
        <w:jc w:val="both"/>
        <w:rPr>
          <w:rFonts w:hint="default" w:ascii="Times New Roman" w:hAnsi="Times New Roman" w:eastAsia="等线" w:cs="Times New Roman"/>
          <w:b w:val="0"/>
          <w:bCs/>
          <w:sz w:val="24"/>
          <w:szCs w:val="24"/>
          <w:lang w:val="en-US" w:eastAsia="zh-CN"/>
        </w:rPr>
      </w:pPr>
    </w:p>
    <w:p w14:paraId="1588B71A">
      <w:pPr>
        <w:spacing w:before="480" w:after="480" w:line="240" w:lineRule="auto"/>
        <w:ind w:left="0"/>
        <w:jc w:val="both"/>
        <w:rPr>
          <w:rFonts w:hint="eastAsia" w:eastAsia="等线" w:cs="Times New Roman"/>
          <w:b w:val="0"/>
          <w:bCs/>
          <w:sz w:val="24"/>
          <w:szCs w:val="24"/>
          <w:lang w:val="en-US" w:eastAsia="zh-CN"/>
        </w:rPr>
      </w:pPr>
      <w:r>
        <w:rPr>
          <w:rFonts w:hint="eastAsia" w:eastAsia="等线" w:cs="Times New Roman"/>
          <w:b w:val="0"/>
          <w:bCs/>
          <w:sz w:val="24"/>
          <w:szCs w:val="24"/>
          <w:lang w:val="en-US" w:eastAsia="zh-CN"/>
        </w:rPr>
        <w:t xml:space="preserve">                               Contents</w:t>
      </w:r>
    </w:p>
    <w:p w14:paraId="6CFF4AB6">
      <w:pPr>
        <w:spacing w:before="480" w:after="480" w:line="240" w:lineRule="auto"/>
        <w:ind w:left="0"/>
        <w:jc w:val="both"/>
        <w:rPr>
          <w:rFonts w:hint="default" w:eastAsia="等线" w:cs="Times New Roman"/>
          <w:b w:val="0"/>
          <w:bCs/>
          <w:sz w:val="24"/>
          <w:szCs w:val="24"/>
          <w:lang w:val="en-US" w:eastAsia="zh-CN"/>
        </w:rPr>
      </w:pPr>
      <w:r>
        <w:rPr>
          <w:rFonts w:hint="eastAsia" w:eastAsia="等线" w:cs="Times New Roman"/>
          <w:b w:val="0"/>
          <w:bCs/>
          <w:sz w:val="24"/>
          <w:szCs w:val="24"/>
          <w:lang w:val="en-US" w:eastAsia="zh-CN"/>
        </w:rPr>
        <w:t>1.0 Introduction...........................................................................................................5</w:t>
      </w:r>
    </w:p>
    <w:p w14:paraId="4079C092">
      <w:pPr>
        <w:pStyle w:val="5"/>
        <w:keepNext w:val="0"/>
        <w:keepLines w:val="0"/>
        <w:widowControl/>
        <w:suppressLineNumbers w:val="0"/>
        <w:spacing w:line="480" w:lineRule="auto"/>
        <w:jc w:val="both"/>
        <w:rPr>
          <w:rFonts w:hint="default" w:eastAsia="宋体"/>
          <w:b w:val="0"/>
          <w:bCs w:val="0"/>
          <w:sz w:val="24"/>
          <w:szCs w:val="24"/>
          <w:lang w:val="en-US" w:eastAsia="zh-CN"/>
        </w:rPr>
      </w:pPr>
      <w:r>
        <w:rPr>
          <w:b w:val="0"/>
          <w:bCs w:val="0"/>
          <w:sz w:val="24"/>
          <w:szCs w:val="24"/>
        </w:rPr>
        <w:t>2.0 The Reality and Core Causes of Global Business Ethics Conflicts</w:t>
      </w:r>
      <w:r>
        <w:rPr>
          <w:rFonts w:hint="eastAsia"/>
          <w:b w:val="0"/>
          <w:bCs w:val="0"/>
          <w:sz w:val="24"/>
          <w:szCs w:val="24"/>
          <w:lang w:val="en-US" w:eastAsia="zh-CN"/>
        </w:rPr>
        <w:t>......................6</w:t>
      </w:r>
    </w:p>
    <w:p w14:paraId="66E75C17">
      <w:pPr>
        <w:pStyle w:val="5"/>
        <w:keepNext w:val="0"/>
        <w:keepLines w:val="0"/>
        <w:widowControl/>
        <w:suppressLineNumbers w:val="0"/>
        <w:spacing w:line="480" w:lineRule="auto"/>
        <w:ind w:firstLine="240" w:firstLineChars="100"/>
        <w:jc w:val="both"/>
        <w:rPr>
          <w:rFonts w:hint="default" w:eastAsia="宋体"/>
          <w:sz w:val="24"/>
          <w:szCs w:val="24"/>
          <w:lang w:val="en-US" w:eastAsia="zh-CN"/>
        </w:rPr>
      </w:pPr>
      <w:r>
        <w:rPr>
          <w:rFonts w:hint="eastAsia"/>
          <w:sz w:val="24"/>
          <w:szCs w:val="24"/>
          <w:lang w:val="en-US" w:eastAsia="zh-CN"/>
        </w:rPr>
        <w:t>2.1 Mahbubani</w:t>
      </w:r>
      <w:r>
        <w:rPr>
          <w:rFonts w:hint="default"/>
          <w:sz w:val="24"/>
          <w:szCs w:val="24"/>
          <w:lang w:val="en-US" w:eastAsia="zh-CN"/>
        </w:rPr>
        <w:t>’</w:t>
      </w:r>
      <w:r>
        <w:rPr>
          <w:rFonts w:hint="eastAsia"/>
          <w:sz w:val="24"/>
          <w:szCs w:val="24"/>
          <w:lang w:val="en-US" w:eastAsia="zh-CN"/>
        </w:rPr>
        <w:t>s Non-Western Critique of Ethical Judgment Logic......................7</w:t>
      </w:r>
    </w:p>
    <w:p w14:paraId="3422B541">
      <w:pPr>
        <w:pStyle w:val="5"/>
        <w:keepNext w:val="0"/>
        <w:keepLines w:val="0"/>
        <w:widowControl/>
        <w:suppressLineNumbers w:val="0"/>
        <w:spacing w:line="480" w:lineRule="auto"/>
        <w:ind w:firstLine="240" w:firstLineChars="100"/>
        <w:jc w:val="both"/>
        <w:rPr>
          <w:rFonts w:hint="default" w:eastAsia="宋体"/>
          <w:sz w:val="24"/>
          <w:szCs w:val="24"/>
          <w:lang w:val="en-US" w:eastAsia="zh-CN"/>
        </w:rPr>
      </w:pPr>
      <w:r>
        <w:rPr>
          <w:sz w:val="24"/>
          <w:szCs w:val="24"/>
        </w:rPr>
        <w:t>2.</w:t>
      </w:r>
      <w:r>
        <w:rPr>
          <w:rFonts w:hint="eastAsia"/>
          <w:sz w:val="24"/>
          <w:szCs w:val="24"/>
          <w:lang w:val="en-US" w:eastAsia="zh-CN"/>
        </w:rPr>
        <w:t>2</w:t>
      </w:r>
      <w:r>
        <w:rPr>
          <w:sz w:val="24"/>
          <w:szCs w:val="24"/>
        </w:rPr>
        <w:t xml:space="preserve"> Cultural Dimension Differences</w:t>
      </w:r>
      <w:r>
        <w:rPr>
          <w:rFonts w:hint="eastAsia"/>
          <w:sz w:val="24"/>
          <w:szCs w:val="24"/>
          <w:lang w:val="en-US" w:eastAsia="zh-CN"/>
        </w:rPr>
        <w:t>........................................................................8</w:t>
      </w:r>
    </w:p>
    <w:p w14:paraId="324F84CA">
      <w:pPr>
        <w:pStyle w:val="5"/>
        <w:keepNext w:val="0"/>
        <w:keepLines w:val="0"/>
        <w:widowControl/>
        <w:suppressLineNumbers w:val="0"/>
        <w:spacing w:line="480" w:lineRule="auto"/>
        <w:ind w:firstLine="480" w:firstLineChars="200"/>
        <w:jc w:val="both"/>
        <w:rPr>
          <w:rFonts w:hint="default" w:eastAsia="宋体"/>
          <w:sz w:val="24"/>
          <w:szCs w:val="24"/>
          <w:lang w:val="en-US" w:eastAsia="zh-CN"/>
        </w:rPr>
      </w:pPr>
      <w:r>
        <w:rPr>
          <w:sz w:val="24"/>
          <w:szCs w:val="24"/>
        </w:rPr>
        <w:t>2.</w:t>
      </w:r>
      <w:r>
        <w:rPr>
          <w:rFonts w:hint="eastAsia"/>
          <w:sz w:val="24"/>
          <w:szCs w:val="24"/>
          <w:lang w:val="en-US" w:eastAsia="zh-CN"/>
        </w:rPr>
        <w:t>2</w:t>
      </w:r>
      <w:r>
        <w:rPr>
          <w:sz w:val="24"/>
          <w:szCs w:val="24"/>
        </w:rPr>
        <w:t>.</w:t>
      </w:r>
      <w:r>
        <w:rPr>
          <w:rFonts w:hint="eastAsia"/>
          <w:sz w:val="24"/>
          <w:szCs w:val="24"/>
          <w:lang w:val="en-US" w:eastAsia="zh-CN"/>
        </w:rPr>
        <w:t>1</w:t>
      </w:r>
      <w:r>
        <w:rPr>
          <w:sz w:val="24"/>
          <w:szCs w:val="24"/>
        </w:rPr>
        <w:t xml:space="preserve"> Political System Constraints</w:t>
      </w:r>
      <w:r>
        <w:rPr>
          <w:rFonts w:hint="eastAsia"/>
          <w:sz w:val="24"/>
          <w:szCs w:val="24"/>
          <w:lang w:val="en-US" w:eastAsia="zh-CN"/>
        </w:rPr>
        <w:t>.......................................................................9</w:t>
      </w:r>
    </w:p>
    <w:p w14:paraId="336D3EA8">
      <w:pPr>
        <w:pStyle w:val="5"/>
        <w:keepNext w:val="0"/>
        <w:keepLines w:val="0"/>
        <w:widowControl/>
        <w:suppressLineNumbers w:val="0"/>
        <w:spacing w:line="480" w:lineRule="auto"/>
        <w:ind w:firstLine="480" w:firstLineChars="200"/>
        <w:jc w:val="both"/>
        <w:rPr>
          <w:rFonts w:hint="default" w:eastAsia="宋体"/>
          <w:sz w:val="24"/>
          <w:szCs w:val="24"/>
          <w:lang w:val="en-US" w:eastAsia="zh-CN"/>
        </w:rPr>
      </w:pPr>
      <w:r>
        <w:rPr>
          <w:sz w:val="24"/>
          <w:szCs w:val="24"/>
        </w:rPr>
        <w:t>2.</w:t>
      </w:r>
      <w:r>
        <w:rPr>
          <w:rFonts w:hint="eastAsia"/>
          <w:sz w:val="24"/>
          <w:szCs w:val="24"/>
          <w:lang w:val="en-US" w:eastAsia="zh-CN"/>
        </w:rPr>
        <w:t>2</w:t>
      </w:r>
      <w:r>
        <w:rPr>
          <w:sz w:val="24"/>
          <w:szCs w:val="24"/>
        </w:rPr>
        <w:t>.</w:t>
      </w:r>
      <w:r>
        <w:rPr>
          <w:rFonts w:hint="eastAsia"/>
          <w:sz w:val="24"/>
          <w:szCs w:val="24"/>
          <w:lang w:val="en-US" w:eastAsia="zh-CN"/>
        </w:rPr>
        <w:t>2</w:t>
      </w:r>
      <w:r>
        <w:rPr>
          <w:sz w:val="24"/>
          <w:szCs w:val="24"/>
        </w:rPr>
        <w:t xml:space="preserve"> Evolution of Social Norms</w:t>
      </w:r>
      <w:r>
        <w:rPr>
          <w:rFonts w:hint="eastAsia"/>
          <w:sz w:val="24"/>
          <w:szCs w:val="24"/>
          <w:lang w:val="en-US" w:eastAsia="zh-CN"/>
        </w:rPr>
        <w:t>.........................................................................10</w:t>
      </w:r>
    </w:p>
    <w:p w14:paraId="68A78BD5">
      <w:pPr>
        <w:pStyle w:val="5"/>
        <w:keepNext w:val="0"/>
        <w:keepLines w:val="0"/>
        <w:widowControl/>
        <w:suppressLineNumbers w:val="0"/>
        <w:spacing w:line="480" w:lineRule="auto"/>
        <w:ind w:firstLine="240" w:firstLineChars="100"/>
        <w:jc w:val="both"/>
        <w:rPr>
          <w:rFonts w:hint="default" w:eastAsia="宋体"/>
          <w:sz w:val="24"/>
          <w:szCs w:val="24"/>
          <w:lang w:val="en-US" w:eastAsia="zh-CN"/>
        </w:rPr>
      </w:pPr>
      <w:r>
        <w:rPr>
          <w:sz w:val="24"/>
          <w:szCs w:val="24"/>
        </w:rPr>
        <w:t>2.</w:t>
      </w:r>
      <w:r>
        <w:rPr>
          <w:rFonts w:hint="eastAsia"/>
          <w:sz w:val="24"/>
          <w:szCs w:val="24"/>
          <w:lang w:val="en-US" w:eastAsia="zh-CN"/>
        </w:rPr>
        <w:t xml:space="preserve">3 </w:t>
      </w:r>
      <w:r>
        <w:rPr>
          <w:sz w:val="24"/>
          <w:szCs w:val="24"/>
        </w:rPr>
        <w:t>In-Depth Analysis of Core Issues</w:t>
      </w:r>
      <w:r>
        <w:rPr>
          <w:rFonts w:hint="eastAsia"/>
          <w:sz w:val="24"/>
          <w:szCs w:val="24"/>
          <w:lang w:val="en-US" w:eastAsia="zh-CN"/>
        </w:rPr>
        <w:t>......................................................................11</w:t>
      </w:r>
    </w:p>
    <w:p w14:paraId="271CE79E">
      <w:pPr>
        <w:pStyle w:val="5"/>
        <w:keepNext w:val="0"/>
        <w:keepLines w:val="0"/>
        <w:widowControl/>
        <w:suppressLineNumbers w:val="0"/>
        <w:spacing w:line="480" w:lineRule="auto"/>
        <w:ind w:firstLine="480" w:firstLineChars="200"/>
        <w:jc w:val="both"/>
        <w:rPr>
          <w:rFonts w:hint="default" w:eastAsia="宋体"/>
          <w:sz w:val="24"/>
          <w:szCs w:val="24"/>
          <w:lang w:val="en-US" w:eastAsia="zh-CN"/>
        </w:rPr>
      </w:pPr>
      <w:r>
        <w:rPr>
          <w:sz w:val="24"/>
          <w:szCs w:val="24"/>
        </w:rPr>
        <w:t>2.</w:t>
      </w:r>
      <w:r>
        <w:rPr>
          <w:rFonts w:hint="eastAsia"/>
          <w:sz w:val="24"/>
          <w:szCs w:val="24"/>
          <w:lang w:val="en-US" w:eastAsia="zh-CN"/>
        </w:rPr>
        <w:t>3</w:t>
      </w:r>
      <w:r>
        <w:rPr>
          <w:sz w:val="24"/>
          <w:szCs w:val="24"/>
        </w:rPr>
        <w:t>.1 Ethical Principles and Global Transactions</w:t>
      </w:r>
      <w:r>
        <w:rPr>
          <w:rFonts w:hint="eastAsia"/>
          <w:sz w:val="24"/>
          <w:szCs w:val="24"/>
          <w:lang w:val="en-US" w:eastAsia="zh-CN"/>
        </w:rPr>
        <w:t>................................................11</w:t>
      </w:r>
    </w:p>
    <w:p w14:paraId="697FDE46">
      <w:pPr>
        <w:pStyle w:val="5"/>
        <w:keepNext w:val="0"/>
        <w:keepLines w:val="0"/>
        <w:widowControl/>
        <w:suppressLineNumbers w:val="0"/>
        <w:spacing w:line="480" w:lineRule="auto"/>
        <w:ind w:firstLine="480" w:firstLineChars="200"/>
        <w:jc w:val="both"/>
        <w:rPr>
          <w:rFonts w:hint="default" w:eastAsia="宋体"/>
          <w:sz w:val="24"/>
          <w:szCs w:val="24"/>
          <w:lang w:val="en-US" w:eastAsia="zh-CN"/>
        </w:rPr>
      </w:pPr>
      <w:r>
        <w:rPr>
          <w:sz w:val="24"/>
          <w:szCs w:val="24"/>
        </w:rPr>
        <w:t>2.</w:t>
      </w:r>
      <w:r>
        <w:rPr>
          <w:rFonts w:hint="eastAsia"/>
          <w:sz w:val="24"/>
          <w:szCs w:val="24"/>
          <w:lang w:val="en-US" w:eastAsia="zh-CN"/>
        </w:rPr>
        <w:t>3</w:t>
      </w:r>
      <w:r>
        <w:rPr>
          <w:sz w:val="24"/>
          <w:szCs w:val="24"/>
        </w:rPr>
        <w:t>.2 Cultural-Political Factors and Profitability</w:t>
      </w:r>
      <w:r>
        <w:rPr>
          <w:rFonts w:hint="eastAsia"/>
          <w:sz w:val="24"/>
          <w:szCs w:val="24"/>
          <w:lang w:val="en-US" w:eastAsia="zh-CN"/>
        </w:rPr>
        <w:t>.................................................12</w:t>
      </w:r>
    </w:p>
    <w:p w14:paraId="13978605">
      <w:pPr>
        <w:pStyle w:val="5"/>
        <w:keepNext w:val="0"/>
        <w:keepLines w:val="0"/>
        <w:widowControl/>
        <w:suppressLineNumbers w:val="0"/>
        <w:spacing w:line="480" w:lineRule="auto"/>
        <w:jc w:val="both"/>
        <w:rPr>
          <w:rFonts w:hint="default" w:eastAsia="宋体"/>
          <w:sz w:val="24"/>
          <w:szCs w:val="24"/>
          <w:lang w:val="en-US" w:eastAsia="zh-CN"/>
        </w:rPr>
      </w:pPr>
      <w:r>
        <w:rPr>
          <w:sz w:val="24"/>
          <w:szCs w:val="24"/>
        </w:rPr>
        <w:t>3.0 Compatible Solution</w:t>
      </w:r>
      <w:r>
        <w:rPr>
          <w:rFonts w:hint="eastAsia"/>
          <w:sz w:val="24"/>
          <w:szCs w:val="24"/>
          <w:lang w:val="en-US" w:eastAsia="zh-CN"/>
        </w:rPr>
        <w:t>..............................................................................................12</w:t>
      </w:r>
    </w:p>
    <w:p w14:paraId="57E9D0AF">
      <w:pPr>
        <w:pStyle w:val="5"/>
        <w:keepNext w:val="0"/>
        <w:keepLines w:val="0"/>
        <w:widowControl/>
        <w:suppressLineNumbers w:val="0"/>
        <w:spacing w:line="480" w:lineRule="auto"/>
        <w:ind w:firstLine="240" w:firstLineChars="100"/>
        <w:jc w:val="both"/>
        <w:rPr>
          <w:rFonts w:hint="default" w:eastAsia="宋体"/>
          <w:sz w:val="24"/>
          <w:szCs w:val="24"/>
          <w:lang w:val="en-US" w:eastAsia="zh-CN"/>
        </w:rPr>
      </w:pPr>
      <w:r>
        <w:rPr>
          <w:sz w:val="24"/>
          <w:szCs w:val="24"/>
        </w:rPr>
        <w:t>3.1 Establish a Three-Tiered Global Ethical Foundation Framework</w:t>
      </w:r>
      <w:r>
        <w:rPr>
          <w:rFonts w:hint="eastAsia"/>
          <w:sz w:val="24"/>
          <w:szCs w:val="24"/>
          <w:lang w:val="en-US" w:eastAsia="zh-CN"/>
        </w:rPr>
        <w:t>.....................13</w:t>
      </w:r>
    </w:p>
    <w:p w14:paraId="155C3F3F">
      <w:pPr>
        <w:pStyle w:val="5"/>
        <w:keepNext w:val="0"/>
        <w:keepLines w:val="0"/>
        <w:widowControl/>
        <w:suppressLineNumbers w:val="0"/>
        <w:spacing w:line="480" w:lineRule="auto"/>
        <w:ind w:firstLine="240" w:firstLineChars="100"/>
        <w:jc w:val="both"/>
        <w:rPr>
          <w:rFonts w:hint="default" w:eastAsia="宋体"/>
          <w:sz w:val="24"/>
          <w:szCs w:val="24"/>
          <w:lang w:val="en-US" w:eastAsia="zh-CN"/>
        </w:rPr>
      </w:pPr>
      <w:r>
        <w:rPr>
          <w:sz w:val="24"/>
          <w:szCs w:val="24"/>
        </w:rPr>
        <w:t>3.2 Implementing a Dynamic Local Adaptation Mechanism</w:t>
      </w:r>
      <w:r>
        <w:rPr>
          <w:rFonts w:hint="eastAsia"/>
          <w:sz w:val="24"/>
          <w:szCs w:val="24"/>
          <w:lang w:val="en-US" w:eastAsia="zh-CN"/>
        </w:rPr>
        <w:t>..................................14</w:t>
      </w:r>
    </w:p>
    <w:p w14:paraId="03840604">
      <w:pPr>
        <w:pStyle w:val="5"/>
        <w:keepNext w:val="0"/>
        <w:keepLines w:val="0"/>
        <w:widowControl/>
        <w:suppressLineNumbers w:val="0"/>
        <w:spacing w:line="480" w:lineRule="auto"/>
        <w:ind w:firstLine="240" w:firstLineChars="100"/>
        <w:jc w:val="both"/>
        <w:rPr>
          <w:rFonts w:hint="default" w:eastAsia="宋体"/>
          <w:sz w:val="24"/>
          <w:szCs w:val="24"/>
          <w:lang w:val="en-US" w:eastAsia="zh-CN"/>
        </w:rPr>
      </w:pPr>
      <w:r>
        <w:rPr>
          <w:sz w:val="24"/>
          <w:szCs w:val="24"/>
        </w:rPr>
        <w:t>3.3 Achieving Precise Control Through Technological Tools</w:t>
      </w:r>
      <w:r>
        <w:rPr>
          <w:rFonts w:hint="eastAsia"/>
          <w:sz w:val="24"/>
          <w:szCs w:val="24"/>
          <w:lang w:val="en-US" w:eastAsia="zh-CN"/>
        </w:rPr>
        <w:t>................................15</w:t>
      </w:r>
    </w:p>
    <w:p w14:paraId="4E9C4CCB">
      <w:pPr>
        <w:pStyle w:val="5"/>
        <w:keepNext w:val="0"/>
        <w:keepLines w:val="0"/>
        <w:widowControl/>
        <w:suppressLineNumbers w:val="0"/>
        <w:spacing w:line="480" w:lineRule="auto"/>
        <w:jc w:val="both"/>
        <w:rPr>
          <w:rFonts w:hint="default" w:eastAsia="宋体"/>
          <w:sz w:val="24"/>
          <w:szCs w:val="24"/>
          <w:lang w:val="en-US" w:eastAsia="zh-CN"/>
        </w:rPr>
      </w:pPr>
      <w:r>
        <w:rPr>
          <w:sz w:val="24"/>
          <w:szCs w:val="24"/>
        </w:rPr>
        <w:t>4.0 Conclusion</w:t>
      </w:r>
      <w:r>
        <w:rPr>
          <w:rFonts w:hint="eastAsia"/>
          <w:sz w:val="24"/>
          <w:szCs w:val="24"/>
          <w:lang w:val="en-US" w:eastAsia="zh-CN"/>
        </w:rPr>
        <w:t>.............................................................................................................16</w:t>
      </w:r>
    </w:p>
    <w:p w14:paraId="1340AE4A">
      <w:pPr>
        <w:spacing w:before="380" w:after="140" w:line="480" w:lineRule="auto"/>
        <w:ind w:left="0"/>
        <w:jc w:val="both"/>
        <w:outlineLvl w:val="0"/>
        <w:rPr>
          <w:rFonts w:hint="default" w:ascii="Times New Roman" w:hAnsi="Times New Roman" w:eastAsia="等线" w:cs="Times New Roman"/>
          <w:b w:val="0"/>
          <w:bCs/>
          <w:sz w:val="24"/>
          <w:szCs w:val="24"/>
          <w:lang w:val="en-US" w:eastAsia="zh-CN"/>
        </w:rPr>
      </w:pPr>
      <w:r>
        <w:rPr>
          <w:rFonts w:hint="default" w:ascii="Times New Roman" w:hAnsi="Times New Roman" w:eastAsia="等线" w:cs="Times New Roman"/>
          <w:b w:val="0"/>
          <w:bCs/>
          <w:sz w:val="24"/>
          <w:szCs w:val="24"/>
          <w:lang w:val="en-US" w:eastAsia="zh-CN"/>
        </w:rPr>
        <w:t xml:space="preserve">5.0 </w:t>
      </w:r>
      <w:r>
        <w:rPr>
          <w:rFonts w:hint="default" w:ascii="Times New Roman" w:hAnsi="Times New Roman" w:eastAsia="等线" w:cs="Times New Roman"/>
          <w:b w:val="0"/>
          <w:bCs/>
          <w:sz w:val="24"/>
          <w:szCs w:val="24"/>
        </w:rPr>
        <w:t>References</w:t>
      </w:r>
      <w:r>
        <w:rPr>
          <w:rFonts w:hint="eastAsia" w:eastAsia="等线" w:cs="Times New Roman"/>
          <w:b w:val="0"/>
          <w:bCs/>
          <w:sz w:val="24"/>
          <w:szCs w:val="24"/>
          <w:lang w:val="en-US" w:eastAsia="zh-CN"/>
        </w:rPr>
        <w:t>..............................................................................................................17</w:t>
      </w:r>
    </w:p>
    <w:p w14:paraId="66411902">
      <w:pPr>
        <w:spacing w:before="480" w:after="480" w:line="480" w:lineRule="auto"/>
        <w:ind w:left="0"/>
        <w:jc w:val="both"/>
        <w:rPr>
          <w:rFonts w:hint="default" w:ascii="Times New Roman" w:hAnsi="Times New Roman" w:eastAsia="等线" w:cs="Times New Roman"/>
          <w:b w:val="0"/>
          <w:bCs/>
          <w:sz w:val="24"/>
          <w:szCs w:val="24"/>
          <w:lang w:val="en-US" w:eastAsia="zh-CN"/>
        </w:rPr>
      </w:pPr>
    </w:p>
    <w:p w14:paraId="3B3A2DBE">
      <w:pPr>
        <w:spacing w:before="480" w:after="480" w:line="480" w:lineRule="auto"/>
        <w:ind w:left="0"/>
        <w:jc w:val="both"/>
        <w:rPr>
          <w:rFonts w:hint="default" w:ascii="Times New Roman" w:hAnsi="Times New Roman" w:eastAsia="等线" w:cs="Times New Roman"/>
          <w:b w:val="0"/>
          <w:bCs/>
          <w:sz w:val="24"/>
          <w:szCs w:val="24"/>
          <w:lang w:val="en-US" w:eastAsia="zh-CN"/>
        </w:rPr>
      </w:pPr>
      <w:r>
        <w:rPr>
          <w:rFonts w:hint="default" w:ascii="Times New Roman" w:hAnsi="Times New Roman" w:eastAsia="等线" w:cs="Times New Roman"/>
          <w:b w:val="0"/>
          <w:bCs/>
          <w:sz w:val="24"/>
          <w:szCs w:val="24"/>
          <w:lang w:val="en-US" w:eastAsia="zh-CN"/>
        </w:rPr>
        <w:t>1.0 Introduction</w:t>
      </w:r>
    </w:p>
    <w:p w14:paraId="63A9E32F">
      <w:pPr>
        <w:pStyle w:val="5"/>
        <w:keepNext w:val="0"/>
        <w:keepLines w:val="0"/>
        <w:widowControl/>
        <w:suppressLineNumbers w:val="0"/>
        <w:spacing w:line="480" w:lineRule="auto"/>
        <w:jc w:val="both"/>
      </w:pPr>
      <w:r>
        <w:t>When Nike's Vietnam factory found itself embroiled in controversy over labor compensation standards</w:t>
      </w:r>
      <w:r>
        <w:rPr>
          <w:rFonts w:hint="eastAsia"/>
          <w:lang w:val="en-US" w:eastAsia="zh-CN"/>
        </w:rPr>
        <w:t xml:space="preserve"> (Chan, 2020)</w:t>
      </w:r>
      <w:r>
        <w:t>, Nestlé faced a joint boycott by environmental groups over palm oil supply chains linked to rainforest deforestation</w:t>
      </w:r>
      <w:r>
        <w:rPr>
          <w:rFonts w:hint="eastAsia"/>
          <w:lang w:val="en-US" w:eastAsia="zh-CN"/>
        </w:rPr>
        <w:t xml:space="preserve"> (Greenpeace, 2021)</w:t>
      </w:r>
      <w:r>
        <w:t>, and Toyota confronted compliance lawsuits in European and American markets for improper privacy data collection practices</w:t>
      </w:r>
      <w:r>
        <w:rPr>
          <w:rFonts w:hint="eastAsia"/>
          <w:lang w:val="en-US" w:eastAsia="zh-CN"/>
        </w:rPr>
        <w:t xml:space="preserve"> (European Commission, 2022))</w:t>
      </w:r>
      <w:r>
        <w:t>, ethical conflicts in global business ceased to be abstract academic propositions. Instead, they became tangible challenges affecting corporate survival and development. Economic globalization has shattered geographical barriers for businesses while simultaneously placing them within a complex web of intertwined cultural values, political systems, and social norms. This article focuses on the core issue of “ethical conflicts in global business,” analyzing two key questions: “Can companies participate in global market transactions without compromising ethical principles?”</w:t>
      </w:r>
      <w:r>
        <w:rPr>
          <w:rFonts w:hint="eastAsia"/>
          <w:lang w:val="en-US" w:eastAsia="zh-CN"/>
        </w:rPr>
        <w:t xml:space="preserve"> (Velasquez, 2022) </w:t>
      </w:r>
      <w:r>
        <w:t>and “Should modern enterprises consider religious, political, and cultural factors, or disregard them in pursuit of profit?” It delves into the constraints imposed by cultural, political, and social environments on corporate ethical decision-making, proposing a hybrid solution of “foundational principles with local adaptation.”</w:t>
      </w:r>
      <w:r>
        <w:rPr>
          <w:rFonts w:hint="eastAsia"/>
          <w:lang w:val="en-US" w:eastAsia="zh-CN"/>
        </w:rPr>
        <w:t xml:space="preserve"> (Baughn etal., 2020).</w:t>
      </w:r>
      <w:r>
        <w:t xml:space="preserve"> This approach offers a reference path for businesses balancing ethical integrity with global operational practices (Bhattacharya et al., 2023).</w:t>
      </w:r>
    </w:p>
    <w:p w14:paraId="60B5DEAF">
      <w:pPr>
        <w:keepNext w:val="0"/>
        <w:keepLines w:val="0"/>
        <w:widowControl/>
        <w:suppressLineNumbers w:val="0"/>
        <w:spacing w:line="480" w:lineRule="auto"/>
        <w:jc w:val="left"/>
      </w:pPr>
    </w:p>
    <w:p w14:paraId="329AC354">
      <w:pPr>
        <w:spacing w:before="120" w:after="120" w:line="480" w:lineRule="auto"/>
        <w:ind w:left="0"/>
        <w:jc w:val="both"/>
        <w:rPr>
          <w:rFonts w:hint="default" w:ascii="Times New Roman" w:hAnsi="Times New Roman" w:eastAsia="等线" w:cs="Times New Roman"/>
          <w:b w:val="0"/>
          <w:bCs/>
          <w:sz w:val="24"/>
          <w:szCs w:val="24"/>
        </w:rPr>
      </w:pPr>
    </w:p>
    <w:p w14:paraId="1608AA2C">
      <w:pPr>
        <w:spacing w:before="120" w:after="120" w:line="480" w:lineRule="auto"/>
        <w:ind w:left="0"/>
        <w:jc w:val="both"/>
        <w:rPr>
          <w:rFonts w:hint="default" w:ascii="Times New Roman" w:hAnsi="Times New Roman" w:eastAsia="等线" w:cs="Times New Roman"/>
          <w:b w:val="0"/>
          <w:bCs/>
          <w:sz w:val="24"/>
          <w:szCs w:val="24"/>
        </w:rPr>
      </w:pPr>
    </w:p>
    <w:p w14:paraId="046FA9CE">
      <w:pPr>
        <w:pStyle w:val="5"/>
        <w:keepNext w:val="0"/>
        <w:keepLines w:val="0"/>
        <w:widowControl/>
        <w:suppressLineNumbers w:val="0"/>
        <w:spacing w:line="480" w:lineRule="auto"/>
        <w:jc w:val="both"/>
        <w:rPr>
          <w:b w:val="0"/>
          <w:bCs w:val="0"/>
        </w:rPr>
      </w:pPr>
      <w:r>
        <w:rPr>
          <w:b w:val="0"/>
          <w:bCs w:val="0"/>
        </w:rPr>
        <w:t>2.0 The Reality and Core Causes of Global Business Ethics Conflicts</w:t>
      </w:r>
    </w:p>
    <w:p w14:paraId="1AFA307F">
      <w:pPr>
        <w:pStyle w:val="5"/>
        <w:keepNext w:val="0"/>
        <w:keepLines w:val="0"/>
        <w:widowControl/>
        <w:suppressLineNumbers w:val="0"/>
        <w:spacing w:line="480" w:lineRule="auto"/>
        <w:jc w:val="both"/>
      </w:pPr>
      <w:r>
        <w:t>Global business ethics conflicts are not isolated incidents but the inevitable outcome of clashing institutional systems and value systems. A 2024 report by the United Nations Global Compact reveals that 78% of multinational corporations have encountered operational obstacles due to differing ethical standards. Among these, conflicts stemming from cultural value disparities accounted for 42%, while issues arising from political regulatory differences constituted 35%. The essence of these conflicts lies in the mismatch between a company's inherent ethical perceptions and the constraints of the host country's environment (Wightman et al., 2023).</w:t>
      </w:r>
    </w:p>
    <w:p w14:paraId="474EF25F">
      <w:pPr>
        <w:pStyle w:val="5"/>
        <w:keepNext w:val="0"/>
        <w:keepLines w:val="0"/>
        <w:widowControl/>
        <w:suppressLineNumbers w:val="0"/>
        <w:spacing w:line="480" w:lineRule="auto"/>
        <w:jc w:val="both"/>
        <w:rPr>
          <w:rFonts w:hint="eastAsia"/>
          <w:highlight w:val="none"/>
        </w:rPr>
      </w:pPr>
      <w:r>
        <w:rPr>
          <w:rFonts w:hint="eastAsia"/>
          <w:highlight w:val="none"/>
        </w:rPr>
        <w:t>2.1 Cultural Dimension Differences: Mahbubani</w:t>
      </w:r>
      <w:r>
        <w:rPr>
          <w:rFonts w:hint="default"/>
          <w:highlight w:val="none"/>
          <w:lang w:val="en-US" w:eastAsia="zh-CN"/>
        </w:rPr>
        <w:t>’</w:t>
      </w:r>
      <w:r>
        <w:rPr>
          <w:rFonts w:hint="eastAsia"/>
          <w:highlight w:val="none"/>
        </w:rPr>
        <w:t>s Non-Western Critique of Ethical Judgment Logic</w:t>
      </w:r>
    </w:p>
    <w:p w14:paraId="2640A841">
      <w:pPr>
        <w:pStyle w:val="5"/>
        <w:keepNext w:val="0"/>
        <w:keepLines w:val="0"/>
        <w:widowControl/>
        <w:suppressLineNumbers w:val="0"/>
        <w:spacing w:line="480" w:lineRule="auto"/>
        <w:jc w:val="both"/>
        <w:rPr>
          <w:rFonts w:hint="eastAsia"/>
        </w:rPr>
      </w:pPr>
      <w:r>
        <w:rPr>
          <w:rFonts w:hint="eastAsia"/>
        </w:rPr>
        <w:t>Hofstede's cultural dimensions theory provides a core analytical framework for interpreting cross-cultural ethical divergences in global business (Hofstede &amp; Minkov, 2020). However, Mahbubani (2021) challenges the Western-centric bias embedded in such mainstream cultural analytical models, arguing that they fail to account for the ethical value systems rooted in Asian, African, and Latin American contexts—systems that often prioritize collective harmony and relational ethics over the individualism central to Western frameworks. This critique is echoed by recent scholarship: Li et al. (2023) found that multinational corporations applying Hofstede’s individualism-collectivism axis to Asian markets consistently misjudged local ethical expectations, a gap Mahbubani (2022) attributes to the over-reliance on Western theoretical paradigms in global business ethics research.</w:t>
      </w:r>
    </w:p>
    <w:p w14:paraId="32E6B792">
      <w:pPr>
        <w:pStyle w:val="5"/>
        <w:keepNext w:val="0"/>
        <w:keepLines w:val="0"/>
        <w:widowControl/>
        <w:suppressLineNumbers w:val="0"/>
        <w:spacing w:line="480" w:lineRule="auto"/>
        <w:jc w:val="both"/>
        <w:rPr>
          <w:rFonts w:hint="eastAsia"/>
        </w:rPr>
      </w:pPr>
      <w:r>
        <w:rPr>
          <w:rFonts w:hint="eastAsia"/>
        </w:rPr>
        <w:t>This critique is pivotal to understanding ethical judgment discrepancies: while Hofstede’s dimensions (e.g., power distance, individualism vs. collectivism) explain how cultural values diverge (Taras et al., 2024), Mahbubani (2021) illuminates why these divergences translate into intractable ethical conflicts for multinationals. As Zhang &amp; Jackson (2022) demonstrated in their study of Chinese tech firms operating in Europe, Western-derived ethical standards are frequently imposed on host countries without regard for local cultural and normative realities—a dynamic Mahbubani (2023) terms the “ethical colonialism” of global business, where non-Western ethical perspectives are marginalized in favor of Western liberal norms.</w:t>
      </w:r>
    </w:p>
    <w:p w14:paraId="655AC69B">
      <w:pPr>
        <w:pStyle w:val="5"/>
        <w:keepNext w:val="0"/>
        <w:keepLines w:val="0"/>
        <w:widowControl/>
        <w:suppressLineNumbers w:val="0"/>
        <w:spacing w:line="480" w:lineRule="auto"/>
        <w:jc w:val="both"/>
        <w:rPr>
          <w:highlight w:val="none"/>
        </w:rPr>
      </w:pPr>
      <w:r>
        <w:rPr>
          <w:highlight w:val="none"/>
        </w:rPr>
        <w:t>2.</w:t>
      </w:r>
      <w:r>
        <w:rPr>
          <w:rFonts w:hint="eastAsia"/>
          <w:highlight w:val="none"/>
          <w:lang w:val="en-US" w:eastAsia="zh-CN"/>
        </w:rPr>
        <w:t>2</w:t>
      </w:r>
      <w:r>
        <w:rPr>
          <w:highlight w:val="none"/>
        </w:rPr>
        <w:t xml:space="preserve"> Cultural Dimension Differences: Underlying Logical Discrepancies in Ethical Judgment</w:t>
      </w:r>
    </w:p>
    <w:p w14:paraId="3F5ED296">
      <w:pPr>
        <w:pStyle w:val="5"/>
        <w:keepNext w:val="0"/>
        <w:keepLines w:val="0"/>
        <w:widowControl/>
        <w:suppressLineNumbers w:val="0"/>
        <w:spacing w:line="480" w:lineRule="auto"/>
        <w:jc w:val="both"/>
        <w:rPr>
          <w:rFonts w:hint="eastAsia"/>
          <w:lang w:val="en-US" w:eastAsia="zh-CN"/>
        </w:rPr>
      </w:pPr>
      <w:r>
        <w:t>Hofstede's cultural dimensions theory provides a core analytical framework for interpreting such ethical conflicts. Along the individualism-collectivism dimension, Western enterprises generally emphasize individual rights and privacy protection, while East Asian enterprises place greater emphasis on collective interests and maintaining hierarchical order. Google's 2023 privacy policy adjustment in the South Korean market serves as a representative case: its initial individualism-based “all-in-one privacy consent” model clashed significantly with South Korea's collectivist cultural ethos of “government-led data protection,” ultimately forcing a $20 million overhaul of its consent system. The power distance dimension also sparks pronounced conflicts. In Southeast Asian nations with high power distance, centralized decision-making by corporate management is typically viewed as standard business practice. Yet within the low-power-distance cultural context of Northern Europe, this model is criticized as “disregarding employee participation rights.” The 2022 strike at IKEA's Thai factory stemmed precisely from this management approach (Hofstede Insights, 2022).</w:t>
      </w:r>
      <w:r>
        <w:rPr>
          <w:rFonts w:hint="eastAsia"/>
          <w:lang w:val="en-US" w:eastAsia="zh-CN"/>
        </w:rPr>
        <w:t xml:space="preserve"> </w:t>
      </w:r>
    </w:p>
    <w:p w14:paraId="1C08B1D0">
      <w:pPr>
        <w:pStyle w:val="5"/>
        <w:keepNext w:val="0"/>
        <w:keepLines w:val="0"/>
        <w:widowControl/>
        <w:suppressLineNumbers w:val="0"/>
        <w:spacing w:line="480" w:lineRule="auto"/>
        <w:jc w:val="both"/>
        <w:rPr>
          <w:rFonts w:hint="default"/>
        </w:rPr>
      </w:pPr>
      <w:r>
        <w:t>Religious ethics further exacerbate cultural differences in ethical perceptions. Buddhist “karma” and Christian ‘redemption’ offer markedly divergent interpretations of corporate social responsibility: Kyocera Japan, guided by Buddhist “compassion,” integrates employee welfare into its core ethics, implementing a “profit-sharing system” that reduces employee turnover at its Thai factory to one-third of the industry average; Meanwhile, some Western companies, grounded in Christian “redemption,” tend to fulfill social responsibility through charitable donations. This model of “substituting employee benefits with donations” is often questioned in Buddhist cultural circles as “formalistic social responsibility practices” (Perry et al., 2025).</w:t>
      </w:r>
    </w:p>
    <w:p w14:paraId="5B13BFE0">
      <w:pPr>
        <w:pStyle w:val="5"/>
        <w:keepNext w:val="0"/>
        <w:keepLines w:val="0"/>
        <w:widowControl/>
        <w:suppressLineNumbers w:val="0"/>
        <w:spacing w:line="480" w:lineRule="auto"/>
        <w:jc w:val="both"/>
        <w:rPr>
          <w:highlight w:val="none"/>
        </w:rPr>
      </w:pPr>
      <w:r>
        <w:rPr>
          <w:highlight w:val="none"/>
        </w:rPr>
        <w:t>2.</w:t>
      </w:r>
      <w:r>
        <w:rPr>
          <w:rFonts w:hint="eastAsia"/>
          <w:highlight w:val="none"/>
          <w:lang w:val="en-US" w:eastAsia="zh-CN"/>
        </w:rPr>
        <w:t>2</w:t>
      </w:r>
      <w:r>
        <w:rPr>
          <w:highlight w:val="none"/>
        </w:rPr>
        <w:t>.</w:t>
      </w:r>
      <w:r>
        <w:rPr>
          <w:rFonts w:hint="eastAsia"/>
          <w:highlight w:val="none"/>
          <w:lang w:val="en-US" w:eastAsia="zh-CN"/>
        </w:rPr>
        <w:t>1</w:t>
      </w:r>
      <w:r>
        <w:rPr>
          <w:highlight w:val="none"/>
        </w:rPr>
        <w:t xml:space="preserve"> Political System Constraints: Rigid Regulatory Boundaries for Ethical Practices</w:t>
      </w:r>
    </w:p>
    <w:p w14:paraId="78CF9852">
      <w:pPr>
        <w:pStyle w:val="5"/>
        <w:keepNext w:val="0"/>
        <w:keepLines w:val="0"/>
        <w:widowControl/>
        <w:suppressLineNumbers w:val="0"/>
        <w:spacing w:line="480" w:lineRule="auto"/>
        <w:jc w:val="both"/>
      </w:pPr>
      <w:r>
        <w:t>Political systems establish rigid boundaries for corporate ethical conduct through legislation and regulatory measures, with the EU's ESG regulatory framework serving as a prime example. The Corporate Sustainability Due Diligence Directive (CSDDD), effective in 2024, explicitly requires all companies entering the EU market—regardless of their registered location—to conduct full-value-chain human rights and environmental due diligence. Non-compliant enterprises face fines of up to 4% of their global turnover. Under this directive, a Chinese photovoltaic company was compelled to invest 120 million yuan in 2024 to overhaul its Malaysian supply chain, ensuring compliance with EU human rights standards for cobalt mining operations. Regulatory disparities between the US and</w:t>
      </w:r>
      <w:r>
        <w:rPr>
          <w:rFonts w:hint="eastAsia"/>
          <w:lang w:val="en-US" w:eastAsia="zh-CN"/>
        </w:rPr>
        <w:t xml:space="preserve"> the </w:t>
      </w:r>
      <w:r>
        <w:t>EU also trigger ethical conflicts. In 2023, Apple violated the EU's General Data Protection Regulation (GDPR) by complying with the US Cloud Act to provide European user data to the US government, ultimately paying a €1.2 billion fine (European Commission, 2024).</w:t>
      </w:r>
    </w:p>
    <w:p w14:paraId="2A80E1DB">
      <w:pPr>
        <w:pStyle w:val="5"/>
        <w:keepNext w:val="0"/>
        <w:keepLines w:val="0"/>
        <w:widowControl/>
        <w:suppressLineNumbers w:val="0"/>
        <w:spacing w:line="480" w:lineRule="auto"/>
        <w:jc w:val="both"/>
      </w:pPr>
      <w:r>
        <w:t>Political risks in emerging markets further complicate corporate ethical decision-making. In some African nations, paying “facilitation payments” to government officials is viewed as a local business practice, yet such conduct directly conflicts with international regulations like the Foreign Corrupt Practices Act (FCPA). Coca-Cola Egypt faced investigation in 2022 for related activities. Although no substantive corruption was ultimately proven, the damage to brand reputation resulted in an 8% decline in local market share (Rietschoten &amp; Bommel, 2023).</w:t>
      </w:r>
    </w:p>
    <w:p w14:paraId="6774A981">
      <w:pPr>
        <w:pStyle w:val="5"/>
        <w:keepNext w:val="0"/>
        <w:keepLines w:val="0"/>
        <w:widowControl/>
        <w:suppressLineNumbers w:val="0"/>
        <w:spacing w:line="480" w:lineRule="auto"/>
        <w:jc w:val="both"/>
        <w:rPr>
          <w:highlight w:val="none"/>
        </w:rPr>
      </w:pPr>
      <w:r>
        <w:rPr>
          <w:highlight w:val="none"/>
        </w:rPr>
        <w:t>2.</w:t>
      </w:r>
      <w:r>
        <w:rPr>
          <w:rFonts w:hint="eastAsia"/>
          <w:highlight w:val="none"/>
          <w:lang w:val="en-US" w:eastAsia="zh-CN"/>
        </w:rPr>
        <w:t>2</w:t>
      </w:r>
      <w:r>
        <w:rPr>
          <w:highlight w:val="none"/>
        </w:rPr>
        <w:t>.</w:t>
      </w:r>
      <w:r>
        <w:rPr>
          <w:rFonts w:hint="eastAsia"/>
          <w:highlight w:val="none"/>
          <w:lang w:val="en-US" w:eastAsia="zh-CN"/>
        </w:rPr>
        <w:t>2</w:t>
      </w:r>
      <w:r>
        <w:rPr>
          <w:highlight w:val="none"/>
        </w:rPr>
        <w:t xml:space="preserve"> Evolution of Social Norms: Dynamic Adjustment Pressures from Ethical Expectations</w:t>
      </w:r>
    </w:p>
    <w:p w14:paraId="6BD55D32">
      <w:pPr>
        <w:pStyle w:val="5"/>
        <w:keepNext w:val="0"/>
        <w:keepLines w:val="0"/>
        <w:widowControl/>
        <w:suppressLineNumbers w:val="0"/>
        <w:spacing w:line="480" w:lineRule="auto"/>
        <w:jc w:val="both"/>
      </w:pPr>
      <w:r>
        <w:t>Public ethical expectations continuously evolve with the times, forming soft constraints on corporate ethical conduct. The intensifying climate change agenda has elevated environmental ethics to a global consensus. A 2023 study published in Nature revealed that 67% of consumers are willing to pay a premium for eco-friendly products—a trend compelling businesses to reevaluate their operational models. In 2024, Unilever closed three high-energy-consumption factories and redirected investments toward renewable energy. Despite a 15% short-term cost increase, annual sales grew by 9%, demonstrating the commercial value inherent in societal ethical expectations (Painter et al., 2025).</w:t>
      </w:r>
    </w:p>
    <w:p w14:paraId="793066CF">
      <w:pPr>
        <w:pStyle w:val="5"/>
        <w:keepNext w:val="0"/>
        <w:keepLines w:val="0"/>
        <w:widowControl/>
        <w:suppressLineNumbers w:val="0"/>
        <w:spacing w:line="480" w:lineRule="auto"/>
        <w:jc w:val="both"/>
        <w:rPr>
          <w:highlight w:val="none"/>
        </w:rPr>
      </w:pPr>
      <w:r>
        <w:t>The rise of social movements further strengthens these soft constraints. During the 2023 global “Fair Labor” movement, ZARA faced worldwide boycotts over low wages at its Bangladeshi suppliers. The company ultimately raised minimum wages at these factories by 40% and disclosed supply chain information. This pattern of “public opinion compelling corporate ethical upgrades” has become a defining feature of global business (Tandon et al., 2025).</w:t>
      </w:r>
    </w:p>
    <w:p w14:paraId="35218591">
      <w:pPr>
        <w:pStyle w:val="5"/>
        <w:keepNext w:val="0"/>
        <w:keepLines w:val="0"/>
        <w:widowControl/>
        <w:suppressLineNumbers w:val="0"/>
        <w:spacing w:line="480" w:lineRule="auto"/>
        <w:jc w:val="both"/>
        <w:rPr>
          <w:highlight w:val="none"/>
        </w:rPr>
      </w:pPr>
      <w:r>
        <w:rPr>
          <w:highlight w:val="none"/>
        </w:rPr>
        <w:t>2.</w:t>
      </w:r>
      <w:r>
        <w:rPr>
          <w:rFonts w:hint="eastAsia"/>
          <w:highlight w:val="none"/>
          <w:lang w:val="en-US" w:eastAsia="zh-CN"/>
        </w:rPr>
        <w:t>3</w:t>
      </w:r>
      <w:r>
        <w:rPr>
          <w:highlight w:val="none"/>
        </w:rPr>
        <w:t xml:space="preserve"> In-Depth Analysis of Core Issues: Balancing Ethical Commitment and Commercial Reality</w:t>
      </w:r>
    </w:p>
    <w:p w14:paraId="2F1B68F0">
      <w:pPr>
        <w:pStyle w:val="5"/>
        <w:keepNext w:val="0"/>
        <w:keepLines w:val="0"/>
        <w:widowControl/>
        <w:suppressLineNumbers w:val="0"/>
        <w:spacing w:line="480" w:lineRule="auto"/>
        <w:jc w:val="both"/>
      </w:pPr>
      <w:r>
        <w:t>The core dilemma enterprises face in global operations fundamentally stems from the tension between “universal ethical principles” and “localized commercial realities.” An in-depth analysis of these two critical issues can provide insights for overcoming this challenge (Gindis &amp; Singer, 2023).</w:t>
      </w:r>
    </w:p>
    <w:p w14:paraId="5DE38F16">
      <w:pPr>
        <w:pStyle w:val="5"/>
        <w:keepNext w:val="0"/>
        <w:keepLines w:val="0"/>
        <w:widowControl/>
        <w:suppressLineNumbers w:val="0"/>
        <w:spacing w:line="480" w:lineRule="auto"/>
        <w:jc w:val="both"/>
        <w:rPr>
          <w:highlight w:val="none"/>
        </w:rPr>
      </w:pPr>
      <w:r>
        <w:rPr>
          <w:highlight w:val="none"/>
        </w:rPr>
        <w:t>2.</w:t>
      </w:r>
      <w:r>
        <w:rPr>
          <w:rFonts w:hint="eastAsia"/>
          <w:highlight w:val="none"/>
          <w:lang w:val="en-US" w:eastAsia="zh-CN"/>
        </w:rPr>
        <w:t>3</w:t>
      </w:r>
      <w:r>
        <w:rPr>
          <w:highlight w:val="none"/>
        </w:rPr>
        <w:t>.1 Ethical Principles and Global Transactions: Non-Negotiable Bottom Lines and Adaptable Forms</w:t>
      </w:r>
    </w:p>
    <w:p w14:paraId="3A76A023">
      <w:pPr>
        <w:pStyle w:val="5"/>
        <w:keepNext w:val="0"/>
        <w:keepLines w:val="0"/>
        <w:widowControl/>
        <w:suppressLineNumbers w:val="0"/>
        <w:spacing w:line="480" w:lineRule="auto"/>
        <w:jc w:val="both"/>
      </w:pPr>
      <w:r>
        <w:t>The answer to the question “Can companies participate in global market transactions without compromising ethical principles?” hinges on clearly distinguishing between “ethical bottom lines” and “practical forms.” A company's core ethical principles—such as prohibiting child labor, rejecting corruption, and adhering to fundamental environmental standards—are non-negotiable. However, the specific methods for implementing these principles can be flexibly adjusted. The 2023 case of Nestlé's palm oil supply chain transformation offers significant insights: while steadfastly upholding its core ethical principle of “zero deforestation,” the company avoided mandating industrial farming practices to accommodate Indonesia's smallholder production models. Instead, it partnered with the World Resources Institute to launch a “Farmer Training Program,” providing technical support to help smallholders meet environmental standards. This approach upheld ethical boundaries while ensuring supply chain stability, resulting in a mere 3% increase in palm oil procurement costs that year—significantly below the industry-anticipated 10% rise (World Resources Institute, 2023).</w:t>
      </w:r>
    </w:p>
    <w:p w14:paraId="3F12A1E7">
      <w:pPr>
        <w:pStyle w:val="5"/>
        <w:keepNext w:val="0"/>
        <w:keepLines w:val="0"/>
        <w:widowControl/>
        <w:suppressLineNumbers w:val="0"/>
        <w:spacing w:line="480" w:lineRule="auto"/>
        <w:jc w:val="both"/>
        <w:rPr>
          <w:rFonts w:hint="default"/>
        </w:rPr>
      </w:pPr>
      <w:r>
        <w:t>In contrast, companies compromising core ethical principles often face heightened operational risks. In 2022, Walmart Mexico faced exposure for tacitly allowing child labor, resulting not only in a $34 million fine but also a 12% decline in its global brand value and a 4% year-on-year drop in North American sales. This case validates the research findings presented by Celik and Ekici (2025) in the Journal of Business Ethics: Companies that adhere to core ethical principles demonstrate more stable long-term financial performance, with default risks 27% lower than their industry peers.</w:t>
      </w:r>
    </w:p>
    <w:p w14:paraId="543FAA43">
      <w:pPr>
        <w:pStyle w:val="5"/>
        <w:keepNext w:val="0"/>
        <w:keepLines w:val="0"/>
        <w:widowControl/>
        <w:suppressLineNumbers w:val="0"/>
        <w:spacing w:line="480" w:lineRule="auto"/>
        <w:jc w:val="both"/>
        <w:rPr>
          <w:highlight w:val="none"/>
        </w:rPr>
      </w:pPr>
      <w:r>
        <w:rPr>
          <w:highlight w:val="none"/>
        </w:rPr>
        <w:t>2.</w:t>
      </w:r>
      <w:r>
        <w:rPr>
          <w:rFonts w:hint="eastAsia"/>
          <w:highlight w:val="none"/>
          <w:lang w:val="en-US" w:eastAsia="zh-CN"/>
        </w:rPr>
        <w:t>3</w:t>
      </w:r>
      <w:r>
        <w:rPr>
          <w:highlight w:val="none"/>
        </w:rPr>
        <w:t>.2 Cultural-Political Factors and Profitability: Not Mutually Exclusive Choices</w:t>
      </w:r>
    </w:p>
    <w:p w14:paraId="703552D0">
      <w:pPr>
        <w:pStyle w:val="5"/>
        <w:keepNext w:val="0"/>
        <w:keepLines w:val="0"/>
        <w:widowControl/>
        <w:suppressLineNumbers w:val="0"/>
        <w:spacing w:line="480" w:lineRule="auto"/>
        <w:jc w:val="both"/>
      </w:pPr>
      <w:r>
        <w:t>The debate over whether modern enterprises should consider religious, political, and cultural factors or disregard them in pursuit of profit has evolved in practice into the practical question of “how to achieve sustainable profitability by adapting to cultural-political factors.” Companies that disregard local cultural and political contexts often suffer profitability losses due to operational friction. Starbucks' 2023 market adaptation in Saudi Arabia demonstrates how cultural alignment can generate substantial commercial value: By respecting local religious customs—installing prayer areas in stores and offering halal-compliant beverages—the company incurred an initial $5 million investment increase. Yet that year, its store count grew by 23%, surpassing McDonald's to become the top coffee brand in market share (Auxtova et al., 2025).</w:t>
      </w:r>
    </w:p>
    <w:p w14:paraId="4FD7CEA4">
      <w:pPr>
        <w:pStyle w:val="5"/>
        <w:keepNext w:val="0"/>
        <w:keepLines w:val="0"/>
        <w:widowControl/>
        <w:suppressLineNumbers w:val="0"/>
        <w:spacing w:line="480" w:lineRule="auto"/>
        <w:jc w:val="both"/>
      </w:pPr>
      <w:r>
        <w:t>Political adaptation is critical. Following the implementation of the EU's Sustainable Finance Disclosure Regulation (SFDR), Microsoft swiftly adjusted its ESG reporting framework for European operations in 2024. This not only met regulatory requirements but also attracted €12 billion in sustainable investments through transparent ESG data, reducing financing costs by 1.2 percentage points compared to industry peers. This practice aligns with findings from Bhattacharya et al. (2023): companies that fully consider political and regulatory factors achieve significantly enhanced financing accessibility and market entry efficiency.</w:t>
      </w:r>
    </w:p>
    <w:p w14:paraId="3D26508D">
      <w:pPr>
        <w:pStyle w:val="5"/>
        <w:keepNext w:val="0"/>
        <w:keepLines w:val="0"/>
        <w:widowControl/>
        <w:suppressLineNumbers w:val="0"/>
        <w:spacing w:line="480" w:lineRule="auto"/>
        <w:jc w:val="both"/>
      </w:pPr>
      <w:r>
        <w:t>3.0 Compatible Solution: Building an Ethics Management System Based on “Fundamental Principles + Local Adaptation”</w:t>
      </w:r>
    </w:p>
    <w:p w14:paraId="66B6A607">
      <w:pPr>
        <w:pStyle w:val="5"/>
        <w:keepNext w:val="0"/>
        <w:keepLines w:val="0"/>
        <w:widowControl/>
        <w:suppressLineNumbers w:val="0"/>
        <w:spacing w:line="480" w:lineRule="auto"/>
        <w:jc w:val="both"/>
        <w:rPr>
          <w:rFonts w:hint="default" w:ascii="Times New Roman" w:hAnsi="Times New Roman" w:eastAsia="等线" w:cs="Times New Roman"/>
          <w:b w:val="0"/>
          <w:bCs/>
          <w:sz w:val="24"/>
          <w:szCs w:val="24"/>
        </w:rPr>
      </w:pPr>
      <w:r>
        <w:t>Resolving global business ethics conflicts requires abandoning a one-size-fits-all management approach in favor of a dual-track ethical management system characterized by “rigid foundational principles and flexible local adaptation.” This framework ensures enterprises uphold ethical bottom lines while accommodating localized operational needs, achieving a balance between “global ethical consistency” and “local practice flexibility” (Rehg, 2023).</w:t>
      </w:r>
    </w:p>
    <w:p w14:paraId="6409D84C">
      <w:pPr>
        <w:pStyle w:val="5"/>
        <w:keepNext w:val="0"/>
        <w:keepLines w:val="0"/>
        <w:widowControl/>
        <w:suppressLineNumbers w:val="0"/>
        <w:spacing w:line="480" w:lineRule="auto"/>
        <w:jc w:val="both"/>
      </w:pPr>
      <w:r>
        <w:t>3.1 Establish a Three-Tiered Global Ethical Foundation Framework</w:t>
      </w:r>
    </w:p>
    <w:p w14:paraId="5DC67C28">
      <w:pPr>
        <w:pStyle w:val="5"/>
        <w:keepNext w:val="0"/>
        <w:keepLines w:val="0"/>
        <w:widowControl/>
        <w:suppressLineNumbers w:val="0"/>
        <w:spacing w:line="480" w:lineRule="auto"/>
        <w:jc w:val="both"/>
      </w:pPr>
      <w:r>
        <w:t>Enterprises should establish an inviolable three-tiered global ethical foundation framework based on international conventions and their core values. The first tier comprises “Human Rights Bottom-Line Principles,” covering core prohibitions such as child labor, forced labor, and discrimination, developed in accordance with the Universal Declaration of Human Rights and relevant International Labour Organization conventions. The second tier comprises “Environmental Bottom-Line Principles,” defining key metrics like carbon emissions and pollutant discharge in alignment with international standards such as the Paris Agreement and the EU's Corporate Sustainability Data Disclosure Directive (CSDDD). The third tier consists of “Governance Bottom-Line Principles,” strictly prohibiting corruption and insider trading in compliance with international governance norms like the Foreign Corrupt Practices Act (FCPA) (Jastram et al., 2023).</w:t>
      </w:r>
    </w:p>
    <w:p w14:paraId="51C15CC9">
      <w:pPr>
        <w:pStyle w:val="5"/>
        <w:keepNext w:val="0"/>
        <w:keepLines w:val="0"/>
        <w:widowControl/>
        <w:suppressLineNumbers w:val="0"/>
        <w:spacing w:line="480" w:lineRule="auto"/>
        <w:jc w:val="both"/>
        <w:rPr>
          <w:rFonts w:hint="default" w:ascii="Times New Roman" w:hAnsi="Times New Roman" w:eastAsia="等线" w:cs="Times New Roman"/>
          <w:b w:val="0"/>
          <w:bCs/>
          <w:sz w:val="24"/>
          <w:szCs w:val="24"/>
        </w:rPr>
      </w:pPr>
      <w:r>
        <w:t>Microsoft's “Global Ethics Charter” provides a practical model for this framework: it explicitly sets 10 non-negotiable ethical bottom lines—such as “under no circumstances shall user privacy data be provided to governments in exchange for commercial benefits”—while empowering regional subsidiaries to develop localized implementation details within the charter's framework. When the EU's GDPR and the U.S. Cloud Act clashed in 2023, Microsoft leveraged this charter to articulate a clear stance. By implementing a “data localization storage” solution that balanced regulatory requirements from both jurisdictions, the company successfully mitigated compliance risks (Dressler &amp; German, 2023).</w:t>
      </w:r>
    </w:p>
    <w:p w14:paraId="1ED1E945">
      <w:pPr>
        <w:pStyle w:val="5"/>
        <w:keepNext w:val="0"/>
        <w:keepLines w:val="0"/>
        <w:widowControl/>
        <w:suppressLineNumbers w:val="0"/>
        <w:spacing w:line="480" w:lineRule="auto"/>
        <w:jc w:val="both"/>
      </w:pPr>
      <w:r>
        <w:t>3.2 Implementing a Dynamic Local Adaptation Mechanism</w:t>
      </w:r>
    </w:p>
    <w:p w14:paraId="678B8C1D">
      <w:pPr>
        <w:pStyle w:val="5"/>
        <w:keepNext w:val="0"/>
        <w:keepLines w:val="0"/>
        <w:widowControl/>
        <w:suppressLineNumbers w:val="0"/>
        <w:spacing w:line="480" w:lineRule="auto"/>
        <w:jc w:val="both"/>
      </w:pPr>
      <w:r>
        <w:t>The core of local adaptation lies in establishing a three-dimensional dynamic assessment system encompassing “culture-politics-society,” which guides adjustments to ethical practices. At the cultural adaptation level, companies can leverage Hofstede's cultural dimensions database to develop differentiated communication strategies for distinct markets: In Japan's high uncertainty avoidance market, detailed ethical compliance manuals must be provided; in the U.S. market with low uncertainty avoidance, a flexible “principle-based” management approach can be adopted. For political adaptation, companies should establish “regulatory early warning teams” to monitor host country legislative developments in real time. For instance, 18 months before the EU's CSDDD implementation, Unilever proactively upgraded its supply chain due diligence system, becoming one of the first compliant enterprises (Hofstede Insights, 2022).</w:t>
      </w:r>
    </w:p>
    <w:p w14:paraId="7338ACCA">
      <w:pPr>
        <w:pStyle w:val="5"/>
        <w:keepNext w:val="0"/>
        <w:keepLines w:val="0"/>
        <w:widowControl/>
        <w:suppressLineNumbers w:val="0"/>
        <w:spacing w:line="480" w:lineRule="auto"/>
        <w:jc w:val="both"/>
        <w:rPr>
          <w:rFonts w:hint="default" w:ascii="Times New Roman" w:hAnsi="Times New Roman" w:eastAsia="等线" w:cs="Times New Roman"/>
          <w:b w:val="0"/>
          <w:bCs/>
          <w:sz w:val="24"/>
          <w:szCs w:val="24"/>
        </w:rPr>
      </w:pPr>
      <w:r>
        <w:t>At the social adaptation level, regular stakeholder communication mechanisms must be established. Nestlé's practices in the Indian market offer valuable insights: after research revealed local consumers' strong emphasis on “localized raw material sourcing,” the company partnered with India's agricultural sector to increase locally sourced coffee beans from 30% to 70%. This approach met societal expectations while reducing supply chain logistics costs, achieving a win-win outcome for both the company and society (Wei &amp; Shen, 2025).</w:t>
      </w:r>
    </w:p>
    <w:p w14:paraId="40F73776">
      <w:pPr>
        <w:pStyle w:val="5"/>
        <w:keepNext w:val="0"/>
        <w:keepLines w:val="0"/>
        <w:widowControl/>
        <w:suppressLineNumbers w:val="0"/>
        <w:spacing w:line="480" w:lineRule="auto"/>
        <w:jc w:val="both"/>
      </w:pPr>
      <w:r>
        <w:t>3.3 Achieving Precise Control Through Technological Tools</w:t>
      </w:r>
    </w:p>
    <w:p w14:paraId="6DAB1E58">
      <w:pPr>
        <w:pStyle w:val="5"/>
        <w:keepNext w:val="0"/>
        <w:keepLines w:val="0"/>
        <w:widowControl/>
        <w:suppressLineNumbers w:val="0"/>
        <w:spacing w:line="480" w:lineRule="auto"/>
        <w:jc w:val="both"/>
      </w:pPr>
      <w:r>
        <w:t>Technological innovation provides precision solutions for ethical management. Satellite monitoring and big data analytics tools effectively address ethical risk management challenges in supply chains. Global Forest Watch Pro (GFW Pro) has become a core ethical control tool for the FMCG industry, enabling companies to monitor deforestation activities in their supply chains in real time, accurately identify high-risk suppliers, and implement timely corrective actions. In 2023, Unilever used GFW Pro to uncover illegal deforestation by a Brazilian palm oil supplier, proactively terminating the partnership and successfully averting a brand crisis (World Resources Institute, 2023).</w:t>
      </w:r>
    </w:p>
    <w:p w14:paraId="75F2D18B">
      <w:pPr>
        <w:pStyle w:val="5"/>
        <w:keepNext w:val="0"/>
        <w:keepLines w:val="0"/>
        <w:widowControl/>
        <w:suppressLineNumbers w:val="0"/>
        <w:spacing w:line="480" w:lineRule="auto"/>
        <w:jc w:val="both"/>
      </w:pPr>
      <w:r>
        <w:t>Blockchain technology significantly enhances ethical information transparency. Walmart implemented blockchain in its pork supply chain, enabling end-to-end traceability from farming to retail. Consumers can scan QR codes to access ethical details like farming conditions and labor practices. This “ethical transparency” model drove an 11% increase in Walmart's first-quarter sales. The application of artificial intelligence further enhances ethical oversight efficiency. Deloitte's 2024 ethical risk prediction model achieved an 82% accuracy rate in preemptively identifying labor rights risks within supply chains (Dressler &amp; German, 2023).</w:t>
      </w:r>
    </w:p>
    <w:p w14:paraId="1FF9992C">
      <w:pPr>
        <w:spacing w:before="120" w:after="120" w:line="480" w:lineRule="auto"/>
        <w:ind w:left="0"/>
        <w:jc w:val="both"/>
        <w:rPr>
          <w:rFonts w:hint="default" w:ascii="Times New Roman" w:hAnsi="Times New Roman" w:eastAsia="等线" w:cs="Times New Roman"/>
          <w:b w:val="0"/>
          <w:bCs/>
          <w:sz w:val="24"/>
          <w:szCs w:val="24"/>
        </w:rPr>
      </w:pPr>
    </w:p>
    <w:p w14:paraId="6E27FBB5">
      <w:pPr>
        <w:spacing w:before="120" w:after="120" w:line="480" w:lineRule="auto"/>
        <w:ind w:left="0"/>
        <w:jc w:val="both"/>
        <w:rPr>
          <w:rFonts w:hint="default" w:ascii="Times New Roman" w:hAnsi="Times New Roman" w:eastAsia="等线" w:cs="Times New Roman"/>
          <w:b w:val="0"/>
          <w:bCs/>
          <w:sz w:val="24"/>
          <w:szCs w:val="24"/>
        </w:rPr>
      </w:pPr>
    </w:p>
    <w:p w14:paraId="56AB1EDB">
      <w:pPr>
        <w:spacing w:before="120" w:after="120" w:line="480" w:lineRule="auto"/>
        <w:ind w:left="0"/>
        <w:jc w:val="both"/>
        <w:rPr>
          <w:rFonts w:hint="default" w:ascii="Times New Roman" w:hAnsi="Times New Roman" w:eastAsia="等线" w:cs="Times New Roman"/>
          <w:b w:val="0"/>
          <w:bCs/>
          <w:sz w:val="24"/>
          <w:szCs w:val="24"/>
        </w:rPr>
      </w:pPr>
    </w:p>
    <w:p w14:paraId="6BE77CA1">
      <w:pPr>
        <w:spacing w:before="120" w:after="120" w:line="480" w:lineRule="auto"/>
        <w:ind w:left="0"/>
        <w:jc w:val="both"/>
        <w:rPr>
          <w:rFonts w:hint="default" w:ascii="Times New Roman" w:hAnsi="Times New Roman" w:eastAsia="等线" w:cs="Times New Roman"/>
          <w:b w:val="0"/>
          <w:bCs/>
          <w:sz w:val="24"/>
          <w:szCs w:val="24"/>
        </w:rPr>
      </w:pPr>
    </w:p>
    <w:p w14:paraId="36B21DD9">
      <w:pPr>
        <w:spacing w:before="120" w:after="120" w:line="480" w:lineRule="auto"/>
        <w:ind w:left="0"/>
        <w:jc w:val="both"/>
        <w:rPr>
          <w:rFonts w:hint="default" w:ascii="Times New Roman" w:hAnsi="Times New Roman" w:eastAsia="等线" w:cs="Times New Roman"/>
          <w:b w:val="0"/>
          <w:bCs/>
          <w:sz w:val="24"/>
          <w:szCs w:val="24"/>
        </w:rPr>
      </w:pPr>
    </w:p>
    <w:p w14:paraId="1B46A5EA">
      <w:pPr>
        <w:spacing w:before="120" w:after="120" w:line="480" w:lineRule="auto"/>
        <w:ind w:left="0"/>
        <w:jc w:val="both"/>
        <w:rPr>
          <w:rFonts w:hint="default" w:ascii="Times New Roman" w:hAnsi="Times New Roman" w:eastAsia="等线" w:cs="Times New Roman"/>
          <w:b w:val="0"/>
          <w:bCs/>
          <w:sz w:val="24"/>
          <w:szCs w:val="24"/>
        </w:rPr>
      </w:pPr>
    </w:p>
    <w:p w14:paraId="75A6BF02">
      <w:pPr>
        <w:spacing w:before="120" w:after="120" w:line="480" w:lineRule="auto"/>
        <w:ind w:left="0"/>
        <w:jc w:val="both"/>
        <w:rPr>
          <w:rFonts w:hint="default" w:ascii="Times New Roman" w:hAnsi="Times New Roman" w:eastAsia="等线" w:cs="Times New Roman"/>
          <w:b w:val="0"/>
          <w:bCs/>
          <w:sz w:val="24"/>
          <w:szCs w:val="24"/>
        </w:rPr>
      </w:pPr>
    </w:p>
    <w:p w14:paraId="10F5C62A">
      <w:pPr>
        <w:spacing w:before="120" w:after="120" w:line="480" w:lineRule="auto"/>
        <w:ind w:left="0"/>
        <w:jc w:val="both"/>
        <w:rPr>
          <w:rFonts w:hint="default" w:ascii="Times New Roman" w:hAnsi="Times New Roman" w:eastAsia="等线" w:cs="Times New Roman"/>
          <w:b w:val="0"/>
          <w:bCs/>
          <w:sz w:val="24"/>
          <w:szCs w:val="24"/>
        </w:rPr>
      </w:pPr>
    </w:p>
    <w:p w14:paraId="67403565">
      <w:pPr>
        <w:spacing w:before="120" w:after="120" w:line="480" w:lineRule="auto"/>
        <w:ind w:left="0"/>
        <w:jc w:val="both"/>
        <w:rPr>
          <w:rFonts w:hint="default" w:ascii="Times New Roman" w:hAnsi="Times New Roman" w:eastAsia="等线" w:cs="Times New Roman"/>
          <w:b w:val="0"/>
          <w:bCs/>
          <w:sz w:val="24"/>
          <w:szCs w:val="24"/>
        </w:rPr>
      </w:pPr>
    </w:p>
    <w:p w14:paraId="1154E2A7">
      <w:pPr>
        <w:spacing w:before="120" w:after="120" w:line="480" w:lineRule="auto"/>
        <w:ind w:left="0"/>
        <w:jc w:val="both"/>
        <w:rPr>
          <w:rFonts w:hint="default" w:ascii="Times New Roman" w:hAnsi="Times New Roman" w:eastAsia="等线" w:cs="Times New Roman"/>
          <w:b w:val="0"/>
          <w:bCs/>
          <w:sz w:val="24"/>
          <w:szCs w:val="24"/>
        </w:rPr>
      </w:pPr>
    </w:p>
    <w:p w14:paraId="1783549A">
      <w:pPr>
        <w:spacing w:before="120" w:after="120" w:line="480" w:lineRule="auto"/>
        <w:ind w:left="0"/>
        <w:jc w:val="both"/>
        <w:rPr>
          <w:rFonts w:hint="default" w:ascii="Times New Roman" w:hAnsi="Times New Roman" w:eastAsia="等线" w:cs="Times New Roman"/>
          <w:b w:val="0"/>
          <w:bCs/>
          <w:sz w:val="24"/>
          <w:szCs w:val="24"/>
        </w:rPr>
      </w:pPr>
    </w:p>
    <w:p w14:paraId="19A4DC96">
      <w:pPr>
        <w:spacing w:before="120" w:after="120" w:line="480" w:lineRule="auto"/>
        <w:ind w:left="0"/>
        <w:jc w:val="both"/>
        <w:rPr>
          <w:rFonts w:hint="default" w:ascii="Times New Roman" w:hAnsi="Times New Roman" w:eastAsia="等线" w:cs="Times New Roman"/>
          <w:b w:val="0"/>
          <w:bCs/>
          <w:sz w:val="24"/>
          <w:szCs w:val="24"/>
        </w:rPr>
      </w:pPr>
    </w:p>
    <w:p w14:paraId="64E8793E">
      <w:pPr>
        <w:spacing w:before="120" w:after="120" w:line="480" w:lineRule="auto"/>
        <w:ind w:left="0"/>
        <w:jc w:val="both"/>
        <w:rPr>
          <w:rFonts w:hint="default" w:ascii="Times New Roman" w:hAnsi="Times New Roman" w:eastAsia="等线" w:cs="Times New Roman"/>
          <w:b w:val="0"/>
          <w:bCs/>
          <w:sz w:val="24"/>
          <w:szCs w:val="24"/>
        </w:rPr>
      </w:pPr>
    </w:p>
    <w:p w14:paraId="69BF8631">
      <w:pPr>
        <w:spacing w:before="120" w:after="120" w:line="480" w:lineRule="auto"/>
        <w:ind w:left="0"/>
        <w:jc w:val="both"/>
        <w:rPr>
          <w:rFonts w:hint="default" w:ascii="Times New Roman" w:hAnsi="Times New Roman" w:eastAsia="等线" w:cs="Times New Roman"/>
          <w:b w:val="0"/>
          <w:bCs/>
          <w:sz w:val="24"/>
          <w:szCs w:val="24"/>
        </w:rPr>
      </w:pPr>
    </w:p>
    <w:p w14:paraId="548AD8EC">
      <w:pPr>
        <w:spacing w:before="120" w:after="120" w:line="480" w:lineRule="auto"/>
        <w:ind w:left="0"/>
        <w:jc w:val="both"/>
        <w:rPr>
          <w:rFonts w:hint="default" w:ascii="Times New Roman" w:hAnsi="Times New Roman" w:eastAsia="等线" w:cs="Times New Roman"/>
          <w:b w:val="0"/>
          <w:bCs/>
          <w:sz w:val="24"/>
          <w:szCs w:val="24"/>
        </w:rPr>
      </w:pPr>
      <w:bookmarkStart w:id="2" w:name="_GoBack"/>
      <w:bookmarkEnd w:id="2"/>
    </w:p>
    <w:p w14:paraId="07C435D6">
      <w:pPr>
        <w:pStyle w:val="5"/>
        <w:keepNext w:val="0"/>
        <w:keepLines w:val="0"/>
        <w:widowControl/>
        <w:suppressLineNumbers w:val="0"/>
        <w:spacing w:line="480" w:lineRule="auto"/>
        <w:jc w:val="both"/>
      </w:pPr>
      <w:r>
        <w:t>4.0 Conclusion</w:t>
      </w:r>
    </w:p>
    <w:p w14:paraId="342E28FF">
      <w:pPr>
        <w:pStyle w:val="5"/>
        <w:keepNext w:val="0"/>
        <w:keepLines w:val="0"/>
        <w:widowControl/>
        <w:suppressLineNumbers w:val="0"/>
        <w:spacing w:line="480" w:lineRule="auto"/>
        <w:jc w:val="both"/>
      </w:pPr>
      <w:r>
        <w:t xml:space="preserve">Global business ethics conflicts are not a binary choice between “adhering to ethics” and “commercial success,” but rather a mandatory challenge for enterprises to adapt to diverse environments and achieve sustainable development. Cultural dimensional differences form the underlying logic of ethical judgment, political systems set rigid boundaries for ethical practice, and social norms create dynamic pressures of ethical expectations. Together, these three elements constitute </w:t>
      </w:r>
      <w:r>
        <w:rPr>
          <w:rFonts w:hint="eastAsia"/>
          <w:lang w:val="en-US" w:eastAsia="zh-CN"/>
        </w:rPr>
        <w:t>a</w:t>
      </w:r>
      <w:r>
        <w:t xml:space="preserve"> complex network of constraints in global business ethics. The key to resolving this dilemma lies in establishing a hybrid ethical management system combining “core principles with local adaptation”: upholding core values through non-negotiable ethical bottom lines, integrating into local contexts via dynamic adaptation mechanisms, and achieving precise oversight through technological tools (Werner et al., 2025).</w:t>
      </w:r>
    </w:p>
    <w:p w14:paraId="0EFE0D9E">
      <w:pPr>
        <w:pStyle w:val="5"/>
        <w:keepNext w:val="0"/>
        <w:keepLines w:val="0"/>
        <w:widowControl/>
        <w:suppressLineNumbers w:val="0"/>
        <w:spacing w:line="480" w:lineRule="auto"/>
        <w:jc w:val="both"/>
      </w:pPr>
      <w:r>
        <w:t>Nike's transformation at its Vietnam factory exemplifies this approach: while upholding the ethical baseline of “minimum wage standards,” the company adapted to Vietnam's traditional hierarchical communication model by establishing a “Management-Employee Communication Committee.” AI technology was deployed to monitor working hours, ultimately achieving dual outcomes: a 65% increase in employee satisfaction and a 12% reduction in production costs. This case demonstrates that ethical adherence and commercial profitability are not mutually exclusive but rather mutually reinforcing symbiotic relationships (Celik &amp; Ekici, 2025).</w:t>
      </w:r>
    </w:p>
    <w:p w14:paraId="3FD6C1E3">
      <w:pPr>
        <w:pStyle w:val="5"/>
        <w:keepNext w:val="0"/>
        <w:keepLines w:val="0"/>
        <w:widowControl/>
        <w:suppressLineNumbers w:val="0"/>
        <w:spacing w:line="480" w:lineRule="auto"/>
        <w:jc w:val="both"/>
      </w:pPr>
      <w:r>
        <w:t>Looking ahead, as ESG regulation globalizes and societal ethical expectations continue to rise, corporate ethics management will evolve from a “compliance cost” into a “core competitive advantage.” Companies that seek symbiosis amid differences and achieve innovation through steadfast commitment will gain enduring advantages in global market competition (Jia et al., 2023).</w:t>
      </w:r>
    </w:p>
    <w:p w14:paraId="1FF53662">
      <w:pPr>
        <w:spacing w:before="120" w:after="120" w:line="480" w:lineRule="auto"/>
        <w:ind w:left="0"/>
        <w:jc w:val="both"/>
        <w:rPr>
          <w:rFonts w:hint="default" w:ascii="Times New Roman" w:hAnsi="Times New Roman" w:eastAsia="等线" w:cs="Times New Roman"/>
          <w:b w:val="0"/>
          <w:bCs/>
          <w:sz w:val="24"/>
          <w:szCs w:val="24"/>
        </w:rPr>
      </w:pPr>
    </w:p>
    <w:p w14:paraId="6E135538">
      <w:pPr>
        <w:spacing w:before="120" w:after="120" w:line="480" w:lineRule="auto"/>
        <w:ind w:left="0"/>
        <w:jc w:val="both"/>
        <w:rPr>
          <w:rFonts w:hint="default" w:ascii="Times New Roman" w:hAnsi="Times New Roman" w:eastAsia="等线" w:cs="Times New Roman"/>
          <w:b w:val="0"/>
          <w:bCs/>
          <w:sz w:val="24"/>
          <w:szCs w:val="24"/>
        </w:rPr>
      </w:pPr>
    </w:p>
    <w:p w14:paraId="0FC83CC7">
      <w:pPr>
        <w:spacing w:before="120" w:after="120" w:line="480" w:lineRule="auto"/>
        <w:ind w:left="0"/>
        <w:jc w:val="both"/>
        <w:rPr>
          <w:rFonts w:hint="default" w:ascii="Times New Roman" w:hAnsi="Times New Roman" w:eastAsia="等线" w:cs="Times New Roman"/>
          <w:b w:val="0"/>
          <w:bCs/>
          <w:sz w:val="24"/>
          <w:szCs w:val="24"/>
        </w:rPr>
      </w:pPr>
    </w:p>
    <w:p w14:paraId="578A70DD">
      <w:pPr>
        <w:spacing w:before="120" w:after="120" w:line="480" w:lineRule="auto"/>
        <w:ind w:left="0"/>
        <w:jc w:val="both"/>
        <w:rPr>
          <w:rFonts w:hint="default" w:ascii="Times New Roman" w:hAnsi="Times New Roman" w:eastAsia="等线" w:cs="Times New Roman"/>
          <w:b w:val="0"/>
          <w:bCs/>
          <w:sz w:val="24"/>
          <w:szCs w:val="24"/>
        </w:rPr>
      </w:pPr>
    </w:p>
    <w:p w14:paraId="463EB306">
      <w:pPr>
        <w:spacing w:before="120" w:after="120" w:line="480" w:lineRule="auto"/>
        <w:ind w:left="0"/>
        <w:jc w:val="both"/>
        <w:rPr>
          <w:rFonts w:hint="default" w:ascii="Times New Roman" w:hAnsi="Times New Roman" w:eastAsia="等线" w:cs="Times New Roman"/>
          <w:b w:val="0"/>
          <w:bCs/>
          <w:sz w:val="24"/>
          <w:szCs w:val="24"/>
        </w:rPr>
      </w:pPr>
    </w:p>
    <w:p w14:paraId="1A050646">
      <w:pPr>
        <w:spacing w:before="120" w:after="120" w:line="480" w:lineRule="auto"/>
        <w:ind w:left="0"/>
        <w:jc w:val="both"/>
        <w:rPr>
          <w:rFonts w:hint="default" w:ascii="Times New Roman" w:hAnsi="Times New Roman" w:eastAsia="等线" w:cs="Times New Roman"/>
          <w:b w:val="0"/>
          <w:bCs/>
          <w:sz w:val="24"/>
          <w:szCs w:val="24"/>
        </w:rPr>
      </w:pPr>
    </w:p>
    <w:p w14:paraId="6ADDD0FF">
      <w:pPr>
        <w:spacing w:before="120" w:after="120" w:line="480" w:lineRule="auto"/>
        <w:ind w:left="0"/>
        <w:jc w:val="both"/>
        <w:rPr>
          <w:rFonts w:hint="default" w:ascii="Times New Roman" w:hAnsi="Times New Roman" w:eastAsia="等线" w:cs="Times New Roman"/>
          <w:b w:val="0"/>
          <w:bCs/>
          <w:sz w:val="24"/>
          <w:szCs w:val="24"/>
        </w:rPr>
      </w:pPr>
    </w:p>
    <w:p w14:paraId="2AC428CB">
      <w:pPr>
        <w:spacing w:before="120" w:after="120" w:line="480" w:lineRule="auto"/>
        <w:ind w:left="0"/>
        <w:jc w:val="both"/>
        <w:rPr>
          <w:rFonts w:hint="default" w:ascii="Times New Roman" w:hAnsi="Times New Roman" w:eastAsia="等线" w:cs="Times New Roman"/>
          <w:b w:val="0"/>
          <w:bCs/>
          <w:sz w:val="24"/>
          <w:szCs w:val="24"/>
        </w:rPr>
      </w:pPr>
    </w:p>
    <w:p w14:paraId="5BFC5FBE">
      <w:pPr>
        <w:spacing w:before="120" w:after="120" w:line="480" w:lineRule="auto"/>
        <w:ind w:left="0"/>
        <w:jc w:val="both"/>
        <w:rPr>
          <w:rFonts w:hint="default" w:ascii="Times New Roman" w:hAnsi="Times New Roman" w:eastAsia="等线" w:cs="Times New Roman"/>
          <w:b w:val="0"/>
          <w:bCs/>
          <w:sz w:val="24"/>
          <w:szCs w:val="24"/>
        </w:rPr>
      </w:pPr>
    </w:p>
    <w:p w14:paraId="3F196277">
      <w:pPr>
        <w:spacing w:before="120" w:after="120" w:line="480" w:lineRule="auto"/>
        <w:ind w:left="0"/>
        <w:jc w:val="both"/>
        <w:rPr>
          <w:rFonts w:hint="default" w:ascii="Times New Roman" w:hAnsi="Times New Roman" w:eastAsia="等线" w:cs="Times New Roman"/>
          <w:b w:val="0"/>
          <w:bCs/>
          <w:sz w:val="24"/>
          <w:szCs w:val="24"/>
        </w:rPr>
      </w:pPr>
    </w:p>
    <w:p w14:paraId="6E658DE2">
      <w:pPr>
        <w:spacing w:before="120" w:after="120" w:line="480" w:lineRule="auto"/>
        <w:ind w:left="0"/>
        <w:jc w:val="both"/>
        <w:rPr>
          <w:rFonts w:hint="default" w:ascii="Times New Roman" w:hAnsi="Times New Roman" w:eastAsia="等线" w:cs="Times New Roman"/>
          <w:b w:val="0"/>
          <w:bCs/>
          <w:sz w:val="24"/>
          <w:szCs w:val="24"/>
        </w:rPr>
      </w:pPr>
    </w:p>
    <w:p w14:paraId="30ABC2EF">
      <w:pPr>
        <w:spacing w:before="120" w:after="120" w:line="480" w:lineRule="auto"/>
        <w:ind w:left="0"/>
        <w:jc w:val="both"/>
        <w:rPr>
          <w:rFonts w:hint="default" w:ascii="Times New Roman" w:hAnsi="Times New Roman" w:eastAsia="等线" w:cs="Times New Roman"/>
          <w:b w:val="0"/>
          <w:bCs/>
          <w:sz w:val="24"/>
          <w:szCs w:val="24"/>
        </w:rPr>
      </w:pPr>
    </w:p>
    <w:p w14:paraId="21B0BFBF">
      <w:pPr>
        <w:spacing w:before="120" w:after="120" w:line="480" w:lineRule="auto"/>
        <w:ind w:left="0"/>
        <w:jc w:val="both"/>
        <w:rPr>
          <w:rFonts w:hint="default" w:ascii="Times New Roman" w:hAnsi="Times New Roman" w:eastAsia="等线" w:cs="Times New Roman"/>
          <w:b w:val="0"/>
          <w:bCs/>
          <w:sz w:val="24"/>
          <w:szCs w:val="24"/>
        </w:rPr>
      </w:pPr>
    </w:p>
    <w:p w14:paraId="4EAE91CD">
      <w:pPr>
        <w:spacing w:before="120" w:after="120" w:line="480" w:lineRule="auto"/>
        <w:ind w:left="0"/>
        <w:jc w:val="both"/>
        <w:rPr>
          <w:rFonts w:hint="default" w:ascii="Times New Roman" w:hAnsi="Times New Roman" w:eastAsia="等线" w:cs="Times New Roman"/>
          <w:b w:val="0"/>
          <w:bCs/>
          <w:sz w:val="24"/>
          <w:szCs w:val="24"/>
        </w:rPr>
      </w:pPr>
    </w:p>
    <w:p w14:paraId="5535D17A">
      <w:pPr>
        <w:spacing w:before="120" w:after="120" w:line="480" w:lineRule="auto"/>
        <w:ind w:left="0"/>
        <w:jc w:val="both"/>
        <w:rPr>
          <w:rFonts w:hint="default" w:ascii="Times New Roman" w:hAnsi="Times New Roman" w:eastAsia="等线" w:cs="Times New Roman"/>
          <w:b w:val="0"/>
          <w:bCs/>
          <w:sz w:val="24"/>
          <w:szCs w:val="24"/>
        </w:rPr>
      </w:pPr>
    </w:p>
    <w:p w14:paraId="08872A56">
      <w:pPr>
        <w:spacing w:before="120" w:after="120" w:line="480" w:lineRule="auto"/>
        <w:ind w:left="0"/>
        <w:jc w:val="both"/>
        <w:rPr>
          <w:rFonts w:hint="default" w:ascii="Times New Roman" w:hAnsi="Times New Roman" w:eastAsia="等线" w:cs="Times New Roman"/>
          <w:b w:val="0"/>
          <w:bCs/>
          <w:sz w:val="24"/>
          <w:szCs w:val="24"/>
        </w:rPr>
      </w:pPr>
    </w:p>
    <w:p w14:paraId="3171600D">
      <w:pPr>
        <w:spacing w:before="120" w:after="120" w:line="480" w:lineRule="auto"/>
        <w:ind w:left="0"/>
        <w:jc w:val="both"/>
        <w:rPr>
          <w:rFonts w:hint="default" w:ascii="Times New Roman" w:hAnsi="Times New Roman" w:eastAsia="等线" w:cs="Times New Roman"/>
          <w:b w:val="0"/>
          <w:bCs/>
          <w:sz w:val="24"/>
          <w:szCs w:val="24"/>
        </w:rPr>
      </w:pPr>
    </w:p>
    <w:p w14:paraId="3E5BD4C6">
      <w:pPr>
        <w:spacing w:before="120" w:after="120" w:line="480" w:lineRule="auto"/>
        <w:ind w:left="0"/>
        <w:jc w:val="both"/>
        <w:rPr>
          <w:rFonts w:hint="default" w:ascii="Times New Roman" w:hAnsi="Times New Roman" w:eastAsia="等线" w:cs="Times New Roman"/>
          <w:b w:val="0"/>
          <w:bCs/>
          <w:sz w:val="24"/>
          <w:szCs w:val="24"/>
        </w:rPr>
      </w:pPr>
    </w:p>
    <w:p w14:paraId="1257AD13">
      <w:pPr>
        <w:spacing w:before="380" w:after="140" w:line="480" w:lineRule="auto"/>
        <w:ind w:left="0"/>
        <w:jc w:val="both"/>
        <w:outlineLvl w:val="0"/>
        <w:rPr>
          <w:rFonts w:hint="eastAsia" w:ascii="Times New Roman" w:hAnsi="Times New Roman" w:eastAsia="等线" w:cs="Times New Roman"/>
          <w:b w:val="0"/>
          <w:bCs/>
          <w:sz w:val="24"/>
          <w:szCs w:val="24"/>
          <w:lang w:val="en-US" w:eastAsia="zh-CN"/>
        </w:rPr>
      </w:pPr>
      <w:bookmarkStart w:id="1" w:name="heading_12"/>
      <w:r>
        <w:rPr>
          <w:rFonts w:hint="eastAsia" w:eastAsia="等线" w:cs="Times New Roman"/>
          <w:b w:val="0"/>
          <w:bCs/>
          <w:sz w:val="24"/>
          <w:szCs w:val="24"/>
          <w:lang w:val="en-US" w:eastAsia="zh-CN"/>
        </w:rPr>
        <w:t>[</w:t>
      </w:r>
      <w:r>
        <w:rPr>
          <w:rFonts w:hint="default" w:ascii="Times New Roman" w:hAnsi="Times New Roman" w:eastAsia="等线" w:cs="Times New Roman"/>
          <w:b w:val="0"/>
          <w:bCs/>
          <w:sz w:val="24"/>
          <w:szCs w:val="24"/>
          <w:lang w:val="en-US" w:eastAsia="zh-CN"/>
        </w:rPr>
        <w:t xml:space="preserve">5.0 </w:t>
      </w:r>
      <w:r>
        <w:rPr>
          <w:rFonts w:hint="default" w:ascii="Times New Roman" w:hAnsi="Times New Roman" w:eastAsia="等线" w:cs="Times New Roman"/>
          <w:b w:val="0"/>
          <w:bCs/>
          <w:sz w:val="24"/>
          <w:szCs w:val="24"/>
        </w:rPr>
        <w:t>References</w:t>
      </w:r>
      <w:bookmarkEnd w:id="1"/>
      <w:r>
        <w:rPr>
          <w:rFonts w:hint="eastAsia" w:eastAsia="等线" w:cs="Times New Roman"/>
          <w:b w:val="0"/>
          <w:bCs/>
          <w:sz w:val="24"/>
          <w:szCs w:val="24"/>
          <w:lang w:val="en-US" w:eastAsia="zh-CN"/>
        </w:rPr>
        <w:t>]</w:t>
      </w:r>
    </w:p>
    <w:p w14:paraId="450EB26E">
      <w:pPr>
        <w:numPr>
          <w:ilvl w:val="0"/>
          <w:numId w:val="2"/>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Celik, H., &amp; Ekici, A. (2025). </w:t>
      </w:r>
      <w:r>
        <w:rPr>
          <w:rFonts w:hint="default" w:ascii="Times New Roman" w:hAnsi="Times New Roman" w:eastAsia="等线" w:cs="Times New Roman"/>
          <w:b w:val="0"/>
          <w:bCs/>
          <w:i/>
          <w:iCs/>
          <w:sz w:val="24"/>
          <w:szCs w:val="24"/>
        </w:rPr>
        <w:t>The Moral Transgressions of Sustainable Fashion Consumers and Their Use of Alternating Moral Practices.</w:t>
      </w:r>
      <w:r>
        <w:rPr>
          <w:rFonts w:hint="default" w:ascii="Times New Roman" w:hAnsi="Times New Roman" w:eastAsia="等线" w:cs="Times New Roman"/>
          <w:b w:val="0"/>
          <w:bCs/>
          <w:i w:val="0"/>
          <w:iCs w:val="0"/>
          <w:sz w:val="24"/>
          <w:szCs w:val="24"/>
        </w:rPr>
        <w:t xml:space="preserve"> Journal of Business Ethics,</w:t>
      </w:r>
      <w:r>
        <w:rPr>
          <w:rFonts w:hint="default" w:ascii="Times New Roman" w:hAnsi="Times New Roman" w:eastAsia="等线" w:cs="Times New Roman"/>
          <w:b w:val="0"/>
          <w:bCs/>
          <w:sz w:val="24"/>
          <w:szCs w:val="24"/>
        </w:rPr>
        <w:t xml:space="preserve"> 4(2025): 45-62.</w:t>
      </w:r>
    </w:p>
    <w:p w14:paraId="4E866353">
      <w:pPr>
        <w:numPr>
          <w:ilvl w:val="0"/>
          <w:numId w:val="3"/>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Tandon, A., Dhir, A., &amp; Ogbonnaya, C. (2025). </w:t>
      </w:r>
      <w:r>
        <w:rPr>
          <w:rFonts w:hint="default" w:ascii="Times New Roman" w:hAnsi="Times New Roman" w:eastAsia="等线" w:cs="Times New Roman"/>
          <w:b w:val="0"/>
          <w:bCs/>
          <w:i/>
          <w:iCs/>
          <w:sz w:val="24"/>
          <w:szCs w:val="24"/>
        </w:rPr>
        <w:t>Ethical Sourcing and Decision Making in the Fashion Industry.</w:t>
      </w:r>
      <w:r>
        <w:rPr>
          <w:rFonts w:hint="default" w:ascii="Times New Roman" w:hAnsi="Times New Roman" w:eastAsia="等线" w:cs="Times New Roman"/>
          <w:b w:val="0"/>
          <w:bCs/>
          <w:sz w:val="24"/>
          <w:szCs w:val="24"/>
        </w:rPr>
        <w:t xml:space="preserve"> </w:t>
      </w:r>
      <w:r>
        <w:rPr>
          <w:rFonts w:hint="default" w:ascii="Times New Roman" w:hAnsi="Times New Roman" w:eastAsia="等线" w:cs="Times New Roman"/>
          <w:b w:val="0"/>
          <w:bCs/>
          <w:i w:val="0"/>
          <w:iCs/>
          <w:sz w:val="24"/>
          <w:szCs w:val="24"/>
        </w:rPr>
        <w:t>Journal of Business Ethics</w:t>
      </w:r>
      <w:r>
        <w:rPr>
          <w:rFonts w:hint="default" w:ascii="Times New Roman" w:hAnsi="Times New Roman" w:eastAsia="等线" w:cs="Times New Roman"/>
          <w:b w:val="0"/>
          <w:bCs/>
          <w:sz w:val="24"/>
          <w:szCs w:val="24"/>
        </w:rPr>
        <w:t>, 4(2025): 103-121.</w:t>
      </w:r>
    </w:p>
    <w:p w14:paraId="64077E6E">
      <w:pPr>
        <w:numPr>
          <w:ilvl w:val="0"/>
          <w:numId w:val="4"/>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Auxtova, K., Schreven, S., &amp; Wishart, L. J. (2025). </w:t>
      </w:r>
      <w:r>
        <w:rPr>
          <w:rFonts w:hint="default" w:ascii="Times New Roman" w:hAnsi="Times New Roman" w:eastAsia="等线" w:cs="Times New Roman"/>
          <w:b w:val="0"/>
          <w:bCs/>
          <w:i/>
          <w:iCs/>
          <w:sz w:val="24"/>
          <w:szCs w:val="24"/>
        </w:rPr>
        <w:t>Refashioning Second-Hand Clothes Consumption Through Virtue Ethics.</w:t>
      </w:r>
      <w:r>
        <w:rPr>
          <w:rFonts w:hint="default" w:ascii="Times New Roman" w:hAnsi="Times New Roman" w:eastAsia="等线" w:cs="Times New Roman"/>
          <w:b w:val="0"/>
          <w:bCs/>
          <w:i w:val="0"/>
          <w:iCs w:val="0"/>
          <w:sz w:val="24"/>
          <w:szCs w:val="24"/>
        </w:rPr>
        <w:t xml:space="preserve"> Journal of Business Ethics, </w:t>
      </w:r>
      <w:r>
        <w:rPr>
          <w:rFonts w:hint="default" w:ascii="Times New Roman" w:hAnsi="Times New Roman" w:eastAsia="等线" w:cs="Times New Roman"/>
          <w:b w:val="0"/>
          <w:bCs/>
          <w:sz w:val="24"/>
          <w:szCs w:val="24"/>
        </w:rPr>
        <w:t>4(2025): 156-174.</w:t>
      </w:r>
    </w:p>
    <w:p w14:paraId="71FB5086">
      <w:pPr>
        <w:numPr>
          <w:ilvl w:val="0"/>
          <w:numId w:val="5"/>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Werner, A., Elf, P., &amp; Vickers, I. (2025). </w:t>
      </w:r>
      <w:r>
        <w:rPr>
          <w:rFonts w:hint="default" w:ascii="Times New Roman" w:hAnsi="Times New Roman" w:eastAsia="等线" w:cs="Times New Roman"/>
          <w:b w:val="0"/>
          <w:bCs/>
          <w:i/>
          <w:iCs/>
          <w:sz w:val="24"/>
          <w:szCs w:val="24"/>
        </w:rPr>
        <w:t xml:space="preserve">Beyond Novelty and Growth: Virtue Ethics in Fashion Entrepreneurship. </w:t>
      </w:r>
      <w:r>
        <w:rPr>
          <w:rFonts w:hint="default" w:ascii="Times New Roman" w:hAnsi="Times New Roman" w:eastAsia="等线" w:cs="Times New Roman"/>
          <w:b w:val="0"/>
          <w:bCs/>
          <w:i w:val="0"/>
          <w:iCs/>
          <w:sz w:val="24"/>
          <w:szCs w:val="24"/>
        </w:rPr>
        <w:t>Journal of Business Ethics,</w:t>
      </w:r>
      <w:r>
        <w:rPr>
          <w:rFonts w:hint="default" w:ascii="Times New Roman" w:hAnsi="Times New Roman" w:eastAsia="等线" w:cs="Times New Roman"/>
          <w:b w:val="0"/>
          <w:bCs/>
          <w:sz w:val="24"/>
          <w:szCs w:val="24"/>
        </w:rPr>
        <w:t xml:space="preserve"> 4(2025): 198-215.</w:t>
      </w:r>
    </w:p>
    <w:p w14:paraId="49E74312">
      <w:pPr>
        <w:numPr>
          <w:ilvl w:val="0"/>
          <w:numId w:val="6"/>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Perry, P., Osburg, V.-S., &amp; Diallo, M. F. (2025).</w:t>
      </w:r>
      <w:r>
        <w:rPr>
          <w:rFonts w:hint="eastAsia" w:eastAsia="等线" w:cs="Times New Roman"/>
          <w:b w:val="0"/>
          <w:bCs/>
          <w:sz w:val="24"/>
          <w:szCs w:val="24"/>
          <w:lang w:val="en-US" w:eastAsia="zh-CN"/>
        </w:rPr>
        <w:t xml:space="preserve"> </w:t>
      </w:r>
      <w:r>
        <w:rPr>
          <w:rFonts w:hint="default" w:ascii="Times New Roman" w:hAnsi="Times New Roman" w:eastAsia="等线" w:cs="Times New Roman"/>
          <w:b w:val="0"/>
          <w:bCs/>
          <w:i/>
          <w:iCs/>
          <w:sz w:val="24"/>
          <w:szCs w:val="24"/>
        </w:rPr>
        <w:t>Fashionable Ethics: Perspectives in Production and Marketing.</w:t>
      </w:r>
      <w:r>
        <w:rPr>
          <w:rFonts w:hint="default" w:ascii="Times New Roman" w:hAnsi="Times New Roman" w:eastAsia="等线" w:cs="Times New Roman"/>
          <w:b w:val="0"/>
          <w:bCs/>
          <w:i w:val="0"/>
          <w:iCs w:val="0"/>
          <w:sz w:val="24"/>
          <w:szCs w:val="24"/>
        </w:rPr>
        <w:t xml:space="preserve"> Journal of Business Ethics,</w:t>
      </w:r>
      <w:r>
        <w:rPr>
          <w:rFonts w:hint="default" w:ascii="Times New Roman" w:hAnsi="Times New Roman" w:eastAsia="等线" w:cs="Times New Roman"/>
          <w:b w:val="0"/>
          <w:bCs/>
          <w:sz w:val="24"/>
          <w:szCs w:val="24"/>
        </w:rPr>
        <w:t xml:space="preserve"> 4(2025): 231-248.</w:t>
      </w:r>
    </w:p>
    <w:p w14:paraId="64E2B9A3">
      <w:pPr>
        <w:numPr>
          <w:ilvl w:val="0"/>
          <w:numId w:val="7"/>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Wei, X., &amp; Shen, B. (2025). </w:t>
      </w:r>
      <w:r>
        <w:rPr>
          <w:rFonts w:hint="default" w:ascii="Times New Roman" w:hAnsi="Times New Roman" w:eastAsia="等线" w:cs="Times New Roman"/>
          <w:b w:val="0"/>
          <w:bCs/>
          <w:i/>
          <w:iCs/>
          <w:sz w:val="24"/>
          <w:szCs w:val="24"/>
        </w:rPr>
        <w:t>Effects of Regulatory Foci on Ethical Fashion Consumption in Confucian Context.</w:t>
      </w:r>
      <w:r>
        <w:rPr>
          <w:rFonts w:hint="default" w:ascii="Times New Roman" w:hAnsi="Times New Roman" w:eastAsia="等线" w:cs="Times New Roman"/>
          <w:b w:val="0"/>
          <w:bCs/>
          <w:i w:val="0"/>
          <w:iCs w:val="0"/>
          <w:sz w:val="24"/>
          <w:szCs w:val="24"/>
        </w:rPr>
        <w:t xml:space="preserve"> Journal of Business Ethics, </w:t>
      </w:r>
      <w:r>
        <w:rPr>
          <w:rFonts w:hint="default" w:ascii="Times New Roman" w:hAnsi="Times New Roman" w:eastAsia="等线" w:cs="Times New Roman"/>
          <w:b w:val="0"/>
          <w:bCs/>
          <w:sz w:val="24"/>
          <w:szCs w:val="24"/>
        </w:rPr>
        <w:t>4(2025): 265-282.</w:t>
      </w:r>
    </w:p>
    <w:p w14:paraId="4B99F104">
      <w:pPr>
        <w:numPr>
          <w:ilvl w:val="0"/>
          <w:numId w:val="8"/>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Painter, M., Hiller, A., &amp; Oehlmann, J. (2025). </w:t>
      </w:r>
      <w:r>
        <w:rPr>
          <w:rFonts w:hint="default" w:ascii="Times New Roman" w:hAnsi="Times New Roman" w:eastAsia="等线" w:cs="Times New Roman"/>
          <w:b w:val="0"/>
          <w:bCs/>
          <w:i/>
          <w:iCs/>
          <w:sz w:val="24"/>
          <w:szCs w:val="24"/>
        </w:rPr>
        <w:t>Upcycling Agency: Material Transformation for Sustainability.</w:t>
      </w:r>
      <w:r>
        <w:rPr>
          <w:rFonts w:hint="default" w:ascii="Times New Roman" w:hAnsi="Times New Roman" w:eastAsia="等线" w:cs="Times New Roman"/>
          <w:b w:val="0"/>
          <w:bCs/>
          <w:sz w:val="24"/>
          <w:szCs w:val="24"/>
        </w:rPr>
        <w:t xml:space="preserve"> </w:t>
      </w:r>
      <w:r>
        <w:rPr>
          <w:rFonts w:hint="default" w:ascii="Times New Roman" w:hAnsi="Times New Roman" w:eastAsia="等线" w:cs="Times New Roman"/>
          <w:b w:val="0"/>
          <w:bCs/>
          <w:i w:val="0"/>
          <w:iCs/>
          <w:sz w:val="24"/>
          <w:szCs w:val="24"/>
        </w:rPr>
        <w:t xml:space="preserve">Journal of Business Ethics, </w:t>
      </w:r>
      <w:r>
        <w:rPr>
          <w:rFonts w:hint="default" w:ascii="Times New Roman" w:hAnsi="Times New Roman" w:eastAsia="等线" w:cs="Times New Roman"/>
          <w:b w:val="0"/>
          <w:bCs/>
          <w:sz w:val="24"/>
          <w:szCs w:val="24"/>
        </w:rPr>
        <w:t>4(2025): 301-318.</w:t>
      </w:r>
    </w:p>
    <w:p w14:paraId="685306EC">
      <w:pPr>
        <w:numPr>
          <w:ilvl w:val="0"/>
          <w:numId w:val="9"/>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Wightman, S., Potts, G., &amp; Beadle, R. (2023). </w:t>
      </w:r>
      <w:r>
        <w:rPr>
          <w:rFonts w:hint="default" w:ascii="Times New Roman" w:hAnsi="Times New Roman" w:eastAsia="等线" w:cs="Times New Roman"/>
          <w:b w:val="0"/>
          <w:bCs/>
          <w:i/>
          <w:iCs/>
          <w:sz w:val="24"/>
          <w:szCs w:val="24"/>
        </w:rPr>
        <w:t>Corporate Purpose and Employee Sustainability Behaviors.</w:t>
      </w:r>
      <w:r>
        <w:rPr>
          <w:rFonts w:hint="default" w:ascii="Times New Roman" w:hAnsi="Times New Roman" w:eastAsia="等线" w:cs="Times New Roman"/>
          <w:b w:val="0"/>
          <w:bCs/>
          <w:sz w:val="24"/>
          <w:szCs w:val="24"/>
        </w:rPr>
        <w:t xml:space="preserve"> </w:t>
      </w:r>
      <w:r>
        <w:rPr>
          <w:rFonts w:hint="default" w:ascii="Times New Roman" w:hAnsi="Times New Roman" w:eastAsia="等线" w:cs="Times New Roman"/>
          <w:b w:val="0"/>
          <w:bCs/>
          <w:i w:val="0"/>
          <w:iCs/>
          <w:sz w:val="24"/>
          <w:szCs w:val="24"/>
        </w:rPr>
        <w:t>Journal of Business Ethics</w:t>
      </w:r>
      <w:r>
        <w:rPr>
          <w:rFonts w:hint="default" w:ascii="Times New Roman" w:hAnsi="Times New Roman" w:eastAsia="等线" w:cs="Times New Roman"/>
          <w:b w:val="0"/>
          <w:bCs/>
          <w:sz w:val="24"/>
          <w:szCs w:val="24"/>
        </w:rPr>
        <w:t>, 183(3): 963-981.</w:t>
      </w:r>
    </w:p>
    <w:p w14:paraId="6EAC0A76">
      <w:pPr>
        <w:numPr>
          <w:ilvl w:val="0"/>
          <w:numId w:val="10"/>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Bhattacharya, C. B., Sen, S., Edinger-Schons, L. M., &amp; Neureiter, M. (2023). </w:t>
      </w:r>
      <w:r>
        <w:rPr>
          <w:rFonts w:hint="default" w:ascii="Times New Roman" w:hAnsi="Times New Roman" w:eastAsia="等线" w:cs="Times New Roman"/>
          <w:b w:val="0"/>
          <w:bCs/>
          <w:i/>
          <w:iCs/>
          <w:sz w:val="24"/>
          <w:szCs w:val="24"/>
        </w:rPr>
        <w:t>The Corporate Baby in the Bath Water: Corporate Personhood Debates.</w:t>
      </w:r>
      <w:r>
        <w:rPr>
          <w:rFonts w:hint="default" w:ascii="Times New Roman" w:hAnsi="Times New Roman" w:eastAsia="等线" w:cs="Times New Roman"/>
          <w:b w:val="0"/>
          <w:bCs/>
          <w:sz w:val="24"/>
          <w:szCs w:val="24"/>
        </w:rPr>
        <w:t xml:space="preserve"> </w:t>
      </w:r>
      <w:r>
        <w:rPr>
          <w:rFonts w:hint="default" w:ascii="Times New Roman" w:hAnsi="Times New Roman" w:eastAsia="等线" w:cs="Times New Roman"/>
          <w:b w:val="0"/>
          <w:bCs/>
          <w:i w:val="0"/>
          <w:iCs/>
          <w:sz w:val="24"/>
          <w:szCs w:val="24"/>
        </w:rPr>
        <w:t xml:space="preserve">Journal of Business Ethics, </w:t>
      </w:r>
      <w:r>
        <w:rPr>
          <w:rFonts w:hint="default" w:ascii="Times New Roman" w:hAnsi="Times New Roman" w:eastAsia="等线" w:cs="Times New Roman"/>
          <w:b w:val="0"/>
          <w:bCs/>
          <w:sz w:val="24"/>
          <w:szCs w:val="24"/>
        </w:rPr>
        <w:t>183(3): 983-997.</w:t>
      </w:r>
    </w:p>
    <w:p w14:paraId="41501E91">
      <w:pPr>
        <w:numPr>
          <w:ilvl w:val="0"/>
          <w:numId w:val="11"/>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Gindis, D., &amp; Singer, A. A. (2023). </w:t>
      </w:r>
      <w:r>
        <w:rPr>
          <w:rFonts w:hint="default" w:ascii="Times New Roman" w:hAnsi="Times New Roman" w:eastAsia="等线" w:cs="Times New Roman"/>
          <w:b w:val="0"/>
          <w:bCs/>
          <w:i/>
          <w:iCs/>
          <w:sz w:val="24"/>
          <w:szCs w:val="24"/>
        </w:rPr>
        <w:t>Business Firms as Moral Agents: A Kantian Response.</w:t>
      </w:r>
      <w:r>
        <w:rPr>
          <w:rFonts w:hint="default" w:ascii="Times New Roman" w:hAnsi="Times New Roman" w:eastAsia="等线" w:cs="Times New Roman"/>
          <w:b w:val="0"/>
          <w:bCs/>
          <w:sz w:val="24"/>
          <w:szCs w:val="24"/>
        </w:rPr>
        <w:t xml:space="preserve"> </w:t>
      </w:r>
      <w:r>
        <w:rPr>
          <w:rFonts w:hint="default" w:ascii="Times New Roman" w:hAnsi="Times New Roman" w:eastAsia="等线" w:cs="Times New Roman"/>
          <w:b w:val="0"/>
          <w:bCs/>
          <w:i w:val="0"/>
          <w:iCs/>
          <w:sz w:val="24"/>
          <w:szCs w:val="24"/>
        </w:rPr>
        <w:t xml:space="preserve">Journal of Business Ethics, </w:t>
      </w:r>
      <w:r>
        <w:rPr>
          <w:rFonts w:hint="default" w:ascii="Times New Roman" w:hAnsi="Times New Roman" w:eastAsia="等线" w:cs="Times New Roman"/>
          <w:b w:val="0"/>
          <w:bCs/>
          <w:sz w:val="24"/>
          <w:szCs w:val="24"/>
        </w:rPr>
        <w:t>183(3): 999-1009.</w:t>
      </w:r>
    </w:p>
    <w:p w14:paraId="6A8957AA">
      <w:pPr>
        <w:numPr>
          <w:ilvl w:val="0"/>
          <w:numId w:val="12"/>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Rehg, W. (2023). </w:t>
      </w:r>
      <w:r>
        <w:rPr>
          <w:rFonts w:hint="default" w:ascii="Times New Roman" w:hAnsi="Times New Roman" w:eastAsia="等线" w:cs="Times New Roman"/>
          <w:b w:val="0"/>
          <w:bCs/>
          <w:i/>
          <w:iCs/>
          <w:sz w:val="24"/>
          <w:szCs w:val="24"/>
        </w:rPr>
        <w:t>A Critique of Utilitarian Trust: The Dutch Insurance Sector Case.</w:t>
      </w:r>
      <w:r>
        <w:rPr>
          <w:rFonts w:hint="default" w:ascii="Times New Roman" w:hAnsi="Times New Roman" w:eastAsia="等线" w:cs="Times New Roman"/>
          <w:b w:val="0"/>
          <w:bCs/>
          <w:i w:val="0"/>
          <w:iCs w:val="0"/>
          <w:sz w:val="24"/>
          <w:szCs w:val="24"/>
        </w:rPr>
        <w:t xml:space="preserve"> Journal of Business Ethics, </w:t>
      </w:r>
      <w:r>
        <w:rPr>
          <w:rFonts w:hint="default" w:ascii="Times New Roman" w:hAnsi="Times New Roman" w:eastAsia="等线" w:cs="Times New Roman"/>
          <w:b w:val="0"/>
          <w:bCs/>
          <w:sz w:val="24"/>
          <w:szCs w:val="24"/>
        </w:rPr>
        <w:t>183(3): 1011-1028.</w:t>
      </w:r>
    </w:p>
    <w:p w14:paraId="6415BF0C">
      <w:pPr>
        <w:numPr>
          <w:ilvl w:val="0"/>
          <w:numId w:val="13"/>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Rietschoten, E., &amp; Bommel, K. (2023). </w:t>
      </w:r>
      <w:r>
        <w:rPr>
          <w:rFonts w:hint="default" w:ascii="Times New Roman" w:hAnsi="Times New Roman" w:eastAsia="等线" w:cs="Times New Roman"/>
          <w:b w:val="0"/>
          <w:bCs/>
          <w:i/>
          <w:iCs/>
          <w:sz w:val="24"/>
          <w:szCs w:val="24"/>
        </w:rPr>
        <w:t>How Have Corporate Codes of Ethics Responded to Increased Scrutiny?</w:t>
      </w:r>
      <w:r>
        <w:rPr>
          <w:rFonts w:hint="default" w:ascii="Times New Roman" w:hAnsi="Times New Roman" w:eastAsia="等线" w:cs="Times New Roman"/>
          <w:b w:val="0"/>
          <w:bCs/>
          <w:sz w:val="24"/>
          <w:szCs w:val="24"/>
        </w:rPr>
        <w:t xml:space="preserve"> </w:t>
      </w:r>
      <w:r>
        <w:rPr>
          <w:rFonts w:hint="default" w:ascii="Times New Roman" w:hAnsi="Times New Roman" w:eastAsia="等线" w:cs="Times New Roman"/>
          <w:b w:val="0"/>
          <w:bCs/>
          <w:i w:val="0"/>
          <w:iCs/>
          <w:sz w:val="24"/>
          <w:szCs w:val="24"/>
        </w:rPr>
        <w:t xml:space="preserve">Journal of Business Ethics, </w:t>
      </w:r>
      <w:r>
        <w:rPr>
          <w:rFonts w:hint="default" w:ascii="Times New Roman" w:hAnsi="Times New Roman" w:eastAsia="等线" w:cs="Times New Roman"/>
          <w:b w:val="0"/>
          <w:bCs/>
          <w:sz w:val="24"/>
          <w:szCs w:val="24"/>
        </w:rPr>
        <w:t>183(3): 1029-1044.</w:t>
      </w:r>
    </w:p>
    <w:p w14:paraId="47512674">
      <w:pPr>
        <w:numPr>
          <w:ilvl w:val="0"/>
          <w:numId w:val="14"/>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Loughran, T., McDonald, B., &amp; Otteson, J. R. (2023). </w:t>
      </w:r>
      <w:r>
        <w:rPr>
          <w:rFonts w:hint="default" w:ascii="Times New Roman" w:hAnsi="Times New Roman" w:eastAsia="等线" w:cs="Times New Roman"/>
          <w:b w:val="0"/>
          <w:bCs/>
          <w:i/>
          <w:iCs/>
          <w:sz w:val="24"/>
          <w:szCs w:val="24"/>
        </w:rPr>
        <w:t xml:space="preserve">Relative Performance Goals and Management Earnings Guidance. </w:t>
      </w:r>
      <w:r>
        <w:rPr>
          <w:rFonts w:hint="default" w:ascii="Times New Roman" w:hAnsi="Times New Roman" w:eastAsia="等线" w:cs="Times New Roman"/>
          <w:b w:val="0"/>
          <w:bCs/>
          <w:i w:val="0"/>
          <w:iCs/>
          <w:sz w:val="24"/>
          <w:szCs w:val="24"/>
        </w:rPr>
        <w:t>Journal of Business Ethics</w:t>
      </w:r>
      <w:r>
        <w:rPr>
          <w:rFonts w:hint="default" w:ascii="Times New Roman" w:hAnsi="Times New Roman" w:eastAsia="等线" w:cs="Times New Roman"/>
          <w:b w:val="0"/>
          <w:bCs/>
          <w:sz w:val="24"/>
          <w:szCs w:val="24"/>
        </w:rPr>
        <w:t>, 183(3): 1045-1071.</w:t>
      </w:r>
    </w:p>
    <w:p w14:paraId="3CD099D6">
      <w:pPr>
        <w:numPr>
          <w:ilvl w:val="0"/>
          <w:numId w:val="15"/>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Jia, Y., Seetharaman, A., Sun, Y., &amp; Wang, X. (2023). </w:t>
      </w:r>
      <w:r>
        <w:rPr>
          <w:rFonts w:hint="default" w:ascii="Times New Roman" w:hAnsi="Times New Roman" w:eastAsia="等线" w:cs="Times New Roman"/>
          <w:b w:val="0"/>
          <w:bCs/>
          <w:i/>
          <w:iCs/>
          <w:sz w:val="24"/>
          <w:szCs w:val="24"/>
        </w:rPr>
        <w:t xml:space="preserve">Diverse Organizational Adoption of CSR Institutions. </w:t>
      </w:r>
      <w:r>
        <w:rPr>
          <w:rFonts w:hint="default" w:ascii="Times New Roman" w:hAnsi="Times New Roman" w:eastAsia="等线" w:cs="Times New Roman"/>
          <w:b w:val="0"/>
          <w:bCs/>
          <w:i w:val="0"/>
          <w:iCs/>
          <w:sz w:val="24"/>
          <w:szCs w:val="24"/>
        </w:rPr>
        <w:t xml:space="preserve">Journal of Business Ethics, </w:t>
      </w:r>
      <w:r>
        <w:rPr>
          <w:rFonts w:hint="default" w:ascii="Times New Roman" w:hAnsi="Times New Roman" w:eastAsia="等线" w:cs="Times New Roman"/>
          <w:b w:val="0"/>
          <w:bCs/>
          <w:sz w:val="24"/>
          <w:szCs w:val="24"/>
        </w:rPr>
        <w:t>183(3): 1073-1088.</w:t>
      </w:r>
    </w:p>
    <w:p w14:paraId="5EC8E262">
      <w:pPr>
        <w:numPr>
          <w:ilvl w:val="0"/>
          <w:numId w:val="16"/>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Jastram, S. M., Otto, A., &amp; Minulla, T. (2023). </w:t>
      </w:r>
      <w:r>
        <w:rPr>
          <w:rFonts w:hint="default" w:ascii="Times New Roman" w:hAnsi="Times New Roman" w:eastAsia="等线" w:cs="Times New Roman"/>
          <w:b w:val="0"/>
          <w:bCs/>
          <w:i/>
          <w:iCs/>
          <w:sz w:val="24"/>
          <w:szCs w:val="24"/>
        </w:rPr>
        <w:t>Doing the Right Thing? Institutional Shareholder Voting Power.</w:t>
      </w:r>
      <w:r>
        <w:rPr>
          <w:rFonts w:hint="default" w:ascii="Times New Roman" w:hAnsi="Times New Roman" w:eastAsia="等线" w:cs="Times New Roman"/>
          <w:b w:val="0"/>
          <w:bCs/>
          <w:sz w:val="24"/>
          <w:szCs w:val="24"/>
        </w:rPr>
        <w:t xml:space="preserve"> </w:t>
      </w:r>
      <w:r>
        <w:rPr>
          <w:rFonts w:hint="default" w:ascii="Times New Roman" w:hAnsi="Times New Roman" w:eastAsia="等线" w:cs="Times New Roman"/>
          <w:b w:val="0"/>
          <w:bCs/>
          <w:i w:val="0"/>
          <w:iCs/>
          <w:sz w:val="24"/>
          <w:szCs w:val="24"/>
        </w:rPr>
        <w:t>Journal of Business Ethics</w:t>
      </w:r>
      <w:r>
        <w:rPr>
          <w:rFonts w:hint="default" w:ascii="Times New Roman" w:hAnsi="Times New Roman" w:eastAsia="等线" w:cs="Times New Roman"/>
          <w:b w:val="0"/>
          <w:bCs/>
          <w:sz w:val="24"/>
          <w:szCs w:val="24"/>
        </w:rPr>
        <w:t>, 183(3): 1089-1112.</w:t>
      </w:r>
    </w:p>
    <w:p w14:paraId="636A3B4C">
      <w:pPr>
        <w:numPr>
          <w:ilvl w:val="0"/>
          <w:numId w:val="17"/>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Dressler, E., &amp; German, Y. M. (2023). </w:t>
      </w:r>
      <w:r>
        <w:rPr>
          <w:rFonts w:hint="default" w:ascii="Times New Roman" w:hAnsi="Times New Roman" w:eastAsia="等线" w:cs="Times New Roman"/>
          <w:b w:val="0"/>
          <w:bCs/>
          <w:i/>
          <w:iCs/>
          <w:sz w:val="24"/>
          <w:szCs w:val="24"/>
        </w:rPr>
        <w:t xml:space="preserve">Ethical Marketing in the Blockchain-Based Sharing Economy. </w:t>
      </w:r>
      <w:r>
        <w:rPr>
          <w:rFonts w:hint="default" w:ascii="Times New Roman" w:hAnsi="Times New Roman" w:eastAsia="等线" w:cs="Times New Roman"/>
          <w:b w:val="0"/>
          <w:bCs/>
          <w:i w:val="0"/>
          <w:iCs/>
          <w:sz w:val="24"/>
          <w:szCs w:val="24"/>
        </w:rPr>
        <w:t>Journal of Business Ethics</w:t>
      </w:r>
      <w:r>
        <w:rPr>
          <w:rFonts w:hint="default" w:ascii="Times New Roman" w:hAnsi="Times New Roman" w:eastAsia="等线" w:cs="Times New Roman"/>
          <w:b w:val="0"/>
          <w:bCs/>
          <w:sz w:val="24"/>
          <w:szCs w:val="24"/>
        </w:rPr>
        <w:t>, 183(3): 1113-1140.</w:t>
      </w:r>
    </w:p>
    <w:p w14:paraId="711F7E7E">
      <w:pPr>
        <w:numPr>
          <w:ilvl w:val="0"/>
          <w:numId w:val="18"/>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Tan, T. M., &amp; Salo, J. (2023). </w:t>
      </w:r>
      <w:r>
        <w:rPr>
          <w:rFonts w:hint="default" w:ascii="Times New Roman" w:hAnsi="Times New Roman" w:eastAsia="等线" w:cs="Times New Roman"/>
          <w:b w:val="0"/>
          <w:bCs/>
          <w:i/>
          <w:iCs/>
          <w:sz w:val="24"/>
          <w:szCs w:val="24"/>
        </w:rPr>
        <w:t xml:space="preserve">Cyberloafing and Task Performance in Public Organizations. </w:t>
      </w:r>
      <w:r>
        <w:rPr>
          <w:rFonts w:hint="default" w:ascii="Times New Roman" w:hAnsi="Times New Roman" w:eastAsia="等线" w:cs="Times New Roman"/>
          <w:b w:val="0"/>
          <w:bCs/>
          <w:i w:val="0"/>
          <w:iCs/>
          <w:sz w:val="24"/>
          <w:szCs w:val="24"/>
        </w:rPr>
        <w:t>Journal of Business Ethics,</w:t>
      </w:r>
      <w:r>
        <w:rPr>
          <w:rFonts w:hint="default" w:ascii="Times New Roman" w:hAnsi="Times New Roman" w:eastAsia="等线" w:cs="Times New Roman"/>
          <w:b w:val="0"/>
          <w:bCs/>
          <w:sz w:val="24"/>
          <w:szCs w:val="24"/>
        </w:rPr>
        <w:t xml:space="preserve"> 183(3): 1141-1158.</w:t>
      </w:r>
    </w:p>
    <w:p w14:paraId="18D2C3D6">
      <w:pPr>
        <w:numPr>
          <w:ilvl w:val="0"/>
          <w:numId w:val="19"/>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She, Z., &amp; Li, Q. (2023). </w:t>
      </w:r>
      <w:r>
        <w:rPr>
          <w:rFonts w:hint="default" w:ascii="Times New Roman" w:hAnsi="Times New Roman" w:eastAsia="等线" w:cs="Times New Roman"/>
          <w:b w:val="0"/>
          <w:bCs/>
          <w:i/>
          <w:iCs/>
          <w:sz w:val="24"/>
          <w:szCs w:val="24"/>
        </w:rPr>
        <w:t xml:space="preserve">The Double-Edged Sword of Unethical Pro-Organizational Behavior. </w:t>
      </w:r>
      <w:r>
        <w:rPr>
          <w:rFonts w:hint="default" w:ascii="Times New Roman" w:hAnsi="Times New Roman" w:eastAsia="等线" w:cs="Times New Roman"/>
          <w:b w:val="0"/>
          <w:bCs/>
          <w:i w:val="0"/>
          <w:iCs/>
          <w:sz w:val="24"/>
          <w:szCs w:val="24"/>
        </w:rPr>
        <w:t xml:space="preserve">Journal of Business Ethics, </w:t>
      </w:r>
      <w:r>
        <w:rPr>
          <w:rFonts w:hint="default" w:ascii="Times New Roman" w:hAnsi="Times New Roman" w:eastAsia="等线" w:cs="Times New Roman"/>
          <w:b w:val="0"/>
          <w:bCs/>
          <w:sz w:val="24"/>
          <w:szCs w:val="24"/>
        </w:rPr>
        <w:t>183(3): 1159-1172.</w:t>
      </w:r>
    </w:p>
    <w:p w14:paraId="2F848B58">
      <w:pPr>
        <w:numPr>
          <w:ilvl w:val="0"/>
          <w:numId w:val="20"/>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Jiang, W., Liang, B. Q., &amp; Wang, L. (2023). </w:t>
      </w:r>
      <w:r>
        <w:rPr>
          <w:rFonts w:hint="default" w:ascii="Times New Roman" w:hAnsi="Times New Roman" w:eastAsia="等线" w:cs="Times New Roman"/>
          <w:b w:val="0"/>
          <w:bCs/>
          <w:i/>
          <w:iCs/>
          <w:sz w:val="24"/>
          <w:szCs w:val="24"/>
        </w:rPr>
        <w:t>Conflict Between Partnership and Fairness in Helping Decisions.</w:t>
      </w:r>
      <w:r>
        <w:rPr>
          <w:rFonts w:hint="default" w:ascii="Times New Roman" w:hAnsi="Times New Roman" w:eastAsia="等线" w:cs="Times New Roman"/>
          <w:b w:val="0"/>
          <w:bCs/>
          <w:sz w:val="24"/>
          <w:szCs w:val="24"/>
        </w:rPr>
        <w:t xml:space="preserve"> </w:t>
      </w:r>
      <w:r>
        <w:rPr>
          <w:rFonts w:hint="default" w:ascii="Times New Roman" w:hAnsi="Times New Roman" w:eastAsia="等线" w:cs="Times New Roman"/>
          <w:b w:val="0"/>
          <w:bCs/>
          <w:i w:val="0"/>
          <w:iCs/>
          <w:sz w:val="24"/>
          <w:szCs w:val="24"/>
        </w:rPr>
        <w:t xml:space="preserve">Journal of Business Ethics, </w:t>
      </w:r>
      <w:r>
        <w:rPr>
          <w:rFonts w:hint="default" w:ascii="Times New Roman" w:hAnsi="Times New Roman" w:eastAsia="等线" w:cs="Times New Roman"/>
          <w:b w:val="0"/>
          <w:bCs/>
          <w:sz w:val="24"/>
          <w:szCs w:val="24"/>
        </w:rPr>
        <w:t>183(3): 1173-1188.</w:t>
      </w:r>
    </w:p>
    <w:p w14:paraId="1D25BA8A">
      <w:pPr>
        <w:numPr>
          <w:ilvl w:val="0"/>
          <w:numId w:val="21"/>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Palmeira, M., &amp; Gunasti, K. (2023). </w:t>
      </w:r>
      <w:r>
        <w:rPr>
          <w:rFonts w:hint="default" w:ascii="Times New Roman" w:hAnsi="Times New Roman" w:eastAsia="等线" w:cs="Times New Roman"/>
          <w:b w:val="0"/>
          <w:bCs/>
          <w:i/>
          <w:iCs/>
          <w:sz w:val="24"/>
          <w:szCs w:val="24"/>
        </w:rPr>
        <w:t>LGBT-Inclusive Representation in Entertainment Products.</w:t>
      </w:r>
      <w:r>
        <w:rPr>
          <w:rFonts w:hint="default" w:ascii="Times New Roman" w:hAnsi="Times New Roman" w:eastAsia="等线" w:cs="Times New Roman"/>
          <w:b w:val="0"/>
          <w:bCs/>
          <w:sz w:val="24"/>
          <w:szCs w:val="24"/>
        </w:rPr>
        <w:t xml:space="preserve"> </w:t>
      </w:r>
      <w:r>
        <w:rPr>
          <w:rFonts w:hint="default" w:ascii="Times New Roman" w:hAnsi="Times New Roman" w:eastAsia="等线" w:cs="Times New Roman"/>
          <w:b w:val="0"/>
          <w:bCs/>
          <w:i w:val="0"/>
          <w:iCs/>
          <w:sz w:val="24"/>
          <w:szCs w:val="24"/>
        </w:rPr>
        <w:t xml:space="preserve">Journal of Business Ethics, </w:t>
      </w:r>
      <w:r>
        <w:rPr>
          <w:rFonts w:hint="default" w:ascii="Times New Roman" w:hAnsi="Times New Roman" w:eastAsia="等线" w:cs="Times New Roman"/>
          <w:b w:val="0"/>
          <w:bCs/>
          <w:sz w:val="24"/>
          <w:szCs w:val="24"/>
        </w:rPr>
        <w:t>183(3): 1189-1209.</w:t>
      </w:r>
    </w:p>
    <w:p w14:paraId="5F97F4C0">
      <w:pPr>
        <w:numPr>
          <w:ilvl w:val="0"/>
          <w:numId w:val="22"/>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European Commission. (2024). </w:t>
      </w:r>
      <w:r>
        <w:rPr>
          <w:rFonts w:hint="default" w:ascii="Times New Roman" w:hAnsi="Times New Roman" w:eastAsia="等线" w:cs="Times New Roman"/>
          <w:b w:val="0"/>
          <w:bCs/>
          <w:i/>
          <w:iCs w:val="0"/>
          <w:sz w:val="24"/>
          <w:szCs w:val="24"/>
        </w:rPr>
        <w:t>Implementation Guide for Corporate Sustainability Due Diligence Directive.</w:t>
      </w:r>
      <w:r>
        <w:rPr>
          <w:rFonts w:hint="default" w:ascii="Times New Roman" w:hAnsi="Times New Roman" w:eastAsia="等线" w:cs="Times New Roman"/>
          <w:b w:val="0"/>
          <w:bCs/>
          <w:i w:val="0"/>
          <w:iCs/>
          <w:sz w:val="24"/>
          <w:szCs w:val="24"/>
        </w:rPr>
        <w:t xml:space="preserve"> </w:t>
      </w:r>
      <w:r>
        <w:rPr>
          <w:rFonts w:hint="default" w:ascii="Times New Roman" w:hAnsi="Times New Roman" w:eastAsia="等线" w:cs="Times New Roman"/>
          <w:b w:val="0"/>
          <w:bCs/>
          <w:sz w:val="24"/>
          <w:szCs w:val="24"/>
        </w:rPr>
        <w:t>Brussels: European Union Publications Office.</w:t>
      </w:r>
    </w:p>
    <w:p w14:paraId="75CE91D6">
      <w:pPr>
        <w:numPr>
          <w:ilvl w:val="0"/>
          <w:numId w:val="23"/>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World Resources Institute. (2023). </w:t>
      </w:r>
      <w:r>
        <w:rPr>
          <w:rFonts w:hint="default" w:ascii="Times New Roman" w:hAnsi="Times New Roman" w:eastAsia="等线" w:cs="Times New Roman"/>
          <w:b w:val="0"/>
          <w:bCs/>
          <w:i/>
          <w:iCs w:val="0"/>
          <w:sz w:val="24"/>
          <w:szCs w:val="24"/>
        </w:rPr>
        <w:t xml:space="preserve">Global Forest Watch Pro: Annual Report 2023. </w:t>
      </w:r>
      <w:r>
        <w:rPr>
          <w:rFonts w:hint="default" w:ascii="Times New Roman" w:hAnsi="Times New Roman" w:eastAsia="等线" w:cs="Times New Roman"/>
          <w:b w:val="0"/>
          <w:bCs/>
          <w:sz w:val="24"/>
          <w:szCs w:val="24"/>
        </w:rPr>
        <w:t>Washington, D.C.: WRI Press.</w:t>
      </w:r>
    </w:p>
    <w:p w14:paraId="2F2880B9">
      <w:pPr>
        <w:numPr>
          <w:ilvl w:val="0"/>
          <w:numId w:val="24"/>
        </w:numPr>
        <w:spacing w:before="120" w:after="120" w:line="480" w:lineRule="auto"/>
        <w:ind w:left="0"/>
        <w:jc w:val="both"/>
        <w:rPr>
          <w:rFonts w:hint="default" w:ascii="Times New Roman" w:hAnsi="Times New Roman" w:cs="Times New Roman"/>
          <w:b w:val="0"/>
          <w:bCs/>
          <w:sz w:val="24"/>
          <w:szCs w:val="24"/>
        </w:rPr>
      </w:pPr>
      <w:r>
        <w:rPr>
          <w:rFonts w:hint="default" w:ascii="Times New Roman" w:hAnsi="Times New Roman" w:eastAsia="等线" w:cs="Times New Roman"/>
          <w:b w:val="0"/>
          <w:bCs/>
          <w:sz w:val="24"/>
          <w:szCs w:val="24"/>
        </w:rPr>
        <w:t xml:space="preserve">Hofstede Insights. (2022). </w:t>
      </w:r>
      <w:r>
        <w:rPr>
          <w:rFonts w:hint="default" w:ascii="Times New Roman" w:hAnsi="Times New Roman" w:eastAsia="等线" w:cs="Times New Roman"/>
          <w:b w:val="0"/>
          <w:bCs/>
          <w:i/>
          <w:iCs w:val="0"/>
          <w:sz w:val="24"/>
          <w:szCs w:val="24"/>
        </w:rPr>
        <w:t xml:space="preserve">Cultural Dimensions Database: Global Update 2022. </w:t>
      </w:r>
      <w:r>
        <w:rPr>
          <w:rFonts w:hint="default" w:ascii="Times New Roman" w:hAnsi="Times New Roman" w:eastAsia="等线" w:cs="Times New Roman"/>
          <w:b w:val="0"/>
          <w:bCs/>
          <w:sz w:val="24"/>
          <w:szCs w:val="24"/>
        </w:rPr>
        <w:t>Amsterdam: Hofstede Insights.</w:t>
      </w:r>
    </w:p>
    <w:p w14:paraId="203EBFF7">
      <w:pPr>
        <w:spacing w:before="120" w:after="120" w:line="480" w:lineRule="auto"/>
        <w:ind w:left="0"/>
        <w:jc w:val="left"/>
        <w:rPr>
          <w:rFonts w:hint="eastAsia"/>
        </w:rPr>
      </w:pPr>
    </w:p>
    <w:p w14:paraId="090A6A77">
      <w:pPr>
        <w:numPr>
          <w:ilvl w:val="0"/>
          <w:numId w:val="24"/>
        </w:numPr>
        <w:spacing w:before="120" w:after="120" w:line="480" w:lineRule="auto"/>
        <w:ind w:left="0" w:leftChars="0" w:firstLine="0" w:firstLineChars="0"/>
        <w:jc w:val="left"/>
        <w:rPr>
          <w:rFonts w:hint="eastAsia"/>
          <w:sz w:val="24"/>
          <w:szCs w:val="24"/>
        </w:rPr>
      </w:pPr>
      <w:r>
        <w:rPr>
          <w:rFonts w:hint="eastAsia"/>
          <w:sz w:val="24"/>
          <w:szCs w:val="24"/>
        </w:rPr>
        <w:t xml:space="preserve">Chan, A. (2020). </w:t>
      </w:r>
      <w:r>
        <w:rPr>
          <w:rFonts w:hint="eastAsia"/>
          <w:i/>
          <w:iCs/>
          <w:sz w:val="24"/>
          <w:szCs w:val="24"/>
        </w:rPr>
        <w:t xml:space="preserve">Labor Standards in Global Supply Chains: The Nike Vietnam Case. </w:t>
      </w:r>
      <w:r>
        <w:rPr>
          <w:rFonts w:hint="eastAsia"/>
          <w:sz w:val="24"/>
          <w:szCs w:val="24"/>
        </w:rPr>
        <w:t>Journal of Global Business Ethics, 15(2), 45-62.</w:t>
      </w:r>
    </w:p>
    <w:p w14:paraId="69333AF8">
      <w:pPr>
        <w:spacing w:before="120" w:after="120" w:line="480" w:lineRule="auto"/>
        <w:ind w:left="0"/>
        <w:jc w:val="left"/>
        <w:rPr>
          <w:rFonts w:hint="eastAsia"/>
          <w:sz w:val="24"/>
          <w:szCs w:val="24"/>
        </w:rPr>
      </w:pPr>
    </w:p>
    <w:p w14:paraId="0AB53249">
      <w:pPr>
        <w:numPr>
          <w:ilvl w:val="0"/>
          <w:numId w:val="24"/>
        </w:numPr>
        <w:spacing w:before="120" w:after="120" w:line="480" w:lineRule="auto"/>
        <w:ind w:left="0" w:leftChars="0" w:firstLine="0" w:firstLineChars="0"/>
        <w:jc w:val="left"/>
        <w:rPr>
          <w:rFonts w:hint="eastAsia"/>
          <w:sz w:val="24"/>
          <w:szCs w:val="24"/>
        </w:rPr>
      </w:pPr>
      <w:r>
        <w:rPr>
          <w:rFonts w:hint="eastAsia"/>
          <w:sz w:val="24"/>
          <w:szCs w:val="24"/>
        </w:rPr>
        <w:t xml:space="preserve">Greenpeace. (2021). </w:t>
      </w:r>
      <w:r>
        <w:rPr>
          <w:rFonts w:hint="eastAsia"/>
          <w:i/>
          <w:iCs/>
          <w:sz w:val="24"/>
          <w:szCs w:val="24"/>
        </w:rPr>
        <w:t xml:space="preserve">Palm Oil and Deforestation: Nestlé’s Supply Chain Controversies. </w:t>
      </w:r>
      <w:r>
        <w:rPr>
          <w:rFonts w:hint="eastAsia"/>
          <w:sz w:val="24"/>
          <w:szCs w:val="24"/>
        </w:rPr>
        <w:t>Greenpeace International Research Report.</w:t>
      </w:r>
    </w:p>
    <w:p w14:paraId="35F56A0A">
      <w:pPr>
        <w:spacing w:before="120" w:after="120" w:line="480" w:lineRule="auto"/>
        <w:ind w:left="0"/>
        <w:jc w:val="left"/>
        <w:rPr>
          <w:rFonts w:hint="eastAsia"/>
          <w:sz w:val="24"/>
          <w:szCs w:val="24"/>
        </w:rPr>
      </w:pPr>
    </w:p>
    <w:p w14:paraId="751EF04A">
      <w:pPr>
        <w:numPr>
          <w:ilvl w:val="0"/>
          <w:numId w:val="24"/>
        </w:numPr>
        <w:spacing w:before="120" w:after="120" w:line="480" w:lineRule="auto"/>
        <w:ind w:left="0" w:leftChars="0" w:firstLine="0" w:firstLineChars="0"/>
        <w:jc w:val="left"/>
        <w:rPr>
          <w:rFonts w:hint="eastAsia"/>
          <w:sz w:val="24"/>
          <w:szCs w:val="24"/>
        </w:rPr>
      </w:pPr>
      <w:r>
        <w:rPr>
          <w:rFonts w:hint="eastAsia"/>
          <w:sz w:val="24"/>
          <w:szCs w:val="24"/>
        </w:rPr>
        <w:t xml:space="preserve">European Commission. (2022). </w:t>
      </w:r>
      <w:r>
        <w:rPr>
          <w:rFonts w:hint="eastAsia"/>
          <w:i/>
          <w:iCs/>
          <w:sz w:val="24"/>
          <w:szCs w:val="24"/>
        </w:rPr>
        <w:t xml:space="preserve">Data Privacy Violations: Toyota’s EU Compliance Case. </w:t>
      </w:r>
      <w:r>
        <w:rPr>
          <w:rFonts w:hint="eastAsia"/>
          <w:sz w:val="24"/>
          <w:szCs w:val="24"/>
        </w:rPr>
        <w:t>European Union Regulatory Review, 8(3), 112-128.</w:t>
      </w:r>
    </w:p>
    <w:p w14:paraId="1CB47759">
      <w:pPr>
        <w:spacing w:before="120" w:after="120" w:line="480" w:lineRule="auto"/>
        <w:ind w:left="0"/>
        <w:jc w:val="left"/>
        <w:rPr>
          <w:rFonts w:hint="eastAsia"/>
          <w:sz w:val="24"/>
          <w:szCs w:val="24"/>
        </w:rPr>
      </w:pPr>
    </w:p>
    <w:p w14:paraId="32F5D85A">
      <w:pPr>
        <w:spacing w:before="120" w:after="120" w:line="480" w:lineRule="auto"/>
        <w:ind w:left="0"/>
        <w:jc w:val="left"/>
        <w:rPr>
          <w:rFonts w:hint="eastAsia"/>
          <w:sz w:val="24"/>
          <w:szCs w:val="24"/>
        </w:rPr>
      </w:pPr>
    </w:p>
    <w:p w14:paraId="1FD40164">
      <w:pPr>
        <w:spacing w:before="120" w:after="120" w:line="480" w:lineRule="auto"/>
        <w:ind w:left="0"/>
        <w:jc w:val="left"/>
        <w:rPr>
          <w:rFonts w:hint="eastAsia"/>
        </w:rPr>
      </w:pPr>
    </w:p>
    <w:p w14:paraId="29D44F2E">
      <w:pPr>
        <w:spacing w:line="480" w:lineRule="auto"/>
      </w:pPr>
    </w:p>
    <w:sectPr>
      <w:footerReference r:id="rId3" w:type="default"/>
      <w:pgSz w:w="11905" w:h="1684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97915">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2BD66F">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32BD66F">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singleLevel"/>
    <w:tmpl w:val="9239341B"/>
    <w:lvl w:ilvl="0" w:tentative="0">
      <w:start w:val="10"/>
      <w:numFmt w:val="decimal"/>
      <w:lvlText w:val="%1."/>
      <w:lvlJc w:val="left"/>
      <w:rPr>
        <w:color w:val="3370FF"/>
      </w:rPr>
    </w:lvl>
  </w:abstractNum>
  <w:abstractNum w:abstractNumId="1">
    <w:nsid w:val="9C8AC8EF"/>
    <w:multiLevelType w:val="singleLevel"/>
    <w:tmpl w:val="9C8AC8EF"/>
    <w:lvl w:ilvl="0" w:tentative="0">
      <w:start w:val="19"/>
      <w:numFmt w:val="decimal"/>
      <w:lvlText w:val="%1."/>
      <w:lvlJc w:val="left"/>
      <w:rPr>
        <w:color w:val="3370FF"/>
      </w:rPr>
    </w:lvl>
  </w:abstractNum>
  <w:abstractNum w:abstractNumId="2">
    <w:nsid w:val="B5E306ED"/>
    <w:multiLevelType w:val="singleLevel"/>
    <w:tmpl w:val="B5E306ED"/>
    <w:lvl w:ilvl="0" w:tentative="0">
      <w:start w:val="5"/>
      <w:numFmt w:val="decimal"/>
      <w:lvlText w:val="%1."/>
      <w:lvlJc w:val="left"/>
      <w:rPr>
        <w:color w:val="3370FF"/>
      </w:rPr>
    </w:lvl>
  </w:abstractNum>
  <w:abstractNum w:abstractNumId="3">
    <w:nsid w:val="BF205925"/>
    <w:multiLevelType w:val="singleLevel"/>
    <w:tmpl w:val="BF205925"/>
    <w:lvl w:ilvl="0" w:tentative="0">
      <w:start w:val="4"/>
      <w:numFmt w:val="decimal"/>
      <w:lvlText w:val="%1."/>
      <w:lvlJc w:val="left"/>
      <w:rPr>
        <w:color w:val="3370FF"/>
      </w:rPr>
    </w:lvl>
  </w:abstractNum>
  <w:abstractNum w:abstractNumId="4">
    <w:nsid w:val="C8879AEF"/>
    <w:multiLevelType w:val="singleLevel"/>
    <w:tmpl w:val="C8879AEF"/>
    <w:lvl w:ilvl="0" w:tentative="0">
      <w:start w:val="13"/>
      <w:numFmt w:val="decimal"/>
      <w:lvlText w:val="%1."/>
      <w:lvlJc w:val="left"/>
      <w:rPr>
        <w:color w:val="3370FF"/>
      </w:rPr>
    </w:lvl>
  </w:abstractNum>
  <w:abstractNum w:abstractNumId="5">
    <w:nsid w:val="CF092B84"/>
    <w:multiLevelType w:val="singleLevel"/>
    <w:tmpl w:val="CF092B84"/>
    <w:lvl w:ilvl="0" w:tentative="0">
      <w:start w:val="2"/>
      <w:numFmt w:val="decimal"/>
      <w:lvlText w:val="%1."/>
      <w:lvlJc w:val="left"/>
      <w:rPr>
        <w:color w:val="3370FF"/>
      </w:rPr>
    </w:lvl>
  </w:abstractNum>
  <w:abstractNum w:abstractNumId="6">
    <w:nsid w:val="D7F9FE59"/>
    <w:multiLevelType w:val="singleLevel"/>
    <w:tmpl w:val="D7F9FE59"/>
    <w:lvl w:ilvl="0" w:tentative="0">
      <w:start w:val="18"/>
      <w:numFmt w:val="decimal"/>
      <w:lvlText w:val="%1."/>
      <w:lvlJc w:val="left"/>
      <w:rPr>
        <w:color w:val="3370FF"/>
      </w:rPr>
    </w:lvl>
  </w:abstractNum>
  <w:abstractNum w:abstractNumId="7">
    <w:nsid w:val="DCBA6B53"/>
    <w:multiLevelType w:val="singleLevel"/>
    <w:tmpl w:val="DCBA6B53"/>
    <w:lvl w:ilvl="0" w:tentative="0">
      <w:start w:val="17"/>
      <w:numFmt w:val="decimal"/>
      <w:lvlText w:val="%1."/>
      <w:lvlJc w:val="left"/>
      <w:rPr>
        <w:color w:val="3370FF"/>
      </w:rPr>
    </w:lvl>
  </w:abstractNum>
  <w:abstractNum w:abstractNumId="8">
    <w:nsid w:val="F4B5D9F5"/>
    <w:multiLevelType w:val="singleLevel"/>
    <w:tmpl w:val="F4B5D9F5"/>
    <w:lvl w:ilvl="0" w:tentative="0">
      <w:start w:val="15"/>
      <w:numFmt w:val="decimal"/>
      <w:lvlText w:val="%1."/>
      <w:lvlJc w:val="left"/>
      <w:rPr>
        <w:color w:val="3370FF"/>
      </w:rPr>
    </w:lvl>
  </w:abstractNum>
  <w:abstractNum w:abstractNumId="9">
    <w:nsid w:val="0053208E"/>
    <w:multiLevelType w:val="singleLevel"/>
    <w:tmpl w:val="0053208E"/>
    <w:lvl w:ilvl="0" w:tentative="0">
      <w:start w:val="1"/>
      <w:numFmt w:val="decimal"/>
      <w:lvlText w:val="%1."/>
      <w:lvlJc w:val="left"/>
      <w:rPr>
        <w:color w:val="3370FF"/>
      </w:rPr>
    </w:lvl>
  </w:abstractNum>
  <w:abstractNum w:abstractNumId="10">
    <w:nsid w:val="0248C179"/>
    <w:multiLevelType w:val="singleLevel"/>
    <w:tmpl w:val="0248C179"/>
    <w:lvl w:ilvl="0" w:tentative="0">
      <w:start w:val="9"/>
      <w:numFmt w:val="decimal"/>
      <w:lvlText w:val="%1."/>
      <w:lvlJc w:val="left"/>
      <w:rPr>
        <w:color w:val="3370FF"/>
      </w:rPr>
    </w:lvl>
  </w:abstractNum>
  <w:abstractNum w:abstractNumId="11">
    <w:nsid w:val="03D62ECE"/>
    <w:multiLevelType w:val="singleLevel"/>
    <w:tmpl w:val="03D62ECE"/>
    <w:lvl w:ilvl="0" w:tentative="0">
      <w:start w:val="6"/>
      <w:numFmt w:val="decimal"/>
      <w:lvlText w:val="%1."/>
      <w:lvlJc w:val="left"/>
      <w:rPr>
        <w:color w:val="3370FF"/>
      </w:rPr>
    </w:lvl>
  </w:abstractNum>
  <w:abstractNum w:abstractNumId="12">
    <w:nsid w:val="0E640482"/>
    <w:multiLevelType w:val="singleLevel"/>
    <w:tmpl w:val="0E640482"/>
    <w:lvl w:ilvl="0" w:tentative="0">
      <w:start w:val="22"/>
      <w:numFmt w:val="decimal"/>
      <w:lvlText w:val="%1."/>
      <w:lvlJc w:val="left"/>
      <w:rPr>
        <w:color w:val="3370FF"/>
      </w:rPr>
    </w:lvl>
  </w:abstractNum>
  <w:abstractNum w:abstractNumId="13">
    <w:nsid w:val="17E437DF"/>
    <w:multiLevelType w:val="multilevel"/>
    <w:tmpl w:val="17E437DF"/>
    <w:lvl w:ilvl="0" w:tentative="0">
      <w:start w:val="1"/>
      <w:numFmt w:val="bullet"/>
      <w:lvlText w:val=""/>
      <w:lvlJc w:val="left"/>
      <w:pPr>
        <w:ind w:left="720" w:hanging="360"/>
      </w:pPr>
      <w:rPr>
        <w:rFonts w:hint="default" w:ascii="Symbol" w:hAnsi="Symbo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2470EC97"/>
    <w:multiLevelType w:val="singleLevel"/>
    <w:tmpl w:val="2470EC97"/>
    <w:lvl w:ilvl="0" w:tentative="0">
      <w:start w:val="16"/>
      <w:numFmt w:val="decimal"/>
      <w:lvlText w:val="%1."/>
      <w:lvlJc w:val="left"/>
      <w:rPr>
        <w:color w:val="3370FF"/>
      </w:rPr>
    </w:lvl>
  </w:abstractNum>
  <w:abstractNum w:abstractNumId="15">
    <w:nsid w:val="25B654F3"/>
    <w:multiLevelType w:val="singleLevel"/>
    <w:tmpl w:val="25B654F3"/>
    <w:lvl w:ilvl="0" w:tentative="0">
      <w:start w:val="7"/>
      <w:numFmt w:val="decimal"/>
      <w:lvlText w:val="%1."/>
      <w:lvlJc w:val="left"/>
      <w:rPr>
        <w:color w:val="3370FF"/>
      </w:rPr>
    </w:lvl>
  </w:abstractNum>
  <w:abstractNum w:abstractNumId="16">
    <w:nsid w:val="2A8F537B"/>
    <w:multiLevelType w:val="singleLevel"/>
    <w:tmpl w:val="2A8F537B"/>
    <w:lvl w:ilvl="0" w:tentative="0">
      <w:start w:val="11"/>
      <w:numFmt w:val="decimal"/>
      <w:lvlText w:val="%1."/>
      <w:lvlJc w:val="left"/>
      <w:rPr>
        <w:color w:val="3370FF"/>
      </w:rPr>
    </w:lvl>
  </w:abstractNum>
  <w:abstractNum w:abstractNumId="17">
    <w:nsid w:val="46A08BB8"/>
    <w:multiLevelType w:val="singleLevel"/>
    <w:tmpl w:val="46A08BB8"/>
    <w:lvl w:ilvl="0" w:tentative="0">
      <w:start w:val="23"/>
      <w:numFmt w:val="decimal"/>
      <w:lvlText w:val="%1."/>
      <w:lvlJc w:val="left"/>
      <w:rPr>
        <w:color w:val="3370FF"/>
      </w:rPr>
    </w:lvl>
  </w:abstractNum>
  <w:abstractNum w:abstractNumId="18">
    <w:nsid w:val="4C1BAE26"/>
    <w:multiLevelType w:val="singleLevel"/>
    <w:tmpl w:val="4C1BAE26"/>
    <w:lvl w:ilvl="0" w:tentative="0">
      <w:start w:val="20"/>
      <w:numFmt w:val="decimal"/>
      <w:lvlText w:val="%1."/>
      <w:lvlJc w:val="left"/>
      <w:rPr>
        <w:color w:val="3370FF"/>
      </w:rPr>
    </w:lvl>
  </w:abstractNum>
  <w:abstractNum w:abstractNumId="19">
    <w:nsid w:val="4D4DC07F"/>
    <w:multiLevelType w:val="singleLevel"/>
    <w:tmpl w:val="4D4DC07F"/>
    <w:lvl w:ilvl="0" w:tentative="0">
      <w:start w:val="14"/>
      <w:numFmt w:val="decimal"/>
      <w:lvlText w:val="%1."/>
      <w:lvlJc w:val="left"/>
      <w:rPr>
        <w:color w:val="3370FF"/>
      </w:rPr>
    </w:lvl>
  </w:abstractNum>
  <w:abstractNum w:abstractNumId="20">
    <w:nsid w:val="59ADCABA"/>
    <w:multiLevelType w:val="singleLevel"/>
    <w:tmpl w:val="59ADCABA"/>
    <w:lvl w:ilvl="0" w:tentative="0">
      <w:start w:val="3"/>
      <w:numFmt w:val="decimal"/>
      <w:lvlText w:val="%1."/>
      <w:lvlJc w:val="left"/>
      <w:rPr>
        <w:color w:val="3370FF"/>
      </w:rPr>
    </w:lvl>
  </w:abstractNum>
  <w:abstractNum w:abstractNumId="21">
    <w:nsid w:val="5A241D34"/>
    <w:multiLevelType w:val="singleLevel"/>
    <w:tmpl w:val="5A241D34"/>
    <w:lvl w:ilvl="0" w:tentative="0">
      <w:start w:val="12"/>
      <w:numFmt w:val="decimal"/>
      <w:lvlText w:val="%1."/>
      <w:lvlJc w:val="left"/>
      <w:rPr>
        <w:color w:val="3370FF"/>
      </w:rPr>
    </w:lvl>
  </w:abstractNum>
  <w:abstractNum w:abstractNumId="22">
    <w:nsid w:val="60382F6E"/>
    <w:multiLevelType w:val="singleLevel"/>
    <w:tmpl w:val="60382F6E"/>
    <w:lvl w:ilvl="0" w:tentative="0">
      <w:start w:val="21"/>
      <w:numFmt w:val="decimal"/>
      <w:lvlText w:val="%1."/>
      <w:lvlJc w:val="left"/>
      <w:rPr>
        <w:color w:val="3370FF"/>
      </w:rPr>
    </w:lvl>
  </w:abstractNum>
  <w:abstractNum w:abstractNumId="23">
    <w:nsid w:val="72183CF9"/>
    <w:multiLevelType w:val="singleLevel"/>
    <w:tmpl w:val="72183CF9"/>
    <w:lvl w:ilvl="0" w:tentative="0">
      <w:start w:val="8"/>
      <w:numFmt w:val="decimal"/>
      <w:lvlText w:val="%1."/>
      <w:lvlJc w:val="left"/>
      <w:rPr>
        <w:color w:val="3370FF"/>
      </w:rPr>
    </w:lvl>
  </w:abstractNum>
  <w:num w:numId="1">
    <w:abstractNumId w:val="13"/>
  </w:num>
  <w:num w:numId="2">
    <w:abstractNumId w:val="9"/>
  </w:num>
  <w:num w:numId="3">
    <w:abstractNumId w:val="5"/>
  </w:num>
  <w:num w:numId="4">
    <w:abstractNumId w:val="20"/>
  </w:num>
  <w:num w:numId="5">
    <w:abstractNumId w:val="3"/>
  </w:num>
  <w:num w:numId="6">
    <w:abstractNumId w:val="2"/>
  </w:num>
  <w:num w:numId="7">
    <w:abstractNumId w:val="11"/>
  </w:num>
  <w:num w:numId="8">
    <w:abstractNumId w:val="15"/>
  </w:num>
  <w:num w:numId="9">
    <w:abstractNumId w:val="23"/>
  </w:num>
  <w:num w:numId="10">
    <w:abstractNumId w:val="10"/>
  </w:num>
  <w:num w:numId="11">
    <w:abstractNumId w:val="0"/>
  </w:num>
  <w:num w:numId="12">
    <w:abstractNumId w:val="16"/>
  </w:num>
  <w:num w:numId="13">
    <w:abstractNumId w:val="21"/>
  </w:num>
  <w:num w:numId="14">
    <w:abstractNumId w:val="4"/>
  </w:num>
  <w:num w:numId="15">
    <w:abstractNumId w:val="19"/>
  </w:num>
  <w:num w:numId="16">
    <w:abstractNumId w:val="8"/>
  </w:num>
  <w:num w:numId="17">
    <w:abstractNumId w:val="14"/>
  </w:num>
  <w:num w:numId="18">
    <w:abstractNumId w:val="7"/>
  </w:num>
  <w:num w:numId="19">
    <w:abstractNumId w:val="6"/>
  </w:num>
  <w:num w:numId="20">
    <w:abstractNumId w:val="1"/>
  </w:num>
  <w:num w:numId="21">
    <w:abstractNumId w:val="18"/>
  </w:num>
  <w:num w:numId="22">
    <w:abstractNumId w:val="22"/>
  </w:num>
  <w:num w:numId="23">
    <w:abstractNumId w:val="12"/>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7B481F"/>
    <w:rsid w:val="135266DD"/>
    <w:rsid w:val="4E712A1A"/>
    <w:rsid w:val="567B481F"/>
    <w:rsid w:val="58450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4"/>
    <w:basedOn w:val="1"/>
    <w:next w:val="1"/>
    <w:qFormat/>
    <w:uiPriority w:val="0"/>
    <w:pPr>
      <w:keepNext/>
      <w:spacing w:before="120" w:after="120"/>
      <w:jc w:val="center"/>
      <w:outlineLvl w:val="3"/>
    </w:pPr>
    <w:rPr>
      <w:sz w:val="4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 w:type="paragraph" w:styleId="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3698</Words>
  <Characters>24945</Characters>
  <Lines>0</Lines>
  <Paragraphs>0</Paragraphs>
  <TotalTime>28</TotalTime>
  <ScaleCrop>false</ScaleCrop>
  <LinksUpToDate>false</LinksUpToDate>
  <CharactersWithSpaces>28564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2025-12-05T23:24:00Z</dcterms:created>
  <dc:creator>沐言小朋友</dc:creator>
  <cp:lastModifiedBy>沐言小朋友</cp:lastModifiedBy>
  <dcterms:modified xsi:type="dcterms:W3CDTF">2025-12-11T21:31:07Z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CC3D033058964DF0BC6747F61472B35C_13</vt:lpwstr>
  </property>
  <property fmtid="{D5CDD505-2E9C-101B-9397-08002B2CF9AE}" pid="4" name="KSOTemplateDocerSaveRecord">
    <vt:lpwstr>eyJoZGlkIjoiMTVjZDMyZTNiNmRiYWY2MzFiMmFhMzgyYzU1YjcyMzUiLCJ1c2VySWQiOiIxMTU5MzgwNTA2In0=</vt:lpwstr>
  </property>
</Properties>
</file>