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C50F7" w14:textId="77777777" w:rsidR="003B2085" w:rsidRPr="003B2085" w:rsidRDefault="003B2085" w:rsidP="003B2085">
      <w:pPr>
        <w:spacing w:before="100" w:beforeAutospacing="1" w:after="100" w:afterAutospacing="1" w:line="240" w:lineRule="auto"/>
        <w:outlineLvl w:val="0"/>
        <w:rPr>
          <w:rFonts w:asciiTheme="minorBidi" w:eastAsia="Times New Roman" w:hAnsiTheme="minorBidi"/>
          <w:b/>
          <w:bCs/>
          <w:kern w:val="36"/>
          <w14:ligatures w14:val="none"/>
        </w:rPr>
      </w:pPr>
      <w:r w:rsidRPr="003B2085">
        <w:rPr>
          <w:rFonts w:asciiTheme="minorBidi" w:eastAsia="Times New Roman" w:hAnsiTheme="minorBidi"/>
          <w:b/>
          <w:bCs/>
          <w:kern w:val="36"/>
          <w14:ligatures w14:val="none"/>
        </w:rPr>
        <w:t>The Role of Theory in Business and Management Doctoral Research</w:t>
      </w:r>
    </w:p>
    <w:p w14:paraId="2E8B0ED7" w14:textId="77777777" w:rsidR="003B2085" w:rsidRPr="003B2085" w:rsidRDefault="003B2085" w:rsidP="003B2085">
      <w:pPr>
        <w:spacing w:before="100" w:beforeAutospacing="1" w:after="100" w:afterAutospacing="1" w:line="240" w:lineRule="auto"/>
        <w:outlineLvl w:val="1"/>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Introduction</w:t>
      </w:r>
    </w:p>
    <w:p w14:paraId="27C5125E" w14:textId="0862429A" w:rsidR="003B2085" w:rsidRPr="003B2085" w:rsidRDefault="003B2085" w:rsidP="003B2085">
      <w:p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 xml:space="preserve">Theory forms the foundation of rigorous doctoral research in business and management disciplines. For </w:t>
      </w:r>
      <w:r w:rsidR="00C80615">
        <w:rPr>
          <w:rFonts w:asciiTheme="minorBidi" w:eastAsia="Times New Roman" w:hAnsiTheme="minorBidi"/>
          <w:kern w:val="0"/>
          <w14:ligatures w14:val="none"/>
        </w:rPr>
        <w:t>PhD/DBA</w:t>
      </w:r>
      <w:r w:rsidRPr="003B2085">
        <w:rPr>
          <w:rFonts w:asciiTheme="minorBidi" w:eastAsia="Times New Roman" w:hAnsiTheme="minorBidi"/>
          <w:kern w:val="0"/>
          <w14:ligatures w14:val="none"/>
        </w:rPr>
        <w:t xml:space="preserve"> students navigating the complex landscape of academic inquiry, understanding how to effectively engage with, apply, and develop theoretical frameworks is not merely an academic exercise but a fundamental requirement for producing meaningful contributions to knowledge. This comprehensive overview explores the multifaceted role of theory in business and management doctoral research, providing practical guidance and examples for new doctoral researchers.</w:t>
      </w:r>
    </w:p>
    <w:p w14:paraId="4E5E65D5" w14:textId="77777777" w:rsidR="003B2085" w:rsidRPr="003B2085" w:rsidRDefault="003B2085" w:rsidP="003B2085">
      <w:pPr>
        <w:spacing w:before="100" w:beforeAutospacing="1" w:after="100" w:afterAutospacing="1" w:line="240" w:lineRule="auto"/>
        <w:outlineLvl w:val="1"/>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Understanding Theory in Business and Management Research</w:t>
      </w:r>
    </w:p>
    <w:p w14:paraId="16757360" w14:textId="77777777" w:rsidR="003B2085" w:rsidRPr="003B2085" w:rsidRDefault="003B2085" w:rsidP="003B2085">
      <w:p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Theory represents a systematic way of understanding, explaining, and predicting phenomena within a discipline. In business and management research, theories provide conceptual frameworks that help make sense of complex organisational dynamics, market behaviours, leadership processes, and other business phenomena.</w:t>
      </w:r>
    </w:p>
    <w:p w14:paraId="32D7D8EE" w14:textId="77777777" w:rsidR="003B2085" w:rsidRPr="003B2085" w:rsidRDefault="003B2085" w:rsidP="003B2085">
      <w:pPr>
        <w:spacing w:before="100" w:beforeAutospacing="1" w:after="100" w:afterAutospacing="1" w:line="240" w:lineRule="auto"/>
        <w:outlineLvl w:val="2"/>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What Constitutes Theory in Business and Management?</w:t>
      </w:r>
    </w:p>
    <w:p w14:paraId="1DA9FF00" w14:textId="77777777" w:rsidR="003B2085" w:rsidRPr="003B2085" w:rsidRDefault="003B2085" w:rsidP="003B2085">
      <w:p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Theory in business and management research can be understood as:</w:t>
      </w:r>
    </w:p>
    <w:p w14:paraId="1DA862FE" w14:textId="77777777" w:rsidR="003B2085" w:rsidRPr="003B2085" w:rsidRDefault="003B2085" w:rsidP="003B2085">
      <w:pPr>
        <w:numPr>
          <w:ilvl w:val="0"/>
          <w:numId w:val="1"/>
        </w:num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A coherent set of concepts, definitions, and propositions that presents a systematic view of phenomena</w:t>
      </w:r>
    </w:p>
    <w:p w14:paraId="5FEA6265" w14:textId="77777777" w:rsidR="003B2085" w:rsidRPr="003B2085" w:rsidRDefault="003B2085" w:rsidP="003B2085">
      <w:pPr>
        <w:numPr>
          <w:ilvl w:val="0"/>
          <w:numId w:val="1"/>
        </w:num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An explanatory framework that identifies relationships between variables</w:t>
      </w:r>
    </w:p>
    <w:p w14:paraId="3DCD9867" w14:textId="77777777" w:rsidR="003B2085" w:rsidRPr="003B2085" w:rsidRDefault="003B2085" w:rsidP="003B2085">
      <w:pPr>
        <w:numPr>
          <w:ilvl w:val="0"/>
          <w:numId w:val="1"/>
        </w:num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A lens through which researchers observe, analyse, and interpret business realities</w:t>
      </w:r>
    </w:p>
    <w:p w14:paraId="135C8DD9" w14:textId="77777777" w:rsidR="003B2085" w:rsidRDefault="003B2085" w:rsidP="003B2085">
      <w:pPr>
        <w:numPr>
          <w:ilvl w:val="0"/>
          <w:numId w:val="1"/>
        </w:num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A foundation for developing testable hypotheses or research questions</w:t>
      </w:r>
    </w:p>
    <w:p w14:paraId="321E8957"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67DD0901"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55654F5B"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2CE8E726"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3CECEC25"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7E22AE8D"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7D4D8003"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08C22646"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742B7C99"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1E5BE51F"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0D450342"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67CA4DD2" w14:textId="77777777" w:rsidR="0040493E" w:rsidRDefault="0040493E" w:rsidP="0040493E">
      <w:pPr>
        <w:spacing w:before="100" w:beforeAutospacing="1" w:after="100" w:afterAutospacing="1" w:line="240" w:lineRule="auto"/>
        <w:rPr>
          <w:rFonts w:asciiTheme="minorBidi" w:eastAsia="Times New Roman" w:hAnsiTheme="minorBidi"/>
          <w:kern w:val="0"/>
          <w14:ligatures w14:val="none"/>
        </w:rPr>
      </w:pPr>
    </w:p>
    <w:p w14:paraId="5BDB8D94" w14:textId="77777777" w:rsidR="0040493E" w:rsidRPr="003B2085" w:rsidRDefault="0040493E" w:rsidP="0040493E">
      <w:pPr>
        <w:spacing w:before="100" w:beforeAutospacing="1" w:after="100" w:afterAutospacing="1" w:line="240" w:lineRule="auto"/>
        <w:rPr>
          <w:rFonts w:asciiTheme="minorBidi" w:eastAsia="Times New Roman" w:hAnsiTheme="minorBidi"/>
          <w:kern w:val="0"/>
          <w14:ligatures w14:val="none"/>
        </w:rPr>
      </w:pPr>
    </w:p>
    <w:p w14:paraId="1BE6F8FA" w14:textId="3759A78B" w:rsidR="00E37503" w:rsidRDefault="003B2085" w:rsidP="0040493E">
      <w:pPr>
        <w:spacing w:before="100" w:beforeAutospacing="1" w:after="100" w:afterAutospacing="1" w:line="240" w:lineRule="auto"/>
        <w:outlineLvl w:val="2"/>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Characteristics of Strong Theories in Business Research</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8"/>
        <w:gridCol w:w="1845"/>
        <w:gridCol w:w="3045"/>
        <w:gridCol w:w="2197"/>
        <w:gridCol w:w="2091"/>
      </w:tblGrid>
      <w:tr w:rsidR="00E37503" w:rsidRPr="00E37503" w14:paraId="27F9FF19" w14:textId="77777777" w:rsidTr="00E37503">
        <w:trPr>
          <w:tblHeader/>
          <w:tblCellSpacing w:w="15" w:type="dxa"/>
        </w:trPr>
        <w:tc>
          <w:tcPr>
            <w:tcW w:w="0" w:type="auto"/>
            <w:vAlign w:val="center"/>
            <w:hideMark/>
          </w:tcPr>
          <w:p w14:paraId="2CF61135" w14:textId="77777777" w:rsidR="00E37503" w:rsidRPr="00E37503" w:rsidRDefault="00E37503" w:rsidP="00E37503">
            <w:pPr>
              <w:spacing w:after="0" w:line="240" w:lineRule="auto"/>
              <w:jc w:val="center"/>
              <w:rPr>
                <w:rFonts w:asciiTheme="minorBidi" w:eastAsia="Times New Roman" w:hAnsiTheme="minorBidi"/>
                <w:b/>
                <w:bCs/>
                <w:kern w:val="0"/>
                <w:sz w:val="20"/>
                <w:szCs w:val="20"/>
                <w14:ligatures w14:val="none"/>
              </w:rPr>
            </w:pPr>
            <w:r w:rsidRPr="00E37503">
              <w:rPr>
                <w:rFonts w:asciiTheme="minorBidi" w:eastAsia="Times New Roman" w:hAnsiTheme="minorBidi"/>
                <w:b/>
                <w:bCs/>
                <w:kern w:val="0"/>
                <w:sz w:val="20"/>
                <w:szCs w:val="20"/>
                <w14:ligatures w14:val="none"/>
              </w:rPr>
              <w:t>Criterion</w:t>
            </w:r>
          </w:p>
        </w:tc>
        <w:tc>
          <w:tcPr>
            <w:tcW w:w="0" w:type="auto"/>
            <w:vAlign w:val="center"/>
            <w:hideMark/>
          </w:tcPr>
          <w:p w14:paraId="76FED89F" w14:textId="77777777" w:rsidR="00E37503" w:rsidRPr="00E37503" w:rsidRDefault="00E37503" w:rsidP="00E37503">
            <w:pPr>
              <w:spacing w:after="0" w:line="240" w:lineRule="auto"/>
              <w:jc w:val="center"/>
              <w:rPr>
                <w:rFonts w:asciiTheme="minorBidi" w:eastAsia="Times New Roman" w:hAnsiTheme="minorBidi"/>
                <w:b/>
                <w:bCs/>
                <w:kern w:val="0"/>
                <w:sz w:val="20"/>
                <w:szCs w:val="20"/>
                <w14:ligatures w14:val="none"/>
              </w:rPr>
            </w:pPr>
            <w:r w:rsidRPr="00E37503">
              <w:rPr>
                <w:rFonts w:asciiTheme="minorBidi" w:eastAsia="Times New Roman" w:hAnsiTheme="minorBidi"/>
                <w:b/>
                <w:bCs/>
                <w:kern w:val="0"/>
                <w:sz w:val="20"/>
                <w:szCs w:val="20"/>
                <w14:ligatures w14:val="none"/>
              </w:rPr>
              <w:t>Simple Explanation</w:t>
            </w:r>
          </w:p>
        </w:tc>
        <w:tc>
          <w:tcPr>
            <w:tcW w:w="0" w:type="auto"/>
            <w:vAlign w:val="center"/>
            <w:hideMark/>
          </w:tcPr>
          <w:p w14:paraId="29C938B6" w14:textId="77777777" w:rsidR="00E37503" w:rsidRPr="00E37503" w:rsidRDefault="00E37503" w:rsidP="00E37503">
            <w:pPr>
              <w:spacing w:after="0" w:line="240" w:lineRule="auto"/>
              <w:jc w:val="center"/>
              <w:rPr>
                <w:rFonts w:asciiTheme="minorBidi" w:eastAsia="Times New Roman" w:hAnsiTheme="minorBidi"/>
                <w:b/>
                <w:bCs/>
                <w:kern w:val="0"/>
                <w:sz w:val="20"/>
                <w:szCs w:val="20"/>
                <w14:ligatures w14:val="none"/>
              </w:rPr>
            </w:pPr>
            <w:r w:rsidRPr="00E37503">
              <w:rPr>
                <w:rFonts w:asciiTheme="minorBidi" w:eastAsia="Times New Roman" w:hAnsiTheme="minorBidi"/>
                <w:b/>
                <w:bCs/>
                <w:kern w:val="0"/>
                <w:sz w:val="20"/>
                <w:szCs w:val="20"/>
                <w14:ligatures w14:val="none"/>
              </w:rPr>
              <w:t>Example</w:t>
            </w:r>
          </w:p>
        </w:tc>
        <w:tc>
          <w:tcPr>
            <w:tcW w:w="0" w:type="auto"/>
            <w:vAlign w:val="center"/>
            <w:hideMark/>
          </w:tcPr>
          <w:p w14:paraId="279155CA" w14:textId="77777777" w:rsidR="00E37503" w:rsidRPr="00E37503" w:rsidRDefault="00E37503" w:rsidP="00E37503">
            <w:pPr>
              <w:spacing w:after="0" w:line="240" w:lineRule="auto"/>
              <w:jc w:val="center"/>
              <w:rPr>
                <w:rFonts w:asciiTheme="minorBidi" w:eastAsia="Times New Roman" w:hAnsiTheme="minorBidi"/>
                <w:b/>
                <w:bCs/>
                <w:kern w:val="0"/>
                <w:sz w:val="20"/>
                <w:szCs w:val="20"/>
                <w14:ligatures w14:val="none"/>
              </w:rPr>
            </w:pPr>
            <w:r w:rsidRPr="00E37503">
              <w:rPr>
                <w:rFonts w:asciiTheme="minorBidi" w:eastAsia="Times New Roman" w:hAnsiTheme="minorBidi"/>
                <w:b/>
                <w:bCs/>
                <w:kern w:val="0"/>
                <w:sz w:val="20"/>
                <w:szCs w:val="20"/>
                <w14:ligatures w14:val="none"/>
              </w:rPr>
              <w:t>Suitable Theory in Business Management</w:t>
            </w:r>
          </w:p>
        </w:tc>
        <w:tc>
          <w:tcPr>
            <w:tcW w:w="0" w:type="auto"/>
            <w:vAlign w:val="center"/>
            <w:hideMark/>
          </w:tcPr>
          <w:p w14:paraId="0D94FEA7" w14:textId="77777777" w:rsidR="00E37503" w:rsidRPr="00E37503" w:rsidRDefault="00E37503" w:rsidP="00E37503">
            <w:pPr>
              <w:spacing w:after="0" w:line="240" w:lineRule="auto"/>
              <w:jc w:val="center"/>
              <w:rPr>
                <w:rFonts w:asciiTheme="minorBidi" w:eastAsia="Times New Roman" w:hAnsiTheme="minorBidi"/>
                <w:b/>
                <w:bCs/>
                <w:kern w:val="0"/>
                <w:sz w:val="20"/>
                <w:szCs w:val="20"/>
                <w14:ligatures w14:val="none"/>
              </w:rPr>
            </w:pPr>
            <w:r w:rsidRPr="00E37503">
              <w:rPr>
                <w:rFonts w:asciiTheme="minorBidi" w:eastAsia="Times New Roman" w:hAnsiTheme="minorBidi"/>
                <w:b/>
                <w:bCs/>
                <w:kern w:val="0"/>
                <w:sz w:val="20"/>
                <w:szCs w:val="20"/>
                <w14:ligatures w14:val="none"/>
              </w:rPr>
              <w:t>Main Authors</w:t>
            </w:r>
          </w:p>
        </w:tc>
      </w:tr>
      <w:tr w:rsidR="00E37503" w:rsidRPr="00E37503" w14:paraId="077199B3" w14:textId="77777777" w:rsidTr="00E37503">
        <w:trPr>
          <w:tblCellSpacing w:w="15" w:type="dxa"/>
        </w:trPr>
        <w:tc>
          <w:tcPr>
            <w:tcW w:w="0" w:type="auto"/>
            <w:vAlign w:val="center"/>
            <w:hideMark/>
          </w:tcPr>
          <w:p w14:paraId="3CBC1EED"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b/>
                <w:bCs/>
                <w:kern w:val="0"/>
                <w:sz w:val="20"/>
                <w:szCs w:val="20"/>
                <w14:ligatures w14:val="none"/>
              </w:rPr>
              <w:t>Coherence</w:t>
            </w:r>
          </w:p>
        </w:tc>
        <w:tc>
          <w:tcPr>
            <w:tcW w:w="0" w:type="auto"/>
            <w:vAlign w:val="center"/>
            <w:hideMark/>
          </w:tcPr>
          <w:p w14:paraId="17FB3075"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All parts of your theoretical framework should fit together logically, like pieces of a puzzle.</w:t>
            </w:r>
          </w:p>
        </w:tc>
        <w:tc>
          <w:tcPr>
            <w:tcW w:w="0" w:type="auto"/>
            <w:vAlign w:val="center"/>
            <w:hideMark/>
          </w:tcPr>
          <w:p w14:paraId="1A7EC17D"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If you're studying how small businesses adopt new technologies, your theoretical framework should show clear connections between concepts like "technology readiness," "perceived usefulness," and "adoption decisions." These concepts should work together to create a cohesive explanation.</w:t>
            </w:r>
          </w:p>
        </w:tc>
        <w:tc>
          <w:tcPr>
            <w:tcW w:w="0" w:type="auto"/>
            <w:vAlign w:val="center"/>
            <w:hideMark/>
          </w:tcPr>
          <w:p w14:paraId="0BD188BE"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Resource-Based View (RBV): This theory explains how firms gain competitive advantage by effectively utilising their unique resources and capabilities.</w:t>
            </w:r>
          </w:p>
        </w:tc>
        <w:tc>
          <w:tcPr>
            <w:tcW w:w="0" w:type="auto"/>
            <w:vAlign w:val="center"/>
            <w:hideMark/>
          </w:tcPr>
          <w:p w14:paraId="00779A93"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Jay Barney, "Firm Resources and Sustained Competitive Advantage" (1991)</w:t>
            </w:r>
          </w:p>
        </w:tc>
      </w:tr>
      <w:tr w:rsidR="00E37503" w:rsidRPr="00E37503" w14:paraId="43F9B5D1" w14:textId="77777777" w:rsidTr="00E37503">
        <w:trPr>
          <w:tblCellSpacing w:w="15" w:type="dxa"/>
        </w:trPr>
        <w:tc>
          <w:tcPr>
            <w:tcW w:w="0" w:type="auto"/>
            <w:vAlign w:val="center"/>
            <w:hideMark/>
          </w:tcPr>
          <w:p w14:paraId="2C222685"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b/>
                <w:bCs/>
                <w:kern w:val="0"/>
                <w:sz w:val="20"/>
                <w:szCs w:val="20"/>
                <w14:ligatures w14:val="none"/>
              </w:rPr>
              <w:t>Explanatory Power</w:t>
            </w:r>
          </w:p>
        </w:tc>
        <w:tc>
          <w:tcPr>
            <w:tcW w:w="0" w:type="auto"/>
            <w:vAlign w:val="center"/>
            <w:hideMark/>
          </w:tcPr>
          <w:p w14:paraId="352C8E07"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Your theoretical framework should help explain why things happen the way they do in the business world.</w:t>
            </w:r>
          </w:p>
        </w:tc>
        <w:tc>
          <w:tcPr>
            <w:tcW w:w="0" w:type="auto"/>
            <w:vAlign w:val="center"/>
            <w:hideMark/>
          </w:tcPr>
          <w:p w14:paraId="09516C3D"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A good theoretical framework for corporate social responsibility (CSR) would explain why some companies engage in CSR activities while others don't, and what difference these activities make to their performance.</w:t>
            </w:r>
          </w:p>
        </w:tc>
        <w:tc>
          <w:tcPr>
            <w:tcW w:w="0" w:type="auto"/>
            <w:vAlign w:val="center"/>
            <w:hideMark/>
          </w:tcPr>
          <w:p w14:paraId="13B21925"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Stakeholder Theory: This theory emphasises the importance of managing relationships with all stakeholders who affect or are affected by a business.</w:t>
            </w:r>
          </w:p>
        </w:tc>
        <w:tc>
          <w:tcPr>
            <w:tcW w:w="0" w:type="auto"/>
            <w:vAlign w:val="center"/>
            <w:hideMark/>
          </w:tcPr>
          <w:p w14:paraId="327B6C62"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R. Edward Freeman, "Strategic Management: A Stakeholder Approach" (1984)</w:t>
            </w:r>
          </w:p>
        </w:tc>
      </w:tr>
      <w:tr w:rsidR="00E37503" w:rsidRPr="00E37503" w14:paraId="1DA13478" w14:textId="77777777" w:rsidTr="00E37503">
        <w:trPr>
          <w:tblCellSpacing w:w="15" w:type="dxa"/>
        </w:trPr>
        <w:tc>
          <w:tcPr>
            <w:tcW w:w="0" w:type="auto"/>
            <w:vAlign w:val="center"/>
            <w:hideMark/>
          </w:tcPr>
          <w:p w14:paraId="5DC0FCB0"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b/>
                <w:bCs/>
                <w:kern w:val="0"/>
                <w:sz w:val="20"/>
                <w:szCs w:val="20"/>
                <w14:ligatures w14:val="none"/>
              </w:rPr>
              <w:t>Precision</w:t>
            </w:r>
          </w:p>
        </w:tc>
        <w:tc>
          <w:tcPr>
            <w:tcW w:w="0" w:type="auto"/>
            <w:vAlign w:val="center"/>
            <w:hideMark/>
          </w:tcPr>
          <w:p w14:paraId="4FAAC15B"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The concepts in your theoretical framework should be clearly defined, not vague or ambiguous.</w:t>
            </w:r>
          </w:p>
        </w:tc>
        <w:tc>
          <w:tcPr>
            <w:tcW w:w="0" w:type="auto"/>
            <w:vAlign w:val="center"/>
            <w:hideMark/>
          </w:tcPr>
          <w:p w14:paraId="64C89C98"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If your research uses the concept of "organisational culture," your theoretical framework should define exactly what you mean by this term, perhaps distinguishing between visible aspects (like dress codes) and deeper aspects (like shared values).</w:t>
            </w:r>
          </w:p>
        </w:tc>
        <w:tc>
          <w:tcPr>
            <w:tcW w:w="0" w:type="auto"/>
            <w:vAlign w:val="center"/>
            <w:hideMark/>
          </w:tcPr>
          <w:p w14:paraId="7F2C5991"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Competing Values Framework: This theory identifies organisational culture based on competing values, such as flexibility vs. control and internal vs. external focus.</w:t>
            </w:r>
          </w:p>
        </w:tc>
        <w:tc>
          <w:tcPr>
            <w:tcW w:w="0" w:type="auto"/>
            <w:vAlign w:val="center"/>
            <w:hideMark/>
          </w:tcPr>
          <w:p w14:paraId="63751486"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Robert Quinn &amp; John Rohrbaugh, "A Spatial Model of Effectiveness Criteria: Towards a Competing Values Approach to Organisational Analysis" (1983)</w:t>
            </w:r>
          </w:p>
        </w:tc>
      </w:tr>
      <w:tr w:rsidR="00E37503" w:rsidRPr="00E37503" w14:paraId="44D18B40" w14:textId="77777777" w:rsidTr="00E37503">
        <w:trPr>
          <w:tblCellSpacing w:w="15" w:type="dxa"/>
        </w:trPr>
        <w:tc>
          <w:tcPr>
            <w:tcW w:w="0" w:type="auto"/>
            <w:vAlign w:val="center"/>
            <w:hideMark/>
          </w:tcPr>
          <w:p w14:paraId="4C66A6A0"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b/>
                <w:bCs/>
                <w:kern w:val="0"/>
                <w:sz w:val="20"/>
                <w:szCs w:val="20"/>
                <w14:ligatures w14:val="none"/>
              </w:rPr>
              <w:t>Appropriate Scope</w:t>
            </w:r>
          </w:p>
        </w:tc>
        <w:tc>
          <w:tcPr>
            <w:tcW w:w="0" w:type="auto"/>
            <w:vAlign w:val="center"/>
            <w:hideMark/>
          </w:tcPr>
          <w:p w14:paraId="19132976"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Your theoretical framework should be focused on your specific research area—not too broad and not too narrow.</w:t>
            </w:r>
          </w:p>
        </w:tc>
        <w:tc>
          <w:tcPr>
            <w:tcW w:w="0" w:type="auto"/>
            <w:vAlign w:val="center"/>
            <w:hideMark/>
          </w:tcPr>
          <w:p w14:paraId="0F2A4579"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For research on employee motivation in small retail businesses, a theoretical framework focused on broad economic theories would be too wide, while one focused only on compensation packages would be too narrow. An appropriate scope might include theories of intrinsic and extrinsic motivation as they apply to retail environments.</w:t>
            </w:r>
          </w:p>
        </w:tc>
        <w:tc>
          <w:tcPr>
            <w:tcW w:w="0" w:type="auto"/>
            <w:vAlign w:val="center"/>
            <w:hideMark/>
          </w:tcPr>
          <w:p w14:paraId="63B7EFDF"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Self-Determination Theory: This theory focuses on human motivation and the distinction between intrinsic and extrinsic motivation.</w:t>
            </w:r>
          </w:p>
        </w:tc>
        <w:tc>
          <w:tcPr>
            <w:tcW w:w="0" w:type="auto"/>
            <w:vAlign w:val="center"/>
            <w:hideMark/>
          </w:tcPr>
          <w:p w14:paraId="227A31B4"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Edward Deci &amp; Richard Ryan, "Self-Determination Theory and the Facilitation of Intrinsic Motivation, Social Development, and Well-Being" (2000)</w:t>
            </w:r>
          </w:p>
        </w:tc>
      </w:tr>
      <w:tr w:rsidR="00E37503" w:rsidRPr="00E37503" w14:paraId="5A7072C2" w14:textId="77777777" w:rsidTr="00E37503">
        <w:trPr>
          <w:tblCellSpacing w:w="15" w:type="dxa"/>
        </w:trPr>
        <w:tc>
          <w:tcPr>
            <w:tcW w:w="0" w:type="auto"/>
            <w:vAlign w:val="center"/>
            <w:hideMark/>
          </w:tcPr>
          <w:p w14:paraId="35D7ED51"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b/>
                <w:bCs/>
                <w:kern w:val="0"/>
                <w:sz w:val="20"/>
                <w:szCs w:val="20"/>
                <w14:ligatures w14:val="none"/>
              </w:rPr>
              <w:t>Relevance</w:t>
            </w:r>
          </w:p>
        </w:tc>
        <w:tc>
          <w:tcPr>
            <w:tcW w:w="0" w:type="auto"/>
            <w:vAlign w:val="center"/>
            <w:hideMark/>
          </w:tcPr>
          <w:p w14:paraId="37B818D0"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Your theoretical framework should connect directly to your research problem and questions.</w:t>
            </w:r>
          </w:p>
        </w:tc>
        <w:tc>
          <w:tcPr>
            <w:tcW w:w="0" w:type="auto"/>
            <w:vAlign w:val="center"/>
            <w:hideMark/>
          </w:tcPr>
          <w:p w14:paraId="2C9CBBFB"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If you're studying how businesses recover from a crisis, your theoretical framework should include concepts related to crisis management, resilience, and recovery strategies—not unrelated concepts like marketing mix or production efficiency.</w:t>
            </w:r>
          </w:p>
        </w:tc>
        <w:tc>
          <w:tcPr>
            <w:tcW w:w="0" w:type="auto"/>
            <w:vAlign w:val="center"/>
            <w:hideMark/>
          </w:tcPr>
          <w:p w14:paraId="13E44C8D"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Contingency Theory: This theory suggests that the best organisational structure or strategy depends on various situational factors.</w:t>
            </w:r>
          </w:p>
        </w:tc>
        <w:tc>
          <w:tcPr>
            <w:tcW w:w="0" w:type="auto"/>
            <w:vAlign w:val="center"/>
            <w:hideMark/>
          </w:tcPr>
          <w:p w14:paraId="385971D3"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Joan Woodward, "Industrial Organisation: Theory and Practice" (1965)</w:t>
            </w:r>
          </w:p>
        </w:tc>
      </w:tr>
      <w:tr w:rsidR="00E37503" w:rsidRPr="00E37503" w14:paraId="7D78CAEF" w14:textId="77777777" w:rsidTr="00E37503">
        <w:trPr>
          <w:tblCellSpacing w:w="15" w:type="dxa"/>
        </w:trPr>
        <w:tc>
          <w:tcPr>
            <w:tcW w:w="0" w:type="auto"/>
            <w:vAlign w:val="center"/>
            <w:hideMark/>
          </w:tcPr>
          <w:p w14:paraId="26EF64C7"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b/>
                <w:bCs/>
                <w:kern w:val="0"/>
                <w:sz w:val="20"/>
                <w:szCs w:val="20"/>
                <w14:ligatures w14:val="none"/>
              </w:rPr>
              <w:t>Adaptability</w:t>
            </w:r>
          </w:p>
        </w:tc>
        <w:tc>
          <w:tcPr>
            <w:tcW w:w="0" w:type="auto"/>
            <w:vAlign w:val="center"/>
            <w:hideMark/>
          </w:tcPr>
          <w:p w14:paraId="48F9FA23"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Your theoretical framework should be flexible enough to accommodate new findings or unexpected results.</w:t>
            </w:r>
          </w:p>
        </w:tc>
        <w:tc>
          <w:tcPr>
            <w:tcW w:w="0" w:type="auto"/>
            <w:vAlign w:val="center"/>
            <w:hideMark/>
          </w:tcPr>
          <w:p w14:paraId="38FDF45F"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t xml:space="preserve">A good theoretical framework for studying digital transformation should be able to incorporate emerging technologies or unexpected user behaviours that </w:t>
            </w:r>
            <w:r w:rsidRPr="00E37503">
              <w:rPr>
                <w:rFonts w:asciiTheme="minorBidi" w:eastAsia="Times New Roman" w:hAnsiTheme="minorBidi"/>
                <w:kern w:val="0"/>
                <w:sz w:val="20"/>
                <w:szCs w:val="20"/>
                <w14:ligatures w14:val="none"/>
              </w:rPr>
              <w:lastRenderedPageBreak/>
              <w:t>might appear during your research.</w:t>
            </w:r>
          </w:p>
        </w:tc>
        <w:tc>
          <w:tcPr>
            <w:tcW w:w="0" w:type="auto"/>
            <w:vAlign w:val="center"/>
            <w:hideMark/>
          </w:tcPr>
          <w:p w14:paraId="0194AA52"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lastRenderedPageBreak/>
              <w:t xml:space="preserve">Dynamic Capabilities Theory: This theory focuses on a firm's ability to integrate, build, and reconfigure internal and external </w:t>
            </w:r>
            <w:r w:rsidRPr="00E37503">
              <w:rPr>
                <w:rFonts w:asciiTheme="minorBidi" w:eastAsia="Times New Roman" w:hAnsiTheme="minorBidi"/>
                <w:kern w:val="0"/>
                <w:sz w:val="20"/>
                <w:szCs w:val="20"/>
                <w14:ligatures w14:val="none"/>
              </w:rPr>
              <w:lastRenderedPageBreak/>
              <w:t>competencies to address rapidly changing environments.</w:t>
            </w:r>
          </w:p>
        </w:tc>
        <w:tc>
          <w:tcPr>
            <w:tcW w:w="0" w:type="auto"/>
            <w:vAlign w:val="center"/>
            <w:hideMark/>
          </w:tcPr>
          <w:p w14:paraId="3F56BC0B" w14:textId="77777777" w:rsidR="00E37503" w:rsidRPr="00E37503" w:rsidRDefault="00E37503" w:rsidP="00E37503">
            <w:pPr>
              <w:spacing w:after="0" w:line="240" w:lineRule="auto"/>
              <w:rPr>
                <w:rFonts w:asciiTheme="minorBidi" w:eastAsia="Times New Roman" w:hAnsiTheme="minorBidi"/>
                <w:kern w:val="0"/>
                <w:sz w:val="20"/>
                <w:szCs w:val="20"/>
                <w14:ligatures w14:val="none"/>
              </w:rPr>
            </w:pPr>
            <w:r w:rsidRPr="00E37503">
              <w:rPr>
                <w:rFonts w:asciiTheme="minorBidi" w:eastAsia="Times New Roman" w:hAnsiTheme="minorBidi"/>
                <w:kern w:val="0"/>
                <w:sz w:val="20"/>
                <w:szCs w:val="20"/>
                <w14:ligatures w14:val="none"/>
              </w:rPr>
              <w:lastRenderedPageBreak/>
              <w:t>David Teece, "Dynamic Capabilities and Strategic Management" (1997)</w:t>
            </w:r>
          </w:p>
        </w:tc>
      </w:tr>
    </w:tbl>
    <w:p w14:paraId="215A65B3" w14:textId="77777777" w:rsidR="00551278" w:rsidRDefault="00551278" w:rsidP="003B2085">
      <w:pPr>
        <w:spacing w:before="100" w:beforeAutospacing="1" w:after="100" w:afterAutospacing="1" w:line="240" w:lineRule="auto"/>
        <w:outlineLvl w:val="2"/>
        <w:rPr>
          <w:rFonts w:asciiTheme="minorBidi" w:eastAsia="Times New Roman" w:hAnsiTheme="minorBidi"/>
          <w:b/>
          <w:bCs/>
          <w:kern w:val="0"/>
          <w14:ligatures w14:val="none"/>
        </w:rPr>
      </w:pPr>
    </w:p>
    <w:p w14:paraId="65DB59D0" w14:textId="2B20B8B3" w:rsidR="00E37503" w:rsidRDefault="006A026A" w:rsidP="003B2085">
      <w:pPr>
        <w:spacing w:before="100" w:beforeAutospacing="1" w:after="100" w:afterAutospacing="1" w:line="240" w:lineRule="auto"/>
        <w:outlineLvl w:val="2"/>
        <w:rPr>
          <w:rFonts w:asciiTheme="minorBidi" w:eastAsia="Times New Roman" w:hAnsiTheme="minorBidi"/>
          <w:b/>
          <w:bCs/>
          <w:kern w:val="0"/>
          <w14:ligatures w14:val="none"/>
        </w:rPr>
      </w:pPr>
      <w:r>
        <w:rPr>
          <w:rFonts w:asciiTheme="minorBidi" w:eastAsia="Times New Roman" w:hAnsiTheme="minorBidi"/>
          <w:b/>
          <w:bCs/>
          <w:kern w:val="0"/>
          <w14:ligatures w14:val="none"/>
        </w:rPr>
        <w:t>References</w:t>
      </w:r>
    </w:p>
    <w:p w14:paraId="55063A7F" w14:textId="77777777" w:rsidR="006A026A" w:rsidRPr="006A026A" w:rsidRDefault="006A026A" w:rsidP="006A026A">
      <w:pPr>
        <w:spacing w:after="0" w:line="240" w:lineRule="auto"/>
        <w:outlineLvl w:val="2"/>
        <w:rPr>
          <w:rFonts w:asciiTheme="minorBidi" w:eastAsia="Times New Roman" w:hAnsiTheme="minorBidi"/>
          <w:kern w:val="0"/>
          <w14:ligatures w14:val="none"/>
        </w:rPr>
      </w:pPr>
    </w:p>
    <w:p w14:paraId="6AFF0C40" w14:textId="4B03767B" w:rsidR="006A026A" w:rsidRPr="006A026A" w:rsidRDefault="006A026A" w:rsidP="006A026A">
      <w:pPr>
        <w:spacing w:after="0" w:line="240" w:lineRule="auto"/>
        <w:outlineLvl w:val="2"/>
        <w:rPr>
          <w:rFonts w:asciiTheme="minorBidi" w:eastAsia="Times New Roman" w:hAnsiTheme="minorBidi"/>
          <w:b/>
          <w:bCs/>
          <w:kern w:val="0"/>
          <w14:ligatures w14:val="none"/>
        </w:rPr>
      </w:pPr>
      <w:r w:rsidRPr="006A026A">
        <w:rPr>
          <w:rFonts w:asciiTheme="minorBidi" w:eastAsia="Times New Roman" w:hAnsiTheme="minorBidi"/>
          <w:kern w:val="0"/>
          <w14:ligatures w14:val="none"/>
        </w:rPr>
        <w:t xml:space="preserve"> </w:t>
      </w:r>
      <w:r w:rsidRPr="006A026A">
        <w:rPr>
          <w:rFonts w:asciiTheme="minorBidi" w:eastAsia="Times New Roman" w:hAnsiTheme="minorBidi"/>
          <w:b/>
          <w:bCs/>
          <w:kern w:val="0"/>
          <w14:ligatures w14:val="none"/>
        </w:rPr>
        <w:t>Coherence</w:t>
      </w:r>
    </w:p>
    <w:p w14:paraId="5585E597" w14:textId="52A2B0C0"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1. Resource-Based View (RBV):  </w:t>
      </w:r>
    </w:p>
    <w:p w14:paraId="0CC5B2E4" w14:textId="77D57F81"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   Barney, J. B. (1991). Firm resources and sustained competitive advantage. Journal of Management, 17(1), 99-120.</w:t>
      </w:r>
    </w:p>
    <w:p w14:paraId="115ADC72" w14:textId="56218613" w:rsidR="006A026A" w:rsidRPr="006A026A" w:rsidRDefault="006A026A" w:rsidP="006A026A">
      <w:pPr>
        <w:spacing w:after="0" w:line="240" w:lineRule="auto"/>
        <w:outlineLvl w:val="2"/>
        <w:rPr>
          <w:rFonts w:asciiTheme="minorBidi" w:eastAsia="Times New Roman" w:hAnsiTheme="minorBidi"/>
          <w:b/>
          <w:bCs/>
          <w:kern w:val="0"/>
          <w14:ligatures w14:val="none"/>
        </w:rPr>
      </w:pPr>
      <w:r w:rsidRPr="006A026A">
        <w:rPr>
          <w:rFonts w:asciiTheme="minorBidi" w:eastAsia="Times New Roman" w:hAnsiTheme="minorBidi"/>
          <w:kern w:val="0"/>
          <w14:ligatures w14:val="none"/>
        </w:rPr>
        <w:t xml:space="preserve"> </w:t>
      </w:r>
      <w:r w:rsidRPr="006A026A">
        <w:rPr>
          <w:rFonts w:asciiTheme="minorBidi" w:eastAsia="Times New Roman" w:hAnsiTheme="minorBidi"/>
          <w:b/>
          <w:bCs/>
          <w:kern w:val="0"/>
          <w14:ligatures w14:val="none"/>
        </w:rPr>
        <w:t>Explanatory Power</w:t>
      </w:r>
    </w:p>
    <w:p w14:paraId="65C7B7CF" w14:textId="4F3BAD55"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2. Stakeholder Theory:  </w:t>
      </w:r>
    </w:p>
    <w:p w14:paraId="39E37B75" w14:textId="165D2241"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   Freeman, R. E. (1984). Strategic Management: A Stakeholder Approach. Pitman.</w:t>
      </w:r>
    </w:p>
    <w:p w14:paraId="1EA20D70" w14:textId="28AC0B87" w:rsidR="006A026A" w:rsidRPr="006A026A" w:rsidRDefault="006A026A" w:rsidP="006A026A">
      <w:pPr>
        <w:spacing w:after="0" w:line="240" w:lineRule="auto"/>
        <w:outlineLvl w:val="2"/>
        <w:rPr>
          <w:rFonts w:asciiTheme="minorBidi" w:eastAsia="Times New Roman" w:hAnsiTheme="minorBidi"/>
          <w:b/>
          <w:bCs/>
          <w:kern w:val="0"/>
          <w14:ligatures w14:val="none"/>
        </w:rPr>
      </w:pPr>
      <w:r w:rsidRPr="006A026A">
        <w:rPr>
          <w:rFonts w:asciiTheme="minorBidi" w:eastAsia="Times New Roman" w:hAnsiTheme="minorBidi"/>
          <w:b/>
          <w:bCs/>
          <w:kern w:val="0"/>
          <w14:ligatures w14:val="none"/>
        </w:rPr>
        <w:t xml:space="preserve"> Precision</w:t>
      </w:r>
    </w:p>
    <w:p w14:paraId="49EA3889" w14:textId="536FD60F"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3. Competing Values Framework:  </w:t>
      </w:r>
    </w:p>
    <w:p w14:paraId="3987CF1D" w14:textId="6DDD039C"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   Quinn, R. E., &amp; Rohrbaugh, J. (1983). A spatial model of effectiveness criteria: Towards a competing values approach to organizational analysis. Management Science, 29(3), 363-377.</w:t>
      </w:r>
    </w:p>
    <w:p w14:paraId="43A20DF6" w14:textId="009A6FAF" w:rsidR="006A026A" w:rsidRPr="006A026A" w:rsidRDefault="006A026A" w:rsidP="006A026A">
      <w:pPr>
        <w:spacing w:after="0" w:line="240" w:lineRule="auto"/>
        <w:outlineLvl w:val="2"/>
        <w:rPr>
          <w:rFonts w:asciiTheme="minorBidi" w:eastAsia="Times New Roman" w:hAnsiTheme="minorBidi"/>
          <w:b/>
          <w:bCs/>
          <w:kern w:val="0"/>
          <w14:ligatures w14:val="none"/>
        </w:rPr>
      </w:pPr>
      <w:r w:rsidRPr="006A026A">
        <w:rPr>
          <w:rFonts w:asciiTheme="minorBidi" w:eastAsia="Times New Roman" w:hAnsiTheme="minorBidi"/>
          <w:kern w:val="0"/>
          <w14:ligatures w14:val="none"/>
        </w:rPr>
        <w:t xml:space="preserve"> </w:t>
      </w:r>
      <w:r w:rsidRPr="006A026A">
        <w:rPr>
          <w:rFonts w:asciiTheme="minorBidi" w:eastAsia="Times New Roman" w:hAnsiTheme="minorBidi"/>
          <w:b/>
          <w:bCs/>
          <w:kern w:val="0"/>
          <w14:ligatures w14:val="none"/>
        </w:rPr>
        <w:t>Appropriate Scope</w:t>
      </w:r>
    </w:p>
    <w:p w14:paraId="3AFE5CBA" w14:textId="6D42AD3C"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4. Self-Determination Theory:  </w:t>
      </w:r>
    </w:p>
    <w:p w14:paraId="06F88108" w14:textId="0684CA5F"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   Deci, E. L., &amp; Ryan, R. M. (2000). Self-determination theory and the facilitation of intrinsic motivation, social development, and well-being. American Psychologist, 55(1), 68-78.</w:t>
      </w:r>
    </w:p>
    <w:p w14:paraId="067ACE66" w14:textId="7F514BCF" w:rsidR="006A026A" w:rsidRPr="006A026A" w:rsidRDefault="006A026A" w:rsidP="006A026A">
      <w:pPr>
        <w:spacing w:after="0" w:line="240" w:lineRule="auto"/>
        <w:outlineLvl w:val="2"/>
        <w:rPr>
          <w:rFonts w:asciiTheme="minorBidi" w:eastAsia="Times New Roman" w:hAnsiTheme="minorBidi"/>
          <w:b/>
          <w:bCs/>
          <w:kern w:val="0"/>
          <w14:ligatures w14:val="none"/>
        </w:rPr>
      </w:pPr>
      <w:r w:rsidRPr="006A026A">
        <w:rPr>
          <w:rFonts w:asciiTheme="minorBidi" w:eastAsia="Times New Roman" w:hAnsiTheme="minorBidi"/>
          <w:kern w:val="0"/>
          <w14:ligatures w14:val="none"/>
        </w:rPr>
        <w:t xml:space="preserve"> </w:t>
      </w:r>
      <w:r w:rsidRPr="006A026A">
        <w:rPr>
          <w:rFonts w:asciiTheme="minorBidi" w:eastAsia="Times New Roman" w:hAnsiTheme="minorBidi"/>
          <w:b/>
          <w:bCs/>
          <w:kern w:val="0"/>
          <w14:ligatures w14:val="none"/>
        </w:rPr>
        <w:t>Relevance</w:t>
      </w:r>
    </w:p>
    <w:p w14:paraId="304CE544" w14:textId="50F27D8B"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5. Contingency Theory:  </w:t>
      </w:r>
    </w:p>
    <w:p w14:paraId="45D339FA" w14:textId="5273E9E1"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   Woodward, J. (1965). Industrial Organisation: Theory and Practice. Oxford University Press.</w:t>
      </w:r>
    </w:p>
    <w:p w14:paraId="53641398" w14:textId="5AC4BE8D" w:rsidR="006A026A" w:rsidRPr="006A026A" w:rsidRDefault="006A026A" w:rsidP="006A026A">
      <w:pPr>
        <w:spacing w:after="0" w:line="240" w:lineRule="auto"/>
        <w:outlineLvl w:val="2"/>
        <w:rPr>
          <w:rFonts w:asciiTheme="minorBidi" w:eastAsia="Times New Roman" w:hAnsiTheme="minorBidi"/>
          <w:b/>
          <w:bCs/>
          <w:kern w:val="0"/>
          <w14:ligatures w14:val="none"/>
        </w:rPr>
      </w:pPr>
      <w:r w:rsidRPr="006A026A">
        <w:rPr>
          <w:rFonts w:asciiTheme="minorBidi" w:eastAsia="Times New Roman" w:hAnsiTheme="minorBidi"/>
          <w:b/>
          <w:bCs/>
          <w:kern w:val="0"/>
          <w14:ligatures w14:val="none"/>
        </w:rPr>
        <w:t xml:space="preserve"> Adaptability</w:t>
      </w:r>
    </w:p>
    <w:p w14:paraId="41509E03" w14:textId="1DB3D66D"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6. Dynamic Capabilities Theory:  </w:t>
      </w:r>
    </w:p>
    <w:p w14:paraId="4CCAB33A" w14:textId="082B12A9" w:rsidR="006A026A" w:rsidRPr="006A026A" w:rsidRDefault="006A026A" w:rsidP="006A026A">
      <w:pPr>
        <w:spacing w:after="0" w:line="240" w:lineRule="auto"/>
        <w:outlineLvl w:val="2"/>
        <w:rPr>
          <w:rFonts w:asciiTheme="minorBidi" w:eastAsia="Times New Roman" w:hAnsiTheme="minorBidi"/>
          <w:kern w:val="0"/>
          <w14:ligatures w14:val="none"/>
        </w:rPr>
      </w:pPr>
      <w:r w:rsidRPr="006A026A">
        <w:rPr>
          <w:rFonts w:asciiTheme="minorBidi" w:eastAsia="Times New Roman" w:hAnsiTheme="minorBidi"/>
          <w:kern w:val="0"/>
          <w14:ligatures w14:val="none"/>
        </w:rPr>
        <w:t xml:space="preserve">   Teece, D. J. (1997). Dynamic capabilities and strategic management. Strategic Management Journal, 18(7), 509-533.</w:t>
      </w:r>
    </w:p>
    <w:p w14:paraId="54E242C6" w14:textId="77777777" w:rsidR="003B2085" w:rsidRPr="003B2085" w:rsidRDefault="003B2085" w:rsidP="003B2085">
      <w:pPr>
        <w:spacing w:before="100" w:beforeAutospacing="1" w:after="100" w:afterAutospacing="1" w:line="240" w:lineRule="auto"/>
        <w:outlineLvl w:val="1"/>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Types and Sources of Theory in Business and Management Research</w:t>
      </w:r>
    </w:p>
    <w:p w14:paraId="072879A1" w14:textId="77777777" w:rsidR="003B2085" w:rsidRPr="003B2085" w:rsidRDefault="003B2085" w:rsidP="003B2085">
      <w:pPr>
        <w:spacing w:before="100" w:beforeAutospacing="1" w:after="100" w:afterAutospacing="1" w:line="240" w:lineRule="auto"/>
        <w:outlineLvl w:val="2"/>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Typology of Theories in Business Research</w:t>
      </w:r>
    </w:p>
    <w:p w14:paraId="36CED04F" w14:textId="77777777" w:rsidR="003B2085" w:rsidRPr="003B2085" w:rsidRDefault="003B2085" w:rsidP="003B2085">
      <w:p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Building upon and extending Collins and Stockton's (2018) discussions, business and management researchers typically engage with several types of theories:</w:t>
      </w:r>
    </w:p>
    <w:p w14:paraId="635B3435" w14:textId="229DB0B9" w:rsidR="00A40D16" w:rsidRDefault="003B2085" w:rsidP="00A40D16">
      <w:pPr>
        <w:spacing w:before="100" w:beforeAutospacing="1" w:after="100" w:afterAutospacing="1" w:line="240" w:lineRule="auto"/>
        <w:outlineLvl w:val="2"/>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Disciplinary Sources of Theory in Business and Management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4"/>
        <w:gridCol w:w="1822"/>
        <w:gridCol w:w="2624"/>
        <w:gridCol w:w="2107"/>
        <w:gridCol w:w="2439"/>
      </w:tblGrid>
      <w:tr w:rsidR="00A40D16" w:rsidRPr="00A40D16" w14:paraId="62C4BA40" w14:textId="77777777" w:rsidTr="00A40D16">
        <w:trPr>
          <w:tblCellSpacing w:w="15" w:type="dxa"/>
        </w:trPr>
        <w:tc>
          <w:tcPr>
            <w:tcW w:w="0" w:type="auto"/>
            <w:vAlign w:val="center"/>
            <w:hideMark/>
          </w:tcPr>
          <w:p w14:paraId="2453F3C8" w14:textId="14BF65CE"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T</w:t>
            </w:r>
            <w:r w:rsidRPr="00A40D16">
              <w:rPr>
                <w:rFonts w:asciiTheme="minorBidi" w:eastAsia="Times New Roman" w:hAnsiTheme="minorBidi"/>
                <w:b/>
                <w:bCs/>
                <w:kern w:val="0"/>
                <w14:ligatures w14:val="none"/>
              </w:rPr>
              <w:t>ype of Theory</w:t>
            </w:r>
          </w:p>
        </w:tc>
        <w:tc>
          <w:tcPr>
            <w:tcW w:w="0" w:type="auto"/>
            <w:vAlign w:val="center"/>
            <w:hideMark/>
          </w:tcPr>
          <w:p w14:paraId="43BC166C"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Description</w:t>
            </w:r>
          </w:p>
        </w:tc>
        <w:tc>
          <w:tcPr>
            <w:tcW w:w="0" w:type="auto"/>
            <w:vAlign w:val="center"/>
            <w:hideMark/>
          </w:tcPr>
          <w:p w14:paraId="21B5141D"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Examples in Business Research</w:t>
            </w:r>
          </w:p>
        </w:tc>
        <w:tc>
          <w:tcPr>
            <w:tcW w:w="0" w:type="auto"/>
            <w:vAlign w:val="center"/>
            <w:hideMark/>
          </w:tcPr>
          <w:p w14:paraId="3AD15F12"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Typical Application in Doctoral Research</w:t>
            </w:r>
          </w:p>
        </w:tc>
        <w:tc>
          <w:tcPr>
            <w:tcW w:w="0" w:type="auto"/>
            <w:vAlign w:val="center"/>
            <w:hideMark/>
          </w:tcPr>
          <w:p w14:paraId="0D391AC5"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Main Authors</w:t>
            </w:r>
          </w:p>
        </w:tc>
      </w:tr>
      <w:tr w:rsidR="00A40D16" w:rsidRPr="00A40D16" w14:paraId="562C0BAC" w14:textId="77777777" w:rsidTr="00A40D16">
        <w:trPr>
          <w:tblCellSpacing w:w="15" w:type="dxa"/>
        </w:trPr>
        <w:tc>
          <w:tcPr>
            <w:tcW w:w="0" w:type="auto"/>
            <w:vAlign w:val="center"/>
            <w:hideMark/>
          </w:tcPr>
          <w:p w14:paraId="302A1C6B"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Grand Theories</w:t>
            </w:r>
          </w:p>
        </w:tc>
        <w:tc>
          <w:tcPr>
            <w:tcW w:w="0" w:type="auto"/>
            <w:vAlign w:val="center"/>
            <w:hideMark/>
          </w:tcPr>
          <w:p w14:paraId="5A90EF50"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 xml:space="preserve">Broad explanatory </w:t>
            </w:r>
            <w:r w:rsidRPr="00A40D16">
              <w:rPr>
                <w:rFonts w:asciiTheme="minorBidi" w:eastAsia="Times New Roman" w:hAnsiTheme="minorBidi"/>
                <w:kern w:val="0"/>
                <w14:ligatures w14:val="none"/>
              </w:rPr>
              <w:lastRenderedPageBreak/>
              <w:t>systems with wide application</w:t>
            </w:r>
          </w:p>
        </w:tc>
        <w:tc>
          <w:tcPr>
            <w:tcW w:w="0" w:type="auto"/>
            <w:vAlign w:val="center"/>
            <w:hideMark/>
          </w:tcPr>
          <w:p w14:paraId="0539C3FB"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lastRenderedPageBreak/>
              <w:t xml:space="preserve">Systems Theory: Views organisations as </w:t>
            </w:r>
            <w:r w:rsidRPr="00A40D16">
              <w:rPr>
                <w:rFonts w:asciiTheme="minorBidi" w:eastAsia="Times New Roman" w:hAnsiTheme="minorBidi"/>
                <w:kern w:val="0"/>
                <w14:ligatures w14:val="none"/>
              </w:rPr>
              <w:lastRenderedPageBreak/>
              <w:t>complex systems with interrelated parts.</w:t>
            </w:r>
          </w:p>
        </w:tc>
        <w:tc>
          <w:tcPr>
            <w:tcW w:w="0" w:type="auto"/>
            <w:vAlign w:val="center"/>
            <w:hideMark/>
          </w:tcPr>
          <w:p w14:paraId="14202796"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lastRenderedPageBreak/>
              <w:t xml:space="preserve">Provide macro-level framing for </w:t>
            </w:r>
            <w:r w:rsidRPr="00A40D16">
              <w:rPr>
                <w:rFonts w:asciiTheme="minorBidi" w:eastAsia="Times New Roman" w:hAnsiTheme="minorBidi"/>
                <w:kern w:val="0"/>
                <w14:ligatures w14:val="none"/>
              </w:rPr>
              <w:lastRenderedPageBreak/>
              <w:t>research questions</w:t>
            </w:r>
          </w:p>
        </w:tc>
        <w:tc>
          <w:tcPr>
            <w:tcW w:w="0" w:type="auto"/>
            <w:vAlign w:val="center"/>
            <w:hideMark/>
          </w:tcPr>
          <w:p w14:paraId="309B7032"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lastRenderedPageBreak/>
              <w:t xml:space="preserve">Ludwig von </w:t>
            </w:r>
            <w:proofErr w:type="spellStart"/>
            <w:r w:rsidRPr="00A40D16">
              <w:rPr>
                <w:rFonts w:asciiTheme="minorBidi" w:eastAsia="Times New Roman" w:hAnsiTheme="minorBidi"/>
                <w:kern w:val="0"/>
                <w14:ligatures w14:val="none"/>
              </w:rPr>
              <w:t>Bertalanffy</w:t>
            </w:r>
            <w:proofErr w:type="spellEnd"/>
            <w:r w:rsidRPr="00A40D16">
              <w:rPr>
                <w:rFonts w:asciiTheme="minorBidi" w:eastAsia="Times New Roman" w:hAnsiTheme="minorBidi"/>
                <w:kern w:val="0"/>
                <w14:ligatures w14:val="none"/>
              </w:rPr>
              <w:t xml:space="preserve">, "General </w:t>
            </w:r>
            <w:r w:rsidRPr="00A40D16">
              <w:rPr>
                <w:rFonts w:asciiTheme="minorBidi" w:eastAsia="Times New Roman" w:hAnsiTheme="minorBidi"/>
                <w:kern w:val="0"/>
                <w14:ligatures w14:val="none"/>
              </w:rPr>
              <w:lastRenderedPageBreak/>
              <w:t>System Theory" (1968)</w:t>
            </w:r>
          </w:p>
        </w:tc>
      </w:tr>
      <w:tr w:rsidR="00A40D16" w:rsidRPr="00A40D16" w14:paraId="66B70851" w14:textId="77777777" w:rsidTr="00A40D16">
        <w:trPr>
          <w:tblCellSpacing w:w="15" w:type="dxa"/>
        </w:trPr>
        <w:tc>
          <w:tcPr>
            <w:tcW w:w="0" w:type="auto"/>
            <w:vAlign w:val="center"/>
            <w:hideMark/>
          </w:tcPr>
          <w:p w14:paraId="72C8B9B2"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lastRenderedPageBreak/>
              <w:t>Mid-range Theories</w:t>
            </w:r>
          </w:p>
        </w:tc>
        <w:tc>
          <w:tcPr>
            <w:tcW w:w="0" w:type="auto"/>
            <w:vAlign w:val="center"/>
            <w:hideMark/>
          </w:tcPr>
          <w:p w14:paraId="1988D74E"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Focused explanations for specific phenomena</w:t>
            </w:r>
          </w:p>
        </w:tc>
        <w:tc>
          <w:tcPr>
            <w:tcW w:w="0" w:type="auto"/>
            <w:vAlign w:val="center"/>
            <w:hideMark/>
          </w:tcPr>
          <w:p w14:paraId="31B885B5"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Agency Theory: Examines the relationship between principals and agents in business settings.</w:t>
            </w:r>
          </w:p>
        </w:tc>
        <w:tc>
          <w:tcPr>
            <w:tcW w:w="0" w:type="auto"/>
            <w:vAlign w:val="center"/>
            <w:hideMark/>
          </w:tcPr>
          <w:p w14:paraId="0EEE3757"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Form primary theoretical frameworks for many theses</w:t>
            </w:r>
          </w:p>
        </w:tc>
        <w:tc>
          <w:tcPr>
            <w:tcW w:w="0" w:type="auto"/>
            <w:vAlign w:val="center"/>
            <w:hideMark/>
          </w:tcPr>
          <w:p w14:paraId="63CDBC20"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 xml:space="preserve">Michael Jensen &amp; William Meckling, "Theory of the Firm: Managerial </w:t>
            </w:r>
            <w:proofErr w:type="spellStart"/>
            <w:r w:rsidRPr="00A40D16">
              <w:rPr>
                <w:rFonts w:asciiTheme="minorBidi" w:eastAsia="Times New Roman" w:hAnsiTheme="minorBidi"/>
                <w:kern w:val="0"/>
                <w14:ligatures w14:val="none"/>
              </w:rPr>
              <w:t>Behavior</w:t>
            </w:r>
            <w:proofErr w:type="spellEnd"/>
            <w:r w:rsidRPr="00A40D16">
              <w:rPr>
                <w:rFonts w:asciiTheme="minorBidi" w:eastAsia="Times New Roman" w:hAnsiTheme="minorBidi"/>
                <w:kern w:val="0"/>
                <w14:ligatures w14:val="none"/>
              </w:rPr>
              <w:t>, Agency Costs and Ownership Structure" (1976)</w:t>
            </w:r>
          </w:p>
        </w:tc>
      </w:tr>
      <w:tr w:rsidR="00A40D16" w:rsidRPr="00A40D16" w14:paraId="426D3BFA" w14:textId="77777777" w:rsidTr="00A40D16">
        <w:trPr>
          <w:tblCellSpacing w:w="15" w:type="dxa"/>
        </w:trPr>
        <w:tc>
          <w:tcPr>
            <w:tcW w:w="0" w:type="auto"/>
            <w:vAlign w:val="center"/>
            <w:hideMark/>
          </w:tcPr>
          <w:p w14:paraId="16C6EC76"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Micro Theories</w:t>
            </w:r>
          </w:p>
        </w:tc>
        <w:tc>
          <w:tcPr>
            <w:tcW w:w="0" w:type="auto"/>
            <w:vAlign w:val="center"/>
            <w:hideMark/>
          </w:tcPr>
          <w:p w14:paraId="686A26F5"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Narrow explanations for specific contexts</w:t>
            </w:r>
          </w:p>
        </w:tc>
        <w:tc>
          <w:tcPr>
            <w:tcW w:w="0" w:type="auto"/>
            <w:vAlign w:val="center"/>
            <w:hideMark/>
          </w:tcPr>
          <w:p w14:paraId="4B6578C5"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Innovation Diffusion Theory: Explains how new ideas and technologies spread within a social system.</w:t>
            </w:r>
          </w:p>
        </w:tc>
        <w:tc>
          <w:tcPr>
            <w:tcW w:w="0" w:type="auto"/>
            <w:vAlign w:val="center"/>
            <w:hideMark/>
          </w:tcPr>
          <w:p w14:paraId="0ED6E966"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Address particular aspects of business problems</w:t>
            </w:r>
          </w:p>
        </w:tc>
        <w:tc>
          <w:tcPr>
            <w:tcW w:w="0" w:type="auto"/>
            <w:vAlign w:val="center"/>
            <w:hideMark/>
          </w:tcPr>
          <w:p w14:paraId="65C49AA3"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Everett Rogers, "Diffusion of Innovations" (1962)</w:t>
            </w:r>
          </w:p>
        </w:tc>
      </w:tr>
      <w:tr w:rsidR="00A40D16" w:rsidRPr="00A40D16" w14:paraId="734840A2" w14:textId="77777777" w:rsidTr="00A40D16">
        <w:trPr>
          <w:tblCellSpacing w:w="15" w:type="dxa"/>
        </w:trPr>
        <w:tc>
          <w:tcPr>
            <w:tcW w:w="0" w:type="auto"/>
            <w:vAlign w:val="center"/>
            <w:hideMark/>
          </w:tcPr>
          <w:p w14:paraId="73A2BAB6"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Process Theories</w:t>
            </w:r>
          </w:p>
        </w:tc>
        <w:tc>
          <w:tcPr>
            <w:tcW w:w="0" w:type="auto"/>
            <w:vAlign w:val="center"/>
            <w:hideMark/>
          </w:tcPr>
          <w:p w14:paraId="44E1D09A"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Explain how phenomena evolve over time</w:t>
            </w:r>
          </w:p>
        </w:tc>
        <w:tc>
          <w:tcPr>
            <w:tcW w:w="0" w:type="auto"/>
            <w:vAlign w:val="center"/>
            <w:hideMark/>
          </w:tcPr>
          <w:p w14:paraId="260C80C9"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Lewin's Change Management Model: Describes the process of organisational change through unfreezing, changing, and refreezing.</w:t>
            </w:r>
          </w:p>
        </w:tc>
        <w:tc>
          <w:tcPr>
            <w:tcW w:w="0" w:type="auto"/>
            <w:vAlign w:val="center"/>
            <w:hideMark/>
          </w:tcPr>
          <w:p w14:paraId="48B55485"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Support longitudinal studies of business evolution</w:t>
            </w:r>
          </w:p>
        </w:tc>
        <w:tc>
          <w:tcPr>
            <w:tcW w:w="0" w:type="auto"/>
            <w:vAlign w:val="center"/>
            <w:hideMark/>
          </w:tcPr>
          <w:p w14:paraId="6F784050"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Kurt Lewin, "Frontiers in Group Dynamics" (1947)</w:t>
            </w:r>
          </w:p>
        </w:tc>
      </w:tr>
      <w:tr w:rsidR="00A40D16" w:rsidRPr="00A40D16" w14:paraId="4D42E235" w14:textId="77777777" w:rsidTr="00A40D16">
        <w:trPr>
          <w:tblCellSpacing w:w="15" w:type="dxa"/>
        </w:trPr>
        <w:tc>
          <w:tcPr>
            <w:tcW w:w="0" w:type="auto"/>
            <w:vAlign w:val="center"/>
            <w:hideMark/>
          </w:tcPr>
          <w:p w14:paraId="35E4858E"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Variance Theories</w:t>
            </w:r>
          </w:p>
        </w:tc>
        <w:tc>
          <w:tcPr>
            <w:tcW w:w="0" w:type="auto"/>
            <w:vAlign w:val="center"/>
            <w:hideMark/>
          </w:tcPr>
          <w:p w14:paraId="1AE4786C"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Explain relationships between variables</w:t>
            </w:r>
          </w:p>
        </w:tc>
        <w:tc>
          <w:tcPr>
            <w:tcW w:w="0" w:type="auto"/>
            <w:vAlign w:val="center"/>
            <w:hideMark/>
          </w:tcPr>
          <w:p w14:paraId="49EC86EC"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Technology Acceptance Model (TAM): Explains user acceptance of technology based on perceived ease of use and usefulness.</w:t>
            </w:r>
          </w:p>
        </w:tc>
        <w:tc>
          <w:tcPr>
            <w:tcW w:w="0" w:type="auto"/>
            <w:vAlign w:val="center"/>
            <w:hideMark/>
          </w:tcPr>
          <w:p w14:paraId="1200F4B6"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Support hypothesis-testing research designs</w:t>
            </w:r>
          </w:p>
        </w:tc>
        <w:tc>
          <w:tcPr>
            <w:tcW w:w="0" w:type="auto"/>
            <w:vAlign w:val="center"/>
            <w:hideMark/>
          </w:tcPr>
          <w:p w14:paraId="49B8AFF3"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Fred Davis, "Perceived Usefulness, Perceived Ease of Use, and User Acceptance of Information Technology" (1989)</w:t>
            </w:r>
          </w:p>
        </w:tc>
      </w:tr>
      <w:tr w:rsidR="00A40D16" w:rsidRPr="00A40D16" w14:paraId="58B78109" w14:textId="77777777" w:rsidTr="00A40D16">
        <w:trPr>
          <w:tblCellSpacing w:w="15" w:type="dxa"/>
        </w:trPr>
        <w:tc>
          <w:tcPr>
            <w:tcW w:w="0" w:type="auto"/>
            <w:vAlign w:val="center"/>
            <w:hideMark/>
          </w:tcPr>
          <w:p w14:paraId="19ECD86F"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Indigenous Theories</w:t>
            </w:r>
          </w:p>
        </w:tc>
        <w:tc>
          <w:tcPr>
            <w:tcW w:w="0" w:type="auto"/>
            <w:vAlign w:val="center"/>
            <w:hideMark/>
          </w:tcPr>
          <w:p w14:paraId="2E37D140"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Developed from specific cultural contexts</w:t>
            </w:r>
          </w:p>
        </w:tc>
        <w:tc>
          <w:tcPr>
            <w:tcW w:w="0" w:type="auto"/>
            <w:vAlign w:val="center"/>
            <w:hideMark/>
          </w:tcPr>
          <w:p w14:paraId="2E633D32"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Guanxi: Describes Chinese business relationships based on trust, networks, and reciprocity.</w:t>
            </w:r>
          </w:p>
        </w:tc>
        <w:tc>
          <w:tcPr>
            <w:tcW w:w="0" w:type="auto"/>
            <w:vAlign w:val="center"/>
            <w:hideMark/>
          </w:tcPr>
          <w:p w14:paraId="302F82CD"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Allow for contextualised understanding of regional business dynamics</w:t>
            </w:r>
          </w:p>
        </w:tc>
        <w:tc>
          <w:tcPr>
            <w:tcW w:w="0" w:type="auto"/>
            <w:vAlign w:val="center"/>
            <w:hideMark/>
          </w:tcPr>
          <w:p w14:paraId="29B9D1EF"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Yadong Luo, "Guanxi and Business" (2000)</w:t>
            </w:r>
          </w:p>
        </w:tc>
      </w:tr>
      <w:tr w:rsidR="00A40D16" w:rsidRPr="00A40D16" w14:paraId="6E5F1CFB" w14:textId="77777777" w:rsidTr="00A40D16">
        <w:trPr>
          <w:tblCellSpacing w:w="15" w:type="dxa"/>
        </w:trPr>
        <w:tc>
          <w:tcPr>
            <w:tcW w:w="0" w:type="auto"/>
            <w:vAlign w:val="center"/>
            <w:hideMark/>
          </w:tcPr>
          <w:p w14:paraId="12DE0D7D" w14:textId="77777777" w:rsidR="00A40D16" w:rsidRPr="00A40D16" w:rsidRDefault="00A40D16" w:rsidP="00A40D16">
            <w:pPr>
              <w:spacing w:after="0" w:line="240" w:lineRule="auto"/>
              <w:rPr>
                <w:rFonts w:asciiTheme="minorBidi" w:eastAsia="Times New Roman" w:hAnsiTheme="minorBidi"/>
                <w:b/>
                <w:bCs/>
                <w:kern w:val="0"/>
                <w14:ligatures w14:val="none"/>
              </w:rPr>
            </w:pPr>
            <w:r w:rsidRPr="00A40D16">
              <w:rPr>
                <w:rFonts w:asciiTheme="minorBidi" w:eastAsia="Times New Roman" w:hAnsiTheme="minorBidi"/>
                <w:b/>
                <w:bCs/>
                <w:kern w:val="0"/>
                <w14:ligatures w14:val="none"/>
              </w:rPr>
              <w:t>Critical Theories</w:t>
            </w:r>
          </w:p>
        </w:tc>
        <w:tc>
          <w:tcPr>
            <w:tcW w:w="0" w:type="auto"/>
            <w:vAlign w:val="center"/>
            <w:hideMark/>
          </w:tcPr>
          <w:p w14:paraId="6BB8385E"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Focus on power relationships and emancipation</w:t>
            </w:r>
          </w:p>
        </w:tc>
        <w:tc>
          <w:tcPr>
            <w:tcW w:w="0" w:type="auto"/>
            <w:vAlign w:val="center"/>
            <w:hideMark/>
          </w:tcPr>
          <w:p w14:paraId="155764B0"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Labour Process Theory: Analyses power dynamics and control in the workplace.</w:t>
            </w:r>
          </w:p>
        </w:tc>
        <w:tc>
          <w:tcPr>
            <w:tcW w:w="0" w:type="auto"/>
            <w:vAlign w:val="center"/>
            <w:hideMark/>
          </w:tcPr>
          <w:p w14:paraId="54BE7533"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Support critical examination of business structures</w:t>
            </w:r>
          </w:p>
        </w:tc>
        <w:tc>
          <w:tcPr>
            <w:tcW w:w="0" w:type="auto"/>
            <w:vAlign w:val="center"/>
            <w:hideMark/>
          </w:tcPr>
          <w:p w14:paraId="29A30763" w14:textId="77777777" w:rsidR="00A40D16" w:rsidRPr="00A40D16" w:rsidRDefault="00A40D16" w:rsidP="00A40D16">
            <w:pPr>
              <w:spacing w:after="0" w:line="240" w:lineRule="auto"/>
              <w:rPr>
                <w:rFonts w:asciiTheme="minorBidi" w:eastAsia="Times New Roman" w:hAnsiTheme="minorBidi"/>
                <w:kern w:val="0"/>
                <w14:ligatures w14:val="none"/>
              </w:rPr>
            </w:pPr>
            <w:r w:rsidRPr="00A40D16">
              <w:rPr>
                <w:rFonts w:asciiTheme="minorBidi" w:eastAsia="Times New Roman" w:hAnsiTheme="minorBidi"/>
                <w:kern w:val="0"/>
                <w14:ligatures w14:val="none"/>
              </w:rPr>
              <w:t>Harry Braverman, "Labor and Monopoly Capital" (1974)</w:t>
            </w:r>
          </w:p>
        </w:tc>
      </w:tr>
    </w:tbl>
    <w:p w14:paraId="2FA5E24F" w14:textId="57B6820B" w:rsidR="00D6508C" w:rsidRPr="00D6508C" w:rsidRDefault="00E5695C" w:rsidP="00D6508C">
      <w:pPr>
        <w:spacing w:before="100" w:beforeAutospacing="1" w:after="100" w:afterAutospacing="1" w:line="240" w:lineRule="auto"/>
        <w:outlineLvl w:val="2"/>
        <w:rPr>
          <w:rFonts w:asciiTheme="minorBidi" w:eastAsia="Times New Roman" w:hAnsiTheme="minorBidi"/>
          <w:b/>
          <w:bCs/>
          <w:kern w:val="0"/>
          <w14:ligatures w14:val="none"/>
        </w:rPr>
      </w:pPr>
      <w:r>
        <w:rPr>
          <w:rFonts w:asciiTheme="minorBidi" w:eastAsia="Times New Roman" w:hAnsiTheme="minorBidi"/>
          <w:b/>
          <w:bCs/>
          <w:kern w:val="0"/>
          <w14:ligatures w14:val="none"/>
        </w:rPr>
        <w:t>References</w:t>
      </w:r>
    </w:p>
    <w:p w14:paraId="09E7B903" w14:textId="68D87817" w:rsidR="00D6508C" w:rsidRPr="00D6508C" w:rsidRDefault="00D6508C" w:rsidP="00D6508C">
      <w:pPr>
        <w:spacing w:after="0" w:line="240" w:lineRule="auto"/>
        <w:outlineLvl w:val="2"/>
        <w:rPr>
          <w:rFonts w:asciiTheme="minorBidi" w:eastAsia="Times New Roman" w:hAnsiTheme="minorBidi"/>
          <w:b/>
          <w:bCs/>
          <w:kern w:val="0"/>
          <w14:ligatures w14:val="none"/>
        </w:rPr>
      </w:pPr>
      <w:r w:rsidRPr="00D6508C">
        <w:rPr>
          <w:rFonts w:asciiTheme="minorBidi" w:eastAsia="Times New Roman" w:hAnsiTheme="minorBidi"/>
          <w:kern w:val="0"/>
          <w14:ligatures w14:val="none"/>
        </w:rPr>
        <w:t xml:space="preserve"> </w:t>
      </w:r>
      <w:r w:rsidRPr="00D6508C">
        <w:rPr>
          <w:rFonts w:asciiTheme="minorBidi" w:eastAsia="Times New Roman" w:hAnsiTheme="minorBidi"/>
          <w:b/>
          <w:bCs/>
          <w:kern w:val="0"/>
          <w14:ligatures w14:val="none"/>
        </w:rPr>
        <w:t>Grand Theories</w:t>
      </w:r>
    </w:p>
    <w:p w14:paraId="19B14B92" w14:textId="69BA5752"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1. Systems Theory:  </w:t>
      </w:r>
    </w:p>
    <w:p w14:paraId="41ACE6F5" w14:textId="31E18009"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   von </w:t>
      </w:r>
      <w:proofErr w:type="spellStart"/>
      <w:r w:rsidRPr="00D6508C">
        <w:rPr>
          <w:rFonts w:asciiTheme="minorBidi" w:eastAsia="Times New Roman" w:hAnsiTheme="minorBidi"/>
          <w:kern w:val="0"/>
          <w14:ligatures w14:val="none"/>
        </w:rPr>
        <w:t>Bertalanffy</w:t>
      </w:r>
      <w:proofErr w:type="spellEnd"/>
      <w:r w:rsidRPr="00D6508C">
        <w:rPr>
          <w:rFonts w:asciiTheme="minorBidi" w:eastAsia="Times New Roman" w:hAnsiTheme="minorBidi"/>
          <w:kern w:val="0"/>
          <w14:ligatures w14:val="none"/>
        </w:rPr>
        <w:t xml:space="preserve">, L. (1968). General System Theory: Foundations, Development, Applications. George </w:t>
      </w:r>
      <w:proofErr w:type="spellStart"/>
      <w:r w:rsidRPr="00D6508C">
        <w:rPr>
          <w:rFonts w:asciiTheme="minorBidi" w:eastAsia="Times New Roman" w:hAnsiTheme="minorBidi"/>
          <w:kern w:val="0"/>
          <w14:ligatures w14:val="none"/>
        </w:rPr>
        <w:t>Braziller</w:t>
      </w:r>
      <w:proofErr w:type="spellEnd"/>
      <w:r w:rsidRPr="00D6508C">
        <w:rPr>
          <w:rFonts w:asciiTheme="minorBidi" w:eastAsia="Times New Roman" w:hAnsiTheme="minorBidi"/>
          <w:kern w:val="0"/>
          <w14:ligatures w14:val="none"/>
        </w:rPr>
        <w:t>.</w:t>
      </w:r>
    </w:p>
    <w:p w14:paraId="417259DC" w14:textId="77777777" w:rsidR="00D6508C" w:rsidRPr="00D6508C" w:rsidRDefault="00D6508C" w:rsidP="00D6508C">
      <w:pPr>
        <w:spacing w:after="0" w:line="240" w:lineRule="auto"/>
        <w:outlineLvl w:val="2"/>
        <w:rPr>
          <w:rFonts w:asciiTheme="minorBidi" w:eastAsia="Times New Roman" w:hAnsiTheme="minorBidi"/>
          <w:kern w:val="0"/>
          <w14:ligatures w14:val="none"/>
        </w:rPr>
      </w:pPr>
    </w:p>
    <w:p w14:paraId="5AEE34C5" w14:textId="2C7A1974" w:rsidR="00D6508C" w:rsidRPr="00D6508C" w:rsidRDefault="00D6508C" w:rsidP="00D6508C">
      <w:pPr>
        <w:spacing w:after="0" w:line="240" w:lineRule="auto"/>
        <w:outlineLvl w:val="2"/>
        <w:rPr>
          <w:rFonts w:asciiTheme="minorBidi" w:eastAsia="Times New Roman" w:hAnsiTheme="minorBidi"/>
          <w:b/>
          <w:bCs/>
          <w:kern w:val="0"/>
          <w14:ligatures w14:val="none"/>
        </w:rPr>
      </w:pPr>
      <w:r w:rsidRPr="00D6508C">
        <w:rPr>
          <w:rFonts w:asciiTheme="minorBidi" w:eastAsia="Times New Roman" w:hAnsiTheme="minorBidi"/>
          <w:kern w:val="0"/>
          <w14:ligatures w14:val="none"/>
        </w:rPr>
        <w:t xml:space="preserve"> </w:t>
      </w:r>
      <w:r w:rsidRPr="00D6508C">
        <w:rPr>
          <w:rFonts w:asciiTheme="minorBidi" w:eastAsia="Times New Roman" w:hAnsiTheme="minorBidi"/>
          <w:b/>
          <w:bCs/>
          <w:kern w:val="0"/>
          <w14:ligatures w14:val="none"/>
        </w:rPr>
        <w:t>Mid-range Theories</w:t>
      </w:r>
    </w:p>
    <w:p w14:paraId="7F6B6053" w14:textId="20DAA79F"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2. Agency Theory:  </w:t>
      </w:r>
    </w:p>
    <w:p w14:paraId="555B4C88" w14:textId="35689F51"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lastRenderedPageBreak/>
        <w:t xml:space="preserve">   Jensen, M. C., &amp; Meckling, W. H. (1976). Theory of the firm: Managerial </w:t>
      </w:r>
      <w:proofErr w:type="spellStart"/>
      <w:r w:rsidRPr="00D6508C">
        <w:rPr>
          <w:rFonts w:asciiTheme="minorBidi" w:eastAsia="Times New Roman" w:hAnsiTheme="minorBidi"/>
          <w:kern w:val="0"/>
          <w14:ligatures w14:val="none"/>
        </w:rPr>
        <w:t>behavior</w:t>
      </w:r>
      <w:proofErr w:type="spellEnd"/>
      <w:r w:rsidRPr="00D6508C">
        <w:rPr>
          <w:rFonts w:asciiTheme="minorBidi" w:eastAsia="Times New Roman" w:hAnsiTheme="minorBidi"/>
          <w:kern w:val="0"/>
          <w14:ligatures w14:val="none"/>
        </w:rPr>
        <w:t>, agency costs, and ownership structure. Journal of Financial Economics, 3(4), 305-360.</w:t>
      </w:r>
    </w:p>
    <w:p w14:paraId="2E89EB0A" w14:textId="77777777" w:rsidR="00D6508C" w:rsidRPr="00D6508C" w:rsidRDefault="00D6508C" w:rsidP="00D6508C">
      <w:pPr>
        <w:spacing w:after="0" w:line="240" w:lineRule="auto"/>
        <w:outlineLvl w:val="2"/>
        <w:rPr>
          <w:rFonts w:asciiTheme="minorBidi" w:eastAsia="Times New Roman" w:hAnsiTheme="minorBidi"/>
          <w:kern w:val="0"/>
          <w14:ligatures w14:val="none"/>
        </w:rPr>
      </w:pPr>
    </w:p>
    <w:p w14:paraId="7C0A9E2B" w14:textId="022FEF96" w:rsidR="00D6508C" w:rsidRPr="00D6508C" w:rsidRDefault="00D6508C" w:rsidP="00D6508C">
      <w:pPr>
        <w:spacing w:after="0" w:line="240" w:lineRule="auto"/>
        <w:outlineLvl w:val="2"/>
        <w:rPr>
          <w:rFonts w:asciiTheme="minorBidi" w:eastAsia="Times New Roman" w:hAnsiTheme="minorBidi"/>
          <w:b/>
          <w:bCs/>
          <w:kern w:val="0"/>
          <w14:ligatures w14:val="none"/>
        </w:rPr>
      </w:pPr>
      <w:r w:rsidRPr="00D6508C">
        <w:rPr>
          <w:rFonts w:asciiTheme="minorBidi" w:eastAsia="Times New Roman" w:hAnsiTheme="minorBidi"/>
          <w:b/>
          <w:bCs/>
          <w:kern w:val="0"/>
          <w14:ligatures w14:val="none"/>
        </w:rPr>
        <w:t xml:space="preserve"> Micro Theories</w:t>
      </w:r>
    </w:p>
    <w:p w14:paraId="3E62D906" w14:textId="4F7493E6"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3. Innovation Diffusion Theory:  </w:t>
      </w:r>
    </w:p>
    <w:p w14:paraId="712C8954" w14:textId="241B4CF0"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   Rogers, E. M. (1962). Diffusion of Innovations. Free Press.</w:t>
      </w:r>
    </w:p>
    <w:p w14:paraId="6D1BECCE" w14:textId="77777777" w:rsidR="00D6508C" w:rsidRPr="00D6508C" w:rsidRDefault="00D6508C" w:rsidP="00D6508C">
      <w:pPr>
        <w:spacing w:after="0" w:line="240" w:lineRule="auto"/>
        <w:outlineLvl w:val="2"/>
        <w:rPr>
          <w:rFonts w:asciiTheme="minorBidi" w:eastAsia="Times New Roman" w:hAnsiTheme="minorBidi"/>
          <w:kern w:val="0"/>
          <w14:ligatures w14:val="none"/>
        </w:rPr>
      </w:pPr>
    </w:p>
    <w:p w14:paraId="635890FF" w14:textId="517A58EC" w:rsidR="00D6508C" w:rsidRPr="00D6508C" w:rsidRDefault="00D6508C" w:rsidP="00D6508C">
      <w:pPr>
        <w:spacing w:after="0" w:line="240" w:lineRule="auto"/>
        <w:outlineLvl w:val="2"/>
        <w:rPr>
          <w:rFonts w:asciiTheme="minorBidi" w:eastAsia="Times New Roman" w:hAnsiTheme="minorBidi"/>
          <w:b/>
          <w:bCs/>
          <w:kern w:val="0"/>
          <w14:ligatures w14:val="none"/>
        </w:rPr>
      </w:pPr>
      <w:r w:rsidRPr="00D6508C">
        <w:rPr>
          <w:rFonts w:asciiTheme="minorBidi" w:eastAsia="Times New Roman" w:hAnsiTheme="minorBidi"/>
          <w:kern w:val="0"/>
          <w14:ligatures w14:val="none"/>
        </w:rPr>
        <w:t xml:space="preserve"> </w:t>
      </w:r>
      <w:r w:rsidRPr="00D6508C">
        <w:rPr>
          <w:rFonts w:asciiTheme="minorBidi" w:eastAsia="Times New Roman" w:hAnsiTheme="minorBidi"/>
          <w:b/>
          <w:bCs/>
          <w:kern w:val="0"/>
          <w14:ligatures w14:val="none"/>
        </w:rPr>
        <w:t>Process Theories</w:t>
      </w:r>
    </w:p>
    <w:p w14:paraId="57BF71B5" w14:textId="31E21C42"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4. Lewin's Change Management Model:  </w:t>
      </w:r>
    </w:p>
    <w:p w14:paraId="667A1C3F" w14:textId="4B75195A"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   Lewin, K. (1947). Frontiers in group dynamics: Concept, method, and reality in social science; social equilibria and social change. Human Relations, 1(1), 5-41.</w:t>
      </w:r>
    </w:p>
    <w:p w14:paraId="7424A751" w14:textId="77777777" w:rsidR="00D6508C" w:rsidRPr="00D6508C" w:rsidRDefault="00D6508C" w:rsidP="00D6508C">
      <w:pPr>
        <w:spacing w:after="0" w:line="240" w:lineRule="auto"/>
        <w:outlineLvl w:val="2"/>
        <w:rPr>
          <w:rFonts w:asciiTheme="minorBidi" w:eastAsia="Times New Roman" w:hAnsiTheme="minorBidi"/>
          <w:kern w:val="0"/>
          <w14:ligatures w14:val="none"/>
        </w:rPr>
      </w:pPr>
    </w:p>
    <w:p w14:paraId="3D33BA2C" w14:textId="3D195FC4" w:rsidR="00D6508C" w:rsidRPr="00D6508C" w:rsidRDefault="00D6508C" w:rsidP="00D6508C">
      <w:pPr>
        <w:spacing w:after="0" w:line="240" w:lineRule="auto"/>
        <w:outlineLvl w:val="2"/>
        <w:rPr>
          <w:rFonts w:asciiTheme="minorBidi" w:eastAsia="Times New Roman" w:hAnsiTheme="minorBidi"/>
          <w:b/>
          <w:bCs/>
          <w:kern w:val="0"/>
          <w14:ligatures w14:val="none"/>
        </w:rPr>
      </w:pPr>
      <w:r w:rsidRPr="00D6508C">
        <w:rPr>
          <w:rFonts w:asciiTheme="minorBidi" w:eastAsia="Times New Roman" w:hAnsiTheme="minorBidi"/>
          <w:b/>
          <w:bCs/>
          <w:kern w:val="0"/>
          <w14:ligatures w14:val="none"/>
        </w:rPr>
        <w:t xml:space="preserve"> Variance Theories</w:t>
      </w:r>
    </w:p>
    <w:p w14:paraId="047A0B9F" w14:textId="5E49787F"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5. Technology Acceptance Model (TAM):  </w:t>
      </w:r>
    </w:p>
    <w:p w14:paraId="591C79E0" w14:textId="7F8B10F2"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   Davis, F. D. (1989). Perceived usefulness, perceived ease of use, and user acceptance of information technology. MIS Quarterly, 13(3), 319-340.</w:t>
      </w:r>
    </w:p>
    <w:p w14:paraId="3CB2D156" w14:textId="77777777" w:rsidR="00D6508C" w:rsidRPr="00D6508C" w:rsidRDefault="00D6508C" w:rsidP="00D6508C">
      <w:pPr>
        <w:spacing w:after="0" w:line="240" w:lineRule="auto"/>
        <w:outlineLvl w:val="2"/>
        <w:rPr>
          <w:rFonts w:asciiTheme="minorBidi" w:eastAsia="Times New Roman" w:hAnsiTheme="minorBidi"/>
          <w:kern w:val="0"/>
          <w14:ligatures w14:val="none"/>
        </w:rPr>
      </w:pPr>
    </w:p>
    <w:p w14:paraId="3315A19E" w14:textId="7FB8A727" w:rsidR="00D6508C" w:rsidRPr="00D6508C" w:rsidRDefault="00D6508C" w:rsidP="00D6508C">
      <w:pPr>
        <w:spacing w:after="0" w:line="240" w:lineRule="auto"/>
        <w:outlineLvl w:val="2"/>
        <w:rPr>
          <w:rFonts w:asciiTheme="minorBidi" w:eastAsia="Times New Roman" w:hAnsiTheme="minorBidi"/>
          <w:b/>
          <w:bCs/>
          <w:kern w:val="0"/>
          <w14:ligatures w14:val="none"/>
        </w:rPr>
      </w:pPr>
      <w:r w:rsidRPr="00D6508C">
        <w:rPr>
          <w:rFonts w:asciiTheme="minorBidi" w:eastAsia="Times New Roman" w:hAnsiTheme="minorBidi"/>
          <w:kern w:val="0"/>
          <w14:ligatures w14:val="none"/>
        </w:rPr>
        <w:t xml:space="preserve"> </w:t>
      </w:r>
      <w:r w:rsidRPr="00D6508C">
        <w:rPr>
          <w:rFonts w:asciiTheme="minorBidi" w:eastAsia="Times New Roman" w:hAnsiTheme="minorBidi"/>
          <w:b/>
          <w:bCs/>
          <w:kern w:val="0"/>
          <w14:ligatures w14:val="none"/>
        </w:rPr>
        <w:t>Indigenous Theories</w:t>
      </w:r>
    </w:p>
    <w:p w14:paraId="5FE5E7EA" w14:textId="6B964E51"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6. Guanxi:  </w:t>
      </w:r>
    </w:p>
    <w:p w14:paraId="11FEDAB8" w14:textId="502911C9"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   Luo, Y. (2000). Guanxi and Business. World Scientific.</w:t>
      </w:r>
    </w:p>
    <w:p w14:paraId="0B744E2C" w14:textId="3F07ECDB" w:rsidR="00D6508C" w:rsidRPr="00D6508C" w:rsidRDefault="00D6508C" w:rsidP="00D6508C">
      <w:pPr>
        <w:spacing w:after="0" w:line="240" w:lineRule="auto"/>
        <w:outlineLvl w:val="2"/>
        <w:rPr>
          <w:rFonts w:asciiTheme="minorBidi" w:eastAsia="Times New Roman" w:hAnsiTheme="minorBidi"/>
          <w:kern w:val="0"/>
          <w14:ligatures w14:val="none"/>
        </w:rPr>
      </w:pPr>
    </w:p>
    <w:p w14:paraId="07E7A296" w14:textId="02FDB962" w:rsidR="00D6508C" w:rsidRPr="00D6508C" w:rsidRDefault="00D6508C" w:rsidP="00D6508C">
      <w:pPr>
        <w:spacing w:after="0" w:line="240" w:lineRule="auto"/>
        <w:outlineLvl w:val="2"/>
        <w:rPr>
          <w:rFonts w:asciiTheme="minorBidi" w:eastAsia="Times New Roman" w:hAnsiTheme="minorBidi"/>
          <w:b/>
          <w:bCs/>
          <w:kern w:val="0"/>
          <w14:ligatures w14:val="none"/>
        </w:rPr>
      </w:pPr>
      <w:r w:rsidRPr="00D6508C">
        <w:rPr>
          <w:rFonts w:asciiTheme="minorBidi" w:eastAsia="Times New Roman" w:hAnsiTheme="minorBidi"/>
          <w:kern w:val="0"/>
          <w14:ligatures w14:val="none"/>
        </w:rPr>
        <w:t xml:space="preserve"> </w:t>
      </w:r>
      <w:r w:rsidRPr="00D6508C">
        <w:rPr>
          <w:rFonts w:asciiTheme="minorBidi" w:eastAsia="Times New Roman" w:hAnsiTheme="minorBidi"/>
          <w:b/>
          <w:bCs/>
          <w:kern w:val="0"/>
          <w14:ligatures w14:val="none"/>
        </w:rPr>
        <w:t>Critical Theories</w:t>
      </w:r>
    </w:p>
    <w:p w14:paraId="5C551B99" w14:textId="3817FF54"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7. Labour Process Theory:  </w:t>
      </w:r>
    </w:p>
    <w:p w14:paraId="4810A4E2" w14:textId="3EAA895E" w:rsidR="00D6508C" w:rsidRPr="00D6508C" w:rsidRDefault="00D6508C" w:rsidP="00D6508C">
      <w:pPr>
        <w:spacing w:after="0" w:line="240" w:lineRule="auto"/>
        <w:outlineLvl w:val="2"/>
        <w:rPr>
          <w:rFonts w:asciiTheme="minorBidi" w:eastAsia="Times New Roman" w:hAnsiTheme="minorBidi"/>
          <w:kern w:val="0"/>
          <w14:ligatures w14:val="none"/>
        </w:rPr>
      </w:pPr>
      <w:r w:rsidRPr="00D6508C">
        <w:rPr>
          <w:rFonts w:asciiTheme="minorBidi" w:eastAsia="Times New Roman" w:hAnsiTheme="minorBidi"/>
          <w:kern w:val="0"/>
          <w14:ligatures w14:val="none"/>
        </w:rPr>
        <w:t xml:space="preserve">   Braverman, H. (1974). Labor and Monopoly Capital: The Degradation of Work in the Twentieth Century. Monthly Review Press.</w:t>
      </w:r>
    </w:p>
    <w:p w14:paraId="4262D55D" w14:textId="37A7ED39" w:rsidR="003B2085" w:rsidRDefault="003B2085" w:rsidP="00C251EC">
      <w:pPr>
        <w:spacing w:after="0" w:line="240" w:lineRule="auto"/>
        <w:rPr>
          <w:rFonts w:asciiTheme="minorBidi" w:eastAsia="Times New Roman" w:hAnsiTheme="minorBidi"/>
          <w:kern w:val="0"/>
          <w14:ligatures w14:val="none"/>
        </w:rPr>
      </w:pPr>
    </w:p>
    <w:p w14:paraId="1F0FAFD8" w14:textId="77777777" w:rsidR="00BB668B" w:rsidRDefault="00BB668B" w:rsidP="003B2085">
      <w:pPr>
        <w:spacing w:before="100" w:beforeAutospacing="1" w:after="100" w:afterAutospacing="1" w:line="240" w:lineRule="auto"/>
        <w:rPr>
          <w:rFonts w:asciiTheme="minorBidi" w:eastAsia="Times New Roman" w:hAnsiTheme="minorBidi"/>
          <w:kern w:val="0"/>
          <w14:ligatures w14:val="none"/>
        </w:rPr>
      </w:pPr>
    </w:p>
    <w:p w14:paraId="11281A02" w14:textId="0FAAAFB7" w:rsidR="003B2085" w:rsidRPr="003B2085" w:rsidRDefault="003B2085" w:rsidP="00095C07">
      <w:pPr>
        <w:spacing w:before="100" w:beforeAutospacing="1" w:after="100" w:afterAutospacing="1" w:line="240" w:lineRule="auto"/>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Common Theoretical Frameworks in Business and Management Research</w:t>
      </w:r>
    </w:p>
    <w:p w14:paraId="4A7A6610" w14:textId="2A7809BC" w:rsidR="003B2085" w:rsidRPr="003B2085" w:rsidRDefault="003B2085" w:rsidP="003B2085">
      <w:p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 xml:space="preserve">While the range of theories used in business and management research is vast, several theoretical frameworks appear frequently in doctoral research. Understanding these provides new </w:t>
      </w:r>
      <w:r w:rsidR="00C80615">
        <w:rPr>
          <w:rFonts w:asciiTheme="minorBidi" w:eastAsia="Times New Roman" w:hAnsiTheme="minorBidi"/>
          <w:kern w:val="0"/>
          <w14:ligatures w14:val="none"/>
        </w:rPr>
        <w:t>PhD/DBA</w:t>
      </w:r>
      <w:r w:rsidRPr="003B2085">
        <w:rPr>
          <w:rFonts w:asciiTheme="minorBidi" w:eastAsia="Times New Roman" w:hAnsiTheme="minorBidi"/>
          <w:kern w:val="0"/>
          <w14:ligatures w14:val="none"/>
        </w:rPr>
        <w:t xml:space="preserve"> students with starting points for their theoretical exploration: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7"/>
        <w:gridCol w:w="2474"/>
        <w:gridCol w:w="2544"/>
        <w:gridCol w:w="3681"/>
      </w:tblGrid>
      <w:tr w:rsidR="003B2085" w:rsidRPr="003B2085" w14:paraId="3F378861" w14:textId="77777777" w:rsidTr="003B2085">
        <w:trPr>
          <w:tblHeader/>
          <w:tblCellSpacing w:w="15" w:type="dxa"/>
        </w:trPr>
        <w:tc>
          <w:tcPr>
            <w:tcW w:w="0" w:type="auto"/>
            <w:vAlign w:val="center"/>
            <w:hideMark/>
          </w:tcPr>
          <w:p w14:paraId="54AA5B83" w14:textId="77777777" w:rsidR="003B2085" w:rsidRPr="003B2085" w:rsidRDefault="003B2085" w:rsidP="003B2085">
            <w:pPr>
              <w:spacing w:after="0" w:line="240" w:lineRule="auto"/>
              <w:jc w:val="center"/>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Theoretical Framework</w:t>
            </w:r>
          </w:p>
        </w:tc>
        <w:tc>
          <w:tcPr>
            <w:tcW w:w="0" w:type="auto"/>
            <w:vAlign w:val="center"/>
            <w:hideMark/>
          </w:tcPr>
          <w:p w14:paraId="2685996B" w14:textId="77777777" w:rsidR="003B2085" w:rsidRPr="003B2085" w:rsidRDefault="003B2085" w:rsidP="003B2085">
            <w:pPr>
              <w:spacing w:after="0" w:line="240" w:lineRule="auto"/>
              <w:jc w:val="center"/>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Key Concepts</w:t>
            </w:r>
          </w:p>
        </w:tc>
        <w:tc>
          <w:tcPr>
            <w:tcW w:w="0" w:type="auto"/>
            <w:vAlign w:val="center"/>
            <w:hideMark/>
          </w:tcPr>
          <w:p w14:paraId="6E5B55C4" w14:textId="77777777" w:rsidR="003B2085" w:rsidRPr="003B2085" w:rsidRDefault="003B2085" w:rsidP="003B2085">
            <w:pPr>
              <w:spacing w:after="0" w:line="240" w:lineRule="auto"/>
              <w:jc w:val="center"/>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Common Applications</w:t>
            </w:r>
          </w:p>
        </w:tc>
        <w:tc>
          <w:tcPr>
            <w:tcW w:w="0" w:type="auto"/>
            <w:vAlign w:val="center"/>
            <w:hideMark/>
          </w:tcPr>
          <w:p w14:paraId="40F62D60" w14:textId="77777777" w:rsidR="003B2085" w:rsidRPr="003B2085" w:rsidRDefault="003B2085" w:rsidP="003B2085">
            <w:pPr>
              <w:spacing w:after="0" w:line="240" w:lineRule="auto"/>
              <w:jc w:val="center"/>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Example Doctoral Research Topics</w:t>
            </w:r>
          </w:p>
        </w:tc>
      </w:tr>
      <w:tr w:rsidR="003B2085" w:rsidRPr="003B2085" w14:paraId="180B6E14" w14:textId="77777777" w:rsidTr="003B2085">
        <w:trPr>
          <w:tblCellSpacing w:w="15" w:type="dxa"/>
        </w:trPr>
        <w:tc>
          <w:tcPr>
            <w:tcW w:w="0" w:type="auto"/>
            <w:vAlign w:val="center"/>
            <w:hideMark/>
          </w:tcPr>
          <w:p w14:paraId="5077B62C"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Resource-Based View</w:t>
            </w:r>
          </w:p>
        </w:tc>
        <w:tc>
          <w:tcPr>
            <w:tcW w:w="0" w:type="auto"/>
            <w:vAlign w:val="center"/>
            <w:hideMark/>
          </w:tcPr>
          <w:p w14:paraId="1B949406"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Valuable, rare, inimitable, non-substitutable resources</w:t>
            </w:r>
          </w:p>
        </w:tc>
        <w:tc>
          <w:tcPr>
            <w:tcW w:w="0" w:type="auto"/>
            <w:vAlign w:val="center"/>
            <w:hideMark/>
          </w:tcPr>
          <w:p w14:paraId="2DFF5C15"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Competitive advantage, strategic management</w:t>
            </w:r>
          </w:p>
        </w:tc>
        <w:tc>
          <w:tcPr>
            <w:tcW w:w="0" w:type="auto"/>
            <w:vAlign w:val="center"/>
            <w:hideMark/>
          </w:tcPr>
          <w:p w14:paraId="387C6A6B"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How dynamic capabilities enable digital transformation in traditional industries</w:t>
            </w:r>
          </w:p>
        </w:tc>
      </w:tr>
      <w:tr w:rsidR="003B2085" w:rsidRPr="003B2085" w14:paraId="018084CE" w14:textId="77777777" w:rsidTr="003B2085">
        <w:trPr>
          <w:tblCellSpacing w:w="15" w:type="dxa"/>
        </w:trPr>
        <w:tc>
          <w:tcPr>
            <w:tcW w:w="0" w:type="auto"/>
            <w:vAlign w:val="center"/>
            <w:hideMark/>
          </w:tcPr>
          <w:p w14:paraId="098ABBA0"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Institutional Theory</w:t>
            </w:r>
          </w:p>
        </w:tc>
        <w:tc>
          <w:tcPr>
            <w:tcW w:w="0" w:type="auto"/>
            <w:vAlign w:val="center"/>
            <w:hideMark/>
          </w:tcPr>
          <w:p w14:paraId="2A4CB21B"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Isomorphism, legitimacy, institutional logics</w:t>
            </w:r>
          </w:p>
        </w:tc>
        <w:tc>
          <w:tcPr>
            <w:tcW w:w="0" w:type="auto"/>
            <w:vAlign w:val="center"/>
            <w:hideMark/>
          </w:tcPr>
          <w:p w14:paraId="5B598C80"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Organisational conformity, regulatory effects</w:t>
            </w:r>
          </w:p>
        </w:tc>
        <w:tc>
          <w:tcPr>
            <w:tcW w:w="0" w:type="auto"/>
            <w:vAlign w:val="center"/>
            <w:hideMark/>
          </w:tcPr>
          <w:p w14:paraId="156FEA69"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Institutional complexity in sustainable finance: How investment firms navigate competing logics</w:t>
            </w:r>
          </w:p>
        </w:tc>
      </w:tr>
      <w:tr w:rsidR="003B2085" w:rsidRPr="003B2085" w14:paraId="7C22FA64" w14:textId="77777777" w:rsidTr="003B2085">
        <w:trPr>
          <w:tblCellSpacing w:w="15" w:type="dxa"/>
        </w:trPr>
        <w:tc>
          <w:tcPr>
            <w:tcW w:w="0" w:type="auto"/>
            <w:vAlign w:val="center"/>
            <w:hideMark/>
          </w:tcPr>
          <w:p w14:paraId="3A739154"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Agency Theory</w:t>
            </w:r>
          </w:p>
        </w:tc>
        <w:tc>
          <w:tcPr>
            <w:tcW w:w="0" w:type="auto"/>
            <w:vAlign w:val="center"/>
            <w:hideMark/>
          </w:tcPr>
          <w:p w14:paraId="7E9B09B9"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Principal-agent problems, information asymmetry</w:t>
            </w:r>
          </w:p>
        </w:tc>
        <w:tc>
          <w:tcPr>
            <w:tcW w:w="0" w:type="auto"/>
            <w:vAlign w:val="center"/>
            <w:hideMark/>
          </w:tcPr>
          <w:p w14:paraId="1CD0EB15"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Corporate governance, executive compensation</w:t>
            </w:r>
          </w:p>
        </w:tc>
        <w:tc>
          <w:tcPr>
            <w:tcW w:w="0" w:type="auto"/>
            <w:vAlign w:val="center"/>
            <w:hideMark/>
          </w:tcPr>
          <w:p w14:paraId="15D73543"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Beyond financial incentives: Non-economic factors in resolving agency problems in family businesses</w:t>
            </w:r>
          </w:p>
        </w:tc>
      </w:tr>
      <w:tr w:rsidR="003B2085" w:rsidRPr="003B2085" w14:paraId="13B1FCF6" w14:textId="77777777" w:rsidTr="003B2085">
        <w:trPr>
          <w:tblCellSpacing w:w="15" w:type="dxa"/>
        </w:trPr>
        <w:tc>
          <w:tcPr>
            <w:tcW w:w="0" w:type="auto"/>
            <w:vAlign w:val="center"/>
            <w:hideMark/>
          </w:tcPr>
          <w:p w14:paraId="64ECD13A"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lastRenderedPageBreak/>
              <w:t>Stakeholder Theory</w:t>
            </w:r>
          </w:p>
        </w:tc>
        <w:tc>
          <w:tcPr>
            <w:tcW w:w="0" w:type="auto"/>
            <w:vAlign w:val="center"/>
            <w:hideMark/>
          </w:tcPr>
          <w:p w14:paraId="6C23847F"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Stakeholder identification, interests, influence</w:t>
            </w:r>
          </w:p>
        </w:tc>
        <w:tc>
          <w:tcPr>
            <w:tcW w:w="0" w:type="auto"/>
            <w:vAlign w:val="center"/>
            <w:hideMark/>
          </w:tcPr>
          <w:p w14:paraId="299EE197"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Corporate social responsibility, business ethics</w:t>
            </w:r>
          </w:p>
        </w:tc>
        <w:tc>
          <w:tcPr>
            <w:tcW w:w="0" w:type="auto"/>
            <w:vAlign w:val="center"/>
            <w:hideMark/>
          </w:tcPr>
          <w:p w14:paraId="4F413599"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Stakeholder engagement in the circular economy: Building theoretical models for inclusive value creation</w:t>
            </w:r>
          </w:p>
        </w:tc>
      </w:tr>
      <w:tr w:rsidR="003B2085" w:rsidRPr="003B2085" w14:paraId="37A7144E" w14:textId="77777777" w:rsidTr="003B2085">
        <w:trPr>
          <w:tblCellSpacing w:w="15" w:type="dxa"/>
        </w:trPr>
        <w:tc>
          <w:tcPr>
            <w:tcW w:w="0" w:type="auto"/>
            <w:vAlign w:val="center"/>
            <w:hideMark/>
          </w:tcPr>
          <w:p w14:paraId="2E421CB2"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Transaction Cost Economics</w:t>
            </w:r>
          </w:p>
        </w:tc>
        <w:tc>
          <w:tcPr>
            <w:tcW w:w="0" w:type="auto"/>
            <w:vAlign w:val="center"/>
            <w:hideMark/>
          </w:tcPr>
          <w:p w14:paraId="39539C66"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Asset specificity, uncertainty, frequency</w:t>
            </w:r>
          </w:p>
        </w:tc>
        <w:tc>
          <w:tcPr>
            <w:tcW w:w="0" w:type="auto"/>
            <w:vAlign w:val="center"/>
            <w:hideMark/>
          </w:tcPr>
          <w:p w14:paraId="57A3D6AF"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Make-or-buy decisions, vertical integration</w:t>
            </w:r>
          </w:p>
        </w:tc>
        <w:tc>
          <w:tcPr>
            <w:tcW w:w="0" w:type="auto"/>
            <w:vAlign w:val="center"/>
            <w:hideMark/>
          </w:tcPr>
          <w:p w14:paraId="436FEB6A"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Transaction cost dynamics in platform ecosystems: Rethinking governance in digital markets</w:t>
            </w:r>
          </w:p>
        </w:tc>
      </w:tr>
      <w:tr w:rsidR="003B2085" w:rsidRPr="003B2085" w14:paraId="35171145" w14:textId="77777777" w:rsidTr="003B2085">
        <w:trPr>
          <w:tblCellSpacing w:w="15" w:type="dxa"/>
        </w:trPr>
        <w:tc>
          <w:tcPr>
            <w:tcW w:w="0" w:type="auto"/>
            <w:vAlign w:val="center"/>
            <w:hideMark/>
          </w:tcPr>
          <w:p w14:paraId="1FC2C32A"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Upper Echelons Theory</w:t>
            </w:r>
          </w:p>
        </w:tc>
        <w:tc>
          <w:tcPr>
            <w:tcW w:w="0" w:type="auto"/>
            <w:vAlign w:val="center"/>
            <w:hideMark/>
          </w:tcPr>
          <w:p w14:paraId="0DC5D909"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Managerial characteristics, strategic choices</w:t>
            </w:r>
          </w:p>
        </w:tc>
        <w:tc>
          <w:tcPr>
            <w:tcW w:w="0" w:type="auto"/>
            <w:vAlign w:val="center"/>
            <w:hideMark/>
          </w:tcPr>
          <w:p w14:paraId="7A23D946"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Strategic decision-making, leadership</w:t>
            </w:r>
          </w:p>
        </w:tc>
        <w:tc>
          <w:tcPr>
            <w:tcW w:w="0" w:type="auto"/>
            <w:vAlign w:val="center"/>
            <w:hideMark/>
          </w:tcPr>
          <w:p w14:paraId="4C535CAC"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CEO cognitive frames and strategic responses to technological disruption</w:t>
            </w:r>
          </w:p>
        </w:tc>
      </w:tr>
      <w:tr w:rsidR="003B2085" w:rsidRPr="003B2085" w14:paraId="0E8691AC" w14:textId="77777777" w:rsidTr="003B2085">
        <w:trPr>
          <w:tblCellSpacing w:w="15" w:type="dxa"/>
        </w:trPr>
        <w:tc>
          <w:tcPr>
            <w:tcW w:w="0" w:type="auto"/>
            <w:vAlign w:val="center"/>
            <w:hideMark/>
          </w:tcPr>
          <w:p w14:paraId="50FE554A"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Social Network Theory</w:t>
            </w:r>
          </w:p>
        </w:tc>
        <w:tc>
          <w:tcPr>
            <w:tcW w:w="0" w:type="auto"/>
            <w:vAlign w:val="center"/>
            <w:hideMark/>
          </w:tcPr>
          <w:p w14:paraId="481ACDD3"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Ties, centrality, structural holes</w:t>
            </w:r>
          </w:p>
        </w:tc>
        <w:tc>
          <w:tcPr>
            <w:tcW w:w="0" w:type="auto"/>
            <w:vAlign w:val="center"/>
            <w:hideMark/>
          </w:tcPr>
          <w:p w14:paraId="4756FE9B"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Knowledge transfer, innovation, entrepreneurship</w:t>
            </w:r>
          </w:p>
        </w:tc>
        <w:tc>
          <w:tcPr>
            <w:tcW w:w="0" w:type="auto"/>
            <w:vAlign w:val="center"/>
            <w:hideMark/>
          </w:tcPr>
          <w:p w14:paraId="6F7249D0"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Network configuration and knowledge flows in entrepreneurial ecosystems</w:t>
            </w:r>
          </w:p>
        </w:tc>
      </w:tr>
      <w:tr w:rsidR="003B2085" w:rsidRPr="003B2085" w14:paraId="454F1449" w14:textId="77777777" w:rsidTr="003B2085">
        <w:trPr>
          <w:tblCellSpacing w:w="15" w:type="dxa"/>
        </w:trPr>
        <w:tc>
          <w:tcPr>
            <w:tcW w:w="0" w:type="auto"/>
            <w:vAlign w:val="center"/>
            <w:hideMark/>
          </w:tcPr>
          <w:p w14:paraId="5B8F368B"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Absorptive Capacity</w:t>
            </w:r>
          </w:p>
        </w:tc>
        <w:tc>
          <w:tcPr>
            <w:tcW w:w="0" w:type="auto"/>
            <w:vAlign w:val="center"/>
            <w:hideMark/>
          </w:tcPr>
          <w:p w14:paraId="202C6224"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Knowledge identification, assimilation, application</w:t>
            </w:r>
          </w:p>
        </w:tc>
        <w:tc>
          <w:tcPr>
            <w:tcW w:w="0" w:type="auto"/>
            <w:vAlign w:val="center"/>
            <w:hideMark/>
          </w:tcPr>
          <w:p w14:paraId="61BDCB47"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Organisational learning, innovation</w:t>
            </w:r>
          </w:p>
        </w:tc>
        <w:tc>
          <w:tcPr>
            <w:tcW w:w="0" w:type="auto"/>
            <w:vAlign w:val="center"/>
            <w:hideMark/>
          </w:tcPr>
          <w:p w14:paraId="492C5894" w14:textId="77777777" w:rsidR="003B2085" w:rsidRPr="003B2085" w:rsidRDefault="003B2085" w:rsidP="003B2085">
            <w:pPr>
              <w:spacing w:after="0" w:line="240" w:lineRule="auto"/>
              <w:rPr>
                <w:rFonts w:asciiTheme="minorBidi" w:eastAsia="Times New Roman" w:hAnsiTheme="minorBidi"/>
                <w:kern w:val="0"/>
                <w14:ligatures w14:val="none"/>
              </w:rPr>
            </w:pPr>
            <w:proofErr w:type="spellStart"/>
            <w:r w:rsidRPr="003B2085">
              <w:rPr>
                <w:rFonts w:asciiTheme="minorBidi" w:eastAsia="Times New Roman" w:hAnsiTheme="minorBidi"/>
                <w:kern w:val="0"/>
                <w14:ligatures w14:val="none"/>
              </w:rPr>
              <w:t>Microfoundations</w:t>
            </w:r>
            <w:proofErr w:type="spellEnd"/>
            <w:r w:rsidRPr="003B2085">
              <w:rPr>
                <w:rFonts w:asciiTheme="minorBidi" w:eastAsia="Times New Roman" w:hAnsiTheme="minorBidi"/>
                <w:kern w:val="0"/>
                <w14:ligatures w14:val="none"/>
              </w:rPr>
              <w:t xml:space="preserve"> of absorptive capacity in SMEs: Building theoretical models of capability development</w:t>
            </w:r>
          </w:p>
        </w:tc>
      </w:tr>
      <w:tr w:rsidR="003B2085" w:rsidRPr="003B2085" w14:paraId="2FCE8DAE" w14:textId="77777777" w:rsidTr="003B2085">
        <w:trPr>
          <w:tblCellSpacing w:w="15" w:type="dxa"/>
        </w:trPr>
        <w:tc>
          <w:tcPr>
            <w:tcW w:w="0" w:type="auto"/>
            <w:vAlign w:val="center"/>
            <w:hideMark/>
          </w:tcPr>
          <w:p w14:paraId="05CA0B4A"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Signalling Theory</w:t>
            </w:r>
          </w:p>
        </w:tc>
        <w:tc>
          <w:tcPr>
            <w:tcW w:w="0" w:type="auto"/>
            <w:vAlign w:val="center"/>
            <w:hideMark/>
          </w:tcPr>
          <w:p w14:paraId="331FD666"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Information asymmetry, quality signals</w:t>
            </w:r>
          </w:p>
        </w:tc>
        <w:tc>
          <w:tcPr>
            <w:tcW w:w="0" w:type="auto"/>
            <w:vAlign w:val="center"/>
            <w:hideMark/>
          </w:tcPr>
          <w:p w14:paraId="6770C997"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Marketing, corporate communications</w:t>
            </w:r>
          </w:p>
        </w:tc>
        <w:tc>
          <w:tcPr>
            <w:tcW w:w="0" w:type="auto"/>
            <w:vAlign w:val="center"/>
            <w:hideMark/>
          </w:tcPr>
          <w:p w14:paraId="6CF28B15"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Digital signalling: How firms communicate quality in platform markets</w:t>
            </w:r>
          </w:p>
        </w:tc>
      </w:tr>
      <w:tr w:rsidR="003B2085" w:rsidRPr="003B2085" w14:paraId="2852C6CB" w14:textId="77777777" w:rsidTr="003B2085">
        <w:trPr>
          <w:tblCellSpacing w:w="15" w:type="dxa"/>
        </w:trPr>
        <w:tc>
          <w:tcPr>
            <w:tcW w:w="0" w:type="auto"/>
            <w:vAlign w:val="center"/>
            <w:hideMark/>
          </w:tcPr>
          <w:p w14:paraId="221E192A"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Behavioural Theory of the Firm</w:t>
            </w:r>
          </w:p>
        </w:tc>
        <w:tc>
          <w:tcPr>
            <w:tcW w:w="0" w:type="auto"/>
            <w:vAlign w:val="center"/>
            <w:hideMark/>
          </w:tcPr>
          <w:p w14:paraId="77B828A3"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Bounded rationality, satisficing, organisational routines</w:t>
            </w:r>
          </w:p>
        </w:tc>
        <w:tc>
          <w:tcPr>
            <w:tcW w:w="0" w:type="auto"/>
            <w:vAlign w:val="center"/>
            <w:hideMark/>
          </w:tcPr>
          <w:p w14:paraId="6EFBE0E2"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Organisational decision-making</w:t>
            </w:r>
          </w:p>
        </w:tc>
        <w:tc>
          <w:tcPr>
            <w:tcW w:w="0" w:type="auto"/>
            <w:vAlign w:val="center"/>
            <w:hideMark/>
          </w:tcPr>
          <w:p w14:paraId="4FEF3F0D"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Attention patterns and strategic change: A behavioural perspective on strategic renewal</w:t>
            </w:r>
          </w:p>
        </w:tc>
      </w:tr>
    </w:tbl>
    <w:p w14:paraId="3F5314D8" w14:textId="77777777" w:rsidR="003B2085" w:rsidRPr="003B2085" w:rsidRDefault="003B2085" w:rsidP="003B2085">
      <w:pPr>
        <w:spacing w:before="100" w:beforeAutospacing="1" w:after="100" w:afterAutospacing="1" w:line="240" w:lineRule="auto"/>
        <w:outlineLvl w:val="1"/>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Evaluating Theoretical Contribution in Doctoral Research</w:t>
      </w:r>
    </w:p>
    <w:p w14:paraId="715376FC" w14:textId="0108B0A3" w:rsidR="003B2085" w:rsidRPr="003B2085" w:rsidRDefault="003B2085" w:rsidP="003B2085">
      <w:pPr>
        <w:spacing w:before="100" w:beforeAutospacing="1" w:after="100" w:afterAutospacing="1"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 xml:space="preserve">For </w:t>
      </w:r>
      <w:r w:rsidR="00C80615">
        <w:rPr>
          <w:rFonts w:asciiTheme="minorBidi" w:eastAsia="Times New Roman" w:hAnsiTheme="minorBidi"/>
          <w:kern w:val="0"/>
          <w14:ligatures w14:val="none"/>
        </w:rPr>
        <w:t>PhD/DBA</w:t>
      </w:r>
      <w:r w:rsidRPr="003B2085">
        <w:rPr>
          <w:rFonts w:asciiTheme="minorBidi" w:eastAsia="Times New Roman" w:hAnsiTheme="minorBidi"/>
          <w:kern w:val="0"/>
          <w14:ligatures w14:val="none"/>
        </w:rPr>
        <w:t xml:space="preserve"> examiners and doctoral students alike, evaluating the theoretical contribution of research is crucial. Here are frameworks for assessing theoretical contributions in business and management doctoral research:</w:t>
      </w:r>
    </w:p>
    <w:p w14:paraId="2A089D8E" w14:textId="77777777" w:rsidR="003B2085" w:rsidRPr="003B2085" w:rsidRDefault="003B2085" w:rsidP="003B2085">
      <w:pPr>
        <w:spacing w:before="100" w:beforeAutospacing="1" w:after="100" w:afterAutospacing="1" w:line="240" w:lineRule="auto"/>
        <w:outlineLvl w:val="2"/>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Dimensions of Theoretical Contribution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9"/>
        <w:gridCol w:w="2637"/>
        <w:gridCol w:w="2853"/>
        <w:gridCol w:w="3617"/>
      </w:tblGrid>
      <w:tr w:rsidR="003B2085" w:rsidRPr="003B2085" w14:paraId="7EE4E85C" w14:textId="77777777" w:rsidTr="003B2085">
        <w:trPr>
          <w:tblHeader/>
          <w:tblCellSpacing w:w="15" w:type="dxa"/>
        </w:trPr>
        <w:tc>
          <w:tcPr>
            <w:tcW w:w="0" w:type="auto"/>
            <w:vAlign w:val="center"/>
            <w:hideMark/>
          </w:tcPr>
          <w:p w14:paraId="27911BBE" w14:textId="77777777" w:rsidR="003B2085" w:rsidRPr="003B2085" w:rsidRDefault="003B2085" w:rsidP="003B2085">
            <w:pPr>
              <w:spacing w:after="0" w:line="240" w:lineRule="auto"/>
              <w:jc w:val="center"/>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Dimension</w:t>
            </w:r>
          </w:p>
        </w:tc>
        <w:tc>
          <w:tcPr>
            <w:tcW w:w="0" w:type="auto"/>
            <w:vAlign w:val="center"/>
            <w:hideMark/>
          </w:tcPr>
          <w:p w14:paraId="04E2029F" w14:textId="77777777" w:rsidR="003B2085" w:rsidRPr="003B2085" w:rsidRDefault="003B2085" w:rsidP="003B2085">
            <w:pPr>
              <w:spacing w:after="0" w:line="240" w:lineRule="auto"/>
              <w:jc w:val="center"/>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Description</w:t>
            </w:r>
          </w:p>
        </w:tc>
        <w:tc>
          <w:tcPr>
            <w:tcW w:w="0" w:type="auto"/>
            <w:vAlign w:val="center"/>
            <w:hideMark/>
          </w:tcPr>
          <w:p w14:paraId="6D8B42E2" w14:textId="77777777" w:rsidR="003B2085" w:rsidRPr="003B2085" w:rsidRDefault="003B2085" w:rsidP="003B2085">
            <w:pPr>
              <w:spacing w:after="0" w:line="240" w:lineRule="auto"/>
              <w:jc w:val="center"/>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Assessment Questions</w:t>
            </w:r>
          </w:p>
        </w:tc>
        <w:tc>
          <w:tcPr>
            <w:tcW w:w="0" w:type="auto"/>
            <w:vAlign w:val="center"/>
            <w:hideMark/>
          </w:tcPr>
          <w:p w14:paraId="1291CFFD" w14:textId="77777777" w:rsidR="003B2085" w:rsidRPr="003B2085" w:rsidRDefault="003B2085" w:rsidP="003B2085">
            <w:pPr>
              <w:spacing w:after="0" w:line="240" w:lineRule="auto"/>
              <w:jc w:val="center"/>
              <w:rPr>
                <w:rFonts w:asciiTheme="minorBidi" w:eastAsia="Times New Roman" w:hAnsiTheme="minorBidi"/>
                <w:b/>
                <w:bCs/>
                <w:kern w:val="0"/>
                <w14:ligatures w14:val="none"/>
              </w:rPr>
            </w:pPr>
            <w:r w:rsidRPr="003B2085">
              <w:rPr>
                <w:rFonts w:asciiTheme="minorBidi" w:eastAsia="Times New Roman" w:hAnsiTheme="minorBidi"/>
                <w:b/>
                <w:bCs/>
                <w:kern w:val="0"/>
                <w14:ligatures w14:val="none"/>
              </w:rPr>
              <w:t>Example of Strong Contribution</w:t>
            </w:r>
          </w:p>
        </w:tc>
      </w:tr>
      <w:tr w:rsidR="003B2085" w:rsidRPr="003B2085" w14:paraId="2CEFD720" w14:textId="77777777" w:rsidTr="003B2085">
        <w:trPr>
          <w:tblCellSpacing w:w="15" w:type="dxa"/>
        </w:trPr>
        <w:tc>
          <w:tcPr>
            <w:tcW w:w="0" w:type="auto"/>
            <w:vAlign w:val="center"/>
            <w:hideMark/>
          </w:tcPr>
          <w:p w14:paraId="2EB30E41"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Originality</w:t>
            </w:r>
          </w:p>
        </w:tc>
        <w:tc>
          <w:tcPr>
            <w:tcW w:w="0" w:type="auto"/>
            <w:vAlign w:val="center"/>
            <w:hideMark/>
          </w:tcPr>
          <w:p w14:paraId="26369EC5"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Degree of novelty in theoretical insights</w:t>
            </w:r>
          </w:p>
        </w:tc>
        <w:tc>
          <w:tcPr>
            <w:tcW w:w="0" w:type="auto"/>
            <w:vAlign w:val="center"/>
            <w:hideMark/>
          </w:tcPr>
          <w:p w14:paraId="1875A62A"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Does the research offer genuinely new theoretical insights?</w:t>
            </w:r>
          </w:p>
        </w:tc>
        <w:tc>
          <w:tcPr>
            <w:tcW w:w="0" w:type="auto"/>
            <w:vAlign w:val="center"/>
            <w:hideMark/>
          </w:tcPr>
          <w:p w14:paraId="74744E61"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Development of a new theoretical framework explaining digital platform competition</w:t>
            </w:r>
          </w:p>
        </w:tc>
      </w:tr>
      <w:tr w:rsidR="003B2085" w:rsidRPr="003B2085" w14:paraId="4AFBCA01" w14:textId="77777777" w:rsidTr="003B2085">
        <w:trPr>
          <w:tblCellSpacing w:w="15" w:type="dxa"/>
        </w:trPr>
        <w:tc>
          <w:tcPr>
            <w:tcW w:w="0" w:type="auto"/>
            <w:vAlign w:val="center"/>
            <w:hideMark/>
          </w:tcPr>
          <w:p w14:paraId="081CB215"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Utility</w:t>
            </w:r>
          </w:p>
        </w:tc>
        <w:tc>
          <w:tcPr>
            <w:tcW w:w="0" w:type="auto"/>
            <w:vAlign w:val="center"/>
            <w:hideMark/>
          </w:tcPr>
          <w:p w14:paraId="4FE87FBB"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Usefulness for explaining, predicting, or understanding</w:t>
            </w:r>
          </w:p>
        </w:tc>
        <w:tc>
          <w:tcPr>
            <w:tcW w:w="0" w:type="auto"/>
            <w:vAlign w:val="center"/>
            <w:hideMark/>
          </w:tcPr>
          <w:p w14:paraId="25791A4D"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How useful is the theory for explaining important phenomena?</w:t>
            </w:r>
          </w:p>
        </w:tc>
        <w:tc>
          <w:tcPr>
            <w:tcW w:w="0" w:type="auto"/>
            <w:vAlign w:val="center"/>
            <w:hideMark/>
          </w:tcPr>
          <w:p w14:paraId="31F2CEFF"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Theory that effectively explains variations in sustainability performance across industries</w:t>
            </w:r>
          </w:p>
        </w:tc>
      </w:tr>
      <w:tr w:rsidR="003B2085" w:rsidRPr="003B2085" w14:paraId="6EF29B80" w14:textId="77777777" w:rsidTr="003B2085">
        <w:trPr>
          <w:tblCellSpacing w:w="15" w:type="dxa"/>
        </w:trPr>
        <w:tc>
          <w:tcPr>
            <w:tcW w:w="0" w:type="auto"/>
            <w:vAlign w:val="center"/>
            <w:hideMark/>
          </w:tcPr>
          <w:p w14:paraId="38815923"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Integration</w:t>
            </w:r>
          </w:p>
        </w:tc>
        <w:tc>
          <w:tcPr>
            <w:tcW w:w="0" w:type="auto"/>
            <w:vAlign w:val="center"/>
            <w:hideMark/>
          </w:tcPr>
          <w:p w14:paraId="55456636"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Connection to existing theoretical knowledge</w:t>
            </w:r>
          </w:p>
        </w:tc>
        <w:tc>
          <w:tcPr>
            <w:tcW w:w="0" w:type="auto"/>
            <w:vAlign w:val="center"/>
            <w:hideMark/>
          </w:tcPr>
          <w:p w14:paraId="626EFEEE"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How well does the contribution connect to existing theory?</w:t>
            </w:r>
          </w:p>
        </w:tc>
        <w:tc>
          <w:tcPr>
            <w:tcW w:w="0" w:type="auto"/>
            <w:vAlign w:val="center"/>
            <w:hideMark/>
          </w:tcPr>
          <w:p w14:paraId="5736DE14"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Research that meaningfully integrates transaction cost economics with institutional theory</w:t>
            </w:r>
          </w:p>
        </w:tc>
      </w:tr>
      <w:tr w:rsidR="003B2085" w:rsidRPr="003B2085" w14:paraId="09853CA4" w14:textId="77777777" w:rsidTr="003B2085">
        <w:trPr>
          <w:tblCellSpacing w:w="15" w:type="dxa"/>
        </w:trPr>
        <w:tc>
          <w:tcPr>
            <w:tcW w:w="0" w:type="auto"/>
            <w:vAlign w:val="center"/>
            <w:hideMark/>
          </w:tcPr>
          <w:p w14:paraId="6C446F77"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lastRenderedPageBreak/>
              <w:t>Parsimony</w:t>
            </w:r>
          </w:p>
        </w:tc>
        <w:tc>
          <w:tcPr>
            <w:tcW w:w="0" w:type="auto"/>
            <w:vAlign w:val="center"/>
            <w:hideMark/>
          </w:tcPr>
          <w:p w14:paraId="18750CB6"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Simplicity relative to explanatory power</w:t>
            </w:r>
          </w:p>
        </w:tc>
        <w:tc>
          <w:tcPr>
            <w:tcW w:w="0" w:type="auto"/>
            <w:vAlign w:val="center"/>
            <w:hideMark/>
          </w:tcPr>
          <w:p w14:paraId="5D756BEC"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Is the theoretical contribution elegant and efficient?</w:t>
            </w:r>
          </w:p>
        </w:tc>
        <w:tc>
          <w:tcPr>
            <w:tcW w:w="0" w:type="auto"/>
            <w:vAlign w:val="center"/>
            <w:hideMark/>
          </w:tcPr>
          <w:p w14:paraId="7CBA1359"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Simple but powerful model of entrepreneurial decision-making under uncertainty</w:t>
            </w:r>
          </w:p>
        </w:tc>
      </w:tr>
      <w:tr w:rsidR="003B2085" w:rsidRPr="003B2085" w14:paraId="44DA3D54" w14:textId="77777777" w:rsidTr="003B2085">
        <w:trPr>
          <w:tblCellSpacing w:w="15" w:type="dxa"/>
        </w:trPr>
        <w:tc>
          <w:tcPr>
            <w:tcW w:w="0" w:type="auto"/>
            <w:vAlign w:val="center"/>
            <w:hideMark/>
          </w:tcPr>
          <w:p w14:paraId="57740411"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Scope</w:t>
            </w:r>
          </w:p>
        </w:tc>
        <w:tc>
          <w:tcPr>
            <w:tcW w:w="0" w:type="auto"/>
            <w:vAlign w:val="center"/>
            <w:hideMark/>
          </w:tcPr>
          <w:p w14:paraId="18CCEBA0"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Range of phenomena explained</w:t>
            </w:r>
          </w:p>
        </w:tc>
        <w:tc>
          <w:tcPr>
            <w:tcW w:w="0" w:type="auto"/>
            <w:vAlign w:val="center"/>
            <w:hideMark/>
          </w:tcPr>
          <w:p w14:paraId="08781EBD"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What is the breadth of applicability of the theoretical insights?</w:t>
            </w:r>
          </w:p>
        </w:tc>
        <w:tc>
          <w:tcPr>
            <w:tcW w:w="0" w:type="auto"/>
            <w:vAlign w:val="center"/>
            <w:hideMark/>
          </w:tcPr>
          <w:p w14:paraId="033FE253"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Theoretical framework applicable across multiple industries and national contexts</w:t>
            </w:r>
          </w:p>
        </w:tc>
      </w:tr>
      <w:tr w:rsidR="003B2085" w:rsidRPr="003B2085" w14:paraId="7805419F" w14:textId="77777777" w:rsidTr="003B2085">
        <w:trPr>
          <w:tblCellSpacing w:w="15" w:type="dxa"/>
        </w:trPr>
        <w:tc>
          <w:tcPr>
            <w:tcW w:w="0" w:type="auto"/>
            <w:vAlign w:val="center"/>
            <w:hideMark/>
          </w:tcPr>
          <w:p w14:paraId="036F9BAF"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Perspective</w:t>
            </w:r>
          </w:p>
        </w:tc>
        <w:tc>
          <w:tcPr>
            <w:tcW w:w="0" w:type="auto"/>
            <w:vAlign w:val="center"/>
            <w:hideMark/>
          </w:tcPr>
          <w:p w14:paraId="6BB43CB9"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Distinctive viewpoint or lens</w:t>
            </w:r>
          </w:p>
        </w:tc>
        <w:tc>
          <w:tcPr>
            <w:tcW w:w="0" w:type="auto"/>
            <w:vAlign w:val="center"/>
            <w:hideMark/>
          </w:tcPr>
          <w:p w14:paraId="7C8A6F3A"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Does the theory offer a novel perspective on familiar phenomena?</w:t>
            </w:r>
          </w:p>
        </w:tc>
        <w:tc>
          <w:tcPr>
            <w:tcW w:w="0" w:type="auto"/>
            <w:vAlign w:val="center"/>
            <w:hideMark/>
          </w:tcPr>
          <w:p w14:paraId="65DA052B" w14:textId="77777777" w:rsidR="003B2085" w:rsidRPr="003B2085" w:rsidRDefault="003B2085" w:rsidP="003B2085">
            <w:pPr>
              <w:spacing w:after="0" w:line="240" w:lineRule="auto"/>
              <w:rPr>
                <w:rFonts w:asciiTheme="minorBidi" w:eastAsia="Times New Roman" w:hAnsiTheme="minorBidi"/>
                <w:kern w:val="0"/>
                <w14:ligatures w14:val="none"/>
              </w:rPr>
            </w:pPr>
            <w:r w:rsidRPr="003B2085">
              <w:rPr>
                <w:rFonts w:asciiTheme="minorBidi" w:eastAsia="Times New Roman" w:hAnsiTheme="minorBidi"/>
                <w:kern w:val="0"/>
                <w14:ligatures w14:val="none"/>
              </w:rPr>
              <w:t>Reframing corporate social responsibility through a social identity lens</w:t>
            </w:r>
          </w:p>
        </w:tc>
      </w:tr>
    </w:tbl>
    <w:p w14:paraId="53918516" w14:textId="77777777" w:rsidR="00D5778C" w:rsidRPr="00C80615" w:rsidRDefault="00D5778C" w:rsidP="00194883">
      <w:pPr>
        <w:spacing w:before="100" w:beforeAutospacing="1" w:after="100" w:afterAutospacing="1" w:line="240" w:lineRule="auto"/>
        <w:outlineLvl w:val="2"/>
        <w:rPr>
          <w:rFonts w:asciiTheme="minorBidi" w:hAnsiTheme="minorBidi"/>
        </w:rPr>
      </w:pPr>
    </w:p>
    <w:sectPr w:rsidR="00D5778C" w:rsidRPr="00C80615" w:rsidSect="00C80615">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57140" w14:textId="77777777" w:rsidR="00EB3C82" w:rsidRDefault="00EB3C82" w:rsidP="00B53EAA">
      <w:pPr>
        <w:spacing w:after="0" w:line="240" w:lineRule="auto"/>
      </w:pPr>
      <w:r>
        <w:separator/>
      </w:r>
    </w:p>
  </w:endnote>
  <w:endnote w:type="continuationSeparator" w:id="0">
    <w:p w14:paraId="501F1D92" w14:textId="77777777" w:rsidR="00EB3C82" w:rsidRDefault="00EB3C82" w:rsidP="00B53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75F1D" w14:textId="77777777" w:rsidR="00B53EAA" w:rsidRDefault="00B53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0306186"/>
      <w:docPartObj>
        <w:docPartGallery w:val="Page Numbers (Bottom of Page)"/>
        <w:docPartUnique/>
      </w:docPartObj>
    </w:sdtPr>
    <w:sdtEndPr>
      <w:rPr>
        <w:noProof/>
      </w:rPr>
    </w:sdtEndPr>
    <w:sdtContent>
      <w:p w14:paraId="2C30B2E2" w14:textId="64B0CBB4" w:rsidR="00B53EAA" w:rsidRDefault="00B53E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6E647A" w14:textId="77777777" w:rsidR="00B53EAA" w:rsidRDefault="00B53E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8DE9B" w14:textId="77777777" w:rsidR="00B53EAA" w:rsidRDefault="00B53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11899" w14:textId="77777777" w:rsidR="00EB3C82" w:rsidRDefault="00EB3C82" w:rsidP="00B53EAA">
      <w:pPr>
        <w:spacing w:after="0" w:line="240" w:lineRule="auto"/>
      </w:pPr>
      <w:r>
        <w:separator/>
      </w:r>
    </w:p>
  </w:footnote>
  <w:footnote w:type="continuationSeparator" w:id="0">
    <w:p w14:paraId="18241F9A" w14:textId="77777777" w:rsidR="00EB3C82" w:rsidRDefault="00EB3C82" w:rsidP="00B53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63C0E" w14:textId="77777777" w:rsidR="00B53EAA" w:rsidRDefault="00B53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3263" w14:textId="77777777" w:rsidR="00B53EAA" w:rsidRDefault="00B53E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213D" w14:textId="77777777" w:rsidR="00B53EAA" w:rsidRDefault="00B53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1FFC"/>
    <w:multiLevelType w:val="multilevel"/>
    <w:tmpl w:val="663C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F2851"/>
    <w:multiLevelType w:val="multilevel"/>
    <w:tmpl w:val="B2E6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93770"/>
    <w:multiLevelType w:val="multilevel"/>
    <w:tmpl w:val="F3C4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193941"/>
    <w:multiLevelType w:val="multilevel"/>
    <w:tmpl w:val="54581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235129"/>
    <w:multiLevelType w:val="multilevel"/>
    <w:tmpl w:val="A5DE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5D55E9"/>
    <w:multiLevelType w:val="multilevel"/>
    <w:tmpl w:val="2504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97459F"/>
    <w:multiLevelType w:val="multilevel"/>
    <w:tmpl w:val="5C1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D73CDB"/>
    <w:multiLevelType w:val="multilevel"/>
    <w:tmpl w:val="A0FE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402F8B"/>
    <w:multiLevelType w:val="multilevel"/>
    <w:tmpl w:val="6C602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5F5BD6"/>
    <w:multiLevelType w:val="multilevel"/>
    <w:tmpl w:val="D93C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494397"/>
    <w:multiLevelType w:val="multilevel"/>
    <w:tmpl w:val="70BC7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28435F"/>
    <w:multiLevelType w:val="multilevel"/>
    <w:tmpl w:val="B93EF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DB0397"/>
    <w:multiLevelType w:val="multilevel"/>
    <w:tmpl w:val="EA9C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0D4450"/>
    <w:multiLevelType w:val="multilevel"/>
    <w:tmpl w:val="D1B0C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750ED"/>
    <w:multiLevelType w:val="multilevel"/>
    <w:tmpl w:val="DB50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9953CD"/>
    <w:multiLevelType w:val="multilevel"/>
    <w:tmpl w:val="6594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2417117">
    <w:abstractNumId w:val="1"/>
  </w:num>
  <w:num w:numId="2" w16cid:durableId="754858079">
    <w:abstractNumId w:val="7"/>
  </w:num>
  <w:num w:numId="3" w16cid:durableId="773134593">
    <w:abstractNumId w:val="6"/>
  </w:num>
  <w:num w:numId="4" w16cid:durableId="1404451359">
    <w:abstractNumId w:val="12"/>
  </w:num>
  <w:num w:numId="5" w16cid:durableId="1951739872">
    <w:abstractNumId w:val="15"/>
  </w:num>
  <w:num w:numId="6" w16cid:durableId="1168061598">
    <w:abstractNumId w:val="11"/>
  </w:num>
  <w:num w:numId="7" w16cid:durableId="414790987">
    <w:abstractNumId w:val="4"/>
  </w:num>
  <w:num w:numId="8" w16cid:durableId="733357758">
    <w:abstractNumId w:val="5"/>
  </w:num>
  <w:num w:numId="9" w16cid:durableId="1039432234">
    <w:abstractNumId w:val="0"/>
  </w:num>
  <w:num w:numId="10" w16cid:durableId="773982217">
    <w:abstractNumId w:val="14"/>
  </w:num>
  <w:num w:numId="11" w16cid:durableId="2124227993">
    <w:abstractNumId w:val="8"/>
  </w:num>
  <w:num w:numId="12" w16cid:durableId="110590131">
    <w:abstractNumId w:val="2"/>
  </w:num>
  <w:num w:numId="13" w16cid:durableId="2094351460">
    <w:abstractNumId w:val="3"/>
  </w:num>
  <w:num w:numId="14" w16cid:durableId="677729007">
    <w:abstractNumId w:val="9"/>
  </w:num>
  <w:num w:numId="15" w16cid:durableId="2084982095">
    <w:abstractNumId w:val="13"/>
  </w:num>
  <w:num w:numId="16" w16cid:durableId="1374615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085"/>
    <w:rsid w:val="00095C07"/>
    <w:rsid w:val="00194883"/>
    <w:rsid w:val="003B2085"/>
    <w:rsid w:val="0040493E"/>
    <w:rsid w:val="00551278"/>
    <w:rsid w:val="005D07C4"/>
    <w:rsid w:val="00671C83"/>
    <w:rsid w:val="006A026A"/>
    <w:rsid w:val="00966B5D"/>
    <w:rsid w:val="00A40D16"/>
    <w:rsid w:val="00AA7AB1"/>
    <w:rsid w:val="00B53EAA"/>
    <w:rsid w:val="00BB668B"/>
    <w:rsid w:val="00C251EC"/>
    <w:rsid w:val="00C80615"/>
    <w:rsid w:val="00CC21A5"/>
    <w:rsid w:val="00D5778C"/>
    <w:rsid w:val="00D60616"/>
    <w:rsid w:val="00D6508C"/>
    <w:rsid w:val="00E37503"/>
    <w:rsid w:val="00E5695C"/>
    <w:rsid w:val="00E662A0"/>
    <w:rsid w:val="00EB3C82"/>
    <w:rsid w:val="00EC5A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1A0BA"/>
  <w15:chartTrackingRefBased/>
  <w15:docId w15:val="{9874DDDC-B797-47FB-9A24-0B18DE7D6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0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0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0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0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0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0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0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0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0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0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0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0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0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0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085"/>
    <w:rPr>
      <w:rFonts w:eastAsiaTheme="majorEastAsia" w:cstheme="majorBidi"/>
      <w:color w:val="272727" w:themeColor="text1" w:themeTint="D8"/>
    </w:rPr>
  </w:style>
  <w:style w:type="paragraph" w:styleId="Title">
    <w:name w:val="Title"/>
    <w:basedOn w:val="Normal"/>
    <w:next w:val="Normal"/>
    <w:link w:val="TitleChar"/>
    <w:uiPriority w:val="10"/>
    <w:qFormat/>
    <w:rsid w:val="003B20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0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0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0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085"/>
    <w:pPr>
      <w:spacing w:before="160"/>
      <w:jc w:val="center"/>
    </w:pPr>
    <w:rPr>
      <w:i/>
      <w:iCs/>
      <w:color w:val="404040" w:themeColor="text1" w:themeTint="BF"/>
    </w:rPr>
  </w:style>
  <w:style w:type="character" w:customStyle="1" w:styleId="QuoteChar">
    <w:name w:val="Quote Char"/>
    <w:basedOn w:val="DefaultParagraphFont"/>
    <w:link w:val="Quote"/>
    <w:uiPriority w:val="29"/>
    <w:rsid w:val="003B2085"/>
    <w:rPr>
      <w:i/>
      <w:iCs/>
      <w:color w:val="404040" w:themeColor="text1" w:themeTint="BF"/>
    </w:rPr>
  </w:style>
  <w:style w:type="paragraph" w:styleId="ListParagraph">
    <w:name w:val="List Paragraph"/>
    <w:basedOn w:val="Normal"/>
    <w:uiPriority w:val="34"/>
    <w:qFormat/>
    <w:rsid w:val="003B2085"/>
    <w:pPr>
      <w:ind w:left="720"/>
      <w:contextualSpacing/>
    </w:pPr>
  </w:style>
  <w:style w:type="character" w:styleId="IntenseEmphasis">
    <w:name w:val="Intense Emphasis"/>
    <w:basedOn w:val="DefaultParagraphFont"/>
    <w:uiPriority w:val="21"/>
    <w:qFormat/>
    <w:rsid w:val="003B2085"/>
    <w:rPr>
      <w:i/>
      <w:iCs/>
      <w:color w:val="0F4761" w:themeColor="accent1" w:themeShade="BF"/>
    </w:rPr>
  </w:style>
  <w:style w:type="paragraph" w:styleId="IntenseQuote">
    <w:name w:val="Intense Quote"/>
    <w:basedOn w:val="Normal"/>
    <w:next w:val="Normal"/>
    <w:link w:val="IntenseQuoteChar"/>
    <w:uiPriority w:val="30"/>
    <w:qFormat/>
    <w:rsid w:val="003B20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085"/>
    <w:rPr>
      <w:i/>
      <w:iCs/>
      <w:color w:val="0F4761" w:themeColor="accent1" w:themeShade="BF"/>
    </w:rPr>
  </w:style>
  <w:style w:type="character" w:styleId="IntenseReference">
    <w:name w:val="Intense Reference"/>
    <w:basedOn w:val="DefaultParagraphFont"/>
    <w:uiPriority w:val="32"/>
    <w:qFormat/>
    <w:rsid w:val="003B2085"/>
    <w:rPr>
      <w:b/>
      <w:bCs/>
      <w:smallCaps/>
      <w:color w:val="0F4761" w:themeColor="accent1" w:themeShade="BF"/>
      <w:spacing w:val="5"/>
    </w:rPr>
  </w:style>
  <w:style w:type="paragraph" w:styleId="Header">
    <w:name w:val="header"/>
    <w:basedOn w:val="Normal"/>
    <w:link w:val="HeaderChar"/>
    <w:uiPriority w:val="99"/>
    <w:unhideWhenUsed/>
    <w:rsid w:val="00B53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EAA"/>
  </w:style>
  <w:style w:type="paragraph" w:styleId="Footer">
    <w:name w:val="footer"/>
    <w:basedOn w:val="Normal"/>
    <w:link w:val="FooterChar"/>
    <w:uiPriority w:val="99"/>
    <w:unhideWhenUsed/>
    <w:rsid w:val="00B53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51100">
      <w:bodyDiv w:val="1"/>
      <w:marLeft w:val="0"/>
      <w:marRight w:val="0"/>
      <w:marTop w:val="0"/>
      <w:marBottom w:val="0"/>
      <w:divBdr>
        <w:top w:val="none" w:sz="0" w:space="0" w:color="auto"/>
        <w:left w:val="none" w:sz="0" w:space="0" w:color="auto"/>
        <w:bottom w:val="none" w:sz="0" w:space="0" w:color="auto"/>
        <w:right w:val="none" w:sz="0" w:space="0" w:color="auto"/>
      </w:divBdr>
    </w:div>
    <w:div w:id="127862761">
      <w:bodyDiv w:val="1"/>
      <w:marLeft w:val="0"/>
      <w:marRight w:val="0"/>
      <w:marTop w:val="0"/>
      <w:marBottom w:val="0"/>
      <w:divBdr>
        <w:top w:val="none" w:sz="0" w:space="0" w:color="auto"/>
        <w:left w:val="none" w:sz="0" w:space="0" w:color="auto"/>
        <w:bottom w:val="none" w:sz="0" w:space="0" w:color="auto"/>
        <w:right w:val="none" w:sz="0" w:space="0" w:color="auto"/>
      </w:divBdr>
    </w:div>
    <w:div w:id="1612933885">
      <w:bodyDiv w:val="1"/>
      <w:marLeft w:val="0"/>
      <w:marRight w:val="0"/>
      <w:marTop w:val="0"/>
      <w:marBottom w:val="0"/>
      <w:divBdr>
        <w:top w:val="none" w:sz="0" w:space="0" w:color="auto"/>
        <w:left w:val="none" w:sz="0" w:space="0" w:color="auto"/>
        <w:bottom w:val="none" w:sz="0" w:space="0" w:color="auto"/>
        <w:right w:val="none" w:sz="0" w:space="0" w:color="auto"/>
      </w:divBdr>
    </w:div>
    <w:div w:id="1724257109">
      <w:bodyDiv w:val="1"/>
      <w:marLeft w:val="0"/>
      <w:marRight w:val="0"/>
      <w:marTop w:val="0"/>
      <w:marBottom w:val="0"/>
      <w:divBdr>
        <w:top w:val="none" w:sz="0" w:space="0" w:color="auto"/>
        <w:left w:val="none" w:sz="0" w:space="0" w:color="auto"/>
        <w:bottom w:val="none" w:sz="0" w:space="0" w:color="auto"/>
        <w:right w:val="none" w:sz="0" w:space="0" w:color="auto"/>
      </w:divBdr>
    </w:div>
    <w:div w:id="198307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2074</Words>
  <Characters>11826</Characters>
  <Application>Microsoft Office Word</Application>
  <DocSecurity>0</DocSecurity>
  <Lines>98</Lines>
  <Paragraphs>27</Paragraphs>
  <ScaleCrop>false</ScaleCrop>
  <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7</cp:revision>
  <dcterms:created xsi:type="dcterms:W3CDTF">2025-03-15T15:02:00Z</dcterms:created>
  <dcterms:modified xsi:type="dcterms:W3CDTF">2025-03-15T15:11:00Z</dcterms:modified>
</cp:coreProperties>
</file>