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59FEDB9" w:rsidP="259FEDB9" w:rsidRDefault="259FEDB9" w14:paraId="2DCD9546" w14:textId="40E239C7">
      <w:pPr>
        <w:jc w:val="center"/>
        <w:rPr>
          <w:rFonts w:ascii="Arial" w:hAnsi="Arial" w:eastAsia="Arial" w:cs="Arial"/>
          <w:sz w:val="56"/>
          <w:szCs w:val="56"/>
        </w:rPr>
      </w:pPr>
    </w:p>
    <w:p w:rsidR="259FEDB9" w:rsidP="259FEDB9" w:rsidRDefault="259FEDB9" w14:paraId="2497880E" w14:textId="0D904F50">
      <w:pPr>
        <w:jc w:val="center"/>
        <w:rPr>
          <w:rFonts w:ascii="Arial" w:hAnsi="Arial" w:eastAsia="Arial" w:cs="Arial"/>
          <w:sz w:val="56"/>
          <w:szCs w:val="56"/>
        </w:rPr>
      </w:pPr>
    </w:p>
    <w:p w:rsidR="259FEDB9" w:rsidP="259FEDB9" w:rsidRDefault="259FEDB9" w14:paraId="14CAAAAB" w14:textId="7C7DB701">
      <w:pPr>
        <w:jc w:val="center"/>
        <w:rPr>
          <w:rFonts w:ascii="Arial" w:hAnsi="Arial" w:eastAsia="Arial" w:cs="Arial"/>
          <w:sz w:val="56"/>
          <w:szCs w:val="56"/>
        </w:rPr>
      </w:pPr>
    </w:p>
    <w:p w:rsidR="259FEDB9" w:rsidP="259FEDB9" w:rsidRDefault="259FEDB9" w14:paraId="37DBD9D1" w14:textId="16F7977F">
      <w:pPr>
        <w:jc w:val="center"/>
        <w:rPr>
          <w:rFonts w:ascii="Arial" w:hAnsi="Arial" w:eastAsia="Arial" w:cs="Arial"/>
          <w:sz w:val="56"/>
          <w:szCs w:val="56"/>
        </w:rPr>
      </w:pPr>
    </w:p>
    <w:p xmlns:wp14="http://schemas.microsoft.com/office/word/2010/wordml" w:rsidP="259FEDB9" w14:paraId="2C078E63" wp14:textId="6FFC0E2B">
      <w:pPr>
        <w:jc w:val="center"/>
        <w:rPr>
          <w:rFonts w:ascii="Arial" w:hAnsi="Arial" w:eastAsia="Arial" w:cs="Arial"/>
          <w:sz w:val="56"/>
          <w:szCs w:val="56"/>
        </w:rPr>
      </w:pPr>
      <w:r w:rsidRPr="259FEDB9" w:rsidR="1BF0EC17">
        <w:rPr>
          <w:rFonts w:ascii="Arial" w:hAnsi="Arial" w:eastAsia="Arial" w:cs="Arial"/>
          <w:sz w:val="56"/>
          <w:szCs w:val="56"/>
        </w:rPr>
        <w:t>A Vision of Change - Sustainability in the hotel industry</w:t>
      </w:r>
    </w:p>
    <w:p w:rsidR="259FEDB9" w:rsidP="259FEDB9" w:rsidRDefault="259FEDB9" w14:paraId="4D7DA71B" w14:textId="4227A68D">
      <w:pPr>
        <w:pStyle w:val="Normal"/>
        <w:jc w:val="center"/>
        <w:rPr>
          <w:rFonts w:ascii="Arial" w:hAnsi="Arial" w:eastAsia="Arial" w:cs="Arial"/>
          <w:sz w:val="56"/>
          <w:szCs w:val="56"/>
        </w:rPr>
      </w:pPr>
    </w:p>
    <w:p w:rsidR="259FEDB9" w:rsidP="259FEDB9" w:rsidRDefault="259FEDB9" w14:paraId="02EE32A5" w14:textId="753FDD7D">
      <w:pPr>
        <w:pStyle w:val="Normal"/>
        <w:jc w:val="center"/>
        <w:rPr>
          <w:rFonts w:ascii="Arial" w:hAnsi="Arial" w:eastAsia="Arial" w:cs="Arial"/>
          <w:sz w:val="56"/>
          <w:szCs w:val="56"/>
        </w:rPr>
      </w:pPr>
    </w:p>
    <w:p w:rsidR="259FEDB9" w:rsidP="259FEDB9" w:rsidRDefault="259FEDB9" w14:paraId="00DA07F1" w14:textId="0AC3D573">
      <w:pPr>
        <w:pStyle w:val="Normal"/>
        <w:jc w:val="center"/>
        <w:rPr>
          <w:rFonts w:ascii="Arial" w:hAnsi="Arial" w:eastAsia="Arial" w:cs="Arial"/>
          <w:sz w:val="56"/>
          <w:szCs w:val="56"/>
        </w:rPr>
      </w:pPr>
    </w:p>
    <w:p w:rsidR="259FEDB9" w:rsidP="259FEDB9" w:rsidRDefault="259FEDB9" w14:paraId="1C0905A7" w14:textId="36EE0A46">
      <w:pPr>
        <w:pStyle w:val="Normal"/>
        <w:jc w:val="center"/>
        <w:rPr>
          <w:rFonts w:ascii="Arial" w:hAnsi="Arial" w:eastAsia="Arial" w:cs="Arial"/>
          <w:sz w:val="56"/>
          <w:szCs w:val="56"/>
        </w:rPr>
      </w:pPr>
    </w:p>
    <w:p w:rsidR="3EEAAAC6" w:rsidP="259FEDB9" w:rsidRDefault="3EEAAAC6" w14:paraId="2CD5891A" w14:textId="0FCD1887">
      <w:pPr>
        <w:pStyle w:val="Normal"/>
        <w:jc w:val="left"/>
        <w:rPr>
          <w:rFonts w:ascii="Arial" w:hAnsi="Arial" w:eastAsia="Arial" w:cs="Arial"/>
          <w:sz w:val="28"/>
          <w:szCs w:val="28"/>
        </w:rPr>
      </w:pPr>
      <w:r w:rsidRPr="259FEDB9" w:rsidR="3EEAAAC6">
        <w:rPr>
          <w:rFonts w:ascii="Arial" w:hAnsi="Arial" w:eastAsia="Arial" w:cs="Arial"/>
          <w:sz w:val="28"/>
          <w:szCs w:val="28"/>
        </w:rPr>
        <w:t xml:space="preserve">Student: Cornel </w:t>
      </w:r>
      <w:r w:rsidRPr="259FEDB9" w:rsidR="3EEAAAC6">
        <w:rPr>
          <w:rFonts w:ascii="Arial" w:hAnsi="Arial" w:eastAsia="Arial" w:cs="Arial"/>
          <w:sz w:val="28"/>
          <w:szCs w:val="28"/>
        </w:rPr>
        <w:t>I</w:t>
      </w:r>
      <w:r w:rsidRPr="259FEDB9" w:rsidR="3EEAAAC6">
        <w:rPr>
          <w:rFonts w:ascii="Arial" w:hAnsi="Arial" w:eastAsia="Arial" w:cs="Arial"/>
          <w:sz w:val="28"/>
          <w:szCs w:val="28"/>
        </w:rPr>
        <w:t>urea</w:t>
      </w:r>
    </w:p>
    <w:p w:rsidR="3EEAAAC6" w:rsidP="259FEDB9" w:rsidRDefault="3EEAAAC6" w14:paraId="37F4719F" w14:textId="18C96483">
      <w:pPr>
        <w:pStyle w:val="Normal"/>
        <w:jc w:val="left"/>
        <w:rPr>
          <w:rFonts w:ascii="Arial" w:hAnsi="Arial" w:eastAsia="Arial" w:cs="Arial"/>
          <w:sz w:val="28"/>
          <w:szCs w:val="28"/>
        </w:rPr>
      </w:pPr>
      <w:r w:rsidRPr="259FEDB9" w:rsidR="3EEAAAC6">
        <w:rPr>
          <w:rFonts w:ascii="Arial" w:hAnsi="Arial" w:eastAsia="Arial" w:cs="Arial"/>
          <w:sz w:val="28"/>
          <w:szCs w:val="28"/>
        </w:rPr>
        <w:t>Student ID: 1817181</w:t>
      </w:r>
    </w:p>
    <w:p w:rsidR="3EEAAAC6" w:rsidP="259FEDB9" w:rsidRDefault="3EEAAAC6" w14:paraId="0C58BDF9" w14:textId="1EE1A6B3">
      <w:pPr>
        <w:pStyle w:val="Normal"/>
        <w:jc w:val="left"/>
        <w:rPr>
          <w:rFonts w:ascii="Arial" w:hAnsi="Arial" w:eastAsia="Arial" w:cs="Arial"/>
          <w:sz w:val="28"/>
          <w:szCs w:val="28"/>
        </w:rPr>
      </w:pPr>
      <w:r w:rsidRPr="259FEDB9" w:rsidR="3EEAAAC6">
        <w:rPr>
          <w:rFonts w:ascii="Arial" w:hAnsi="Arial" w:eastAsia="Arial" w:cs="Arial"/>
          <w:sz w:val="28"/>
          <w:szCs w:val="28"/>
        </w:rPr>
        <w:t>Module: Sustainable Hospitality &amp; Tourism Management (BMIH5006)</w:t>
      </w:r>
    </w:p>
    <w:p w:rsidR="3EEAAAC6" w:rsidP="259FEDB9" w:rsidRDefault="3EEAAAC6" w14:paraId="7C1193AA" w14:textId="18CD9893">
      <w:pPr>
        <w:pStyle w:val="Normal"/>
        <w:jc w:val="left"/>
        <w:rPr>
          <w:rFonts w:ascii="Arial" w:hAnsi="Arial" w:eastAsia="Arial" w:cs="Arial"/>
          <w:sz w:val="28"/>
          <w:szCs w:val="28"/>
        </w:rPr>
      </w:pPr>
      <w:r w:rsidRPr="259FEDB9" w:rsidR="3EEAAAC6">
        <w:rPr>
          <w:rFonts w:ascii="Arial" w:hAnsi="Arial" w:eastAsia="Arial" w:cs="Arial"/>
          <w:sz w:val="28"/>
          <w:szCs w:val="28"/>
        </w:rPr>
        <w:t xml:space="preserve">Lecturer: </w:t>
      </w:r>
      <w:r w:rsidRPr="259FEDB9" w:rsidR="7AAE6CF0">
        <w:rPr>
          <w:rFonts w:ascii="Arial" w:hAnsi="Arial" w:eastAsia="Arial" w:cs="Arial"/>
          <w:sz w:val="28"/>
          <w:szCs w:val="28"/>
        </w:rPr>
        <w:t>Ruth Taylor-Davies</w:t>
      </w:r>
    </w:p>
    <w:p w:rsidR="259FEDB9" w:rsidP="259FEDB9" w:rsidRDefault="259FEDB9" w14:paraId="65497D83" w14:textId="57806AE9">
      <w:pPr>
        <w:pStyle w:val="Normal"/>
        <w:jc w:val="left"/>
        <w:rPr>
          <w:rFonts w:ascii="Arial" w:hAnsi="Arial" w:eastAsia="Arial" w:cs="Arial"/>
          <w:sz w:val="28"/>
          <w:szCs w:val="28"/>
        </w:rPr>
      </w:pPr>
    </w:p>
    <w:p w:rsidR="259FEDB9" w:rsidP="259FEDB9" w:rsidRDefault="259FEDB9" w14:paraId="57CF2B35" w14:textId="1CC957F0">
      <w:pPr>
        <w:pStyle w:val="Normal"/>
        <w:jc w:val="left"/>
        <w:rPr>
          <w:rFonts w:ascii="Arial" w:hAnsi="Arial" w:eastAsia="Arial" w:cs="Arial"/>
          <w:sz w:val="28"/>
          <w:szCs w:val="28"/>
        </w:rPr>
      </w:pPr>
    </w:p>
    <w:p w:rsidR="259FEDB9" w:rsidP="259FEDB9" w:rsidRDefault="259FEDB9" w14:paraId="00D2A8CF" w14:textId="5C927242">
      <w:pPr>
        <w:pStyle w:val="Normal"/>
        <w:jc w:val="left"/>
        <w:rPr>
          <w:rFonts w:ascii="Arial" w:hAnsi="Arial" w:eastAsia="Arial" w:cs="Arial"/>
          <w:sz w:val="28"/>
          <w:szCs w:val="28"/>
        </w:rPr>
      </w:pPr>
    </w:p>
    <w:p w:rsidR="259FEDB9" w:rsidP="259FEDB9" w:rsidRDefault="259FEDB9" w14:paraId="5A924D81" w14:textId="5FB3CD5F">
      <w:pPr>
        <w:pStyle w:val="Normal"/>
        <w:jc w:val="left"/>
        <w:rPr>
          <w:rFonts w:ascii="Arial" w:hAnsi="Arial" w:eastAsia="Arial" w:cs="Arial"/>
          <w:sz w:val="28"/>
          <w:szCs w:val="28"/>
        </w:rPr>
      </w:pPr>
    </w:p>
    <w:p w:rsidR="259FEDB9" w:rsidP="259FEDB9" w:rsidRDefault="259FEDB9" w14:paraId="28FE1522" w14:textId="6435AEB1">
      <w:pPr>
        <w:pStyle w:val="Normal"/>
        <w:jc w:val="left"/>
        <w:rPr>
          <w:rFonts w:ascii="Arial" w:hAnsi="Arial" w:eastAsia="Arial" w:cs="Arial"/>
          <w:sz w:val="28"/>
          <w:szCs w:val="28"/>
        </w:rPr>
      </w:pPr>
    </w:p>
    <w:p w:rsidR="3F35B664" w:rsidP="259FEDB9" w:rsidRDefault="3F35B664" w14:paraId="1D6AA824" w14:textId="5DBD100A">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The purpose of this paper is to analyse the relationship between hotel industry and sustainability by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identifying</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what is the current view upon sustainability and how may the industry’s firms contribute to it. Further, the essay will address the pillar fields of sustainability and describe some of the factors that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determined</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businesses to give increased attention to this trend. Also, it will explore the meaning of the circular economy and what implications does it have in the context of the industry and its Corporate Social Responsibility.</w:t>
      </w:r>
    </w:p>
    <w:p w:rsidR="3F35B664" w:rsidP="259FEDB9" w:rsidRDefault="3F35B664" w14:paraId="1A13E981" w14:textId="04E00FE8">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The hospitality industry has been counted as a great consumer of resources such as water, energy,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fuel</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and consumable goods as these are indispensable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in order to</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provide</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products and services. As the sector is extending into new geographic areas or increases its popularity around certain venues, the number of visitors grows, which may cause greater congestion and materials usage. Therefore, sustainability stands as key for a thoughtful balance between the successful running of the industry and the environment’s quality. </w:t>
      </w:r>
    </w:p>
    <w:p w:rsidR="3F35B664" w:rsidP="259FEDB9" w:rsidRDefault="3F35B664" w14:paraId="703845CA" w14:textId="252284E1">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Ten and Bert (2020, p.153) defined sustainability as a set of values and strategies designed for natural resource preservation and protection, underpinned by three main pillars: economic,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social</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and environmental. Also, Friedli et al., (2014, p.74) highlighted it as awareness of supplies' finiteness and the necessity of adjusting their operations to eco-friendly management and productivity. It has been agreed that this concern needs to be raised and shared among social groups, to educate them to show their support at personal level for a greater change and transformation (Wamsler, 2020, p.129). Moreover, sustainability embraces society development and economic flourishing to reduce the negative impacts around the globe. Thus, when people’s concerns are resolved and their potential is optimised, the way to a healthier environment is paved (Silvester and Fisker, 2023).</w:t>
      </w:r>
    </w:p>
    <w:p w:rsidR="3F35B664" w:rsidP="259FEDB9" w:rsidRDefault="3F35B664" w14:paraId="6760007A" w14:textId="27DF6A75">
      <w:pPr>
        <w:spacing w:before="0" w:beforeAutospacing="off" w:after="160" w:afterAutospacing="off"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The concept of sustainability has been outlined by the Brundtland Commission (World Commission on Environment and Development, 1987) by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establishing</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its three pillars: economy, society, and environment. Although interdependent (every dimension influences the other one in different measures), each of them approaches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different ways</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of how human activity may affect the planet and its long-term consequences. Therefore, designing solutions and alternatives, according to the present requirements, will generate improvement for all people’s benefit.</w:t>
      </w:r>
    </w:p>
    <w:p w:rsidR="3F35B664" w:rsidP="259FEDB9" w:rsidRDefault="3F35B664" w14:paraId="00A3AE09" w14:textId="558DF5CA">
      <w:pPr>
        <w:spacing w:before="0" w:beforeAutospacing="off" w:after="160" w:afterAutospacing="off"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Firstly, in the context of tourism, the economy stands as essential due to the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high level</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of finances that is exchanged between the visitors and the services providers.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Dolasinski</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Roberts, and Reynolds (2022, p.3303) mentioned employment opportunities, community growth, tourists' education, and local financial development among the positive effects of the economical pillar. However, simultaneously, this has created some negative effects such as increased prices, dependence on the local economy, and more competitiveness between companies. Therefore, the purpose of economic sustainability should address the fairness of benefits sharing, the long-term effectiveness of financial operations and the prosperity of different social layers. Due to recent events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e.g.</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inflation, war), it has been shown that the economic status of a certain country may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impact</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the consumer’s travel intention (Singh, 2022, p.40). People need to approach their budget according to their priorities, and leisure travel may be ranked after fulfilling other basic needs such as accommodation, food, and bills. </w:t>
      </w:r>
    </w:p>
    <w:p w:rsidR="3F35B664" w:rsidP="259FEDB9" w:rsidRDefault="3F35B664" w14:paraId="5EE1FAFC" w14:textId="7DCFBBB7">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Thus, as the costs have risen at every level, hospitality venues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have to</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implement proper cost strategies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in order to</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cover the expenditures while still attracting customers (Statista, 2023). </w:t>
      </w:r>
    </w:p>
    <w:p w:rsidR="3F35B664" w:rsidP="259FEDB9" w:rsidRDefault="3F35B664" w14:paraId="53D8BF8D" w14:textId="4E8CD8DC">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Secondly, according to Kim,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Min</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and Yoon (2022, p.44), the social pillar covers the human factors of sustainability such as cultural elements (conserving people’s traditional values and heritage), human rights (reducing inequalities), health and well-being (safe workplace, clean water), community involvement (charitable actions, inclusiveness). While authenticity loss, commercialisation and heritage destruction can be counted as social negative effects of tourism, there are also social positive aspects to consider such as revitalisation of culture and art, social services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provision</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and community fortifying. Missimer,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Robert</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and Broman (2017, p.33) reported that social sustainability may be supported through education, intercultural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awareness</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and rights equality promotion, especially when travelling is occurring at an international level. Therefore, a larger vision would improve the quality of life in more societies and encourage peaceful relationships.</w:t>
      </w:r>
    </w:p>
    <w:p w:rsidR="3F35B664" w:rsidP="259FEDB9" w:rsidRDefault="3F35B664" w14:paraId="012CAD1E" w14:textId="1B29D645">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The Good Hotel, founded by Marten Dresen,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demonstrates</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a solid example of equilibrium between the economic and social pillars of tourism sustainability. He started the business in a small Guatemalan village and hired local people. Consequently, the Good Hotel offered employability, financial development, educational opportunities and further, he invested the profit in building and operating schools (The Good Hotel, 2023). </w:t>
      </w:r>
    </w:p>
    <w:p w:rsidR="3F35B664" w:rsidP="259FEDB9" w:rsidRDefault="3F35B664" w14:paraId="63DD2295" w14:textId="56447D13">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Thirdly, the environmental pillar acknowledges the greater need for focus on nature’s conditions and resources as they are fundamental to sustain life and well-being. It has won an increasing attention from organisations and businesses since human activity and interest in tourism continues to grow. Ali </w:t>
      </w:r>
      <w:r w:rsidRPr="259FEDB9" w:rsidR="3F35B664">
        <w:rPr>
          <w:rFonts w:ascii="Arial" w:hAnsi="Arial" w:eastAsia="Arial" w:cs="Arial"/>
          <w:b w:val="0"/>
          <w:bCs w:val="0"/>
          <w:i w:val="1"/>
          <w:iCs w:val="1"/>
          <w:caps w:val="0"/>
          <w:smallCaps w:val="0"/>
          <w:noProof w:val="0"/>
          <w:color w:val="000000" w:themeColor="text1" w:themeTint="FF" w:themeShade="FF"/>
          <w:sz w:val="24"/>
          <w:szCs w:val="24"/>
          <w:lang w:val="en-GB"/>
        </w:rPr>
        <w:t>et al.</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(2022, p.308) agreed that pursuing environmental sustainability equals supporting present and future generations by creating the most harmonious conditions between people and nature. Carbon footprint, air quality, pollution, and energy consumption represent a few of the issues that need to be constantly reviewed to increase the rate of sustainability (Agarwal </w:t>
      </w:r>
      <w:r w:rsidRPr="259FEDB9" w:rsidR="3F35B664">
        <w:rPr>
          <w:rFonts w:ascii="Arial" w:hAnsi="Arial" w:eastAsia="Arial" w:cs="Arial"/>
          <w:b w:val="0"/>
          <w:bCs w:val="0"/>
          <w:i w:val="1"/>
          <w:iCs w:val="1"/>
          <w:caps w:val="0"/>
          <w:smallCaps w:val="0"/>
          <w:noProof w:val="0"/>
          <w:color w:val="000000" w:themeColor="text1" w:themeTint="FF" w:themeShade="FF"/>
          <w:sz w:val="24"/>
          <w:szCs w:val="24"/>
          <w:lang w:val="en-GB"/>
        </w:rPr>
        <w:t>et al.,</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2020; Gupta, 2018, p.345). </w:t>
      </w:r>
    </w:p>
    <w:p w:rsidR="3F35B664" w:rsidP="259FEDB9" w:rsidRDefault="3F35B664" w14:paraId="01190694" w14:textId="4787D15C">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As the hospitality industry and tourism sector depend on various resources to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operate</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their activities,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viable</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alternatives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represent</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a win-win solution for both the businesses and the environment. Dodds and Walsh (2017, p.673) highlighted that sustainable practices also have a positive influence on the economy, including for a touristic venue. Usually, the costs are reduced, the environment is protected, meaning more profit, and even a positive reputation in the industry for that brand. For example, the Grand Hyatt Singapore is recycling the fourth rinse of water from laundry operations and is using chef aprons from 70% recycled plastic (Hyatt, 2020). The venue’s leadership believes that their model can inspire other individuals and corporations to help the environment. Also, Accor aims to rely on local suppliers for products used in food and beverage preparation (Accor, 2023). Thus, they encourage local economy and small businesses to succeed which is a strong factor in creating lasting partnerships. Further, it may create a positive impression for the hotel’s guest as using local products comes as a sig</w:t>
      </w:r>
      <w:r w:rsidRPr="259FEDB9" w:rsidR="2AD123A3">
        <w:rPr>
          <w:rFonts w:ascii="Arial" w:hAnsi="Arial" w:eastAsia="Arial" w:cs="Arial"/>
          <w:b w:val="0"/>
          <w:bCs w:val="0"/>
          <w:i w:val="0"/>
          <w:iCs w:val="0"/>
          <w:caps w:val="0"/>
          <w:smallCaps w:val="0"/>
          <w:noProof w:val="0"/>
          <w:color w:val="000000" w:themeColor="text1" w:themeTint="FF" w:themeShade="FF"/>
          <w:sz w:val="24"/>
          <w:szCs w:val="24"/>
          <w:lang w:val="en-GB"/>
        </w:rPr>
        <w:t>n of authenticity.</w:t>
      </w:r>
    </w:p>
    <w:p w:rsidR="3F35B664" w:rsidP="259FEDB9" w:rsidRDefault="3F35B664" w14:paraId="0A356650" w14:textId="07E9E785">
      <w:pPr>
        <w:spacing w:before="0" w:beforeAutospacing="off" w:after="160" w:afterAutospacing="off"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It has been reported by Fang </w:t>
      </w:r>
      <w:r w:rsidRPr="259FEDB9" w:rsidR="3F35B664">
        <w:rPr>
          <w:rFonts w:ascii="Arial" w:hAnsi="Arial" w:eastAsia="Arial" w:cs="Arial"/>
          <w:b w:val="0"/>
          <w:bCs w:val="0"/>
          <w:i w:val="1"/>
          <w:iCs w:val="1"/>
          <w:caps w:val="0"/>
          <w:smallCaps w:val="0"/>
          <w:noProof w:val="0"/>
          <w:color w:val="000000" w:themeColor="text1" w:themeTint="FF" w:themeShade="FF"/>
          <w:sz w:val="24"/>
          <w:szCs w:val="24"/>
          <w:lang w:val="en-GB"/>
        </w:rPr>
        <w:t xml:space="preserve">et al.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(2022) that institutions and governments played a crucial role in stimulating organisations to adopt green innovation through implementing certain regulations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e.g.</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pollution emission charges). As a result, the companies were motivated to innovate their products, and adopt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new technologies</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to internalise the governmental standards. The hotel industry shows an increasing commitment to adapt their operations to sustainability standards without compromising the service quality (Costa and Costa, 2022, p.142). The main purpose is to reduce the environmental damage and help societies to thrive. Since the popularity of touristic locations fluctuates, it may be challenging especially for hotel chains to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operate</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under different regulations imposed worldwide. Thus, the investments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required</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may vary according to local standards and opportunities.</w:t>
      </w:r>
    </w:p>
    <w:p w:rsidR="3F35B664" w:rsidP="259FEDB9" w:rsidRDefault="3F35B664" w14:paraId="02328561" w14:textId="6D9EA8F1">
      <w:pPr>
        <w:spacing w:before="0" w:beforeAutospacing="off" w:after="160" w:afterAutospacing="off"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However, the organisations decided to proactively create a green reputation since it empowers them to enjoy a better performance and win competitive advantages such as diminished costs and more receptiveness to market’s demands (Bianco, Bernard and Singal, 2023). Besides, the green practices have been correlated with customer’s green behaviour intention, green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word-of-mouth</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and willingness to pay more for an eco-friendly accommodation (Abdou</w:t>
      </w:r>
      <w:r w:rsidRPr="259FEDB9" w:rsidR="3F35B664">
        <w:rPr>
          <w:rFonts w:ascii="Arial" w:hAnsi="Arial" w:eastAsia="Arial" w:cs="Arial"/>
          <w:b w:val="0"/>
          <w:bCs w:val="0"/>
          <w:i w:val="1"/>
          <w:iCs w:val="1"/>
          <w:caps w:val="0"/>
          <w:smallCaps w:val="0"/>
          <w:noProof w:val="0"/>
          <w:color w:val="000000" w:themeColor="text1" w:themeTint="FF" w:themeShade="FF"/>
          <w:sz w:val="24"/>
          <w:szCs w:val="24"/>
          <w:lang w:val="en-GB"/>
        </w:rPr>
        <w:t xml:space="preserve"> et al</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2022).</w:t>
      </w:r>
    </w:p>
    <w:p w:rsidR="3F35B664" w:rsidP="259FEDB9" w:rsidRDefault="3F35B664" w14:paraId="03A88968" w14:textId="42FA73E7">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Han and Chen (2022, p.342) found that social media and influencer marketing have a significant impact on travel intention and its associated choices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e.g.</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hotels, local touristic points, activities), especially for Millennial consumers. This phenomenon also creates a tremendous and diverse source of knowledge and ideas that generates new demands in terms of experience, products, and services. Consequently, materials exploitation must extend to cover all requirements and satisfy the customers. Currently, the linear model of consumption still dominates through facile access to huge quantities of energy and facilities (Bux and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Amicarelli</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2022). However, the notion of “Circular Economy” captures an increasing amount of attention across industries as a sustainability catalyst.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Pamfilie</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59FEDB9" w:rsidR="3F35B664">
        <w:rPr>
          <w:rFonts w:ascii="Arial" w:hAnsi="Arial" w:eastAsia="Arial" w:cs="Arial"/>
          <w:b w:val="0"/>
          <w:bCs w:val="0"/>
          <w:i w:val="1"/>
          <w:iCs w:val="1"/>
          <w:caps w:val="0"/>
          <w:smallCaps w:val="0"/>
          <w:noProof w:val="0"/>
          <w:color w:val="000000" w:themeColor="text1" w:themeTint="FF" w:themeShade="FF"/>
          <w:sz w:val="24"/>
          <w:szCs w:val="24"/>
          <w:lang w:val="en-GB"/>
        </w:rPr>
        <w:t>et al.</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(2018, p.389) characterised it as a model of regenerative system in resources usage by striving to keep them at highest point of value and efficacy. Contrary to the linear model that promotes only consumption, waste, and few efforts or nothing to stimulate replacement, the circular model empowers a progressive, dynamic development of resources management and preservation. It aims to reduce waste,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eliminate</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toxic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substances</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and optimise renewable energy through advanced systems and business models. Thus, the hotel industry gains an innovative dimension which makes room for more sustainable practices and an enriched vision for a stronger Corporate Social Responsibility (CSR). </w:t>
      </w:r>
    </w:p>
    <w:p w:rsidR="3F35B664" w:rsidP="259FEDB9" w:rsidRDefault="3F35B664" w14:paraId="7F667F70" w14:textId="0A7C9E0F">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Ko,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Chan</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and Wong (2019, p.1860) defined Corporate Social Responsibility as an organisation’s adherence to oversee their operations’ impact upon certain groups or environment within a society’s framework. Also, Pilar </w:t>
      </w:r>
      <w:r w:rsidRPr="259FEDB9" w:rsidR="3F35B664">
        <w:rPr>
          <w:rFonts w:ascii="Arial" w:hAnsi="Arial" w:eastAsia="Arial" w:cs="Arial"/>
          <w:b w:val="0"/>
          <w:bCs w:val="0"/>
          <w:i w:val="1"/>
          <w:iCs w:val="1"/>
          <w:caps w:val="0"/>
          <w:smallCaps w:val="0"/>
          <w:noProof w:val="0"/>
          <w:color w:val="000000" w:themeColor="text1" w:themeTint="FF" w:themeShade="FF"/>
          <w:sz w:val="24"/>
          <w:szCs w:val="24"/>
          <w:lang w:val="en-GB"/>
        </w:rPr>
        <w:t xml:space="preserve">et al.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(2018, p.25) labelled it as a reputation booster since it may help to create a superior brand image due to their activity’s high regard and concern. Therefore, in terms of sustainability, a hotel’s CSR can display how the organisation conduct involves in environmental care through specific strategies and goals. In this context, the Circular Economy functions as a tool that enables the business to make the most of their available materials and performance outcomes. However, it may be challenging since it requires certain behaviour or mindset resets, a move from linear consumption to circular consumption.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In order to</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achieve it, certain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and incentives need to be revised and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established</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while considering collaborations with suppliers that can meet the company’s new interests (Baah et al., 2023). Thus, adopting these concepts can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benefit</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a business by showing innovation and leadership, attracting new customers and consolidating cooperation with partners and employees.</w:t>
      </w:r>
    </w:p>
    <w:p w:rsidR="3F35B664" w:rsidP="259FEDB9" w:rsidRDefault="3F35B664" w14:paraId="4CB1AF9A" w14:textId="74E07FEE">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As one of the leading organisations in the industry, Hilton Hotels dedicated to their CSR an entire programme called Travel with Purpose (Hilton, 2023b). Considering themselves responsible for implementing positive environmental and social change, they put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a great value</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on their products’ provenience,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packaging</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and transport. Eventually, they are looking for reusing, recycling, repurposing it, to avoid waste and reduce carbon footprint (Hilton, 2023a). Through this circular consumption, they rely on environmental and economic pillars of sustainability. As more costs will be covered, the gained profit may be invested in other operations or business aims. </w:t>
      </w:r>
    </w:p>
    <w:p w:rsidR="3F35B664" w:rsidP="259FEDB9" w:rsidRDefault="3F35B664" w14:paraId="6EEF789D" w14:textId="638B0BEF">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Marriott Hotels, a notorious brand in the industry, is dedicated to serving its CSR through a wide range of goals. According to Marriott (2019), the company requires all its contracted suppliers to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provide</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information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the product’s sustainability and social impact. By the end of 2025, more than 80% of managed hotels employees will be involved in community service. Moreover, organisation will strengthen fresh partnerships for hospitality skills development among less favoured social groups. Also, all Marriott venues will own recognised sustainability certification. These examples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demonstrate</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the organisation’s commitment to reach each pillar of sustainability through active involvement in society,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providing</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chances and opportunities for economic and personal growth (Landau, 2020, p.564). Also, they engage in responsibly circular sourcing which is beneficial for the environment and natural capital.</w:t>
      </w:r>
    </w:p>
    <w:p w:rsidR="3F35B664" w:rsidP="259FEDB9" w:rsidRDefault="3F35B664" w14:paraId="1B66EED9" w14:textId="788088FB">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Both Hilton and Marriott emphasize the importance of acknowledging further information about the provenience of their acquisitions. This may lead to an increased awareness and transparency from stakeholders and suppliers and may reduce certain social injustices or unsustainable practices. However, although Hilton implemented certain green measures to adhere to sustainability, there is a risk of not being noticed by guests or employees. Thus, Marriott’s strategy of obtaining certification in the field would increase Hilton’s credibility and highlight its commitment to sustainability (Nelson </w:t>
      </w:r>
      <w:r w:rsidRPr="259FEDB9" w:rsidR="3F35B664">
        <w:rPr>
          <w:rFonts w:ascii="Arial" w:hAnsi="Arial" w:eastAsia="Arial" w:cs="Arial"/>
          <w:b w:val="0"/>
          <w:bCs w:val="0"/>
          <w:i w:val="1"/>
          <w:iCs w:val="1"/>
          <w:caps w:val="0"/>
          <w:smallCaps w:val="0"/>
          <w:noProof w:val="0"/>
          <w:color w:val="000000" w:themeColor="text1" w:themeTint="FF" w:themeShade="FF"/>
          <w:sz w:val="24"/>
          <w:szCs w:val="24"/>
          <w:lang w:val="en-GB"/>
        </w:rPr>
        <w:t>et al.,</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2021). On another side, Marriott may need to consider circularity in internal operations as Hilton, not only externally. Therefore, through gradual implementation, Marriott would achieve more sustainability and a greater impact.</w:t>
      </w:r>
    </w:p>
    <w:p w:rsidR="3F35B664" w:rsidP="259FEDB9" w:rsidRDefault="3F35B664" w14:paraId="1515BFE9" w14:textId="6720C388">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It may be concluded that the hotel industry invests considerable effort into adapting to contemporary trends of environmental concerns while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maintaining</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a focus on customer satisfaction. Sustainability encompasses three dimensions of economic, social, and environmental, and each of these need to be addressed to gain consistent outcomes. Caring for the planet, economic progress, improving societies, preserving the natural and cultural capital for the present and future generations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represent</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some of the core values of sustainability. As a host of a wide range of people throughout time (employees, guests, partners), the hotels own an incomparable potential to lead by example and bring its contribution to achieving eco-friendly lifestyles. Also, the sector promotes a healthier way of life which is associated with wellness. </w:t>
      </w:r>
      <w:r>
        <w:tab/>
      </w:r>
    </w:p>
    <w:p w:rsidR="3F35B664" w:rsidP="259FEDB9" w:rsidRDefault="3F35B664" w14:paraId="7335DA3D" w14:textId="5A1BF388">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It has been found that the Circular Economy is one of the most recent strategies for supporting sustainability. This stands for circular lifecycle of materials and a responsible management of consumption, in contrast with the linear consumption. Although the organisations need to revise their operations, materials and services, the Circular Economy may be integrated into their Corporate Social Responsibility to enhance their impact upon all three pillars of sustainability. </w:t>
      </w:r>
    </w:p>
    <w:p w:rsidR="3F35B664" w:rsidP="259FEDB9" w:rsidRDefault="3F35B664" w14:paraId="2CEE863A" w14:textId="2BE65074">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The hotel industry can </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represent</w:t>
      </w:r>
      <w:r w:rsidRPr="259FEDB9"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a strong example of sustainability and bring improvements in the wellbeing of planet’s residents. </w:t>
      </w:r>
    </w:p>
    <w:p w:rsidR="259FEDB9" w:rsidP="259FEDB9" w:rsidRDefault="259FEDB9" w14:paraId="1CEDC635" w14:textId="2D34736A">
      <w:pPr>
        <w:spacing w:before="0" w:beforeAutospacing="off" w:after="160" w:afterAutospacing="off" w:line="360" w:lineRule="auto"/>
        <w:ind w:left="0" w:right="0" w:firstLine="0"/>
        <w:jc w:val="both"/>
        <w:rPr>
          <w:rFonts w:ascii="Arial" w:hAnsi="Arial" w:eastAsia="Arial" w:cs="Arial"/>
          <w:b w:val="0"/>
          <w:bCs w:val="0"/>
          <w:i w:val="0"/>
          <w:iCs w:val="0"/>
          <w:caps w:val="0"/>
          <w:smallCaps w:val="0"/>
          <w:noProof w:val="0"/>
          <w:color w:val="000000" w:themeColor="text1" w:themeTint="FF" w:themeShade="FF"/>
          <w:sz w:val="28"/>
          <w:szCs w:val="28"/>
          <w:lang w:val="en-US"/>
        </w:rPr>
      </w:pPr>
    </w:p>
    <w:p w:rsidR="259FEDB9" w:rsidP="259FEDB9" w:rsidRDefault="259FEDB9" w14:paraId="086FC2B3" w14:textId="12D1FB37">
      <w:pPr>
        <w:pStyle w:val="Normal"/>
        <w:jc w:val="left"/>
        <w:rPr>
          <w:rFonts w:ascii="Arial" w:hAnsi="Arial" w:eastAsia="Arial" w:cs="Arial"/>
          <w:sz w:val="28"/>
          <w:szCs w:val="28"/>
        </w:rPr>
      </w:pPr>
    </w:p>
    <w:p w:rsidR="259FEDB9" w:rsidP="259FEDB9" w:rsidRDefault="259FEDB9" w14:paraId="224D79D9" w14:textId="584E4EBB">
      <w:pPr>
        <w:pStyle w:val="Normal"/>
        <w:jc w:val="left"/>
        <w:rPr>
          <w:rFonts w:ascii="Arial" w:hAnsi="Arial" w:eastAsia="Arial" w:cs="Arial"/>
          <w:sz w:val="28"/>
          <w:szCs w:val="28"/>
        </w:rPr>
      </w:pPr>
    </w:p>
    <w:p w:rsidR="259FEDB9" w:rsidP="259FEDB9" w:rsidRDefault="259FEDB9" w14:paraId="0B8E33CC" w14:textId="511EA955">
      <w:pPr>
        <w:pStyle w:val="Normal"/>
        <w:jc w:val="left"/>
        <w:rPr>
          <w:rFonts w:ascii="Arial" w:hAnsi="Arial" w:eastAsia="Arial" w:cs="Arial"/>
          <w:sz w:val="28"/>
          <w:szCs w:val="28"/>
        </w:rPr>
      </w:pPr>
    </w:p>
    <w:p w:rsidR="259FEDB9" w:rsidP="259FEDB9" w:rsidRDefault="259FEDB9" w14:paraId="3C5A3687" w14:textId="2EFD994A">
      <w:pPr>
        <w:pStyle w:val="Normal"/>
        <w:jc w:val="left"/>
        <w:rPr>
          <w:rFonts w:ascii="Arial" w:hAnsi="Arial" w:eastAsia="Arial" w:cs="Arial"/>
          <w:sz w:val="28"/>
          <w:szCs w:val="28"/>
        </w:rPr>
      </w:pPr>
    </w:p>
    <w:p w:rsidR="259FEDB9" w:rsidP="259FEDB9" w:rsidRDefault="259FEDB9" w14:paraId="4891D653" w14:textId="4368B5C1">
      <w:pPr>
        <w:pStyle w:val="Normal"/>
        <w:jc w:val="left"/>
        <w:rPr>
          <w:rFonts w:ascii="Arial" w:hAnsi="Arial" w:eastAsia="Arial" w:cs="Arial"/>
          <w:sz w:val="28"/>
          <w:szCs w:val="28"/>
        </w:rPr>
      </w:pPr>
    </w:p>
    <w:p w:rsidR="259FEDB9" w:rsidP="259FEDB9" w:rsidRDefault="259FEDB9" w14:paraId="7E346813" w14:textId="3A943228">
      <w:pPr>
        <w:pStyle w:val="Normal"/>
        <w:jc w:val="left"/>
        <w:rPr>
          <w:rFonts w:ascii="Arial" w:hAnsi="Arial" w:eastAsia="Arial" w:cs="Arial"/>
          <w:sz w:val="28"/>
          <w:szCs w:val="28"/>
        </w:rPr>
      </w:pPr>
    </w:p>
    <w:p w:rsidR="259FEDB9" w:rsidP="259FEDB9" w:rsidRDefault="259FEDB9" w14:paraId="7D9CA90F" w14:textId="053FE237">
      <w:pPr>
        <w:pStyle w:val="Normal"/>
        <w:jc w:val="left"/>
        <w:rPr>
          <w:rFonts w:ascii="Arial" w:hAnsi="Arial" w:eastAsia="Arial" w:cs="Arial"/>
          <w:sz w:val="28"/>
          <w:szCs w:val="28"/>
        </w:rPr>
      </w:pPr>
    </w:p>
    <w:p w:rsidR="259FEDB9" w:rsidP="259FEDB9" w:rsidRDefault="259FEDB9" w14:paraId="76E79C30" w14:textId="761F56C8">
      <w:pPr>
        <w:pStyle w:val="Normal"/>
        <w:jc w:val="left"/>
        <w:rPr>
          <w:rFonts w:ascii="Arial" w:hAnsi="Arial" w:eastAsia="Arial" w:cs="Arial"/>
          <w:sz w:val="28"/>
          <w:szCs w:val="28"/>
        </w:rPr>
      </w:pPr>
    </w:p>
    <w:p w:rsidR="259FEDB9" w:rsidP="259FEDB9" w:rsidRDefault="259FEDB9" w14:paraId="4C5160FE" w14:textId="1E990389">
      <w:pPr>
        <w:pStyle w:val="Normal"/>
        <w:jc w:val="left"/>
        <w:rPr>
          <w:rFonts w:ascii="Arial" w:hAnsi="Arial" w:eastAsia="Arial" w:cs="Arial"/>
          <w:sz w:val="28"/>
          <w:szCs w:val="28"/>
        </w:rPr>
      </w:pPr>
    </w:p>
    <w:p w:rsidR="259FEDB9" w:rsidP="259FEDB9" w:rsidRDefault="259FEDB9" w14:paraId="7358591E" w14:textId="2C99E8EF">
      <w:pPr>
        <w:pStyle w:val="Normal"/>
        <w:jc w:val="left"/>
        <w:rPr>
          <w:rFonts w:ascii="Arial" w:hAnsi="Arial" w:eastAsia="Arial" w:cs="Arial"/>
          <w:sz w:val="28"/>
          <w:szCs w:val="28"/>
        </w:rPr>
      </w:pPr>
    </w:p>
    <w:p w:rsidR="259FEDB9" w:rsidP="259FEDB9" w:rsidRDefault="259FEDB9" w14:paraId="7FF5991A" w14:textId="662BB8B1">
      <w:pPr>
        <w:pStyle w:val="Normal"/>
        <w:jc w:val="left"/>
        <w:rPr>
          <w:rFonts w:ascii="Arial" w:hAnsi="Arial" w:eastAsia="Arial" w:cs="Arial"/>
          <w:sz w:val="28"/>
          <w:szCs w:val="28"/>
        </w:rPr>
      </w:pPr>
    </w:p>
    <w:p w:rsidR="259FEDB9" w:rsidP="259FEDB9" w:rsidRDefault="259FEDB9" w14:paraId="4F3B6C56" w14:textId="189AFD5F">
      <w:pPr>
        <w:pStyle w:val="Normal"/>
        <w:jc w:val="left"/>
        <w:rPr>
          <w:rFonts w:ascii="Arial" w:hAnsi="Arial" w:eastAsia="Arial" w:cs="Arial"/>
          <w:sz w:val="28"/>
          <w:szCs w:val="28"/>
        </w:rPr>
      </w:pPr>
    </w:p>
    <w:p w:rsidR="259FEDB9" w:rsidP="259FEDB9" w:rsidRDefault="259FEDB9" w14:paraId="18176659" w14:textId="29AD54FB">
      <w:pPr>
        <w:pStyle w:val="Normal"/>
        <w:jc w:val="left"/>
        <w:rPr>
          <w:rFonts w:ascii="Arial" w:hAnsi="Arial" w:eastAsia="Arial" w:cs="Arial"/>
          <w:sz w:val="28"/>
          <w:szCs w:val="28"/>
        </w:rPr>
      </w:pPr>
    </w:p>
    <w:p w:rsidR="259FEDB9" w:rsidP="259FEDB9" w:rsidRDefault="259FEDB9" w14:paraId="7660CCDA" w14:textId="4B003382">
      <w:pPr>
        <w:pStyle w:val="Normal"/>
        <w:jc w:val="left"/>
        <w:rPr>
          <w:rFonts w:ascii="Arial" w:hAnsi="Arial" w:eastAsia="Arial" w:cs="Arial"/>
          <w:sz w:val="28"/>
          <w:szCs w:val="28"/>
        </w:rPr>
      </w:pPr>
    </w:p>
    <w:p w:rsidR="259FEDB9" w:rsidP="259FEDB9" w:rsidRDefault="259FEDB9" w14:paraId="083405BE" w14:textId="6120EA42">
      <w:pPr>
        <w:pStyle w:val="Normal"/>
        <w:jc w:val="left"/>
        <w:rPr>
          <w:rFonts w:ascii="Arial" w:hAnsi="Arial" w:eastAsia="Arial" w:cs="Arial"/>
          <w:sz w:val="28"/>
          <w:szCs w:val="28"/>
        </w:rPr>
      </w:pPr>
    </w:p>
    <w:p w:rsidR="259FEDB9" w:rsidP="259FEDB9" w:rsidRDefault="259FEDB9" w14:paraId="755B0096" w14:textId="45CEB4C8">
      <w:pPr>
        <w:pStyle w:val="Normal"/>
        <w:jc w:val="left"/>
        <w:rPr>
          <w:rFonts w:ascii="Arial" w:hAnsi="Arial" w:eastAsia="Arial" w:cs="Arial"/>
          <w:sz w:val="28"/>
          <w:szCs w:val="28"/>
        </w:rPr>
      </w:pPr>
    </w:p>
    <w:p w:rsidR="259FEDB9" w:rsidP="259FEDB9" w:rsidRDefault="259FEDB9" w14:paraId="041EA502" w14:textId="5F046F10">
      <w:pPr>
        <w:pStyle w:val="Normal"/>
        <w:jc w:val="left"/>
        <w:rPr>
          <w:rFonts w:ascii="Arial" w:hAnsi="Arial" w:eastAsia="Arial" w:cs="Arial"/>
          <w:sz w:val="28"/>
          <w:szCs w:val="28"/>
        </w:rPr>
      </w:pPr>
    </w:p>
    <w:p w:rsidR="56C677CA" w:rsidP="259FEDB9" w:rsidRDefault="56C677CA" w14:paraId="131F95AD" w14:textId="7B323B0C">
      <w:pPr>
        <w:pStyle w:val="Normal"/>
        <w:jc w:val="left"/>
        <w:rPr>
          <w:rFonts w:ascii="Arial" w:hAnsi="Arial" w:eastAsia="Arial" w:cs="Arial"/>
          <w:b w:val="1"/>
          <w:bCs w:val="1"/>
          <w:sz w:val="28"/>
          <w:szCs w:val="28"/>
        </w:rPr>
      </w:pPr>
      <w:r w:rsidRPr="259FEDB9" w:rsidR="56C677CA">
        <w:rPr>
          <w:rFonts w:ascii="Arial" w:hAnsi="Arial" w:eastAsia="Arial" w:cs="Arial"/>
          <w:b w:val="1"/>
          <w:bCs w:val="1"/>
          <w:sz w:val="28"/>
          <w:szCs w:val="28"/>
        </w:rPr>
        <w:t>Reference List</w:t>
      </w:r>
    </w:p>
    <w:p w:rsidR="259FEDB9" w:rsidP="259FEDB9" w:rsidRDefault="259FEDB9" w14:paraId="0750CC38" w14:textId="46B95CB0">
      <w:pPr>
        <w:pStyle w:val="Normal"/>
        <w:jc w:val="left"/>
        <w:rPr>
          <w:rFonts w:ascii="Arial" w:hAnsi="Arial" w:eastAsia="Arial" w:cs="Arial"/>
          <w:b w:val="1"/>
          <w:bCs w:val="1"/>
          <w:sz w:val="28"/>
          <w:szCs w:val="28"/>
        </w:rPr>
      </w:pPr>
    </w:p>
    <w:p w:rsidR="259FEDB9" w:rsidP="259FEDB9" w:rsidRDefault="259FEDB9" w14:paraId="27A2979B" w14:textId="38EC7087">
      <w:pPr>
        <w:pStyle w:val="Normal"/>
        <w:jc w:val="left"/>
        <w:rPr>
          <w:rFonts w:ascii="Arial" w:hAnsi="Arial" w:eastAsia="Arial" w:cs="Arial"/>
          <w:b w:val="1"/>
          <w:bCs w:val="1"/>
          <w:sz w:val="24"/>
          <w:szCs w:val="24"/>
        </w:rPr>
      </w:pPr>
    </w:p>
    <w:p w:rsidR="044131FA" w:rsidP="259FEDB9" w:rsidRDefault="044131FA" w14:paraId="590CB4AF" w14:textId="48543357">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259FEDB9" w:rsidR="044131FA">
        <w:rPr>
          <w:rFonts w:ascii="Arial" w:hAnsi="Arial" w:eastAsia="Arial" w:cs="Arial"/>
          <w:b w:val="0"/>
          <w:bCs w:val="0"/>
          <w:i w:val="0"/>
          <w:iCs w:val="0"/>
          <w:caps w:val="0"/>
          <w:smallCaps w:val="0"/>
          <w:noProof w:val="0"/>
          <w:color w:val="222222"/>
          <w:sz w:val="24"/>
          <w:szCs w:val="24"/>
          <w:lang w:val="en-US"/>
        </w:rPr>
        <w:t xml:space="preserve">Abdou, A.H. et al., (2022). The Nexus between Green Perceived Quality, Green Satisfaction, Green Trust, and Customers’ Green Behavioral Intentions in Eco-Friendly Hotels: A Structural Equation Modeling Approach. </w:t>
      </w:r>
      <w:r w:rsidRPr="259FEDB9" w:rsidR="044131FA">
        <w:rPr>
          <w:rFonts w:ascii="Arial" w:hAnsi="Arial" w:eastAsia="Arial" w:cs="Arial"/>
          <w:b w:val="0"/>
          <w:bCs w:val="0"/>
          <w:i w:val="1"/>
          <w:iCs w:val="1"/>
          <w:caps w:val="0"/>
          <w:smallCaps w:val="0"/>
          <w:noProof w:val="0"/>
          <w:color w:val="222222"/>
          <w:sz w:val="24"/>
          <w:szCs w:val="24"/>
          <w:lang w:val="en-US"/>
        </w:rPr>
        <w:t>International Journal of Environmental Research and Public Health</w:t>
      </w:r>
      <w:r w:rsidRPr="259FEDB9" w:rsidR="044131FA">
        <w:rPr>
          <w:rFonts w:ascii="Arial" w:hAnsi="Arial" w:eastAsia="Arial" w:cs="Arial"/>
          <w:b w:val="0"/>
          <w:bCs w:val="0"/>
          <w:i w:val="0"/>
          <w:iCs w:val="0"/>
          <w:caps w:val="0"/>
          <w:smallCaps w:val="0"/>
          <w:noProof w:val="0"/>
          <w:color w:val="222222"/>
          <w:sz w:val="24"/>
          <w:szCs w:val="24"/>
          <w:lang w:val="en-US"/>
        </w:rPr>
        <w:t>, Volume 19, No. 23, p.16195.</w:t>
      </w:r>
    </w:p>
    <w:p w:rsidR="044131FA" w:rsidP="259FEDB9" w:rsidRDefault="044131FA" w14:paraId="58A69FDC" w14:textId="01F1A37F">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259FEDB9" w:rsidR="044131FA">
        <w:rPr>
          <w:rFonts w:ascii="Arial" w:hAnsi="Arial" w:eastAsia="Arial" w:cs="Arial"/>
          <w:b w:val="0"/>
          <w:bCs w:val="0"/>
          <w:i w:val="0"/>
          <w:iCs w:val="0"/>
          <w:caps w:val="0"/>
          <w:smallCaps w:val="0"/>
          <w:noProof w:val="0"/>
          <w:color w:val="222222"/>
          <w:sz w:val="24"/>
          <w:szCs w:val="24"/>
          <w:lang w:val="en-US"/>
        </w:rPr>
        <w:t>Accor (2023)</w:t>
      </w: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59FEDB9" w:rsidR="044131FA">
        <w:rPr>
          <w:rFonts w:ascii="Arial" w:hAnsi="Arial" w:eastAsia="Arial" w:cs="Arial"/>
          <w:b w:val="0"/>
          <w:bCs w:val="0"/>
          <w:i w:val="1"/>
          <w:iCs w:val="1"/>
          <w:caps w:val="0"/>
          <w:smallCaps w:val="0"/>
          <w:noProof w:val="0"/>
          <w:color w:val="000000" w:themeColor="text1" w:themeTint="FF" w:themeShade="FF"/>
          <w:sz w:val="24"/>
          <w:szCs w:val="24"/>
          <w:lang w:val="en-US"/>
        </w:rPr>
        <w:t xml:space="preserve">Thinking Sustainably Local | </w:t>
      </w:r>
      <w:r w:rsidRPr="259FEDB9" w:rsidR="044131FA">
        <w:rPr>
          <w:rFonts w:ascii="Arial" w:hAnsi="Arial" w:eastAsia="Arial" w:cs="Arial"/>
          <w:b w:val="0"/>
          <w:bCs w:val="0"/>
          <w:i w:val="1"/>
          <w:iCs w:val="1"/>
          <w:caps w:val="0"/>
          <w:smallCaps w:val="0"/>
          <w:noProof w:val="0"/>
          <w:color w:val="000000" w:themeColor="text1" w:themeTint="FF" w:themeShade="FF"/>
          <w:sz w:val="24"/>
          <w:szCs w:val="24"/>
          <w:lang w:val="en-US"/>
        </w:rPr>
        <w:t>Itw</w:t>
      </w:r>
      <w:r w:rsidRPr="259FEDB9" w:rsidR="044131FA">
        <w:rPr>
          <w:rFonts w:ascii="Arial" w:hAnsi="Arial" w:eastAsia="Arial" w:cs="Arial"/>
          <w:b w:val="0"/>
          <w:bCs w:val="0"/>
          <w:i w:val="1"/>
          <w:iCs w:val="1"/>
          <w:caps w:val="0"/>
          <w:smallCaps w:val="0"/>
          <w:noProof w:val="0"/>
          <w:color w:val="000000" w:themeColor="text1" w:themeTint="FF" w:themeShade="FF"/>
          <w:sz w:val="24"/>
          <w:szCs w:val="24"/>
          <w:lang w:val="en-US"/>
        </w:rPr>
        <w:t xml:space="preserve"> with Brune </w:t>
      </w:r>
      <w:r w:rsidRPr="259FEDB9" w:rsidR="044131FA">
        <w:rPr>
          <w:rFonts w:ascii="Arial" w:hAnsi="Arial" w:eastAsia="Arial" w:cs="Arial"/>
          <w:b w:val="0"/>
          <w:bCs w:val="0"/>
          <w:i w:val="1"/>
          <w:iCs w:val="1"/>
          <w:caps w:val="0"/>
          <w:smallCaps w:val="0"/>
          <w:noProof w:val="0"/>
          <w:color w:val="000000" w:themeColor="text1" w:themeTint="FF" w:themeShade="FF"/>
          <w:sz w:val="24"/>
          <w:szCs w:val="24"/>
          <w:lang w:val="en-US"/>
        </w:rPr>
        <w:t>Poirson</w:t>
      </w: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YouTube. Available at: </w:t>
      </w:r>
      <w:r w:rsidRPr="259FEDB9" w:rsidR="044131FA">
        <w:rPr>
          <w:rFonts w:ascii="Arial" w:hAnsi="Arial" w:eastAsia="Arial" w:cs="Arial"/>
          <w:b w:val="0"/>
          <w:bCs w:val="0"/>
          <w:i w:val="0"/>
          <w:iCs w:val="0"/>
          <w:caps w:val="0"/>
          <w:smallCaps w:val="0"/>
          <w:strike w:val="0"/>
          <w:dstrike w:val="0"/>
          <w:noProof w:val="0"/>
          <w:sz w:val="24"/>
          <w:szCs w:val="24"/>
          <w:lang w:val="en-US"/>
        </w:rPr>
        <w:t>https://www.youtube.com/watch?v=8lX-cOYUHk8</w:t>
      </w: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09 May 2023).</w:t>
      </w:r>
    </w:p>
    <w:p w:rsidR="044131FA" w:rsidP="259FEDB9" w:rsidRDefault="044131FA" w14:paraId="449D9934" w14:textId="0ABA2586">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259FEDB9" w:rsidR="044131FA">
        <w:rPr>
          <w:rFonts w:ascii="Arial" w:hAnsi="Arial" w:eastAsia="Arial" w:cs="Arial"/>
          <w:b w:val="0"/>
          <w:bCs w:val="0"/>
          <w:i w:val="0"/>
          <w:iCs w:val="0"/>
          <w:caps w:val="0"/>
          <w:smallCaps w:val="0"/>
          <w:noProof w:val="0"/>
          <w:color w:val="222222"/>
          <w:sz w:val="24"/>
          <w:szCs w:val="24"/>
          <w:lang w:val="en-US"/>
        </w:rPr>
        <w:t xml:space="preserve">Agarwal, R., et al., (2020). Redesigning a food supply chain for environmental sustainability–An analysis of resource use and recovery. </w:t>
      </w:r>
      <w:r w:rsidRPr="259FEDB9" w:rsidR="044131FA">
        <w:rPr>
          <w:rFonts w:ascii="Arial" w:hAnsi="Arial" w:eastAsia="Arial" w:cs="Arial"/>
          <w:b w:val="0"/>
          <w:bCs w:val="0"/>
          <w:i w:val="1"/>
          <w:iCs w:val="1"/>
          <w:caps w:val="0"/>
          <w:smallCaps w:val="0"/>
          <w:noProof w:val="0"/>
          <w:color w:val="222222"/>
          <w:sz w:val="24"/>
          <w:szCs w:val="24"/>
          <w:lang w:val="en-US"/>
        </w:rPr>
        <w:t>Journal of cleaner production</w:t>
      </w:r>
      <w:r w:rsidRPr="259FEDB9" w:rsidR="044131FA">
        <w:rPr>
          <w:rFonts w:ascii="Arial" w:hAnsi="Arial" w:eastAsia="Arial" w:cs="Arial"/>
          <w:b w:val="0"/>
          <w:bCs w:val="0"/>
          <w:i w:val="0"/>
          <w:iCs w:val="0"/>
          <w:caps w:val="0"/>
          <w:smallCaps w:val="0"/>
          <w:noProof w:val="0"/>
          <w:color w:val="222222"/>
          <w:sz w:val="24"/>
          <w:szCs w:val="24"/>
          <w:lang w:val="en-US"/>
        </w:rPr>
        <w:t>, Volume 242, p.118374.</w:t>
      </w:r>
    </w:p>
    <w:p w:rsidR="044131FA" w:rsidP="259FEDB9" w:rsidRDefault="044131FA" w14:paraId="380F655F" w14:textId="6A9D0204">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259FEDB9" w:rsidR="044131FA">
        <w:rPr>
          <w:rFonts w:ascii="Arial" w:hAnsi="Arial" w:eastAsia="Arial" w:cs="Arial"/>
          <w:b w:val="0"/>
          <w:bCs w:val="0"/>
          <w:i w:val="0"/>
          <w:iCs w:val="0"/>
          <w:caps w:val="0"/>
          <w:smallCaps w:val="0"/>
          <w:noProof w:val="0"/>
          <w:color w:val="222222"/>
          <w:sz w:val="24"/>
          <w:szCs w:val="24"/>
          <w:lang w:val="en-US"/>
        </w:rPr>
        <w:t xml:space="preserve">Ali, A.J., et al., (2022). Environmental sustainability: to enhance organizational awareness towards green environmental concern. </w:t>
      </w:r>
      <w:r w:rsidRPr="259FEDB9" w:rsidR="044131FA">
        <w:rPr>
          <w:rFonts w:ascii="Arial" w:hAnsi="Arial" w:eastAsia="Arial" w:cs="Arial"/>
          <w:b w:val="0"/>
          <w:bCs w:val="0"/>
          <w:i w:val="1"/>
          <w:iCs w:val="1"/>
          <w:caps w:val="0"/>
          <w:smallCaps w:val="0"/>
          <w:noProof w:val="0"/>
          <w:color w:val="222222"/>
          <w:sz w:val="24"/>
          <w:szCs w:val="24"/>
          <w:lang w:val="en-US"/>
        </w:rPr>
        <w:t>International Journal of Energy Economics and Policy</w:t>
      </w:r>
      <w:r w:rsidRPr="259FEDB9" w:rsidR="044131FA">
        <w:rPr>
          <w:rFonts w:ascii="Arial" w:hAnsi="Arial" w:eastAsia="Arial" w:cs="Arial"/>
          <w:b w:val="0"/>
          <w:bCs w:val="0"/>
          <w:i w:val="0"/>
          <w:iCs w:val="0"/>
          <w:caps w:val="0"/>
          <w:smallCaps w:val="0"/>
          <w:noProof w:val="0"/>
          <w:color w:val="222222"/>
          <w:sz w:val="24"/>
          <w:szCs w:val="24"/>
          <w:lang w:val="en-US"/>
        </w:rPr>
        <w:t>, Volume 12, No. 4, pp.307-316.</w:t>
      </w:r>
    </w:p>
    <w:p w:rsidR="044131FA" w:rsidP="259FEDB9" w:rsidRDefault="044131FA" w14:paraId="49675868" w14:textId="02950CDF">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259FEDB9" w:rsidR="044131FA">
        <w:rPr>
          <w:rFonts w:ascii="Arial" w:hAnsi="Arial" w:eastAsia="Arial" w:cs="Arial"/>
          <w:b w:val="0"/>
          <w:bCs w:val="0"/>
          <w:i w:val="0"/>
          <w:iCs w:val="0"/>
          <w:caps w:val="0"/>
          <w:smallCaps w:val="0"/>
          <w:noProof w:val="0"/>
          <w:color w:val="222222"/>
          <w:sz w:val="24"/>
          <w:szCs w:val="24"/>
          <w:lang w:val="en-US"/>
        </w:rPr>
        <w:t xml:space="preserve">Baah, C., et al., (2023). Do circular economy practices accelerate CSR participation of SMEs in a stakeholder-pressured era? A network theory perspective. </w:t>
      </w:r>
      <w:r w:rsidRPr="259FEDB9" w:rsidR="044131FA">
        <w:rPr>
          <w:rFonts w:ascii="Arial" w:hAnsi="Arial" w:eastAsia="Arial" w:cs="Arial"/>
          <w:b w:val="0"/>
          <w:bCs w:val="0"/>
          <w:i w:val="1"/>
          <w:iCs w:val="1"/>
          <w:caps w:val="0"/>
          <w:smallCaps w:val="0"/>
          <w:noProof w:val="0"/>
          <w:color w:val="222222"/>
          <w:sz w:val="24"/>
          <w:szCs w:val="24"/>
          <w:lang w:val="en-US"/>
        </w:rPr>
        <w:t>Journal of Cleaner Production</w:t>
      </w:r>
      <w:r w:rsidRPr="259FEDB9" w:rsidR="044131FA">
        <w:rPr>
          <w:rFonts w:ascii="Arial" w:hAnsi="Arial" w:eastAsia="Arial" w:cs="Arial"/>
          <w:b w:val="0"/>
          <w:bCs w:val="0"/>
          <w:i w:val="0"/>
          <w:iCs w:val="0"/>
          <w:caps w:val="0"/>
          <w:smallCaps w:val="0"/>
          <w:noProof w:val="0"/>
          <w:color w:val="222222"/>
          <w:sz w:val="24"/>
          <w:szCs w:val="24"/>
          <w:lang w:val="en-US"/>
        </w:rPr>
        <w:t xml:space="preserve">, </w:t>
      </w:r>
      <w:r w:rsidRPr="259FEDB9" w:rsidR="044131FA">
        <w:rPr>
          <w:rFonts w:ascii="Arial" w:hAnsi="Arial" w:eastAsia="Arial" w:cs="Arial"/>
          <w:b w:val="0"/>
          <w:bCs w:val="0"/>
          <w:i w:val="1"/>
          <w:iCs w:val="1"/>
          <w:caps w:val="0"/>
          <w:smallCaps w:val="0"/>
          <w:noProof w:val="0"/>
          <w:color w:val="222222"/>
          <w:sz w:val="24"/>
          <w:szCs w:val="24"/>
          <w:lang w:val="en-US"/>
        </w:rPr>
        <w:t>394</w:t>
      </w:r>
      <w:r w:rsidRPr="259FEDB9" w:rsidR="044131FA">
        <w:rPr>
          <w:rFonts w:ascii="Arial" w:hAnsi="Arial" w:eastAsia="Arial" w:cs="Arial"/>
          <w:b w:val="0"/>
          <w:bCs w:val="0"/>
          <w:i w:val="0"/>
          <w:iCs w:val="0"/>
          <w:caps w:val="0"/>
          <w:smallCaps w:val="0"/>
          <w:noProof w:val="0"/>
          <w:color w:val="222222"/>
          <w:sz w:val="24"/>
          <w:szCs w:val="24"/>
          <w:lang w:val="en-US"/>
        </w:rPr>
        <w:t>, p.136348.</w:t>
      </w:r>
    </w:p>
    <w:p w:rsidR="044131FA" w:rsidP="259FEDB9" w:rsidRDefault="044131FA" w14:paraId="236481E2" w14:textId="0FAFE656">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259FEDB9" w:rsidR="044131FA">
        <w:rPr>
          <w:rFonts w:ascii="Arial" w:hAnsi="Arial" w:eastAsia="Arial" w:cs="Arial"/>
          <w:b w:val="0"/>
          <w:bCs w:val="0"/>
          <w:i w:val="0"/>
          <w:iCs w:val="0"/>
          <w:caps w:val="0"/>
          <w:smallCaps w:val="0"/>
          <w:noProof w:val="0"/>
          <w:color w:val="222222"/>
          <w:sz w:val="24"/>
          <w:szCs w:val="24"/>
          <w:lang w:val="en-US"/>
        </w:rPr>
        <w:t xml:space="preserve">Bianco, S., Bernard, S. and Singal, M., (2023). The impact of sustainability certifications on performance and competitive action in hotels. </w:t>
      </w:r>
      <w:r w:rsidRPr="259FEDB9" w:rsidR="044131FA">
        <w:rPr>
          <w:rFonts w:ascii="Arial" w:hAnsi="Arial" w:eastAsia="Arial" w:cs="Arial"/>
          <w:b w:val="0"/>
          <w:bCs w:val="0"/>
          <w:i w:val="1"/>
          <w:iCs w:val="1"/>
          <w:caps w:val="0"/>
          <w:smallCaps w:val="0"/>
          <w:noProof w:val="0"/>
          <w:color w:val="222222"/>
          <w:sz w:val="24"/>
          <w:szCs w:val="24"/>
          <w:lang w:val="en-US"/>
        </w:rPr>
        <w:t>International Journal of Hospitality Management</w:t>
      </w:r>
      <w:r w:rsidRPr="259FEDB9" w:rsidR="044131FA">
        <w:rPr>
          <w:rFonts w:ascii="Arial" w:hAnsi="Arial" w:eastAsia="Arial" w:cs="Arial"/>
          <w:b w:val="0"/>
          <w:bCs w:val="0"/>
          <w:i w:val="0"/>
          <w:iCs w:val="0"/>
          <w:caps w:val="0"/>
          <w:smallCaps w:val="0"/>
          <w:noProof w:val="0"/>
          <w:color w:val="222222"/>
          <w:sz w:val="24"/>
          <w:szCs w:val="24"/>
          <w:lang w:val="en-US"/>
        </w:rPr>
        <w:t>, Volume 108, p.103379.</w:t>
      </w:r>
    </w:p>
    <w:p w:rsidR="044131FA" w:rsidP="259FEDB9" w:rsidRDefault="044131FA" w14:paraId="2366333C" w14:textId="75C2C522">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259FEDB9" w:rsidR="044131FA">
        <w:rPr>
          <w:rFonts w:ascii="Arial" w:hAnsi="Arial" w:eastAsia="Arial" w:cs="Arial"/>
          <w:b w:val="0"/>
          <w:bCs w:val="0"/>
          <w:i w:val="0"/>
          <w:iCs w:val="0"/>
          <w:caps w:val="0"/>
          <w:smallCaps w:val="0"/>
          <w:noProof w:val="0"/>
          <w:color w:val="222222"/>
          <w:sz w:val="24"/>
          <w:szCs w:val="24"/>
          <w:lang w:val="en-US"/>
        </w:rPr>
        <w:t xml:space="preserve">Bux, C. and </w:t>
      </w:r>
      <w:r w:rsidRPr="259FEDB9" w:rsidR="044131FA">
        <w:rPr>
          <w:rFonts w:ascii="Arial" w:hAnsi="Arial" w:eastAsia="Arial" w:cs="Arial"/>
          <w:b w:val="0"/>
          <w:bCs w:val="0"/>
          <w:i w:val="0"/>
          <w:iCs w:val="0"/>
          <w:caps w:val="0"/>
          <w:smallCaps w:val="0"/>
          <w:noProof w:val="0"/>
          <w:color w:val="222222"/>
          <w:sz w:val="24"/>
          <w:szCs w:val="24"/>
          <w:lang w:val="en-US"/>
        </w:rPr>
        <w:t>Amicarelli</w:t>
      </w:r>
      <w:r w:rsidRPr="259FEDB9" w:rsidR="044131FA">
        <w:rPr>
          <w:rFonts w:ascii="Arial" w:hAnsi="Arial" w:eastAsia="Arial" w:cs="Arial"/>
          <w:b w:val="0"/>
          <w:bCs w:val="0"/>
          <w:i w:val="0"/>
          <w:iCs w:val="0"/>
          <w:caps w:val="0"/>
          <w:smallCaps w:val="0"/>
          <w:noProof w:val="0"/>
          <w:color w:val="222222"/>
          <w:sz w:val="24"/>
          <w:szCs w:val="24"/>
          <w:lang w:val="en-US"/>
        </w:rPr>
        <w:t xml:space="preserve">, V., (2022). Circular economy and sustainable strategies in the hospitality industry: Current trends and empirical implications. </w:t>
      </w:r>
      <w:r w:rsidRPr="259FEDB9" w:rsidR="044131FA">
        <w:rPr>
          <w:rFonts w:ascii="Arial" w:hAnsi="Arial" w:eastAsia="Arial" w:cs="Arial"/>
          <w:b w:val="0"/>
          <w:bCs w:val="0"/>
          <w:i w:val="1"/>
          <w:iCs w:val="1"/>
          <w:caps w:val="0"/>
          <w:smallCaps w:val="0"/>
          <w:noProof w:val="0"/>
          <w:color w:val="222222"/>
          <w:sz w:val="24"/>
          <w:szCs w:val="24"/>
          <w:lang w:val="en-US"/>
        </w:rPr>
        <w:t>Tourism and Hospitality Research</w:t>
      </w:r>
      <w:r w:rsidRPr="259FEDB9" w:rsidR="044131FA">
        <w:rPr>
          <w:rFonts w:ascii="Arial" w:hAnsi="Arial" w:eastAsia="Arial" w:cs="Arial"/>
          <w:b w:val="0"/>
          <w:bCs w:val="0"/>
          <w:i w:val="0"/>
          <w:iCs w:val="0"/>
          <w:caps w:val="0"/>
          <w:smallCaps w:val="0"/>
          <w:noProof w:val="0"/>
          <w:color w:val="222222"/>
          <w:sz w:val="24"/>
          <w:szCs w:val="24"/>
          <w:lang w:val="en-US"/>
        </w:rPr>
        <w:t>, p.14673584221119581.</w:t>
      </w:r>
    </w:p>
    <w:p w:rsidR="044131FA" w:rsidP="259FEDB9" w:rsidRDefault="044131FA" w14:paraId="3C7D9579" w14:textId="0A534B42">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Costa, V.G. and Costa, C. (2022) ‘Sustainability and Competitiveness of Transforming Tourist Accommodation’, in </w:t>
      </w:r>
      <w:r w:rsidRPr="259FEDB9" w:rsidR="044131FA">
        <w:rPr>
          <w:rFonts w:ascii="Arial" w:hAnsi="Arial" w:eastAsia="Arial" w:cs="Arial"/>
          <w:b w:val="0"/>
          <w:bCs w:val="0"/>
          <w:i w:val="1"/>
          <w:iCs w:val="1"/>
          <w:caps w:val="0"/>
          <w:smallCaps w:val="0"/>
          <w:noProof w:val="0"/>
          <w:color w:val="000000" w:themeColor="text1" w:themeTint="FF" w:themeShade="FF"/>
          <w:sz w:val="24"/>
          <w:szCs w:val="24"/>
          <w:lang w:val="en-US"/>
        </w:rPr>
        <w:t>Sustainability and competitiveness in the hospitality industry</w:t>
      </w: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Hershey, PA: IGI Global, pp. 141–165.</w:t>
      </w:r>
    </w:p>
    <w:p w:rsidR="044131FA" w:rsidP="259FEDB9" w:rsidRDefault="044131FA" w14:paraId="5C08DDFB" w14:textId="3F52A39D">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259FEDB9" w:rsidR="044131FA">
        <w:rPr>
          <w:rFonts w:ascii="Arial" w:hAnsi="Arial" w:eastAsia="Arial" w:cs="Arial"/>
          <w:b w:val="0"/>
          <w:bCs w:val="0"/>
          <w:i w:val="0"/>
          <w:iCs w:val="0"/>
          <w:caps w:val="0"/>
          <w:smallCaps w:val="0"/>
          <w:noProof w:val="0"/>
          <w:color w:val="222222"/>
          <w:sz w:val="24"/>
          <w:szCs w:val="24"/>
          <w:lang w:val="en-US"/>
        </w:rPr>
        <w:t xml:space="preserve">Dodds, R., and Walsh, P.R. (2017). Measuring the choice of environmental sustainability strategies in creating a competitive advantage. </w:t>
      </w:r>
      <w:r w:rsidRPr="259FEDB9" w:rsidR="044131FA">
        <w:rPr>
          <w:rFonts w:ascii="Arial" w:hAnsi="Arial" w:eastAsia="Arial" w:cs="Arial"/>
          <w:b w:val="0"/>
          <w:bCs w:val="0"/>
          <w:i w:val="1"/>
          <w:iCs w:val="1"/>
          <w:caps w:val="0"/>
          <w:smallCaps w:val="0"/>
          <w:noProof w:val="0"/>
          <w:color w:val="222222"/>
          <w:sz w:val="24"/>
          <w:szCs w:val="24"/>
          <w:lang w:val="en-US"/>
        </w:rPr>
        <w:t>Business Strategy and the Environment</w:t>
      </w:r>
      <w:r w:rsidRPr="259FEDB9" w:rsidR="044131FA">
        <w:rPr>
          <w:rFonts w:ascii="Arial" w:hAnsi="Arial" w:eastAsia="Arial" w:cs="Arial"/>
          <w:b w:val="0"/>
          <w:bCs w:val="0"/>
          <w:i w:val="0"/>
          <w:iCs w:val="0"/>
          <w:caps w:val="0"/>
          <w:smallCaps w:val="0"/>
          <w:noProof w:val="0"/>
          <w:color w:val="222222"/>
          <w:sz w:val="24"/>
          <w:szCs w:val="24"/>
          <w:lang w:val="en-US"/>
        </w:rPr>
        <w:t>, Volume 26, No. 5, pp.672-687.</w:t>
      </w:r>
    </w:p>
    <w:p w:rsidR="044131FA" w:rsidP="259FEDB9" w:rsidRDefault="044131FA" w14:paraId="1523E8E2" w14:textId="6E3F9767">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Dolasinski</w:t>
      </w: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M.J., Roberts, C., and Reynolds, J. (2022) “Meta-analysis of Tourism Sustainability Research: 2019–2021,” </w:t>
      </w:r>
      <w:r w:rsidRPr="259FEDB9" w:rsidR="044131FA">
        <w:rPr>
          <w:rFonts w:ascii="Arial" w:hAnsi="Arial" w:eastAsia="Arial" w:cs="Arial"/>
          <w:b w:val="0"/>
          <w:bCs w:val="0"/>
          <w:i w:val="1"/>
          <w:iCs w:val="1"/>
          <w:caps w:val="0"/>
          <w:smallCaps w:val="0"/>
          <w:noProof w:val="0"/>
          <w:color w:val="000000" w:themeColor="text1" w:themeTint="FF" w:themeShade="FF"/>
          <w:sz w:val="24"/>
          <w:szCs w:val="24"/>
          <w:lang w:val="en-US"/>
        </w:rPr>
        <w:t>Sustainability</w:t>
      </w: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Volume 14, No. 6, p. 3303. </w:t>
      </w:r>
    </w:p>
    <w:p w:rsidR="044131FA" w:rsidP="259FEDB9" w:rsidRDefault="044131FA" w14:paraId="5CB5F69B" w14:textId="396EE62D">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259FEDB9" w:rsidR="044131FA">
        <w:rPr>
          <w:rFonts w:ascii="Arial" w:hAnsi="Arial" w:eastAsia="Arial" w:cs="Arial"/>
          <w:b w:val="0"/>
          <w:bCs w:val="0"/>
          <w:i w:val="0"/>
          <w:iCs w:val="0"/>
          <w:caps w:val="0"/>
          <w:smallCaps w:val="0"/>
          <w:noProof w:val="0"/>
          <w:color w:val="222222"/>
          <w:sz w:val="24"/>
          <w:szCs w:val="24"/>
          <w:lang w:val="en-US"/>
        </w:rPr>
        <w:t xml:space="preserve">Fang, H., et al., (2022). Environmental regulations and innovation for sustainability? Moderating effect of political connections. </w:t>
      </w:r>
      <w:r w:rsidRPr="259FEDB9" w:rsidR="044131FA">
        <w:rPr>
          <w:rFonts w:ascii="Arial" w:hAnsi="Arial" w:eastAsia="Arial" w:cs="Arial"/>
          <w:b w:val="0"/>
          <w:bCs w:val="0"/>
          <w:i w:val="1"/>
          <w:iCs w:val="1"/>
          <w:caps w:val="0"/>
          <w:smallCaps w:val="0"/>
          <w:noProof w:val="0"/>
          <w:color w:val="222222"/>
          <w:sz w:val="24"/>
          <w:szCs w:val="24"/>
          <w:lang w:val="en-US"/>
        </w:rPr>
        <w:t>Emerging Markets Review</w:t>
      </w:r>
      <w:r w:rsidRPr="259FEDB9" w:rsidR="044131FA">
        <w:rPr>
          <w:rFonts w:ascii="Arial" w:hAnsi="Arial" w:eastAsia="Arial" w:cs="Arial"/>
          <w:b w:val="0"/>
          <w:bCs w:val="0"/>
          <w:i w:val="0"/>
          <w:iCs w:val="0"/>
          <w:caps w:val="0"/>
          <w:smallCaps w:val="0"/>
          <w:noProof w:val="0"/>
          <w:color w:val="222222"/>
          <w:sz w:val="24"/>
          <w:szCs w:val="24"/>
          <w:lang w:val="en-US"/>
        </w:rPr>
        <w:t>, Volume 50, p.100835.</w:t>
      </w:r>
    </w:p>
    <w:p w:rsidR="044131FA" w:rsidP="259FEDB9" w:rsidRDefault="044131FA" w14:paraId="1C4DC1A6" w14:textId="7AC75615">
      <w:pPr>
        <w:spacing w:after="160" w:line="259" w:lineRule="auto"/>
        <w:rPr>
          <w:rFonts w:ascii="Arial" w:hAnsi="Arial" w:eastAsia="Arial" w:cs="Arial"/>
          <w:b w:val="0"/>
          <w:bCs w:val="0"/>
          <w:i w:val="0"/>
          <w:iCs w:val="0"/>
          <w:caps w:val="0"/>
          <w:smallCaps w:val="0"/>
          <w:noProof w:val="0"/>
          <w:color w:val="222222"/>
          <w:sz w:val="24"/>
          <w:szCs w:val="24"/>
          <w:lang w:val="en-US"/>
        </w:rPr>
      </w:pPr>
      <w:r w:rsidRPr="259FEDB9" w:rsidR="044131FA">
        <w:rPr>
          <w:rFonts w:ascii="Arial" w:hAnsi="Arial" w:eastAsia="Arial" w:cs="Arial"/>
          <w:b w:val="0"/>
          <w:bCs w:val="0"/>
          <w:i w:val="0"/>
          <w:iCs w:val="0"/>
          <w:caps w:val="0"/>
          <w:smallCaps w:val="0"/>
          <w:noProof w:val="0"/>
          <w:color w:val="222222"/>
          <w:sz w:val="24"/>
          <w:szCs w:val="24"/>
          <w:lang w:val="en-US"/>
        </w:rPr>
        <w:t xml:space="preserve">Friedli, T., et al., (2014). Turning sustainability into action: Explaining firms' sustainability efforts and their impact on firm performance. </w:t>
      </w:r>
      <w:r w:rsidRPr="259FEDB9" w:rsidR="044131FA">
        <w:rPr>
          <w:rFonts w:ascii="Arial" w:hAnsi="Arial" w:eastAsia="Arial" w:cs="Arial"/>
          <w:b w:val="0"/>
          <w:bCs w:val="0"/>
          <w:i w:val="1"/>
          <w:iCs w:val="1"/>
          <w:caps w:val="0"/>
          <w:smallCaps w:val="0"/>
          <w:noProof w:val="0"/>
          <w:color w:val="222222"/>
          <w:sz w:val="24"/>
          <w:szCs w:val="24"/>
          <w:lang w:val="en-US"/>
        </w:rPr>
        <w:t>International Journal of Production Economics</w:t>
      </w:r>
      <w:r w:rsidRPr="259FEDB9" w:rsidR="044131FA">
        <w:rPr>
          <w:rFonts w:ascii="Arial" w:hAnsi="Arial" w:eastAsia="Arial" w:cs="Arial"/>
          <w:b w:val="0"/>
          <w:bCs w:val="0"/>
          <w:i w:val="0"/>
          <w:iCs w:val="0"/>
          <w:caps w:val="0"/>
          <w:smallCaps w:val="0"/>
          <w:noProof w:val="0"/>
          <w:color w:val="222222"/>
          <w:sz w:val="24"/>
          <w:szCs w:val="24"/>
          <w:lang w:val="en-US"/>
        </w:rPr>
        <w:t>, Volume 147, pp.73-84.</w:t>
      </w:r>
    </w:p>
    <w:p w:rsidR="044131FA" w:rsidP="259FEDB9" w:rsidRDefault="044131FA" w14:paraId="52FC276A" w14:textId="1DFD8CE3">
      <w:pPr>
        <w:spacing w:after="160" w:line="259" w:lineRule="auto"/>
        <w:rPr>
          <w:rFonts w:ascii="Arial" w:hAnsi="Arial" w:eastAsia="Arial" w:cs="Arial"/>
          <w:b w:val="0"/>
          <w:bCs w:val="0"/>
          <w:i w:val="0"/>
          <w:iCs w:val="0"/>
          <w:caps w:val="0"/>
          <w:smallCaps w:val="0"/>
          <w:noProof w:val="0"/>
          <w:color w:val="222222"/>
          <w:sz w:val="24"/>
          <w:szCs w:val="24"/>
          <w:lang w:val="en-US"/>
        </w:rPr>
      </w:pPr>
      <w:r w:rsidRPr="259FEDB9" w:rsidR="044131FA">
        <w:rPr>
          <w:rFonts w:ascii="Arial" w:hAnsi="Arial" w:eastAsia="Arial" w:cs="Arial"/>
          <w:b w:val="0"/>
          <w:bCs w:val="0"/>
          <w:i w:val="0"/>
          <w:iCs w:val="0"/>
          <w:caps w:val="0"/>
          <w:smallCaps w:val="0"/>
          <w:noProof w:val="0"/>
          <w:color w:val="222222"/>
          <w:sz w:val="24"/>
          <w:szCs w:val="24"/>
          <w:lang w:val="en-US"/>
        </w:rPr>
        <w:t xml:space="preserve">Gupta, K., (2018). Environmental sustainability and implied cost of equity: International evidence. </w:t>
      </w:r>
      <w:r w:rsidRPr="259FEDB9" w:rsidR="044131FA">
        <w:rPr>
          <w:rFonts w:ascii="Arial" w:hAnsi="Arial" w:eastAsia="Arial" w:cs="Arial"/>
          <w:b w:val="0"/>
          <w:bCs w:val="0"/>
          <w:i w:val="1"/>
          <w:iCs w:val="1"/>
          <w:caps w:val="0"/>
          <w:smallCaps w:val="0"/>
          <w:noProof w:val="0"/>
          <w:color w:val="222222"/>
          <w:sz w:val="24"/>
          <w:szCs w:val="24"/>
          <w:lang w:val="en-US"/>
        </w:rPr>
        <w:t>Journal of Business Ethics</w:t>
      </w:r>
      <w:r w:rsidRPr="259FEDB9" w:rsidR="044131FA">
        <w:rPr>
          <w:rFonts w:ascii="Arial" w:hAnsi="Arial" w:eastAsia="Arial" w:cs="Arial"/>
          <w:b w:val="0"/>
          <w:bCs w:val="0"/>
          <w:i w:val="0"/>
          <w:iCs w:val="0"/>
          <w:caps w:val="0"/>
          <w:smallCaps w:val="0"/>
          <w:noProof w:val="0"/>
          <w:color w:val="222222"/>
          <w:sz w:val="24"/>
          <w:szCs w:val="24"/>
          <w:lang w:val="en-US"/>
        </w:rPr>
        <w:t>, Volume 147, No. 2, pp.343-365.</w:t>
      </w:r>
    </w:p>
    <w:p w:rsidR="044131FA" w:rsidP="259FEDB9" w:rsidRDefault="044131FA" w14:paraId="3486885A" w14:textId="53FD78CD">
      <w:pPr>
        <w:spacing w:after="160" w:line="259" w:lineRule="auto"/>
        <w:rPr>
          <w:rFonts w:ascii="Arial" w:hAnsi="Arial" w:eastAsia="Arial" w:cs="Arial"/>
          <w:b w:val="0"/>
          <w:bCs w:val="0"/>
          <w:i w:val="0"/>
          <w:iCs w:val="0"/>
          <w:caps w:val="0"/>
          <w:smallCaps w:val="0"/>
          <w:noProof w:val="0"/>
          <w:color w:val="222222"/>
          <w:sz w:val="24"/>
          <w:szCs w:val="24"/>
          <w:lang w:val="en-US"/>
        </w:rPr>
      </w:pPr>
      <w:r w:rsidRPr="259FEDB9" w:rsidR="044131FA">
        <w:rPr>
          <w:rFonts w:ascii="Arial" w:hAnsi="Arial" w:eastAsia="Arial" w:cs="Arial"/>
          <w:b w:val="0"/>
          <w:bCs w:val="0"/>
          <w:i w:val="0"/>
          <w:iCs w:val="0"/>
          <w:caps w:val="0"/>
          <w:smallCaps w:val="0"/>
          <w:noProof w:val="0"/>
          <w:color w:val="222222"/>
          <w:sz w:val="24"/>
          <w:szCs w:val="24"/>
          <w:lang w:val="en-US"/>
        </w:rPr>
        <w:t xml:space="preserve">Han, J. and Chen, H., (2022). Millennial social media users' intention to travel: the moderating role of social media influencer following behavior. </w:t>
      </w:r>
      <w:r w:rsidRPr="259FEDB9" w:rsidR="044131FA">
        <w:rPr>
          <w:rFonts w:ascii="Arial" w:hAnsi="Arial" w:eastAsia="Arial" w:cs="Arial"/>
          <w:b w:val="0"/>
          <w:bCs w:val="0"/>
          <w:i w:val="1"/>
          <w:iCs w:val="1"/>
          <w:caps w:val="0"/>
          <w:smallCaps w:val="0"/>
          <w:noProof w:val="0"/>
          <w:color w:val="222222"/>
          <w:sz w:val="24"/>
          <w:szCs w:val="24"/>
          <w:lang w:val="en-US"/>
        </w:rPr>
        <w:t>International Hospitality Review</w:t>
      </w:r>
      <w:r w:rsidRPr="259FEDB9" w:rsidR="044131FA">
        <w:rPr>
          <w:rFonts w:ascii="Arial" w:hAnsi="Arial" w:eastAsia="Arial" w:cs="Arial"/>
          <w:b w:val="0"/>
          <w:bCs w:val="0"/>
          <w:i w:val="0"/>
          <w:iCs w:val="0"/>
          <w:caps w:val="0"/>
          <w:smallCaps w:val="0"/>
          <w:noProof w:val="0"/>
          <w:color w:val="222222"/>
          <w:sz w:val="24"/>
          <w:szCs w:val="24"/>
          <w:lang w:val="en-US"/>
        </w:rPr>
        <w:t>, Volume 36, No. 2, pp.340-357.</w:t>
      </w:r>
    </w:p>
    <w:p w:rsidR="044131FA" w:rsidP="259FEDB9" w:rsidRDefault="044131FA" w14:paraId="473EA95E" w14:textId="2FA73162">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Hilton (2023a) </w:t>
      </w:r>
      <w:r w:rsidRPr="259FEDB9" w:rsidR="044131FA">
        <w:rPr>
          <w:rFonts w:ascii="Arial" w:hAnsi="Arial" w:eastAsia="Arial" w:cs="Arial"/>
          <w:b w:val="0"/>
          <w:bCs w:val="0"/>
          <w:i w:val="1"/>
          <w:iCs w:val="1"/>
          <w:caps w:val="0"/>
          <w:smallCaps w:val="0"/>
          <w:noProof w:val="0"/>
          <w:color w:val="000000" w:themeColor="text1" w:themeTint="FF" w:themeShade="FF"/>
          <w:sz w:val="24"/>
          <w:szCs w:val="24"/>
          <w:lang w:val="en-US"/>
        </w:rPr>
        <w:t>Hilton Supply Management: Sustainability &amp; Responsible Sourcing</w:t>
      </w: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YouTube. Available at: </w:t>
      </w:r>
      <w:r w:rsidRPr="259FEDB9" w:rsidR="044131FA">
        <w:rPr>
          <w:rFonts w:ascii="Arial" w:hAnsi="Arial" w:eastAsia="Arial" w:cs="Arial"/>
          <w:b w:val="0"/>
          <w:bCs w:val="0"/>
          <w:i w:val="0"/>
          <w:iCs w:val="0"/>
          <w:caps w:val="0"/>
          <w:smallCaps w:val="0"/>
          <w:strike w:val="0"/>
          <w:dstrike w:val="0"/>
          <w:noProof w:val="0"/>
          <w:sz w:val="24"/>
          <w:szCs w:val="24"/>
          <w:lang w:val="en-US"/>
        </w:rPr>
        <w:t>https://www.youtube.com/watch?v=qLSbqKn2w2E</w:t>
      </w: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09 May 2023).</w:t>
      </w:r>
    </w:p>
    <w:p w:rsidR="044131FA" w:rsidP="259FEDB9" w:rsidRDefault="044131FA" w14:paraId="62EE5A16" w14:textId="35A41B79">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Hilton (2023b) </w:t>
      </w:r>
      <w:r w:rsidRPr="259FEDB9" w:rsidR="044131FA">
        <w:rPr>
          <w:rFonts w:ascii="Arial" w:hAnsi="Arial" w:eastAsia="Arial" w:cs="Arial"/>
          <w:b w:val="0"/>
          <w:bCs w:val="0"/>
          <w:i w:val="1"/>
          <w:iCs w:val="1"/>
          <w:caps w:val="0"/>
          <w:smallCaps w:val="0"/>
          <w:noProof w:val="0"/>
          <w:color w:val="000000" w:themeColor="text1" w:themeTint="FF" w:themeShade="FF"/>
          <w:sz w:val="24"/>
          <w:szCs w:val="24"/>
          <w:lang w:val="en-US"/>
        </w:rPr>
        <w:t>Travel with purpose: Environmental, social and governance at Hilton</w:t>
      </w: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59FEDB9" w:rsidR="044131FA">
        <w:rPr>
          <w:rFonts w:ascii="Arial" w:hAnsi="Arial" w:eastAsia="Arial" w:cs="Arial"/>
          <w:b w:val="0"/>
          <w:bCs w:val="0"/>
          <w:i w:val="1"/>
          <w:iCs w:val="1"/>
          <w:caps w:val="0"/>
          <w:smallCaps w:val="0"/>
          <w:noProof w:val="0"/>
          <w:color w:val="000000" w:themeColor="text1" w:themeTint="FF" w:themeShade="FF"/>
          <w:sz w:val="24"/>
          <w:szCs w:val="24"/>
          <w:lang w:val="en-US"/>
        </w:rPr>
        <w:t xml:space="preserve">Travel </w:t>
      </w:r>
      <w:r w:rsidRPr="259FEDB9" w:rsidR="044131FA">
        <w:rPr>
          <w:rFonts w:ascii="Arial" w:hAnsi="Arial" w:eastAsia="Arial" w:cs="Arial"/>
          <w:b w:val="0"/>
          <w:bCs w:val="0"/>
          <w:i w:val="1"/>
          <w:iCs w:val="1"/>
          <w:caps w:val="0"/>
          <w:smallCaps w:val="0"/>
          <w:noProof w:val="0"/>
          <w:color w:val="000000" w:themeColor="text1" w:themeTint="FF" w:themeShade="FF"/>
          <w:sz w:val="24"/>
          <w:szCs w:val="24"/>
          <w:lang w:val="en-US"/>
        </w:rPr>
        <w:t>With</w:t>
      </w:r>
      <w:r w:rsidRPr="259FEDB9" w:rsidR="044131FA">
        <w:rPr>
          <w:rFonts w:ascii="Arial" w:hAnsi="Arial" w:eastAsia="Arial" w:cs="Arial"/>
          <w:b w:val="0"/>
          <w:bCs w:val="0"/>
          <w:i w:val="1"/>
          <w:iCs w:val="1"/>
          <w:caps w:val="0"/>
          <w:smallCaps w:val="0"/>
          <w:noProof w:val="0"/>
          <w:color w:val="000000" w:themeColor="text1" w:themeTint="FF" w:themeShade="FF"/>
          <w:sz w:val="24"/>
          <w:szCs w:val="24"/>
          <w:lang w:val="en-US"/>
        </w:rPr>
        <w:t xml:space="preserve"> Purpose | Hilton ESG</w:t>
      </w: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259FEDB9" w:rsidR="044131FA">
        <w:rPr>
          <w:rFonts w:ascii="Arial" w:hAnsi="Arial" w:eastAsia="Arial" w:cs="Arial"/>
          <w:b w:val="0"/>
          <w:bCs w:val="0"/>
          <w:i w:val="0"/>
          <w:iCs w:val="0"/>
          <w:caps w:val="0"/>
          <w:smallCaps w:val="0"/>
          <w:strike w:val="0"/>
          <w:dstrike w:val="0"/>
          <w:noProof w:val="0"/>
          <w:sz w:val="24"/>
          <w:szCs w:val="24"/>
          <w:lang w:val="en-US"/>
        </w:rPr>
        <w:t>https://esg.hilton.com/</w:t>
      </w: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09 May 2023).</w:t>
      </w:r>
    </w:p>
    <w:p w:rsidR="044131FA" w:rsidP="259FEDB9" w:rsidRDefault="044131FA" w14:paraId="3B8CD380" w14:textId="00EE303F">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259FEDB9" w:rsidR="044131FA">
        <w:rPr>
          <w:rFonts w:ascii="Arial" w:hAnsi="Arial" w:eastAsia="Arial" w:cs="Arial"/>
          <w:b w:val="0"/>
          <w:bCs w:val="0"/>
          <w:i w:val="0"/>
          <w:iCs w:val="0"/>
          <w:caps w:val="0"/>
          <w:smallCaps w:val="0"/>
          <w:noProof w:val="0"/>
          <w:color w:val="222222"/>
          <w:sz w:val="24"/>
          <w:szCs w:val="24"/>
          <w:lang w:val="en-US"/>
        </w:rPr>
        <w:t xml:space="preserve">Hyatt (2020) </w:t>
      </w:r>
      <w:r w:rsidRPr="259FEDB9" w:rsidR="044131FA">
        <w:rPr>
          <w:rFonts w:ascii="Arial" w:hAnsi="Arial" w:eastAsia="Arial" w:cs="Arial"/>
          <w:b w:val="0"/>
          <w:bCs w:val="0"/>
          <w:i w:val="1"/>
          <w:iCs w:val="1"/>
          <w:caps w:val="0"/>
          <w:smallCaps w:val="0"/>
          <w:noProof w:val="0"/>
          <w:color w:val="0F0F0F"/>
          <w:sz w:val="24"/>
          <w:szCs w:val="24"/>
          <w:lang w:val="en-US"/>
        </w:rPr>
        <w:t>Grand Hyatt Singapore | Pioneers of Sustainability</w:t>
      </w:r>
      <w:r w:rsidRPr="259FEDB9" w:rsidR="044131FA">
        <w:rPr>
          <w:rFonts w:ascii="Arial" w:hAnsi="Arial" w:eastAsia="Arial" w:cs="Arial"/>
          <w:b w:val="0"/>
          <w:bCs w:val="0"/>
          <w:i w:val="0"/>
          <w:iCs w:val="0"/>
          <w:caps w:val="0"/>
          <w:smallCaps w:val="0"/>
          <w:noProof w:val="0"/>
          <w:color w:val="0F0F0F"/>
          <w:sz w:val="24"/>
          <w:szCs w:val="24"/>
          <w:lang w:val="en-US"/>
        </w:rPr>
        <w:t xml:space="preserve">, </w:t>
      </w: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YouTube. Available at: </w:t>
      </w:r>
      <w:r w:rsidRPr="259FEDB9" w:rsidR="044131FA">
        <w:rPr>
          <w:rFonts w:ascii="Arial" w:hAnsi="Arial" w:eastAsia="Arial" w:cs="Arial"/>
          <w:b w:val="0"/>
          <w:bCs w:val="0"/>
          <w:i w:val="0"/>
          <w:iCs w:val="0"/>
          <w:caps w:val="0"/>
          <w:smallCaps w:val="0"/>
          <w:strike w:val="0"/>
          <w:dstrike w:val="0"/>
          <w:noProof w:val="0"/>
          <w:sz w:val="24"/>
          <w:szCs w:val="24"/>
          <w:lang w:val="en-US"/>
        </w:rPr>
        <w:t>https://www.youtube.com/watch?v=Jk0eAxktnd8</w:t>
      </w: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09 May 2023).</w:t>
      </w:r>
    </w:p>
    <w:p w:rsidR="044131FA" w:rsidP="259FEDB9" w:rsidRDefault="044131FA" w14:paraId="2669FAAA" w14:textId="361060B6">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Kim, C., Min, K. and Yoon, H., (2022) “Harmony of sustainability and Productivity: Korean </w:t>
      </w: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Templestay</w:t>
      </w: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as sustainable tourism,” </w:t>
      </w:r>
      <w:r w:rsidRPr="259FEDB9" w:rsidR="044131FA">
        <w:rPr>
          <w:rFonts w:ascii="Arial" w:hAnsi="Arial" w:eastAsia="Arial" w:cs="Arial"/>
          <w:b w:val="0"/>
          <w:bCs w:val="0"/>
          <w:i w:val="1"/>
          <w:iCs w:val="1"/>
          <w:caps w:val="0"/>
          <w:smallCaps w:val="0"/>
          <w:noProof w:val="0"/>
          <w:color w:val="000000" w:themeColor="text1" w:themeTint="FF" w:themeShade="FF"/>
          <w:sz w:val="24"/>
          <w:szCs w:val="24"/>
          <w:lang w:val="en-US"/>
        </w:rPr>
        <w:t>Sustainability</w:t>
      </w: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Volume 14, No. 1, p. 44. </w:t>
      </w:r>
    </w:p>
    <w:p w:rsidR="044131FA" w:rsidP="259FEDB9" w:rsidRDefault="044131FA" w14:paraId="5715C37C" w14:textId="69523A0D">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259FEDB9" w:rsidR="044131FA">
        <w:rPr>
          <w:rFonts w:ascii="Arial" w:hAnsi="Arial" w:eastAsia="Arial" w:cs="Arial"/>
          <w:b w:val="0"/>
          <w:bCs w:val="0"/>
          <w:i w:val="0"/>
          <w:iCs w:val="0"/>
          <w:caps w:val="0"/>
          <w:smallCaps w:val="0"/>
          <w:noProof w:val="0"/>
          <w:color w:val="222222"/>
          <w:sz w:val="24"/>
          <w:szCs w:val="24"/>
          <w:lang w:val="en-US"/>
        </w:rPr>
        <w:t xml:space="preserve">Ko, A., Chan, A. and Wong, S.C., (2019). A scale development study of CSR: hotel employees’ </w:t>
      </w:r>
      <w:r w:rsidRPr="259FEDB9" w:rsidR="044131FA">
        <w:rPr>
          <w:rFonts w:ascii="Arial" w:hAnsi="Arial" w:eastAsia="Arial" w:cs="Arial"/>
          <w:b w:val="0"/>
          <w:bCs w:val="0"/>
          <w:i w:val="0"/>
          <w:iCs w:val="0"/>
          <w:caps w:val="0"/>
          <w:smallCaps w:val="0"/>
          <w:noProof w:val="0"/>
          <w:color w:val="222222"/>
          <w:sz w:val="24"/>
          <w:szCs w:val="24"/>
          <w:lang w:val="en-US"/>
        </w:rPr>
        <w:t>perceptions</w:t>
      </w:r>
      <w:r w:rsidRPr="259FEDB9" w:rsidR="044131FA">
        <w:rPr>
          <w:rFonts w:ascii="Arial" w:hAnsi="Arial" w:eastAsia="Arial" w:cs="Arial"/>
          <w:b w:val="0"/>
          <w:bCs w:val="0"/>
          <w:i w:val="0"/>
          <w:iCs w:val="0"/>
          <w:caps w:val="0"/>
          <w:smallCaps w:val="0"/>
          <w:noProof w:val="0"/>
          <w:color w:val="222222"/>
          <w:sz w:val="24"/>
          <w:szCs w:val="24"/>
          <w:lang w:val="en-US"/>
        </w:rPr>
        <w:t xml:space="preserve">. </w:t>
      </w:r>
      <w:r w:rsidRPr="259FEDB9" w:rsidR="044131FA">
        <w:rPr>
          <w:rFonts w:ascii="Arial" w:hAnsi="Arial" w:eastAsia="Arial" w:cs="Arial"/>
          <w:b w:val="0"/>
          <w:bCs w:val="0"/>
          <w:i w:val="1"/>
          <w:iCs w:val="1"/>
          <w:caps w:val="0"/>
          <w:smallCaps w:val="0"/>
          <w:noProof w:val="0"/>
          <w:color w:val="222222"/>
          <w:sz w:val="24"/>
          <w:szCs w:val="24"/>
          <w:lang w:val="en-US"/>
        </w:rPr>
        <w:t>International Journal of Contemporary Hospitality Management</w:t>
      </w:r>
      <w:r w:rsidRPr="259FEDB9" w:rsidR="044131FA">
        <w:rPr>
          <w:rFonts w:ascii="Arial" w:hAnsi="Arial" w:eastAsia="Arial" w:cs="Arial"/>
          <w:b w:val="0"/>
          <w:bCs w:val="0"/>
          <w:i w:val="0"/>
          <w:iCs w:val="0"/>
          <w:caps w:val="0"/>
          <w:smallCaps w:val="0"/>
          <w:noProof w:val="0"/>
          <w:color w:val="222222"/>
          <w:sz w:val="24"/>
          <w:szCs w:val="24"/>
          <w:lang w:val="en-US"/>
        </w:rPr>
        <w:t>, Volume 31, No. 4, pp.1857-1884.</w:t>
      </w:r>
    </w:p>
    <w:p w:rsidR="044131FA" w:rsidP="259FEDB9" w:rsidRDefault="044131FA" w14:paraId="3FA98369" w14:textId="10858E3B">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259FEDB9" w:rsidR="044131FA">
        <w:rPr>
          <w:rFonts w:ascii="Arial" w:hAnsi="Arial" w:eastAsia="Arial" w:cs="Arial"/>
          <w:b w:val="0"/>
          <w:bCs w:val="0"/>
          <w:i w:val="0"/>
          <w:iCs w:val="0"/>
          <w:caps w:val="0"/>
          <w:smallCaps w:val="0"/>
          <w:noProof w:val="0"/>
          <w:color w:val="222222"/>
          <w:sz w:val="24"/>
          <w:szCs w:val="24"/>
          <w:lang w:val="en-US"/>
        </w:rPr>
        <w:t xml:space="preserve">Landau, T., (2020). Action and progress on sustainability challenges: case examples from Marriott, Booking and </w:t>
      </w:r>
      <w:r w:rsidRPr="259FEDB9" w:rsidR="044131FA">
        <w:rPr>
          <w:rFonts w:ascii="Arial" w:hAnsi="Arial" w:eastAsia="Arial" w:cs="Arial"/>
          <w:b w:val="0"/>
          <w:bCs w:val="0"/>
          <w:i w:val="0"/>
          <w:iCs w:val="0"/>
          <w:caps w:val="0"/>
          <w:smallCaps w:val="0"/>
          <w:noProof w:val="0"/>
          <w:color w:val="222222"/>
          <w:sz w:val="24"/>
          <w:szCs w:val="24"/>
          <w:lang w:val="en-US"/>
        </w:rPr>
        <w:t>Soneva</w:t>
      </w:r>
      <w:r w:rsidRPr="259FEDB9" w:rsidR="044131FA">
        <w:rPr>
          <w:rFonts w:ascii="Arial" w:hAnsi="Arial" w:eastAsia="Arial" w:cs="Arial"/>
          <w:b w:val="0"/>
          <w:bCs w:val="0"/>
          <w:i w:val="0"/>
          <w:iCs w:val="0"/>
          <w:caps w:val="0"/>
          <w:smallCaps w:val="0"/>
          <w:noProof w:val="0"/>
          <w:color w:val="222222"/>
          <w:sz w:val="24"/>
          <w:szCs w:val="24"/>
          <w:lang w:val="en-US"/>
        </w:rPr>
        <w:t xml:space="preserve">. </w:t>
      </w:r>
      <w:r w:rsidRPr="259FEDB9" w:rsidR="044131FA">
        <w:rPr>
          <w:rFonts w:ascii="Arial" w:hAnsi="Arial" w:eastAsia="Arial" w:cs="Arial"/>
          <w:b w:val="0"/>
          <w:bCs w:val="0"/>
          <w:i w:val="1"/>
          <w:iCs w:val="1"/>
          <w:caps w:val="0"/>
          <w:smallCaps w:val="0"/>
          <w:noProof w:val="0"/>
          <w:color w:val="222222"/>
          <w:sz w:val="24"/>
          <w:szCs w:val="24"/>
          <w:lang w:val="en-US"/>
        </w:rPr>
        <w:t>Worldwide Hospitality and Tourism Themes</w:t>
      </w:r>
      <w:r w:rsidRPr="259FEDB9" w:rsidR="044131FA">
        <w:rPr>
          <w:rFonts w:ascii="Arial" w:hAnsi="Arial" w:eastAsia="Arial" w:cs="Arial"/>
          <w:b w:val="0"/>
          <w:bCs w:val="0"/>
          <w:i w:val="0"/>
          <w:iCs w:val="0"/>
          <w:caps w:val="0"/>
          <w:smallCaps w:val="0"/>
          <w:noProof w:val="0"/>
          <w:color w:val="222222"/>
          <w:sz w:val="24"/>
          <w:szCs w:val="24"/>
          <w:lang w:val="en-US"/>
        </w:rPr>
        <w:t>, Volume 12, No. 5, pp.563-573.</w:t>
      </w:r>
    </w:p>
    <w:p w:rsidR="044131FA" w:rsidP="259FEDB9" w:rsidRDefault="044131FA" w14:paraId="4CAA45DF" w14:textId="1CE8ECA3">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Marriott (2019) </w:t>
      </w:r>
      <w:r w:rsidRPr="259FEDB9" w:rsidR="044131FA">
        <w:rPr>
          <w:rFonts w:ascii="Arial" w:hAnsi="Arial" w:eastAsia="Arial" w:cs="Arial"/>
          <w:b w:val="0"/>
          <w:bCs w:val="0"/>
          <w:i w:val="1"/>
          <w:iCs w:val="1"/>
          <w:caps w:val="0"/>
          <w:smallCaps w:val="0"/>
          <w:noProof w:val="0"/>
          <w:color w:val="000000" w:themeColor="text1" w:themeTint="FF" w:themeShade="FF"/>
          <w:sz w:val="24"/>
          <w:szCs w:val="24"/>
          <w:lang w:val="en-US"/>
        </w:rPr>
        <w:t>Serve 360 goals one page - CSR-</w:t>
      </w:r>
      <w:r w:rsidRPr="259FEDB9" w:rsidR="044131FA">
        <w:rPr>
          <w:rFonts w:ascii="Arial" w:hAnsi="Arial" w:eastAsia="Arial" w:cs="Arial"/>
          <w:b w:val="0"/>
          <w:bCs w:val="0"/>
          <w:i w:val="1"/>
          <w:iCs w:val="1"/>
          <w:caps w:val="0"/>
          <w:smallCaps w:val="0"/>
          <w:noProof w:val="0"/>
          <w:color w:val="000000" w:themeColor="text1" w:themeTint="FF" w:themeShade="FF"/>
          <w:sz w:val="24"/>
          <w:szCs w:val="24"/>
          <w:lang w:val="en-US"/>
        </w:rPr>
        <w:t>marriott</w:t>
      </w: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259FEDB9" w:rsidR="044131FA">
        <w:rPr>
          <w:rFonts w:ascii="Arial" w:hAnsi="Arial" w:eastAsia="Arial" w:cs="Arial"/>
          <w:b w:val="0"/>
          <w:bCs w:val="0"/>
          <w:i w:val="0"/>
          <w:iCs w:val="0"/>
          <w:caps w:val="0"/>
          <w:smallCaps w:val="0"/>
          <w:strike w:val="0"/>
          <w:dstrike w:val="0"/>
          <w:noProof w:val="0"/>
          <w:sz w:val="24"/>
          <w:szCs w:val="24"/>
          <w:lang w:val="en-US"/>
        </w:rPr>
        <w:t>http://serve360.marriott.com/wp-content/uploads/2019/10/Serve-360-goals-page-tabloid_2-updated-20180916-English.pdf</w:t>
      </w: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09 May 2023).</w:t>
      </w:r>
    </w:p>
    <w:p w:rsidR="044131FA" w:rsidP="259FEDB9" w:rsidRDefault="044131FA" w14:paraId="7EC00353" w14:textId="145006B5">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259FEDB9" w:rsidR="044131FA">
        <w:rPr>
          <w:rFonts w:ascii="Arial" w:hAnsi="Arial" w:eastAsia="Arial" w:cs="Arial"/>
          <w:b w:val="0"/>
          <w:bCs w:val="0"/>
          <w:i w:val="0"/>
          <w:iCs w:val="0"/>
          <w:caps w:val="0"/>
          <w:smallCaps w:val="0"/>
          <w:noProof w:val="0"/>
          <w:color w:val="222222"/>
          <w:sz w:val="24"/>
          <w:szCs w:val="24"/>
          <w:lang w:val="en-US"/>
        </w:rPr>
        <w:t xml:space="preserve">Missimer, M., </w:t>
      </w:r>
      <w:r w:rsidRPr="259FEDB9" w:rsidR="044131FA">
        <w:rPr>
          <w:rFonts w:ascii="Arial" w:hAnsi="Arial" w:eastAsia="Arial" w:cs="Arial"/>
          <w:b w:val="0"/>
          <w:bCs w:val="0"/>
          <w:i w:val="0"/>
          <w:iCs w:val="0"/>
          <w:caps w:val="0"/>
          <w:smallCaps w:val="0"/>
          <w:noProof w:val="0"/>
          <w:color w:val="222222"/>
          <w:sz w:val="24"/>
          <w:szCs w:val="24"/>
          <w:lang w:val="en-US"/>
        </w:rPr>
        <w:t>Robèrt</w:t>
      </w:r>
      <w:r w:rsidRPr="259FEDB9" w:rsidR="044131FA">
        <w:rPr>
          <w:rFonts w:ascii="Arial" w:hAnsi="Arial" w:eastAsia="Arial" w:cs="Arial"/>
          <w:b w:val="0"/>
          <w:bCs w:val="0"/>
          <w:i w:val="0"/>
          <w:iCs w:val="0"/>
          <w:caps w:val="0"/>
          <w:smallCaps w:val="0"/>
          <w:noProof w:val="0"/>
          <w:color w:val="222222"/>
          <w:sz w:val="24"/>
          <w:szCs w:val="24"/>
          <w:lang w:val="en-US"/>
        </w:rPr>
        <w:t xml:space="preserve">, K.H. and Broman, G., (2017). A strategic approach to social sustainability–Part 1: exploring the social system. </w:t>
      </w:r>
      <w:r w:rsidRPr="259FEDB9" w:rsidR="044131FA">
        <w:rPr>
          <w:rFonts w:ascii="Arial" w:hAnsi="Arial" w:eastAsia="Arial" w:cs="Arial"/>
          <w:b w:val="0"/>
          <w:bCs w:val="0"/>
          <w:i w:val="1"/>
          <w:iCs w:val="1"/>
          <w:caps w:val="0"/>
          <w:smallCaps w:val="0"/>
          <w:noProof w:val="0"/>
          <w:color w:val="222222"/>
          <w:sz w:val="24"/>
          <w:szCs w:val="24"/>
          <w:lang w:val="en-US"/>
        </w:rPr>
        <w:t>Journal of cleaner production</w:t>
      </w:r>
      <w:r w:rsidRPr="259FEDB9" w:rsidR="044131FA">
        <w:rPr>
          <w:rFonts w:ascii="Arial" w:hAnsi="Arial" w:eastAsia="Arial" w:cs="Arial"/>
          <w:b w:val="0"/>
          <w:bCs w:val="0"/>
          <w:i w:val="0"/>
          <w:iCs w:val="0"/>
          <w:caps w:val="0"/>
          <w:smallCaps w:val="0"/>
          <w:noProof w:val="0"/>
          <w:color w:val="222222"/>
          <w:sz w:val="24"/>
          <w:szCs w:val="24"/>
          <w:lang w:val="en-US"/>
        </w:rPr>
        <w:t>, Volume 140, pp.32-41.</w:t>
      </w:r>
    </w:p>
    <w:p w:rsidR="044131FA" w:rsidP="259FEDB9" w:rsidRDefault="044131FA" w14:paraId="1C9B9B8B" w14:textId="2E2351DB">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259FEDB9" w:rsidR="044131FA">
        <w:rPr>
          <w:rFonts w:ascii="Arial" w:hAnsi="Arial" w:eastAsia="Arial" w:cs="Arial"/>
          <w:b w:val="0"/>
          <w:bCs w:val="0"/>
          <w:i w:val="0"/>
          <w:iCs w:val="0"/>
          <w:caps w:val="0"/>
          <w:smallCaps w:val="0"/>
          <w:noProof w:val="0"/>
          <w:color w:val="222222"/>
          <w:sz w:val="24"/>
          <w:szCs w:val="24"/>
          <w:lang w:val="en-US"/>
        </w:rPr>
        <w:t xml:space="preserve">Nelson, K.M., et al., (2021). Tourist willingness to pay for local green hotel certification. </w:t>
      </w:r>
      <w:r w:rsidRPr="259FEDB9" w:rsidR="044131FA">
        <w:rPr>
          <w:rFonts w:ascii="Arial" w:hAnsi="Arial" w:eastAsia="Arial" w:cs="Arial"/>
          <w:b w:val="0"/>
          <w:bCs w:val="0"/>
          <w:i w:val="1"/>
          <w:iCs w:val="1"/>
          <w:caps w:val="0"/>
          <w:smallCaps w:val="0"/>
          <w:noProof w:val="0"/>
          <w:color w:val="222222"/>
          <w:sz w:val="24"/>
          <w:szCs w:val="24"/>
          <w:lang w:val="en-US"/>
        </w:rPr>
        <w:t>Plos</w:t>
      </w:r>
      <w:r w:rsidRPr="259FEDB9" w:rsidR="044131FA">
        <w:rPr>
          <w:rFonts w:ascii="Arial" w:hAnsi="Arial" w:eastAsia="Arial" w:cs="Arial"/>
          <w:b w:val="0"/>
          <w:bCs w:val="0"/>
          <w:i w:val="1"/>
          <w:iCs w:val="1"/>
          <w:caps w:val="0"/>
          <w:smallCaps w:val="0"/>
          <w:noProof w:val="0"/>
          <w:color w:val="222222"/>
          <w:sz w:val="24"/>
          <w:szCs w:val="24"/>
          <w:lang w:val="en-US"/>
        </w:rPr>
        <w:t xml:space="preserve"> </w:t>
      </w:r>
      <w:r w:rsidRPr="259FEDB9" w:rsidR="044131FA">
        <w:rPr>
          <w:rFonts w:ascii="Arial" w:hAnsi="Arial" w:eastAsia="Arial" w:cs="Arial"/>
          <w:b w:val="0"/>
          <w:bCs w:val="0"/>
          <w:i w:val="1"/>
          <w:iCs w:val="1"/>
          <w:caps w:val="0"/>
          <w:smallCaps w:val="0"/>
          <w:noProof w:val="0"/>
          <w:color w:val="222222"/>
          <w:sz w:val="24"/>
          <w:szCs w:val="24"/>
          <w:lang w:val="en-US"/>
        </w:rPr>
        <w:t>one</w:t>
      </w:r>
      <w:r w:rsidRPr="259FEDB9" w:rsidR="044131FA">
        <w:rPr>
          <w:rFonts w:ascii="Arial" w:hAnsi="Arial" w:eastAsia="Arial" w:cs="Arial"/>
          <w:b w:val="0"/>
          <w:bCs w:val="0"/>
          <w:i w:val="0"/>
          <w:iCs w:val="0"/>
          <w:caps w:val="0"/>
          <w:smallCaps w:val="0"/>
          <w:noProof w:val="0"/>
          <w:color w:val="222222"/>
          <w:sz w:val="24"/>
          <w:szCs w:val="24"/>
          <w:lang w:val="en-US"/>
        </w:rPr>
        <w:t>,  Volume</w:t>
      </w:r>
      <w:r w:rsidRPr="259FEDB9" w:rsidR="044131FA">
        <w:rPr>
          <w:rFonts w:ascii="Arial" w:hAnsi="Arial" w:eastAsia="Arial" w:cs="Arial"/>
          <w:b w:val="0"/>
          <w:bCs w:val="0"/>
          <w:i w:val="0"/>
          <w:iCs w:val="0"/>
          <w:caps w:val="0"/>
          <w:smallCaps w:val="0"/>
          <w:noProof w:val="0"/>
          <w:color w:val="222222"/>
          <w:sz w:val="24"/>
          <w:szCs w:val="24"/>
          <w:lang w:val="en-US"/>
        </w:rPr>
        <w:t xml:space="preserve"> 16, No. 2, p.e0245953.</w:t>
      </w:r>
    </w:p>
    <w:p w:rsidR="044131FA" w:rsidP="259FEDB9" w:rsidRDefault="044131FA" w14:paraId="44988DC0" w14:textId="3DCB0980">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Pamfilie</w:t>
      </w: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R. </w:t>
      </w:r>
      <w:r w:rsidRPr="259FEDB9" w:rsidR="044131FA">
        <w:rPr>
          <w:rFonts w:ascii="Arial" w:hAnsi="Arial" w:eastAsia="Arial" w:cs="Arial"/>
          <w:b w:val="0"/>
          <w:bCs w:val="0"/>
          <w:i w:val="1"/>
          <w:iCs w:val="1"/>
          <w:caps w:val="0"/>
          <w:smallCaps w:val="0"/>
          <w:noProof w:val="0"/>
          <w:color w:val="000000" w:themeColor="text1" w:themeTint="FF" w:themeShade="FF"/>
          <w:sz w:val="24"/>
          <w:szCs w:val="24"/>
          <w:lang w:val="en-US"/>
        </w:rPr>
        <w:t>et al.</w:t>
      </w: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(2018) ‘Circular economy – a new direction for the sustainability of the hotel industry in Romania’, </w:t>
      </w:r>
      <w:r w:rsidRPr="259FEDB9" w:rsidR="044131FA">
        <w:rPr>
          <w:rFonts w:ascii="Arial" w:hAnsi="Arial" w:eastAsia="Arial" w:cs="Arial"/>
          <w:b w:val="0"/>
          <w:bCs w:val="0"/>
          <w:i w:val="1"/>
          <w:iCs w:val="1"/>
          <w:caps w:val="0"/>
          <w:smallCaps w:val="0"/>
          <w:noProof w:val="0"/>
          <w:color w:val="000000" w:themeColor="text1" w:themeTint="FF" w:themeShade="FF"/>
          <w:sz w:val="24"/>
          <w:szCs w:val="24"/>
          <w:lang w:val="en-US"/>
        </w:rPr>
        <w:t>Amfiteatru</w:t>
      </w:r>
      <w:r w:rsidRPr="259FEDB9" w:rsidR="044131FA">
        <w:rPr>
          <w:rFonts w:ascii="Arial" w:hAnsi="Arial" w:eastAsia="Arial" w:cs="Arial"/>
          <w:b w:val="0"/>
          <w:bCs w:val="0"/>
          <w:i w:val="1"/>
          <w:iCs w:val="1"/>
          <w:caps w:val="0"/>
          <w:smallCaps w:val="0"/>
          <w:noProof w:val="0"/>
          <w:color w:val="000000" w:themeColor="text1" w:themeTint="FF" w:themeShade="FF"/>
          <w:sz w:val="24"/>
          <w:szCs w:val="24"/>
          <w:lang w:val="en-US"/>
        </w:rPr>
        <w:t xml:space="preserve"> Economic</w:t>
      </w: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Volume 20, No. 48, pp. 388–404. doi:10.24818/</w:t>
      </w: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ea</w:t>
      </w: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/2018/48/388.</w:t>
      </w:r>
    </w:p>
    <w:p w:rsidR="044131FA" w:rsidP="259FEDB9" w:rsidRDefault="044131FA" w14:paraId="7AFBFD32" w14:textId="5B785681">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Pilar, M.D.M. del </w:t>
      </w:r>
      <w:r w:rsidRPr="259FEDB9" w:rsidR="044131FA">
        <w:rPr>
          <w:rFonts w:ascii="Arial" w:hAnsi="Arial" w:eastAsia="Arial" w:cs="Arial"/>
          <w:b w:val="0"/>
          <w:bCs w:val="0"/>
          <w:i w:val="1"/>
          <w:iCs w:val="1"/>
          <w:caps w:val="0"/>
          <w:smallCaps w:val="0"/>
          <w:noProof w:val="0"/>
          <w:color w:val="000000" w:themeColor="text1" w:themeTint="FF" w:themeShade="FF"/>
          <w:sz w:val="24"/>
          <w:szCs w:val="24"/>
          <w:lang w:val="en-US"/>
        </w:rPr>
        <w:t>et al.</w:t>
      </w: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(2018) </w:t>
      </w: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CSR</w:t>
      </w: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and ICT: New Insights </w:t>
      </w: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From</w:t>
      </w: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the Shear Zones Perspective’, in </w:t>
      </w:r>
      <w:r w:rsidRPr="259FEDB9" w:rsidR="044131FA">
        <w:rPr>
          <w:rFonts w:ascii="Arial" w:hAnsi="Arial" w:eastAsia="Arial" w:cs="Arial"/>
          <w:b w:val="0"/>
          <w:bCs w:val="0"/>
          <w:i w:val="1"/>
          <w:iCs w:val="1"/>
          <w:caps w:val="0"/>
          <w:smallCaps w:val="0"/>
          <w:noProof w:val="0"/>
          <w:color w:val="000000" w:themeColor="text1" w:themeTint="FF" w:themeShade="FF"/>
          <w:sz w:val="24"/>
          <w:szCs w:val="24"/>
          <w:lang w:val="en-US"/>
        </w:rPr>
        <w:t>Corporate Social Responsibility for valorization of cultural organizations</w:t>
      </w: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Hershey: IGI Global</w:t>
      </w:r>
    </w:p>
    <w:p w:rsidR="044131FA" w:rsidP="259FEDB9" w:rsidRDefault="044131FA" w14:paraId="6EC13FD0" w14:textId="1FFC113D">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259FEDB9" w:rsidR="044131FA">
        <w:rPr>
          <w:rFonts w:ascii="Arial" w:hAnsi="Arial" w:eastAsia="Arial" w:cs="Arial"/>
          <w:b w:val="0"/>
          <w:bCs w:val="0"/>
          <w:i w:val="0"/>
          <w:iCs w:val="0"/>
          <w:caps w:val="0"/>
          <w:smallCaps w:val="0"/>
          <w:noProof w:val="0"/>
          <w:color w:val="222222"/>
          <w:sz w:val="24"/>
          <w:szCs w:val="24"/>
          <w:lang w:val="en-US"/>
        </w:rPr>
        <w:t xml:space="preserve">Silvester, B.R. and Fisker, J.K., (2023). A relational approach to the role of the state in societal transitions and transformations towards sustainability. </w:t>
      </w:r>
      <w:r w:rsidRPr="259FEDB9" w:rsidR="044131FA">
        <w:rPr>
          <w:rFonts w:ascii="Arial" w:hAnsi="Arial" w:eastAsia="Arial" w:cs="Arial"/>
          <w:b w:val="0"/>
          <w:bCs w:val="0"/>
          <w:i w:val="1"/>
          <w:iCs w:val="1"/>
          <w:caps w:val="0"/>
          <w:smallCaps w:val="0"/>
          <w:noProof w:val="0"/>
          <w:color w:val="222222"/>
          <w:sz w:val="24"/>
          <w:szCs w:val="24"/>
          <w:lang w:val="en-US"/>
        </w:rPr>
        <w:t>Environmental Innovation and Societal Transitions</w:t>
      </w:r>
      <w:r w:rsidRPr="259FEDB9" w:rsidR="044131FA">
        <w:rPr>
          <w:rFonts w:ascii="Arial" w:hAnsi="Arial" w:eastAsia="Arial" w:cs="Arial"/>
          <w:b w:val="0"/>
          <w:bCs w:val="0"/>
          <w:i w:val="0"/>
          <w:iCs w:val="0"/>
          <w:caps w:val="0"/>
          <w:smallCaps w:val="0"/>
          <w:noProof w:val="0"/>
          <w:color w:val="222222"/>
          <w:sz w:val="24"/>
          <w:szCs w:val="24"/>
          <w:lang w:val="en-US"/>
        </w:rPr>
        <w:t>, Volume 47, p.100717.</w:t>
      </w:r>
    </w:p>
    <w:p w:rsidR="044131FA" w:rsidP="259FEDB9" w:rsidRDefault="044131FA" w14:paraId="3941EE85" w14:textId="51D8684A">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259FEDB9" w:rsidR="044131FA">
        <w:rPr>
          <w:rFonts w:ascii="Arial" w:hAnsi="Arial" w:eastAsia="Arial" w:cs="Arial"/>
          <w:b w:val="0"/>
          <w:bCs w:val="0"/>
          <w:i w:val="0"/>
          <w:iCs w:val="0"/>
          <w:caps w:val="0"/>
          <w:smallCaps w:val="0"/>
          <w:noProof w:val="0"/>
          <w:color w:val="222222"/>
          <w:sz w:val="24"/>
          <w:szCs w:val="24"/>
          <w:lang w:val="en-US"/>
        </w:rPr>
        <w:t xml:space="preserve">Singh, S., (2022). Tourism, money supply, and progressive inflation. </w:t>
      </w:r>
      <w:r w:rsidRPr="259FEDB9" w:rsidR="044131FA">
        <w:rPr>
          <w:rFonts w:ascii="Arial" w:hAnsi="Arial" w:eastAsia="Arial" w:cs="Arial"/>
          <w:b w:val="0"/>
          <w:bCs w:val="0"/>
          <w:i w:val="1"/>
          <w:iCs w:val="1"/>
          <w:caps w:val="0"/>
          <w:smallCaps w:val="0"/>
          <w:noProof w:val="0"/>
          <w:color w:val="222222"/>
          <w:sz w:val="24"/>
          <w:szCs w:val="24"/>
          <w:lang w:val="en-US"/>
        </w:rPr>
        <w:t>Journal of Ekonomi</w:t>
      </w:r>
      <w:r w:rsidRPr="259FEDB9" w:rsidR="044131FA">
        <w:rPr>
          <w:rFonts w:ascii="Arial" w:hAnsi="Arial" w:eastAsia="Arial" w:cs="Arial"/>
          <w:b w:val="0"/>
          <w:bCs w:val="0"/>
          <w:i w:val="0"/>
          <w:iCs w:val="0"/>
          <w:caps w:val="0"/>
          <w:smallCaps w:val="0"/>
          <w:noProof w:val="0"/>
          <w:color w:val="222222"/>
          <w:sz w:val="24"/>
          <w:szCs w:val="24"/>
          <w:lang w:val="en-US"/>
        </w:rPr>
        <w:t>, Volume 4, No. 1, pp.38-45.</w:t>
      </w:r>
    </w:p>
    <w:p w:rsidR="044131FA" w:rsidP="259FEDB9" w:rsidRDefault="044131FA" w14:paraId="7EC050BA" w14:textId="5FD0FD6E">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Statista (2023) </w:t>
      </w:r>
      <w:r w:rsidRPr="259FEDB9" w:rsidR="044131FA">
        <w:rPr>
          <w:rFonts w:ascii="Arial" w:hAnsi="Arial" w:eastAsia="Arial" w:cs="Arial"/>
          <w:b w:val="0"/>
          <w:bCs w:val="0"/>
          <w:i w:val="1"/>
          <w:iCs w:val="1"/>
          <w:caps w:val="0"/>
          <w:smallCaps w:val="0"/>
          <w:noProof w:val="0"/>
          <w:color w:val="000000" w:themeColor="text1" w:themeTint="FF" w:themeShade="FF"/>
          <w:sz w:val="24"/>
          <w:szCs w:val="24"/>
          <w:lang w:val="en-US"/>
        </w:rPr>
        <w:t>Inflation rate of tourism services in the UK 2023</w:t>
      </w: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59FEDB9" w:rsidR="044131FA">
        <w:rPr>
          <w:rFonts w:ascii="Arial" w:hAnsi="Arial" w:eastAsia="Arial" w:cs="Arial"/>
          <w:b w:val="0"/>
          <w:bCs w:val="0"/>
          <w:i w:val="1"/>
          <w:iCs w:val="1"/>
          <w:caps w:val="0"/>
          <w:smallCaps w:val="0"/>
          <w:noProof w:val="0"/>
          <w:color w:val="000000" w:themeColor="text1" w:themeTint="FF" w:themeShade="FF"/>
          <w:sz w:val="24"/>
          <w:szCs w:val="24"/>
          <w:lang w:val="en-US"/>
        </w:rPr>
        <w:t>Statista</w:t>
      </w: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259FEDB9" w:rsidR="044131FA">
        <w:rPr>
          <w:rFonts w:ascii="Arial" w:hAnsi="Arial" w:eastAsia="Arial" w:cs="Arial"/>
          <w:b w:val="0"/>
          <w:bCs w:val="0"/>
          <w:i w:val="0"/>
          <w:iCs w:val="0"/>
          <w:caps w:val="0"/>
          <w:smallCaps w:val="0"/>
          <w:strike w:val="0"/>
          <w:dstrike w:val="0"/>
          <w:noProof w:val="0"/>
          <w:sz w:val="24"/>
          <w:szCs w:val="24"/>
          <w:lang w:val="en-US"/>
        </w:rPr>
        <w:t>https://www.statista.com/statistics/1319309/cpi-inflation-rate-travel-tourism-services-united-kingdom/</w:t>
      </w: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May 4, 2023).</w:t>
      </w:r>
    </w:p>
    <w:p w:rsidR="044131FA" w:rsidP="259FEDB9" w:rsidRDefault="044131FA" w14:paraId="1CA2D26A" w14:textId="54A6222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Ten, H.H. and Bert, G., (2020). Sustainability. </w:t>
      </w:r>
      <w:r w:rsidRPr="259FEDB9" w:rsidR="044131FA">
        <w:rPr>
          <w:rFonts w:ascii="Arial" w:hAnsi="Arial" w:eastAsia="Arial" w:cs="Arial"/>
          <w:b w:val="0"/>
          <w:bCs w:val="0"/>
          <w:i w:val="1"/>
          <w:iCs w:val="1"/>
          <w:caps w:val="0"/>
          <w:smallCaps w:val="0"/>
          <w:noProof w:val="0"/>
          <w:color w:val="000000" w:themeColor="text1" w:themeTint="FF" w:themeShade="FF"/>
          <w:sz w:val="24"/>
          <w:szCs w:val="24"/>
          <w:lang w:val="en-US"/>
        </w:rPr>
        <w:t xml:space="preserve">Medicine, health care, and philosophy, </w:t>
      </w: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Volume 23, No.</w:t>
      </w:r>
      <w:r w:rsidRPr="259FEDB9" w:rsidR="044131FA">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2, pp. 153-154.</w:t>
      </w:r>
    </w:p>
    <w:p w:rsidR="044131FA" w:rsidP="259FEDB9" w:rsidRDefault="044131FA" w14:paraId="751208BB" w14:textId="54099B4A">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The Good Hotel (2023) </w:t>
      </w:r>
      <w:r w:rsidRPr="259FEDB9" w:rsidR="044131FA">
        <w:rPr>
          <w:rFonts w:ascii="Arial" w:hAnsi="Arial" w:eastAsia="Arial" w:cs="Arial"/>
          <w:b w:val="0"/>
          <w:bCs w:val="0"/>
          <w:i w:val="1"/>
          <w:iCs w:val="1"/>
          <w:caps w:val="0"/>
          <w:smallCaps w:val="0"/>
          <w:noProof w:val="0"/>
          <w:color w:val="000000" w:themeColor="text1" w:themeTint="FF" w:themeShade="FF"/>
          <w:sz w:val="24"/>
          <w:szCs w:val="24"/>
          <w:lang w:val="en-US"/>
        </w:rPr>
        <w:t xml:space="preserve">Our story: </w:t>
      </w:r>
      <w:r w:rsidRPr="259FEDB9" w:rsidR="044131FA">
        <w:rPr>
          <w:rFonts w:ascii="Arial" w:hAnsi="Arial" w:eastAsia="Arial" w:cs="Arial"/>
          <w:b w:val="0"/>
          <w:bCs w:val="0"/>
          <w:i w:val="1"/>
          <w:iCs w:val="1"/>
          <w:caps w:val="0"/>
          <w:smallCaps w:val="0"/>
          <w:noProof w:val="0"/>
          <w:color w:val="000000" w:themeColor="text1" w:themeTint="FF" w:themeShade="FF"/>
          <w:sz w:val="24"/>
          <w:szCs w:val="24"/>
          <w:lang w:val="en-US"/>
        </w:rPr>
        <w:t>Good</w:t>
      </w:r>
      <w:r w:rsidRPr="259FEDB9" w:rsidR="044131FA">
        <w:rPr>
          <w:rFonts w:ascii="Arial" w:hAnsi="Arial" w:eastAsia="Arial" w:cs="Arial"/>
          <w:b w:val="0"/>
          <w:bCs w:val="0"/>
          <w:i w:val="1"/>
          <w:iCs w:val="1"/>
          <w:caps w:val="0"/>
          <w:smallCaps w:val="0"/>
          <w:noProof w:val="0"/>
          <w:color w:val="000000" w:themeColor="text1" w:themeTint="FF" w:themeShade="FF"/>
          <w:sz w:val="24"/>
          <w:szCs w:val="24"/>
          <w:lang w:val="en-US"/>
        </w:rPr>
        <w:t xml:space="preserve"> hotel - the socially responsible hotel</w:t>
      </w: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59FEDB9" w:rsidR="044131FA">
        <w:rPr>
          <w:rFonts w:ascii="Arial" w:hAnsi="Arial" w:eastAsia="Arial" w:cs="Arial"/>
          <w:b w:val="0"/>
          <w:bCs w:val="0"/>
          <w:i w:val="1"/>
          <w:iCs w:val="1"/>
          <w:caps w:val="0"/>
          <w:smallCaps w:val="0"/>
          <w:noProof w:val="0"/>
          <w:color w:val="000000" w:themeColor="text1" w:themeTint="FF" w:themeShade="FF"/>
          <w:sz w:val="24"/>
          <w:szCs w:val="24"/>
          <w:lang w:val="en-US"/>
        </w:rPr>
        <w:t>Good Hotel</w:t>
      </w: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259FEDB9" w:rsidR="044131FA">
        <w:rPr>
          <w:rFonts w:ascii="Arial" w:hAnsi="Arial" w:eastAsia="Arial" w:cs="Arial"/>
          <w:b w:val="0"/>
          <w:bCs w:val="0"/>
          <w:i w:val="0"/>
          <w:iCs w:val="0"/>
          <w:caps w:val="0"/>
          <w:smallCaps w:val="0"/>
          <w:strike w:val="0"/>
          <w:dstrike w:val="0"/>
          <w:noProof w:val="0"/>
          <w:sz w:val="24"/>
          <w:szCs w:val="24"/>
          <w:lang w:val="en-US"/>
        </w:rPr>
        <w:t>https://goodhotel.co/our-story</w:t>
      </w: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May 4, 2023).</w:t>
      </w:r>
    </w:p>
    <w:p w:rsidR="044131FA" w:rsidP="259FEDB9" w:rsidRDefault="044131FA" w14:paraId="7E96B8FD" w14:textId="6981FE6D">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Wamsler, C. (2020) ‘Education for Sustainability’, </w:t>
      </w:r>
      <w:r w:rsidRPr="259FEDB9" w:rsidR="044131FA">
        <w:rPr>
          <w:rFonts w:ascii="Arial" w:hAnsi="Arial" w:eastAsia="Arial" w:cs="Arial"/>
          <w:b w:val="0"/>
          <w:bCs w:val="0"/>
          <w:i w:val="1"/>
          <w:iCs w:val="1"/>
          <w:caps w:val="0"/>
          <w:smallCaps w:val="0"/>
          <w:noProof w:val="0"/>
          <w:color w:val="000000" w:themeColor="text1" w:themeTint="FF" w:themeShade="FF"/>
          <w:sz w:val="24"/>
          <w:szCs w:val="24"/>
          <w:lang w:val="en-US"/>
        </w:rPr>
        <w:t>International Journal of Sustainability in Higher Education</w:t>
      </w:r>
      <w:r w:rsidRPr="259FEDB9" w:rsidR="044131FA">
        <w:rPr>
          <w:rFonts w:ascii="Arial" w:hAnsi="Arial" w:eastAsia="Arial" w:cs="Arial"/>
          <w:b w:val="0"/>
          <w:bCs w:val="0"/>
          <w:i w:val="0"/>
          <w:iCs w:val="0"/>
          <w:caps w:val="0"/>
          <w:smallCaps w:val="0"/>
          <w:noProof w:val="0"/>
          <w:color w:val="000000" w:themeColor="text1" w:themeTint="FF" w:themeShade="FF"/>
          <w:sz w:val="24"/>
          <w:szCs w:val="24"/>
          <w:lang w:val="en-US"/>
        </w:rPr>
        <w:t>, Volume 21, No. 1, pp. 112–130. doi:10.1108/ijshe-04-2019-0152.</w:t>
      </w:r>
    </w:p>
    <w:p w:rsidR="044131FA" w:rsidP="259FEDB9" w:rsidRDefault="044131FA" w14:paraId="69E44E56" w14:textId="15B9A4C9">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259FEDB9" w:rsidR="044131F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World Commission on Environment and Development</w:t>
      </w:r>
      <w:r w:rsidRPr="259FEDB9" w:rsidR="044131FA">
        <w:rPr>
          <w:rFonts w:ascii="Arial" w:hAnsi="Arial" w:eastAsia="Arial" w:cs="Arial"/>
          <w:b w:val="0"/>
          <w:bCs w:val="0"/>
          <w:i w:val="0"/>
          <w:iCs w:val="0"/>
          <w:caps w:val="0"/>
          <w:smallCaps w:val="0"/>
          <w:noProof w:val="0"/>
          <w:color w:val="222222"/>
          <w:sz w:val="24"/>
          <w:szCs w:val="24"/>
          <w:lang w:val="en-US"/>
        </w:rPr>
        <w:t xml:space="preserve">, S.W.S., (1987). World commission on environment and development. </w:t>
      </w:r>
      <w:r w:rsidRPr="259FEDB9" w:rsidR="044131FA">
        <w:rPr>
          <w:rFonts w:ascii="Arial" w:hAnsi="Arial" w:eastAsia="Arial" w:cs="Arial"/>
          <w:b w:val="0"/>
          <w:bCs w:val="0"/>
          <w:i w:val="1"/>
          <w:iCs w:val="1"/>
          <w:caps w:val="0"/>
          <w:smallCaps w:val="0"/>
          <w:noProof w:val="0"/>
          <w:color w:val="222222"/>
          <w:sz w:val="24"/>
          <w:szCs w:val="24"/>
          <w:lang w:val="en-US"/>
        </w:rPr>
        <w:t>Our common future</w:t>
      </w:r>
      <w:r w:rsidRPr="259FEDB9" w:rsidR="044131FA">
        <w:rPr>
          <w:rFonts w:ascii="Arial" w:hAnsi="Arial" w:eastAsia="Arial" w:cs="Arial"/>
          <w:b w:val="0"/>
          <w:bCs w:val="0"/>
          <w:i w:val="0"/>
          <w:iCs w:val="0"/>
          <w:caps w:val="0"/>
          <w:smallCaps w:val="0"/>
          <w:noProof w:val="0"/>
          <w:color w:val="222222"/>
          <w:sz w:val="24"/>
          <w:szCs w:val="24"/>
          <w:lang w:val="en-US"/>
        </w:rPr>
        <w:t>, Volume 17, No. 1, pp.1-91.</w:t>
      </w:r>
    </w:p>
    <w:p w:rsidR="259FEDB9" w:rsidP="259FEDB9" w:rsidRDefault="259FEDB9" w14:paraId="215C1CE3" w14:textId="537614A9">
      <w:pPr>
        <w:spacing w:after="160" w:line="259" w:lineRule="auto"/>
        <w:rPr>
          <w:rFonts w:ascii="Arial" w:hAnsi="Arial" w:eastAsia="Arial" w:cs="Arial"/>
          <w:b w:val="0"/>
          <w:bCs w:val="0"/>
          <w:i w:val="0"/>
          <w:iCs w:val="0"/>
          <w:caps w:val="0"/>
          <w:smallCaps w:val="0"/>
          <w:noProof w:val="0"/>
          <w:color w:val="000000" w:themeColor="text1" w:themeTint="FF" w:themeShade="FF"/>
          <w:sz w:val="20"/>
          <w:szCs w:val="20"/>
          <w:lang w:val="en-US"/>
        </w:rPr>
      </w:pPr>
    </w:p>
    <w:p w:rsidR="259FEDB9" w:rsidP="259FEDB9" w:rsidRDefault="259FEDB9" w14:paraId="1ECB8195" w14:textId="0A5CA93D">
      <w:pPr>
        <w:spacing w:after="160" w:line="259" w:lineRule="auto"/>
        <w:rPr>
          <w:rFonts w:ascii="Verdana" w:hAnsi="Verdana" w:eastAsia="Verdana" w:cs="Verdana"/>
          <w:b w:val="0"/>
          <w:bCs w:val="0"/>
          <w:i w:val="0"/>
          <w:iCs w:val="0"/>
          <w:caps w:val="0"/>
          <w:smallCaps w:val="0"/>
          <w:noProof w:val="0"/>
          <w:color w:val="555555"/>
          <w:sz w:val="18"/>
          <w:szCs w:val="18"/>
          <w:lang w:val="en-US"/>
        </w:rPr>
      </w:pPr>
    </w:p>
    <w:p w:rsidR="259FEDB9" w:rsidP="259FEDB9" w:rsidRDefault="259FEDB9" w14:paraId="10C96666" w14:textId="663DABF6">
      <w:pPr>
        <w:pStyle w:val="Normal"/>
        <w:jc w:val="left"/>
        <w:rPr>
          <w:rFonts w:ascii="Arial" w:hAnsi="Arial" w:eastAsia="Arial" w:cs="Arial"/>
          <w:b w:val="1"/>
          <w:bCs w:val="1"/>
          <w:sz w:val="28"/>
          <w:szCs w:val="28"/>
        </w:rPr>
      </w:pPr>
    </w:p>
    <w:p w:rsidR="259FEDB9" w:rsidP="259FEDB9" w:rsidRDefault="259FEDB9" w14:paraId="00F84D44" w14:textId="234E7BBF">
      <w:pPr>
        <w:pStyle w:val="Normal"/>
        <w:jc w:val="left"/>
        <w:rPr>
          <w:rFonts w:ascii="Arial" w:hAnsi="Arial" w:eastAsia="Arial" w:cs="Arial"/>
          <w:sz w:val="28"/>
          <w:szCs w:val="28"/>
        </w:rPr>
      </w:pPr>
    </w:p>
    <w:p w:rsidR="259FEDB9" w:rsidP="259FEDB9" w:rsidRDefault="259FEDB9" w14:paraId="64CFE78C" w14:textId="482CC520">
      <w:pPr>
        <w:pStyle w:val="Normal"/>
        <w:jc w:val="left"/>
        <w:rPr>
          <w:rFonts w:ascii="Arial" w:hAnsi="Arial" w:eastAsia="Arial" w:cs="Arial"/>
          <w:sz w:val="28"/>
          <w:szCs w:val="28"/>
        </w:rPr>
      </w:pPr>
    </w:p>
    <w:p w:rsidR="259FEDB9" w:rsidP="259FEDB9" w:rsidRDefault="259FEDB9" w14:paraId="04D82F99" w14:textId="6D597478">
      <w:pPr>
        <w:pStyle w:val="Normal"/>
        <w:jc w:val="left"/>
        <w:rPr>
          <w:rFonts w:ascii="Arial" w:hAnsi="Arial" w:eastAsia="Arial" w:cs="Arial"/>
          <w:sz w:val="28"/>
          <w:szCs w:val="28"/>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CE2989"/>
    <w:rsid w:val="044131FA"/>
    <w:rsid w:val="0634DBF0"/>
    <w:rsid w:val="1BF0EC17"/>
    <w:rsid w:val="1D8CBC78"/>
    <w:rsid w:val="20CC7C96"/>
    <w:rsid w:val="259FEDB9"/>
    <w:rsid w:val="2AD123A3"/>
    <w:rsid w:val="35B5DFAD"/>
    <w:rsid w:val="3759CF6A"/>
    <w:rsid w:val="3DAFE891"/>
    <w:rsid w:val="3EEAAAC6"/>
    <w:rsid w:val="3F35B664"/>
    <w:rsid w:val="4E6E0D2B"/>
    <w:rsid w:val="4ECE2989"/>
    <w:rsid w:val="56C677CA"/>
    <w:rsid w:val="5D1AFA5A"/>
    <w:rsid w:val="7AAE6CF0"/>
    <w:rsid w:val="7B0332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E2989"/>
  <w15:chartTrackingRefBased/>
  <w15:docId w15:val="{16313EC1-B7DB-4FD5-90A8-1CC5583ADD8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2023-05-17T03:25:36.0839528Z</dcterms:created>
  <dcterms:modified xsi:type="dcterms:W3CDTF">2023-05-17T03:33:07.1366581Z</dcterms:modified>
  <dc:creator>Cornel Iurea (1817181)</dc:creator>
  <lastModifiedBy>Cornel Iurea (1817181)</lastModifiedBy>
</coreProperties>
</file>