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41899" w14:textId="7C8B8609" w:rsidR="00F2229C" w:rsidRPr="009D1CA9" w:rsidRDefault="00F2229C" w:rsidP="00D11EC7">
      <w:pPr>
        <w:spacing w:line="360" w:lineRule="auto"/>
        <w:jc w:val="center"/>
        <w:rPr>
          <w:rFonts w:ascii="Arial" w:hAnsi="Arial" w:cs="Arial"/>
        </w:rPr>
      </w:pPr>
    </w:p>
    <w:p w14:paraId="254D490B" w14:textId="77777777" w:rsidR="00F2229C" w:rsidRPr="009D1CA9" w:rsidRDefault="00F2229C" w:rsidP="00D11EC7">
      <w:pPr>
        <w:spacing w:line="360" w:lineRule="auto"/>
        <w:jc w:val="center"/>
        <w:rPr>
          <w:rFonts w:ascii="Arial" w:hAnsi="Arial" w:cs="Arial"/>
        </w:rPr>
      </w:pPr>
    </w:p>
    <w:p w14:paraId="63859271" w14:textId="77777777" w:rsidR="00F2229C" w:rsidRPr="009D1CA9" w:rsidRDefault="00F2229C" w:rsidP="00D11EC7">
      <w:pPr>
        <w:spacing w:line="360" w:lineRule="auto"/>
        <w:jc w:val="center"/>
        <w:rPr>
          <w:rFonts w:ascii="Arial" w:hAnsi="Arial" w:cs="Arial"/>
        </w:rPr>
      </w:pPr>
    </w:p>
    <w:p w14:paraId="2CC3A0A5" w14:textId="6CED4852" w:rsidR="0029412D" w:rsidRDefault="00460D6B" w:rsidP="0029412D">
      <w:pPr>
        <w:spacing w:line="360" w:lineRule="auto"/>
        <w:jc w:val="center"/>
        <w:rPr>
          <w:rFonts w:ascii="Arial" w:hAnsi="Arial" w:cs="Arial"/>
        </w:rPr>
      </w:pPr>
      <w:r w:rsidRPr="00A65F75">
        <w:rPr>
          <w:rFonts w:ascii="Arial" w:hAnsi="Arial" w:cs="Arial"/>
        </w:rPr>
        <w:t>BSc (Hons) Health and Social Care</w:t>
      </w:r>
    </w:p>
    <w:p w14:paraId="67695826" w14:textId="77777777" w:rsidR="0029412D" w:rsidRPr="0029412D" w:rsidRDefault="0029412D" w:rsidP="0029412D">
      <w:pPr>
        <w:spacing w:line="360" w:lineRule="auto"/>
        <w:jc w:val="center"/>
        <w:rPr>
          <w:rFonts w:ascii="Arial" w:hAnsi="Arial" w:cs="Arial"/>
        </w:rPr>
      </w:pPr>
      <w:r w:rsidRPr="0029412D">
        <w:rPr>
          <w:rFonts w:ascii="Arial" w:hAnsi="Arial" w:cs="Arial"/>
        </w:rPr>
        <w:t xml:space="preserve">Name: Ali Mohammed Mustafa </w:t>
      </w:r>
    </w:p>
    <w:p w14:paraId="7D47DDBD" w14:textId="4F67A390" w:rsidR="0029412D" w:rsidRPr="00A65F75" w:rsidRDefault="0029412D" w:rsidP="00D11EC7">
      <w:pPr>
        <w:spacing w:line="360" w:lineRule="auto"/>
        <w:jc w:val="center"/>
        <w:rPr>
          <w:rFonts w:ascii="Arial" w:hAnsi="Arial" w:cs="Arial"/>
        </w:rPr>
      </w:pPr>
      <w:r w:rsidRPr="0029412D">
        <w:rPr>
          <w:rFonts w:ascii="Arial" w:hAnsi="Arial" w:cs="Arial"/>
        </w:rPr>
        <w:t>Student ID 2244081</w:t>
      </w:r>
    </w:p>
    <w:p w14:paraId="29BD9AA5" w14:textId="77777777" w:rsidR="00460D6B" w:rsidRPr="00A65F75" w:rsidRDefault="00460D6B" w:rsidP="00D11EC7">
      <w:pPr>
        <w:spacing w:line="360" w:lineRule="auto"/>
        <w:jc w:val="center"/>
        <w:rPr>
          <w:rFonts w:ascii="Arial" w:hAnsi="Arial" w:cs="Arial"/>
        </w:rPr>
      </w:pPr>
      <w:r w:rsidRPr="00A65F75">
        <w:rPr>
          <w:rFonts w:ascii="Arial" w:hAnsi="Arial" w:cs="Arial"/>
        </w:rPr>
        <w:t>Independent Project (BMHP6020_BIRM)</w:t>
      </w:r>
    </w:p>
    <w:p w14:paraId="3AA49ADB" w14:textId="77777777" w:rsidR="00460D6B" w:rsidRPr="00A65F75" w:rsidRDefault="00460D6B" w:rsidP="00D11EC7">
      <w:pPr>
        <w:spacing w:line="360" w:lineRule="auto"/>
        <w:jc w:val="center"/>
        <w:rPr>
          <w:rFonts w:ascii="Arial" w:hAnsi="Arial" w:cs="Arial"/>
        </w:rPr>
      </w:pPr>
      <w:r w:rsidRPr="00A65F75">
        <w:rPr>
          <w:rFonts w:ascii="Arial" w:hAnsi="Arial" w:cs="Arial"/>
        </w:rPr>
        <w:t>Project Title</w:t>
      </w:r>
    </w:p>
    <w:p w14:paraId="15AF4D88" w14:textId="41CD4C96" w:rsidR="00D3260D" w:rsidRPr="00A65F75" w:rsidRDefault="00460D6B" w:rsidP="00D11EC7">
      <w:pPr>
        <w:spacing w:line="360" w:lineRule="auto"/>
        <w:jc w:val="center"/>
        <w:rPr>
          <w:rFonts w:ascii="Arial" w:hAnsi="Arial" w:cs="Arial"/>
          <w:i/>
          <w:iCs/>
        </w:rPr>
      </w:pPr>
      <w:r w:rsidRPr="00A65F75">
        <w:rPr>
          <w:rFonts w:ascii="Arial" w:hAnsi="Arial" w:cs="Arial"/>
          <w:i/>
          <w:iCs/>
        </w:rPr>
        <w:t>An Investigation into the Long-Term Mental Health Outcomes of Adverse Childhood Experiences (ACEs) Among Marginalised and Vulnerable Populations in England and Wales: Implications for NHS Health and Social Care Practice</w:t>
      </w:r>
    </w:p>
    <w:p w14:paraId="7599474B" w14:textId="77777777" w:rsidR="00EC6FF3" w:rsidRPr="00A65F75" w:rsidRDefault="00EC6FF3" w:rsidP="00D11EC7">
      <w:pPr>
        <w:spacing w:line="360" w:lineRule="auto"/>
        <w:rPr>
          <w:rFonts w:ascii="Arial" w:hAnsi="Arial" w:cs="Arial"/>
        </w:rPr>
      </w:pPr>
    </w:p>
    <w:p w14:paraId="5A33EB87" w14:textId="54EB4BC3" w:rsidR="00EC6FF3" w:rsidRPr="00A65F75" w:rsidRDefault="00EC6FF3" w:rsidP="00D11EC7">
      <w:pPr>
        <w:spacing w:line="360" w:lineRule="auto"/>
        <w:rPr>
          <w:rFonts w:ascii="Arial" w:hAnsi="Arial" w:cs="Arial"/>
        </w:rPr>
      </w:pPr>
      <w:r w:rsidRPr="00A65F75">
        <w:rPr>
          <w:rFonts w:ascii="Arial" w:hAnsi="Arial" w:cs="Arial"/>
        </w:rPr>
        <w:br w:type="page"/>
      </w:r>
    </w:p>
    <w:p w14:paraId="6DC0FCE2" w14:textId="77777777" w:rsidR="00EC6FF3" w:rsidRPr="00A65F75" w:rsidRDefault="00460D6B" w:rsidP="00D11EC7">
      <w:pPr>
        <w:pStyle w:val="Heading1"/>
        <w:spacing w:line="276" w:lineRule="auto"/>
        <w:rPr>
          <w:rFonts w:cs="Arial"/>
          <w:sz w:val="22"/>
          <w:szCs w:val="22"/>
        </w:rPr>
      </w:pPr>
      <w:bookmarkStart w:id="0" w:name="_Toc225676673"/>
      <w:r w:rsidRPr="00A65F75">
        <w:rPr>
          <w:rFonts w:cs="Arial"/>
          <w:sz w:val="22"/>
          <w:szCs w:val="22"/>
        </w:rPr>
        <w:t>ABSTRACT</w:t>
      </w:r>
      <w:bookmarkEnd w:id="0"/>
    </w:p>
    <w:p w14:paraId="32C2B9A7" w14:textId="1686DA25" w:rsidR="008E767F" w:rsidRPr="00A65F75" w:rsidRDefault="0027706B" w:rsidP="00D11EC7">
      <w:pPr>
        <w:spacing w:line="276" w:lineRule="auto"/>
        <w:rPr>
          <w:rFonts w:ascii="Arial" w:hAnsi="Arial" w:cs="Arial"/>
        </w:rPr>
      </w:pPr>
      <w:r w:rsidRPr="00A65F75">
        <w:rPr>
          <w:rFonts w:ascii="Arial" w:hAnsi="Arial" w:cs="Arial"/>
        </w:rPr>
        <w:t>This dissertation investigates the effects of exposure to adverse childhood experiences (ACEs) affecting the long-term mental health outcomes of marginalised groups in England and Wales and considers the implications of this research to NHS health and social care practice. Based on a qualitative literature-based design, the study</w:t>
      </w:r>
      <w:r w:rsidR="004956DF" w:rsidRPr="00A65F75">
        <w:rPr>
          <w:rFonts w:ascii="Arial" w:hAnsi="Arial" w:cs="Arial"/>
        </w:rPr>
        <w:t xml:space="preserve"> synthesises </w:t>
      </w:r>
      <w:r w:rsidRPr="00A65F75">
        <w:rPr>
          <w:rFonts w:ascii="Arial" w:hAnsi="Arial" w:cs="Arial"/>
        </w:rPr>
        <w:t>empirical and policy evidence to investigate the distribution of ACEs, cumulative effects on adult mental health, and the levels of trauma-informed approaches that are integrated into the NHS services. The re</w:t>
      </w:r>
      <w:r w:rsidR="00DB780A" w:rsidRPr="00A65F75">
        <w:rPr>
          <w:rFonts w:ascii="Arial" w:hAnsi="Arial" w:cs="Arial"/>
        </w:rPr>
        <w:t xml:space="preserve">view established consistent evidence </w:t>
      </w:r>
      <w:r w:rsidRPr="00A65F75">
        <w:rPr>
          <w:rFonts w:ascii="Arial" w:hAnsi="Arial" w:cs="Arial"/>
        </w:rPr>
        <w:t>that ACE exposure is patterned socially and cumulatively related to worse psychological outcomes, especially in the case of socioeconomically disadvantaged individuals. Although the concept of trauma-informed care is becoming more integrated into policy-makers' presentations, there is still no uniform approach to its application as there are structural limitations to its adoption, which include workforce shortages, lack of coordination in service delivery, and inconsistent training. The paper identifies the necessity of a better-coordinated, system-wide intervention on trauma-informed practice to minimize mental health disparities and make vulnerable groups better long-term outcomes.</w:t>
      </w:r>
    </w:p>
    <w:p w14:paraId="533FE318" w14:textId="77777777" w:rsidR="008E767F" w:rsidRPr="00A65F75" w:rsidRDefault="00F36B38" w:rsidP="00D11EC7">
      <w:pPr>
        <w:spacing w:line="276" w:lineRule="auto"/>
        <w:rPr>
          <w:rFonts w:ascii="Arial" w:hAnsi="Arial" w:cs="Arial"/>
        </w:rPr>
      </w:pPr>
      <w:r w:rsidRPr="00A65F75">
        <w:rPr>
          <w:rFonts w:ascii="Arial" w:hAnsi="Arial" w:cs="Arial"/>
        </w:rPr>
        <w:t>The review adopts a qualitative literature-based design that employs the thematic analysis to synthesise findings from the existing academic publications and policy literature. Key patterns and recurring themes regarding the ACE exposure, mental health outcomes, and the responses of the healthcare system were identified by systematically reviewing and analysing the selected peer-reviewed articles.</w:t>
      </w:r>
    </w:p>
    <w:p w14:paraId="5325B0C6" w14:textId="77777777" w:rsidR="008E767F" w:rsidRPr="00A65F75" w:rsidRDefault="00F36B38" w:rsidP="00D11EC7">
      <w:pPr>
        <w:spacing w:line="276" w:lineRule="auto"/>
        <w:rPr>
          <w:rFonts w:ascii="Arial" w:hAnsi="Arial" w:cs="Arial"/>
        </w:rPr>
      </w:pPr>
      <w:r w:rsidRPr="00A65F75">
        <w:rPr>
          <w:rFonts w:ascii="Arial" w:hAnsi="Arial" w:cs="Arial"/>
        </w:rPr>
        <w:t>The findings show that the experiences of ACEs are unevenly distributed among marginalised groups, which predisposes them to persistent psychological challenges. Second, cumulative ACE exposure is directly associated with impaired mental health outcomes, citing elevated service utilisation, depression, anxiety. Third, the concept of trauma-informed approaches is gaining attention in terms of NHS policy and practice as a solution to enhancing care provision to victims of trauma. Nevertheless, the review pinpoints major systemic gaps in the context of NHS health and social care delivery, such as a lack of staff training, disseminated service delivery and inequality in the application of trauma-informed frameworks.</w:t>
      </w:r>
    </w:p>
    <w:p w14:paraId="6BED52D4" w14:textId="49B8D73A" w:rsidR="00F36B38" w:rsidRPr="00A65F75" w:rsidRDefault="00F36B38" w:rsidP="00D11EC7">
      <w:pPr>
        <w:spacing w:line="276" w:lineRule="auto"/>
        <w:rPr>
          <w:rFonts w:ascii="Arial" w:hAnsi="Arial" w:cs="Arial"/>
        </w:rPr>
      </w:pPr>
      <w:r w:rsidRPr="00A65F75">
        <w:rPr>
          <w:rFonts w:ascii="Arial" w:hAnsi="Arial" w:cs="Arial"/>
        </w:rPr>
        <w:t>The review is limited by the use of secondary literature, and variability in study design as applied in the reviewed primary studies. Key recommendations from the findings point to the need for strengthening the training of healthcare professionals in trauma-relevant areas, enhancing cross-sector collaboration between the services, and creating more specific national plans to facilitate the maintenance of consistent trauma-relevant practice in NHS health and social care systems.</w:t>
      </w:r>
    </w:p>
    <w:p w14:paraId="0A8F8E06" w14:textId="77777777" w:rsidR="00F36B38" w:rsidRPr="00A65F75" w:rsidRDefault="00F36B38" w:rsidP="00D11EC7">
      <w:pPr>
        <w:spacing w:line="360" w:lineRule="auto"/>
        <w:rPr>
          <w:rFonts w:ascii="Arial" w:hAnsi="Arial" w:cs="Arial"/>
        </w:rPr>
      </w:pPr>
    </w:p>
    <w:p w14:paraId="31D424CF" w14:textId="77777777" w:rsidR="00F36B38" w:rsidRPr="00A65F75" w:rsidRDefault="00F36B38" w:rsidP="00D11EC7">
      <w:pPr>
        <w:spacing w:line="360" w:lineRule="auto"/>
        <w:jc w:val="center"/>
        <w:rPr>
          <w:rFonts w:ascii="Arial" w:hAnsi="Arial" w:cs="Arial"/>
        </w:rPr>
      </w:pPr>
    </w:p>
    <w:p w14:paraId="1A90E4EA" w14:textId="77777777" w:rsidR="00EC6FF3" w:rsidRPr="00A65F75" w:rsidRDefault="00EC6FF3" w:rsidP="00D11EC7">
      <w:pPr>
        <w:spacing w:line="360" w:lineRule="auto"/>
        <w:rPr>
          <w:rFonts w:ascii="Arial" w:hAnsi="Arial" w:cs="Arial"/>
        </w:rPr>
      </w:pPr>
      <w:r w:rsidRPr="00A65F75">
        <w:rPr>
          <w:rFonts w:ascii="Arial" w:hAnsi="Arial" w:cs="Arial"/>
        </w:rPr>
        <w:br w:type="page"/>
      </w:r>
    </w:p>
    <w:sdt>
      <w:sdtPr>
        <w:rPr>
          <w:rFonts w:ascii="Arial" w:eastAsiaTheme="minorHAnsi" w:hAnsi="Arial" w:cs="Arial"/>
          <w:b/>
          <w:bCs/>
          <w:color w:val="auto"/>
          <w:kern w:val="2"/>
          <w:sz w:val="22"/>
          <w:szCs w:val="22"/>
          <w:lang w:val="en-GB"/>
          <w14:ligatures w14:val="standardContextual"/>
        </w:rPr>
        <w:id w:val="2021504673"/>
        <w:docPartObj>
          <w:docPartGallery w:val="Table of Contents"/>
          <w:docPartUnique/>
        </w:docPartObj>
      </w:sdtPr>
      <w:sdtEndPr>
        <w:rPr>
          <w:noProof/>
        </w:rPr>
      </w:sdtEndPr>
      <w:sdtContent>
        <w:p w14:paraId="13E8720D" w14:textId="43CF7FC2" w:rsidR="00AD59BA" w:rsidRPr="00E140C5" w:rsidRDefault="00AD59BA" w:rsidP="00E140C5">
          <w:pPr>
            <w:pStyle w:val="TOCHeading"/>
            <w:spacing w:line="360" w:lineRule="auto"/>
            <w:jc w:val="center"/>
            <w:rPr>
              <w:rFonts w:ascii="Arial" w:hAnsi="Arial" w:cs="Arial"/>
              <w:b/>
              <w:bCs/>
              <w:color w:val="auto"/>
              <w:sz w:val="22"/>
              <w:szCs w:val="22"/>
            </w:rPr>
          </w:pPr>
          <w:r w:rsidRPr="00E140C5">
            <w:rPr>
              <w:rFonts w:ascii="Arial" w:hAnsi="Arial" w:cs="Arial"/>
              <w:b/>
              <w:bCs/>
              <w:color w:val="auto"/>
              <w:sz w:val="22"/>
              <w:szCs w:val="22"/>
            </w:rPr>
            <w:t>Table of Contents</w:t>
          </w:r>
        </w:p>
        <w:p w14:paraId="751B5A93" w14:textId="0F3DA28D" w:rsidR="00E140C5" w:rsidRPr="00E140C5" w:rsidRDefault="00AD59BA" w:rsidP="00E140C5">
          <w:pPr>
            <w:pStyle w:val="TOC1"/>
            <w:tabs>
              <w:tab w:val="right" w:leader="dot" w:pos="9016"/>
            </w:tabs>
            <w:spacing w:line="360" w:lineRule="auto"/>
            <w:rPr>
              <w:rFonts w:ascii="Arial" w:eastAsiaTheme="minorEastAsia" w:hAnsi="Arial" w:cs="Arial"/>
              <w:noProof/>
              <w:lang/>
            </w:rPr>
          </w:pPr>
          <w:r w:rsidRPr="00E140C5">
            <w:rPr>
              <w:rFonts w:ascii="Arial" w:hAnsi="Arial" w:cs="Arial"/>
            </w:rPr>
            <w:fldChar w:fldCharType="begin"/>
          </w:r>
          <w:r w:rsidRPr="00E140C5">
            <w:rPr>
              <w:rFonts w:ascii="Arial" w:hAnsi="Arial" w:cs="Arial"/>
            </w:rPr>
            <w:instrText xml:space="preserve"> TOC \o "1-3" \h \z \u </w:instrText>
          </w:r>
          <w:r w:rsidRPr="00E140C5">
            <w:rPr>
              <w:rFonts w:ascii="Arial" w:hAnsi="Arial" w:cs="Arial"/>
            </w:rPr>
            <w:fldChar w:fldCharType="separate"/>
          </w:r>
          <w:hyperlink w:anchor="_Toc225676673" w:history="1">
            <w:r w:rsidR="00E140C5" w:rsidRPr="00E140C5">
              <w:rPr>
                <w:rStyle w:val="Hyperlink"/>
                <w:rFonts w:ascii="Arial" w:hAnsi="Arial" w:cs="Arial"/>
                <w:noProof/>
              </w:rPr>
              <w:t>ABSTRACT</w:t>
            </w:r>
            <w:r w:rsidR="00E140C5" w:rsidRPr="00E140C5">
              <w:rPr>
                <w:rFonts w:ascii="Arial" w:hAnsi="Arial" w:cs="Arial"/>
                <w:noProof/>
                <w:webHidden/>
              </w:rPr>
              <w:tab/>
            </w:r>
            <w:r w:rsidR="00E140C5" w:rsidRPr="00E140C5">
              <w:rPr>
                <w:rFonts w:ascii="Arial" w:hAnsi="Arial" w:cs="Arial"/>
                <w:noProof/>
                <w:webHidden/>
              </w:rPr>
              <w:fldChar w:fldCharType="begin"/>
            </w:r>
            <w:r w:rsidR="00E140C5" w:rsidRPr="00E140C5">
              <w:rPr>
                <w:rFonts w:ascii="Arial" w:hAnsi="Arial" w:cs="Arial"/>
                <w:noProof/>
                <w:webHidden/>
              </w:rPr>
              <w:instrText xml:space="preserve"> PAGEREF _Toc225676673 \h </w:instrText>
            </w:r>
            <w:r w:rsidR="00E140C5" w:rsidRPr="00E140C5">
              <w:rPr>
                <w:rFonts w:ascii="Arial" w:hAnsi="Arial" w:cs="Arial"/>
                <w:noProof/>
                <w:webHidden/>
              </w:rPr>
            </w:r>
            <w:r w:rsidR="00E140C5" w:rsidRPr="00E140C5">
              <w:rPr>
                <w:rFonts w:ascii="Arial" w:hAnsi="Arial" w:cs="Arial"/>
                <w:noProof/>
                <w:webHidden/>
              </w:rPr>
              <w:fldChar w:fldCharType="separate"/>
            </w:r>
            <w:r w:rsidR="00E140C5">
              <w:rPr>
                <w:rFonts w:ascii="Arial" w:hAnsi="Arial" w:cs="Arial"/>
                <w:noProof/>
                <w:webHidden/>
              </w:rPr>
              <w:t>2</w:t>
            </w:r>
            <w:r w:rsidR="00E140C5" w:rsidRPr="00E140C5">
              <w:rPr>
                <w:rFonts w:ascii="Arial" w:hAnsi="Arial" w:cs="Arial"/>
                <w:noProof/>
                <w:webHidden/>
              </w:rPr>
              <w:fldChar w:fldCharType="end"/>
            </w:r>
          </w:hyperlink>
        </w:p>
        <w:p w14:paraId="356EA84C" w14:textId="52385714" w:rsidR="00E140C5" w:rsidRPr="00E140C5" w:rsidRDefault="00E140C5" w:rsidP="00E140C5">
          <w:pPr>
            <w:pStyle w:val="TOC1"/>
            <w:tabs>
              <w:tab w:val="right" w:leader="dot" w:pos="9016"/>
            </w:tabs>
            <w:spacing w:line="360" w:lineRule="auto"/>
            <w:rPr>
              <w:rFonts w:ascii="Arial" w:eastAsiaTheme="minorEastAsia" w:hAnsi="Arial" w:cs="Arial"/>
              <w:noProof/>
              <w:lang/>
            </w:rPr>
          </w:pPr>
          <w:hyperlink w:anchor="_Toc225676674" w:history="1">
            <w:r w:rsidRPr="00E140C5">
              <w:rPr>
                <w:rStyle w:val="Hyperlink"/>
                <w:rFonts w:ascii="Arial" w:hAnsi="Arial" w:cs="Arial"/>
                <w:noProof/>
              </w:rPr>
              <w:t>CHAPTER 1: Introduction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_Toc225676674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6</w:t>
            </w:r>
            <w:r w:rsidRPr="00E140C5">
              <w:rPr>
                <w:rFonts w:ascii="Arial" w:hAnsi="Arial" w:cs="Arial"/>
                <w:noProof/>
                <w:webHidden/>
              </w:rPr>
              <w:fldChar w:fldCharType="end"/>
            </w:r>
          </w:hyperlink>
        </w:p>
        <w:p w14:paraId="713B3EDA" w14:textId="596342C6"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75" w:history="1">
            <w:r w:rsidRPr="00E140C5">
              <w:rPr>
                <w:rStyle w:val="Hyperlink"/>
                <w:rFonts w:ascii="Arial" w:hAnsi="Arial" w:cs="Arial"/>
                <w:noProof/>
              </w:rPr>
              <w:t>1.1 Introduction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_Toc225676675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6</w:t>
            </w:r>
            <w:r w:rsidRPr="00E140C5">
              <w:rPr>
                <w:rFonts w:ascii="Arial" w:hAnsi="Arial" w:cs="Arial"/>
                <w:noProof/>
                <w:webHidden/>
              </w:rPr>
              <w:fldChar w:fldCharType="end"/>
            </w:r>
          </w:hyperlink>
        </w:p>
        <w:p w14:paraId="08E729D5" w14:textId="7E5F7619"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76" w:history="1">
            <w:r w:rsidRPr="00E140C5">
              <w:rPr>
                <w:rStyle w:val="Hyperlink"/>
                <w:rFonts w:ascii="Arial" w:hAnsi="Arial" w:cs="Arial"/>
                <w:noProof/>
              </w:rPr>
              <w:t>1.2 Definitions and Terminology</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_Toc225676676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6</w:t>
            </w:r>
            <w:r w:rsidRPr="00E140C5">
              <w:rPr>
                <w:rFonts w:ascii="Arial" w:hAnsi="Arial" w:cs="Arial"/>
                <w:noProof/>
                <w:webHidden/>
              </w:rPr>
              <w:fldChar w:fldCharType="end"/>
            </w:r>
          </w:hyperlink>
        </w:p>
        <w:p w14:paraId="273C94F1" w14:textId="2703A903"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77" w:history="1">
            <w:r w:rsidRPr="00E140C5">
              <w:rPr>
                <w:rStyle w:val="Hyperlink"/>
                <w:rFonts w:ascii="Arial" w:hAnsi="Arial" w:cs="Arial"/>
                <w:noProof/>
              </w:rPr>
              <w:t>1.3 Rationale for Research</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_Toc225676677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7</w:t>
            </w:r>
            <w:r w:rsidRPr="00E140C5">
              <w:rPr>
                <w:rFonts w:ascii="Arial" w:hAnsi="Arial" w:cs="Arial"/>
                <w:noProof/>
                <w:webHidden/>
              </w:rPr>
              <w:fldChar w:fldCharType="end"/>
            </w:r>
          </w:hyperlink>
        </w:p>
        <w:p w14:paraId="5A2A9CBE" w14:textId="543CB148"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78" w:history="1">
            <w:r w:rsidRPr="00E140C5">
              <w:rPr>
                <w:rStyle w:val="Hyperlink"/>
                <w:rFonts w:ascii="Arial" w:hAnsi="Arial" w:cs="Arial"/>
                <w:noProof/>
              </w:rPr>
              <w:t>1.4 Aim, Question, and Objectives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_Toc225676678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7</w:t>
            </w:r>
            <w:r w:rsidRPr="00E140C5">
              <w:rPr>
                <w:rFonts w:ascii="Arial" w:hAnsi="Arial" w:cs="Arial"/>
                <w:noProof/>
                <w:webHidden/>
              </w:rPr>
              <w:fldChar w:fldCharType="end"/>
            </w:r>
          </w:hyperlink>
        </w:p>
        <w:p w14:paraId="2FCC11E5" w14:textId="74E7E879"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679" w:history="1">
            <w:r w:rsidRPr="00E140C5">
              <w:rPr>
                <w:rStyle w:val="Hyperlink"/>
                <w:rFonts w:ascii="Arial" w:hAnsi="Arial" w:cs="Arial"/>
                <w:noProof/>
              </w:rPr>
              <w:t>Research Aim</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_Toc225676679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7</w:t>
            </w:r>
            <w:r w:rsidRPr="00E140C5">
              <w:rPr>
                <w:rFonts w:ascii="Arial" w:hAnsi="Arial" w:cs="Arial"/>
                <w:noProof/>
                <w:webHidden/>
              </w:rPr>
              <w:fldChar w:fldCharType="end"/>
            </w:r>
          </w:hyperlink>
        </w:p>
        <w:p w14:paraId="42D7551C" w14:textId="296FFF3D"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680" w:history="1">
            <w:r w:rsidRPr="00E140C5">
              <w:rPr>
                <w:rStyle w:val="Hyperlink"/>
                <w:rFonts w:ascii="Arial" w:hAnsi="Arial" w:cs="Arial"/>
                <w:noProof/>
              </w:rPr>
              <w:t>Research Question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_Toc225676680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7</w:t>
            </w:r>
            <w:r w:rsidRPr="00E140C5">
              <w:rPr>
                <w:rFonts w:ascii="Arial" w:hAnsi="Arial" w:cs="Arial"/>
                <w:noProof/>
                <w:webHidden/>
              </w:rPr>
              <w:fldChar w:fldCharType="end"/>
            </w:r>
          </w:hyperlink>
        </w:p>
        <w:p w14:paraId="59E8E19F" w14:textId="29D189A5"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681" w:history="1">
            <w:r w:rsidRPr="00E140C5">
              <w:rPr>
                <w:rStyle w:val="Hyperlink"/>
                <w:rFonts w:ascii="Arial" w:hAnsi="Arial" w:cs="Arial"/>
                <w:noProof/>
              </w:rPr>
              <w:t>Research Objectives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_Toc225676681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8</w:t>
            </w:r>
            <w:r w:rsidRPr="00E140C5">
              <w:rPr>
                <w:rFonts w:ascii="Arial" w:hAnsi="Arial" w:cs="Arial"/>
                <w:noProof/>
                <w:webHidden/>
              </w:rPr>
              <w:fldChar w:fldCharType="end"/>
            </w:r>
          </w:hyperlink>
        </w:p>
        <w:p w14:paraId="5624716B" w14:textId="4A248423"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82" w:history="1">
            <w:r w:rsidRPr="00E140C5">
              <w:rPr>
                <w:rStyle w:val="Hyperlink"/>
                <w:rFonts w:ascii="Arial" w:hAnsi="Arial" w:cs="Arial"/>
                <w:noProof/>
              </w:rPr>
              <w:t>1.5 Conclusion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_Toc225676682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8</w:t>
            </w:r>
            <w:r w:rsidRPr="00E140C5">
              <w:rPr>
                <w:rFonts w:ascii="Arial" w:hAnsi="Arial" w:cs="Arial"/>
                <w:noProof/>
                <w:webHidden/>
              </w:rPr>
              <w:fldChar w:fldCharType="end"/>
            </w:r>
          </w:hyperlink>
        </w:p>
        <w:p w14:paraId="4F1FFBD9" w14:textId="4B38D4AB" w:rsidR="00E140C5" w:rsidRPr="00E140C5" w:rsidRDefault="00E140C5" w:rsidP="00E140C5">
          <w:pPr>
            <w:pStyle w:val="TOC1"/>
            <w:tabs>
              <w:tab w:val="right" w:leader="dot" w:pos="9016"/>
            </w:tabs>
            <w:spacing w:line="360" w:lineRule="auto"/>
            <w:rPr>
              <w:rFonts w:ascii="Arial" w:eastAsiaTheme="minorEastAsia" w:hAnsi="Arial" w:cs="Arial"/>
              <w:noProof/>
              <w:lang/>
            </w:rPr>
          </w:pPr>
          <w:hyperlink w:anchor="_Toc225676683" w:history="1">
            <w:r w:rsidRPr="00E140C5">
              <w:rPr>
                <w:rStyle w:val="Hyperlink"/>
                <w:rFonts w:ascii="Arial" w:hAnsi="Arial" w:cs="Arial"/>
                <w:noProof/>
              </w:rPr>
              <w:t>CHAPTER 2: Background Information and Analysis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_Toc225676683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9</w:t>
            </w:r>
            <w:r w:rsidRPr="00E140C5">
              <w:rPr>
                <w:rFonts w:ascii="Arial" w:hAnsi="Arial" w:cs="Arial"/>
                <w:noProof/>
                <w:webHidden/>
              </w:rPr>
              <w:fldChar w:fldCharType="end"/>
            </w:r>
          </w:hyperlink>
        </w:p>
        <w:p w14:paraId="190D95D7" w14:textId="5DD11D36"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84" w:history="1">
            <w:r w:rsidRPr="00E140C5">
              <w:rPr>
                <w:rStyle w:val="Hyperlink"/>
                <w:rFonts w:ascii="Arial" w:hAnsi="Arial" w:cs="Arial"/>
                <w:noProof/>
              </w:rPr>
              <w:t>2.1 Introduction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_Toc225676684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9</w:t>
            </w:r>
            <w:r w:rsidRPr="00E140C5">
              <w:rPr>
                <w:rFonts w:ascii="Arial" w:hAnsi="Arial" w:cs="Arial"/>
                <w:noProof/>
                <w:webHidden/>
              </w:rPr>
              <w:fldChar w:fldCharType="end"/>
            </w:r>
          </w:hyperlink>
        </w:p>
        <w:p w14:paraId="393A230F" w14:textId="3DBC594B"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85" w:history="1">
            <w:r w:rsidRPr="00E140C5">
              <w:rPr>
                <w:rStyle w:val="Hyperlink"/>
                <w:rFonts w:ascii="Arial" w:hAnsi="Arial" w:cs="Arial"/>
                <w:noProof/>
              </w:rPr>
              <w:t>2.2 Historical Background</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_Toc225676685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9</w:t>
            </w:r>
            <w:r w:rsidRPr="00E140C5">
              <w:rPr>
                <w:rFonts w:ascii="Arial" w:hAnsi="Arial" w:cs="Arial"/>
                <w:noProof/>
                <w:webHidden/>
              </w:rPr>
              <w:fldChar w:fldCharType="end"/>
            </w:r>
          </w:hyperlink>
        </w:p>
        <w:p w14:paraId="065FDB02" w14:textId="7591C57C"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86" w:history="1">
            <w:r w:rsidRPr="00E140C5">
              <w:rPr>
                <w:rStyle w:val="Hyperlink"/>
                <w:rFonts w:ascii="Arial" w:hAnsi="Arial" w:cs="Arial"/>
                <w:noProof/>
              </w:rPr>
              <w:t>2.3 Theoretical Background</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_Toc225676686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11</w:t>
            </w:r>
            <w:r w:rsidRPr="00E140C5">
              <w:rPr>
                <w:rFonts w:ascii="Arial" w:hAnsi="Arial" w:cs="Arial"/>
                <w:noProof/>
                <w:webHidden/>
              </w:rPr>
              <w:fldChar w:fldCharType="end"/>
            </w:r>
          </w:hyperlink>
        </w:p>
        <w:p w14:paraId="26618610" w14:textId="0FEB277B"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87" w:history="1">
            <w:r w:rsidRPr="00E140C5">
              <w:rPr>
                <w:rStyle w:val="Hyperlink"/>
                <w:rFonts w:ascii="Arial" w:hAnsi="Arial" w:cs="Arial"/>
                <w:noProof/>
              </w:rPr>
              <w:t>2.4 International Context</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_Toc225676687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12</w:t>
            </w:r>
            <w:r w:rsidRPr="00E140C5">
              <w:rPr>
                <w:rFonts w:ascii="Arial" w:hAnsi="Arial" w:cs="Arial"/>
                <w:noProof/>
                <w:webHidden/>
              </w:rPr>
              <w:fldChar w:fldCharType="end"/>
            </w:r>
          </w:hyperlink>
        </w:p>
        <w:p w14:paraId="0660DF58" w14:textId="4A78DCF1"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88" w:history="1">
            <w:r w:rsidRPr="00E140C5">
              <w:rPr>
                <w:rStyle w:val="Hyperlink"/>
                <w:rFonts w:ascii="Arial" w:hAnsi="Arial" w:cs="Arial"/>
                <w:noProof/>
              </w:rPr>
              <w:t>2.5 National/Local UK Context</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_Toc225676688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14</w:t>
            </w:r>
            <w:r w:rsidRPr="00E140C5">
              <w:rPr>
                <w:rFonts w:ascii="Arial" w:hAnsi="Arial" w:cs="Arial"/>
                <w:noProof/>
                <w:webHidden/>
              </w:rPr>
              <w:fldChar w:fldCharType="end"/>
            </w:r>
          </w:hyperlink>
        </w:p>
        <w:p w14:paraId="4D64EA0A" w14:textId="1ADCE29A"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89" w:history="1">
            <w:r w:rsidRPr="00E140C5">
              <w:rPr>
                <w:rStyle w:val="Hyperlink"/>
                <w:rFonts w:ascii="Arial" w:hAnsi="Arial" w:cs="Arial"/>
                <w:noProof/>
              </w:rPr>
              <w:t>2.6 Conclusion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_Toc225676689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15</w:t>
            </w:r>
            <w:r w:rsidRPr="00E140C5">
              <w:rPr>
                <w:rFonts w:ascii="Arial" w:hAnsi="Arial" w:cs="Arial"/>
                <w:noProof/>
                <w:webHidden/>
              </w:rPr>
              <w:fldChar w:fldCharType="end"/>
            </w:r>
          </w:hyperlink>
        </w:p>
        <w:p w14:paraId="33736EE1" w14:textId="114F227E" w:rsidR="00E140C5" w:rsidRPr="00E140C5" w:rsidRDefault="00E140C5" w:rsidP="00E140C5">
          <w:pPr>
            <w:pStyle w:val="TOC1"/>
            <w:tabs>
              <w:tab w:val="right" w:leader="dot" w:pos="9016"/>
            </w:tabs>
            <w:spacing w:line="360" w:lineRule="auto"/>
            <w:rPr>
              <w:rFonts w:ascii="Arial" w:eastAsiaTheme="minorEastAsia" w:hAnsi="Arial" w:cs="Arial"/>
              <w:noProof/>
              <w:lang/>
            </w:rPr>
          </w:pPr>
          <w:hyperlink w:anchor="_Toc225676690" w:history="1">
            <w:r w:rsidRPr="00E140C5">
              <w:rPr>
                <w:rStyle w:val="Hyperlink"/>
                <w:rFonts w:ascii="Arial" w:hAnsi="Arial" w:cs="Arial"/>
                <w:noProof/>
              </w:rPr>
              <w:t>CHAPTER 3 – Methods and Search Strategy</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_Toc225676690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16</w:t>
            </w:r>
            <w:r w:rsidRPr="00E140C5">
              <w:rPr>
                <w:rFonts w:ascii="Arial" w:hAnsi="Arial" w:cs="Arial"/>
                <w:noProof/>
                <w:webHidden/>
              </w:rPr>
              <w:fldChar w:fldCharType="end"/>
            </w:r>
          </w:hyperlink>
        </w:p>
        <w:p w14:paraId="6E718122" w14:textId="08256DB3"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91" w:history="1">
            <w:r w:rsidRPr="00E140C5">
              <w:rPr>
                <w:rStyle w:val="Hyperlink"/>
                <w:rFonts w:ascii="Arial" w:hAnsi="Arial" w:cs="Arial"/>
                <w:noProof/>
              </w:rPr>
              <w:t>3.1 Introduction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_Toc225676691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16</w:t>
            </w:r>
            <w:r w:rsidRPr="00E140C5">
              <w:rPr>
                <w:rFonts w:ascii="Arial" w:hAnsi="Arial" w:cs="Arial"/>
                <w:noProof/>
                <w:webHidden/>
              </w:rPr>
              <w:fldChar w:fldCharType="end"/>
            </w:r>
          </w:hyperlink>
        </w:p>
        <w:p w14:paraId="1373D590" w14:textId="31385E28"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92" w:history="1">
            <w:r w:rsidRPr="00E140C5">
              <w:rPr>
                <w:rStyle w:val="Hyperlink"/>
                <w:rFonts w:ascii="Arial" w:hAnsi="Arial" w:cs="Arial"/>
                <w:noProof/>
              </w:rPr>
              <w:t>3.2 Search Strategy</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_Toc225676692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16</w:t>
            </w:r>
            <w:r w:rsidRPr="00E140C5">
              <w:rPr>
                <w:rFonts w:ascii="Arial" w:hAnsi="Arial" w:cs="Arial"/>
                <w:noProof/>
                <w:webHidden/>
              </w:rPr>
              <w:fldChar w:fldCharType="end"/>
            </w:r>
          </w:hyperlink>
        </w:p>
        <w:p w14:paraId="5DD4B17A" w14:textId="1EFF32F7"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93" w:history="1">
            <w:r w:rsidRPr="00E140C5">
              <w:rPr>
                <w:rStyle w:val="Hyperlink"/>
                <w:rFonts w:ascii="Arial" w:hAnsi="Arial" w:cs="Arial"/>
                <w:noProof/>
              </w:rPr>
              <w:t>3.3 Searching for Information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_Toc225676693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16</w:t>
            </w:r>
            <w:r w:rsidRPr="00E140C5">
              <w:rPr>
                <w:rFonts w:ascii="Arial" w:hAnsi="Arial" w:cs="Arial"/>
                <w:noProof/>
                <w:webHidden/>
              </w:rPr>
              <w:fldChar w:fldCharType="end"/>
            </w:r>
          </w:hyperlink>
        </w:p>
        <w:p w14:paraId="43A9900E" w14:textId="6CC6DB32"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94" w:history="1">
            <w:r w:rsidRPr="00E140C5">
              <w:rPr>
                <w:rStyle w:val="Hyperlink"/>
                <w:rFonts w:ascii="Arial" w:hAnsi="Arial" w:cs="Arial"/>
                <w:noProof/>
              </w:rPr>
              <w:t>3.4 Research Validation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_Toc225676694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17</w:t>
            </w:r>
            <w:r w:rsidRPr="00E140C5">
              <w:rPr>
                <w:rFonts w:ascii="Arial" w:hAnsi="Arial" w:cs="Arial"/>
                <w:noProof/>
                <w:webHidden/>
              </w:rPr>
              <w:fldChar w:fldCharType="end"/>
            </w:r>
          </w:hyperlink>
        </w:p>
        <w:p w14:paraId="5B0830CA" w14:textId="1615034C"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95" w:history="1">
            <w:r w:rsidRPr="00E140C5">
              <w:rPr>
                <w:rStyle w:val="Hyperlink"/>
                <w:rFonts w:ascii="Arial" w:hAnsi="Arial" w:cs="Arial"/>
                <w:noProof/>
              </w:rPr>
              <w:t>3.5 Inclusion and Exclusion Criteria</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_Toc225676695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18</w:t>
            </w:r>
            <w:r w:rsidRPr="00E140C5">
              <w:rPr>
                <w:rFonts w:ascii="Arial" w:hAnsi="Arial" w:cs="Arial"/>
                <w:noProof/>
                <w:webHidden/>
              </w:rPr>
              <w:fldChar w:fldCharType="end"/>
            </w:r>
          </w:hyperlink>
        </w:p>
        <w:p w14:paraId="6444AF11" w14:textId="21380265"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96" w:history="1">
            <w:r w:rsidRPr="00E140C5">
              <w:rPr>
                <w:rStyle w:val="Hyperlink"/>
                <w:rFonts w:ascii="Arial" w:hAnsi="Arial" w:cs="Arial"/>
                <w:noProof/>
              </w:rPr>
              <w:t>3.6 Analysing Research</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_Toc225676696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19</w:t>
            </w:r>
            <w:r w:rsidRPr="00E140C5">
              <w:rPr>
                <w:rFonts w:ascii="Arial" w:hAnsi="Arial" w:cs="Arial"/>
                <w:noProof/>
                <w:webHidden/>
              </w:rPr>
              <w:fldChar w:fldCharType="end"/>
            </w:r>
          </w:hyperlink>
        </w:p>
        <w:p w14:paraId="39FCF86B" w14:textId="02C0AF4A"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97" w:history="1">
            <w:r w:rsidRPr="00E140C5">
              <w:rPr>
                <w:rStyle w:val="Hyperlink"/>
                <w:rFonts w:ascii="Arial" w:hAnsi="Arial" w:cs="Arial"/>
                <w:noProof/>
              </w:rPr>
              <w:t>3.7 Ethical Considerations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_Toc225676697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19</w:t>
            </w:r>
            <w:r w:rsidRPr="00E140C5">
              <w:rPr>
                <w:rFonts w:ascii="Arial" w:hAnsi="Arial" w:cs="Arial"/>
                <w:noProof/>
                <w:webHidden/>
              </w:rPr>
              <w:fldChar w:fldCharType="end"/>
            </w:r>
          </w:hyperlink>
        </w:p>
        <w:p w14:paraId="38D2E129" w14:textId="74433A99"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698" w:history="1">
            <w:r w:rsidRPr="00E140C5">
              <w:rPr>
                <w:rStyle w:val="Hyperlink"/>
                <w:rFonts w:ascii="Arial" w:hAnsi="Arial" w:cs="Arial"/>
                <w:noProof/>
              </w:rPr>
              <w:t>3.8 Conclusion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_Toc225676698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19</w:t>
            </w:r>
            <w:r w:rsidRPr="00E140C5">
              <w:rPr>
                <w:rFonts w:ascii="Arial" w:hAnsi="Arial" w:cs="Arial"/>
                <w:noProof/>
                <w:webHidden/>
              </w:rPr>
              <w:fldChar w:fldCharType="end"/>
            </w:r>
          </w:hyperlink>
        </w:p>
        <w:p w14:paraId="0D14B5E5" w14:textId="78DBE38F" w:rsidR="00E140C5" w:rsidRPr="00E140C5" w:rsidRDefault="00E140C5" w:rsidP="00E140C5">
          <w:pPr>
            <w:pStyle w:val="TOC1"/>
            <w:tabs>
              <w:tab w:val="right" w:leader="dot" w:pos="9016"/>
            </w:tabs>
            <w:spacing w:line="360" w:lineRule="auto"/>
            <w:rPr>
              <w:rFonts w:ascii="Arial" w:eastAsiaTheme="minorEastAsia" w:hAnsi="Arial" w:cs="Arial"/>
              <w:noProof/>
              <w:lang/>
            </w:rPr>
          </w:pPr>
          <w:hyperlink w:anchor="_Toc225676699" w:history="1">
            <w:r w:rsidRPr="00E140C5">
              <w:rPr>
                <w:rStyle w:val="Hyperlink"/>
                <w:rFonts w:ascii="Arial" w:hAnsi="Arial" w:cs="Arial"/>
                <w:noProof/>
              </w:rPr>
              <w:t>CHAPTER 4 – Findings and Discussion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_Toc225676699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21</w:t>
            </w:r>
            <w:r w:rsidRPr="00E140C5">
              <w:rPr>
                <w:rFonts w:ascii="Arial" w:hAnsi="Arial" w:cs="Arial"/>
                <w:noProof/>
                <w:webHidden/>
              </w:rPr>
              <w:fldChar w:fldCharType="end"/>
            </w:r>
          </w:hyperlink>
        </w:p>
        <w:p w14:paraId="6E92B70E" w14:textId="2B167BA3"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700" w:history="1">
            <w:r w:rsidRPr="00E140C5">
              <w:rPr>
                <w:rStyle w:val="Hyperlink"/>
                <w:rFonts w:ascii="Arial" w:hAnsi="Arial" w:cs="Arial"/>
                <w:noProof/>
              </w:rPr>
              <w:t>4.1 Introduction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_Toc225676700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21</w:t>
            </w:r>
            <w:r w:rsidRPr="00E140C5">
              <w:rPr>
                <w:rFonts w:ascii="Arial" w:hAnsi="Arial" w:cs="Arial"/>
                <w:noProof/>
                <w:webHidden/>
              </w:rPr>
              <w:fldChar w:fldCharType="end"/>
            </w:r>
          </w:hyperlink>
        </w:p>
        <w:p w14:paraId="0D857C04" w14:textId="31F57021"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701" w:history="1">
            <w:r w:rsidRPr="00E140C5">
              <w:rPr>
                <w:rStyle w:val="Hyperlink"/>
                <w:rFonts w:ascii="Arial" w:hAnsi="Arial" w:cs="Arial"/>
                <w:noProof/>
              </w:rPr>
              <w:t>4.2 Thematic Analysis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_Toc225676701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21</w:t>
            </w:r>
            <w:r w:rsidRPr="00E140C5">
              <w:rPr>
                <w:rFonts w:ascii="Arial" w:hAnsi="Arial" w:cs="Arial"/>
                <w:noProof/>
                <w:webHidden/>
              </w:rPr>
              <w:fldChar w:fldCharType="end"/>
            </w:r>
          </w:hyperlink>
        </w:p>
        <w:p w14:paraId="54F35688" w14:textId="12CE1E52"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702" w:history="1">
            <w:r w:rsidRPr="00E140C5">
              <w:rPr>
                <w:rStyle w:val="Hyperlink"/>
                <w:rFonts w:ascii="Arial" w:hAnsi="Arial" w:cs="Arial"/>
                <w:noProof/>
              </w:rPr>
              <w:t>4.3 – Theme 1: Prevalence and Socioeconomic Distribution of ACEs in Marginalised Populations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_Toc225676702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22</w:t>
            </w:r>
            <w:r w:rsidRPr="00E140C5">
              <w:rPr>
                <w:rFonts w:ascii="Arial" w:hAnsi="Arial" w:cs="Arial"/>
                <w:noProof/>
                <w:webHidden/>
              </w:rPr>
              <w:fldChar w:fldCharType="end"/>
            </w:r>
          </w:hyperlink>
        </w:p>
        <w:p w14:paraId="164B7846" w14:textId="79EE224C"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03" w:history="1">
            <w:r w:rsidRPr="00E140C5">
              <w:rPr>
                <w:rStyle w:val="Hyperlink"/>
                <w:rFonts w:ascii="Arial" w:hAnsi="Arial" w:cs="Arial"/>
                <w:noProof/>
              </w:rPr>
              <w:t>Definition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_Toc225676703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22</w:t>
            </w:r>
            <w:r w:rsidRPr="00E140C5">
              <w:rPr>
                <w:rFonts w:ascii="Arial" w:hAnsi="Arial" w:cs="Arial"/>
                <w:noProof/>
                <w:webHidden/>
              </w:rPr>
              <w:fldChar w:fldCharType="end"/>
            </w:r>
          </w:hyperlink>
        </w:p>
        <w:p w14:paraId="6851D93D" w14:textId="775A2DEF"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04" w:history="1">
            <w:r w:rsidRPr="00E140C5">
              <w:rPr>
                <w:rStyle w:val="Hyperlink"/>
                <w:rFonts w:ascii="Arial" w:hAnsi="Arial" w:cs="Arial"/>
                <w:noProof/>
              </w:rPr>
              <w:t>Background Information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_Toc225676704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22</w:t>
            </w:r>
            <w:r w:rsidRPr="00E140C5">
              <w:rPr>
                <w:rFonts w:ascii="Arial" w:hAnsi="Arial" w:cs="Arial"/>
                <w:noProof/>
                <w:webHidden/>
              </w:rPr>
              <w:fldChar w:fldCharType="end"/>
            </w:r>
          </w:hyperlink>
        </w:p>
        <w:p w14:paraId="2707E1C3" w14:textId="16A54291"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05" w:history="1">
            <w:r w:rsidRPr="00E140C5">
              <w:rPr>
                <w:rStyle w:val="Hyperlink"/>
                <w:rFonts w:ascii="Arial" w:hAnsi="Arial" w:cs="Arial"/>
                <w:noProof/>
              </w:rPr>
              <w:t>Impact on Research Question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_Toc225676705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22</w:t>
            </w:r>
            <w:r w:rsidRPr="00E140C5">
              <w:rPr>
                <w:rFonts w:ascii="Arial" w:hAnsi="Arial" w:cs="Arial"/>
                <w:noProof/>
                <w:webHidden/>
              </w:rPr>
              <w:fldChar w:fldCharType="end"/>
            </w:r>
          </w:hyperlink>
        </w:p>
        <w:p w14:paraId="746CBF31" w14:textId="1B690613"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06" w:history="1">
            <w:r w:rsidRPr="00E140C5">
              <w:rPr>
                <w:rStyle w:val="Hyperlink"/>
                <w:rFonts w:ascii="Arial" w:hAnsi="Arial" w:cs="Arial"/>
                <w:noProof/>
              </w:rPr>
              <w:t>Statistical Information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_Toc225676706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22</w:t>
            </w:r>
            <w:r w:rsidRPr="00E140C5">
              <w:rPr>
                <w:rFonts w:ascii="Arial" w:hAnsi="Arial" w:cs="Arial"/>
                <w:noProof/>
                <w:webHidden/>
              </w:rPr>
              <w:fldChar w:fldCharType="end"/>
            </w:r>
          </w:hyperlink>
        </w:p>
        <w:p w14:paraId="0AEFB457" w14:textId="48A63ED0"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07" w:history="1">
            <w:r w:rsidRPr="00E140C5">
              <w:rPr>
                <w:rStyle w:val="Hyperlink"/>
                <w:rFonts w:ascii="Arial" w:hAnsi="Arial" w:cs="Arial"/>
                <w:noProof/>
              </w:rPr>
              <w:t>Theories, Policies, and Legislation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_Toc225676707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23</w:t>
            </w:r>
            <w:r w:rsidRPr="00E140C5">
              <w:rPr>
                <w:rFonts w:ascii="Arial" w:hAnsi="Arial" w:cs="Arial"/>
                <w:noProof/>
                <w:webHidden/>
              </w:rPr>
              <w:fldChar w:fldCharType="end"/>
            </w:r>
          </w:hyperlink>
        </w:p>
        <w:p w14:paraId="28E612B2" w14:textId="0CBFCD9A"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08" w:history="1">
            <w:r w:rsidRPr="00E140C5">
              <w:rPr>
                <w:rStyle w:val="Hyperlink"/>
                <w:rFonts w:ascii="Arial" w:hAnsi="Arial" w:cs="Arial"/>
                <w:noProof/>
              </w:rPr>
              <w:t>Implications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_Toc225676708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23</w:t>
            </w:r>
            <w:r w:rsidRPr="00E140C5">
              <w:rPr>
                <w:rFonts w:ascii="Arial" w:hAnsi="Arial" w:cs="Arial"/>
                <w:noProof/>
                <w:webHidden/>
              </w:rPr>
              <w:fldChar w:fldCharType="end"/>
            </w:r>
          </w:hyperlink>
        </w:p>
        <w:p w14:paraId="1D680D22" w14:textId="5472399B"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09" w:history="1">
            <w:r w:rsidRPr="00E140C5">
              <w:rPr>
                <w:rStyle w:val="Hyperlink"/>
                <w:rFonts w:ascii="Arial" w:hAnsi="Arial" w:cs="Arial"/>
                <w:noProof/>
              </w:rPr>
              <w:t>Examples from Selected Articles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_Toc225676709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23</w:t>
            </w:r>
            <w:r w:rsidRPr="00E140C5">
              <w:rPr>
                <w:rFonts w:ascii="Arial" w:hAnsi="Arial" w:cs="Arial"/>
                <w:noProof/>
                <w:webHidden/>
              </w:rPr>
              <w:fldChar w:fldCharType="end"/>
            </w:r>
          </w:hyperlink>
        </w:p>
        <w:p w14:paraId="3BCC9C5B" w14:textId="7DD206FA"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10" w:history="1">
            <w:r w:rsidRPr="00E140C5">
              <w:rPr>
                <w:rStyle w:val="Hyperlink"/>
                <w:rFonts w:ascii="Arial" w:hAnsi="Arial" w:cs="Arial"/>
                <w:noProof/>
              </w:rPr>
              <w:t>Connections to Other Themes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_Toc225676710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24</w:t>
            </w:r>
            <w:r w:rsidRPr="00E140C5">
              <w:rPr>
                <w:rFonts w:ascii="Arial" w:hAnsi="Arial" w:cs="Arial"/>
                <w:noProof/>
                <w:webHidden/>
              </w:rPr>
              <w:fldChar w:fldCharType="end"/>
            </w:r>
          </w:hyperlink>
        </w:p>
        <w:p w14:paraId="33972215" w14:textId="4D55FDDC"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711" w:history="1">
            <w:r w:rsidRPr="00E140C5">
              <w:rPr>
                <w:rStyle w:val="Hyperlink"/>
                <w:rFonts w:ascii="Arial" w:hAnsi="Arial" w:cs="Arial"/>
                <w:noProof/>
              </w:rPr>
              <w:t>4.4 – Theme 2: Links between Cumulative ACE Exposure and Long-Term Mental Health Outcomes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_Toc225676711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24</w:t>
            </w:r>
            <w:r w:rsidRPr="00E140C5">
              <w:rPr>
                <w:rFonts w:ascii="Arial" w:hAnsi="Arial" w:cs="Arial"/>
                <w:noProof/>
                <w:webHidden/>
              </w:rPr>
              <w:fldChar w:fldCharType="end"/>
            </w:r>
          </w:hyperlink>
        </w:p>
        <w:p w14:paraId="48033CFF" w14:textId="3E52A5D3"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12" w:history="1">
            <w:r w:rsidRPr="00E140C5">
              <w:rPr>
                <w:rStyle w:val="Hyperlink"/>
                <w:rFonts w:ascii="Arial" w:hAnsi="Arial" w:cs="Arial"/>
                <w:noProof/>
              </w:rPr>
              <w:t>Definition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_Toc225676712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24</w:t>
            </w:r>
            <w:r w:rsidRPr="00E140C5">
              <w:rPr>
                <w:rFonts w:ascii="Arial" w:hAnsi="Arial" w:cs="Arial"/>
                <w:noProof/>
                <w:webHidden/>
              </w:rPr>
              <w:fldChar w:fldCharType="end"/>
            </w:r>
          </w:hyperlink>
        </w:p>
        <w:p w14:paraId="3F47D369" w14:textId="20396A8E"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13" w:history="1">
            <w:r w:rsidRPr="00E140C5">
              <w:rPr>
                <w:rStyle w:val="Hyperlink"/>
                <w:rFonts w:ascii="Arial" w:hAnsi="Arial" w:cs="Arial"/>
                <w:noProof/>
              </w:rPr>
              <w:t>Background Information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_Toc225676713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24</w:t>
            </w:r>
            <w:r w:rsidRPr="00E140C5">
              <w:rPr>
                <w:rFonts w:ascii="Arial" w:hAnsi="Arial" w:cs="Arial"/>
                <w:noProof/>
                <w:webHidden/>
              </w:rPr>
              <w:fldChar w:fldCharType="end"/>
            </w:r>
          </w:hyperlink>
        </w:p>
        <w:p w14:paraId="418635A4" w14:textId="4827DEAC"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14" w:history="1">
            <w:r w:rsidRPr="00E140C5">
              <w:rPr>
                <w:rStyle w:val="Hyperlink"/>
                <w:rFonts w:ascii="Arial" w:hAnsi="Arial" w:cs="Arial"/>
                <w:noProof/>
              </w:rPr>
              <w:t>Impact on Research Question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_Toc225676714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24</w:t>
            </w:r>
            <w:r w:rsidRPr="00E140C5">
              <w:rPr>
                <w:rFonts w:ascii="Arial" w:hAnsi="Arial" w:cs="Arial"/>
                <w:noProof/>
                <w:webHidden/>
              </w:rPr>
              <w:fldChar w:fldCharType="end"/>
            </w:r>
          </w:hyperlink>
        </w:p>
        <w:p w14:paraId="54C4ADE4" w14:textId="6EDD8FC0"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15" w:history="1">
            <w:r w:rsidRPr="00E140C5">
              <w:rPr>
                <w:rStyle w:val="Hyperlink"/>
                <w:rFonts w:ascii="Arial" w:hAnsi="Arial" w:cs="Arial"/>
                <w:noProof/>
              </w:rPr>
              <w:t>Statistical Information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_Toc225676715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25</w:t>
            </w:r>
            <w:r w:rsidRPr="00E140C5">
              <w:rPr>
                <w:rFonts w:ascii="Arial" w:hAnsi="Arial" w:cs="Arial"/>
                <w:noProof/>
                <w:webHidden/>
              </w:rPr>
              <w:fldChar w:fldCharType="end"/>
            </w:r>
          </w:hyperlink>
        </w:p>
        <w:p w14:paraId="184FF173" w14:textId="78642594"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16" w:history="1">
            <w:r w:rsidRPr="00E140C5">
              <w:rPr>
                <w:rStyle w:val="Hyperlink"/>
                <w:rFonts w:ascii="Arial" w:hAnsi="Arial" w:cs="Arial"/>
                <w:noProof/>
              </w:rPr>
              <w:t>Theories, Policies, and Legislation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_Toc225676716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25</w:t>
            </w:r>
            <w:r w:rsidRPr="00E140C5">
              <w:rPr>
                <w:rFonts w:ascii="Arial" w:hAnsi="Arial" w:cs="Arial"/>
                <w:noProof/>
                <w:webHidden/>
              </w:rPr>
              <w:fldChar w:fldCharType="end"/>
            </w:r>
          </w:hyperlink>
        </w:p>
        <w:p w14:paraId="4DEE98A6" w14:textId="40E13E88"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17" w:history="1">
            <w:r w:rsidRPr="00E140C5">
              <w:rPr>
                <w:rStyle w:val="Hyperlink"/>
                <w:rFonts w:ascii="Arial" w:hAnsi="Arial" w:cs="Arial"/>
                <w:noProof/>
              </w:rPr>
              <w:t>Implications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_Toc225676717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26</w:t>
            </w:r>
            <w:r w:rsidRPr="00E140C5">
              <w:rPr>
                <w:rFonts w:ascii="Arial" w:hAnsi="Arial" w:cs="Arial"/>
                <w:noProof/>
                <w:webHidden/>
              </w:rPr>
              <w:fldChar w:fldCharType="end"/>
            </w:r>
          </w:hyperlink>
        </w:p>
        <w:p w14:paraId="55630A45" w14:textId="6447EB83"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18" w:history="1">
            <w:r w:rsidRPr="00E140C5">
              <w:rPr>
                <w:rStyle w:val="Hyperlink"/>
                <w:rFonts w:ascii="Arial" w:hAnsi="Arial" w:cs="Arial"/>
                <w:noProof/>
              </w:rPr>
              <w:t>Examples from Selected Articles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_Toc225676718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26</w:t>
            </w:r>
            <w:r w:rsidRPr="00E140C5">
              <w:rPr>
                <w:rFonts w:ascii="Arial" w:hAnsi="Arial" w:cs="Arial"/>
                <w:noProof/>
                <w:webHidden/>
              </w:rPr>
              <w:fldChar w:fldCharType="end"/>
            </w:r>
          </w:hyperlink>
        </w:p>
        <w:p w14:paraId="538DDD78" w14:textId="7413C942"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19" w:history="1">
            <w:r w:rsidRPr="00E140C5">
              <w:rPr>
                <w:rStyle w:val="Hyperlink"/>
                <w:rFonts w:ascii="Arial" w:hAnsi="Arial" w:cs="Arial"/>
                <w:noProof/>
              </w:rPr>
              <w:t>Connections to Other Themes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_Toc225676719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26</w:t>
            </w:r>
            <w:r w:rsidRPr="00E140C5">
              <w:rPr>
                <w:rFonts w:ascii="Arial" w:hAnsi="Arial" w:cs="Arial"/>
                <w:noProof/>
                <w:webHidden/>
              </w:rPr>
              <w:fldChar w:fldCharType="end"/>
            </w:r>
          </w:hyperlink>
        </w:p>
        <w:p w14:paraId="04762DB9" w14:textId="0ABDA2FB"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720" w:history="1">
            <w:r w:rsidRPr="00E140C5">
              <w:rPr>
                <w:rStyle w:val="Hyperlink"/>
                <w:rFonts w:ascii="Arial" w:hAnsi="Arial" w:cs="Arial"/>
                <w:noProof/>
              </w:rPr>
              <w:t>4.5 – Theme 3: Integration of Trauma-Informed Approaches in NHS Mental Health and Social Care Services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_Toc225676720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26</w:t>
            </w:r>
            <w:r w:rsidRPr="00E140C5">
              <w:rPr>
                <w:rFonts w:ascii="Arial" w:hAnsi="Arial" w:cs="Arial"/>
                <w:noProof/>
                <w:webHidden/>
              </w:rPr>
              <w:fldChar w:fldCharType="end"/>
            </w:r>
          </w:hyperlink>
        </w:p>
        <w:p w14:paraId="44C4BF9D" w14:textId="4274FF70"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21" w:history="1">
            <w:r w:rsidRPr="00E140C5">
              <w:rPr>
                <w:rStyle w:val="Hyperlink"/>
                <w:rFonts w:ascii="Arial" w:hAnsi="Arial" w:cs="Arial"/>
                <w:noProof/>
              </w:rPr>
              <w:t>Definition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_Toc225676721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26</w:t>
            </w:r>
            <w:r w:rsidRPr="00E140C5">
              <w:rPr>
                <w:rFonts w:ascii="Arial" w:hAnsi="Arial" w:cs="Arial"/>
                <w:noProof/>
                <w:webHidden/>
              </w:rPr>
              <w:fldChar w:fldCharType="end"/>
            </w:r>
          </w:hyperlink>
        </w:p>
        <w:p w14:paraId="4AF7C6B9" w14:textId="280D94DE"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22" w:history="1">
            <w:r w:rsidRPr="00E140C5">
              <w:rPr>
                <w:rStyle w:val="Hyperlink"/>
                <w:rFonts w:ascii="Arial" w:hAnsi="Arial" w:cs="Arial"/>
                <w:noProof/>
              </w:rPr>
              <w:t>Background Information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_Toc225676722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27</w:t>
            </w:r>
            <w:r w:rsidRPr="00E140C5">
              <w:rPr>
                <w:rFonts w:ascii="Arial" w:hAnsi="Arial" w:cs="Arial"/>
                <w:noProof/>
                <w:webHidden/>
              </w:rPr>
              <w:fldChar w:fldCharType="end"/>
            </w:r>
          </w:hyperlink>
        </w:p>
        <w:p w14:paraId="1E8F7523" w14:textId="33C0FAF1"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23" w:history="1">
            <w:r w:rsidRPr="00E140C5">
              <w:rPr>
                <w:rStyle w:val="Hyperlink"/>
                <w:rFonts w:ascii="Arial" w:hAnsi="Arial" w:cs="Arial"/>
                <w:noProof/>
              </w:rPr>
              <w:t>Impact on Research Question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_Toc225676723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27</w:t>
            </w:r>
            <w:r w:rsidRPr="00E140C5">
              <w:rPr>
                <w:rFonts w:ascii="Arial" w:hAnsi="Arial" w:cs="Arial"/>
                <w:noProof/>
                <w:webHidden/>
              </w:rPr>
              <w:fldChar w:fldCharType="end"/>
            </w:r>
          </w:hyperlink>
        </w:p>
        <w:p w14:paraId="008D6F99" w14:textId="6204AEBB"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24" w:history="1">
            <w:r w:rsidRPr="00E140C5">
              <w:rPr>
                <w:rStyle w:val="Hyperlink"/>
                <w:rFonts w:ascii="Arial" w:hAnsi="Arial" w:cs="Arial"/>
                <w:noProof/>
              </w:rPr>
              <w:t>Statistical Information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_Toc225676724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27</w:t>
            </w:r>
            <w:r w:rsidRPr="00E140C5">
              <w:rPr>
                <w:rFonts w:ascii="Arial" w:hAnsi="Arial" w:cs="Arial"/>
                <w:noProof/>
                <w:webHidden/>
              </w:rPr>
              <w:fldChar w:fldCharType="end"/>
            </w:r>
          </w:hyperlink>
        </w:p>
        <w:p w14:paraId="4CFEF6AE" w14:textId="48CCA13F"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25" w:history="1">
            <w:r w:rsidRPr="00E140C5">
              <w:rPr>
                <w:rStyle w:val="Hyperlink"/>
                <w:rFonts w:ascii="Arial" w:hAnsi="Arial" w:cs="Arial"/>
                <w:noProof/>
              </w:rPr>
              <w:t>Theories, Policies, and Legislation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_Toc225676725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27</w:t>
            </w:r>
            <w:r w:rsidRPr="00E140C5">
              <w:rPr>
                <w:rFonts w:ascii="Arial" w:hAnsi="Arial" w:cs="Arial"/>
                <w:noProof/>
                <w:webHidden/>
              </w:rPr>
              <w:fldChar w:fldCharType="end"/>
            </w:r>
          </w:hyperlink>
        </w:p>
        <w:p w14:paraId="6C4A5098" w14:textId="197D767F"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26" w:history="1">
            <w:r w:rsidRPr="00E140C5">
              <w:rPr>
                <w:rStyle w:val="Hyperlink"/>
                <w:rFonts w:ascii="Arial" w:hAnsi="Arial" w:cs="Arial"/>
                <w:noProof/>
              </w:rPr>
              <w:t>Implications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_Toc225676726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28</w:t>
            </w:r>
            <w:r w:rsidRPr="00E140C5">
              <w:rPr>
                <w:rFonts w:ascii="Arial" w:hAnsi="Arial" w:cs="Arial"/>
                <w:noProof/>
                <w:webHidden/>
              </w:rPr>
              <w:fldChar w:fldCharType="end"/>
            </w:r>
          </w:hyperlink>
        </w:p>
        <w:p w14:paraId="7A02C549" w14:textId="5DA1B8F1"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27" w:history="1">
            <w:r w:rsidRPr="00E140C5">
              <w:rPr>
                <w:rStyle w:val="Hyperlink"/>
                <w:rFonts w:ascii="Arial" w:hAnsi="Arial" w:cs="Arial"/>
                <w:noProof/>
              </w:rPr>
              <w:t>Examples from Selected Articles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_Toc225676727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28</w:t>
            </w:r>
            <w:r w:rsidRPr="00E140C5">
              <w:rPr>
                <w:rFonts w:ascii="Arial" w:hAnsi="Arial" w:cs="Arial"/>
                <w:noProof/>
                <w:webHidden/>
              </w:rPr>
              <w:fldChar w:fldCharType="end"/>
            </w:r>
          </w:hyperlink>
        </w:p>
        <w:p w14:paraId="57577B47" w14:textId="72527622"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28" w:history="1">
            <w:r w:rsidRPr="00E140C5">
              <w:rPr>
                <w:rStyle w:val="Hyperlink"/>
                <w:rFonts w:ascii="Arial" w:hAnsi="Arial" w:cs="Arial"/>
                <w:noProof/>
              </w:rPr>
              <w:t>Connections to Other Themes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_Toc225676728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28</w:t>
            </w:r>
            <w:r w:rsidRPr="00E140C5">
              <w:rPr>
                <w:rFonts w:ascii="Arial" w:hAnsi="Arial" w:cs="Arial"/>
                <w:noProof/>
                <w:webHidden/>
              </w:rPr>
              <w:fldChar w:fldCharType="end"/>
            </w:r>
          </w:hyperlink>
        </w:p>
        <w:p w14:paraId="52213313" w14:textId="4DEDB9A9"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729" w:history="1">
            <w:r w:rsidRPr="00E140C5">
              <w:rPr>
                <w:rStyle w:val="Hyperlink"/>
                <w:rFonts w:ascii="Arial" w:hAnsi="Arial" w:cs="Arial"/>
                <w:noProof/>
              </w:rPr>
              <w:t>4.6 – Theme 4: Systemic Gaps in NHS Health and Social Care Delivery and Implications for Trauma-Informed Service Improvement</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_Toc225676729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29</w:t>
            </w:r>
            <w:r w:rsidRPr="00E140C5">
              <w:rPr>
                <w:rFonts w:ascii="Arial" w:hAnsi="Arial" w:cs="Arial"/>
                <w:noProof/>
                <w:webHidden/>
              </w:rPr>
              <w:fldChar w:fldCharType="end"/>
            </w:r>
          </w:hyperlink>
        </w:p>
        <w:p w14:paraId="5EB14966" w14:textId="5B75C29D"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30" w:history="1">
            <w:r w:rsidRPr="00E140C5">
              <w:rPr>
                <w:rStyle w:val="Hyperlink"/>
                <w:rFonts w:ascii="Arial" w:hAnsi="Arial" w:cs="Arial"/>
                <w:noProof/>
              </w:rPr>
              <w:t>Definition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_Toc225676730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29</w:t>
            </w:r>
            <w:r w:rsidRPr="00E140C5">
              <w:rPr>
                <w:rFonts w:ascii="Arial" w:hAnsi="Arial" w:cs="Arial"/>
                <w:noProof/>
                <w:webHidden/>
              </w:rPr>
              <w:fldChar w:fldCharType="end"/>
            </w:r>
          </w:hyperlink>
        </w:p>
        <w:p w14:paraId="5259C4AA" w14:textId="5D06A184"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31" w:history="1">
            <w:r w:rsidRPr="00E140C5">
              <w:rPr>
                <w:rStyle w:val="Hyperlink"/>
                <w:rFonts w:ascii="Arial" w:hAnsi="Arial" w:cs="Arial"/>
                <w:noProof/>
              </w:rPr>
              <w:t>Background Information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_Toc225676731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29</w:t>
            </w:r>
            <w:r w:rsidRPr="00E140C5">
              <w:rPr>
                <w:rFonts w:ascii="Arial" w:hAnsi="Arial" w:cs="Arial"/>
                <w:noProof/>
                <w:webHidden/>
              </w:rPr>
              <w:fldChar w:fldCharType="end"/>
            </w:r>
          </w:hyperlink>
        </w:p>
        <w:p w14:paraId="58DA9C33" w14:textId="6066D097"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32" w:history="1">
            <w:r w:rsidRPr="00E140C5">
              <w:rPr>
                <w:rStyle w:val="Hyperlink"/>
                <w:rFonts w:ascii="Arial" w:hAnsi="Arial" w:cs="Arial"/>
                <w:noProof/>
              </w:rPr>
              <w:t>Impact on Research Question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_Toc225676732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29</w:t>
            </w:r>
            <w:r w:rsidRPr="00E140C5">
              <w:rPr>
                <w:rFonts w:ascii="Arial" w:hAnsi="Arial" w:cs="Arial"/>
                <w:noProof/>
                <w:webHidden/>
              </w:rPr>
              <w:fldChar w:fldCharType="end"/>
            </w:r>
          </w:hyperlink>
        </w:p>
        <w:p w14:paraId="55A746B0" w14:textId="07DF8D42"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33" w:history="1">
            <w:r w:rsidRPr="00E140C5">
              <w:rPr>
                <w:rStyle w:val="Hyperlink"/>
                <w:rFonts w:ascii="Arial" w:hAnsi="Arial" w:cs="Arial"/>
                <w:noProof/>
              </w:rPr>
              <w:t>Statistical Information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_Toc225676733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29</w:t>
            </w:r>
            <w:r w:rsidRPr="00E140C5">
              <w:rPr>
                <w:rFonts w:ascii="Arial" w:hAnsi="Arial" w:cs="Arial"/>
                <w:noProof/>
                <w:webHidden/>
              </w:rPr>
              <w:fldChar w:fldCharType="end"/>
            </w:r>
          </w:hyperlink>
        </w:p>
        <w:p w14:paraId="0D4FB8F0" w14:textId="36CF412C"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34" w:history="1">
            <w:r w:rsidRPr="00E140C5">
              <w:rPr>
                <w:rStyle w:val="Hyperlink"/>
                <w:rFonts w:ascii="Arial" w:hAnsi="Arial" w:cs="Arial"/>
                <w:noProof/>
              </w:rPr>
              <w:t>Theories, Policies, and Legislation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_Toc225676734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30</w:t>
            </w:r>
            <w:r w:rsidRPr="00E140C5">
              <w:rPr>
                <w:rFonts w:ascii="Arial" w:hAnsi="Arial" w:cs="Arial"/>
                <w:noProof/>
                <w:webHidden/>
              </w:rPr>
              <w:fldChar w:fldCharType="end"/>
            </w:r>
          </w:hyperlink>
        </w:p>
        <w:p w14:paraId="46769159" w14:textId="5B1ECFD6"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35" w:history="1">
            <w:r w:rsidRPr="00E140C5">
              <w:rPr>
                <w:rStyle w:val="Hyperlink"/>
                <w:rFonts w:ascii="Arial" w:hAnsi="Arial" w:cs="Arial"/>
                <w:noProof/>
              </w:rPr>
              <w:t>Implications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_Toc225676735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30</w:t>
            </w:r>
            <w:r w:rsidRPr="00E140C5">
              <w:rPr>
                <w:rFonts w:ascii="Arial" w:hAnsi="Arial" w:cs="Arial"/>
                <w:noProof/>
                <w:webHidden/>
              </w:rPr>
              <w:fldChar w:fldCharType="end"/>
            </w:r>
          </w:hyperlink>
        </w:p>
        <w:p w14:paraId="4DB2EC15" w14:textId="630ECCA2"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36" w:history="1">
            <w:r w:rsidRPr="00E140C5">
              <w:rPr>
                <w:rStyle w:val="Hyperlink"/>
                <w:rFonts w:ascii="Arial" w:hAnsi="Arial" w:cs="Arial"/>
                <w:noProof/>
              </w:rPr>
              <w:t>Examples from Selected Articles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_Toc225676736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30</w:t>
            </w:r>
            <w:r w:rsidRPr="00E140C5">
              <w:rPr>
                <w:rFonts w:ascii="Arial" w:hAnsi="Arial" w:cs="Arial"/>
                <w:noProof/>
                <w:webHidden/>
              </w:rPr>
              <w:fldChar w:fldCharType="end"/>
            </w:r>
          </w:hyperlink>
        </w:p>
        <w:p w14:paraId="6417B8EB" w14:textId="6230BD60"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37" w:history="1">
            <w:r w:rsidRPr="00E140C5">
              <w:rPr>
                <w:rStyle w:val="Hyperlink"/>
                <w:rFonts w:ascii="Arial" w:hAnsi="Arial" w:cs="Arial"/>
                <w:noProof/>
              </w:rPr>
              <w:t>Connections to Other Themes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_Toc225676737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31</w:t>
            </w:r>
            <w:r w:rsidRPr="00E140C5">
              <w:rPr>
                <w:rFonts w:ascii="Arial" w:hAnsi="Arial" w:cs="Arial"/>
                <w:noProof/>
                <w:webHidden/>
              </w:rPr>
              <w:fldChar w:fldCharType="end"/>
            </w:r>
          </w:hyperlink>
        </w:p>
        <w:p w14:paraId="7D1E00A9" w14:textId="18B0AD67"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738" w:history="1">
            <w:r w:rsidRPr="00E140C5">
              <w:rPr>
                <w:rStyle w:val="Hyperlink"/>
                <w:rFonts w:ascii="Arial" w:hAnsi="Arial" w:cs="Arial"/>
                <w:noProof/>
              </w:rPr>
              <w:t>4.7 Conclusion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_Toc225676738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31</w:t>
            </w:r>
            <w:r w:rsidRPr="00E140C5">
              <w:rPr>
                <w:rFonts w:ascii="Arial" w:hAnsi="Arial" w:cs="Arial"/>
                <w:noProof/>
                <w:webHidden/>
              </w:rPr>
              <w:fldChar w:fldCharType="end"/>
            </w:r>
          </w:hyperlink>
        </w:p>
        <w:p w14:paraId="030C45D0" w14:textId="069C8C1A" w:rsidR="00E140C5" w:rsidRPr="00E140C5" w:rsidRDefault="00E140C5" w:rsidP="00E140C5">
          <w:pPr>
            <w:pStyle w:val="TOC1"/>
            <w:tabs>
              <w:tab w:val="right" w:leader="dot" w:pos="9016"/>
            </w:tabs>
            <w:spacing w:line="360" w:lineRule="auto"/>
            <w:rPr>
              <w:rFonts w:ascii="Arial" w:eastAsiaTheme="minorEastAsia" w:hAnsi="Arial" w:cs="Arial"/>
              <w:noProof/>
              <w:lang/>
            </w:rPr>
          </w:pPr>
          <w:hyperlink w:anchor="_Toc225676739" w:history="1">
            <w:r w:rsidRPr="00E140C5">
              <w:rPr>
                <w:rStyle w:val="Hyperlink"/>
                <w:rFonts w:ascii="Arial" w:hAnsi="Arial" w:cs="Arial"/>
                <w:noProof/>
              </w:rPr>
              <w:t>CHAPTER 5 - Conclusion and Recommendations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_Toc225676739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32</w:t>
            </w:r>
            <w:r w:rsidRPr="00E140C5">
              <w:rPr>
                <w:rFonts w:ascii="Arial" w:hAnsi="Arial" w:cs="Arial"/>
                <w:noProof/>
                <w:webHidden/>
              </w:rPr>
              <w:fldChar w:fldCharType="end"/>
            </w:r>
          </w:hyperlink>
        </w:p>
        <w:p w14:paraId="08DEFE21" w14:textId="21913670"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740" w:history="1">
            <w:r w:rsidRPr="00E140C5">
              <w:rPr>
                <w:rStyle w:val="Hyperlink"/>
                <w:rFonts w:ascii="Arial" w:hAnsi="Arial" w:cs="Arial"/>
                <w:noProof/>
              </w:rPr>
              <w:t>5.1 – Overall Conclusion</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_Toc225676740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32</w:t>
            </w:r>
            <w:r w:rsidRPr="00E140C5">
              <w:rPr>
                <w:rFonts w:ascii="Arial" w:hAnsi="Arial" w:cs="Arial"/>
                <w:noProof/>
                <w:webHidden/>
              </w:rPr>
              <w:fldChar w:fldCharType="end"/>
            </w:r>
          </w:hyperlink>
        </w:p>
        <w:p w14:paraId="6DC7E8FE" w14:textId="346511A1"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741" w:history="1">
            <w:r w:rsidRPr="00E140C5">
              <w:rPr>
                <w:rStyle w:val="Hyperlink"/>
                <w:rFonts w:ascii="Arial" w:hAnsi="Arial" w:cs="Arial"/>
                <w:noProof/>
              </w:rPr>
              <w:t>5.2 – Recommendations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_Toc225676741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32</w:t>
            </w:r>
            <w:r w:rsidRPr="00E140C5">
              <w:rPr>
                <w:rFonts w:ascii="Arial" w:hAnsi="Arial" w:cs="Arial"/>
                <w:noProof/>
                <w:webHidden/>
              </w:rPr>
              <w:fldChar w:fldCharType="end"/>
            </w:r>
          </w:hyperlink>
        </w:p>
        <w:p w14:paraId="2942412A" w14:textId="64F30E88"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42" w:history="1">
            <w:r w:rsidRPr="00E140C5">
              <w:rPr>
                <w:rStyle w:val="Hyperlink"/>
                <w:rFonts w:ascii="Arial" w:hAnsi="Arial" w:cs="Arial"/>
                <w:noProof/>
              </w:rPr>
              <w:t>5.2.1 Recommendation 1: Compulsory Trauma-Informed Training of the NHS staff</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_Toc225676742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32</w:t>
            </w:r>
            <w:r w:rsidRPr="00E140C5">
              <w:rPr>
                <w:rFonts w:ascii="Arial" w:hAnsi="Arial" w:cs="Arial"/>
                <w:noProof/>
                <w:webHidden/>
              </w:rPr>
              <w:fldChar w:fldCharType="end"/>
            </w:r>
          </w:hyperlink>
        </w:p>
        <w:p w14:paraId="6DCABE59" w14:textId="0BC8E78B"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43" w:history="1">
            <w:r w:rsidRPr="00E140C5">
              <w:rPr>
                <w:rStyle w:val="Hyperlink"/>
                <w:rFonts w:ascii="Arial" w:hAnsi="Arial" w:cs="Arial"/>
                <w:noProof/>
              </w:rPr>
              <w:t>5.2.2 Recommendation 2: Adoption of Standardised Trauma-Informed Policies and Frameworks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_Toc225676743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33</w:t>
            </w:r>
            <w:r w:rsidRPr="00E140C5">
              <w:rPr>
                <w:rFonts w:ascii="Arial" w:hAnsi="Arial" w:cs="Arial"/>
                <w:noProof/>
                <w:webHidden/>
              </w:rPr>
              <w:fldChar w:fldCharType="end"/>
            </w:r>
          </w:hyperlink>
        </w:p>
        <w:p w14:paraId="15F55139" w14:textId="5E957667" w:rsidR="00E140C5" w:rsidRPr="00E140C5" w:rsidRDefault="00E140C5" w:rsidP="00E140C5">
          <w:pPr>
            <w:pStyle w:val="TOC3"/>
            <w:tabs>
              <w:tab w:val="right" w:leader="dot" w:pos="9016"/>
            </w:tabs>
            <w:spacing w:line="360" w:lineRule="auto"/>
            <w:rPr>
              <w:rFonts w:ascii="Arial" w:eastAsiaTheme="minorEastAsia" w:hAnsi="Arial" w:cs="Arial"/>
              <w:noProof/>
              <w:lang/>
            </w:rPr>
          </w:pPr>
          <w:hyperlink w:anchor="_Toc225676744" w:history="1">
            <w:r w:rsidRPr="00E140C5">
              <w:rPr>
                <w:rStyle w:val="Hyperlink"/>
                <w:rFonts w:ascii="Arial" w:hAnsi="Arial" w:cs="Arial"/>
                <w:noProof/>
              </w:rPr>
              <w:t>5.2.3 Recommendation 3: Greater Service User Engagement and Trust</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_Toc225676744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33</w:t>
            </w:r>
            <w:r w:rsidRPr="00E140C5">
              <w:rPr>
                <w:rFonts w:ascii="Arial" w:hAnsi="Arial" w:cs="Arial"/>
                <w:noProof/>
                <w:webHidden/>
              </w:rPr>
              <w:fldChar w:fldCharType="end"/>
            </w:r>
          </w:hyperlink>
        </w:p>
        <w:p w14:paraId="7F39B8F7" w14:textId="4C54A487" w:rsidR="00E140C5" w:rsidRPr="00E140C5" w:rsidRDefault="00E140C5" w:rsidP="00E140C5">
          <w:pPr>
            <w:pStyle w:val="TOC1"/>
            <w:tabs>
              <w:tab w:val="right" w:leader="dot" w:pos="9016"/>
            </w:tabs>
            <w:spacing w:line="360" w:lineRule="auto"/>
            <w:rPr>
              <w:rFonts w:ascii="Arial" w:eastAsiaTheme="minorEastAsia" w:hAnsi="Arial" w:cs="Arial"/>
              <w:noProof/>
              <w:lang/>
            </w:rPr>
          </w:pPr>
          <w:hyperlink w:anchor="_Toc225676745" w:history="1">
            <w:r w:rsidRPr="00E140C5">
              <w:rPr>
                <w:rStyle w:val="Hyperlink"/>
                <w:rFonts w:ascii="Arial" w:hAnsi="Arial" w:cs="Arial"/>
                <w:noProof/>
              </w:rPr>
              <w:t>REFERENCES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_Toc225676745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35</w:t>
            </w:r>
            <w:r w:rsidRPr="00E140C5">
              <w:rPr>
                <w:rFonts w:ascii="Arial" w:hAnsi="Arial" w:cs="Arial"/>
                <w:noProof/>
                <w:webHidden/>
              </w:rPr>
              <w:fldChar w:fldCharType="end"/>
            </w:r>
          </w:hyperlink>
        </w:p>
        <w:p w14:paraId="6479E3F3" w14:textId="27EA29CF" w:rsidR="00E140C5" w:rsidRPr="00E140C5" w:rsidRDefault="00E140C5" w:rsidP="00E140C5">
          <w:pPr>
            <w:pStyle w:val="TOC1"/>
            <w:tabs>
              <w:tab w:val="right" w:leader="dot" w:pos="9016"/>
            </w:tabs>
            <w:spacing w:line="360" w:lineRule="auto"/>
            <w:rPr>
              <w:rFonts w:ascii="Arial" w:eastAsiaTheme="minorEastAsia" w:hAnsi="Arial" w:cs="Arial"/>
              <w:noProof/>
              <w:lang/>
            </w:rPr>
          </w:pPr>
          <w:hyperlink w:anchor="_Toc225676746" w:history="1">
            <w:r w:rsidRPr="00E140C5">
              <w:rPr>
                <w:rStyle w:val="Hyperlink"/>
                <w:rFonts w:ascii="Arial" w:hAnsi="Arial" w:cs="Arial"/>
                <w:noProof/>
                <w:lang w:val="en-US"/>
              </w:rPr>
              <w:t>APPENDICES</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_Toc225676746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44</w:t>
            </w:r>
            <w:r w:rsidRPr="00E140C5">
              <w:rPr>
                <w:rFonts w:ascii="Arial" w:hAnsi="Arial" w:cs="Arial"/>
                <w:noProof/>
                <w:webHidden/>
              </w:rPr>
              <w:fldChar w:fldCharType="end"/>
            </w:r>
          </w:hyperlink>
        </w:p>
        <w:p w14:paraId="332AC3CF" w14:textId="47B0EDEA"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747" w:history="1">
            <w:r w:rsidRPr="00E140C5">
              <w:rPr>
                <w:rStyle w:val="Hyperlink"/>
                <w:rFonts w:ascii="Arial" w:hAnsi="Arial" w:cs="Arial"/>
                <w:noProof/>
                <w:lang w:val="en-US"/>
              </w:rPr>
              <w:t>Appendix 1 S</w:t>
            </w:r>
            <w:r w:rsidRPr="00E140C5">
              <w:rPr>
                <w:rStyle w:val="Hyperlink"/>
                <w:rFonts w:ascii="Arial" w:hAnsi="Arial" w:cs="Arial"/>
                <w:noProof/>
              </w:rPr>
              <w:t>ource-tracking table</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_Toc225676747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44</w:t>
            </w:r>
            <w:r w:rsidRPr="00E140C5">
              <w:rPr>
                <w:rFonts w:ascii="Arial" w:hAnsi="Arial" w:cs="Arial"/>
                <w:noProof/>
                <w:webHidden/>
              </w:rPr>
              <w:fldChar w:fldCharType="end"/>
            </w:r>
          </w:hyperlink>
        </w:p>
        <w:p w14:paraId="0AA6B092" w14:textId="52968020"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748" w:history="1">
            <w:r w:rsidRPr="00E140C5">
              <w:rPr>
                <w:rStyle w:val="Hyperlink"/>
                <w:rFonts w:ascii="Arial" w:hAnsi="Arial" w:cs="Arial"/>
                <w:noProof/>
              </w:rPr>
              <w:t>Appendix 2 PRISMA chart</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_Toc225676748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66</w:t>
            </w:r>
            <w:r w:rsidRPr="00E140C5">
              <w:rPr>
                <w:rFonts w:ascii="Arial" w:hAnsi="Arial" w:cs="Arial"/>
                <w:noProof/>
                <w:webHidden/>
              </w:rPr>
              <w:fldChar w:fldCharType="end"/>
            </w:r>
          </w:hyperlink>
        </w:p>
        <w:p w14:paraId="37D098BF" w14:textId="0650B9A5" w:rsidR="00E140C5" w:rsidRPr="00E140C5" w:rsidRDefault="00E140C5" w:rsidP="00E140C5">
          <w:pPr>
            <w:pStyle w:val="TOC2"/>
            <w:tabs>
              <w:tab w:val="right" w:leader="dot" w:pos="9016"/>
            </w:tabs>
            <w:spacing w:line="360" w:lineRule="auto"/>
            <w:rPr>
              <w:rFonts w:ascii="Arial" w:eastAsiaTheme="minorEastAsia" w:hAnsi="Arial" w:cs="Arial"/>
              <w:noProof/>
              <w:lang/>
            </w:rPr>
          </w:pPr>
          <w:hyperlink w:anchor="_Toc225676749" w:history="1">
            <w:r w:rsidRPr="00E140C5">
              <w:rPr>
                <w:rStyle w:val="Hyperlink"/>
                <w:rFonts w:ascii="Arial" w:hAnsi="Arial" w:cs="Arial"/>
                <w:noProof/>
              </w:rPr>
              <w:t>Appendix 3 Poster</w:t>
            </w:r>
            <w:r w:rsidRPr="00E140C5">
              <w:rPr>
                <w:rFonts w:ascii="Arial" w:hAnsi="Arial" w:cs="Arial"/>
                <w:noProof/>
                <w:webHidden/>
              </w:rPr>
              <w:tab/>
            </w:r>
            <w:r w:rsidRPr="00E140C5">
              <w:rPr>
                <w:rFonts w:ascii="Arial" w:hAnsi="Arial" w:cs="Arial"/>
                <w:noProof/>
                <w:webHidden/>
              </w:rPr>
              <w:fldChar w:fldCharType="begin"/>
            </w:r>
            <w:r w:rsidRPr="00E140C5">
              <w:rPr>
                <w:rFonts w:ascii="Arial" w:hAnsi="Arial" w:cs="Arial"/>
                <w:noProof/>
                <w:webHidden/>
              </w:rPr>
              <w:instrText xml:space="preserve"> PAGEREF _Toc225676749 \h </w:instrText>
            </w:r>
            <w:r w:rsidRPr="00E140C5">
              <w:rPr>
                <w:rFonts w:ascii="Arial" w:hAnsi="Arial" w:cs="Arial"/>
                <w:noProof/>
                <w:webHidden/>
              </w:rPr>
            </w:r>
            <w:r w:rsidRPr="00E140C5">
              <w:rPr>
                <w:rFonts w:ascii="Arial" w:hAnsi="Arial" w:cs="Arial"/>
                <w:noProof/>
                <w:webHidden/>
              </w:rPr>
              <w:fldChar w:fldCharType="separate"/>
            </w:r>
            <w:r>
              <w:rPr>
                <w:rFonts w:ascii="Arial" w:hAnsi="Arial" w:cs="Arial"/>
                <w:noProof/>
                <w:webHidden/>
              </w:rPr>
              <w:t>67</w:t>
            </w:r>
            <w:r w:rsidRPr="00E140C5">
              <w:rPr>
                <w:rFonts w:ascii="Arial" w:hAnsi="Arial" w:cs="Arial"/>
                <w:noProof/>
                <w:webHidden/>
              </w:rPr>
              <w:fldChar w:fldCharType="end"/>
            </w:r>
          </w:hyperlink>
        </w:p>
        <w:p w14:paraId="576C28D9" w14:textId="5880AAB5" w:rsidR="00AD59BA" w:rsidRPr="00E140C5" w:rsidRDefault="00AD59BA" w:rsidP="00E140C5">
          <w:pPr>
            <w:spacing w:line="360" w:lineRule="auto"/>
            <w:rPr>
              <w:rFonts w:ascii="Arial" w:hAnsi="Arial" w:cs="Arial"/>
            </w:rPr>
          </w:pPr>
          <w:r w:rsidRPr="00E140C5">
            <w:rPr>
              <w:rFonts w:ascii="Arial" w:hAnsi="Arial" w:cs="Arial"/>
              <w:b/>
              <w:bCs/>
              <w:noProof/>
            </w:rPr>
            <w:fldChar w:fldCharType="end"/>
          </w:r>
        </w:p>
      </w:sdtContent>
    </w:sdt>
    <w:p w14:paraId="3F9388C8" w14:textId="77777777" w:rsidR="00EC6FF3" w:rsidRPr="00E140C5" w:rsidRDefault="00EC6FF3" w:rsidP="00E140C5">
      <w:pPr>
        <w:spacing w:line="360" w:lineRule="auto"/>
        <w:rPr>
          <w:rFonts w:ascii="Arial" w:hAnsi="Arial" w:cs="Arial"/>
        </w:rPr>
      </w:pPr>
      <w:r w:rsidRPr="00E140C5">
        <w:rPr>
          <w:rFonts w:ascii="Arial" w:hAnsi="Arial" w:cs="Arial"/>
        </w:rPr>
        <w:br w:type="page"/>
      </w:r>
    </w:p>
    <w:p w14:paraId="3599CFF6" w14:textId="77777777" w:rsidR="008E767F" w:rsidRPr="00A65F75" w:rsidRDefault="008E767F" w:rsidP="00D11EC7">
      <w:pPr>
        <w:pStyle w:val="Heading1"/>
        <w:spacing w:line="360" w:lineRule="auto"/>
        <w:rPr>
          <w:rFonts w:cs="Arial"/>
          <w:sz w:val="22"/>
          <w:szCs w:val="22"/>
        </w:rPr>
      </w:pPr>
      <w:bookmarkStart w:id="1" w:name="_Toc225676674"/>
      <w:r w:rsidRPr="00A65F75">
        <w:rPr>
          <w:rFonts w:cs="Arial"/>
          <w:sz w:val="22"/>
          <w:szCs w:val="22"/>
        </w:rPr>
        <w:t>CHAPTER 1: Introduction</w:t>
      </w:r>
      <w:bookmarkEnd w:id="1"/>
    </w:p>
    <w:p w14:paraId="68CBEE8D" w14:textId="77777777" w:rsidR="008E767F" w:rsidRPr="00A65F75" w:rsidRDefault="008E767F" w:rsidP="00D11EC7">
      <w:pPr>
        <w:pStyle w:val="Heading2"/>
        <w:spacing w:line="360" w:lineRule="auto"/>
        <w:rPr>
          <w:rFonts w:cs="Arial"/>
          <w:sz w:val="22"/>
          <w:szCs w:val="22"/>
        </w:rPr>
      </w:pPr>
      <w:bookmarkStart w:id="2" w:name="_Toc225676675"/>
      <w:r w:rsidRPr="00A65F75">
        <w:rPr>
          <w:rFonts w:cs="Arial"/>
          <w:sz w:val="22"/>
          <w:szCs w:val="22"/>
        </w:rPr>
        <w:t>1.1 Introduction</w:t>
      </w:r>
      <w:bookmarkEnd w:id="2"/>
    </w:p>
    <w:p w14:paraId="728B7D6C" w14:textId="1166BCE7" w:rsidR="008E767F" w:rsidRPr="00A65F75" w:rsidRDefault="008E767F" w:rsidP="00D11EC7">
      <w:pPr>
        <w:spacing w:line="360" w:lineRule="auto"/>
        <w:rPr>
          <w:rFonts w:ascii="Arial" w:hAnsi="Arial" w:cs="Arial"/>
        </w:rPr>
      </w:pPr>
      <w:r w:rsidRPr="00A65F75">
        <w:rPr>
          <w:rFonts w:ascii="Arial" w:hAnsi="Arial" w:cs="Arial"/>
        </w:rPr>
        <w:t>Adverse Childhood Experiences (ACEs) are a commonly accepted important factor in the long-term mental health results, especially in the case of marginalised groups. There is epidemiological evidence that a clear connection exists between childhood adversity and the development of depression, anxiety, substance misuse and suicidal behaviour in adulthood (Hughes et al., 2025). In the UK, a quarter of all adults have at least one ACE (47), and the incidence of ACE is higher in the socioeconomically disadvantaged population (Narayan et al., 2021</w:t>
      </w:r>
      <w:r w:rsidR="00473D74" w:rsidRPr="00A65F75">
        <w:rPr>
          <w:rFonts w:ascii="Arial" w:hAnsi="Arial" w:cs="Arial"/>
        </w:rPr>
        <w:t xml:space="preserve">; </w:t>
      </w:r>
      <w:r w:rsidRPr="00A65F75">
        <w:rPr>
          <w:rFonts w:ascii="Arial" w:hAnsi="Arial" w:cs="Arial"/>
        </w:rPr>
        <w:t>Kurdi, 2025; Hughes et al., 2025). This imbalance is indicative of more widespread structural inequities such as poverty, housing instability and social exclusion that raise the exposure to adversity and the susceptibility to its chronic impacts.</w:t>
      </w:r>
    </w:p>
    <w:p w14:paraId="6C578F25" w14:textId="77777777" w:rsidR="008E767F" w:rsidRPr="00A65F75" w:rsidRDefault="008E767F" w:rsidP="00D11EC7">
      <w:pPr>
        <w:spacing w:line="360" w:lineRule="auto"/>
        <w:rPr>
          <w:rFonts w:ascii="Arial" w:hAnsi="Arial" w:cs="Arial"/>
        </w:rPr>
      </w:pPr>
      <w:r w:rsidRPr="00A65F75">
        <w:rPr>
          <w:rFonts w:ascii="Arial" w:hAnsi="Arial" w:cs="Arial"/>
        </w:rPr>
        <w:t>Although there is strong evidence to support the association between ACEs and poor mental health outcomes, less focus has been on the concentration of these effects in marginalised populations in England and Wales and the implications of ACEs and poor mental health on NHS health and social care practice. Moreover, current ACE models have been accused of excessively focusing on individualized trauma but have lacked sufficient representation of structural factors of health disparity (</w:t>
      </w:r>
      <w:r w:rsidRPr="00A65F75">
        <w:rPr>
          <w:rFonts w:ascii="Arial" w:eastAsiaTheme="majorEastAsia" w:hAnsi="Arial" w:cs="Arial"/>
        </w:rPr>
        <w:t>McKay et al. 2021;</w:t>
      </w:r>
      <w:r w:rsidRPr="00A65F75">
        <w:rPr>
          <w:rFonts w:ascii="Arial" w:eastAsiaTheme="majorEastAsia" w:hAnsi="Arial" w:cs="Arial"/>
          <w:b/>
          <w:bCs/>
        </w:rPr>
        <w:t xml:space="preserve"> </w:t>
      </w:r>
      <w:r w:rsidRPr="00A65F75">
        <w:rPr>
          <w:rFonts w:ascii="Arial" w:hAnsi="Arial" w:cs="Arial"/>
        </w:rPr>
        <w:t xml:space="preserve">2022). Whereas negative childhood experiences have been extensively linked to the eventual poor adult mental health, there is less clarity on how the experiences are undergone by the marginalised groups in England and Wales in particular. The discrepancy demonstrates the necessity of relating ACE exposure, structural inequality and trauma-informed health, and social care responses in a policy context in the UK. The proposed dissertation is thus a critical review of the long-term mental healthcare consequences of ACEs among marginalised communities and an evaluation of how NHS trauma-informed practices are prepared to address these complicated and social system issues. </w:t>
      </w:r>
    </w:p>
    <w:p w14:paraId="761B6278" w14:textId="77777777" w:rsidR="008E767F" w:rsidRPr="00A65F75" w:rsidRDefault="008E767F" w:rsidP="00D11EC7">
      <w:pPr>
        <w:pStyle w:val="Heading2"/>
        <w:spacing w:line="360" w:lineRule="auto"/>
        <w:rPr>
          <w:rFonts w:cs="Arial"/>
          <w:sz w:val="22"/>
          <w:szCs w:val="22"/>
        </w:rPr>
      </w:pPr>
      <w:bookmarkStart w:id="3" w:name="_Toc225676676"/>
      <w:r w:rsidRPr="00A65F75">
        <w:rPr>
          <w:rFonts w:cs="Arial"/>
          <w:sz w:val="22"/>
          <w:szCs w:val="22"/>
        </w:rPr>
        <w:t>1.2 Definitions and Terminology</w:t>
      </w:r>
      <w:bookmarkEnd w:id="3"/>
    </w:p>
    <w:p w14:paraId="139D8251" w14:textId="50D08CA1" w:rsidR="008E767F" w:rsidRPr="00A65F75" w:rsidRDefault="008E767F" w:rsidP="00D11EC7">
      <w:pPr>
        <w:spacing w:line="360" w:lineRule="auto"/>
        <w:rPr>
          <w:rFonts w:ascii="Arial" w:hAnsi="Arial" w:cs="Arial"/>
        </w:rPr>
      </w:pPr>
      <w:r w:rsidRPr="00A65F75">
        <w:rPr>
          <w:rFonts w:ascii="Arial" w:hAnsi="Arial" w:cs="Arial"/>
        </w:rPr>
        <w:t>The term Adverse Childhood Experiences (ACEs) is the term that describes potentially traumatic experiences during childhood (under eighteen years of age) like abuse, neglect, and dysfunction in the household, such as domestic violence or parental substance abuse (Rokach and Clayton, 2023</w:t>
      </w:r>
      <w:r w:rsidR="003F2F0E" w:rsidRPr="00A65F75">
        <w:rPr>
          <w:rFonts w:ascii="Arial" w:hAnsi="Arial" w:cs="Arial"/>
        </w:rPr>
        <w:t xml:space="preserve">; </w:t>
      </w:r>
      <w:r w:rsidRPr="00A65F75">
        <w:rPr>
          <w:rFonts w:ascii="Arial" w:hAnsi="Arial" w:cs="Arial"/>
        </w:rPr>
        <w:t>Rokach and Clayton</w:t>
      </w:r>
      <w:r w:rsidR="003F2F0E" w:rsidRPr="00A65F75">
        <w:rPr>
          <w:rFonts w:ascii="Arial" w:hAnsi="Arial" w:cs="Arial"/>
        </w:rPr>
        <w:t>, 2</w:t>
      </w:r>
      <w:r w:rsidRPr="00A65F75">
        <w:rPr>
          <w:rFonts w:ascii="Arial" w:hAnsi="Arial" w:cs="Arial"/>
        </w:rPr>
        <w:t>023). An extensive amount of evidence supports the cumulative dose-response relationship in which exposure to any number of ACEs plays a powerful role in the probability of adverse mental health outcomes in adulthood.</w:t>
      </w:r>
    </w:p>
    <w:p w14:paraId="1C9D267C" w14:textId="0EA6B956" w:rsidR="008E767F" w:rsidRPr="00A65F75" w:rsidRDefault="008E767F" w:rsidP="00D11EC7">
      <w:pPr>
        <w:spacing w:line="360" w:lineRule="auto"/>
        <w:rPr>
          <w:rFonts w:ascii="Arial" w:hAnsi="Arial" w:cs="Arial"/>
        </w:rPr>
      </w:pPr>
      <w:r w:rsidRPr="00A65F75">
        <w:rPr>
          <w:rFonts w:ascii="Arial" w:hAnsi="Arial" w:cs="Arial"/>
        </w:rPr>
        <w:t>The term long-term mental health outcomes in this context depict a long-term psychological condition, such as depression, anxiety disorders and behavioural addictions that remain or develop through the life course following exposure to early adversity (</w:t>
      </w:r>
      <w:r w:rsidR="00946F7C" w:rsidRPr="00946F7C">
        <w:rPr>
          <w:rFonts w:ascii="Arial" w:hAnsi="Arial" w:cs="Arial"/>
        </w:rPr>
        <w:t>Najman</w:t>
      </w:r>
      <w:r w:rsidR="00946F7C">
        <w:rPr>
          <w:rFonts w:ascii="Arial" w:hAnsi="Arial" w:cs="Arial"/>
        </w:rPr>
        <w:t xml:space="preserve"> et al. 2022</w:t>
      </w:r>
      <w:r w:rsidRPr="00A65F75">
        <w:rPr>
          <w:rFonts w:ascii="Arial" w:hAnsi="Arial" w:cs="Arial"/>
        </w:rPr>
        <w:t xml:space="preserve">). Moreover, </w:t>
      </w:r>
      <w:r w:rsidR="003F2F0E" w:rsidRPr="00A65F75">
        <w:rPr>
          <w:rFonts w:ascii="Arial" w:hAnsi="Arial" w:cs="Arial"/>
        </w:rPr>
        <w:t xml:space="preserve">NHS England (2023) shared the view of </w:t>
      </w:r>
      <w:r w:rsidR="007E4544" w:rsidRPr="00946F7C">
        <w:rPr>
          <w:rFonts w:ascii="Arial" w:hAnsi="Arial" w:cs="Arial"/>
        </w:rPr>
        <w:t>Najman</w:t>
      </w:r>
      <w:r w:rsidR="003F2F0E" w:rsidRPr="00A65F75">
        <w:rPr>
          <w:rFonts w:ascii="Arial" w:hAnsi="Arial" w:cs="Arial"/>
        </w:rPr>
        <w:t xml:space="preserve"> et al. (202</w:t>
      </w:r>
      <w:r w:rsidR="007E4544">
        <w:rPr>
          <w:rFonts w:ascii="Arial" w:hAnsi="Arial" w:cs="Arial"/>
        </w:rPr>
        <w:t>2</w:t>
      </w:r>
      <w:r w:rsidR="003F2F0E" w:rsidRPr="00A65F75">
        <w:rPr>
          <w:rFonts w:ascii="Arial" w:hAnsi="Arial" w:cs="Arial"/>
        </w:rPr>
        <w:t xml:space="preserve">) citing </w:t>
      </w:r>
      <w:r w:rsidRPr="00A65F75">
        <w:rPr>
          <w:rFonts w:ascii="Arial" w:hAnsi="Arial" w:cs="Arial"/>
        </w:rPr>
        <w:t xml:space="preserve">trauma-informed care (TIC) </w:t>
      </w:r>
      <w:r w:rsidR="003F2F0E" w:rsidRPr="00A65F75">
        <w:rPr>
          <w:rFonts w:ascii="Arial" w:hAnsi="Arial" w:cs="Arial"/>
        </w:rPr>
        <w:t>as</w:t>
      </w:r>
      <w:r w:rsidRPr="00A65F75">
        <w:rPr>
          <w:rFonts w:ascii="Arial" w:hAnsi="Arial" w:cs="Arial"/>
        </w:rPr>
        <w:t xml:space="preserve"> an organisational and clinical practice, which acknowledges the prevalence and effects of trauma and reflects the insights in service delivery in terms of safety, trust, collaboration and empowerment. As such, in this dissertation, NHS health and social care practice is defined as the policies, structure of services and professional practices by which care delivery is provided within England and Wales, specifically in regard to mental care and the care delivery and support provided to vulnerable groups.</w:t>
      </w:r>
    </w:p>
    <w:p w14:paraId="53DA1A58" w14:textId="77777777" w:rsidR="008E767F" w:rsidRPr="00A65F75" w:rsidRDefault="008E767F" w:rsidP="00D11EC7">
      <w:pPr>
        <w:pStyle w:val="Heading2"/>
        <w:spacing w:line="360" w:lineRule="auto"/>
        <w:rPr>
          <w:rFonts w:cs="Arial"/>
          <w:sz w:val="22"/>
          <w:szCs w:val="22"/>
        </w:rPr>
      </w:pPr>
      <w:bookmarkStart w:id="4" w:name="_Toc225676677"/>
      <w:r w:rsidRPr="00A65F75">
        <w:rPr>
          <w:rFonts w:cs="Arial"/>
          <w:sz w:val="22"/>
          <w:szCs w:val="22"/>
        </w:rPr>
        <w:t>1.3 Rationale for Research</w:t>
      </w:r>
      <w:bookmarkEnd w:id="4"/>
      <w:r w:rsidRPr="00A65F75">
        <w:rPr>
          <w:rFonts w:cs="Arial"/>
          <w:sz w:val="22"/>
          <w:szCs w:val="22"/>
        </w:rPr>
        <w:t xml:space="preserve"> </w:t>
      </w:r>
    </w:p>
    <w:p w14:paraId="71317DC1" w14:textId="3136A597" w:rsidR="008E767F" w:rsidRPr="00A65F75" w:rsidRDefault="008E767F" w:rsidP="00D11EC7">
      <w:pPr>
        <w:spacing w:line="360" w:lineRule="auto"/>
        <w:rPr>
          <w:rFonts w:ascii="Arial" w:hAnsi="Arial" w:cs="Arial"/>
        </w:rPr>
      </w:pPr>
      <w:r w:rsidRPr="00A65F75">
        <w:rPr>
          <w:rFonts w:ascii="Arial" w:hAnsi="Arial" w:cs="Arial"/>
        </w:rPr>
        <w:t>The increased awareness of ACEs as a significant community health concern supplies a good reason to consider their long-term mental health effects. It has been shown that individuals who are exposed to four or more ACEs have a high chance of getting depressed, misuse substances, and have poor outcomes in life (Hughes et al., 2025</w:t>
      </w:r>
      <w:r w:rsidR="003F2F0E" w:rsidRPr="00A65F75">
        <w:rPr>
          <w:rFonts w:ascii="Arial" w:hAnsi="Arial" w:cs="Arial"/>
        </w:rPr>
        <w:t xml:space="preserve">; </w:t>
      </w:r>
      <w:r w:rsidRPr="00A65F75">
        <w:rPr>
          <w:rFonts w:ascii="Arial" w:hAnsi="Arial" w:cs="Arial"/>
        </w:rPr>
        <w:t>Wilson-Genderson et al., 2022). Nevertheless, although this identification is firmly established, it is becoming increasingly criticized that ACE frameworks have the potential to significantly simplify difficult societal facts as they mainly concentrate on the individual trauma but undervalue the structural factors like poverty, inequality, and social exclusion.</w:t>
      </w:r>
    </w:p>
    <w:p w14:paraId="12B24283" w14:textId="2E1F6494" w:rsidR="008E767F" w:rsidRPr="00A65F75" w:rsidRDefault="008E767F" w:rsidP="00D11EC7">
      <w:pPr>
        <w:spacing w:line="360" w:lineRule="auto"/>
        <w:rPr>
          <w:rFonts w:ascii="Arial" w:hAnsi="Arial" w:cs="Arial"/>
        </w:rPr>
      </w:pPr>
      <w:r w:rsidRPr="00A65F75">
        <w:rPr>
          <w:rFonts w:ascii="Arial" w:hAnsi="Arial" w:cs="Arial"/>
        </w:rPr>
        <w:t xml:space="preserve">This disparity is especially prominent with reference to England and Wales, where the marginalised populations are disproportionately exposed to both childhood adversity and structural disadvantage. </w:t>
      </w:r>
      <w:r w:rsidR="003F2F0E" w:rsidRPr="00A65F75">
        <w:rPr>
          <w:rFonts w:ascii="Arial" w:hAnsi="Arial" w:cs="Arial"/>
        </w:rPr>
        <w:t>Both Harper et al. (2023) and Buzelli et al. (2022) concur on the need t</w:t>
      </w:r>
      <w:r w:rsidRPr="00A65F75">
        <w:rPr>
          <w:rFonts w:ascii="Arial" w:hAnsi="Arial" w:cs="Arial"/>
        </w:rPr>
        <w:t>o understand the interactions of these factors in order to inform effective NHS responses. This dissertation will thus attempt to fill this gap by critically examining both the epidemiological evidence and the suitability of trauma-informed approaches in the systems of NHS health and social care.</w:t>
      </w:r>
    </w:p>
    <w:p w14:paraId="5BAE568F" w14:textId="77777777" w:rsidR="008E767F" w:rsidRPr="00A65F75" w:rsidRDefault="008E767F" w:rsidP="00D11EC7">
      <w:pPr>
        <w:spacing w:line="360" w:lineRule="auto"/>
        <w:rPr>
          <w:rFonts w:ascii="Arial" w:hAnsi="Arial" w:cs="Arial"/>
        </w:rPr>
      </w:pPr>
    </w:p>
    <w:p w14:paraId="4A3B83EA" w14:textId="77777777" w:rsidR="008E767F" w:rsidRPr="00A65F75" w:rsidRDefault="008E767F" w:rsidP="00D11EC7">
      <w:pPr>
        <w:pStyle w:val="Heading2"/>
        <w:spacing w:line="360" w:lineRule="auto"/>
        <w:rPr>
          <w:rFonts w:cs="Arial"/>
          <w:sz w:val="22"/>
          <w:szCs w:val="22"/>
        </w:rPr>
      </w:pPr>
      <w:bookmarkStart w:id="5" w:name="_Toc225676678"/>
      <w:r w:rsidRPr="00A65F75">
        <w:rPr>
          <w:rFonts w:cs="Arial"/>
          <w:sz w:val="22"/>
          <w:szCs w:val="22"/>
        </w:rPr>
        <w:t>1.4 Aim, Question, and Objectives</w:t>
      </w:r>
      <w:bookmarkEnd w:id="5"/>
    </w:p>
    <w:p w14:paraId="68408B49" w14:textId="77777777" w:rsidR="008E767F" w:rsidRPr="00A65F75" w:rsidRDefault="008E767F" w:rsidP="00D11EC7">
      <w:pPr>
        <w:pStyle w:val="Heading3"/>
        <w:spacing w:line="360" w:lineRule="auto"/>
        <w:rPr>
          <w:rFonts w:cs="Arial"/>
          <w:sz w:val="22"/>
          <w:szCs w:val="22"/>
        </w:rPr>
      </w:pPr>
      <w:bookmarkStart w:id="6" w:name="_Toc225676679"/>
      <w:r w:rsidRPr="00A65F75">
        <w:rPr>
          <w:rFonts w:cs="Arial"/>
          <w:sz w:val="22"/>
          <w:szCs w:val="22"/>
        </w:rPr>
        <w:t>Research Aim</w:t>
      </w:r>
      <w:bookmarkEnd w:id="6"/>
    </w:p>
    <w:p w14:paraId="0F2C6336" w14:textId="77777777" w:rsidR="008E767F" w:rsidRPr="00A65F75" w:rsidRDefault="008E767F" w:rsidP="00D11EC7">
      <w:pPr>
        <w:spacing w:line="360" w:lineRule="auto"/>
        <w:rPr>
          <w:rFonts w:ascii="Arial" w:hAnsi="Arial" w:cs="Arial"/>
        </w:rPr>
      </w:pPr>
      <w:r w:rsidRPr="00A65F75">
        <w:rPr>
          <w:rFonts w:ascii="Arial" w:hAnsi="Arial" w:cs="Arial"/>
        </w:rPr>
        <w:t>To critically evaluate the relationship between adverse childhood experiences and mental health outcomes in marginalised groups in England and Wales.</w:t>
      </w:r>
    </w:p>
    <w:p w14:paraId="34E6D37A" w14:textId="77777777" w:rsidR="008E767F" w:rsidRPr="00A65F75" w:rsidRDefault="008E767F" w:rsidP="00D11EC7">
      <w:pPr>
        <w:pStyle w:val="Heading3"/>
        <w:spacing w:line="360" w:lineRule="auto"/>
        <w:rPr>
          <w:rFonts w:cs="Arial"/>
          <w:sz w:val="22"/>
          <w:szCs w:val="22"/>
        </w:rPr>
      </w:pPr>
      <w:bookmarkStart w:id="7" w:name="_Toc225676680"/>
      <w:r w:rsidRPr="00A65F75">
        <w:rPr>
          <w:rFonts w:cs="Arial"/>
          <w:sz w:val="22"/>
          <w:szCs w:val="22"/>
        </w:rPr>
        <w:t>Research Question</w:t>
      </w:r>
      <w:bookmarkEnd w:id="7"/>
    </w:p>
    <w:p w14:paraId="164BC664" w14:textId="77777777" w:rsidR="008E767F" w:rsidRPr="00A65F75" w:rsidRDefault="008E767F" w:rsidP="00D11EC7">
      <w:pPr>
        <w:spacing w:line="360" w:lineRule="auto"/>
        <w:rPr>
          <w:rFonts w:ascii="Arial" w:hAnsi="Arial" w:cs="Arial"/>
        </w:rPr>
      </w:pPr>
      <w:r w:rsidRPr="00A65F75">
        <w:rPr>
          <w:rFonts w:ascii="Arial" w:hAnsi="Arial" w:cs="Arial"/>
        </w:rPr>
        <w:t>What are the long-term effects of ACEs on mental health among marginalised populations in England and Wales and how do they impact the trauma-informed NHS health and social care practice?</w:t>
      </w:r>
    </w:p>
    <w:p w14:paraId="7406A059" w14:textId="77777777" w:rsidR="008E767F" w:rsidRPr="00A65F75" w:rsidRDefault="008E767F" w:rsidP="00D11EC7">
      <w:pPr>
        <w:pStyle w:val="Heading3"/>
        <w:spacing w:line="360" w:lineRule="auto"/>
        <w:rPr>
          <w:rFonts w:cs="Arial"/>
          <w:sz w:val="22"/>
          <w:szCs w:val="22"/>
        </w:rPr>
      </w:pPr>
      <w:bookmarkStart w:id="8" w:name="_Toc225676681"/>
      <w:r w:rsidRPr="00A65F75">
        <w:rPr>
          <w:rFonts w:cs="Arial"/>
          <w:sz w:val="22"/>
          <w:szCs w:val="22"/>
        </w:rPr>
        <w:t>Research Objectives</w:t>
      </w:r>
      <w:bookmarkEnd w:id="8"/>
    </w:p>
    <w:p w14:paraId="3D42751C" w14:textId="77777777" w:rsidR="008E767F" w:rsidRPr="00A65F75" w:rsidRDefault="008E767F" w:rsidP="00D11EC7">
      <w:pPr>
        <w:pStyle w:val="ListParagraph"/>
        <w:numPr>
          <w:ilvl w:val="0"/>
          <w:numId w:val="4"/>
        </w:numPr>
        <w:spacing w:line="360" w:lineRule="auto"/>
        <w:rPr>
          <w:rFonts w:ascii="Arial" w:hAnsi="Arial" w:cs="Arial"/>
        </w:rPr>
      </w:pPr>
      <w:r w:rsidRPr="00A65F75">
        <w:rPr>
          <w:rFonts w:ascii="Arial" w:hAnsi="Arial" w:cs="Arial"/>
        </w:rPr>
        <w:t>To explore prevalence and socioeconomic distribution of ACEs in marginalised populations in England and Wales.</w:t>
      </w:r>
    </w:p>
    <w:p w14:paraId="399399E6" w14:textId="77777777" w:rsidR="008E767F" w:rsidRPr="00A65F75" w:rsidRDefault="008E767F" w:rsidP="00D11EC7">
      <w:pPr>
        <w:pStyle w:val="ListParagraph"/>
        <w:numPr>
          <w:ilvl w:val="0"/>
          <w:numId w:val="4"/>
        </w:numPr>
        <w:spacing w:line="360" w:lineRule="auto"/>
        <w:rPr>
          <w:rFonts w:ascii="Arial" w:hAnsi="Arial" w:cs="Arial"/>
        </w:rPr>
      </w:pPr>
      <w:r w:rsidRPr="00A65F75">
        <w:rPr>
          <w:rFonts w:ascii="Arial" w:hAnsi="Arial" w:cs="Arial"/>
        </w:rPr>
        <w:t>To evaluate the links between cumulative exposure to ACE and long-term mental health outcomes in underprivileged groups.</w:t>
      </w:r>
    </w:p>
    <w:p w14:paraId="6E83E784" w14:textId="77777777" w:rsidR="008E767F" w:rsidRPr="00A65F75" w:rsidRDefault="008E767F" w:rsidP="00D11EC7">
      <w:pPr>
        <w:pStyle w:val="ListParagraph"/>
        <w:numPr>
          <w:ilvl w:val="0"/>
          <w:numId w:val="4"/>
        </w:numPr>
        <w:spacing w:line="360" w:lineRule="auto"/>
        <w:rPr>
          <w:rFonts w:ascii="Arial" w:hAnsi="Arial" w:cs="Arial"/>
        </w:rPr>
      </w:pPr>
      <w:r w:rsidRPr="00A65F75">
        <w:rPr>
          <w:rFonts w:ascii="Arial" w:hAnsi="Arial" w:cs="Arial"/>
        </w:rPr>
        <w:t>To explore the degree to which trauma-informed approaches are blended in NHS mental health and social care services.</w:t>
      </w:r>
    </w:p>
    <w:p w14:paraId="5555A06C" w14:textId="77777777" w:rsidR="008E767F" w:rsidRPr="00A65F75" w:rsidRDefault="008E767F" w:rsidP="00D11EC7">
      <w:pPr>
        <w:pStyle w:val="ListParagraph"/>
        <w:numPr>
          <w:ilvl w:val="0"/>
          <w:numId w:val="4"/>
        </w:numPr>
        <w:spacing w:line="360" w:lineRule="auto"/>
        <w:rPr>
          <w:rFonts w:ascii="Arial" w:hAnsi="Arial" w:cs="Arial"/>
        </w:rPr>
      </w:pPr>
      <w:r w:rsidRPr="00A65F75">
        <w:rPr>
          <w:rFonts w:ascii="Arial" w:hAnsi="Arial" w:cs="Arial"/>
        </w:rPr>
        <w:t xml:space="preserve">To assess systemic gaps in existing NHS health and social care delivery to individuals facing ACEs to develop evidence-based strategies to enhance trauma-informed service improvements. </w:t>
      </w:r>
    </w:p>
    <w:p w14:paraId="50F8379C" w14:textId="77777777" w:rsidR="008E767F" w:rsidRPr="00A65F75" w:rsidRDefault="008E767F" w:rsidP="00D11EC7">
      <w:pPr>
        <w:pStyle w:val="Heading2"/>
        <w:spacing w:line="360" w:lineRule="auto"/>
        <w:rPr>
          <w:rFonts w:cs="Arial"/>
          <w:sz w:val="22"/>
          <w:szCs w:val="22"/>
        </w:rPr>
      </w:pPr>
      <w:bookmarkStart w:id="9" w:name="_Toc225676682"/>
      <w:r w:rsidRPr="00A65F75">
        <w:rPr>
          <w:rFonts w:cs="Arial"/>
          <w:sz w:val="22"/>
          <w:szCs w:val="22"/>
        </w:rPr>
        <w:t>1.5 Conclusion</w:t>
      </w:r>
      <w:bookmarkEnd w:id="9"/>
      <w:r w:rsidRPr="00A65F75">
        <w:rPr>
          <w:rFonts w:cs="Arial"/>
          <w:sz w:val="22"/>
          <w:szCs w:val="22"/>
        </w:rPr>
        <w:t xml:space="preserve"> </w:t>
      </w:r>
    </w:p>
    <w:p w14:paraId="5D7A367C" w14:textId="77777777" w:rsidR="008E767F" w:rsidRPr="00A65F75" w:rsidRDefault="008E767F" w:rsidP="00D11EC7">
      <w:pPr>
        <w:spacing w:line="360" w:lineRule="auto"/>
        <w:rPr>
          <w:rFonts w:ascii="Arial" w:hAnsi="Arial" w:cs="Arial"/>
        </w:rPr>
      </w:pPr>
      <w:r w:rsidRPr="00A65F75">
        <w:rPr>
          <w:rFonts w:ascii="Arial" w:hAnsi="Arial" w:cs="Arial"/>
        </w:rPr>
        <w:t>The chapter has critically presented the association between ACEs and mental illness in the long-term among marginalised populations in England and Wales. Epidemiological research shows that not only is ACE exposure prevalent but it is also closely connected to higher risks of mental illnesses, especially when it comes to socioeconomically disadvantaged populations. Nevertheless, critical discussions of the weaknesses of ACE frameworks and the problem of implementing trauma-informed care in resource-limited healthcare systems are also mentioned in the literature. These deliberations underscore critical analysis of whether existing models of NHS health and social care are sufficient to meet the complex demand of people with childhood adversity.</w:t>
      </w:r>
    </w:p>
    <w:p w14:paraId="75F7A94F" w14:textId="3E416D87" w:rsidR="00EC6FF3" w:rsidRPr="00A65F75" w:rsidRDefault="008E767F" w:rsidP="00D11EC7">
      <w:pPr>
        <w:spacing w:line="360" w:lineRule="auto"/>
        <w:rPr>
          <w:rFonts w:ascii="Arial" w:hAnsi="Arial" w:cs="Arial"/>
        </w:rPr>
      </w:pPr>
      <w:r w:rsidRPr="00A65F75">
        <w:rPr>
          <w:rFonts w:ascii="Arial" w:hAnsi="Arial" w:cs="Arial"/>
        </w:rPr>
        <w:t>The following chapter will include a background literature, which will review the available literature on ACE prevalence, mental health outcomes, and trauma-informed healthcare methods. The review will define the theoretical and empirical background of the dissertation as well as outline the important themes and gaps that will guide the methodological and analysis phases of the review</w:t>
      </w:r>
      <w:r w:rsidR="00B64685" w:rsidRPr="00A65F75">
        <w:rPr>
          <w:rFonts w:ascii="Arial" w:hAnsi="Arial" w:cs="Arial"/>
        </w:rPr>
        <w:t>.</w:t>
      </w:r>
    </w:p>
    <w:p w14:paraId="3006EC1E" w14:textId="77777777" w:rsidR="00EC6FF3" w:rsidRPr="00A65F75" w:rsidRDefault="00EC6FF3" w:rsidP="00D11EC7">
      <w:pPr>
        <w:spacing w:line="360" w:lineRule="auto"/>
        <w:rPr>
          <w:rFonts w:ascii="Arial" w:hAnsi="Arial" w:cs="Arial"/>
        </w:rPr>
      </w:pPr>
      <w:r w:rsidRPr="00A65F75">
        <w:rPr>
          <w:rFonts w:ascii="Arial" w:hAnsi="Arial" w:cs="Arial"/>
        </w:rPr>
        <w:br w:type="page"/>
      </w:r>
    </w:p>
    <w:p w14:paraId="48577E56" w14:textId="77777777" w:rsidR="008E767F" w:rsidRPr="00A65F75" w:rsidRDefault="008E767F" w:rsidP="00D11EC7">
      <w:pPr>
        <w:pStyle w:val="Heading1"/>
        <w:spacing w:line="360" w:lineRule="auto"/>
        <w:rPr>
          <w:rFonts w:cs="Arial"/>
          <w:sz w:val="22"/>
          <w:szCs w:val="22"/>
        </w:rPr>
      </w:pPr>
      <w:bookmarkStart w:id="10" w:name="_Toc225676683"/>
      <w:r w:rsidRPr="00A65F75">
        <w:rPr>
          <w:rFonts w:cs="Arial"/>
          <w:sz w:val="22"/>
          <w:szCs w:val="22"/>
        </w:rPr>
        <w:t>CHAPTER 2: Background Information and Analysis</w:t>
      </w:r>
      <w:bookmarkEnd w:id="10"/>
    </w:p>
    <w:p w14:paraId="0FEEB956" w14:textId="77777777" w:rsidR="00906986" w:rsidRPr="00A65F75" w:rsidRDefault="00906986" w:rsidP="00906986">
      <w:pPr>
        <w:pStyle w:val="Heading2"/>
        <w:spacing w:line="360" w:lineRule="auto"/>
        <w:rPr>
          <w:rFonts w:cs="Arial"/>
          <w:sz w:val="22"/>
          <w:szCs w:val="22"/>
        </w:rPr>
      </w:pPr>
      <w:bookmarkStart w:id="11" w:name="_Toc225676684"/>
      <w:r w:rsidRPr="00A65F75">
        <w:rPr>
          <w:rFonts w:cs="Arial"/>
          <w:sz w:val="22"/>
          <w:szCs w:val="22"/>
        </w:rPr>
        <w:t>2.1 Introduction</w:t>
      </w:r>
      <w:bookmarkEnd w:id="11"/>
    </w:p>
    <w:p w14:paraId="5448E08C" w14:textId="77777777" w:rsidR="00906986" w:rsidRPr="00A65F75" w:rsidRDefault="00906986" w:rsidP="00906986">
      <w:pPr>
        <w:spacing w:line="360" w:lineRule="auto"/>
        <w:rPr>
          <w:rFonts w:ascii="Arial" w:hAnsi="Arial" w:cs="Arial"/>
        </w:rPr>
      </w:pPr>
      <w:r w:rsidRPr="00A65F75">
        <w:rPr>
          <w:rFonts w:ascii="Arial" w:hAnsi="Arial" w:cs="Arial"/>
        </w:rPr>
        <w:t>To comprehend the long-term mental health implications of ACEs, it is necessary to consider the context of the whole history and policy development when the concept has evolved. According to Hughes et al., (2025). Childhood adversity is gaining more and more recognition as a key factor in health lifelong outcomes, as epidemiological studies show high relationships between early trauma and adult mental illness. Though epidemiological research has continuously shown the correlation of ACEs and subsequent mental health disorders, the interpretation of the results is still debated. Moreover, Leza et al., (2021) depict that the ACE literature is largely based on retrospective self-report evaluations, which can create recall bias and exaggerate perceived causation. Consequently, a fraction of scholars cautions the interpretation of ACE exposure as the direct determinant of mental illness in the absence of other socioeconomic factors. According to critics, however, modern ACE models occasionally put more focus on individual trauma but fail to consider structural issues like poverty and social exclusion (Melody-Mackey, 2021). The chapter thus offers the historical and conceptual background of ACE research and trauma-informed care, which is the context that must be identified when examining how NHS is responding to ACE-related mental health inequalities.</w:t>
      </w:r>
    </w:p>
    <w:p w14:paraId="0ADB3F91" w14:textId="77777777" w:rsidR="00906986" w:rsidRPr="00A65F75" w:rsidRDefault="00906986" w:rsidP="00906986">
      <w:pPr>
        <w:pStyle w:val="Heading2"/>
        <w:spacing w:line="360" w:lineRule="auto"/>
        <w:rPr>
          <w:rFonts w:cs="Arial"/>
          <w:sz w:val="22"/>
          <w:szCs w:val="22"/>
        </w:rPr>
      </w:pPr>
      <w:bookmarkStart w:id="12" w:name="_Toc225676685"/>
      <w:r w:rsidRPr="00A65F75">
        <w:rPr>
          <w:rFonts w:cs="Arial"/>
          <w:sz w:val="22"/>
          <w:szCs w:val="22"/>
        </w:rPr>
        <w:t>2.2 Historical Background</w:t>
      </w:r>
      <w:bookmarkEnd w:id="12"/>
    </w:p>
    <w:p w14:paraId="182255F3" w14:textId="77777777" w:rsidR="00906986" w:rsidRPr="00A65F75" w:rsidRDefault="00906986" w:rsidP="00906986">
      <w:pPr>
        <w:spacing w:line="360" w:lineRule="auto"/>
        <w:rPr>
          <w:rFonts w:ascii="Arial" w:hAnsi="Arial" w:cs="Arial"/>
        </w:rPr>
      </w:pPr>
      <w:r w:rsidRPr="00A65F75">
        <w:rPr>
          <w:rFonts w:ascii="Arial" w:hAnsi="Arial" w:cs="Arial"/>
        </w:rPr>
        <w:t>The ACEs concept was formed during the process of increased awareness about the important role of childhood trauma in defining future health outcomes. Bhutta et al. (2023) asserts that the earlier studies on child maltreatment in the twentieth century emphasized the relationship of abuse with subsequent psychological disorders but they tended to treat various adversities as separate experiences but not as interrelated ones. Although the research gave credible epidemiological results on the relationship between childhood trauma and lifetime health outcomes, critics hold that the original ACE framework had a self-report retrospective nature and concentrated more on the experiences of the individual instead of structural social determinants (LaNoue and Hass, 2025; Leza et al., 2021). However, the ACE model fundamentally altered the field of research in the area of public health by emphasizing on the cumulative nature of childhood adversity, which has offered a conceptual framework of considering the inequality of mental health in vulnerable populations. Even though the ACE framework offered a valuable cumulative view of childhood adversity, its methodological premises are contested. LaNoue and Hass, (2025) shared the supposition of Leza et al., (2021) depicting that a large portion of the initial evidence was based on retrospective reports of adults experiencing childhood introducing the issue of accuracy and selectivity in memory. It is therefore suggested that while ACE study results show that it has high correlations with subsequent mental health outcomes, there is a need to define precise causal directions, implying that ACEs are not the direct causal processes but a representation of the overall vulnerability.</w:t>
      </w:r>
    </w:p>
    <w:p w14:paraId="78480E8F" w14:textId="77777777" w:rsidR="00906986" w:rsidRPr="00A65F75" w:rsidRDefault="00906986" w:rsidP="00906986">
      <w:pPr>
        <w:spacing w:line="360" w:lineRule="auto"/>
        <w:rPr>
          <w:rFonts w:ascii="Arial" w:hAnsi="Arial" w:cs="Arial"/>
        </w:rPr>
      </w:pPr>
      <w:r w:rsidRPr="00A65F75">
        <w:rPr>
          <w:rFonts w:ascii="Arial" w:hAnsi="Arial" w:cs="Arial"/>
        </w:rPr>
        <w:t xml:space="preserve">The rising prominence of ACE studies resulted in children adversity becoming a significant topic of discussion in the global community in terms of the importance of its role as a significant health factor. Larson, (2021) and Piotrowski, (2020) assert that massive meta-analysis studies have revealed that people exposed to four or more ACEs have a much higher risk of mental illness, and the odds of depression and attempts to commit suicide are four and twelve times higher respectively. Further, the prevalence of ACEs among adults in the UK is estimated by population studies to be nearly 50% with each of the four or more being almost 9-12 percent, and this is higher in disadvantaged neighbourhoods (Lewer et al., 2020; Hughes et al., 2025). Although these results support the claim that ACE exposure is one of the factors contributing to health disparities, other researchers warn that ACE research has a threat of pathologising disadvantaged groups unless structural issues that promote them, like poverty, housing instability and social exclusion, are adequately addressed (Corcoran, 2023). Conversely, the recent studies are becoming more and more focused on the necessity to apply ACE paradigms to more comprehensive social determinants of health to get a better view of vulnerability patterns. Nevertheless, there is a dispute over the explanation of high ACE prevalence among disadvantaged communities. Corcoran (2023) claims that ACE models imply the unintentional pathology of poverty, with mental health inequality being ascribed to childhood trauma and not continuing structural disadvantage. It is therefore suggested that ACE exposure need to be a part of a broader system of social inequalities instead of being the main cause of subsequent mental health outcomes. </w:t>
      </w:r>
    </w:p>
    <w:p w14:paraId="7F63887E" w14:textId="77777777" w:rsidR="00906986" w:rsidRPr="00A65F75" w:rsidRDefault="00906986" w:rsidP="00906986">
      <w:pPr>
        <w:spacing w:line="360" w:lineRule="auto"/>
        <w:rPr>
          <w:rFonts w:ascii="Arial" w:hAnsi="Arial" w:cs="Arial"/>
        </w:rPr>
      </w:pPr>
      <w:r w:rsidRPr="00A65F75">
        <w:rPr>
          <w:rFonts w:ascii="Arial" w:hAnsi="Arial" w:cs="Arial"/>
        </w:rPr>
        <w:t>In parallel with the emergence of the ACE research, a new notion of trauma-informed care was formed in reaction to the understanding that the health systems fail to meet the needs of the trauma-affected persons, which is highly complex. Further, trauma-informed practices were first established in mental health and social care service systems in the late twentieth century and then became more popular due to policy frameworks based on safety, empowerment and collaborative care (Smith and Monteux, 2023). Trauma-informed principles have gained widespread acceptance by NHS organisations in England and Wales as strategies in an attempt to reduce health disparities and enhance patient access to mental health services (NHS England, 2023). Conversely, public Health Wales NHS Trust (2022), however, has indicated that the practical identification of trauma-informed care is not uniform because of the lack of resources, workforce insufficiency, and organisational impediments in across healthcare systems. Although several studies have found significant relationships between ACE exposure and depression and substance misuse in adulthood (Hughes et al. 2024; Sahle et al. 2022), opponents have pointed out that the ACE model invites the exploration of other larger structural causes of mental illness including poverty, housing instability and social isolation. The findings suggest that ACEs are to be viewed through broader socio-ecological contexts of health disparity, not as independent predictors of mental morbidity.</w:t>
      </w:r>
    </w:p>
    <w:p w14:paraId="2878566A" w14:textId="77777777" w:rsidR="00906986" w:rsidRPr="00A65F75" w:rsidRDefault="00906986" w:rsidP="00906986">
      <w:pPr>
        <w:pStyle w:val="Heading2"/>
        <w:spacing w:line="360" w:lineRule="auto"/>
        <w:rPr>
          <w:rFonts w:cs="Arial"/>
          <w:sz w:val="22"/>
          <w:szCs w:val="22"/>
        </w:rPr>
      </w:pPr>
      <w:bookmarkStart w:id="13" w:name="_Toc225676686"/>
      <w:r w:rsidRPr="00A65F75">
        <w:rPr>
          <w:rFonts w:cs="Arial"/>
          <w:sz w:val="22"/>
          <w:szCs w:val="22"/>
        </w:rPr>
        <w:t>2.3 Theoretical Background</w:t>
      </w:r>
      <w:bookmarkEnd w:id="13"/>
    </w:p>
    <w:p w14:paraId="2B97F81A" w14:textId="77777777" w:rsidR="00906986" w:rsidRPr="00A65F75" w:rsidRDefault="00906986" w:rsidP="00906986">
      <w:pPr>
        <w:spacing w:line="360" w:lineRule="auto"/>
        <w:rPr>
          <w:rFonts w:ascii="Arial" w:hAnsi="Arial" w:cs="Arial"/>
        </w:rPr>
      </w:pPr>
      <w:r w:rsidRPr="00A65F75">
        <w:rPr>
          <w:rFonts w:ascii="Arial" w:hAnsi="Arial" w:cs="Arial"/>
        </w:rPr>
        <w:t>The theoretical framework that can be used to understand long-term mental health implications of ACEs is the explanation of how early adversity affects the development of psychology. Glass, (2021) shows that Attachment Theory is one of the influential opinions that claim that early childhood relationships between children and their caregivers have an impact on emotional regulation, interpersonal functioning and long-term psychological wellbeing. In addition, Attachment theory was initially proposed by John Bowlby, and it explains that unstable or abusive caregiving situations may interfere with the secure development of attachment, making an individual susceptible to subsequent mental health issues. This argument is supported by empirical research, which has shown that children who are abused or neglected have a much greater probability of insecure or disorganised attachment patterns that could be related to depression, anxiety and personality disorders (Partridge, 2021). Nevertheless, critics state that the attachment theory can excessively focus on the relationships with caregivers and underestimate the role of structural determinants, including poverty, violence in the community or systemic inequality (Glass, 2021). Nevertheless, in spite of these shortcomings, the attachment theory still plays a significant role in explaining how early relational trauma related to ACEs may contribute to the long-term mental health effects, which is why the theory provides a beneficial conceptual basis when analysing the trauma-informed healthcare response.</w:t>
      </w:r>
    </w:p>
    <w:p w14:paraId="0015BDE3" w14:textId="77777777" w:rsidR="00906986" w:rsidRPr="00A65F75" w:rsidRDefault="00906986" w:rsidP="00906986">
      <w:pPr>
        <w:spacing w:line="360" w:lineRule="auto"/>
        <w:rPr>
          <w:rFonts w:ascii="Arial" w:hAnsi="Arial" w:cs="Arial"/>
        </w:rPr>
      </w:pPr>
      <w:r w:rsidRPr="00A65F75">
        <w:rPr>
          <w:rFonts w:ascii="Arial" w:hAnsi="Arial" w:cs="Arial"/>
        </w:rPr>
        <w:t>Although the attachment theory provides a practical psychological approach to the effect of the early relationships in caregiving, it inappropriately emphasizes the interpersonal perspective, overlooking the broader contextual factors. As such, (Glass, 2021) parental stress, neglect, or inconsistent caregiving could be caused by poverty, housing insecurity, or social marginalisation themselves. It is thus suggested that psychological definitions of ACEs should be viewed in tandem with structural determinants of health.</w:t>
      </w:r>
    </w:p>
    <w:p w14:paraId="5D226908" w14:textId="77777777" w:rsidR="00906986" w:rsidRPr="00A65F75" w:rsidRDefault="00906986" w:rsidP="00906986">
      <w:pPr>
        <w:spacing w:line="360" w:lineRule="auto"/>
        <w:rPr>
          <w:rFonts w:ascii="Arial" w:hAnsi="Arial" w:cs="Arial"/>
        </w:rPr>
      </w:pPr>
      <w:r w:rsidRPr="00A65F75">
        <w:rPr>
          <w:rFonts w:ascii="Arial" w:hAnsi="Arial" w:cs="Arial"/>
        </w:rPr>
        <w:t>The second theoretical framework conceptualising ACE research is the Life Course Theory, which focuses on how health trajectories are defined by early-life exposures throughout the lifetime of an individual. According to this school of thought, childhood adversity may compound over time and interplay with social circumstances to result in health inequalities in the long-term (Hansen et al. 2021). This perspective is supported by epidemiological research which showed a cumulative dose-response association between exposure to ACEs and mental health outcomes in adulthood where those who report four or more ACEs face much greater risks of depression, substance use and suicide attempts (Hughes et al., 2025). In UK, it has been proposed through life course frameworks to examine the role of childhood trauma as the cause of enduring social and health inequalities between generations (Hertler et al., 2022). However, critics claim that the life course theory may occasionally dwell too much on the determinants of life at early stages and overestimate the resilience and recovery options in the adult stages. In this criticism, the theory would still be useful in explanations on how childhood adversity leads to disparities in mental health in the long term and why early intervention measures are a priority in the health policy of any population.</w:t>
      </w:r>
    </w:p>
    <w:p w14:paraId="0C244143" w14:textId="77777777" w:rsidR="00906986" w:rsidRPr="00A65F75" w:rsidRDefault="00906986" w:rsidP="00906986">
      <w:pPr>
        <w:spacing w:line="360" w:lineRule="auto"/>
        <w:rPr>
          <w:rFonts w:ascii="Arial" w:hAnsi="Arial" w:cs="Arial"/>
        </w:rPr>
      </w:pPr>
      <w:r w:rsidRPr="00A65F75">
        <w:rPr>
          <w:rFonts w:ascii="Arial" w:hAnsi="Arial" w:cs="Arial"/>
        </w:rPr>
        <w:t xml:space="preserve">However, life course perspectives are criticised as having the potential to overestimate the deterministic impact of adversity in early life. Although ACEs are fundamental to developmental patterns, there is also evidence that resilience, recovery, and positive transitions of life events during adulthood are possible (Hansen et al., 2021). Therefore, exposure to ACE is deterministic of both risk and future psychological wellbeing. </w:t>
      </w:r>
    </w:p>
    <w:p w14:paraId="65E850EC" w14:textId="77777777" w:rsidR="00906986" w:rsidRPr="00A65F75" w:rsidRDefault="00906986" w:rsidP="00906986">
      <w:pPr>
        <w:spacing w:line="360" w:lineRule="auto"/>
        <w:rPr>
          <w:rFonts w:ascii="Arial" w:hAnsi="Arial" w:cs="Arial"/>
        </w:rPr>
      </w:pPr>
      <w:r w:rsidRPr="00A65F75">
        <w:rPr>
          <w:rFonts w:ascii="Arial" w:hAnsi="Arial" w:cs="Arial"/>
        </w:rPr>
        <w:t>The third theoretical approach cites the Social Determinants of Health framework that highlights the fact that the results of health are influenced by not only the personal experience but also the social-economic situation (Camacho and Henderson, 2022). It is highly identified with the contribution of Michael Marmot, and it states that poverty, education, the housing and social inequality are major factors that contribute to the patterns of health and illness. It has been shown by evidence provided by the World Health Commission on Social Determinants of Health that people in deprived surroundings are much more exposed to childhood adversity and worse mental health outcomes in adulthood (Srivastav et al. 2020). Although this framework expands knowledge about ACEs beyond personal trauma, critics claim that structural models are at times ineffective in giving guidance on how to implement clinical interventions in healthcare systems. However, to understand the reasons why the marginalised groups face disproportionate exposure to adversity and whether the NHS health and social care systems are effective in reducing such disparities, suggesting the need to incorporate social determinants theory with ACE research.</w:t>
      </w:r>
    </w:p>
    <w:p w14:paraId="35B202A6" w14:textId="77777777" w:rsidR="008E767F" w:rsidRPr="00A65F75" w:rsidRDefault="008E767F" w:rsidP="00D11EC7">
      <w:pPr>
        <w:pStyle w:val="Heading2"/>
        <w:spacing w:line="360" w:lineRule="auto"/>
        <w:rPr>
          <w:rFonts w:cs="Arial"/>
          <w:sz w:val="22"/>
          <w:szCs w:val="22"/>
        </w:rPr>
      </w:pPr>
      <w:bookmarkStart w:id="14" w:name="_Toc225676687"/>
      <w:r w:rsidRPr="00A65F75">
        <w:rPr>
          <w:rFonts w:cs="Arial"/>
          <w:sz w:val="22"/>
          <w:szCs w:val="22"/>
        </w:rPr>
        <w:t>2.4 International Context</w:t>
      </w:r>
      <w:bookmarkEnd w:id="14"/>
    </w:p>
    <w:p w14:paraId="091C634A" w14:textId="6C29362D" w:rsidR="008E767F" w:rsidRPr="00A65F75" w:rsidRDefault="008E767F" w:rsidP="00D11EC7">
      <w:pPr>
        <w:spacing w:line="360" w:lineRule="auto"/>
        <w:rPr>
          <w:rFonts w:ascii="Arial" w:hAnsi="Arial" w:cs="Arial"/>
        </w:rPr>
      </w:pPr>
      <w:r w:rsidRPr="00A65F75">
        <w:rPr>
          <w:rFonts w:ascii="Arial" w:hAnsi="Arial" w:cs="Arial"/>
        </w:rPr>
        <w:t>The world is getting increasingly aware that ACEs can be a key source of mental health disparity in the long term, and that trauma-informed practice ought to be included in health policy. International epidemiological studies show that there are uniform correlations of ACE exposure with adult mental illnesses, which supports the argument that childhood adversity is a global public health issue (Sahle et al. 2022).</w:t>
      </w:r>
      <w:r w:rsidR="003F2F0E" w:rsidRPr="00A65F75">
        <w:rPr>
          <w:rFonts w:ascii="Arial" w:hAnsi="Arial" w:cs="Arial"/>
        </w:rPr>
        <w:t xml:space="preserve"> The findings of Hughes et al. (2025)</w:t>
      </w:r>
      <w:r w:rsidRPr="00A65F75">
        <w:rPr>
          <w:rFonts w:ascii="Arial" w:hAnsi="Arial" w:cs="Arial"/>
        </w:rPr>
        <w:t xml:space="preserve"> </w:t>
      </w:r>
      <w:r w:rsidR="003F2F0E" w:rsidRPr="00A65F75">
        <w:rPr>
          <w:rFonts w:ascii="Arial" w:hAnsi="Arial" w:cs="Arial"/>
        </w:rPr>
        <w:t xml:space="preserve">were consistent with the view of Sahle et al. (2022) in their </w:t>
      </w:r>
      <w:r w:rsidRPr="00A65F75">
        <w:rPr>
          <w:rFonts w:ascii="Arial" w:hAnsi="Arial" w:cs="Arial"/>
        </w:rPr>
        <w:t>meta-analysis study involving several different countries</w:t>
      </w:r>
      <w:r w:rsidR="00223ADC" w:rsidRPr="00A65F75">
        <w:rPr>
          <w:rFonts w:ascii="Arial" w:hAnsi="Arial" w:cs="Arial"/>
        </w:rPr>
        <w:t xml:space="preserve">, which </w:t>
      </w:r>
      <w:r w:rsidRPr="00A65F75">
        <w:rPr>
          <w:rFonts w:ascii="Arial" w:hAnsi="Arial" w:cs="Arial"/>
        </w:rPr>
        <w:t xml:space="preserve">revealed that people experiencing four or more ACEs were at a significantly increased risk of depression, anxiety, substance misuse and suicide attempts. In reaction, the international bodies like the World Health Organization have advocated trauma-informed and preventative public health approaches that will minimise </w:t>
      </w:r>
      <w:r w:rsidR="00223ADC" w:rsidRPr="00A65F75">
        <w:rPr>
          <w:rFonts w:ascii="Arial" w:hAnsi="Arial" w:cs="Arial"/>
        </w:rPr>
        <w:t>ACEs</w:t>
      </w:r>
      <w:r w:rsidRPr="00A65F75">
        <w:rPr>
          <w:rFonts w:ascii="Arial" w:hAnsi="Arial" w:cs="Arial"/>
        </w:rPr>
        <w:t xml:space="preserve"> and enhance long-term wellbeing. </w:t>
      </w:r>
      <w:r w:rsidR="00223ADC" w:rsidRPr="00A65F75">
        <w:rPr>
          <w:rFonts w:ascii="Arial" w:hAnsi="Arial" w:cs="Arial"/>
        </w:rPr>
        <w:t xml:space="preserve">However, </w:t>
      </w:r>
      <w:r w:rsidRPr="00A65F75">
        <w:rPr>
          <w:rFonts w:ascii="Arial" w:hAnsi="Arial" w:cs="Arial"/>
        </w:rPr>
        <w:t>Hamby et al. (2024)</w:t>
      </w:r>
      <w:r w:rsidR="00223ADC" w:rsidRPr="00A65F75">
        <w:rPr>
          <w:rFonts w:ascii="Arial" w:hAnsi="Arial" w:cs="Arial"/>
        </w:rPr>
        <w:t xml:space="preserve"> </w:t>
      </w:r>
      <w:r w:rsidRPr="00A65F75">
        <w:rPr>
          <w:rFonts w:ascii="Arial" w:hAnsi="Arial" w:cs="Arial"/>
        </w:rPr>
        <w:t>claimed that global ACE models tend to take a universalised approach to trauma that can fail to account cultural and socioeconomic variations that exist across nations. Although these issues exist, there is a rising appreciation of the need to launch international policy initiatives to address childhood adversity through coordinated public health efforts. Although there seems to be uniformity of international results, the applicability of global ACE results into the UK setting is still controversial. The bulk of ACE research is based on North American communities, the healthcare systems, social welfare provisions, and the distribution of inequality are very different in England and Wales (Hamby et al., 2024). The findings caution the extrapolation of international results to the conversation of NHS policies, underscoring the significance of placing ACE evidence in the national healthcare and social policy contexts.</w:t>
      </w:r>
    </w:p>
    <w:p w14:paraId="2119BE37" w14:textId="2904AC8B" w:rsidR="008E767F" w:rsidRPr="00A65F75" w:rsidRDefault="008E767F" w:rsidP="00D11EC7">
      <w:pPr>
        <w:spacing w:line="360" w:lineRule="auto"/>
        <w:rPr>
          <w:rFonts w:ascii="Arial" w:hAnsi="Arial" w:cs="Arial"/>
        </w:rPr>
      </w:pPr>
      <w:r w:rsidRPr="00A65F75">
        <w:rPr>
          <w:rFonts w:ascii="Arial" w:hAnsi="Arial" w:cs="Arial"/>
        </w:rPr>
        <w:t>Countries have taken different approaches to dealing with the ACE-related mental health outcomes and these approaches demonstrate significant differences in the healthcare systems and policy priorities (Danese et al. 2024). ACE research has impacted the policy of the United States of America significantly in the field of public health, with a number of states implementing trauma-informed education, child welfare and health care programmes.</w:t>
      </w:r>
      <w:r w:rsidR="003F2F0E" w:rsidRPr="00A65F75">
        <w:rPr>
          <w:rFonts w:ascii="Arial" w:hAnsi="Arial" w:cs="Arial"/>
        </w:rPr>
        <w:t xml:space="preserve"> Similarly, the findings of Di Salvo (2025) noted that </w:t>
      </w:r>
      <w:r w:rsidRPr="00A65F75">
        <w:rPr>
          <w:rFonts w:ascii="Arial" w:hAnsi="Arial" w:cs="Arial"/>
        </w:rPr>
        <w:t>Scandinavian nations have focused on early childhood intervention and welfare-based strategies that are designed to avert childhood adversity using powerful social protection systems. Although these strategies prove the possible positive results of combined preventive methods, the opponents state that the practice can be highly different in terms of its way of implementation basing on the healthcare financing systems and political focus.</w:t>
      </w:r>
      <w:r w:rsidR="003F2F0E" w:rsidRPr="00A65F75">
        <w:rPr>
          <w:rFonts w:ascii="Arial" w:hAnsi="Arial" w:cs="Arial"/>
        </w:rPr>
        <w:t xml:space="preserve"> T</w:t>
      </w:r>
      <w:r w:rsidRPr="00A65F75">
        <w:rPr>
          <w:rFonts w:ascii="Arial" w:hAnsi="Arial" w:cs="Arial"/>
        </w:rPr>
        <w:t>he cross-national comparison</w:t>
      </w:r>
      <w:r w:rsidR="003F2F0E" w:rsidRPr="00A65F75">
        <w:rPr>
          <w:rFonts w:ascii="Arial" w:hAnsi="Arial" w:cs="Arial"/>
        </w:rPr>
        <w:t xml:space="preserve">, therefore, suggests </w:t>
      </w:r>
      <w:r w:rsidRPr="00A65F75">
        <w:rPr>
          <w:rFonts w:ascii="Arial" w:hAnsi="Arial" w:cs="Arial"/>
        </w:rPr>
        <w:t>that the efficient response to ACEs has to be based on the healthcare interventions as well as the wider social policies about inequality.</w:t>
      </w:r>
    </w:p>
    <w:p w14:paraId="73A2FD86" w14:textId="3C019DCA" w:rsidR="008E767F" w:rsidRPr="00A65F75" w:rsidRDefault="008E767F" w:rsidP="00D11EC7">
      <w:pPr>
        <w:spacing w:line="360" w:lineRule="auto"/>
        <w:rPr>
          <w:rFonts w:ascii="Arial" w:hAnsi="Arial" w:cs="Arial"/>
        </w:rPr>
      </w:pPr>
      <w:r w:rsidRPr="00A65F75">
        <w:rPr>
          <w:rFonts w:ascii="Arial" w:hAnsi="Arial" w:cs="Arial"/>
        </w:rPr>
        <w:t xml:space="preserve">The case studies of different nations prove additional evidence of the opportunities and challenges related to the implementation of ACE-informed policies. As an illustration, </w:t>
      </w:r>
      <w:r w:rsidR="003F2F0E" w:rsidRPr="00A65F75">
        <w:rPr>
          <w:rFonts w:ascii="Arial" w:hAnsi="Arial" w:cs="Arial"/>
        </w:rPr>
        <w:t>fragmented healthcare systems prevent countries in question from effectively coordinating the responses regarding traumas (Gooding et al. 2022)</w:t>
      </w:r>
      <w:r w:rsidRPr="00A65F75">
        <w:rPr>
          <w:rFonts w:ascii="Arial" w:hAnsi="Arial" w:cs="Arial"/>
        </w:rPr>
        <w:t xml:space="preserve">. </w:t>
      </w:r>
      <w:r w:rsidR="003F2F0E" w:rsidRPr="00A65F75">
        <w:rPr>
          <w:rFonts w:ascii="Arial" w:hAnsi="Arial" w:cs="Arial"/>
        </w:rPr>
        <w:t>However, McCoy et al. (2025) argued that Wales has been well known in incorporating ACE awareness in the public service by implementing the ACE Support Hub and multi-sector partnership between health and social care sector and the education sector</w:t>
      </w:r>
      <w:r w:rsidRPr="00A65F75">
        <w:rPr>
          <w:rFonts w:ascii="Arial" w:hAnsi="Arial" w:cs="Arial"/>
        </w:rPr>
        <w:t>. The case studies on the international level show that although ACE-based frameworks may enhance awareness and prevention programs, their success depends on long-term policy commitment, proper funding and intersectoral cooperation. These comparisons aid in providing contextual significance to evaluating the effectiveness of the NHS health and social care responses to the ACE needs of mental health in England and Wales.</w:t>
      </w:r>
    </w:p>
    <w:p w14:paraId="4EE4EAB3" w14:textId="77777777" w:rsidR="008E767F" w:rsidRPr="00A65F75" w:rsidRDefault="008E767F" w:rsidP="00D11EC7">
      <w:pPr>
        <w:pStyle w:val="Heading2"/>
        <w:spacing w:line="360" w:lineRule="auto"/>
        <w:rPr>
          <w:rFonts w:cs="Arial"/>
          <w:sz w:val="22"/>
          <w:szCs w:val="22"/>
        </w:rPr>
      </w:pPr>
      <w:bookmarkStart w:id="15" w:name="_Toc225676688"/>
      <w:r w:rsidRPr="00A65F75">
        <w:rPr>
          <w:rFonts w:cs="Arial"/>
          <w:sz w:val="22"/>
          <w:szCs w:val="22"/>
        </w:rPr>
        <w:t>2.5 National/Local UK Context</w:t>
      </w:r>
      <w:bookmarkEnd w:id="15"/>
    </w:p>
    <w:p w14:paraId="3F0CB9F5" w14:textId="1E98BB65" w:rsidR="008E767F" w:rsidRPr="00A65F75" w:rsidRDefault="008E767F" w:rsidP="00D11EC7">
      <w:pPr>
        <w:spacing w:line="360" w:lineRule="auto"/>
        <w:rPr>
          <w:rFonts w:ascii="Arial" w:hAnsi="Arial" w:cs="Arial"/>
        </w:rPr>
      </w:pPr>
      <w:r w:rsidRPr="00A65F75">
        <w:rPr>
          <w:rFonts w:ascii="Arial" w:hAnsi="Arial" w:cs="Arial"/>
        </w:rPr>
        <w:t xml:space="preserve">In the United Kingdom, ACEs have become a prominent source of health inequality in the long term and mental health issues. Population studies which prove that ACE exposure is a major public health issue in the UK are backed by the argument that it is widely prevalent among the UK adult population (Lal et al. 2021). Studies </w:t>
      </w:r>
      <w:r w:rsidR="003F2F0E" w:rsidRPr="00A65F75">
        <w:rPr>
          <w:rFonts w:ascii="Arial" w:hAnsi="Arial" w:cs="Arial"/>
        </w:rPr>
        <w:t xml:space="preserve">across </w:t>
      </w:r>
      <w:r w:rsidRPr="00A65F75">
        <w:rPr>
          <w:rFonts w:ascii="Arial" w:hAnsi="Arial" w:cs="Arial"/>
        </w:rPr>
        <w:t xml:space="preserve">England and Wales </w:t>
      </w:r>
      <w:r w:rsidR="003F2F0E" w:rsidRPr="00A65F75">
        <w:rPr>
          <w:rFonts w:ascii="Arial" w:hAnsi="Arial" w:cs="Arial"/>
        </w:rPr>
        <w:t xml:space="preserve">by Hertler et al. (2022) and Office for Health Improvement and Disparities (2026) </w:t>
      </w:r>
      <w:r w:rsidRPr="00A65F75">
        <w:rPr>
          <w:rFonts w:ascii="Arial" w:hAnsi="Arial" w:cs="Arial"/>
        </w:rPr>
        <w:t xml:space="preserve">estimate that around 47% of adults report one or more ACE, and about 9-12% report that they experienced 4 or more, with much higher rates in people living in socioeconomically disadvantaged areas. These results mean that social inequality and poor mental health outcomes are closely associated with childhood adversity. Nonetheless, </w:t>
      </w:r>
      <w:r w:rsidR="003F2F0E" w:rsidRPr="00A65F75">
        <w:rPr>
          <w:rFonts w:ascii="Arial" w:hAnsi="Arial" w:cs="Arial"/>
        </w:rPr>
        <w:t>Spratt and Kennedy (2021) had initially contrasted the claim t</w:t>
      </w:r>
      <w:r w:rsidRPr="00A65F75">
        <w:rPr>
          <w:rFonts w:ascii="Arial" w:hAnsi="Arial" w:cs="Arial"/>
        </w:rPr>
        <w:t>hat the policy responses by the UK have traditionally been more on intervention rather than prevention of the crisis, which has constrained the success of the strategies to tackle the underlying causes of childhood trauma. Therefore, to determine the existence of ACEs in the UK health systems, one must undergo the analysis of policy frameworks and service provision. Even though UK prevalence studies demonstrate the extent of ACE exposure, they share the same methodological shortcomings as the international studies. These investigations tend to have difficulties separating independent effects of childhood trauma and continuing socioeconomic disadvantage (Spratt and Kennedy, 2021), challenging how long-term mental health disparities are ascribed to ACE exposure.</w:t>
      </w:r>
    </w:p>
    <w:p w14:paraId="6646B92E" w14:textId="77777777" w:rsidR="008E767F" w:rsidRPr="00A65F75" w:rsidRDefault="008E767F" w:rsidP="00D11EC7">
      <w:pPr>
        <w:spacing w:line="360" w:lineRule="auto"/>
        <w:rPr>
          <w:rFonts w:ascii="Arial" w:hAnsi="Arial" w:cs="Arial"/>
        </w:rPr>
      </w:pPr>
      <w:r w:rsidRPr="00A65F75">
        <w:rPr>
          <w:rFonts w:ascii="Arial" w:hAnsi="Arial" w:cs="Arial"/>
        </w:rPr>
        <w:t xml:space="preserve">There are legislative frameworks which offer legal means to protect children who are affected by abuse or neglect like the Children Act 1989. Regardless of these advances in policy, critics say that the retail application of trauma-informed care is still sporadic because of workforce shortages, funding limitations and growing demand of psychological care. This has left a large disparity between the policy aspiration and service capacity in the NHS as a challenge. </w:t>
      </w:r>
    </w:p>
    <w:p w14:paraId="423AF6FF" w14:textId="77777777" w:rsidR="008E767F" w:rsidRPr="00A65F75" w:rsidRDefault="008E767F" w:rsidP="00D11EC7">
      <w:pPr>
        <w:spacing w:line="360" w:lineRule="auto"/>
        <w:rPr>
          <w:rFonts w:ascii="Arial" w:hAnsi="Arial" w:cs="Arial"/>
        </w:rPr>
      </w:pPr>
      <w:r w:rsidRPr="00A65F75">
        <w:rPr>
          <w:rFonts w:ascii="Arial" w:hAnsi="Arial" w:cs="Arial"/>
        </w:rPr>
        <w:t>Locally, efforts to respond to ACE-related mental health requirements have sprung up in a number of regions of the UK, as the understanding of trauma-informed care grows (Clark et al. 2024). According to Glendinning et al. (2021), Wales led the way in this regard by the creation of the ACE Support Hub Wales which advocates for trauma-informed practice within the sphere of governmental services, such as medical services, education, and policing. Although the activity has shown the potential of agency co-ordinated multi-agency responses, its deployment throughout England has been less coherent and service delivery has been affected by local policy priorities and the resources available. The opponents, thus, claim that the regional inequalities can lead to the unequal access to the trauma-informed services in the UK. Importantly, there is a growing concern in policy frameworks in the UK to focus on trauma-informed approaches to health and social care systems (Emsley et al. 2022). Critics (Dawson et al. 2021; Hughes, 2025), however, argue that the current services are still ill-prepared to respond to the multi-tiered and lasting psychological impacts of ACEs. While regional programs, such as the ACE Support Hub are showing a rise in policy involvement in the practice based on trauma, their impact is hard to measure. The multi-agency cooperation is deemed to enhance awareness and coordination of services, yet Glendinning et al. (2021) state that without ongoing funding and the ability to provide workforce such efforts are symbolic policy pledge.</w:t>
      </w:r>
    </w:p>
    <w:p w14:paraId="6B2273F1" w14:textId="77777777" w:rsidR="008E767F" w:rsidRPr="00A65F75" w:rsidRDefault="008E767F" w:rsidP="00D11EC7">
      <w:pPr>
        <w:pStyle w:val="Heading2"/>
        <w:spacing w:line="360" w:lineRule="auto"/>
        <w:rPr>
          <w:rFonts w:cs="Arial"/>
          <w:sz w:val="22"/>
          <w:szCs w:val="22"/>
        </w:rPr>
      </w:pPr>
      <w:bookmarkStart w:id="16" w:name="_Toc225676689"/>
      <w:r w:rsidRPr="00A65F75">
        <w:rPr>
          <w:rFonts w:cs="Arial"/>
          <w:sz w:val="22"/>
          <w:szCs w:val="22"/>
        </w:rPr>
        <w:t>2.6 Conclusion</w:t>
      </w:r>
      <w:bookmarkEnd w:id="16"/>
    </w:p>
    <w:p w14:paraId="23C6E68E" w14:textId="77777777" w:rsidR="008E767F" w:rsidRPr="00A65F75" w:rsidRDefault="008E767F" w:rsidP="00D11EC7">
      <w:pPr>
        <w:spacing w:line="360" w:lineRule="auto"/>
        <w:rPr>
          <w:rFonts w:ascii="Arial" w:hAnsi="Arial" w:cs="Arial"/>
        </w:rPr>
      </w:pPr>
      <w:r w:rsidRPr="00A65F75">
        <w:rPr>
          <w:rFonts w:ascii="Arial" w:hAnsi="Arial" w:cs="Arial"/>
        </w:rPr>
        <w:t>This chapter critically analysed the general picture on the topic of ACEs and their consequences on long-term mental health outcomes. It was noted in the discussion that ACE research has evolved over the years, major theoretical perspectives on the connection between childhood trauma and mental health, and transnational methods of handling trauma-informed policy and practice. It also reviewed the UK situation, showing how the national policies and NHS efforts are trying to intervene in the ACE related inequalities with implementation issues. The next chapter is the description of the research methodology to be applied to investigate these issues in a rigorous and systematic way.</w:t>
      </w:r>
    </w:p>
    <w:p w14:paraId="20878EC2" w14:textId="77777777" w:rsidR="008E767F" w:rsidRPr="00A65F75" w:rsidRDefault="008E767F" w:rsidP="00D11EC7">
      <w:pPr>
        <w:spacing w:line="360" w:lineRule="auto"/>
        <w:rPr>
          <w:rFonts w:ascii="Arial" w:hAnsi="Arial" w:cs="Arial"/>
        </w:rPr>
      </w:pPr>
    </w:p>
    <w:p w14:paraId="7B394B8C" w14:textId="428D7893" w:rsidR="00F2229C" w:rsidRPr="00A65F75" w:rsidRDefault="00F2229C" w:rsidP="00D11EC7">
      <w:pPr>
        <w:spacing w:line="360" w:lineRule="auto"/>
        <w:rPr>
          <w:rFonts w:ascii="Arial" w:hAnsi="Arial" w:cs="Arial"/>
        </w:rPr>
      </w:pPr>
    </w:p>
    <w:p w14:paraId="04999741" w14:textId="77777777" w:rsidR="00F2229C" w:rsidRPr="00A65F75" w:rsidRDefault="00F2229C" w:rsidP="00D11EC7">
      <w:pPr>
        <w:spacing w:line="360" w:lineRule="auto"/>
        <w:rPr>
          <w:rFonts w:ascii="Arial" w:hAnsi="Arial" w:cs="Arial"/>
        </w:rPr>
      </w:pPr>
      <w:r w:rsidRPr="00A65F75">
        <w:rPr>
          <w:rFonts w:ascii="Arial" w:hAnsi="Arial" w:cs="Arial"/>
        </w:rPr>
        <w:br w:type="page"/>
      </w:r>
    </w:p>
    <w:p w14:paraId="0DFC57CC" w14:textId="77777777" w:rsidR="008E767F" w:rsidRPr="00A65F75" w:rsidRDefault="008E767F" w:rsidP="00D11EC7">
      <w:pPr>
        <w:pStyle w:val="Heading1"/>
        <w:spacing w:line="360" w:lineRule="auto"/>
        <w:rPr>
          <w:rFonts w:cs="Arial"/>
          <w:sz w:val="22"/>
          <w:szCs w:val="22"/>
        </w:rPr>
      </w:pPr>
      <w:bookmarkStart w:id="17" w:name="_Toc225676690"/>
      <w:r w:rsidRPr="00A65F75">
        <w:rPr>
          <w:rFonts w:cs="Arial"/>
          <w:sz w:val="22"/>
          <w:szCs w:val="22"/>
        </w:rPr>
        <w:t>CHAPTER 3 – Methods and Search Strategy</w:t>
      </w:r>
      <w:bookmarkEnd w:id="17"/>
    </w:p>
    <w:p w14:paraId="24C0E801" w14:textId="77777777" w:rsidR="008E767F" w:rsidRPr="00A65F75" w:rsidRDefault="008E767F" w:rsidP="00D11EC7">
      <w:pPr>
        <w:pStyle w:val="Heading2"/>
        <w:spacing w:line="360" w:lineRule="auto"/>
        <w:rPr>
          <w:rFonts w:cs="Arial"/>
          <w:sz w:val="22"/>
          <w:szCs w:val="22"/>
        </w:rPr>
      </w:pPr>
      <w:bookmarkStart w:id="18" w:name="_Toc225676691"/>
      <w:r w:rsidRPr="00A65F75">
        <w:rPr>
          <w:rFonts w:cs="Arial"/>
          <w:sz w:val="22"/>
          <w:szCs w:val="22"/>
        </w:rPr>
        <w:t>3.1 Introduction</w:t>
      </w:r>
      <w:bookmarkEnd w:id="18"/>
    </w:p>
    <w:p w14:paraId="17913F5D" w14:textId="742B6886" w:rsidR="008E767F" w:rsidRPr="00A65F75" w:rsidRDefault="008E767F" w:rsidP="00D11EC7">
      <w:pPr>
        <w:spacing w:line="360" w:lineRule="auto"/>
        <w:rPr>
          <w:rFonts w:ascii="Arial" w:hAnsi="Arial" w:cs="Arial"/>
        </w:rPr>
      </w:pPr>
      <w:r w:rsidRPr="00A65F75">
        <w:rPr>
          <w:rFonts w:ascii="Arial" w:hAnsi="Arial" w:cs="Arial"/>
        </w:rPr>
        <w:t>This chapter describes how the methodological approach was adopted in order to explore the long-term mental health impacts of ACEs among marginalised groups in England and Wales. A desktop literature-based approach was applied as a method that was used to select, analyse, and synthesise the academic and policy sources that were related to ACEs and trauma-informed care in a systematic manner. This chapter elaborates each methodological aspect with the justification and how the sources were selected to be appraised and analysed. The approaches were important to make sure that the thematic results presented in Chapter 4 were based on evidence, comprehensive and in line with the review objectives.</w:t>
      </w:r>
    </w:p>
    <w:p w14:paraId="3A3893D3" w14:textId="77777777" w:rsidR="008E767F" w:rsidRPr="00A65F75" w:rsidRDefault="008E767F" w:rsidP="00D11EC7">
      <w:pPr>
        <w:pStyle w:val="Heading2"/>
        <w:spacing w:line="360" w:lineRule="auto"/>
        <w:rPr>
          <w:rFonts w:cs="Arial"/>
          <w:sz w:val="22"/>
          <w:szCs w:val="22"/>
        </w:rPr>
      </w:pPr>
      <w:bookmarkStart w:id="19" w:name="_Toc225676692"/>
      <w:r w:rsidRPr="00A65F75">
        <w:rPr>
          <w:rFonts w:cs="Arial"/>
          <w:sz w:val="22"/>
          <w:szCs w:val="22"/>
        </w:rPr>
        <w:t>3.2 Search Strategy</w:t>
      </w:r>
      <w:bookmarkEnd w:id="19"/>
    </w:p>
    <w:p w14:paraId="278BD29B" w14:textId="64E3F9E9" w:rsidR="008E767F" w:rsidRPr="00A65F75" w:rsidRDefault="008E767F" w:rsidP="00D11EC7">
      <w:pPr>
        <w:spacing w:line="360" w:lineRule="auto"/>
        <w:rPr>
          <w:rFonts w:ascii="Arial" w:hAnsi="Arial" w:cs="Arial"/>
        </w:rPr>
      </w:pPr>
      <w:r w:rsidRPr="00A65F75">
        <w:rPr>
          <w:rFonts w:ascii="Arial" w:hAnsi="Arial" w:cs="Arial"/>
        </w:rPr>
        <w:t xml:space="preserve">This review followed a qualitative literature review </w:t>
      </w:r>
      <w:r w:rsidR="00C6457E" w:rsidRPr="00A65F75">
        <w:rPr>
          <w:rFonts w:ascii="Arial" w:hAnsi="Arial" w:cs="Arial"/>
        </w:rPr>
        <w:t>design</w:t>
      </w:r>
      <w:r w:rsidRPr="00A65F75">
        <w:rPr>
          <w:rFonts w:ascii="Arial" w:hAnsi="Arial" w:cs="Arial"/>
        </w:rPr>
        <w:t xml:space="preserve"> to explore ACE exposure and adult mental health outcome. A qualitative literature review design is a methodology that systematically identifies, judges and synthesizes extant scholarly research in an attempt to construe patterns and theoretical inferences within the literature (Furlong and Lester, 2023). In contrast to quantitative meta-analysis, which is an approach to statistical aggregation, qualitative literature reviews enable the interpretation of theoretical standpoints, policy frameworks and contextual effects (Squires, 2023). </w:t>
      </w:r>
      <w:r w:rsidR="00C6457E" w:rsidRPr="00A65F75">
        <w:rPr>
          <w:rFonts w:ascii="Arial" w:hAnsi="Arial" w:cs="Arial"/>
        </w:rPr>
        <w:t xml:space="preserve">However, the design was limited by its dependence on secondary data, which potentially introduce selection bias while obscuring the depth of analysis. </w:t>
      </w:r>
      <w:r w:rsidRPr="00A65F75">
        <w:rPr>
          <w:rFonts w:ascii="Arial" w:hAnsi="Arial" w:cs="Arial"/>
        </w:rPr>
        <w:t>The design was appropriate in this review because it seeks to test the association between ACE exposure and marginalisation and long-term mental health outcome without quantifying measurable variable. It is through a qualitative synthesis that the resulting findings are critically compared in terms of theoretical explanations and policy implications across broad research types.</w:t>
      </w:r>
    </w:p>
    <w:p w14:paraId="3A1B4CB1" w14:textId="77777777" w:rsidR="008E767F" w:rsidRPr="00A65F75" w:rsidRDefault="008E767F" w:rsidP="00D11EC7">
      <w:pPr>
        <w:spacing w:line="360" w:lineRule="auto"/>
        <w:rPr>
          <w:rFonts w:ascii="Arial" w:hAnsi="Arial" w:cs="Arial"/>
        </w:rPr>
      </w:pPr>
      <w:r w:rsidRPr="00A65F75">
        <w:rPr>
          <w:rFonts w:ascii="Arial" w:hAnsi="Arial" w:cs="Arial"/>
        </w:rPr>
        <w:t>The review aim was used to derive key words, including ‘Adverse Childhood Experiences’, ‘ACEs’, ‘trauma-informed care’, ‘marginalised populations’, ‘mental health outcomes’, and ‘NHS services’. Search was narrowed down to Boolean operators: ‘AND’ to include ideas, ‘OR’ to include synonyms, and ‘NOT’ to rule out irrelevant words. A log was taken in which search terms, combinations, and filters were systematically documented to reproduce the search and trace how the literature incorporated in the thematic analysis changed.</w:t>
      </w:r>
    </w:p>
    <w:p w14:paraId="4459E79C" w14:textId="77777777" w:rsidR="008E767F" w:rsidRPr="00A65F75" w:rsidRDefault="008E767F" w:rsidP="00D11EC7">
      <w:pPr>
        <w:pStyle w:val="Heading2"/>
        <w:spacing w:line="360" w:lineRule="auto"/>
        <w:rPr>
          <w:rFonts w:cs="Arial"/>
          <w:sz w:val="22"/>
          <w:szCs w:val="22"/>
        </w:rPr>
      </w:pPr>
      <w:bookmarkStart w:id="20" w:name="_Toc225676693"/>
      <w:r w:rsidRPr="00A65F75">
        <w:rPr>
          <w:rFonts w:cs="Arial"/>
          <w:sz w:val="22"/>
          <w:szCs w:val="22"/>
        </w:rPr>
        <w:t>3.3 Searching for Information</w:t>
      </w:r>
      <w:bookmarkEnd w:id="20"/>
    </w:p>
    <w:p w14:paraId="4817262F" w14:textId="7B3AB7F2" w:rsidR="008E767F" w:rsidRPr="00A65F75" w:rsidRDefault="008E767F" w:rsidP="00D11EC7">
      <w:pPr>
        <w:spacing w:line="360" w:lineRule="auto"/>
        <w:rPr>
          <w:rFonts w:ascii="Arial" w:hAnsi="Arial" w:cs="Arial"/>
        </w:rPr>
      </w:pPr>
      <w:r w:rsidRPr="00A65F75">
        <w:rPr>
          <w:rFonts w:ascii="Arial" w:hAnsi="Arial" w:cs="Arial"/>
        </w:rPr>
        <w:t xml:space="preserve">The credibility, relevance, and focus on the UK were done by selecting databases and repositories. Peer-reviewed academic studies were searched from CINAHL, MEDLINE, PsycINFO and UWTSD Library, whereas policy and grey literature were found in NHS England, Public Health Wales, OHID and GOV.UK. The selection of each database was due to the breadth of disciplinary coverage and evidence credibility. CINAHL was added due to the comprehensive coverage of nursing and public health research, which is applicable in the analysis of the trauma-informed care and delivery of healthcare services. MEDLINE was selected because of its good indexing of biomedical and epidemiological studies that are focusing on the outcomes of population health. PsycINFO has been chosen to identify psychological and behavioural studies on trauma, attachment and mental health outcomes. The UWTSD Library database is where access to multidisciplinary peer-reviewed sources and academic texts were found, which might not be present within the specialist health databases. Similarly, grey literature and national policy frameworks that influence trauma-informed practice were searched by using policy repositories including NHS England, Public Health Wales, OHID and GOV.UK. The mix of academic and policy sources facilitated the review to reflect the empirical research findings and the institutional backdrop of the NHS interventions in ACE-related inequalities of mental health. The use of filters was done to limit the results to peer-reviewed journals, UK studies, and a period between 2016 and 2026 to ascertain currency and relevance. Search was done in an iterative way based on refining of keywords to get relevant synonyms and new terminologies. The source-tracking table </w:t>
      </w:r>
      <w:r w:rsidR="00473D74" w:rsidRPr="00A65F75">
        <w:rPr>
          <w:rFonts w:ascii="Arial" w:hAnsi="Arial" w:cs="Arial"/>
        </w:rPr>
        <w:t xml:space="preserve">(see Appendix 1) </w:t>
      </w:r>
      <w:r w:rsidRPr="00A65F75">
        <w:rPr>
          <w:rFonts w:ascii="Arial" w:hAnsi="Arial" w:cs="Arial"/>
        </w:rPr>
        <w:t xml:space="preserve">was developed to describe authorship, type of publication, population focus, findings of the study, and relevance. </w:t>
      </w:r>
    </w:p>
    <w:p w14:paraId="3B20C319" w14:textId="77777777" w:rsidR="008E767F" w:rsidRPr="00A65F75" w:rsidRDefault="008E767F" w:rsidP="00D11EC7">
      <w:pPr>
        <w:pStyle w:val="Heading2"/>
        <w:spacing w:line="360" w:lineRule="auto"/>
        <w:rPr>
          <w:rFonts w:cs="Arial"/>
          <w:sz w:val="22"/>
          <w:szCs w:val="22"/>
        </w:rPr>
      </w:pPr>
      <w:bookmarkStart w:id="21" w:name="_Toc225676694"/>
      <w:r w:rsidRPr="00A65F75">
        <w:rPr>
          <w:rFonts w:cs="Arial"/>
          <w:sz w:val="22"/>
          <w:szCs w:val="22"/>
        </w:rPr>
        <w:t>3.4 Research Validation</w:t>
      </w:r>
      <w:bookmarkEnd w:id="21"/>
    </w:p>
    <w:p w14:paraId="72E970BE" w14:textId="77777777" w:rsidR="008E767F" w:rsidRPr="00A65F75" w:rsidRDefault="008E767F" w:rsidP="00D11EC7">
      <w:pPr>
        <w:spacing w:line="360" w:lineRule="auto"/>
        <w:rPr>
          <w:rFonts w:ascii="Arial" w:hAnsi="Arial" w:cs="Arial"/>
        </w:rPr>
      </w:pPr>
      <w:r w:rsidRPr="00A65F75">
        <w:rPr>
          <w:rFonts w:ascii="Arial" w:hAnsi="Arial" w:cs="Arial"/>
        </w:rPr>
        <w:t>Source validation was achieved by critically appraising the research through skimming, reading titles, abstracts, introduction, and conclusion to appraise their relevance. Source evaluation was based on the CRAAP test (Currency, Relevance, Authority, Accuracy, Purpose) with the highest priority being given to currency, relevance and authority. CRAAP test describes the well-developed system that is applied to decide on the credibility and reliability of information sources (Arai, 2023). According to Squires (2023), the CRAAP test determine the quality and reliability of the evidence.  Currency measures the timeliness of the evidence, while authority and accuracy measure the credibility of the authorship and trustworthiness of supporting data. The positive aspect of the CRAAP framework is its use to systematically evaluate academic researches as well as institutional reports (Arai, 2023). The test was applied in the review since the sources of evidence comprised peer-reviewed articles as well as NHS and government policy reports. For instance, a peer-reviewed NHS report about the prevalence of ACE in Wales (published in 2023) was incorporated because it contains recent data, has a UK focus, and the credibility of the institution, whereas older non-UK studies were filtered out. The thematic analysis was based on high-quality methodologically sound sources (Squires, 2023), which were critically assessed to facilitate solid and evidence-based findings.</w:t>
      </w:r>
    </w:p>
    <w:p w14:paraId="009720FD" w14:textId="77777777" w:rsidR="008E767F" w:rsidRPr="00A65F75" w:rsidRDefault="008E767F" w:rsidP="00D11EC7">
      <w:pPr>
        <w:pStyle w:val="Heading2"/>
        <w:spacing w:line="360" w:lineRule="auto"/>
        <w:rPr>
          <w:rFonts w:cs="Arial"/>
          <w:sz w:val="22"/>
          <w:szCs w:val="22"/>
        </w:rPr>
      </w:pPr>
      <w:bookmarkStart w:id="22" w:name="_Toc225676695"/>
      <w:r w:rsidRPr="00A65F75">
        <w:rPr>
          <w:rFonts w:cs="Arial"/>
          <w:sz w:val="22"/>
          <w:szCs w:val="22"/>
        </w:rPr>
        <w:t>3.5 Inclusion and Exclusion Criteria</w:t>
      </w:r>
      <w:bookmarkEnd w:id="22"/>
    </w:p>
    <w:p w14:paraId="40D9360B" w14:textId="77777777" w:rsidR="008E767F" w:rsidRPr="00A65F75" w:rsidRDefault="008E767F" w:rsidP="00D11EC7">
      <w:pPr>
        <w:spacing w:line="360" w:lineRule="auto"/>
        <w:rPr>
          <w:rFonts w:ascii="Arial" w:hAnsi="Arial" w:cs="Arial"/>
        </w:rPr>
      </w:pPr>
      <w:r w:rsidRPr="00A65F75">
        <w:rPr>
          <w:rFonts w:ascii="Arial" w:hAnsi="Arial" w:cs="Arial"/>
        </w:rPr>
        <w:t xml:space="preserve">The inclusion criteria encompassed peer-reviewed journal articles, UK-based policy and academic reports, and sources that covered the ACEs, trauma-informed care, and marginalised population, published between 2022 and 2026, as outlined in Table 3.1 below. </w:t>
      </w:r>
    </w:p>
    <w:p w14:paraId="67FB1D4F" w14:textId="77777777" w:rsidR="008E767F" w:rsidRPr="00A65F75" w:rsidRDefault="008E767F" w:rsidP="00D11EC7">
      <w:pPr>
        <w:spacing w:line="360" w:lineRule="auto"/>
        <w:rPr>
          <w:rFonts w:ascii="Arial" w:hAnsi="Arial" w:cs="Arial"/>
          <w:b/>
          <w:bCs/>
        </w:rPr>
      </w:pPr>
      <w:r w:rsidRPr="00A65F75">
        <w:rPr>
          <w:rFonts w:ascii="Arial" w:hAnsi="Arial" w:cs="Arial"/>
          <w:b/>
          <w:bCs/>
        </w:rPr>
        <w:t>Table 3.1: Inclusion-exclusion criteria</w:t>
      </w:r>
    </w:p>
    <w:tbl>
      <w:tblPr>
        <w:tblStyle w:val="TableGrid"/>
        <w:tblW w:w="0" w:type="auto"/>
        <w:tblLook w:val="04A0" w:firstRow="1" w:lastRow="0" w:firstColumn="1" w:lastColumn="0" w:noHBand="0" w:noVBand="1"/>
      </w:tblPr>
      <w:tblGrid>
        <w:gridCol w:w="1642"/>
        <w:gridCol w:w="3078"/>
        <w:gridCol w:w="4296"/>
      </w:tblGrid>
      <w:tr w:rsidR="009D1CA9" w:rsidRPr="00A65F75" w14:paraId="0D4ECFDA" w14:textId="77777777" w:rsidTr="001071E8">
        <w:tc>
          <w:tcPr>
            <w:tcW w:w="0" w:type="auto"/>
            <w:hideMark/>
          </w:tcPr>
          <w:p w14:paraId="27A058C9" w14:textId="77777777" w:rsidR="008E767F" w:rsidRPr="00A65F75" w:rsidRDefault="008E767F" w:rsidP="00D11EC7">
            <w:pPr>
              <w:spacing w:line="360" w:lineRule="auto"/>
              <w:rPr>
                <w:rFonts w:ascii="Arial" w:hAnsi="Arial" w:cs="Arial"/>
                <w:b/>
                <w:bCs/>
              </w:rPr>
            </w:pPr>
            <w:r w:rsidRPr="00A65F75">
              <w:rPr>
                <w:rFonts w:ascii="Arial" w:hAnsi="Arial" w:cs="Arial"/>
                <w:b/>
                <w:bCs/>
              </w:rPr>
              <w:t>Criteria</w:t>
            </w:r>
          </w:p>
        </w:tc>
        <w:tc>
          <w:tcPr>
            <w:tcW w:w="0" w:type="auto"/>
            <w:hideMark/>
          </w:tcPr>
          <w:p w14:paraId="4D7ADEE0" w14:textId="77777777" w:rsidR="008E767F" w:rsidRPr="00A65F75" w:rsidRDefault="008E767F" w:rsidP="00D11EC7">
            <w:pPr>
              <w:spacing w:line="360" w:lineRule="auto"/>
              <w:rPr>
                <w:rFonts w:ascii="Arial" w:hAnsi="Arial" w:cs="Arial"/>
                <w:b/>
                <w:bCs/>
              </w:rPr>
            </w:pPr>
            <w:r w:rsidRPr="00A65F75">
              <w:rPr>
                <w:rFonts w:ascii="Arial" w:hAnsi="Arial" w:cs="Arial"/>
                <w:b/>
                <w:bCs/>
              </w:rPr>
              <w:t>Description</w:t>
            </w:r>
          </w:p>
        </w:tc>
        <w:tc>
          <w:tcPr>
            <w:tcW w:w="0" w:type="auto"/>
            <w:hideMark/>
          </w:tcPr>
          <w:p w14:paraId="7DC518A1" w14:textId="77777777" w:rsidR="008E767F" w:rsidRPr="00A65F75" w:rsidRDefault="008E767F" w:rsidP="00D11EC7">
            <w:pPr>
              <w:spacing w:line="360" w:lineRule="auto"/>
              <w:rPr>
                <w:rFonts w:ascii="Arial" w:hAnsi="Arial" w:cs="Arial"/>
                <w:b/>
                <w:bCs/>
              </w:rPr>
            </w:pPr>
            <w:r w:rsidRPr="00A65F75">
              <w:rPr>
                <w:rFonts w:ascii="Arial" w:hAnsi="Arial" w:cs="Arial"/>
                <w:b/>
                <w:bCs/>
              </w:rPr>
              <w:t>Rationale</w:t>
            </w:r>
          </w:p>
        </w:tc>
      </w:tr>
      <w:tr w:rsidR="009D1CA9" w:rsidRPr="00A65F75" w14:paraId="4B546D9E" w14:textId="77777777" w:rsidTr="001071E8">
        <w:tc>
          <w:tcPr>
            <w:tcW w:w="0" w:type="auto"/>
            <w:gridSpan w:val="3"/>
          </w:tcPr>
          <w:p w14:paraId="23889F4F" w14:textId="77777777" w:rsidR="008E767F" w:rsidRPr="00A65F75" w:rsidRDefault="008E767F" w:rsidP="00D11EC7">
            <w:pPr>
              <w:spacing w:line="360" w:lineRule="auto"/>
              <w:jc w:val="center"/>
              <w:rPr>
                <w:rFonts w:ascii="Arial" w:hAnsi="Arial" w:cs="Arial"/>
                <w:b/>
                <w:bCs/>
              </w:rPr>
            </w:pPr>
            <w:r w:rsidRPr="00A65F75">
              <w:rPr>
                <w:rFonts w:ascii="Arial" w:hAnsi="Arial" w:cs="Arial"/>
                <w:b/>
                <w:bCs/>
              </w:rPr>
              <w:t>Inclusion</w:t>
            </w:r>
          </w:p>
        </w:tc>
      </w:tr>
      <w:tr w:rsidR="009D1CA9" w:rsidRPr="00A65F75" w14:paraId="3560BDB7" w14:textId="77777777" w:rsidTr="001071E8">
        <w:tc>
          <w:tcPr>
            <w:tcW w:w="0" w:type="auto"/>
            <w:hideMark/>
          </w:tcPr>
          <w:p w14:paraId="00FE3107" w14:textId="77777777" w:rsidR="008E767F" w:rsidRPr="00A65F75" w:rsidRDefault="008E767F" w:rsidP="00D11EC7">
            <w:pPr>
              <w:spacing w:line="360" w:lineRule="auto"/>
              <w:rPr>
                <w:rFonts w:ascii="Arial" w:hAnsi="Arial" w:cs="Arial"/>
              </w:rPr>
            </w:pPr>
            <w:r w:rsidRPr="00A65F75">
              <w:rPr>
                <w:rFonts w:ascii="Arial" w:hAnsi="Arial" w:cs="Arial"/>
              </w:rPr>
              <w:t>Population</w:t>
            </w:r>
          </w:p>
        </w:tc>
        <w:tc>
          <w:tcPr>
            <w:tcW w:w="0" w:type="auto"/>
            <w:hideMark/>
          </w:tcPr>
          <w:p w14:paraId="32AB78DD" w14:textId="77777777" w:rsidR="008E767F" w:rsidRPr="00A65F75" w:rsidRDefault="008E767F" w:rsidP="00D11EC7">
            <w:pPr>
              <w:spacing w:line="360" w:lineRule="auto"/>
              <w:rPr>
                <w:rFonts w:ascii="Arial" w:hAnsi="Arial" w:cs="Arial"/>
              </w:rPr>
            </w:pPr>
            <w:r w:rsidRPr="00A65F75">
              <w:rPr>
                <w:rFonts w:ascii="Arial" w:hAnsi="Arial" w:cs="Arial"/>
              </w:rPr>
              <w:t>The literature on ACE exposure in marginalised or vulnerable groups</w:t>
            </w:r>
          </w:p>
        </w:tc>
        <w:tc>
          <w:tcPr>
            <w:tcW w:w="0" w:type="auto"/>
            <w:hideMark/>
          </w:tcPr>
          <w:p w14:paraId="77488D46" w14:textId="77777777" w:rsidR="008E767F" w:rsidRPr="00A65F75" w:rsidRDefault="008E767F" w:rsidP="00D11EC7">
            <w:pPr>
              <w:spacing w:line="360" w:lineRule="auto"/>
              <w:rPr>
                <w:rFonts w:ascii="Arial" w:hAnsi="Arial" w:cs="Arial"/>
              </w:rPr>
            </w:pPr>
            <w:r w:rsidRPr="00A65F75">
              <w:rPr>
                <w:rFonts w:ascii="Arial" w:hAnsi="Arial" w:cs="Arial"/>
              </w:rPr>
              <w:t>Fits within the dissertation focus on inequality</w:t>
            </w:r>
          </w:p>
        </w:tc>
      </w:tr>
      <w:tr w:rsidR="009D1CA9" w:rsidRPr="00A65F75" w14:paraId="270A3F6E" w14:textId="77777777" w:rsidTr="001071E8">
        <w:tc>
          <w:tcPr>
            <w:tcW w:w="0" w:type="auto"/>
            <w:hideMark/>
          </w:tcPr>
          <w:p w14:paraId="5B5ADA57" w14:textId="77777777" w:rsidR="008E767F" w:rsidRPr="00A65F75" w:rsidRDefault="008E767F" w:rsidP="00D11EC7">
            <w:pPr>
              <w:spacing w:line="360" w:lineRule="auto"/>
              <w:rPr>
                <w:rFonts w:ascii="Arial" w:hAnsi="Arial" w:cs="Arial"/>
              </w:rPr>
            </w:pPr>
            <w:r w:rsidRPr="00A65F75">
              <w:rPr>
                <w:rFonts w:ascii="Arial" w:hAnsi="Arial" w:cs="Arial"/>
              </w:rPr>
              <w:t>Exposure</w:t>
            </w:r>
          </w:p>
        </w:tc>
        <w:tc>
          <w:tcPr>
            <w:tcW w:w="0" w:type="auto"/>
            <w:hideMark/>
          </w:tcPr>
          <w:p w14:paraId="477712AC" w14:textId="77777777" w:rsidR="008E767F" w:rsidRPr="00A65F75" w:rsidRDefault="008E767F" w:rsidP="00D11EC7">
            <w:pPr>
              <w:spacing w:line="360" w:lineRule="auto"/>
              <w:rPr>
                <w:rFonts w:ascii="Arial" w:hAnsi="Arial" w:cs="Arial"/>
              </w:rPr>
            </w:pPr>
            <w:r w:rsidRPr="00A65F75">
              <w:rPr>
                <w:rFonts w:ascii="Arial" w:hAnsi="Arial" w:cs="Arial"/>
              </w:rPr>
              <w:t xml:space="preserve">Studies of adverse childhood experiences </w:t>
            </w:r>
          </w:p>
        </w:tc>
        <w:tc>
          <w:tcPr>
            <w:tcW w:w="0" w:type="auto"/>
            <w:hideMark/>
          </w:tcPr>
          <w:p w14:paraId="3E142CDF" w14:textId="77777777" w:rsidR="008E767F" w:rsidRPr="00A65F75" w:rsidRDefault="008E767F" w:rsidP="00D11EC7">
            <w:pPr>
              <w:spacing w:line="360" w:lineRule="auto"/>
              <w:rPr>
                <w:rFonts w:ascii="Arial" w:hAnsi="Arial" w:cs="Arial"/>
              </w:rPr>
            </w:pPr>
            <w:r w:rsidRPr="00A65F75">
              <w:rPr>
                <w:rFonts w:ascii="Arial" w:hAnsi="Arial" w:cs="Arial"/>
              </w:rPr>
              <w:t>Remains conceptually focused</w:t>
            </w:r>
          </w:p>
        </w:tc>
      </w:tr>
      <w:tr w:rsidR="009D1CA9" w:rsidRPr="00A65F75" w14:paraId="1A1AFAAB" w14:textId="77777777" w:rsidTr="001071E8">
        <w:tc>
          <w:tcPr>
            <w:tcW w:w="0" w:type="auto"/>
            <w:hideMark/>
          </w:tcPr>
          <w:p w14:paraId="4F301F53" w14:textId="77777777" w:rsidR="008E767F" w:rsidRPr="00A65F75" w:rsidRDefault="008E767F" w:rsidP="00D11EC7">
            <w:pPr>
              <w:spacing w:line="360" w:lineRule="auto"/>
              <w:rPr>
                <w:rFonts w:ascii="Arial" w:hAnsi="Arial" w:cs="Arial"/>
              </w:rPr>
            </w:pPr>
            <w:r w:rsidRPr="00A65F75">
              <w:rPr>
                <w:rFonts w:ascii="Arial" w:hAnsi="Arial" w:cs="Arial"/>
              </w:rPr>
              <w:t>Outcome</w:t>
            </w:r>
          </w:p>
        </w:tc>
        <w:tc>
          <w:tcPr>
            <w:tcW w:w="0" w:type="auto"/>
            <w:hideMark/>
          </w:tcPr>
          <w:p w14:paraId="042E8E1F" w14:textId="77777777" w:rsidR="008E767F" w:rsidRPr="00A65F75" w:rsidRDefault="008E767F" w:rsidP="00D11EC7">
            <w:pPr>
              <w:spacing w:line="360" w:lineRule="auto"/>
              <w:rPr>
                <w:rFonts w:ascii="Arial" w:hAnsi="Arial" w:cs="Arial"/>
              </w:rPr>
            </w:pPr>
            <w:r w:rsidRPr="00A65F75">
              <w:rPr>
                <w:rFonts w:ascii="Arial" w:hAnsi="Arial" w:cs="Arial"/>
              </w:rPr>
              <w:t>Long-term mental health outcome studies</w:t>
            </w:r>
          </w:p>
        </w:tc>
        <w:tc>
          <w:tcPr>
            <w:tcW w:w="0" w:type="auto"/>
            <w:hideMark/>
          </w:tcPr>
          <w:p w14:paraId="090EDC02" w14:textId="77777777" w:rsidR="008E767F" w:rsidRPr="00A65F75" w:rsidRDefault="008E767F" w:rsidP="00D11EC7">
            <w:pPr>
              <w:spacing w:line="360" w:lineRule="auto"/>
              <w:rPr>
                <w:rFonts w:ascii="Arial" w:hAnsi="Arial" w:cs="Arial"/>
              </w:rPr>
            </w:pPr>
            <w:r w:rsidRPr="00A65F75">
              <w:rPr>
                <w:rFonts w:ascii="Arial" w:hAnsi="Arial" w:cs="Arial"/>
              </w:rPr>
              <w:t>Long-term mental health links ACE exposure to mental health</w:t>
            </w:r>
          </w:p>
        </w:tc>
      </w:tr>
      <w:tr w:rsidR="009D1CA9" w:rsidRPr="00A65F75" w14:paraId="451A6F5E" w14:textId="77777777" w:rsidTr="001071E8">
        <w:tc>
          <w:tcPr>
            <w:tcW w:w="0" w:type="auto"/>
            <w:hideMark/>
          </w:tcPr>
          <w:p w14:paraId="180F1F9B" w14:textId="77777777" w:rsidR="008E767F" w:rsidRPr="00A65F75" w:rsidRDefault="008E767F" w:rsidP="00D11EC7">
            <w:pPr>
              <w:spacing w:line="360" w:lineRule="auto"/>
              <w:rPr>
                <w:rFonts w:ascii="Arial" w:hAnsi="Arial" w:cs="Arial"/>
              </w:rPr>
            </w:pPr>
            <w:r w:rsidRPr="00A65F75">
              <w:rPr>
                <w:rFonts w:ascii="Arial" w:hAnsi="Arial" w:cs="Arial"/>
              </w:rPr>
              <w:t>Design</w:t>
            </w:r>
          </w:p>
        </w:tc>
        <w:tc>
          <w:tcPr>
            <w:tcW w:w="0" w:type="auto"/>
            <w:hideMark/>
          </w:tcPr>
          <w:p w14:paraId="173C3A9A" w14:textId="77777777" w:rsidR="008E767F" w:rsidRPr="00A65F75" w:rsidRDefault="008E767F" w:rsidP="00D11EC7">
            <w:pPr>
              <w:spacing w:line="360" w:lineRule="auto"/>
              <w:rPr>
                <w:rFonts w:ascii="Arial" w:hAnsi="Arial" w:cs="Arial"/>
              </w:rPr>
            </w:pPr>
            <w:r w:rsidRPr="00A65F75">
              <w:rPr>
                <w:rFonts w:ascii="Arial" w:hAnsi="Arial" w:cs="Arial"/>
              </w:rPr>
              <w:t>Empirical, systematic reviews and policy reports</w:t>
            </w:r>
          </w:p>
        </w:tc>
        <w:tc>
          <w:tcPr>
            <w:tcW w:w="0" w:type="auto"/>
          </w:tcPr>
          <w:p w14:paraId="7CA0EFBF" w14:textId="77777777" w:rsidR="008E767F" w:rsidRPr="00A65F75" w:rsidRDefault="008E767F" w:rsidP="00D11EC7">
            <w:pPr>
              <w:spacing w:line="360" w:lineRule="auto"/>
              <w:rPr>
                <w:rFonts w:ascii="Arial" w:hAnsi="Arial" w:cs="Arial"/>
              </w:rPr>
            </w:pPr>
            <w:r w:rsidRPr="00A65F75">
              <w:rPr>
                <w:rFonts w:ascii="Arial" w:hAnsi="Arial" w:cs="Arial"/>
              </w:rPr>
              <w:t>Empirical studies, systematic reviews and policy reports helped to synthesize multidisciplinary evidence</w:t>
            </w:r>
          </w:p>
        </w:tc>
      </w:tr>
      <w:tr w:rsidR="009D1CA9" w:rsidRPr="00A65F75" w14:paraId="5862701B" w14:textId="77777777" w:rsidTr="001071E8">
        <w:tc>
          <w:tcPr>
            <w:tcW w:w="0" w:type="auto"/>
            <w:hideMark/>
          </w:tcPr>
          <w:p w14:paraId="222F4217" w14:textId="77777777" w:rsidR="008E767F" w:rsidRPr="00A65F75" w:rsidRDefault="008E767F" w:rsidP="00D11EC7">
            <w:pPr>
              <w:spacing w:line="360" w:lineRule="auto"/>
              <w:rPr>
                <w:rFonts w:ascii="Arial" w:hAnsi="Arial" w:cs="Arial"/>
              </w:rPr>
            </w:pPr>
            <w:r w:rsidRPr="00A65F75">
              <w:rPr>
                <w:rFonts w:ascii="Arial" w:hAnsi="Arial" w:cs="Arial"/>
              </w:rPr>
              <w:t>Location</w:t>
            </w:r>
          </w:p>
        </w:tc>
        <w:tc>
          <w:tcPr>
            <w:tcW w:w="0" w:type="auto"/>
            <w:hideMark/>
          </w:tcPr>
          <w:p w14:paraId="0A073723" w14:textId="77777777" w:rsidR="008E767F" w:rsidRPr="00A65F75" w:rsidRDefault="008E767F" w:rsidP="00D11EC7">
            <w:pPr>
              <w:spacing w:line="360" w:lineRule="auto"/>
              <w:rPr>
                <w:rFonts w:ascii="Arial" w:hAnsi="Arial" w:cs="Arial"/>
              </w:rPr>
            </w:pPr>
            <w:r w:rsidRPr="00A65F75">
              <w:rPr>
                <w:rFonts w:ascii="Arial" w:hAnsi="Arial" w:cs="Arial"/>
              </w:rPr>
              <w:t>UK studies or research that are relevant in England and Wales</w:t>
            </w:r>
          </w:p>
        </w:tc>
        <w:tc>
          <w:tcPr>
            <w:tcW w:w="0" w:type="auto"/>
            <w:hideMark/>
          </w:tcPr>
          <w:p w14:paraId="51DAF7D4" w14:textId="77777777" w:rsidR="008E767F" w:rsidRPr="00A65F75" w:rsidRDefault="008E767F" w:rsidP="00D11EC7">
            <w:pPr>
              <w:spacing w:line="360" w:lineRule="auto"/>
              <w:rPr>
                <w:rFonts w:ascii="Arial" w:hAnsi="Arial" w:cs="Arial"/>
              </w:rPr>
            </w:pPr>
            <w:r w:rsidRPr="00A65F75">
              <w:rPr>
                <w:rFonts w:ascii="Arial" w:hAnsi="Arial" w:cs="Arial"/>
              </w:rPr>
              <w:t>Ensures policy relevance in the NHS</w:t>
            </w:r>
          </w:p>
        </w:tc>
      </w:tr>
      <w:tr w:rsidR="009D1CA9" w:rsidRPr="00A65F75" w14:paraId="3C40A415" w14:textId="77777777" w:rsidTr="001071E8">
        <w:tc>
          <w:tcPr>
            <w:tcW w:w="0" w:type="auto"/>
            <w:hideMark/>
          </w:tcPr>
          <w:p w14:paraId="5373B1D2" w14:textId="77777777" w:rsidR="008E767F" w:rsidRPr="00A65F75" w:rsidRDefault="008E767F" w:rsidP="00D11EC7">
            <w:pPr>
              <w:spacing w:line="360" w:lineRule="auto"/>
              <w:rPr>
                <w:rFonts w:ascii="Arial" w:hAnsi="Arial" w:cs="Arial"/>
              </w:rPr>
            </w:pPr>
            <w:r w:rsidRPr="00A65F75">
              <w:rPr>
                <w:rFonts w:ascii="Arial" w:hAnsi="Arial" w:cs="Arial"/>
              </w:rPr>
              <w:t>Language</w:t>
            </w:r>
          </w:p>
        </w:tc>
        <w:tc>
          <w:tcPr>
            <w:tcW w:w="0" w:type="auto"/>
            <w:hideMark/>
          </w:tcPr>
          <w:p w14:paraId="1879A25A" w14:textId="77777777" w:rsidR="008E767F" w:rsidRPr="00A65F75" w:rsidRDefault="008E767F" w:rsidP="00D11EC7">
            <w:pPr>
              <w:spacing w:line="360" w:lineRule="auto"/>
              <w:rPr>
                <w:rFonts w:ascii="Arial" w:hAnsi="Arial" w:cs="Arial"/>
              </w:rPr>
            </w:pPr>
            <w:r w:rsidRPr="00A65F75">
              <w:rPr>
                <w:rFonts w:ascii="Arial" w:hAnsi="Arial" w:cs="Arial"/>
              </w:rPr>
              <w:t>Studies published in English</w:t>
            </w:r>
          </w:p>
        </w:tc>
        <w:tc>
          <w:tcPr>
            <w:tcW w:w="0" w:type="auto"/>
            <w:hideMark/>
          </w:tcPr>
          <w:p w14:paraId="0D56211A" w14:textId="77777777" w:rsidR="008E767F" w:rsidRPr="00A65F75" w:rsidRDefault="008E767F" w:rsidP="00D11EC7">
            <w:pPr>
              <w:spacing w:line="360" w:lineRule="auto"/>
              <w:rPr>
                <w:rFonts w:ascii="Arial" w:hAnsi="Arial" w:cs="Arial"/>
              </w:rPr>
            </w:pPr>
            <w:r w:rsidRPr="00A65F75">
              <w:rPr>
                <w:rFonts w:ascii="Arial" w:hAnsi="Arial" w:cs="Arial"/>
              </w:rPr>
              <w:t>Guarantees correct interpretation</w:t>
            </w:r>
          </w:p>
        </w:tc>
      </w:tr>
      <w:tr w:rsidR="009D1CA9" w:rsidRPr="00A65F75" w14:paraId="059FA91D" w14:textId="77777777" w:rsidTr="001071E8">
        <w:tc>
          <w:tcPr>
            <w:tcW w:w="0" w:type="auto"/>
            <w:hideMark/>
          </w:tcPr>
          <w:p w14:paraId="16E397F7" w14:textId="77777777" w:rsidR="008E767F" w:rsidRPr="00A65F75" w:rsidRDefault="008E767F" w:rsidP="00D11EC7">
            <w:pPr>
              <w:spacing w:line="360" w:lineRule="auto"/>
              <w:rPr>
                <w:rFonts w:ascii="Arial" w:hAnsi="Arial" w:cs="Arial"/>
              </w:rPr>
            </w:pPr>
            <w:r w:rsidRPr="00A65F75">
              <w:rPr>
                <w:rFonts w:ascii="Arial" w:hAnsi="Arial" w:cs="Arial"/>
              </w:rPr>
              <w:t>Publication Age</w:t>
            </w:r>
          </w:p>
        </w:tc>
        <w:tc>
          <w:tcPr>
            <w:tcW w:w="0" w:type="auto"/>
            <w:hideMark/>
          </w:tcPr>
          <w:p w14:paraId="3449AC82" w14:textId="77777777" w:rsidR="008E767F" w:rsidRPr="00A65F75" w:rsidRDefault="008E767F" w:rsidP="00D11EC7">
            <w:pPr>
              <w:spacing w:line="360" w:lineRule="auto"/>
              <w:rPr>
                <w:rFonts w:ascii="Arial" w:hAnsi="Arial" w:cs="Arial"/>
              </w:rPr>
            </w:pPr>
            <w:r w:rsidRPr="00A65F75">
              <w:rPr>
                <w:rFonts w:ascii="Arial" w:hAnsi="Arial" w:cs="Arial"/>
              </w:rPr>
              <w:t>Studies published between 2016 and 2026</w:t>
            </w:r>
          </w:p>
        </w:tc>
        <w:tc>
          <w:tcPr>
            <w:tcW w:w="0" w:type="auto"/>
            <w:hideMark/>
          </w:tcPr>
          <w:p w14:paraId="096BBF89" w14:textId="77777777" w:rsidR="008E767F" w:rsidRPr="00A65F75" w:rsidRDefault="008E767F" w:rsidP="00D11EC7">
            <w:pPr>
              <w:spacing w:line="360" w:lineRule="auto"/>
              <w:rPr>
                <w:rFonts w:ascii="Arial" w:hAnsi="Arial" w:cs="Arial"/>
              </w:rPr>
            </w:pPr>
            <w:r w:rsidRPr="00A65F75">
              <w:rPr>
                <w:rFonts w:ascii="Arial" w:hAnsi="Arial" w:cs="Arial"/>
              </w:rPr>
              <w:t>The age range kept evidence up to date</w:t>
            </w:r>
          </w:p>
        </w:tc>
      </w:tr>
      <w:tr w:rsidR="009D1CA9" w:rsidRPr="00A65F75" w14:paraId="59DF497C" w14:textId="77777777" w:rsidTr="001071E8">
        <w:tc>
          <w:tcPr>
            <w:tcW w:w="0" w:type="auto"/>
            <w:gridSpan w:val="3"/>
            <w:vAlign w:val="center"/>
          </w:tcPr>
          <w:p w14:paraId="592775CE" w14:textId="77777777" w:rsidR="008E767F" w:rsidRPr="00A65F75" w:rsidRDefault="008E767F" w:rsidP="00D11EC7">
            <w:pPr>
              <w:spacing w:line="360" w:lineRule="auto"/>
              <w:jc w:val="center"/>
              <w:rPr>
                <w:rFonts w:ascii="Arial" w:hAnsi="Arial" w:cs="Arial"/>
                <w:b/>
                <w:bCs/>
              </w:rPr>
            </w:pPr>
            <w:r w:rsidRPr="00A65F75">
              <w:rPr>
                <w:rFonts w:ascii="Arial" w:hAnsi="Arial" w:cs="Arial"/>
                <w:b/>
                <w:bCs/>
              </w:rPr>
              <w:t>Exclusion</w:t>
            </w:r>
          </w:p>
        </w:tc>
      </w:tr>
      <w:tr w:rsidR="00210D27" w:rsidRPr="00A65F75" w14:paraId="0A7882CD" w14:textId="77777777" w:rsidTr="001071E8">
        <w:tc>
          <w:tcPr>
            <w:tcW w:w="0" w:type="auto"/>
            <w:vAlign w:val="center"/>
          </w:tcPr>
          <w:p w14:paraId="6612F83B" w14:textId="77777777" w:rsidR="008E767F" w:rsidRPr="00A65F75" w:rsidRDefault="008E767F" w:rsidP="00D11EC7">
            <w:pPr>
              <w:spacing w:line="360" w:lineRule="auto"/>
              <w:rPr>
                <w:rFonts w:ascii="Arial" w:hAnsi="Arial" w:cs="Arial"/>
              </w:rPr>
            </w:pPr>
            <w:r w:rsidRPr="00A65F75">
              <w:rPr>
                <w:rFonts w:ascii="Arial" w:hAnsi="Arial" w:cs="Arial"/>
              </w:rPr>
              <w:t>Non-academic sources</w:t>
            </w:r>
          </w:p>
        </w:tc>
        <w:tc>
          <w:tcPr>
            <w:tcW w:w="0" w:type="auto"/>
            <w:vAlign w:val="center"/>
          </w:tcPr>
          <w:p w14:paraId="00C9D5A4" w14:textId="77777777" w:rsidR="008E767F" w:rsidRPr="00A65F75" w:rsidRDefault="008E767F" w:rsidP="00D11EC7">
            <w:pPr>
              <w:spacing w:line="360" w:lineRule="auto"/>
              <w:rPr>
                <w:rFonts w:ascii="Arial" w:hAnsi="Arial" w:cs="Arial"/>
              </w:rPr>
            </w:pPr>
            <w:r w:rsidRPr="00A65F75">
              <w:rPr>
                <w:rFonts w:ascii="Arial" w:hAnsi="Arial" w:cs="Arial"/>
              </w:rPr>
              <w:t>Weblogs, opinionated or unverified content</w:t>
            </w:r>
          </w:p>
        </w:tc>
        <w:tc>
          <w:tcPr>
            <w:tcW w:w="0" w:type="auto"/>
            <w:vAlign w:val="center"/>
          </w:tcPr>
          <w:p w14:paraId="5A159EC3" w14:textId="77777777" w:rsidR="008E767F" w:rsidRPr="00A65F75" w:rsidRDefault="008E767F" w:rsidP="00D11EC7">
            <w:pPr>
              <w:spacing w:line="360" w:lineRule="auto"/>
              <w:rPr>
                <w:rFonts w:ascii="Arial" w:hAnsi="Arial" w:cs="Arial"/>
              </w:rPr>
            </w:pPr>
            <w:r w:rsidRPr="00A65F75">
              <w:rPr>
                <w:rFonts w:ascii="Arial" w:hAnsi="Arial" w:cs="Arial"/>
              </w:rPr>
              <w:t>Lack methodological rigour</w:t>
            </w:r>
          </w:p>
        </w:tc>
      </w:tr>
    </w:tbl>
    <w:p w14:paraId="7B329265" w14:textId="77777777" w:rsidR="002E356E" w:rsidRPr="00A65F75" w:rsidRDefault="002E356E" w:rsidP="00D11EC7">
      <w:pPr>
        <w:spacing w:line="360" w:lineRule="auto"/>
        <w:rPr>
          <w:rFonts w:ascii="Arial" w:hAnsi="Arial" w:cs="Arial"/>
        </w:rPr>
      </w:pPr>
    </w:p>
    <w:p w14:paraId="323B5DC1" w14:textId="69D2666E" w:rsidR="000B257E" w:rsidRPr="00A65F75" w:rsidRDefault="004F444A" w:rsidP="00D11EC7">
      <w:pPr>
        <w:spacing w:line="360" w:lineRule="auto"/>
        <w:rPr>
          <w:rFonts w:ascii="Arial" w:hAnsi="Arial" w:cs="Arial"/>
        </w:rPr>
      </w:pPr>
      <w:r w:rsidRPr="00A65F75">
        <w:rPr>
          <w:rFonts w:ascii="Arial" w:hAnsi="Arial" w:cs="Arial"/>
        </w:rPr>
        <w:t>Following the search</w:t>
      </w:r>
      <w:r w:rsidR="000B257E" w:rsidRPr="00A65F75">
        <w:rPr>
          <w:rFonts w:ascii="Arial" w:hAnsi="Arial" w:cs="Arial"/>
        </w:rPr>
        <w:t xml:space="preserve"> on databases, 709 records were identified. </w:t>
      </w:r>
      <w:r w:rsidR="00F14DF3" w:rsidRPr="00A65F75">
        <w:rPr>
          <w:rFonts w:ascii="Arial" w:hAnsi="Arial" w:cs="Arial"/>
        </w:rPr>
        <w:t xml:space="preserve">After removal of duplicates, 474 articles were </w:t>
      </w:r>
      <w:r w:rsidR="00492DD3" w:rsidRPr="00A65F75">
        <w:rPr>
          <w:rFonts w:ascii="Arial" w:hAnsi="Arial" w:cs="Arial"/>
        </w:rPr>
        <w:t>isolated. S</w:t>
      </w:r>
      <w:r w:rsidRPr="00A65F75">
        <w:rPr>
          <w:rFonts w:ascii="Arial" w:hAnsi="Arial" w:cs="Arial"/>
        </w:rPr>
        <w:t>creening</w:t>
      </w:r>
      <w:r w:rsidR="00492DD3" w:rsidRPr="00A65F75">
        <w:rPr>
          <w:rFonts w:ascii="Arial" w:hAnsi="Arial" w:cs="Arial"/>
        </w:rPr>
        <w:t xml:space="preserve"> against the inclusion-exclusion criteria, </w:t>
      </w:r>
      <w:r w:rsidRPr="00A65F75">
        <w:rPr>
          <w:rFonts w:ascii="Arial" w:hAnsi="Arial" w:cs="Arial"/>
        </w:rPr>
        <w:t>and appraisal</w:t>
      </w:r>
      <w:r w:rsidR="00492DD3" w:rsidRPr="00A65F75">
        <w:rPr>
          <w:rFonts w:ascii="Arial" w:hAnsi="Arial" w:cs="Arial"/>
        </w:rPr>
        <w:t xml:space="preserve"> </w:t>
      </w:r>
      <w:r w:rsidR="0050095C" w:rsidRPr="00A65F75">
        <w:rPr>
          <w:rFonts w:ascii="Arial" w:hAnsi="Arial" w:cs="Arial"/>
        </w:rPr>
        <w:t xml:space="preserve">filtered out 461 articles. </w:t>
      </w:r>
      <w:r w:rsidR="002E356E" w:rsidRPr="00A65F75">
        <w:rPr>
          <w:rFonts w:ascii="Arial" w:hAnsi="Arial" w:cs="Arial"/>
        </w:rPr>
        <w:t>As demonstrated in the PRISMA flowchart in Appendix 2</w:t>
      </w:r>
      <w:r w:rsidR="0050095C" w:rsidRPr="00A65F75">
        <w:rPr>
          <w:rFonts w:ascii="Arial" w:hAnsi="Arial" w:cs="Arial"/>
        </w:rPr>
        <w:t xml:space="preserve">, </w:t>
      </w:r>
      <w:r w:rsidR="00214161" w:rsidRPr="00A65F75">
        <w:rPr>
          <w:rFonts w:ascii="Arial" w:hAnsi="Arial" w:cs="Arial"/>
        </w:rPr>
        <w:t xml:space="preserve">13 primary studies were </w:t>
      </w:r>
      <w:r w:rsidR="00A83983" w:rsidRPr="00A65F75">
        <w:rPr>
          <w:rFonts w:ascii="Arial" w:hAnsi="Arial" w:cs="Arial"/>
        </w:rPr>
        <w:t>retained for thematic synthesis and review</w:t>
      </w:r>
      <w:r w:rsidR="002E356E" w:rsidRPr="00A65F75">
        <w:rPr>
          <w:rFonts w:ascii="Arial" w:hAnsi="Arial" w:cs="Arial"/>
        </w:rPr>
        <w:t>.</w:t>
      </w:r>
      <w:r w:rsidR="00A83983" w:rsidRPr="00A65F75">
        <w:rPr>
          <w:rFonts w:ascii="Arial" w:hAnsi="Arial" w:cs="Arial"/>
        </w:rPr>
        <w:t xml:space="preserve"> </w:t>
      </w:r>
    </w:p>
    <w:p w14:paraId="182F66F2" w14:textId="77777777" w:rsidR="008E767F" w:rsidRPr="00A65F75" w:rsidRDefault="008E767F" w:rsidP="00D11EC7">
      <w:pPr>
        <w:pStyle w:val="Heading2"/>
        <w:spacing w:line="360" w:lineRule="auto"/>
        <w:rPr>
          <w:rFonts w:cs="Arial"/>
          <w:sz w:val="22"/>
          <w:szCs w:val="22"/>
        </w:rPr>
      </w:pPr>
      <w:bookmarkStart w:id="23" w:name="_Toc225676696"/>
      <w:r w:rsidRPr="00A65F75">
        <w:rPr>
          <w:rFonts w:cs="Arial"/>
          <w:sz w:val="22"/>
          <w:szCs w:val="22"/>
        </w:rPr>
        <w:t>3.6 Analysing Research</w:t>
      </w:r>
      <w:bookmarkEnd w:id="23"/>
    </w:p>
    <w:p w14:paraId="6D8D1BA4" w14:textId="3BCAB120" w:rsidR="008E767F" w:rsidRPr="00A65F75" w:rsidRDefault="008E767F" w:rsidP="00D11EC7">
      <w:pPr>
        <w:spacing w:line="360" w:lineRule="auto"/>
        <w:rPr>
          <w:rFonts w:ascii="Arial" w:hAnsi="Arial" w:cs="Arial"/>
        </w:rPr>
      </w:pPr>
      <w:r w:rsidRPr="00A65F75">
        <w:rPr>
          <w:rFonts w:ascii="Arial" w:hAnsi="Arial" w:cs="Arial"/>
        </w:rPr>
        <w:t xml:space="preserve">The thematic synthesis and analysis captioning coding methodology, described by </w:t>
      </w:r>
      <w:r w:rsidR="00ED7700" w:rsidRPr="00ED7700">
        <w:rPr>
          <w:rFonts w:ascii="Arial" w:hAnsi="Arial" w:cs="Arial"/>
        </w:rPr>
        <w:t>Christo</w:t>
      </w:r>
      <w:r w:rsidR="00ED7700">
        <w:rPr>
          <w:rFonts w:ascii="Arial" w:hAnsi="Arial" w:cs="Arial"/>
        </w:rPr>
        <w:t xml:space="preserve">u </w:t>
      </w:r>
      <w:r w:rsidRPr="00A65F75">
        <w:rPr>
          <w:rFonts w:ascii="Arial" w:hAnsi="Arial" w:cs="Arial"/>
        </w:rPr>
        <w:t>(2022), was used. Thematic synthesis defines a qualitative analysis technique that is employed to discover and describe patterns between studies (</w:t>
      </w:r>
      <w:r w:rsidR="00A5163D" w:rsidRPr="008672B2">
        <w:rPr>
          <w:rFonts w:ascii="Arial" w:hAnsi="Arial" w:cs="Arial"/>
        </w:rPr>
        <w:t>Morgan</w:t>
      </w:r>
      <w:r w:rsidRPr="00A65F75">
        <w:rPr>
          <w:rFonts w:ascii="Arial" w:hAnsi="Arial" w:cs="Arial"/>
        </w:rPr>
        <w:t xml:space="preserve">, 2022). According to </w:t>
      </w:r>
      <w:r w:rsidR="00ED7700" w:rsidRPr="00ED7700">
        <w:rPr>
          <w:rFonts w:ascii="Arial" w:hAnsi="Arial" w:cs="Arial"/>
        </w:rPr>
        <w:t>Christo</w:t>
      </w:r>
      <w:r w:rsidR="00ED7700">
        <w:rPr>
          <w:rFonts w:ascii="Arial" w:hAnsi="Arial" w:cs="Arial"/>
        </w:rPr>
        <w:t xml:space="preserve">u </w:t>
      </w:r>
      <w:r w:rsidRPr="00A65F75">
        <w:rPr>
          <w:rFonts w:ascii="Arial" w:hAnsi="Arial" w:cs="Arial"/>
        </w:rPr>
        <w:t>(2022), thematic analysis is a method which is loosely defined but systematic in allowing a researcher to go beyond the descriptive process and formulate an interpretation of the evidence provided by the qualitative data. Thematic synthesis was, thus, employed to compare the different views across the literature, find areas of agreement and the gaps in the current research on the intersections of ACE exposure, structural inequality and trauma-informed care in NHS policy and practice.</w:t>
      </w:r>
    </w:p>
    <w:p w14:paraId="596A5897" w14:textId="77777777" w:rsidR="008E767F" w:rsidRPr="00A65F75" w:rsidRDefault="008E767F" w:rsidP="00D11EC7">
      <w:pPr>
        <w:spacing w:line="360" w:lineRule="auto"/>
        <w:rPr>
          <w:rFonts w:ascii="Arial" w:hAnsi="Arial" w:cs="Arial"/>
        </w:rPr>
      </w:pPr>
      <w:r w:rsidRPr="00A65F75">
        <w:rPr>
          <w:rFonts w:ascii="Arial" w:hAnsi="Arial" w:cs="Arial"/>
        </w:rPr>
        <w:t>Chosen sources were reviewed thoroughly and repeated ideas, issues, and key words have been formed as the initial codes. The related codes were then categorized under general topics that were in line with the review objective which included the ACE prevalence, long-term mental health outcomes and trauma-informed NHS interventions. Codes and theme development were managed by use of spreadsheets and colour-coded tables to ensure proper organisation of the data. This methodology allowed creating clear emergent patterns with a systematic basis of presenting the results and critical discourse in Chapter 4.</w:t>
      </w:r>
    </w:p>
    <w:p w14:paraId="5FD575FD" w14:textId="77777777" w:rsidR="008E767F" w:rsidRPr="00A65F75" w:rsidRDefault="008E767F" w:rsidP="00D11EC7">
      <w:pPr>
        <w:pStyle w:val="Heading2"/>
        <w:spacing w:line="360" w:lineRule="auto"/>
        <w:rPr>
          <w:rFonts w:cs="Arial"/>
          <w:sz w:val="22"/>
          <w:szCs w:val="22"/>
        </w:rPr>
      </w:pPr>
      <w:bookmarkStart w:id="24" w:name="_Toc225676697"/>
      <w:r w:rsidRPr="00A65F75">
        <w:rPr>
          <w:rFonts w:cs="Arial"/>
          <w:sz w:val="22"/>
          <w:szCs w:val="22"/>
        </w:rPr>
        <w:t>3.7 Ethical Considerations</w:t>
      </w:r>
      <w:bookmarkEnd w:id="24"/>
      <w:r w:rsidRPr="00A65F75">
        <w:rPr>
          <w:rFonts w:cs="Arial"/>
          <w:sz w:val="22"/>
          <w:szCs w:val="22"/>
        </w:rPr>
        <w:t xml:space="preserve"> </w:t>
      </w:r>
    </w:p>
    <w:p w14:paraId="1B1C62A6" w14:textId="3E9DB4C5" w:rsidR="008E767F" w:rsidRPr="00A65F75" w:rsidRDefault="008E767F" w:rsidP="00D11EC7">
      <w:pPr>
        <w:spacing w:line="360" w:lineRule="auto"/>
        <w:rPr>
          <w:rFonts w:ascii="Arial" w:hAnsi="Arial" w:cs="Arial"/>
        </w:rPr>
      </w:pPr>
      <w:r w:rsidRPr="00A65F75">
        <w:rPr>
          <w:rFonts w:ascii="Arial" w:hAnsi="Arial" w:cs="Arial"/>
        </w:rPr>
        <w:t>Since it is secondary research, there was no new data being collected, and thus, the risks to human subjects were eliminated. The correct use of Harvard style references and critical analysis of the sources and avoiding plagiarism and misrepresentation ensured that ethical rigour was upheld. Transparency and credibility were also of the importance as the literature was given fairly, limitations were recognized, and selective reporting was avoided. Similarly, the reviewer made sure that all the sources were within the inclusion criteria, they are methodologically well, and they substantiate the evidence-based conclusions. Moral care adopted increased the credibility of the thematic results and helped to enhance the credibility of the dissertation in general.</w:t>
      </w:r>
      <w:r w:rsidR="00703C1F">
        <w:rPr>
          <w:rFonts w:ascii="Arial" w:hAnsi="Arial" w:cs="Arial"/>
        </w:rPr>
        <w:t xml:space="preserve"> The methodological approach is further outlined in the Poster (see Appendix 3)</w:t>
      </w:r>
    </w:p>
    <w:p w14:paraId="2B0137D3" w14:textId="77777777" w:rsidR="008E767F" w:rsidRPr="00A65F75" w:rsidRDefault="008E767F" w:rsidP="00D11EC7">
      <w:pPr>
        <w:pStyle w:val="Heading2"/>
        <w:spacing w:line="360" w:lineRule="auto"/>
        <w:rPr>
          <w:rFonts w:cs="Arial"/>
          <w:sz w:val="22"/>
          <w:szCs w:val="22"/>
        </w:rPr>
      </w:pPr>
      <w:bookmarkStart w:id="25" w:name="_Toc225676698"/>
      <w:r w:rsidRPr="00A65F75">
        <w:rPr>
          <w:rFonts w:cs="Arial"/>
          <w:sz w:val="22"/>
          <w:szCs w:val="22"/>
        </w:rPr>
        <w:t>3.8 Conclusion</w:t>
      </w:r>
      <w:bookmarkEnd w:id="25"/>
    </w:p>
    <w:p w14:paraId="78D45156" w14:textId="02265878" w:rsidR="00F2229C" w:rsidRPr="00A65F75" w:rsidRDefault="008E767F" w:rsidP="00D11EC7">
      <w:pPr>
        <w:spacing w:line="360" w:lineRule="auto"/>
        <w:rPr>
          <w:rFonts w:ascii="Arial" w:hAnsi="Arial" w:cs="Arial"/>
        </w:rPr>
      </w:pPr>
      <w:r w:rsidRPr="00A65F75">
        <w:rPr>
          <w:rFonts w:ascii="Arial" w:hAnsi="Arial" w:cs="Arial"/>
        </w:rPr>
        <w:t>The methodological approach was described to conduct review on ACE-related mental health outcomes by discussing the search strategy, source selection, validation, inclusion criteria, and thematic analysis with respect to ethical considerations. The systematic and organized nature allowed the review to be informed by relevant, credible and UK-based literature. This chapter formed the basis of the next chapter where emergent themes were presented and critically analysed by combining qualitative analysis based on a secondary review and systematic thematic literature review. The methods guaranteed the evidence-based findings, reproducibility, and direct applicability of the findings to the assessment of the trauma-informed NHS response to the marginalised population affected by ACEs</w:t>
      </w:r>
      <w:r w:rsidR="00561337" w:rsidRPr="00A65F75">
        <w:rPr>
          <w:rFonts w:ascii="Arial" w:hAnsi="Arial" w:cs="Arial"/>
        </w:rPr>
        <w:t>.</w:t>
      </w:r>
    </w:p>
    <w:p w14:paraId="1C3DE937" w14:textId="77777777" w:rsidR="00026B89" w:rsidRPr="00A65F75" w:rsidRDefault="00026B89" w:rsidP="00D11EC7">
      <w:pPr>
        <w:spacing w:line="360" w:lineRule="auto"/>
        <w:rPr>
          <w:rFonts w:ascii="Arial" w:hAnsi="Arial" w:cs="Arial"/>
        </w:rPr>
      </w:pPr>
      <w:r w:rsidRPr="00A65F75">
        <w:rPr>
          <w:rFonts w:ascii="Arial" w:hAnsi="Arial" w:cs="Arial"/>
        </w:rPr>
        <w:br w:type="page"/>
      </w:r>
    </w:p>
    <w:p w14:paraId="37BACCDA" w14:textId="1AA3E2BB" w:rsidR="00026B89" w:rsidRPr="00A65F75" w:rsidRDefault="00026B89" w:rsidP="00D11EC7">
      <w:pPr>
        <w:pStyle w:val="Heading1"/>
        <w:spacing w:line="360" w:lineRule="auto"/>
        <w:rPr>
          <w:rFonts w:cs="Arial"/>
          <w:sz w:val="22"/>
          <w:szCs w:val="22"/>
        </w:rPr>
      </w:pPr>
      <w:bookmarkStart w:id="26" w:name="_Toc225676699"/>
      <w:r w:rsidRPr="00A65F75">
        <w:rPr>
          <w:rFonts w:cs="Arial"/>
          <w:sz w:val="22"/>
          <w:szCs w:val="22"/>
        </w:rPr>
        <w:t>CHAPTER 4 – Findings and Discussion</w:t>
      </w:r>
      <w:bookmarkEnd w:id="26"/>
    </w:p>
    <w:p w14:paraId="14519F9D" w14:textId="77777777" w:rsidR="00026B89" w:rsidRPr="00A65F75" w:rsidRDefault="00026B89" w:rsidP="00D11EC7">
      <w:pPr>
        <w:pStyle w:val="Heading2"/>
        <w:spacing w:line="360" w:lineRule="auto"/>
        <w:rPr>
          <w:rFonts w:cs="Arial"/>
          <w:sz w:val="22"/>
          <w:szCs w:val="22"/>
        </w:rPr>
      </w:pPr>
      <w:bookmarkStart w:id="27" w:name="_Toc225676700"/>
      <w:r w:rsidRPr="00A65F75">
        <w:rPr>
          <w:rFonts w:cs="Arial"/>
          <w:sz w:val="22"/>
          <w:szCs w:val="22"/>
        </w:rPr>
        <w:t>4.1 Introduction</w:t>
      </w:r>
      <w:bookmarkEnd w:id="27"/>
    </w:p>
    <w:p w14:paraId="1A650A67" w14:textId="77777777" w:rsidR="00026B89" w:rsidRPr="00A65F75" w:rsidRDefault="00026B89" w:rsidP="00D11EC7">
      <w:pPr>
        <w:spacing w:line="360" w:lineRule="auto"/>
        <w:rPr>
          <w:rFonts w:ascii="Arial" w:hAnsi="Arial" w:cs="Arial"/>
        </w:rPr>
      </w:pPr>
      <w:r w:rsidRPr="00A65F75">
        <w:rPr>
          <w:rFonts w:ascii="Arial" w:hAnsi="Arial" w:cs="Arial"/>
        </w:rPr>
        <w:t>The chapter details the results with the discussion that was obtained through a thematic analysis of literature exploring the long-term mental health outcomes of ACEs among vulnerable and marginalised populations, in England and Wales. The chapter measures the main themes that have developed based on the reviewed evidence against the objectives of the research. In particular, it examines the prevalence of ACEs, the socioeconomic distribution of ACEs, its interactions with cumulative exposure to ACEs and long-term mental health outcomes, as well as the adoption of trauma-informed practices in NHS health and social care. Systemic gaps in service provision in the present day are also critically discussed in the chapter and the implications that can be made to enhance the provision of trauma-informed practice within the NHS healthcare systems considered.</w:t>
      </w:r>
    </w:p>
    <w:p w14:paraId="314CC605" w14:textId="77777777" w:rsidR="00026B89" w:rsidRPr="00A65F75" w:rsidRDefault="00026B89" w:rsidP="00D11EC7">
      <w:pPr>
        <w:pStyle w:val="Heading2"/>
        <w:spacing w:line="360" w:lineRule="auto"/>
        <w:rPr>
          <w:rFonts w:cs="Arial"/>
          <w:sz w:val="22"/>
          <w:szCs w:val="22"/>
        </w:rPr>
      </w:pPr>
      <w:bookmarkStart w:id="28" w:name="_Toc225676701"/>
      <w:r w:rsidRPr="00A65F75">
        <w:rPr>
          <w:rFonts w:cs="Arial"/>
          <w:sz w:val="22"/>
          <w:szCs w:val="22"/>
        </w:rPr>
        <w:t>4.2 Thematic Analysis</w:t>
      </w:r>
      <w:bookmarkEnd w:id="28"/>
    </w:p>
    <w:p w14:paraId="695574EC" w14:textId="7B861CCF" w:rsidR="00026B89" w:rsidRPr="00A65F75" w:rsidRDefault="00026B89" w:rsidP="00D11EC7">
      <w:pPr>
        <w:spacing w:line="360" w:lineRule="auto"/>
        <w:rPr>
          <w:rFonts w:ascii="Arial" w:hAnsi="Arial" w:cs="Arial"/>
        </w:rPr>
      </w:pPr>
      <w:r w:rsidRPr="00A65F75">
        <w:rPr>
          <w:rFonts w:ascii="Arial" w:hAnsi="Arial" w:cs="Arial"/>
        </w:rPr>
        <w:t xml:space="preserve">Thematic analysis is a qualitative research approach, which is applied to define, analyse and understand patterns of meaning within a collection of data (Ahmed et al. 2025). In the case of secondary research, Christou (2022) noted that thematic analysis allows the researcher to arrange the findings of the existing literature in a systematic manner so as to discover the commonalities and recurrence of concepts as well as relationships between the studies. </w:t>
      </w:r>
      <w:r w:rsidR="00574E4C" w:rsidRPr="008672B2">
        <w:rPr>
          <w:rFonts w:ascii="Arial" w:hAnsi="Arial" w:cs="Arial"/>
        </w:rPr>
        <w:t>Morgan</w:t>
      </w:r>
      <w:r w:rsidR="00574E4C" w:rsidRPr="00A65F75">
        <w:rPr>
          <w:rFonts w:ascii="Arial" w:hAnsi="Arial" w:cs="Arial"/>
        </w:rPr>
        <w:t xml:space="preserve"> </w:t>
      </w:r>
      <w:r w:rsidRPr="00A65F75">
        <w:rPr>
          <w:rFonts w:ascii="Arial" w:hAnsi="Arial" w:cs="Arial"/>
        </w:rPr>
        <w:t>(2022) state that thematic analysis includes data coding, sorting similar codes, and forming more general themes that embody important patterns in relation to the research question.</w:t>
      </w:r>
    </w:p>
    <w:p w14:paraId="0E736A0A" w14:textId="0C57C367" w:rsidR="00026B89" w:rsidRPr="00A65F75" w:rsidRDefault="00C6457E" w:rsidP="00D11EC7">
      <w:pPr>
        <w:spacing w:line="360" w:lineRule="auto"/>
        <w:rPr>
          <w:rFonts w:ascii="Arial" w:hAnsi="Arial" w:cs="Arial"/>
        </w:rPr>
      </w:pPr>
      <w:r w:rsidRPr="00A65F75">
        <w:rPr>
          <w:rFonts w:ascii="Arial" w:hAnsi="Arial" w:cs="Arial"/>
        </w:rPr>
        <w:t>T</w:t>
      </w:r>
      <w:r w:rsidR="00026B89" w:rsidRPr="00A65F75">
        <w:rPr>
          <w:rFonts w:ascii="Arial" w:hAnsi="Arial" w:cs="Arial"/>
        </w:rPr>
        <w:t>his review involved the thematic analysis of the chosen literature to integrate the evidence on the topic of ACEs, mental health outcomes in the long run, and trauma-informed healthcare response. The concepts and repetitive ideas of the reviewed sources were first coded during the reading process. The codes were then sorted into larger groups by a coding and results table that is in the appendices. The table shows the way that individual results of the literature were clustered into broad themes in accordance with the research objectives.</w:t>
      </w:r>
    </w:p>
    <w:p w14:paraId="7CB7AF1C" w14:textId="3672DBDA" w:rsidR="00026B89" w:rsidRPr="00A65F75" w:rsidRDefault="00DE39C8" w:rsidP="00D11EC7">
      <w:pPr>
        <w:spacing w:line="360" w:lineRule="auto"/>
        <w:rPr>
          <w:rFonts w:ascii="Arial" w:hAnsi="Arial" w:cs="Arial"/>
        </w:rPr>
      </w:pPr>
      <w:r w:rsidRPr="00A65F75">
        <w:rPr>
          <w:rFonts w:ascii="Arial" w:hAnsi="Arial" w:cs="Arial"/>
        </w:rPr>
        <w:t>Additionally, f</w:t>
      </w:r>
      <w:r w:rsidR="00026B89" w:rsidRPr="00A65F75">
        <w:rPr>
          <w:rFonts w:ascii="Arial" w:hAnsi="Arial" w:cs="Arial"/>
        </w:rPr>
        <w:t>our broad themes were identified through this analytical exercise including prevalence and socioeconomic distribution of ACEs in marginalised populations, connections between cumulative ace exposure and long-term mental health outcomes, implementation of trauma-informed strategies within NHS mental health and social care services and systemic gaps in NHS health and social care delivery and implication of trauma-sensitive service delivery. Discussed below are these themes in detail.</w:t>
      </w:r>
    </w:p>
    <w:p w14:paraId="19EB1B0F" w14:textId="77777777" w:rsidR="00906986" w:rsidRPr="00A65F75" w:rsidRDefault="00906986" w:rsidP="00906986">
      <w:pPr>
        <w:pStyle w:val="Heading2"/>
        <w:spacing w:line="360" w:lineRule="auto"/>
        <w:rPr>
          <w:rFonts w:cs="Arial"/>
          <w:sz w:val="22"/>
          <w:szCs w:val="22"/>
        </w:rPr>
      </w:pPr>
      <w:bookmarkStart w:id="29" w:name="_Toc225676702"/>
      <w:r w:rsidRPr="00A65F75">
        <w:rPr>
          <w:rFonts w:cs="Arial"/>
          <w:sz w:val="22"/>
          <w:szCs w:val="22"/>
        </w:rPr>
        <w:t>4.3 – Theme 1: Prevalence and Socioeconomic Distribution of ACEs in Marginalised Populations</w:t>
      </w:r>
      <w:bookmarkEnd w:id="29"/>
    </w:p>
    <w:p w14:paraId="6B79CCA3" w14:textId="77777777" w:rsidR="00906986" w:rsidRPr="00A65F75" w:rsidRDefault="00906986" w:rsidP="00906986">
      <w:pPr>
        <w:pStyle w:val="Heading3"/>
        <w:spacing w:line="360" w:lineRule="auto"/>
        <w:rPr>
          <w:rFonts w:cs="Arial"/>
          <w:sz w:val="22"/>
          <w:szCs w:val="22"/>
        </w:rPr>
      </w:pPr>
      <w:bookmarkStart w:id="30" w:name="_Toc225676703"/>
      <w:r w:rsidRPr="00A65F75">
        <w:rPr>
          <w:rFonts w:cs="Arial"/>
          <w:sz w:val="22"/>
          <w:szCs w:val="22"/>
        </w:rPr>
        <w:t>Definition</w:t>
      </w:r>
      <w:bookmarkEnd w:id="30"/>
    </w:p>
    <w:p w14:paraId="3AAC8047" w14:textId="77777777" w:rsidR="00906986" w:rsidRPr="00A65F75" w:rsidRDefault="00906986" w:rsidP="00906986">
      <w:pPr>
        <w:spacing w:line="360" w:lineRule="auto"/>
        <w:rPr>
          <w:rFonts w:ascii="Arial" w:hAnsi="Arial" w:cs="Arial"/>
        </w:rPr>
      </w:pPr>
      <w:r w:rsidRPr="00A65F75">
        <w:rPr>
          <w:rFonts w:ascii="Arial" w:hAnsi="Arial" w:cs="Arial"/>
        </w:rPr>
        <w:t>The potentially traumatic events that happen before age eighteen are adverse childhood experiences, which include the abuse, neglect, and household dysfunction such as domestic violence, parental substance misuse, mental illness, and parental separation (Rokach and Clayton, 2023). Ccording to Kelly-Irving and Delpierre, (2019) the ACE is a framework formulated out of epidemiological studies, with research findings associating ACE to adverse health and social outcomes throughout life. Further, according to Walsh et al. (2019), ACE prevalence is the ratio of people who report one or more unfavourable experiences, socioeconomic distribution is the way people are exposed to adverse experiences in relation to social and economic groups, especially deprived and marginalised people.</w:t>
      </w:r>
    </w:p>
    <w:p w14:paraId="06C1EF66" w14:textId="77777777" w:rsidR="00906986" w:rsidRPr="00A65F75" w:rsidRDefault="00906986" w:rsidP="00906986">
      <w:pPr>
        <w:pStyle w:val="Heading3"/>
        <w:spacing w:line="360" w:lineRule="auto"/>
        <w:rPr>
          <w:rFonts w:cs="Arial"/>
          <w:sz w:val="22"/>
          <w:szCs w:val="22"/>
        </w:rPr>
      </w:pPr>
      <w:bookmarkStart w:id="31" w:name="_Toc225676704"/>
      <w:r w:rsidRPr="00A65F75">
        <w:rPr>
          <w:rFonts w:cs="Arial"/>
          <w:sz w:val="22"/>
          <w:szCs w:val="22"/>
        </w:rPr>
        <w:t>Background Information</w:t>
      </w:r>
      <w:bookmarkEnd w:id="31"/>
    </w:p>
    <w:p w14:paraId="5909DA18" w14:textId="77777777" w:rsidR="00906986" w:rsidRPr="00A65F75" w:rsidRDefault="00906986" w:rsidP="00906986">
      <w:pPr>
        <w:spacing w:line="360" w:lineRule="auto"/>
        <w:rPr>
          <w:rFonts w:ascii="Arial" w:hAnsi="Arial" w:cs="Arial"/>
        </w:rPr>
      </w:pPr>
      <w:r w:rsidRPr="00A65F75">
        <w:rPr>
          <w:rFonts w:ascii="Arial" w:hAnsi="Arial" w:cs="Arial"/>
        </w:rPr>
        <w:t>In the last twenty years, ACEs are identified to be a significant health issue in the public because of their long-term effects on physical health, mental wellbeing, and social outcomes. According to Kelly-Irving and Delpierre, (2019) Children subjected to several ACEs are under increased risk of developing mental illness, drug abuse, and chronic disease adulthood.</w:t>
      </w:r>
    </w:p>
    <w:p w14:paraId="6A00B3D7" w14:textId="77777777" w:rsidR="00906986" w:rsidRPr="00A65F75" w:rsidRDefault="00906986" w:rsidP="00906986">
      <w:pPr>
        <w:spacing w:line="360" w:lineRule="auto"/>
        <w:rPr>
          <w:rFonts w:ascii="Arial" w:hAnsi="Arial" w:cs="Arial"/>
        </w:rPr>
      </w:pPr>
      <w:r w:rsidRPr="00A65F75">
        <w:rPr>
          <w:rFonts w:ascii="Arial" w:hAnsi="Arial" w:cs="Arial"/>
        </w:rPr>
        <w:t xml:space="preserve">Moreover, structural determinants geographically related to ACE exposure are high in the UK as they are associated with poverty and housing instability and social exclusion. inequality Harper et al., (2023) and Bellis et al. (2025) illuminate that in poor neighbourhoods, children are prone to face numerous risk factors at the same time, and this causes compounded disadvantage. As such, the ACEs tend to be clustering in marginalised groups, which is the cause of intergenerational </w:t>
      </w:r>
    </w:p>
    <w:p w14:paraId="3800393D" w14:textId="77777777" w:rsidR="00906986" w:rsidRPr="00A65F75" w:rsidRDefault="00906986" w:rsidP="00906986">
      <w:pPr>
        <w:pStyle w:val="Heading3"/>
        <w:spacing w:line="360" w:lineRule="auto"/>
        <w:rPr>
          <w:rFonts w:cs="Arial"/>
          <w:sz w:val="22"/>
          <w:szCs w:val="22"/>
        </w:rPr>
      </w:pPr>
      <w:bookmarkStart w:id="32" w:name="_Toc225676705"/>
      <w:r w:rsidRPr="00A65F75">
        <w:rPr>
          <w:rFonts w:cs="Arial"/>
          <w:sz w:val="22"/>
          <w:szCs w:val="22"/>
        </w:rPr>
        <w:t>Impact on Research Question</w:t>
      </w:r>
      <w:bookmarkEnd w:id="32"/>
    </w:p>
    <w:p w14:paraId="7BA0B5D8" w14:textId="77777777" w:rsidR="00906986" w:rsidRPr="00A65F75" w:rsidRDefault="00906986" w:rsidP="00906986">
      <w:pPr>
        <w:spacing w:line="360" w:lineRule="auto"/>
        <w:rPr>
          <w:rFonts w:ascii="Arial" w:hAnsi="Arial" w:cs="Arial"/>
        </w:rPr>
      </w:pPr>
      <w:r w:rsidRPr="00A65F75">
        <w:rPr>
          <w:rFonts w:ascii="Arial" w:hAnsi="Arial" w:cs="Arial"/>
        </w:rPr>
        <w:t>The issue of ACE prevalence and socioeconomic distribution is indispensable in examining long-term mental health outcomes of marginalised populations in England and Wales. When the ACE is concentrated among the disadvantaged groups, the mental health effects will be uneven. The study of ACE patterns can be useful to explain the susceptibility to mental health issues and show the significance of trauma-informed treatments in NHS health and social care services.</w:t>
      </w:r>
    </w:p>
    <w:p w14:paraId="5F6D13C2" w14:textId="77777777" w:rsidR="00906986" w:rsidRPr="00A65F75" w:rsidRDefault="00906986" w:rsidP="00906986">
      <w:pPr>
        <w:pStyle w:val="Heading3"/>
        <w:spacing w:line="360" w:lineRule="auto"/>
        <w:rPr>
          <w:rFonts w:cs="Arial"/>
          <w:sz w:val="22"/>
          <w:szCs w:val="22"/>
        </w:rPr>
      </w:pPr>
      <w:bookmarkStart w:id="33" w:name="_Toc225676706"/>
      <w:r w:rsidRPr="00A65F75">
        <w:rPr>
          <w:rFonts w:cs="Arial"/>
          <w:sz w:val="22"/>
          <w:szCs w:val="22"/>
        </w:rPr>
        <w:t>Statistical Information</w:t>
      </w:r>
      <w:bookmarkEnd w:id="33"/>
    </w:p>
    <w:p w14:paraId="769BCFB7" w14:textId="77777777" w:rsidR="00906986" w:rsidRPr="00A65F75" w:rsidRDefault="00906986" w:rsidP="00906986">
      <w:pPr>
        <w:spacing w:line="360" w:lineRule="auto"/>
        <w:rPr>
          <w:rFonts w:ascii="Arial" w:hAnsi="Arial" w:cs="Arial"/>
        </w:rPr>
      </w:pPr>
      <w:r w:rsidRPr="00A65F75">
        <w:rPr>
          <w:rFonts w:ascii="Arial" w:hAnsi="Arial" w:cs="Arial"/>
        </w:rPr>
        <w:t>The study of ACE exposure in the UK demonstrates that its exposure is socially patterned but ubiquitous. Hughes et al. (2024) quantitatively examined 1,880 adults in Wales, and established that the incidence of verbal abuse was 37.9 and that of incarceration in the household was 3.5. As such, there was a regional difference: 20.8% reported four or more ACEs in Wales compared to 15.3% reported in England (2 = 10.014, p = 0.018) indicating that ACE is regional. Similarly, people who had four or more ACEs were more than three times more likely to experience difficulty with financial situations due to the cost-of-living crisis than those with no ACEs (Hughes et al., 2024). The effect brings out the interaction between ACE and socioeconomic disadvantage to enhance subsequent vulnerability.</w:t>
      </w:r>
    </w:p>
    <w:p w14:paraId="527CA24E" w14:textId="77777777" w:rsidR="00906986" w:rsidRPr="00A65F75" w:rsidRDefault="00906986" w:rsidP="00906986">
      <w:pPr>
        <w:pStyle w:val="Heading3"/>
        <w:spacing w:line="360" w:lineRule="auto"/>
        <w:rPr>
          <w:rFonts w:cs="Arial"/>
          <w:sz w:val="22"/>
          <w:szCs w:val="22"/>
        </w:rPr>
      </w:pPr>
      <w:bookmarkStart w:id="34" w:name="_Toc225676707"/>
      <w:r w:rsidRPr="00A65F75">
        <w:rPr>
          <w:rFonts w:cs="Arial"/>
          <w:sz w:val="22"/>
          <w:szCs w:val="22"/>
        </w:rPr>
        <w:t>Theories, Policies, and Legislation</w:t>
      </w:r>
      <w:bookmarkEnd w:id="34"/>
    </w:p>
    <w:p w14:paraId="126B69DF" w14:textId="77777777" w:rsidR="00906986" w:rsidRPr="00A65F75" w:rsidRDefault="00906986" w:rsidP="00906986">
      <w:pPr>
        <w:spacing w:line="360" w:lineRule="auto"/>
        <w:rPr>
          <w:rFonts w:ascii="Arial" w:hAnsi="Arial" w:cs="Arial"/>
        </w:rPr>
      </w:pPr>
      <w:r w:rsidRPr="00A65F75">
        <w:rPr>
          <w:rFonts w:ascii="Arial" w:hAnsi="Arial" w:cs="Arial"/>
        </w:rPr>
        <w:t>Theoretical Framework</w:t>
      </w:r>
    </w:p>
    <w:p w14:paraId="3DC95A31" w14:textId="77777777" w:rsidR="00906986" w:rsidRPr="00A65F75" w:rsidRDefault="00906986" w:rsidP="00906986">
      <w:pPr>
        <w:spacing w:line="360" w:lineRule="auto"/>
        <w:rPr>
          <w:rFonts w:ascii="Arial" w:hAnsi="Arial" w:cs="Arial"/>
        </w:rPr>
      </w:pPr>
      <w:r w:rsidRPr="00A65F75">
        <w:rPr>
          <w:rFonts w:ascii="Arial" w:hAnsi="Arial" w:cs="Arial"/>
        </w:rPr>
        <w:t>The social determinants of health framework describe the relationship between ACEs and the social poor. Harper et al., (2023) elucidate that the social, economic, and environmental factors influence the health outcomes and not the individual behaviour. The ACEs are consequently not an individual experience of the wider social disparities.</w:t>
      </w:r>
    </w:p>
    <w:p w14:paraId="7095DCE5" w14:textId="77777777" w:rsidR="00906986" w:rsidRPr="00A65F75" w:rsidRDefault="00906986" w:rsidP="00906986">
      <w:pPr>
        <w:spacing w:line="360" w:lineRule="auto"/>
        <w:rPr>
          <w:rFonts w:ascii="Arial" w:hAnsi="Arial" w:cs="Arial"/>
        </w:rPr>
      </w:pPr>
      <w:r w:rsidRPr="00A65F75">
        <w:rPr>
          <w:rFonts w:ascii="Arial" w:hAnsi="Arial" w:cs="Arial"/>
        </w:rPr>
        <w:t>Policy and Legislation</w:t>
      </w:r>
    </w:p>
    <w:p w14:paraId="404827E4" w14:textId="77777777" w:rsidR="00906986" w:rsidRPr="00A65F75" w:rsidRDefault="00906986" w:rsidP="00906986">
      <w:pPr>
        <w:spacing w:line="360" w:lineRule="auto"/>
        <w:rPr>
          <w:rFonts w:ascii="Arial" w:hAnsi="Arial" w:cs="Arial"/>
        </w:rPr>
      </w:pPr>
      <w:r w:rsidRPr="00A65F75">
        <w:rPr>
          <w:rFonts w:ascii="Arial" w:hAnsi="Arial" w:cs="Arial"/>
        </w:rPr>
        <w:t>Children Act 1989 forms the legal basis of ensuring that children are not abused and left unattended as it determines the role of local authorities. Nevertheless, it can be constrained by resource limitations and workforce pressures, even with the protection (Spratt and Kennedy, 2021). National public health interventions are now more inclined towards encouraging trauma-informed care in healthcare, education, and social service delivery in an effort to reduce inequalities due to ACEs.</w:t>
      </w:r>
    </w:p>
    <w:p w14:paraId="2B2F227B" w14:textId="77777777" w:rsidR="00906986" w:rsidRPr="00A65F75" w:rsidRDefault="00906986" w:rsidP="00906986">
      <w:pPr>
        <w:pStyle w:val="Heading3"/>
        <w:spacing w:line="360" w:lineRule="auto"/>
        <w:rPr>
          <w:rFonts w:cs="Arial"/>
          <w:sz w:val="22"/>
          <w:szCs w:val="22"/>
        </w:rPr>
      </w:pPr>
      <w:bookmarkStart w:id="35" w:name="_Toc225676708"/>
      <w:r w:rsidRPr="00A65F75">
        <w:rPr>
          <w:rFonts w:cs="Arial"/>
          <w:sz w:val="22"/>
          <w:szCs w:val="22"/>
        </w:rPr>
        <w:t>Implications</w:t>
      </w:r>
      <w:bookmarkEnd w:id="35"/>
    </w:p>
    <w:p w14:paraId="4A4A9B8E" w14:textId="77777777" w:rsidR="00906986" w:rsidRPr="00A65F75" w:rsidRDefault="00906986" w:rsidP="00906986">
      <w:pPr>
        <w:spacing w:line="360" w:lineRule="auto"/>
        <w:rPr>
          <w:rFonts w:ascii="Arial" w:hAnsi="Arial" w:cs="Arial"/>
        </w:rPr>
      </w:pPr>
      <w:r w:rsidRPr="00A65F75">
        <w:rPr>
          <w:rFonts w:ascii="Arial" w:hAnsi="Arial" w:cs="Arial"/>
        </w:rPr>
        <w:t>There are social and healthcare implications of high ACE prevalence in marginalised populations. Childhood adversity leads to a threat of mental health condition, at-risk behaviours, and an augmentation of service demands. The estimated cost of ACE-related health effects in England and Wales, as Hughes et al (2024) demonstrated, is 42.8 billion a year. Prevention and early intervention are available opportunities of recognition of ACEs. The goals of the trauma-informed service models are to enhance the assistance to the affected individuals and decrease long-term inequalities.</w:t>
      </w:r>
    </w:p>
    <w:p w14:paraId="2B3E6C61" w14:textId="18B7C729" w:rsidR="00906986" w:rsidRPr="00A65F75" w:rsidRDefault="00906986" w:rsidP="00906986">
      <w:pPr>
        <w:pStyle w:val="Heading3"/>
        <w:spacing w:line="360" w:lineRule="auto"/>
        <w:rPr>
          <w:rFonts w:cs="Arial"/>
          <w:sz w:val="22"/>
          <w:szCs w:val="22"/>
        </w:rPr>
      </w:pPr>
      <w:bookmarkStart w:id="36" w:name="_Toc225676709"/>
      <w:r w:rsidRPr="00A65F75">
        <w:rPr>
          <w:rFonts w:cs="Arial"/>
          <w:sz w:val="22"/>
          <w:szCs w:val="22"/>
        </w:rPr>
        <w:t>Examples from Selected Articles</w:t>
      </w:r>
      <w:bookmarkEnd w:id="36"/>
    </w:p>
    <w:p w14:paraId="14D09E42" w14:textId="77777777" w:rsidR="00906986" w:rsidRPr="00A65F75" w:rsidRDefault="00906986" w:rsidP="00906986">
      <w:pPr>
        <w:spacing w:line="360" w:lineRule="auto"/>
        <w:rPr>
          <w:rFonts w:ascii="Arial" w:hAnsi="Arial" w:cs="Arial"/>
        </w:rPr>
      </w:pPr>
      <w:r w:rsidRPr="00A65F75">
        <w:rPr>
          <w:rFonts w:ascii="Arial" w:hAnsi="Arial" w:cs="Arial"/>
        </w:rPr>
        <w:t>According to Hughes et al. (2024) and Ford et al. (2024), there is empirical evidence on the socioeconomic distribution of ACEs. Conversely, their survey reported that people who had greater exposure to ACE were more apt to report on financial stress, anxiety, and negative mental effects in the event of economic hardship, consistent with Public Health Wales (2025) observations. This is a depiction of how childhood adversity leads to a lack of resilience in adulthood.</w:t>
      </w:r>
    </w:p>
    <w:p w14:paraId="2253F55D" w14:textId="77777777" w:rsidR="00906986" w:rsidRPr="00A65F75" w:rsidRDefault="00906986" w:rsidP="00906986">
      <w:pPr>
        <w:spacing w:line="360" w:lineRule="auto"/>
        <w:rPr>
          <w:rFonts w:ascii="Arial" w:hAnsi="Arial" w:cs="Arial"/>
        </w:rPr>
      </w:pPr>
      <w:r w:rsidRPr="00A65F75">
        <w:rPr>
          <w:rFonts w:ascii="Arial" w:hAnsi="Arial" w:cs="Arial"/>
        </w:rPr>
        <w:t>Another survey by Khanolkar and Becares (2025) was that two-thirds of people had at least one ACE and almost one in six had four or more. The results demonstrate that ACEs are prevalent but unevenly distributed because disadvantaged groups suffer the most, although misery cuts across the social classes.</w:t>
      </w:r>
    </w:p>
    <w:p w14:paraId="09F8AAC9" w14:textId="77777777" w:rsidR="00906986" w:rsidRPr="00A65F75" w:rsidRDefault="00906986" w:rsidP="00906986">
      <w:pPr>
        <w:pStyle w:val="Heading3"/>
        <w:spacing w:line="360" w:lineRule="auto"/>
        <w:rPr>
          <w:rFonts w:cs="Arial"/>
          <w:sz w:val="22"/>
          <w:szCs w:val="22"/>
        </w:rPr>
      </w:pPr>
      <w:bookmarkStart w:id="37" w:name="_Toc225676710"/>
      <w:r w:rsidRPr="00A65F75">
        <w:rPr>
          <w:rFonts w:cs="Arial"/>
          <w:sz w:val="22"/>
          <w:szCs w:val="22"/>
        </w:rPr>
        <w:t>Connections to Other Themes</w:t>
      </w:r>
      <w:bookmarkEnd w:id="37"/>
    </w:p>
    <w:p w14:paraId="23BC84C3" w14:textId="77777777" w:rsidR="00906986" w:rsidRPr="00A65F75" w:rsidRDefault="00906986" w:rsidP="00906986">
      <w:pPr>
        <w:spacing w:line="360" w:lineRule="auto"/>
        <w:rPr>
          <w:rFonts w:ascii="Arial" w:hAnsi="Arial" w:cs="Arial"/>
        </w:rPr>
      </w:pPr>
      <w:r w:rsidRPr="00A65F75">
        <w:rPr>
          <w:rFonts w:ascii="Arial" w:hAnsi="Arial" w:cs="Arial"/>
        </w:rPr>
        <w:t>The theme is a basis of further discussions of cumulative exposure to ACE and mental health outcomes in the future. Health systems may be unable to support the complex needs of individuals with an experience of early-life adversity without dealing with ACE prevalence.</w:t>
      </w:r>
    </w:p>
    <w:p w14:paraId="4F1C8D97" w14:textId="79DDE815" w:rsidR="00026B89" w:rsidRPr="00A65F75" w:rsidRDefault="00026B89" w:rsidP="00D11EC7">
      <w:pPr>
        <w:pStyle w:val="Heading2"/>
        <w:spacing w:line="360" w:lineRule="auto"/>
        <w:rPr>
          <w:rFonts w:cs="Arial"/>
          <w:sz w:val="22"/>
          <w:szCs w:val="22"/>
        </w:rPr>
      </w:pPr>
      <w:bookmarkStart w:id="38" w:name="_Toc225676711"/>
      <w:r w:rsidRPr="00A65F75">
        <w:rPr>
          <w:rFonts w:cs="Arial"/>
          <w:sz w:val="22"/>
          <w:szCs w:val="22"/>
        </w:rPr>
        <w:t xml:space="preserve">4.4 – Theme 2: Links </w:t>
      </w:r>
      <w:r w:rsidR="00911E4D" w:rsidRPr="00A65F75">
        <w:rPr>
          <w:rFonts w:cs="Arial"/>
          <w:sz w:val="22"/>
          <w:szCs w:val="22"/>
        </w:rPr>
        <w:t>between</w:t>
      </w:r>
      <w:r w:rsidRPr="00A65F75">
        <w:rPr>
          <w:rFonts w:cs="Arial"/>
          <w:sz w:val="22"/>
          <w:szCs w:val="22"/>
        </w:rPr>
        <w:t xml:space="preserve"> Cumulative ACE Exposure and Long-Term Mental Health Outcomes</w:t>
      </w:r>
      <w:bookmarkEnd w:id="38"/>
    </w:p>
    <w:p w14:paraId="1570A90F" w14:textId="77777777" w:rsidR="00026B89" w:rsidRPr="00A65F75" w:rsidRDefault="00026B89" w:rsidP="00D11EC7">
      <w:pPr>
        <w:pStyle w:val="Heading3"/>
        <w:spacing w:line="360" w:lineRule="auto"/>
        <w:rPr>
          <w:rFonts w:cs="Arial"/>
          <w:sz w:val="22"/>
          <w:szCs w:val="22"/>
        </w:rPr>
      </w:pPr>
      <w:bookmarkStart w:id="39" w:name="_Toc225676712"/>
      <w:r w:rsidRPr="00A65F75">
        <w:rPr>
          <w:rFonts w:cs="Arial"/>
          <w:sz w:val="22"/>
          <w:szCs w:val="22"/>
        </w:rPr>
        <w:t>Definition</w:t>
      </w:r>
      <w:bookmarkEnd w:id="39"/>
    </w:p>
    <w:p w14:paraId="1E1257B4" w14:textId="4243E4BB" w:rsidR="00026B89" w:rsidRPr="00A65F75" w:rsidRDefault="00026B89" w:rsidP="00D11EC7">
      <w:pPr>
        <w:spacing w:line="360" w:lineRule="auto"/>
        <w:rPr>
          <w:rFonts w:ascii="Arial" w:hAnsi="Arial" w:cs="Arial"/>
        </w:rPr>
      </w:pPr>
      <w:r w:rsidRPr="00A65F75">
        <w:rPr>
          <w:rFonts w:ascii="Arial" w:hAnsi="Arial" w:cs="Arial"/>
        </w:rPr>
        <w:t xml:space="preserve">The cumulative ACEs are the sum of all traumatic or stressful childhood experiences, and a high ACE score means that one was exposed to various types of adversity (Sødal et al. 2023). The studies show the dose-response, the more ACEs the higher the risk of experiencing negative health and mental health consequences. </w:t>
      </w:r>
      <w:r w:rsidR="00CA085B" w:rsidRPr="00A65F75">
        <w:rPr>
          <w:rFonts w:ascii="Arial" w:hAnsi="Arial" w:cs="Arial"/>
        </w:rPr>
        <w:t>However, p</w:t>
      </w:r>
      <w:r w:rsidRPr="00A65F75">
        <w:rPr>
          <w:rFonts w:ascii="Arial" w:hAnsi="Arial" w:cs="Arial"/>
        </w:rPr>
        <w:t>eople do not face a particular ACE singularly; there is a high likelihood of a combination of ACEs affecting the psychological wellbeing in the long-term. This theme examines cumulative exposure to ACE and its relationship with mental health outcomes in the marginalised populations in England and Wales.</w:t>
      </w:r>
    </w:p>
    <w:p w14:paraId="40BB5128" w14:textId="77777777" w:rsidR="00026B89" w:rsidRPr="00A65F75" w:rsidRDefault="00026B89" w:rsidP="00D11EC7">
      <w:pPr>
        <w:pStyle w:val="Heading3"/>
        <w:spacing w:line="360" w:lineRule="auto"/>
        <w:rPr>
          <w:rFonts w:cs="Arial"/>
          <w:sz w:val="22"/>
          <w:szCs w:val="22"/>
        </w:rPr>
      </w:pPr>
      <w:bookmarkStart w:id="40" w:name="_Toc225676713"/>
      <w:r w:rsidRPr="00A65F75">
        <w:rPr>
          <w:rFonts w:cs="Arial"/>
          <w:sz w:val="22"/>
          <w:szCs w:val="22"/>
        </w:rPr>
        <w:t>Background Information</w:t>
      </w:r>
      <w:bookmarkEnd w:id="40"/>
    </w:p>
    <w:p w14:paraId="6D255148" w14:textId="5F8BD021" w:rsidR="00026B89" w:rsidRPr="00A65F75" w:rsidRDefault="00026B89" w:rsidP="00D11EC7">
      <w:pPr>
        <w:spacing w:line="360" w:lineRule="auto"/>
        <w:rPr>
          <w:rFonts w:ascii="Arial" w:hAnsi="Arial" w:cs="Arial"/>
        </w:rPr>
      </w:pPr>
      <w:r w:rsidRPr="00A65F75">
        <w:rPr>
          <w:rFonts w:ascii="Arial" w:hAnsi="Arial" w:cs="Arial"/>
        </w:rPr>
        <w:t>Mental health trajectory is found to be greatly influenced by exposure to ACE throughout the whole life cycle (</w:t>
      </w:r>
      <w:r w:rsidR="00C6457E" w:rsidRPr="00A65F75">
        <w:rPr>
          <w:rFonts w:ascii="Arial" w:hAnsi="Arial" w:cs="Arial"/>
        </w:rPr>
        <w:t xml:space="preserve">(Jahanshahi et al. 2022). </w:t>
      </w:r>
      <w:r w:rsidRPr="00A65F75">
        <w:rPr>
          <w:rFonts w:ascii="Arial" w:hAnsi="Arial" w:cs="Arial"/>
        </w:rPr>
        <w:t xml:space="preserve">Moxey et al. </w:t>
      </w:r>
      <w:r w:rsidR="00C6457E" w:rsidRPr="00A65F75">
        <w:rPr>
          <w:rFonts w:ascii="Arial" w:hAnsi="Arial" w:cs="Arial"/>
        </w:rPr>
        <w:t>(</w:t>
      </w:r>
      <w:r w:rsidRPr="00A65F75">
        <w:rPr>
          <w:rFonts w:ascii="Arial" w:hAnsi="Arial" w:cs="Arial"/>
        </w:rPr>
        <w:t>2025)</w:t>
      </w:r>
      <w:r w:rsidR="00C6457E" w:rsidRPr="00A65F75">
        <w:rPr>
          <w:rFonts w:ascii="Arial" w:hAnsi="Arial" w:cs="Arial"/>
        </w:rPr>
        <w:t xml:space="preserve"> shared the view of Jahanshahi et al. (2022) observing that ACEs are </w:t>
      </w:r>
      <w:r w:rsidRPr="00A65F75">
        <w:rPr>
          <w:rFonts w:ascii="Arial" w:hAnsi="Arial" w:cs="Arial"/>
        </w:rPr>
        <w:t xml:space="preserve">linked with depression, anxiety, substance misuse and behavioural addictions. The ACE exposure is often overlapping with structural disadvantage, especially childhood poverty. The defined social and psychological disadvantage leads to the predisposition to the bad psychological health and causes intergenerational imbalance. Analysing the cumulative ACE effect </w:t>
      </w:r>
      <w:r w:rsidR="00C6457E" w:rsidRPr="00A65F75">
        <w:rPr>
          <w:rFonts w:ascii="Arial" w:hAnsi="Arial" w:cs="Arial"/>
        </w:rPr>
        <w:t>suggests</w:t>
      </w:r>
      <w:r w:rsidRPr="00A65F75">
        <w:rPr>
          <w:rFonts w:ascii="Arial" w:hAnsi="Arial" w:cs="Arial"/>
        </w:rPr>
        <w:t xml:space="preserve"> an understanding on why the marginalised groups have increased mental health challenges in adulthood.</w:t>
      </w:r>
    </w:p>
    <w:p w14:paraId="4BAC2A9F" w14:textId="77777777" w:rsidR="00026B89" w:rsidRPr="00A65F75" w:rsidRDefault="00026B89" w:rsidP="00D11EC7">
      <w:pPr>
        <w:pStyle w:val="Heading3"/>
        <w:spacing w:line="360" w:lineRule="auto"/>
        <w:rPr>
          <w:rFonts w:cs="Arial"/>
          <w:sz w:val="22"/>
          <w:szCs w:val="22"/>
        </w:rPr>
      </w:pPr>
      <w:bookmarkStart w:id="41" w:name="_Toc225676714"/>
      <w:r w:rsidRPr="00A65F75">
        <w:rPr>
          <w:rFonts w:cs="Arial"/>
          <w:sz w:val="22"/>
          <w:szCs w:val="22"/>
        </w:rPr>
        <w:t>Impact on Research Question</w:t>
      </w:r>
      <w:bookmarkEnd w:id="41"/>
    </w:p>
    <w:p w14:paraId="26EBEC28" w14:textId="44D8A473" w:rsidR="00026B89" w:rsidRPr="00A65F75" w:rsidRDefault="00026B89" w:rsidP="00D11EC7">
      <w:pPr>
        <w:spacing w:line="360" w:lineRule="auto"/>
        <w:rPr>
          <w:rFonts w:ascii="Arial" w:hAnsi="Arial" w:cs="Arial"/>
        </w:rPr>
      </w:pPr>
      <w:r w:rsidRPr="00A65F75">
        <w:rPr>
          <w:rFonts w:ascii="Arial" w:hAnsi="Arial" w:cs="Arial"/>
        </w:rPr>
        <w:t xml:space="preserve">The theme is relevant underpinning the outcomes of the long-term mental health of marginalised populations at the centre of the research. </w:t>
      </w:r>
      <w:r w:rsidR="000802EF" w:rsidRPr="00A65F75">
        <w:rPr>
          <w:rFonts w:ascii="Arial" w:hAnsi="Arial" w:cs="Arial"/>
        </w:rPr>
        <w:t>Importantly, t</w:t>
      </w:r>
      <w:r w:rsidRPr="00A65F75">
        <w:rPr>
          <w:rFonts w:ascii="Arial" w:hAnsi="Arial" w:cs="Arial"/>
        </w:rPr>
        <w:t>he interaction of cumulative ACE exposure with socioeconomic factors, including poverty, helps the perception of how early adversity causes inequalities in health between adults</w:t>
      </w:r>
      <w:r w:rsidR="00C6457E" w:rsidRPr="00A65F75">
        <w:rPr>
          <w:rFonts w:ascii="Arial" w:hAnsi="Arial" w:cs="Arial"/>
        </w:rPr>
        <w:t>, as Jahanshahi et al. (2022) inferred</w:t>
      </w:r>
      <w:r w:rsidRPr="00A65F75">
        <w:rPr>
          <w:rFonts w:ascii="Arial" w:hAnsi="Arial" w:cs="Arial"/>
        </w:rPr>
        <w:t>. The findings of this review can be applied to the NHS healthcare practice by emphasizing the role of trauma-informed care when working with individuals with a history of adversity during childhood.</w:t>
      </w:r>
    </w:p>
    <w:p w14:paraId="43CF7E91" w14:textId="77777777" w:rsidR="00026B89" w:rsidRPr="00A65F75" w:rsidRDefault="00026B89" w:rsidP="00D11EC7">
      <w:pPr>
        <w:pStyle w:val="Heading3"/>
        <w:spacing w:line="360" w:lineRule="auto"/>
        <w:rPr>
          <w:rFonts w:cs="Arial"/>
          <w:sz w:val="22"/>
          <w:szCs w:val="22"/>
        </w:rPr>
      </w:pPr>
      <w:bookmarkStart w:id="42" w:name="_Toc225676715"/>
      <w:r w:rsidRPr="00A65F75">
        <w:rPr>
          <w:rFonts w:cs="Arial"/>
          <w:sz w:val="22"/>
          <w:szCs w:val="22"/>
        </w:rPr>
        <w:t>Statistical Information</w:t>
      </w:r>
      <w:bookmarkEnd w:id="42"/>
    </w:p>
    <w:p w14:paraId="0830D049" w14:textId="64C9DC7D" w:rsidR="00026B89" w:rsidRPr="00A65F75" w:rsidRDefault="00026B89" w:rsidP="00D11EC7">
      <w:pPr>
        <w:spacing w:line="360" w:lineRule="auto"/>
        <w:rPr>
          <w:rFonts w:ascii="Arial" w:hAnsi="Arial" w:cs="Arial"/>
        </w:rPr>
      </w:pPr>
      <w:r w:rsidRPr="00A65F75">
        <w:rPr>
          <w:rFonts w:ascii="Arial" w:hAnsi="Arial" w:cs="Arial"/>
        </w:rPr>
        <w:t xml:space="preserve">A definite relationship is seen between cumulative ACEs and long-term health outcomes that has been proved empirically. </w:t>
      </w:r>
      <w:r w:rsidR="00C6457E" w:rsidRPr="00A65F75">
        <w:rPr>
          <w:rFonts w:ascii="Arial" w:hAnsi="Arial" w:cs="Arial"/>
        </w:rPr>
        <w:t>Sødal et al. (2023) demonstrated an increase in unemployment and long-term sickness connected to ACE exposure, 3.8 to 5.9 in more affluent groups. In addition, psychological impacts of ACEs are presented through behavioural addictions. The findings of Bellis et al. (2025) were consistent with the observations of Sødal et al. (2023) in</w:t>
      </w:r>
      <w:r w:rsidRPr="00A65F75">
        <w:rPr>
          <w:rFonts w:ascii="Arial" w:hAnsi="Arial" w:cs="Arial"/>
        </w:rPr>
        <w:t xml:space="preserve"> their survey of 5,330 adults in northwest England, </w:t>
      </w:r>
      <w:r w:rsidR="00C52F6E" w:rsidRPr="00A65F75">
        <w:rPr>
          <w:rFonts w:ascii="Arial" w:hAnsi="Arial" w:cs="Arial"/>
        </w:rPr>
        <w:t xml:space="preserve">noting </w:t>
      </w:r>
      <w:r w:rsidRPr="00A65F75">
        <w:rPr>
          <w:rFonts w:ascii="Arial" w:hAnsi="Arial" w:cs="Arial"/>
        </w:rPr>
        <w:t xml:space="preserve">that adjusted prevalence of poor health in people who had no ACEs in the wealthiest childhood categories increased to 45.2 in those with four or more ACEs in poorer childhood categories, which showed a dose-response relationship. Similarly, </w:t>
      </w:r>
      <w:r w:rsidR="00C52F6E" w:rsidRPr="00A65F75">
        <w:rPr>
          <w:rFonts w:ascii="Arial" w:hAnsi="Arial" w:cs="Arial"/>
        </w:rPr>
        <w:t>a</w:t>
      </w:r>
      <w:r w:rsidRPr="00A65F75">
        <w:rPr>
          <w:rFonts w:ascii="Arial" w:hAnsi="Arial" w:cs="Arial"/>
        </w:rPr>
        <w:t>ccording to Moxey et al. (2025), 81.1 and 40.5 percent of people who sought the treatment of gambling issues reported at least one and four or more ACE respectively which is significantly higher than national estimates. ACE was highest in severe gambling problems, which indicated that childhood adversity is a contributor to maladaptive coping behaviours.</w:t>
      </w:r>
    </w:p>
    <w:p w14:paraId="53B32E73" w14:textId="77777777" w:rsidR="00026B89" w:rsidRPr="00A65F75" w:rsidRDefault="00026B89" w:rsidP="00D11EC7">
      <w:pPr>
        <w:pStyle w:val="Heading3"/>
        <w:spacing w:line="360" w:lineRule="auto"/>
        <w:rPr>
          <w:rFonts w:cs="Arial"/>
          <w:sz w:val="22"/>
          <w:szCs w:val="22"/>
        </w:rPr>
      </w:pPr>
      <w:bookmarkStart w:id="43" w:name="_Toc225676716"/>
      <w:r w:rsidRPr="00A65F75">
        <w:rPr>
          <w:rFonts w:cs="Arial"/>
          <w:sz w:val="22"/>
          <w:szCs w:val="22"/>
        </w:rPr>
        <w:t>Theories, Policies, and Legislation</w:t>
      </w:r>
      <w:bookmarkEnd w:id="43"/>
    </w:p>
    <w:p w14:paraId="1C09D8E2" w14:textId="77777777" w:rsidR="00026B89" w:rsidRPr="00A65F75" w:rsidRDefault="00026B89" w:rsidP="00D11EC7">
      <w:pPr>
        <w:spacing w:line="360" w:lineRule="auto"/>
        <w:rPr>
          <w:rFonts w:ascii="Arial" w:hAnsi="Arial" w:cs="Arial"/>
        </w:rPr>
      </w:pPr>
      <w:r w:rsidRPr="00A65F75">
        <w:rPr>
          <w:rFonts w:ascii="Arial" w:hAnsi="Arial" w:cs="Arial"/>
        </w:rPr>
        <w:t>Theoretical Framework</w:t>
      </w:r>
    </w:p>
    <w:p w14:paraId="40D2072E" w14:textId="2B38F63C" w:rsidR="00026B89" w:rsidRPr="00A65F75" w:rsidRDefault="00026B89" w:rsidP="00D11EC7">
      <w:pPr>
        <w:spacing w:line="360" w:lineRule="auto"/>
        <w:rPr>
          <w:rFonts w:ascii="Arial" w:hAnsi="Arial" w:cs="Arial"/>
        </w:rPr>
      </w:pPr>
      <w:r w:rsidRPr="00A65F75">
        <w:rPr>
          <w:rFonts w:ascii="Arial" w:hAnsi="Arial" w:cs="Arial"/>
        </w:rPr>
        <w:t xml:space="preserve">Life-course theory presents that in the long-term, health follows early life experiences. Prolonged stress-inducing experiences in childhood have the potential to modify stress-response systems to make adults more susceptible to psychological distortions. </w:t>
      </w:r>
      <w:r w:rsidR="007066FD" w:rsidRPr="00A65F75">
        <w:rPr>
          <w:rFonts w:ascii="Arial" w:hAnsi="Arial" w:cs="Arial"/>
        </w:rPr>
        <w:t xml:space="preserve">According to </w:t>
      </w:r>
      <w:r w:rsidRPr="00A65F75">
        <w:rPr>
          <w:rFonts w:ascii="Arial" w:hAnsi="Arial" w:cs="Arial"/>
        </w:rPr>
        <w:t>Farooq et al. (2024) the results of Avon Longitudinal Study (n=8,859), which demonstrated that poverty in pregnancy was associated with a higher risk of a high ACE exposure, especially when there was disharmony in the early-to-mid childhood (4.7 times higher risk).</w:t>
      </w:r>
    </w:p>
    <w:p w14:paraId="546A4893" w14:textId="77777777" w:rsidR="00026B89" w:rsidRPr="00A65F75" w:rsidRDefault="00026B89" w:rsidP="00D11EC7">
      <w:pPr>
        <w:spacing w:line="360" w:lineRule="auto"/>
        <w:rPr>
          <w:rFonts w:ascii="Arial" w:hAnsi="Arial" w:cs="Arial"/>
        </w:rPr>
      </w:pPr>
      <w:r w:rsidRPr="00A65F75">
        <w:rPr>
          <w:rFonts w:ascii="Arial" w:hAnsi="Arial" w:cs="Arial"/>
        </w:rPr>
        <w:t>Policy and Legislation</w:t>
      </w:r>
    </w:p>
    <w:p w14:paraId="0C6F1994" w14:textId="77777777" w:rsidR="00026B89" w:rsidRPr="00A65F75" w:rsidRDefault="00026B89" w:rsidP="00D11EC7">
      <w:pPr>
        <w:spacing w:line="360" w:lineRule="auto"/>
        <w:rPr>
          <w:rFonts w:ascii="Arial" w:hAnsi="Arial" w:cs="Arial"/>
        </w:rPr>
      </w:pPr>
      <w:r w:rsidRPr="00A65F75">
        <w:rPr>
          <w:rFonts w:ascii="Arial" w:hAnsi="Arial" w:cs="Arial"/>
        </w:rPr>
        <w:t>The results serve to support the necessity of trauma-based approach in NHS. Programmes based on ACE-inspired intervention and early intervention would seek to recognize vulnerable individuals in advance and offer the targeted assistance (Farooq et al. 2024) that would focus not only on psychological trauma but also on the social vulnerability.</w:t>
      </w:r>
    </w:p>
    <w:p w14:paraId="1D350501" w14:textId="77777777" w:rsidR="00026B89" w:rsidRPr="00A65F75" w:rsidRDefault="00026B89" w:rsidP="00D11EC7">
      <w:pPr>
        <w:pStyle w:val="Heading3"/>
        <w:spacing w:line="360" w:lineRule="auto"/>
        <w:rPr>
          <w:rFonts w:cs="Arial"/>
          <w:sz w:val="22"/>
          <w:szCs w:val="22"/>
        </w:rPr>
      </w:pPr>
      <w:bookmarkStart w:id="44" w:name="_Toc225676717"/>
      <w:r w:rsidRPr="00A65F75">
        <w:rPr>
          <w:rFonts w:cs="Arial"/>
          <w:sz w:val="22"/>
          <w:szCs w:val="22"/>
        </w:rPr>
        <w:t>Implications</w:t>
      </w:r>
      <w:bookmarkEnd w:id="44"/>
    </w:p>
    <w:p w14:paraId="160DC0B9" w14:textId="2C91B2F0" w:rsidR="00026B89" w:rsidRPr="00A65F75" w:rsidRDefault="00026B89" w:rsidP="00D11EC7">
      <w:pPr>
        <w:spacing w:line="360" w:lineRule="auto"/>
        <w:rPr>
          <w:rFonts w:ascii="Arial" w:hAnsi="Arial" w:cs="Arial"/>
        </w:rPr>
      </w:pPr>
      <w:r w:rsidRPr="00A65F75">
        <w:rPr>
          <w:rFonts w:ascii="Arial" w:hAnsi="Arial" w:cs="Arial"/>
        </w:rPr>
        <w:t>The overall effect of ACEs is of great health and social care significance. Trauma-informed care will be beneficial in order to enable the work with vulnerable groups, and ACE screening can allow practitioners to recognize the root causes of mental health challenges</w:t>
      </w:r>
      <w:r w:rsidR="00C52F6E" w:rsidRPr="00A65F75">
        <w:rPr>
          <w:rFonts w:ascii="Arial" w:hAnsi="Arial" w:cs="Arial"/>
        </w:rPr>
        <w:t>, consistent with Bellis et al. (2025) suppositions</w:t>
      </w:r>
      <w:r w:rsidRPr="00A65F75">
        <w:rPr>
          <w:rFonts w:ascii="Arial" w:hAnsi="Arial" w:cs="Arial"/>
        </w:rPr>
        <w:t>. Nevertheless, the risk of re-traumatisation or insufficient follow-up because of the identification of the ACE exposure without the necessary support is very high, which is why interventions and therapeutic and social services are necessary.</w:t>
      </w:r>
    </w:p>
    <w:p w14:paraId="28A72604" w14:textId="77777777" w:rsidR="00026B89" w:rsidRPr="00A65F75" w:rsidRDefault="00026B89" w:rsidP="00D11EC7">
      <w:pPr>
        <w:pStyle w:val="Heading3"/>
        <w:spacing w:line="360" w:lineRule="auto"/>
        <w:rPr>
          <w:rFonts w:cs="Arial"/>
          <w:sz w:val="22"/>
          <w:szCs w:val="22"/>
        </w:rPr>
      </w:pPr>
      <w:bookmarkStart w:id="45" w:name="_Toc225676718"/>
      <w:r w:rsidRPr="00A65F75">
        <w:rPr>
          <w:rFonts w:cs="Arial"/>
          <w:sz w:val="22"/>
          <w:szCs w:val="22"/>
        </w:rPr>
        <w:t>Examples from Selected Articles</w:t>
      </w:r>
      <w:bookmarkEnd w:id="45"/>
    </w:p>
    <w:p w14:paraId="2F6A32C2" w14:textId="6D6B187E" w:rsidR="00026B89" w:rsidRPr="00A65F75" w:rsidRDefault="00026B89" w:rsidP="00D11EC7">
      <w:pPr>
        <w:spacing w:line="360" w:lineRule="auto"/>
        <w:rPr>
          <w:rFonts w:ascii="Arial" w:hAnsi="Arial" w:cs="Arial"/>
        </w:rPr>
      </w:pPr>
      <w:r w:rsidRPr="00A65F75">
        <w:rPr>
          <w:rFonts w:ascii="Arial" w:hAnsi="Arial" w:cs="Arial"/>
        </w:rPr>
        <w:t>Sødal et al. (2023) investigated the ACE-related trauma in Black people in the UK and discovered that sensitive conversations about ACEs were more effective to find an entry point to mental health services, and traditional questionnaires did not detect the most complex experiences.</w:t>
      </w:r>
      <w:r w:rsidR="007066FD" w:rsidRPr="00A65F75">
        <w:rPr>
          <w:rFonts w:ascii="Arial" w:hAnsi="Arial" w:cs="Arial"/>
        </w:rPr>
        <w:t xml:space="preserve"> Further, </w:t>
      </w:r>
      <w:r w:rsidRPr="00A65F75">
        <w:rPr>
          <w:rFonts w:ascii="Arial" w:hAnsi="Arial" w:cs="Arial"/>
        </w:rPr>
        <w:t xml:space="preserve">Moxey et al. (2025) emphasized that childhood adversity leads to maladaptive coping e.g. gambling to cope with unresolved trauma. The findings of Bellis et al. (2025) supported </w:t>
      </w:r>
      <w:r w:rsidR="00C52F6E" w:rsidRPr="00A65F75">
        <w:rPr>
          <w:rFonts w:ascii="Arial" w:hAnsi="Arial" w:cs="Arial"/>
        </w:rPr>
        <w:t xml:space="preserve">the conclusion of Sødal et al. (2023) pointing to </w:t>
      </w:r>
      <w:r w:rsidRPr="00A65F75">
        <w:rPr>
          <w:rFonts w:ascii="Arial" w:hAnsi="Arial" w:cs="Arial"/>
        </w:rPr>
        <w:t>ACE exposure as a predictor of poor health, even after controlling the impact of childhood poverty, supporting the importance of ACEs as a noteworthy risk factor of mental health in comparison to socioeconomic disadvantage.</w:t>
      </w:r>
    </w:p>
    <w:p w14:paraId="182A0503" w14:textId="77777777" w:rsidR="00026B89" w:rsidRPr="00A65F75" w:rsidRDefault="00026B89" w:rsidP="00D11EC7">
      <w:pPr>
        <w:pStyle w:val="Heading3"/>
        <w:spacing w:line="360" w:lineRule="auto"/>
        <w:rPr>
          <w:rFonts w:cs="Arial"/>
          <w:sz w:val="22"/>
          <w:szCs w:val="22"/>
        </w:rPr>
      </w:pPr>
      <w:bookmarkStart w:id="46" w:name="_Toc225676719"/>
      <w:r w:rsidRPr="00A65F75">
        <w:rPr>
          <w:rFonts w:cs="Arial"/>
          <w:sz w:val="22"/>
          <w:szCs w:val="22"/>
        </w:rPr>
        <w:t>Connections to Other Themes</w:t>
      </w:r>
      <w:bookmarkEnd w:id="46"/>
    </w:p>
    <w:p w14:paraId="1F0EF0F9" w14:textId="77777777" w:rsidR="00026B89" w:rsidRPr="00A65F75" w:rsidRDefault="00026B89" w:rsidP="00D11EC7">
      <w:pPr>
        <w:spacing w:line="360" w:lineRule="auto"/>
        <w:rPr>
          <w:rFonts w:ascii="Arial" w:hAnsi="Arial" w:cs="Arial"/>
        </w:rPr>
      </w:pPr>
      <w:r w:rsidRPr="00A65F75">
        <w:rPr>
          <w:rFonts w:ascii="Arial" w:hAnsi="Arial" w:cs="Arial"/>
        </w:rPr>
        <w:t>This theme offers a continuation of the socioeconomic allocation of ACEs discussion as it reveals how exposure is converted into mental health outcomes in the long-term. The psychological effect of ACEs affects marginalised populations more, who are not only more exposed to them. The results underscore the relevance of NHS services based on trauma. The third theme will assess the blending of trauma-informed strategies in mental health and social care service while evaluating their effectiveness in treating the effects of ACE.</w:t>
      </w:r>
    </w:p>
    <w:p w14:paraId="69D217B7" w14:textId="77777777" w:rsidR="00906986" w:rsidRPr="00A65F75" w:rsidRDefault="00906986" w:rsidP="00906986">
      <w:pPr>
        <w:pStyle w:val="Heading2"/>
        <w:spacing w:line="360" w:lineRule="auto"/>
        <w:rPr>
          <w:rFonts w:cs="Arial"/>
          <w:sz w:val="22"/>
          <w:szCs w:val="22"/>
        </w:rPr>
      </w:pPr>
      <w:bookmarkStart w:id="47" w:name="_Toc225676720"/>
      <w:r w:rsidRPr="00A65F75">
        <w:rPr>
          <w:rFonts w:cs="Arial"/>
          <w:sz w:val="22"/>
          <w:szCs w:val="22"/>
        </w:rPr>
        <w:t>4.5 – Theme 3: Integration of Trauma-Informed Approaches in NHS Mental Health and Social Care Services</w:t>
      </w:r>
      <w:bookmarkEnd w:id="47"/>
    </w:p>
    <w:p w14:paraId="3BE4B9F9" w14:textId="77777777" w:rsidR="00906986" w:rsidRPr="00A65F75" w:rsidRDefault="00906986" w:rsidP="00906986">
      <w:pPr>
        <w:pStyle w:val="Heading3"/>
        <w:spacing w:line="360" w:lineRule="auto"/>
        <w:rPr>
          <w:rFonts w:cs="Arial"/>
          <w:sz w:val="22"/>
          <w:szCs w:val="22"/>
        </w:rPr>
      </w:pPr>
      <w:bookmarkStart w:id="48" w:name="_Toc225676721"/>
      <w:r w:rsidRPr="00A65F75">
        <w:rPr>
          <w:rFonts w:cs="Arial"/>
          <w:sz w:val="22"/>
          <w:szCs w:val="22"/>
        </w:rPr>
        <w:t>Definition</w:t>
      </w:r>
      <w:bookmarkEnd w:id="48"/>
    </w:p>
    <w:p w14:paraId="50BF4DE9" w14:textId="4C545D71" w:rsidR="00906986" w:rsidRPr="00A65F75" w:rsidRDefault="00906986" w:rsidP="00906986">
      <w:pPr>
        <w:spacing w:line="360" w:lineRule="auto"/>
        <w:rPr>
          <w:rFonts w:ascii="Arial" w:hAnsi="Arial" w:cs="Arial"/>
        </w:rPr>
      </w:pPr>
      <w:r w:rsidRPr="00A65F75">
        <w:rPr>
          <w:rFonts w:ascii="Arial" w:hAnsi="Arial" w:cs="Arial"/>
        </w:rPr>
        <w:t xml:space="preserve">Trauma-informed care (TIC) is an organisational and clinical model acknowledging the prevalence of trauma and aimed at preventing re-traumatisation as well as facilitating recovery. Morrissey and Higgins, (2022) depict that instead of telling the symptoms only, TIC focuses on how the past adversity, such as ACEs, can influence the psychological health and service use. According to Emsley et al. (2022), TIC is characterized by system-wide culture and policy alteration, as well as professional practice, which </w:t>
      </w:r>
      <w:r w:rsidR="000B554A" w:rsidRPr="00A65F75">
        <w:rPr>
          <w:rFonts w:ascii="Arial" w:hAnsi="Arial" w:cs="Arial"/>
        </w:rPr>
        <w:t>instils</w:t>
      </w:r>
      <w:r w:rsidRPr="00A65F75">
        <w:rPr>
          <w:rFonts w:ascii="Arial" w:hAnsi="Arial" w:cs="Arial"/>
        </w:rPr>
        <w:t xml:space="preserve"> values like safety, trust, collaboration, and empowerment in day-to-day NHS mental health and social care.</w:t>
      </w:r>
    </w:p>
    <w:p w14:paraId="561CD649" w14:textId="77777777" w:rsidR="00906986" w:rsidRPr="00A65F75" w:rsidRDefault="00906986" w:rsidP="00906986">
      <w:pPr>
        <w:pStyle w:val="Heading3"/>
        <w:spacing w:line="360" w:lineRule="auto"/>
        <w:rPr>
          <w:rFonts w:cs="Arial"/>
          <w:sz w:val="22"/>
          <w:szCs w:val="22"/>
        </w:rPr>
      </w:pPr>
      <w:bookmarkStart w:id="49" w:name="_Toc225676722"/>
      <w:r w:rsidRPr="00A65F75">
        <w:rPr>
          <w:rFonts w:cs="Arial"/>
          <w:sz w:val="22"/>
          <w:szCs w:val="22"/>
        </w:rPr>
        <w:t>Background Information</w:t>
      </w:r>
      <w:bookmarkEnd w:id="49"/>
    </w:p>
    <w:p w14:paraId="2B5584EA" w14:textId="77777777" w:rsidR="00906986" w:rsidRPr="00A65F75" w:rsidRDefault="00906986" w:rsidP="00906986">
      <w:pPr>
        <w:spacing w:line="360" w:lineRule="auto"/>
        <w:rPr>
          <w:rFonts w:ascii="Arial" w:hAnsi="Arial" w:cs="Arial"/>
        </w:rPr>
      </w:pPr>
      <w:r w:rsidRPr="00A65F75">
        <w:rPr>
          <w:rFonts w:ascii="Arial" w:hAnsi="Arial" w:cs="Arial"/>
        </w:rPr>
        <w:t>Trauma-informed care has gained attention in the UK following the interest in the long-term outcomes of ACEs. Abraham (2024) agreed with Morrissey and Higgins, (2022) showing that that a large proportion of NHS service users have endured childhood adversity which underscores the necessity of trauma-responsive services. Implementation has not been even. Conversely, despite reference to TIC principles in policy, no NHS-wide strategy exists, and its implementation depends on local efforts.</w:t>
      </w:r>
    </w:p>
    <w:p w14:paraId="0AD8C90C" w14:textId="77777777" w:rsidR="00906986" w:rsidRPr="00A65F75" w:rsidRDefault="00906986" w:rsidP="00906986">
      <w:pPr>
        <w:pStyle w:val="Heading3"/>
        <w:spacing w:line="360" w:lineRule="auto"/>
        <w:rPr>
          <w:rFonts w:cs="Arial"/>
          <w:sz w:val="22"/>
          <w:szCs w:val="22"/>
        </w:rPr>
      </w:pPr>
      <w:bookmarkStart w:id="50" w:name="_Toc225676723"/>
      <w:r w:rsidRPr="00A65F75">
        <w:rPr>
          <w:rFonts w:cs="Arial"/>
          <w:sz w:val="22"/>
          <w:szCs w:val="22"/>
        </w:rPr>
        <w:t>Impact on Research Question</w:t>
      </w:r>
      <w:bookmarkEnd w:id="50"/>
    </w:p>
    <w:p w14:paraId="39A58223" w14:textId="77777777" w:rsidR="00906986" w:rsidRPr="00A65F75" w:rsidRDefault="00906986" w:rsidP="00906986">
      <w:pPr>
        <w:spacing w:line="360" w:lineRule="auto"/>
        <w:rPr>
          <w:rFonts w:ascii="Arial" w:hAnsi="Arial" w:cs="Arial"/>
        </w:rPr>
      </w:pPr>
      <w:r w:rsidRPr="00A65F75">
        <w:rPr>
          <w:rFonts w:ascii="Arial" w:hAnsi="Arial" w:cs="Arial"/>
        </w:rPr>
        <w:t>The inclusion of TIC is directly applicable in the study of the long-term psychological health outcomes of ACEs in marginalised groups. In effect, those who have early adversity are more susceptible to complex trauma and social disadvantage and, in this case, need services that can adequately respond (Edelman, 2023; Emsley et al. 2022). Trauma-informed care moves the discussion away (</w:t>
      </w:r>
      <w:r w:rsidRPr="00A65F75">
        <w:rPr>
          <w:rFonts w:ascii="Arial" w:hAnsi="Arial" w:cs="Arial"/>
          <w:i/>
          <w:iCs/>
        </w:rPr>
        <w:t>what is wrong with you</w:t>
      </w:r>
      <w:r w:rsidRPr="00A65F75">
        <w:rPr>
          <w:rFonts w:ascii="Arial" w:hAnsi="Arial" w:cs="Arial"/>
        </w:rPr>
        <w:t>) to (</w:t>
      </w:r>
      <w:r w:rsidRPr="00A65F75">
        <w:rPr>
          <w:rFonts w:ascii="Arial" w:hAnsi="Arial" w:cs="Arial"/>
          <w:i/>
          <w:iCs/>
        </w:rPr>
        <w:t>what happened to you</w:t>
      </w:r>
      <w:r w:rsidRPr="00A65F75">
        <w:rPr>
          <w:rFonts w:ascii="Arial" w:hAnsi="Arial" w:cs="Arial"/>
        </w:rPr>
        <w:t>) to empower their efforts to engage and recover those whose mental health troubles are rooted in childhood trauma.</w:t>
      </w:r>
    </w:p>
    <w:p w14:paraId="1D7E5C12" w14:textId="77777777" w:rsidR="00906986" w:rsidRPr="00A65F75" w:rsidRDefault="00906986" w:rsidP="00906986">
      <w:pPr>
        <w:pStyle w:val="Heading3"/>
        <w:spacing w:line="360" w:lineRule="auto"/>
        <w:rPr>
          <w:rFonts w:cs="Arial"/>
          <w:sz w:val="22"/>
          <w:szCs w:val="22"/>
        </w:rPr>
      </w:pPr>
      <w:bookmarkStart w:id="51" w:name="_Toc225676724"/>
      <w:r w:rsidRPr="00A65F75">
        <w:rPr>
          <w:rFonts w:cs="Arial"/>
          <w:sz w:val="22"/>
          <w:szCs w:val="22"/>
        </w:rPr>
        <w:t>Statistical Information</w:t>
      </w:r>
      <w:bookmarkEnd w:id="51"/>
    </w:p>
    <w:p w14:paraId="139EF2D6" w14:textId="77777777" w:rsidR="00906986" w:rsidRPr="00A65F75" w:rsidRDefault="00906986" w:rsidP="00906986">
      <w:pPr>
        <w:spacing w:line="360" w:lineRule="auto"/>
        <w:rPr>
          <w:rFonts w:ascii="Arial" w:hAnsi="Arial" w:cs="Arial"/>
        </w:rPr>
      </w:pPr>
      <w:r w:rsidRPr="00A65F75">
        <w:rPr>
          <w:rFonts w:ascii="Arial" w:hAnsi="Arial" w:cs="Arial"/>
        </w:rPr>
        <w:t>There is scanty evidence on TIC implementation. Emsley et al. (2022) examined 24 UK policy documents and also interviewed 11 professionals. The results showed that TIC is recognized as a national strategy, but Scotland and Wales have a more organized strategy, whereas the English one is based on local efforts. Conversely, the support of leadership, financial aid, participation of the service-users, and training of personnel were mentioned as the key to the successful adoption. These results show that the implementation of TIC in large health sectors such as the NHS is a complex process.</w:t>
      </w:r>
    </w:p>
    <w:p w14:paraId="53D6BC7B" w14:textId="77777777" w:rsidR="00906986" w:rsidRPr="00A65F75" w:rsidRDefault="00906986" w:rsidP="00906986">
      <w:pPr>
        <w:pStyle w:val="Heading3"/>
        <w:spacing w:line="360" w:lineRule="auto"/>
        <w:rPr>
          <w:rFonts w:cs="Arial"/>
          <w:sz w:val="22"/>
          <w:szCs w:val="22"/>
        </w:rPr>
      </w:pPr>
      <w:bookmarkStart w:id="52" w:name="_Toc225676725"/>
      <w:r w:rsidRPr="00A65F75">
        <w:rPr>
          <w:rFonts w:cs="Arial"/>
          <w:sz w:val="22"/>
          <w:szCs w:val="22"/>
        </w:rPr>
        <w:t>Theories, Policies, and Legislation</w:t>
      </w:r>
      <w:bookmarkEnd w:id="52"/>
    </w:p>
    <w:p w14:paraId="7009921F" w14:textId="77777777" w:rsidR="00906986" w:rsidRPr="00A65F75" w:rsidRDefault="00906986" w:rsidP="00906986">
      <w:pPr>
        <w:spacing w:line="360" w:lineRule="auto"/>
        <w:rPr>
          <w:rFonts w:ascii="Arial" w:hAnsi="Arial" w:cs="Arial"/>
        </w:rPr>
      </w:pPr>
      <w:r w:rsidRPr="00A65F75">
        <w:rPr>
          <w:rFonts w:ascii="Arial" w:hAnsi="Arial" w:cs="Arial"/>
        </w:rPr>
        <w:t>Theoretical Framework</w:t>
      </w:r>
    </w:p>
    <w:p w14:paraId="3A37AE7E" w14:textId="77777777" w:rsidR="00906986" w:rsidRPr="00A65F75" w:rsidRDefault="00906986" w:rsidP="00906986">
      <w:pPr>
        <w:spacing w:line="360" w:lineRule="auto"/>
        <w:rPr>
          <w:rFonts w:ascii="Arial" w:hAnsi="Arial" w:cs="Arial"/>
        </w:rPr>
      </w:pPr>
      <w:r w:rsidRPr="00A65F75">
        <w:rPr>
          <w:rFonts w:ascii="Arial" w:hAnsi="Arial" w:cs="Arial"/>
        </w:rPr>
        <w:t>TIC is guided by the trauma theory and community health strategies that appreciate the negative effect of childhood adversity on the long-term. The trauma theory underlines the fact that childhood stress can be repeated, which may impact the development of the neurological system and emotional regulation, making adults more vulnerable to psychiatric disorders (Emsley et al. 2022). TIC deals with psychological and social aspects of trauma in medical practices.</w:t>
      </w:r>
    </w:p>
    <w:p w14:paraId="052DDBBD" w14:textId="77777777" w:rsidR="00906986" w:rsidRPr="00A65F75" w:rsidRDefault="00906986" w:rsidP="00906986">
      <w:pPr>
        <w:spacing w:line="360" w:lineRule="auto"/>
        <w:rPr>
          <w:rFonts w:ascii="Arial" w:hAnsi="Arial" w:cs="Arial"/>
        </w:rPr>
      </w:pPr>
      <w:r w:rsidRPr="00A65F75">
        <w:rPr>
          <w:rFonts w:ascii="Arial" w:hAnsi="Arial" w:cs="Arial"/>
        </w:rPr>
        <w:t>Policy and Legislation</w:t>
      </w:r>
      <w:r w:rsidRPr="00A65F75">
        <w:rPr>
          <w:rFonts w:ascii="Arial" w:hAnsi="Arial" w:cs="Arial"/>
        </w:rPr>
        <w:br/>
        <w:t>The Scottish and Welsh policy encourages trauma-informed systems in the medical, education, and social care (Nikopaschos et al. 2025). Although these efforts are undertaken, Emsley et al. (2022) observe that there is a lack of coordination across the NHS and, as a result, there is not enough funding to assess the efficacy of TIC. Experts suggests that the government should have more powerful support and national policies that will provide uniformity in providing services.</w:t>
      </w:r>
    </w:p>
    <w:p w14:paraId="4B538B78" w14:textId="77777777" w:rsidR="00906986" w:rsidRPr="00A65F75" w:rsidRDefault="00906986" w:rsidP="00906986">
      <w:pPr>
        <w:pStyle w:val="Heading3"/>
        <w:spacing w:line="360" w:lineRule="auto"/>
        <w:rPr>
          <w:rFonts w:cs="Arial"/>
          <w:sz w:val="22"/>
          <w:szCs w:val="22"/>
        </w:rPr>
      </w:pPr>
      <w:bookmarkStart w:id="53" w:name="_Toc225676726"/>
      <w:r w:rsidRPr="00A65F75">
        <w:rPr>
          <w:rFonts w:cs="Arial"/>
          <w:sz w:val="22"/>
          <w:szCs w:val="22"/>
        </w:rPr>
        <w:t>Implications</w:t>
      </w:r>
      <w:bookmarkEnd w:id="53"/>
    </w:p>
    <w:p w14:paraId="5F1A6211" w14:textId="77777777" w:rsidR="00906986" w:rsidRPr="00A65F75" w:rsidRDefault="00906986" w:rsidP="00906986">
      <w:pPr>
        <w:spacing w:line="360" w:lineRule="auto"/>
        <w:rPr>
          <w:rFonts w:ascii="Arial" w:hAnsi="Arial" w:cs="Arial"/>
        </w:rPr>
      </w:pPr>
      <w:r w:rsidRPr="00A65F75">
        <w:rPr>
          <w:rFonts w:ascii="Arial" w:hAnsi="Arial" w:cs="Arial"/>
        </w:rPr>
        <w:t>TIC has beneficent implications on care. It promotes personal-centred and kind-hearted strategies, enhancement of therapeutic relationships, involvement, and minimised re-traumatisation. Nikopaschos et al. (2025) measured the efficacy of TIC in NHS adult acute mental health wards and discovered it improved the knowledge of the staff about the psychological issues of service users and facilitated empathetic reactions. Service users gave higher insight and recovery experiences. Resource constraints are evident including conflicting organisational agendas and cultural change to the established systems. The success of implementation requires a long-term investment, leadership, and organisational support.</w:t>
      </w:r>
    </w:p>
    <w:p w14:paraId="12312076" w14:textId="77777777" w:rsidR="00906986" w:rsidRPr="00A65F75" w:rsidRDefault="00906986" w:rsidP="00906986">
      <w:pPr>
        <w:pStyle w:val="Heading3"/>
        <w:spacing w:line="360" w:lineRule="auto"/>
        <w:rPr>
          <w:rFonts w:cs="Arial"/>
          <w:sz w:val="22"/>
          <w:szCs w:val="22"/>
        </w:rPr>
      </w:pPr>
      <w:bookmarkStart w:id="54" w:name="_Toc225676727"/>
      <w:r w:rsidRPr="00A65F75">
        <w:rPr>
          <w:rFonts w:cs="Arial"/>
          <w:sz w:val="22"/>
          <w:szCs w:val="22"/>
        </w:rPr>
        <w:t>Examples from Selected Articles</w:t>
      </w:r>
      <w:bookmarkEnd w:id="54"/>
    </w:p>
    <w:p w14:paraId="01B71322" w14:textId="77777777" w:rsidR="00906986" w:rsidRPr="00A65F75" w:rsidRDefault="00906986" w:rsidP="00906986">
      <w:pPr>
        <w:spacing w:line="360" w:lineRule="auto"/>
        <w:rPr>
          <w:rFonts w:ascii="Arial" w:hAnsi="Arial" w:cs="Arial"/>
        </w:rPr>
      </w:pPr>
      <w:r w:rsidRPr="00A65F75">
        <w:rPr>
          <w:rFonts w:ascii="Arial" w:hAnsi="Arial" w:cs="Arial"/>
        </w:rPr>
        <w:t>Emsley et al. (2022) demonstrate inconsistencies in policies: TIC is actively supported, but the lack of a national policy on the strategy of the NHS leads to uneven coverage. According to Nikopaschos et al. (2025), TIC enhances staff knowledge and user experience, yet such a strategy is not sustainable due to structural challenges such as resource shortages. Collectively, the findings predict that TIC has potential but needs a concerted policy and institutional investments to have significant effects.</w:t>
      </w:r>
    </w:p>
    <w:p w14:paraId="67659EAB" w14:textId="77777777" w:rsidR="00906986" w:rsidRPr="00A65F75" w:rsidRDefault="00906986" w:rsidP="00906986">
      <w:pPr>
        <w:pStyle w:val="Heading3"/>
        <w:spacing w:line="360" w:lineRule="auto"/>
        <w:rPr>
          <w:rFonts w:cs="Arial"/>
          <w:sz w:val="22"/>
          <w:szCs w:val="22"/>
        </w:rPr>
      </w:pPr>
      <w:bookmarkStart w:id="55" w:name="_Toc225676728"/>
      <w:r w:rsidRPr="00A65F75">
        <w:rPr>
          <w:rFonts w:cs="Arial"/>
          <w:sz w:val="22"/>
          <w:szCs w:val="22"/>
        </w:rPr>
        <w:t>Connections to Other Themes</w:t>
      </w:r>
      <w:bookmarkEnd w:id="55"/>
    </w:p>
    <w:p w14:paraId="4085037B" w14:textId="77777777" w:rsidR="00906986" w:rsidRPr="00A65F75" w:rsidRDefault="00906986" w:rsidP="00906986">
      <w:pPr>
        <w:spacing w:line="360" w:lineRule="auto"/>
        <w:rPr>
          <w:rFonts w:ascii="Arial" w:hAnsi="Arial" w:cs="Arial"/>
        </w:rPr>
      </w:pPr>
      <w:r w:rsidRPr="00A65F75">
        <w:rPr>
          <w:rFonts w:ascii="Arial" w:hAnsi="Arial" w:cs="Arial"/>
        </w:rPr>
        <w:t>The former themes 1 and 2 demonstrated that ACEs have a disproportionately high impact on marginalised groups, and the current theme established the cumulative exposure to ACEs as a long-term mental health predictor. TIC is an urgent reaction to these issues because it offers services that acknowledge the importance of childhood adversity in mental health development. Nevertheless, successful implementation should be based on the coordination of policies, resources, and organisational commitment whereby the application of trauma-informed principles is system-wide to serve vulnerable groups.</w:t>
      </w:r>
    </w:p>
    <w:p w14:paraId="24B1A18D" w14:textId="77777777" w:rsidR="00026B89" w:rsidRPr="00A65F75" w:rsidRDefault="00026B89" w:rsidP="00D11EC7">
      <w:pPr>
        <w:pStyle w:val="Heading2"/>
        <w:spacing w:line="360" w:lineRule="auto"/>
        <w:rPr>
          <w:rFonts w:cs="Arial"/>
          <w:sz w:val="22"/>
          <w:szCs w:val="22"/>
        </w:rPr>
      </w:pPr>
      <w:bookmarkStart w:id="56" w:name="_Toc225676729"/>
      <w:r w:rsidRPr="00A65F75">
        <w:rPr>
          <w:rFonts w:cs="Arial"/>
          <w:sz w:val="22"/>
          <w:szCs w:val="22"/>
        </w:rPr>
        <w:t>4.6 – Theme 4: Systemic Gaps in NHS Health and Social Care Delivery and Implications for Trauma-Informed Service Improvement</w:t>
      </w:r>
      <w:bookmarkEnd w:id="56"/>
    </w:p>
    <w:p w14:paraId="4D8F549F" w14:textId="77777777" w:rsidR="00026B89" w:rsidRPr="00A65F75" w:rsidRDefault="00026B89" w:rsidP="00D11EC7">
      <w:pPr>
        <w:pStyle w:val="Heading3"/>
        <w:spacing w:line="360" w:lineRule="auto"/>
        <w:rPr>
          <w:rFonts w:cs="Arial"/>
          <w:sz w:val="22"/>
          <w:szCs w:val="22"/>
        </w:rPr>
      </w:pPr>
      <w:bookmarkStart w:id="57" w:name="_Toc225676730"/>
      <w:r w:rsidRPr="00A65F75">
        <w:rPr>
          <w:rFonts w:cs="Arial"/>
          <w:sz w:val="22"/>
          <w:szCs w:val="22"/>
        </w:rPr>
        <w:t>Definition</w:t>
      </w:r>
      <w:bookmarkEnd w:id="57"/>
    </w:p>
    <w:p w14:paraId="0EAE2CA9" w14:textId="77ED0536" w:rsidR="00026B89" w:rsidRPr="00A65F75" w:rsidRDefault="00026B89" w:rsidP="00D11EC7">
      <w:pPr>
        <w:spacing w:line="360" w:lineRule="auto"/>
        <w:rPr>
          <w:rFonts w:ascii="Arial" w:hAnsi="Arial" w:cs="Arial"/>
        </w:rPr>
      </w:pPr>
      <w:r w:rsidRPr="00A65F75">
        <w:rPr>
          <w:rFonts w:ascii="Arial" w:hAnsi="Arial" w:cs="Arial"/>
        </w:rPr>
        <w:t>Systemic gaps in healthcare are structural weaknesses that restrict services to address the needs of patients (Jindal et al. 2023). They are informed by inadequate training based on trauma, disjointed service delivery, underfunding, and limits on patient engagement, which constitute the gaps in the context of ACEs. The vulnerable groups having the background of trauma are in need of long-term, sensitive, and coordinated assistance (</w:t>
      </w:r>
      <w:r w:rsidR="00BD6F3C" w:rsidRPr="00A65F75">
        <w:rPr>
          <w:rFonts w:ascii="Arial" w:hAnsi="Arial" w:cs="Arial"/>
        </w:rPr>
        <w:t>McNally et al. 2023</w:t>
      </w:r>
      <w:r w:rsidRPr="00A65F75">
        <w:rPr>
          <w:rFonts w:ascii="Arial" w:hAnsi="Arial" w:cs="Arial"/>
        </w:rPr>
        <w:t xml:space="preserve">). </w:t>
      </w:r>
      <w:r w:rsidR="00A74605" w:rsidRPr="00A65F75">
        <w:rPr>
          <w:rFonts w:ascii="Arial" w:hAnsi="Arial" w:cs="Arial"/>
        </w:rPr>
        <w:t>As such, t</w:t>
      </w:r>
      <w:r w:rsidRPr="00A65F75">
        <w:rPr>
          <w:rFonts w:ascii="Arial" w:hAnsi="Arial" w:cs="Arial"/>
        </w:rPr>
        <w:t>o tackle the problem of inequalities in mental health over the long term related to childhood adversity, it is necessary to address the gaps in the system to enhance trauma-informed care.</w:t>
      </w:r>
    </w:p>
    <w:p w14:paraId="4AF3FB27" w14:textId="77777777" w:rsidR="00026B89" w:rsidRPr="00A65F75" w:rsidRDefault="00026B89" w:rsidP="00D11EC7">
      <w:pPr>
        <w:pStyle w:val="Heading3"/>
        <w:spacing w:line="360" w:lineRule="auto"/>
        <w:rPr>
          <w:rFonts w:cs="Arial"/>
          <w:sz w:val="22"/>
          <w:szCs w:val="22"/>
        </w:rPr>
      </w:pPr>
      <w:bookmarkStart w:id="58" w:name="_Toc225676731"/>
      <w:r w:rsidRPr="00A65F75">
        <w:rPr>
          <w:rFonts w:cs="Arial"/>
          <w:sz w:val="22"/>
          <w:szCs w:val="22"/>
        </w:rPr>
        <w:t>Background Information</w:t>
      </w:r>
      <w:bookmarkEnd w:id="58"/>
    </w:p>
    <w:p w14:paraId="0CF6E402" w14:textId="4E2C37EA" w:rsidR="00026B89" w:rsidRPr="00A65F75" w:rsidRDefault="00026B89" w:rsidP="00D11EC7">
      <w:pPr>
        <w:spacing w:line="360" w:lineRule="auto"/>
        <w:rPr>
          <w:rFonts w:ascii="Arial" w:hAnsi="Arial" w:cs="Arial"/>
        </w:rPr>
      </w:pPr>
      <w:r w:rsidRPr="00A65F75">
        <w:rPr>
          <w:rFonts w:ascii="Arial" w:hAnsi="Arial" w:cs="Arial"/>
        </w:rPr>
        <w:t xml:space="preserve">People who receive mental health services often have a history of trauma, yet trauma-informed care is not uniformly applied in NHS services (Emsley et al. 2022). Public Health Wales (2025) </w:t>
      </w:r>
      <w:r w:rsidR="00C52F6E" w:rsidRPr="00A65F75">
        <w:rPr>
          <w:rFonts w:ascii="Arial" w:hAnsi="Arial" w:cs="Arial"/>
        </w:rPr>
        <w:t xml:space="preserve">expanded the observation of Emsley et al. (2022) </w:t>
      </w:r>
      <w:r w:rsidRPr="00A65F75">
        <w:rPr>
          <w:rFonts w:ascii="Arial" w:hAnsi="Arial" w:cs="Arial"/>
        </w:rPr>
        <w:t>suggest</w:t>
      </w:r>
      <w:r w:rsidR="00C52F6E" w:rsidRPr="00A65F75">
        <w:rPr>
          <w:rFonts w:ascii="Arial" w:hAnsi="Arial" w:cs="Arial"/>
        </w:rPr>
        <w:t xml:space="preserve">ing </w:t>
      </w:r>
      <w:r w:rsidRPr="00A65F75">
        <w:rPr>
          <w:rFonts w:ascii="Arial" w:hAnsi="Arial" w:cs="Arial"/>
        </w:rPr>
        <w:t>normal inquiry on trauma and abuse to get inferences into possible underlying psychological distress but there has been little action taken to do so.</w:t>
      </w:r>
    </w:p>
    <w:p w14:paraId="7695D639" w14:textId="77777777" w:rsidR="00026B89" w:rsidRPr="00A65F75" w:rsidRDefault="00026B89" w:rsidP="00D11EC7">
      <w:pPr>
        <w:spacing w:line="360" w:lineRule="auto"/>
        <w:rPr>
          <w:rFonts w:ascii="Arial" w:hAnsi="Arial" w:cs="Arial"/>
        </w:rPr>
      </w:pPr>
      <w:r w:rsidRPr="00A65F75">
        <w:rPr>
          <w:rFonts w:ascii="Arial" w:hAnsi="Arial" w:cs="Arial"/>
        </w:rPr>
        <w:t>According to McNally et al. (2023), as early as 2008, it was suggested that Mental Health Trusts (MHTs) provide staff training to become sensitive to trauma. In spite of these recommendations, a gap between policy and practice still persists with many services being unable to implement trauma-informed practices due to lack of resources and training.</w:t>
      </w:r>
    </w:p>
    <w:p w14:paraId="6D483D11" w14:textId="77777777" w:rsidR="00026B89" w:rsidRPr="00A65F75" w:rsidRDefault="00026B89" w:rsidP="00D11EC7">
      <w:pPr>
        <w:pStyle w:val="Heading3"/>
        <w:spacing w:line="360" w:lineRule="auto"/>
        <w:rPr>
          <w:rFonts w:cs="Arial"/>
          <w:sz w:val="22"/>
          <w:szCs w:val="22"/>
        </w:rPr>
      </w:pPr>
      <w:bookmarkStart w:id="59" w:name="_Toc225676732"/>
      <w:r w:rsidRPr="00A65F75">
        <w:rPr>
          <w:rFonts w:cs="Arial"/>
          <w:sz w:val="22"/>
          <w:szCs w:val="22"/>
        </w:rPr>
        <w:t>Impact on Research Question</w:t>
      </w:r>
      <w:bookmarkEnd w:id="59"/>
    </w:p>
    <w:p w14:paraId="075BB8D4" w14:textId="77777777" w:rsidR="00026B89" w:rsidRPr="00A65F75" w:rsidRDefault="00026B89" w:rsidP="00D11EC7">
      <w:pPr>
        <w:spacing w:line="360" w:lineRule="auto"/>
        <w:rPr>
          <w:rFonts w:ascii="Arial" w:hAnsi="Arial" w:cs="Arial"/>
        </w:rPr>
      </w:pPr>
      <w:r w:rsidRPr="00A65F75">
        <w:rPr>
          <w:rFonts w:ascii="Arial" w:hAnsi="Arial" w:cs="Arial"/>
        </w:rPr>
        <w:t>The theme seeks to answer how in case there are no structures in place to detect and intervene on trauma in NHS services, ACE individuals are blocked to care. Systemic limitations are crucial to the strengthening of trauma-informed practices, enhancing engagement, preventing re-traumatisation, and achieving successful treatment.</w:t>
      </w:r>
    </w:p>
    <w:p w14:paraId="64CE5609" w14:textId="77777777" w:rsidR="00026B89" w:rsidRPr="00A65F75" w:rsidRDefault="00026B89" w:rsidP="00D11EC7">
      <w:pPr>
        <w:pStyle w:val="Heading3"/>
        <w:spacing w:line="360" w:lineRule="auto"/>
        <w:rPr>
          <w:rFonts w:cs="Arial"/>
          <w:sz w:val="22"/>
          <w:szCs w:val="22"/>
        </w:rPr>
      </w:pPr>
      <w:bookmarkStart w:id="60" w:name="_Toc225676733"/>
      <w:r w:rsidRPr="00A65F75">
        <w:rPr>
          <w:rFonts w:cs="Arial"/>
          <w:sz w:val="22"/>
          <w:szCs w:val="22"/>
        </w:rPr>
        <w:t>Statistical Information</w:t>
      </w:r>
      <w:bookmarkEnd w:id="60"/>
    </w:p>
    <w:p w14:paraId="5AC779E0" w14:textId="77777777" w:rsidR="00026B89" w:rsidRPr="00A65F75" w:rsidRDefault="00026B89" w:rsidP="00D11EC7">
      <w:pPr>
        <w:spacing w:line="360" w:lineRule="auto"/>
        <w:rPr>
          <w:rFonts w:ascii="Arial" w:hAnsi="Arial" w:cs="Arial"/>
        </w:rPr>
      </w:pPr>
      <w:r w:rsidRPr="00A65F75">
        <w:rPr>
          <w:rFonts w:ascii="Arial" w:hAnsi="Arial" w:cs="Arial"/>
        </w:rPr>
        <w:t>McNally et al. (2023) accessed trauma-informed training among 52 English MHTs using a Freedom of Information request. Approximately 70% of trusts said that staff had no training on TIC, even after more than ten years of policy suggestion that recommended frequent inquiry of trauma. Such a lack of training implies that not all professionals are ready to react properly to trauma disclosure, which may restrict the provision of mental health challenges associated with trauma.</w:t>
      </w:r>
    </w:p>
    <w:p w14:paraId="319B61B7" w14:textId="757365DB" w:rsidR="00026B89" w:rsidRPr="00A65F75" w:rsidRDefault="00C52F6E" w:rsidP="00D11EC7">
      <w:pPr>
        <w:spacing w:line="360" w:lineRule="auto"/>
        <w:rPr>
          <w:rFonts w:ascii="Arial" w:hAnsi="Arial" w:cs="Arial"/>
        </w:rPr>
      </w:pPr>
      <w:r w:rsidRPr="00A65F75">
        <w:rPr>
          <w:rFonts w:ascii="Arial" w:hAnsi="Arial" w:cs="Arial"/>
        </w:rPr>
        <w:t xml:space="preserve">Similarly, </w:t>
      </w:r>
      <w:r w:rsidR="00026B89" w:rsidRPr="00A65F75">
        <w:rPr>
          <w:rFonts w:ascii="Arial" w:hAnsi="Arial" w:cs="Arial"/>
        </w:rPr>
        <w:t xml:space="preserve">Bellis et al. (2024) </w:t>
      </w:r>
      <w:r w:rsidRPr="00A65F75">
        <w:rPr>
          <w:rFonts w:ascii="Arial" w:hAnsi="Arial" w:cs="Arial"/>
        </w:rPr>
        <w:t>confirmed that t</w:t>
      </w:r>
      <w:r w:rsidR="00026B89" w:rsidRPr="00A65F75">
        <w:rPr>
          <w:rFonts w:ascii="Arial" w:hAnsi="Arial" w:cs="Arial"/>
        </w:rPr>
        <w:t>hose who had four or more ACEs had less trust in services: the low trust in general practitioner advice rose by 5.3% (none of the ACEs) to 10.4% (four or more ACEs), and low trust in NHS 111 went up by 11.9% to 24.1%. The findings suggest that the systemic gap can narrow the rate of service usage across populations chronically exposed to ACEs.</w:t>
      </w:r>
    </w:p>
    <w:p w14:paraId="31006D11" w14:textId="77777777" w:rsidR="00026B89" w:rsidRPr="00A65F75" w:rsidRDefault="00026B89" w:rsidP="00D11EC7">
      <w:pPr>
        <w:pStyle w:val="Heading3"/>
        <w:spacing w:line="360" w:lineRule="auto"/>
        <w:rPr>
          <w:rFonts w:cs="Arial"/>
          <w:sz w:val="22"/>
          <w:szCs w:val="22"/>
        </w:rPr>
      </w:pPr>
      <w:bookmarkStart w:id="61" w:name="_Toc225676734"/>
      <w:r w:rsidRPr="00A65F75">
        <w:rPr>
          <w:rFonts w:cs="Arial"/>
          <w:sz w:val="22"/>
          <w:szCs w:val="22"/>
        </w:rPr>
        <w:t>Theories, Policies, and Legislation</w:t>
      </w:r>
      <w:bookmarkEnd w:id="61"/>
    </w:p>
    <w:p w14:paraId="7864F8DE" w14:textId="66359354" w:rsidR="00026B89" w:rsidRPr="00A65F75" w:rsidRDefault="00026B89" w:rsidP="00D11EC7">
      <w:pPr>
        <w:spacing w:line="360" w:lineRule="auto"/>
        <w:rPr>
          <w:rFonts w:ascii="Arial" w:hAnsi="Arial" w:cs="Arial"/>
        </w:rPr>
      </w:pPr>
      <w:r w:rsidRPr="00A65F75">
        <w:rPr>
          <w:rFonts w:ascii="Arial" w:hAnsi="Arial" w:cs="Arial"/>
        </w:rPr>
        <w:t xml:space="preserve">Trauma-informed care is linked to mental health outcomes through the public health and systems-based approaches (Heris et al. 2022). </w:t>
      </w:r>
      <w:r w:rsidR="00C52F6E" w:rsidRPr="00A65F75">
        <w:rPr>
          <w:rFonts w:ascii="Arial" w:hAnsi="Arial" w:cs="Arial"/>
        </w:rPr>
        <w:t>McNally et al. (2023) contested the view of Heris et al. (2022) arguing that a</w:t>
      </w:r>
      <w:r w:rsidRPr="00A65F75">
        <w:rPr>
          <w:rFonts w:ascii="Arial" w:hAnsi="Arial" w:cs="Arial"/>
        </w:rPr>
        <w:t>lthough there is policy guidance suggesting that trauma should be routinely enquired, the implementation of the practice throughout the NHS is uneven.</w:t>
      </w:r>
      <w:r w:rsidR="00B84B2F" w:rsidRPr="00A65F75">
        <w:rPr>
          <w:rFonts w:ascii="Arial" w:hAnsi="Arial" w:cs="Arial"/>
        </w:rPr>
        <w:t xml:space="preserve"> I</w:t>
      </w:r>
      <w:r w:rsidR="00A74605" w:rsidRPr="00A65F75">
        <w:rPr>
          <w:rFonts w:ascii="Arial" w:hAnsi="Arial" w:cs="Arial"/>
        </w:rPr>
        <w:t xml:space="preserve">mportantly, </w:t>
      </w:r>
      <w:r w:rsidRPr="00A65F75">
        <w:rPr>
          <w:rFonts w:ascii="Arial" w:hAnsi="Arial" w:cs="Arial"/>
        </w:rPr>
        <w:t>TIC needs multi-service strategies, with Farr et al. (2025) suggesting that workforce strain, short-term funding, and staff retention challenges impede the capacity to deliver services to people with multiple disadvantages and limit sustainable trauma-informed practice. The findings suggest the discrepancy between the policy intentions and their practice.</w:t>
      </w:r>
    </w:p>
    <w:p w14:paraId="54AC58BB" w14:textId="77777777" w:rsidR="00026B89" w:rsidRPr="00A65F75" w:rsidRDefault="00026B89" w:rsidP="00D11EC7">
      <w:pPr>
        <w:pStyle w:val="Heading3"/>
        <w:spacing w:line="360" w:lineRule="auto"/>
        <w:rPr>
          <w:rFonts w:cs="Arial"/>
          <w:sz w:val="22"/>
          <w:szCs w:val="22"/>
        </w:rPr>
      </w:pPr>
      <w:bookmarkStart w:id="62" w:name="_Toc225676735"/>
      <w:r w:rsidRPr="00A65F75">
        <w:rPr>
          <w:rFonts w:cs="Arial"/>
          <w:sz w:val="22"/>
          <w:szCs w:val="22"/>
        </w:rPr>
        <w:t>Implications</w:t>
      </w:r>
      <w:bookmarkEnd w:id="62"/>
    </w:p>
    <w:p w14:paraId="72D4CFFA" w14:textId="741AD464" w:rsidR="00026B89" w:rsidRPr="00A65F75" w:rsidRDefault="00026B89" w:rsidP="00D11EC7">
      <w:pPr>
        <w:spacing w:line="360" w:lineRule="auto"/>
        <w:rPr>
          <w:rFonts w:ascii="Arial" w:hAnsi="Arial" w:cs="Arial"/>
        </w:rPr>
      </w:pPr>
      <w:r w:rsidRPr="00A65F75">
        <w:rPr>
          <w:rFonts w:ascii="Arial" w:hAnsi="Arial" w:cs="Arial"/>
        </w:rPr>
        <w:t xml:space="preserve">The problem of systemic gaps influences the care of people who are exposed to ACEs. Such positive implications as the increase of policy awareness about TIC can enhance interaction and mental health status over time. Obstacles are eminent: the lack of trust in people with ACEs can decrease the use of services. Bellis et al. (2024) </w:t>
      </w:r>
      <w:r w:rsidR="00C52F6E" w:rsidRPr="00A65F75">
        <w:rPr>
          <w:rFonts w:ascii="Arial" w:hAnsi="Arial" w:cs="Arial"/>
        </w:rPr>
        <w:t>suggested</w:t>
      </w:r>
      <w:r w:rsidRPr="00A65F75">
        <w:rPr>
          <w:rFonts w:ascii="Arial" w:hAnsi="Arial" w:cs="Arial"/>
        </w:rPr>
        <w:t xml:space="preserve"> that the greater the ACE exposure, the less confidence one has in healthcare services. Systemic gaps can be solved by training, coordinated policies, and cross-sector collaboration to reduce re-traumatisation and provide vulnerable populations with adequate attention.</w:t>
      </w:r>
    </w:p>
    <w:p w14:paraId="693BA60D" w14:textId="77777777" w:rsidR="00026B89" w:rsidRPr="00A65F75" w:rsidRDefault="00026B89" w:rsidP="00D11EC7">
      <w:pPr>
        <w:pStyle w:val="Heading3"/>
        <w:spacing w:line="360" w:lineRule="auto"/>
        <w:rPr>
          <w:rFonts w:cs="Arial"/>
          <w:sz w:val="22"/>
          <w:szCs w:val="22"/>
        </w:rPr>
      </w:pPr>
      <w:bookmarkStart w:id="63" w:name="_Toc225676736"/>
      <w:r w:rsidRPr="00A65F75">
        <w:rPr>
          <w:rFonts w:cs="Arial"/>
          <w:sz w:val="22"/>
          <w:szCs w:val="22"/>
        </w:rPr>
        <w:t>Examples from Selected Articles</w:t>
      </w:r>
      <w:bookmarkEnd w:id="63"/>
    </w:p>
    <w:p w14:paraId="305E20DB" w14:textId="0610B467" w:rsidR="00026B89" w:rsidRPr="00A65F75" w:rsidRDefault="00026B89" w:rsidP="00D11EC7">
      <w:pPr>
        <w:spacing w:line="360" w:lineRule="auto"/>
        <w:rPr>
          <w:rFonts w:ascii="Arial" w:hAnsi="Arial" w:cs="Arial"/>
        </w:rPr>
      </w:pPr>
      <w:r w:rsidRPr="00A65F75">
        <w:rPr>
          <w:rFonts w:ascii="Arial" w:hAnsi="Arial" w:cs="Arial"/>
        </w:rPr>
        <w:t xml:space="preserve">McNally et al. (2023) show that though this practice has been long-recommended, there is still a disparity between policy and practice as many MHTs do not train their staff to undertake trauma enquiry. </w:t>
      </w:r>
      <w:r w:rsidR="00C52F6E" w:rsidRPr="00A65F75">
        <w:rPr>
          <w:rFonts w:ascii="Arial" w:hAnsi="Arial" w:cs="Arial"/>
        </w:rPr>
        <w:t>Bellis et al. (2024) agreed with McNally et al. (2023) associating systemic gaps with a lack of trust in healthcare and note that more effective communication and therapeutic relationships are required. Further, Farr et al. (2025) established that in spite of the efforts made by the services to embrace trauma-informed methods, numerous structural issues such as unstable funding and workforce pressures hinder it. T</w:t>
      </w:r>
      <w:r w:rsidRPr="00A65F75">
        <w:rPr>
          <w:rFonts w:ascii="Arial" w:hAnsi="Arial" w:cs="Arial"/>
        </w:rPr>
        <w:t>ogether, these studies demonstrate the significance of organisational support and policy coherence in a prolonged period to achieve successful TIC implementation.</w:t>
      </w:r>
    </w:p>
    <w:p w14:paraId="261F4D1F" w14:textId="77777777" w:rsidR="00026B89" w:rsidRPr="00A65F75" w:rsidRDefault="00026B89" w:rsidP="00D11EC7">
      <w:pPr>
        <w:pStyle w:val="Heading3"/>
        <w:spacing w:line="360" w:lineRule="auto"/>
        <w:rPr>
          <w:rFonts w:cs="Arial"/>
          <w:sz w:val="22"/>
          <w:szCs w:val="22"/>
        </w:rPr>
      </w:pPr>
      <w:bookmarkStart w:id="64" w:name="_Toc225676737"/>
      <w:r w:rsidRPr="00A65F75">
        <w:rPr>
          <w:rFonts w:cs="Arial"/>
          <w:sz w:val="22"/>
          <w:szCs w:val="22"/>
        </w:rPr>
        <w:t>Connections to Other Themes</w:t>
      </w:r>
      <w:bookmarkEnd w:id="64"/>
    </w:p>
    <w:p w14:paraId="19DE76C1" w14:textId="77777777" w:rsidR="00026B89" w:rsidRPr="00A65F75" w:rsidRDefault="00026B89" w:rsidP="00D11EC7">
      <w:pPr>
        <w:spacing w:line="360" w:lineRule="auto"/>
        <w:rPr>
          <w:rFonts w:ascii="Arial" w:hAnsi="Arial" w:cs="Arial"/>
        </w:rPr>
      </w:pPr>
      <w:r w:rsidRPr="00A65F75">
        <w:rPr>
          <w:rFonts w:ascii="Arial" w:hAnsi="Arial" w:cs="Arial"/>
        </w:rPr>
        <w:t>The theme is based on the previous results: Theme 1 demonstrated that marginalised populations had a disproportionate ACE exposure; Theme 2 revealed the cumulative effects of ACEs on mental health; Theme 3 espoused the theme of trauma-informed practices in NHS services. The current theme denotes that, although there has been increased awareness of TIC, gaps in the delivery of care remain embedded within the system of the NHS. Training, aligned policies, and investment should be used to address these gaps to develop effective trauma-informed services that will be able to help people who experienced adversity during childhood.</w:t>
      </w:r>
    </w:p>
    <w:p w14:paraId="067E9173" w14:textId="77777777" w:rsidR="00026B89" w:rsidRPr="00A65F75" w:rsidRDefault="00026B89" w:rsidP="00D11EC7">
      <w:pPr>
        <w:pStyle w:val="Heading2"/>
        <w:spacing w:line="360" w:lineRule="auto"/>
        <w:rPr>
          <w:rFonts w:cs="Arial"/>
          <w:sz w:val="22"/>
          <w:szCs w:val="22"/>
        </w:rPr>
      </w:pPr>
      <w:bookmarkStart w:id="65" w:name="_Toc225676738"/>
      <w:r w:rsidRPr="00A65F75">
        <w:rPr>
          <w:rFonts w:cs="Arial"/>
          <w:sz w:val="22"/>
          <w:szCs w:val="22"/>
        </w:rPr>
        <w:t>4.7 Conclusion</w:t>
      </w:r>
      <w:bookmarkEnd w:id="65"/>
    </w:p>
    <w:p w14:paraId="409E9942" w14:textId="77777777" w:rsidR="00026B89" w:rsidRPr="00A65F75" w:rsidRDefault="00026B89" w:rsidP="00D11EC7">
      <w:pPr>
        <w:spacing w:line="360" w:lineRule="auto"/>
        <w:rPr>
          <w:rFonts w:ascii="Arial" w:hAnsi="Arial" w:cs="Arial"/>
        </w:rPr>
      </w:pPr>
      <w:r w:rsidRPr="00A65F75">
        <w:rPr>
          <w:rFonts w:ascii="Arial" w:hAnsi="Arial" w:cs="Arial"/>
        </w:rPr>
        <w:t>The present chapter introduced and critically reflected the major conclusions of the thematic literature review on the effects of ACEs and their subsequent mental health outcomes in marginalised and vulnerable groups in England and Wales. In line with the research objectives, four themes were identified out of the analysis. The initial theme indicated that ACEs are very widespread yet disproportionately encountered among the socioeconomically disadvantaged populations. The second theme showed clear correlation between cumulative exposure to ACEs and mental health outcome over time with there being evidence of dose response relationship between the number of ACEs that had been experienced and high risk of psychological distress and maladaptive coping behaviours. The third theme was the incorporation of approaches based on trauma into NHS mental health and social care, which showed that more and more people began to understand the importance of trauma-informed care, and its practice remained uneven across the healthcare sector. And the fourth theme revealed that the NHS had systemic gaps in service delivery such as staff training, disjointed policy and less reliance on healthcare services by people with high ACE exposure. The next chapter will critically review the broader literature and comment on the implications of these findings to policy and practice as well as future research.</w:t>
      </w:r>
    </w:p>
    <w:p w14:paraId="1DB93B5E" w14:textId="77777777" w:rsidR="00026B89" w:rsidRPr="00A65F75" w:rsidRDefault="00026B89" w:rsidP="00D11EC7">
      <w:pPr>
        <w:spacing w:line="360" w:lineRule="auto"/>
        <w:rPr>
          <w:rFonts w:ascii="Arial" w:hAnsi="Arial" w:cs="Arial"/>
        </w:rPr>
      </w:pPr>
      <w:r w:rsidRPr="00A65F75">
        <w:rPr>
          <w:rFonts w:ascii="Arial" w:hAnsi="Arial" w:cs="Arial"/>
        </w:rPr>
        <w:br w:type="page"/>
      </w:r>
    </w:p>
    <w:p w14:paraId="1DDB8427" w14:textId="77777777" w:rsidR="008E767F" w:rsidRPr="00A65F75" w:rsidRDefault="008E767F" w:rsidP="00D11EC7">
      <w:pPr>
        <w:pStyle w:val="Heading1"/>
        <w:spacing w:line="360" w:lineRule="auto"/>
        <w:rPr>
          <w:rFonts w:cs="Arial"/>
          <w:sz w:val="22"/>
          <w:szCs w:val="22"/>
        </w:rPr>
      </w:pPr>
      <w:bookmarkStart w:id="66" w:name="_Toc225676739"/>
      <w:r w:rsidRPr="00A65F75">
        <w:rPr>
          <w:rFonts w:cs="Arial"/>
          <w:sz w:val="22"/>
          <w:szCs w:val="22"/>
        </w:rPr>
        <w:t>CHAPTER 5 - Conclusion and Recommendations</w:t>
      </w:r>
      <w:bookmarkEnd w:id="66"/>
    </w:p>
    <w:p w14:paraId="09699214" w14:textId="77777777" w:rsidR="008E767F" w:rsidRPr="00A65F75" w:rsidRDefault="008E767F" w:rsidP="00D11EC7">
      <w:pPr>
        <w:pStyle w:val="Heading2"/>
        <w:spacing w:line="360" w:lineRule="auto"/>
        <w:rPr>
          <w:rFonts w:cs="Arial"/>
          <w:sz w:val="22"/>
          <w:szCs w:val="22"/>
        </w:rPr>
      </w:pPr>
      <w:bookmarkStart w:id="67" w:name="_Toc225676740"/>
      <w:r w:rsidRPr="00A65F75">
        <w:rPr>
          <w:rFonts w:cs="Arial"/>
          <w:sz w:val="22"/>
          <w:szCs w:val="22"/>
        </w:rPr>
        <w:t>5.1 – Overall Conclusion</w:t>
      </w:r>
      <w:bookmarkEnd w:id="67"/>
    </w:p>
    <w:p w14:paraId="3215CECD" w14:textId="77777777" w:rsidR="008E767F" w:rsidRPr="00A65F75" w:rsidRDefault="008E767F" w:rsidP="00D11EC7">
      <w:pPr>
        <w:spacing w:line="360" w:lineRule="auto"/>
        <w:rPr>
          <w:rFonts w:ascii="Arial" w:hAnsi="Arial" w:cs="Arial"/>
        </w:rPr>
      </w:pPr>
      <w:r w:rsidRPr="00A65F75">
        <w:rPr>
          <w:rFonts w:ascii="Arial" w:hAnsi="Arial" w:cs="Arial"/>
        </w:rPr>
        <w:t>This dissertation examined the mental health impacts of ACEs in the long term among marginalised populations in England and Wales. The background literature emphasized the incidence of ACEs and their excessive presence in the socioeconomically underprivileged communities demonstrating that people who have gone through various ACEs are more susceptible to long-lasting psychological and social problems. Towards data collection, the methodology elucidated a synthesis of empirical results and affirmed that cumulative accrued ACE exposure correlates with depression, anxiety, behavioural addictions and diminished resilience to stressors in later life. The third theme espoused TIC integration in NHS services and demonstrated that although TIC principles are gaining more recognition in policy, their implementation is still inconsistent because of organisational and systemic constraints. The fourth theme cited systemic gaps in healthcare provision such as insufficient staff training, diverse service delivery, and little service-user trust, which impede the provision of trauma-responsive care. In combination, the results of the review confirm that ACEs contributes to mental health disparities in the long term and that both personal trauma and structural factors have to be addressed. Marginalised populations have been used in the review to define people who are living in poverty, care-experienced backgrounds, and those who have experienced homelessness, because of their higher exposure to ACEs, and reduced access to effective mental health services. Nevertheless, considering these groups collectively may lead to the marginalization of significant variation in need, access to the services, and involvement in policy, suggesting the need for focused policy responses. The review evidenced the necessity of integrated, trauma-focused, and systemically-supported interventions to enhance mental health outcomes of vulnerable populations. Although most NHS services actively promote the introduction of trauma-informed care, its application is uneven, with disparities in staff training, resource distribution, and organisational preparedness. The findings imply that there is a disparity between policy aspiration and practice reality which begs the question whether contemporary systems are sufficiently prepared to respond to structurally dominant mental health inequalities.</w:t>
      </w:r>
    </w:p>
    <w:p w14:paraId="09AB5788" w14:textId="77777777" w:rsidR="008E767F" w:rsidRPr="00A65F75" w:rsidRDefault="008E767F" w:rsidP="00D11EC7">
      <w:pPr>
        <w:pStyle w:val="Heading2"/>
        <w:spacing w:line="360" w:lineRule="auto"/>
        <w:rPr>
          <w:rFonts w:cs="Arial"/>
          <w:sz w:val="22"/>
          <w:szCs w:val="22"/>
        </w:rPr>
      </w:pPr>
      <w:bookmarkStart w:id="68" w:name="_Toc225676741"/>
      <w:r w:rsidRPr="00A65F75">
        <w:rPr>
          <w:rFonts w:cs="Arial"/>
          <w:sz w:val="22"/>
          <w:szCs w:val="22"/>
        </w:rPr>
        <w:t>5.2 – Recommendations</w:t>
      </w:r>
      <w:bookmarkEnd w:id="68"/>
    </w:p>
    <w:p w14:paraId="0D49B3B5" w14:textId="77777777" w:rsidR="008E767F" w:rsidRPr="00A65F75" w:rsidRDefault="008E767F" w:rsidP="00D11EC7">
      <w:pPr>
        <w:pStyle w:val="Heading3"/>
        <w:spacing w:line="360" w:lineRule="auto"/>
        <w:rPr>
          <w:rFonts w:cs="Arial"/>
          <w:sz w:val="22"/>
          <w:szCs w:val="22"/>
        </w:rPr>
      </w:pPr>
      <w:bookmarkStart w:id="69" w:name="_Toc225676742"/>
      <w:r w:rsidRPr="00A65F75">
        <w:rPr>
          <w:rFonts w:cs="Arial"/>
          <w:sz w:val="22"/>
          <w:szCs w:val="22"/>
        </w:rPr>
        <w:t>5.2.1 Recommendation 1: Compulsory Trauma-Informed Training of the NHS staff</w:t>
      </w:r>
      <w:bookmarkEnd w:id="69"/>
    </w:p>
    <w:p w14:paraId="5F7FDC2D" w14:textId="77777777" w:rsidR="008E767F" w:rsidRPr="00A65F75" w:rsidRDefault="008E767F" w:rsidP="00D11EC7">
      <w:pPr>
        <w:spacing w:line="360" w:lineRule="auto"/>
        <w:rPr>
          <w:rFonts w:ascii="Arial" w:hAnsi="Arial" w:cs="Arial"/>
        </w:rPr>
      </w:pPr>
      <w:r w:rsidRPr="00A65F75">
        <w:rPr>
          <w:rFonts w:ascii="Arial" w:hAnsi="Arial" w:cs="Arial"/>
        </w:rPr>
        <w:t>The initial suggestion is the introduction of the compulsory training on trauma-informed training of NHS mental health and social care workers. McNally et al (2023) suggests that nearly 70% of Mental Health Trusts in England had not trained staff on trauma-sensitive practice, even though the policy has long advocated it. There is potential in formal training to lead to increased awareness of ACEs among the staff, understanding of behaviour associated with trauma, compassionate care, and personal caring.</w:t>
      </w:r>
    </w:p>
    <w:p w14:paraId="472E97BE" w14:textId="77777777" w:rsidR="008E767F" w:rsidRPr="00A65F75" w:rsidRDefault="008E767F" w:rsidP="00D11EC7">
      <w:pPr>
        <w:spacing w:line="360" w:lineRule="auto"/>
        <w:rPr>
          <w:rFonts w:ascii="Arial" w:hAnsi="Arial" w:cs="Arial"/>
        </w:rPr>
      </w:pPr>
      <w:r w:rsidRPr="00A65F75">
        <w:rPr>
          <w:rFonts w:ascii="Arial" w:hAnsi="Arial" w:cs="Arial"/>
          <w:i/>
          <w:iCs/>
        </w:rPr>
        <w:t>Barriers and Limitations</w:t>
      </w:r>
    </w:p>
    <w:p w14:paraId="6180355B" w14:textId="77777777" w:rsidR="008E767F" w:rsidRPr="00A65F75" w:rsidRDefault="008E767F" w:rsidP="00D11EC7">
      <w:pPr>
        <w:spacing w:line="360" w:lineRule="auto"/>
        <w:rPr>
          <w:rFonts w:ascii="Arial" w:hAnsi="Arial" w:cs="Arial"/>
        </w:rPr>
      </w:pPr>
      <w:r w:rsidRPr="00A65F75">
        <w:rPr>
          <w:rFonts w:ascii="Arial" w:hAnsi="Arial" w:cs="Arial"/>
        </w:rPr>
        <w:t>The capacity to provide universal training may be inhibited by resource constraints, staffing pressures and high turnover. Adoption may also be slowed down by resistance to change in long established organisational cultures.</w:t>
      </w:r>
    </w:p>
    <w:p w14:paraId="0E8BBC07" w14:textId="77777777" w:rsidR="008E767F" w:rsidRPr="00A65F75" w:rsidRDefault="008E767F" w:rsidP="00D11EC7">
      <w:pPr>
        <w:spacing w:line="360" w:lineRule="auto"/>
        <w:rPr>
          <w:rFonts w:ascii="Arial" w:hAnsi="Arial" w:cs="Arial"/>
          <w:i/>
          <w:iCs/>
        </w:rPr>
      </w:pPr>
      <w:r w:rsidRPr="00A65F75">
        <w:rPr>
          <w:rFonts w:ascii="Arial" w:hAnsi="Arial" w:cs="Arial"/>
          <w:i/>
          <w:iCs/>
        </w:rPr>
        <w:t xml:space="preserve">Strategies for Overcoming Barriers </w:t>
      </w:r>
    </w:p>
    <w:p w14:paraId="21B91576" w14:textId="77777777" w:rsidR="008E767F" w:rsidRPr="00A65F75" w:rsidRDefault="008E767F" w:rsidP="00D11EC7">
      <w:pPr>
        <w:spacing w:line="360" w:lineRule="auto"/>
        <w:rPr>
          <w:rFonts w:ascii="Arial" w:hAnsi="Arial" w:cs="Arial"/>
        </w:rPr>
      </w:pPr>
      <w:r w:rsidRPr="00A65F75">
        <w:rPr>
          <w:rFonts w:ascii="Arial" w:hAnsi="Arial" w:cs="Arial"/>
        </w:rPr>
        <w:t>Training may be incorporated in the continuous professional development programme and run online without the use of face-to-face workshops to minimise time and cost implications. The support and promotion of leadership in performance appraisal systems would promote the involvement of staff and cultural tolerance of trauma-informed care.</w:t>
      </w:r>
    </w:p>
    <w:p w14:paraId="54791D31" w14:textId="77777777" w:rsidR="008E767F" w:rsidRPr="00A65F75" w:rsidRDefault="008E767F" w:rsidP="00D11EC7">
      <w:pPr>
        <w:pStyle w:val="Heading3"/>
        <w:spacing w:line="360" w:lineRule="auto"/>
        <w:rPr>
          <w:rFonts w:cs="Arial"/>
          <w:sz w:val="22"/>
          <w:szCs w:val="22"/>
        </w:rPr>
      </w:pPr>
      <w:bookmarkStart w:id="70" w:name="_Toc225676743"/>
      <w:r w:rsidRPr="00A65F75">
        <w:rPr>
          <w:rFonts w:cs="Arial"/>
          <w:sz w:val="22"/>
          <w:szCs w:val="22"/>
        </w:rPr>
        <w:t>5.2.2 Recommendation 2: Adoption of Standardised Trauma-Informed Policies and Frameworks</w:t>
      </w:r>
      <w:bookmarkEnd w:id="70"/>
    </w:p>
    <w:p w14:paraId="4561CC06" w14:textId="77777777" w:rsidR="008E767F" w:rsidRPr="00A65F75" w:rsidRDefault="008E767F" w:rsidP="00D11EC7">
      <w:pPr>
        <w:spacing w:line="360" w:lineRule="auto"/>
        <w:rPr>
          <w:rFonts w:ascii="Arial" w:hAnsi="Arial" w:cs="Arial"/>
        </w:rPr>
      </w:pPr>
      <w:r w:rsidRPr="00A65F75">
        <w:rPr>
          <w:rFonts w:ascii="Arial" w:hAnsi="Arial" w:cs="Arial"/>
        </w:rPr>
        <w:t>The second recommendation cites standardisation of the trauma-informed policies and organisational frameworks at all NHS Trusts. According to the findings of Emsley et al. (2022), Scotland and Wales are better organized in terms of TIC strategies, while England is based on local disjointed efforts. A standardized national system would give effective direction on how the service is delivered, there would be cross-sector cooperation, and equalized standards of care.</w:t>
      </w:r>
    </w:p>
    <w:p w14:paraId="53DCD93F" w14:textId="77777777" w:rsidR="008E767F" w:rsidRPr="00A65F75" w:rsidRDefault="008E767F" w:rsidP="00D11EC7">
      <w:pPr>
        <w:spacing w:line="360" w:lineRule="auto"/>
        <w:rPr>
          <w:rFonts w:ascii="Arial" w:hAnsi="Arial" w:cs="Arial"/>
          <w:i/>
          <w:iCs/>
        </w:rPr>
      </w:pPr>
      <w:r w:rsidRPr="00A65F75">
        <w:rPr>
          <w:rFonts w:ascii="Arial" w:hAnsi="Arial" w:cs="Arial"/>
          <w:i/>
          <w:iCs/>
        </w:rPr>
        <w:t>Barriers and Limitations</w:t>
      </w:r>
    </w:p>
    <w:p w14:paraId="5A872246" w14:textId="77777777" w:rsidR="008E767F" w:rsidRPr="00A65F75" w:rsidRDefault="008E767F" w:rsidP="00D11EC7">
      <w:pPr>
        <w:spacing w:line="360" w:lineRule="auto"/>
        <w:rPr>
          <w:rFonts w:ascii="Arial" w:hAnsi="Arial" w:cs="Arial"/>
        </w:rPr>
      </w:pPr>
      <w:r w:rsidRPr="00A65F75">
        <w:rPr>
          <w:rFonts w:ascii="Arial" w:hAnsi="Arial" w:cs="Arial"/>
        </w:rPr>
        <w:t>It is argued that the implementation of the policy can be challenged by the unpredictability of the local organisational capacity, conflicting priorities, and difficulty in synchronisation of multi-agency services. Inequalities in the application could be caused by local opposition and disparities in the way funds are raised.</w:t>
      </w:r>
    </w:p>
    <w:p w14:paraId="0D3AAFD9" w14:textId="77777777" w:rsidR="008E767F" w:rsidRPr="00A65F75" w:rsidRDefault="008E767F" w:rsidP="00D11EC7">
      <w:pPr>
        <w:spacing w:line="360" w:lineRule="auto"/>
        <w:rPr>
          <w:rFonts w:ascii="Arial" w:hAnsi="Arial" w:cs="Arial"/>
          <w:i/>
          <w:iCs/>
        </w:rPr>
      </w:pPr>
      <w:r w:rsidRPr="00A65F75">
        <w:rPr>
          <w:rFonts w:ascii="Arial" w:hAnsi="Arial" w:cs="Arial"/>
          <w:i/>
          <w:iCs/>
        </w:rPr>
        <w:t xml:space="preserve">Strategies for Overcoming Barriers </w:t>
      </w:r>
    </w:p>
    <w:p w14:paraId="1F78D833" w14:textId="77777777" w:rsidR="008E767F" w:rsidRPr="00A65F75" w:rsidRDefault="008E767F" w:rsidP="00D11EC7">
      <w:pPr>
        <w:spacing w:line="360" w:lineRule="auto"/>
        <w:rPr>
          <w:rFonts w:ascii="Arial" w:hAnsi="Arial" w:cs="Arial"/>
        </w:rPr>
      </w:pPr>
      <w:r w:rsidRPr="00A65F75">
        <w:rPr>
          <w:rFonts w:ascii="Arial" w:hAnsi="Arial" w:cs="Arial"/>
        </w:rPr>
        <w:t>Staged implementation with pilot programs in specific areas would prove their usefulness, which can be applied in the broad implementation. Policies and funding incentives based on compliance with the policy and the establishment of regional TIC coordinators would help in oversight, accountability, and further learning within the organisations.</w:t>
      </w:r>
    </w:p>
    <w:p w14:paraId="7A0AD120" w14:textId="77777777" w:rsidR="008E767F" w:rsidRPr="00A65F75" w:rsidRDefault="008E767F" w:rsidP="00D11EC7">
      <w:pPr>
        <w:pStyle w:val="Heading3"/>
        <w:spacing w:line="360" w:lineRule="auto"/>
        <w:rPr>
          <w:rFonts w:cs="Arial"/>
          <w:sz w:val="22"/>
          <w:szCs w:val="22"/>
        </w:rPr>
      </w:pPr>
      <w:bookmarkStart w:id="71" w:name="_Toc225676744"/>
      <w:r w:rsidRPr="00A65F75">
        <w:rPr>
          <w:rFonts w:cs="Arial"/>
          <w:sz w:val="22"/>
          <w:szCs w:val="22"/>
        </w:rPr>
        <w:t>5.2.3 Recommendation 3: Greater Service User Engagement and Trust</w:t>
      </w:r>
      <w:bookmarkEnd w:id="71"/>
    </w:p>
    <w:p w14:paraId="0C05A619" w14:textId="77777777" w:rsidR="008E767F" w:rsidRPr="00A65F75" w:rsidRDefault="008E767F" w:rsidP="00D11EC7">
      <w:pPr>
        <w:spacing w:line="360" w:lineRule="auto"/>
        <w:rPr>
          <w:rFonts w:ascii="Arial" w:hAnsi="Arial" w:cs="Arial"/>
        </w:rPr>
      </w:pPr>
      <w:r w:rsidRPr="00A65F75">
        <w:rPr>
          <w:rFonts w:ascii="Arial" w:hAnsi="Arial" w:cs="Arial"/>
        </w:rPr>
        <w:t>The third suggestion would be to enhance service-user interaction and trust by co-producing services and trauma-sensitive methods of communication. Bellis et al. (2024) emphasized that patients who have four or more ACEs have considerably higher chances to experience low trust in healthcare services, which decreases their chances of support-seeking. Service-user feedback, peer support programs, and participatory strategies are some of the ways that guarantee responsive services, inclusivity, and services that are more relevant to the needs of the patients.</w:t>
      </w:r>
    </w:p>
    <w:p w14:paraId="4FC1CF18" w14:textId="77777777" w:rsidR="008E767F" w:rsidRPr="00A65F75" w:rsidRDefault="008E767F" w:rsidP="00D11EC7">
      <w:pPr>
        <w:spacing w:line="360" w:lineRule="auto"/>
        <w:rPr>
          <w:rFonts w:ascii="Arial" w:hAnsi="Arial" w:cs="Arial"/>
          <w:i/>
          <w:iCs/>
        </w:rPr>
      </w:pPr>
      <w:r w:rsidRPr="00A65F75">
        <w:rPr>
          <w:rFonts w:ascii="Arial" w:hAnsi="Arial" w:cs="Arial"/>
          <w:i/>
          <w:iCs/>
        </w:rPr>
        <w:t>Barriers and Limitations</w:t>
      </w:r>
    </w:p>
    <w:p w14:paraId="5932A688" w14:textId="77777777" w:rsidR="008E767F" w:rsidRPr="00A65F75" w:rsidRDefault="008E767F" w:rsidP="00D11EC7">
      <w:pPr>
        <w:spacing w:line="360" w:lineRule="auto"/>
        <w:rPr>
          <w:rFonts w:ascii="Arial" w:hAnsi="Arial" w:cs="Arial"/>
        </w:rPr>
      </w:pPr>
      <w:r w:rsidRPr="00A65F75">
        <w:rPr>
          <w:rFonts w:ascii="Arial" w:hAnsi="Arial" w:cs="Arial"/>
        </w:rPr>
        <w:t>Participatory strategies will need extra resources, time and organisational flexibility. Another possible risk is that unless the staff is trained, they can re-traumatise the service users as they go through the engagement activities.</w:t>
      </w:r>
    </w:p>
    <w:p w14:paraId="072B8EF2" w14:textId="77777777" w:rsidR="008E767F" w:rsidRPr="00A65F75" w:rsidRDefault="008E767F" w:rsidP="00D11EC7">
      <w:pPr>
        <w:spacing w:line="360" w:lineRule="auto"/>
        <w:rPr>
          <w:rFonts w:ascii="Arial" w:hAnsi="Arial" w:cs="Arial"/>
          <w:i/>
          <w:iCs/>
        </w:rPr>
      </w:pPr>
      <w:r w:rsidRPr="00A65F75">
        <w:rPr>
          <w:rFonts w:ascii="Arial" w:hAnsi="Arial" w:cs="Arial"/>
          <w:i/>
          <w:iCs/>
        </w:rPr>
        <w:t xml:space="preserve">Strategies for Overcoming Barriers </w:t>
      </w:r>
    </w:p>
    <w:p w14:paraId="2D177DBB" w14:textId="77777777" w:rsidR="008E767F" w:rsidRPr="00A65F75" w:rsidRDefault="008E767F" w:rsidP="00D11EC7">
      <w:pPr>
        <w:spacing w:line="360" w:lineRule="auto"/>
        <w:rPr>
          <w:rFonts w:ascii="Arial" w:hAnsi="Arial" w:cs="Arial"/>
        </w:rPr>
      </w:pPr>
      <w:r w:rsidRPr="00A65F75">
        <w:rPr>
          <w:rFonts w:ascii="Arial" w:hAnsi="Arial" w:cs="Arial"/>
        </w:rPr>
        <w:t>Matters can be addressed by organized co-production systems backed up by training on trauma-sensitive communication to reduce the risks. The inclusion of peer support workers with lived experience of trauma into service team can enhance trust and engagement and offer relatable information to vulnerable populations. Online services might also be used to complement the face-to-face interaction in order to reach marginalised populations who are unable to access services physically.</w:t>
      </w:r>
    </w:p>
    <w:p w14:paraId="58DA759C" w14:textId="1AF7C997" w:rsidR="00F2229C" w:rsidRPr="00A65F75" w:rsidRDefault="008E767F" w:rsidP="00D11EC7">
      <w:pPr>
        <w:spacing w:line="360" w:lineRule="auto"/>
        <w:rPr>
          <w:rFonts w:ascii="Arial" w:hAnsi="Arial" w:cs="Arial"/>
        </w:rPr>
      </w:pPr>
      <w:r w:rsidRPr="00A65F75">
        <w:rPr>
          <w:rFonts w:ascii="Arial" w:hAnsi="Arial" w:cs="Arial"/>
        </w:rPr>
        <w:t>The recommendations presuppose that service level interventions are the only solution to ACE-related disparities. However, evidence indicates that without targeting structural disadvantage more generally, interventions focused on service level may have a limited effect in the long run. Organisations have to consider the effectiveness of the trauma-informed disclosure using measurable results such as service-user satisfaction, mental health enhancements, and staff competency. Intersectoral partnership with both social care and education, and community services will also contribute to the capacity to meet the multifaceted needs of people with ACE histories. Moving forward, it is recommended to focus on the improvement of structural, organisational, and interpersonal obstacles to trauma-informed care. Through obligatory employee training, standardisation frameworks, and increased service-user interaction, provide feasible and effective ways to enhance the mental health of marginalised groups, reduce inequalities, and make NHS services responsive to the long-lasting effects of ACEs.</w:t>
      </w:r>
    </w:p>
    <w:p w14:paraId="793CDE64" w14:textId="77777777" w:rsidR="008E767F" w:rsidRPr="00A65F75" w:rsidRDefault="008E767F" w:rsidP="00D11EC7">
      <w:pPr>
        <w:spacing w:line="360" w:lineRule="auto"/>
        <w:rPr>
          <w:rFonts w:ascii="Arial" w:eastAsiaTheme="majorEastAsia" w:hAnsi="Arial" w:cs="Arial"/>
          <w:b/>
        </w:rPr>
      </w:pPr>
      <w:r w:rsidRPr="00A65F75">
        <w:rPr>
          <w:rFonts w:ascii="Arial" w:hAnsi="Arial" w:cs="Arial"/>
        </w:rPr>
        <w:br w:type="page"/>
      </w:r>
    </w:p>
    <w:p w14:paraId="20CD88A0" w14:textId="37365BE4" w:rsidR="00DB2B8A" w:rsidRPr="00A65F75" w:rsidRDefault="00D11EC7" w:rsidP="00D11EC7">
      <w:pPr>
        <w:pStyle w:val="Heading1"/>
        <w:spacing w:line="360" w:lineRule="auto"/>
        <w:rPr>
          <w:rFonts w:cs="Arial"/>
          <w:sz w:val="22"/>
          <w:szCs w:val="22"/>
        </w:rPr>
      </w:pPr>
      <w:bookmarkStart w:id="72" w:name="_Toc225676745"/>
      <w:r w:rsidRPr="00A65F75">
        <w:rPr>
          <w:rFonts w:cs="Arial"/>
          <w:sz w:val="22"/>
          <w:szCs w:val="22"/>
        </w:rPr>
        <w:t>REFERENCES</w:t>
      </w:r>
      <w:bookmarkEnd w:id="72"/>
    </w:p>
    <w:p w14:paraId="2D1EB321"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Abraham, L. (2024) </w:t>
      </w:r>
      <w:r w:rsidRPr="00A65F75">
        <w:rPr>
          <w:rFonts w:ascii="Arial" w:hAnsi="Arial" w:cs="Arial"/>
          <w:i/>
          <w:iCs/>
        </w:rPr>
        <w:t>“Meeting the needs of these children is everyone’s business and we all have a responsibility to support the needs of the most vulnerable young people and children in the local authority”: exploring the educational psychologist’s role in supporting the educational experiences of children living in residential care in Wales</w:t>
      </w:r>
      <w:r w:rsidRPr="00A65F75">
        <w:rPr>
          <w:rFonts w:ascii="Arial" w:hAnsi="Arial" w:cs="Arial"/>
        </w:rPr>
        <w:t>. PhD thesis. Cardiff: Cardiff University.</w:t>
      </w:r>
      <w:r>
        <w:rPr>
          <w:rFonts w:ascii="Arial" w:hAnsi="Arial" w:cs="Arial"/>
        </w:rPr>
        <w:t xml:space="preserve"> </w:t>
      </w:r>
      <w:hyperlink r:id="rId8" w:history="1">
        <w:r w:rsidRPr="006A20FB">
          <w:rPr>
            <w:rStyle w:val="Hyperlink"/>
            <w:rFonts w:ascii="Arial" w:hAnsi="Arial" w:cs="Arial"/>
          </w:rPr>
          <w:t>https://orca.cardiff.ac.uk/id/eprint/172163</w:t>
        </w:r>
      </w:hyperlink>
      <w:r>
        <w:rPr>
          <w:rFonts w:ascii="Arial" w:hAnsi="Arial" w:cs="Arial"/>
        </w:rPr>
        <w:t xml:space="preserve"> </w:t>
      </w:r>
    </w:p>
    <w:p w14:paraId="0DCAD0A8"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Ahmed, S.K., Mohammed, R.A., Nashwan, A.J., Ibrahim, R.H., Abdalla, A.Q., Ameen, B.M.M. and Khdhir, R.M. (2025) ‘Using thematic analysis in qualitative research’, </w:t>
      </w:r>
      <w:r w:rsidRPr="00A65F75">
        <w:rPr>
          <w:rFonts w:ascii="Arial" w:hAnsi="Arial" w:cs="Arial"/>
          <w:i/>
          <w:iCs/>
        </w:rPr>
        <w:t>Journal of Medicine, Surgery, and Public Health</w:t>
      </w:r>
      <w:r w:rsidRPr="00A65F75">
        <w:rPr>
          <w:rFonts w:ascii="Arial" w:hAnsi="Arial" w:cs="Arial"/>
        </w:rPr>
        <w:t>, 6, article 100198.</w:t>
      </w:r>
      <w:r>
        <w:rPr>
          <w:rFonts w:ascii="Arial" w:hAnsi="Arial" w:cs="Arial"/>
        </w:rPr>
        <w:t xml:space="preserve"> </w:t>
      </w:r>
      <w:hyperlink r:id="rId9" w:tgtFrame="_blank" w:tooltip="Persistent link using digital object identifier" w:history="1">
        <w:r w:rsidRPr="006A20FB">
          <w:rPr>
            <w:rStyle w:val="Hyperlink"/>
            <w:rFonts w:ascii="Arial" w:hAnsi="Arial" w:cs="Arial"/>
          </w:rPr>
          <w:t>https://doi.org/10.1016/j.glmedi.2025.100198</w:t>
        </w:r>
      </w:hyperlink>
      <w:r>
        <w:rPr>
          <w:rFonts w:ascii="Arial" w:hAnsi="Arial" w:cs="Arial"/>
        </w:rPr>
        <w:t xml:space="preserve"> </w:t>
      </w:r>
    </w:p>
    <w:p w14:paraId="38B38470" w14:textId="40393365" w:rsidR="00BD6F3C" w:rsidRPr="00A65F75" w:rsidRDefault="00BD6F3C" w:rsidP="00EA06A6">
      <w:pPr>
        <w:spacing w:line="360" w:lineRule="auto"/>
        <w:ind w:left="720" w:hanging="720"/>
        <w:rPr>
          <w:rFonts w:ascii="Arial" w:hAnsi="Arial" w:cs="Arial"/>
        </w:rPr>
      </w:pPr>
      <w:r w:rsidRPr="00A65F75">
        <w:rPr>
          <w:rFonts w:ascii="Arial" w:hAnsi="Arial" w:cs="Arial"/>
        </w:rPr>
        <w:t xml:space="preserve">Arai, L. (2023) ‘Essential study skills for health and social care students.’ In </w:t>
      </w:r>
      <w:r w:rsidRPr="00A65F75">
        <w:rPr>
          <w:rFonts w:ascii="Arial" w:hAnsi="Arial" w:cs="Arial"/>
          <w:i/>
          <w:iCs/>
        </w:rPr>
        <w:t>Foundations for 21st-Century Health and Social Care</w:t>
      </w:r>
      <w:r w:rsidRPr="00A65F75">
        <w:rPr>
          <w:rFonts w:ascii="Arial" w:hAnsi="Arial" w:cs="Arial"/>
        </w:rPr>
        <w:t xml:space="preserve"> (pp. 11-31). Routledge.</w:t>
      </w:r>
      <w:r>
        <w:rPr>
          <w:rFonts w:ascii="Arial" w:hAnsi="Arial" w:cs="Arial"/>
        </w:rPr>
        <w:t xml:space="preserve"> </w:t>
      </w:r>
      <w:r w:rsidR="005542C3">
        <w:rPr>
          <w:rFonts w:ascii="Arial" w:hAnsi="Arial" w:cs="Arial"/>
        </w:rPr>
        <w:t xml:space="preserve">Available at: </w:t>
      </w:r>
      <w:hyperlink r:id="rId10" w:history="1">
        <w:r w:rsidR="005542C3" w:rsidRPr="00507D58">
          <w:rPr>
            <w:rStyle w:val="Hyperlink"/>
            <w:rFonts w:ascii="Arial" w:hAnsi="Arial" w:cs="Arial"/>
          </w:rPr>
          <w:t>https://www.taylorfrancis.com/chapters/edit/10.4324/9781003198338-4/research-research-basics-evidence-based-practice-lisa-arai?context=ubx</w:t>
        </w:r>
      </w:hyperlink>
      <w:r>
        <w:rPr>
          <w:rFonts w:ascii="Arial" w:hAnsi="Arial" w:cs="Arial"/>
        </w:rPr>
        <w:t xml:space="preserve"> </w:t>
      </w:r>
      <w:r w:rsidR="005542C3">
        <w:rPr>
          <w:rFonts w:ascii="Arial" w:hAnsi="Arial" w:cs="Arial"/>
        </w:rPr>
        <w:t>(Accessed 28 March 2026)</w:t>
      </w:r>
    </w:p>
    <w:p w14:paraId="59EC9A7F"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Bellis, M.A., Hughes, K., Ford, K., Butler, N., Wilson, C. and Quigg, Z. (2025) ‘Relative and combined contributions of adverse childhood experiences and self-reported child poverty to health and economic outcomes in adults: a retrospective study in a UK region’, </w:t>
      </w:r>
      <w:r w:rsidRPr="00A65F75">
        <w:rPr>
          <w:rFonts w:ascii="Arial" w:hAnsi="Arial" w:cs="Arial"/>
          <w:i/>
          <w:iCs/>
        </w:rPr>
        <w:t>BMC Public Health</w:t>
      </w:r>
      <w:r w:rsidRPr="00A65F75">
        <w:rPr>
          <w:rFonts w:ascii="Arial" w:hAnsi="Arial" w:cs="Arial"/>
        </w:rPr>
        <w:t>, 25(1), p. 3501.</w:t>
      </w:r>
      <w:r>
        <w:rPr>
          <w:rFonts w:ascii="Arial" w:hAnsi="Arial" w:cs="Arial"/>
        </w:rPr>
        <w:t xml:space="preserve"> </w:t>
      </w:r>
      <w:hyperlink r:id="rId11" w:history="1">
        <w:r w:rsidRPr="006224C9">
          <w:rPr>
            <w:rStyle w:val="Hyperlink"/>
            <w:rFonts w:ascii="Arial" w:hAnsi="Arial" w:cs="Arial"/>
          </w:rPr>
          <w:t>https://doi.org/10.1186/s12889-025-23938-z</w:t>
        </w:r>
      </w:hyperlink>
      <w:r>
        <w:rPr>
          <w:rFonts w:ascii="Arial" w:hAnsi="Arial" w:cs="Arial"/>
        </w:rPr>
        <w:t xml:space="preserve"> </w:t>
      </w:r>
    </w:p>
    <w:p w14:paraId="64EFE3DC" w14:textId="4C97D7C3" w:rsidR="00BD6F3C" w:rsidRPr="00A65F75" w:rsidRDefault="00BD6F3C" w:rsidP="00EA06A6">
      <w:pPr>
        <w:spacing w:line="360" w:lineRule="auto"/>
        <w:ind w:left="720" w:hanging="720"/>
        <w:rPr>
          <w:rFonts w:ascii="Arial" w:hAnsi="Arial" w:cs="Arial"/>
        </w:rPr>
      </w:pPr>
      <w:r w:rsidRPr="00A65F75">
        <w:rPr>
          <w:rFonts w:ascii="Arial" w:hAnsi="Arial" w:cs="Arial"/>
        </w:rPr>
        <w:t xml:space="preserve">Bellis, M.A., Hughes, K., Ford, K., Sharp, C. and Hill, R. (2024) ‘Associations between adverse childhood experiences and trust in health and other information from public services, professionals and wider sources: national cross-sectional survey’, </w:t>
      </w:r>
      <w:r w:rsidRPr="00A65F75">
        <w:rPr>
          <w:rFonts w:ascii="Arial" w:hAnsi="Arial" w:cs="Arial"/>
          <w:i/>
          <w:iCs/>
        </w:rPr>
        <w:t>BMJ Public Health</w:t>
      </w:r>
      <w:r w:rsidRPr="00A65F75">
        <w:rPr>
          <w:rFonts w:ascii="Arial" w:hAnsi="Arial" w:cs="Arial"/>
        </w:rPr>
        <w:t>, 2(1).</w:t>
      </w:r>
      <w:r w:rsidR="005542C3">
        <w:rPr>
          <w:rFonts w:ascii="Arial" w:hAnsi="Arial" w:cs="Arial"/>
        </w:rPr>
        <w:t xml:space="preserve"> DOI: </w:t>
      </w:r>
      <w:r w:rsidRPr="009A7D62">
        <w:rPr>
          <w:rFonts w:ascii="Arial" w:hAnsi="Arial" w:cs="Arial"/>
        </w:rPr>
        <w:t>10.1136/bmjph-2023-000868</w:t>
      </w:r>
      <w:r w:rsidR="005542C3">
        <w:rPr>
          <w:rFonts w:ascii="Arial" w:hAnsi="Arial" w:cs="Arial"/>
        </w:rPr>
        <w:t xml:space="preserve"> </w:t>
      </w:r>
    </w:p>
    <w:p w14:paraId="62055413" w14:textId="77777777" w:rsidR="00BD6F3C" w:rsidRPr="00ED7700" w:rsidRDefault="00BD6F3C" w:rsidP="00EA06A6">
      <w:pPr>
        <w:spacing w:line="360" w:lineRule="auto"/>
        <w:ind w:left="720" w:hanging="720"/>
        <w:rPr>
          <w:rFonts w:ascii="Arial" w:hAnsi="Arial" w:cs="Arial"/>
        </w:rPr>
      </w:pPr>
      <w:r w:rsidRPr="00A65F75">
        <w:rPr>
          <w:rFonts w:ascii="Arial" w:hAnsi="Arial" w:cs="Arial"/>
        </w:rPr>
        <w:t xml:space="preserve">Bhutta, Z., Bhavnani, S., Betancourt, T., Tomlinson, M. and Patel, V. (2023) ‘Adverse childhood experiences and </w:t>
      </w:r>
      <w:r w:rsidRPr="00ED7700">
        <w:rPr>
          <w:rFonts w:ascii="Arial" w:hAnsi="Arial" w:cs="Arial"/>
        </w:rPr>
        <w:t xml:space="preserve">lifelong health’, </w:t>
      </w:r>
      <w:r w:rsidRPr="00ED7700">
        <w:rPr>
          <w:rFonts w:ascii="Arial" w:hAnsi="Arial" w:cs="Arial"/>
          <w:i/>
          <w:iCs/>
        </w:rPr>
        <w:t>Nature Medicine</w:t>
      </w:r>
      <w:r w:rsidRPr="00ED7700">
        <w:rPr>
          <w:rFonts w:ascii="Arial" w:hAnsi="Arial" w:cs="Arial"/>
        </w:rPr>
        <w:t xml:space="preserve">, 29, pp. 1639–1648. Available at: </w:t>
      </w:r>
      <w:hyperlink r:id="rId12" w:history="1">
        <w:r w:rsidRPr="00ED7700">
          <w:rPr>
            <w:rStyle w:val="Hyperlink"/>
            <w:rFonts w:ascii="Arial" w:hAnsi="Arial" w:cs="Arial"/>
            <w:color w:val="auto"/>
          </w:rPr>
          <w:t>https://doi.org/10.1038/s41591-023-02426-0</w:t>
        </w:r>
      </w:hyperlink>
      <w:r w:rsidRPr="00ED7700">
        <w:rPr>
          <w:rFonts w:ascii="Arial" w:hAnsi="Arial" w:cs="Arial"/>
        </w:rPr>
        <w:t>.</w:t>
      </w:r>
    </w:p>
    <w:p w14:paraId="01773EFD" w14:textId="77777777" w:rsidR="00BD6F3C" w:rsidRPr="00A65F75" w:rsidRDefault="00BD6F3C" w:rsidP="00EA06A6">
      <w:pPr>
        <w:spacing w:line="360" w:lineRule="auto"/>
        <w:ind w:left="720" w:hanging="720"/>
        <w:rPr>
          <w:rFonts w:ascii="Arial" w:hAnsi="Arial" w:cs="Arial"/>
        </w:rPr>
      </w:pPr>
      <w:r w:rsidRPr="00287F10">
        <w:rPr>
          <w:rFonts w:ascii="Arial" w:hAnsi="Arial" w:cs="Arial"/>
        </w:rPr>
        <w:t xml:space="preserve">Buzelli, L., Cameron, G. and Gardner, T. (2022) </w:t>
      </w:r>
      <w:r w:rsidRPr="00287F10">
        <w:rPr>
          <w:rFonts w:ascii="Arial" w:hAnsi="Arial" w:cs="Arial"/>
          <w:i/>
          <w:iCs/>
        </w:rPr>
        <w:t>Public perceptions of the NHS and social care: performance, policy and expectations</w:t>
      </w:r>
      <w:r w:rsidRPr="00287F10">
        <w:rPr>
          <w:rFonts w:ascii="Arial" w:hAnsi="Arial" w:cs="Arial"/>
        </w:rPr>
        <w:t>. London: The Health Foundation.</w:t>
      </w:r>
      <w:r>
        <w:rPr>
          <w:rFonts w:ascii="Arial" w:hAnsi="Arial" w:cs="Arial"/>
        </w:rPr>
        <w:t xml:space="preserve"> Available at: </w:t>
      </w:r>
      <w:hyperlink r:id="rId13" w:history="1">
        <w:r w:rsidRPr="006224C9">
          <w:rPr>
            <w:rStyle w:val="Hyperlink"/>
            <w:rFonts w:ascii="Arial" w:hAnsi="Arial" w:cs="Arial"/>
          </w:rPr>
          <w:t>https://www.health.org.uk/sites/default/files/pdf/2022-02/2022%20-%20Public%20polling.pdf</w:t>
        </w:r>
      </w:hyperlink>
      <w:r>
        <w:rPr>
          <w:rFonts w:ascii="Arial" w:hAnsi="Arial" w:cs="Arial"/>
        </w:rPr>
        <w:t xml:space="preserve"> (Accessed 28 March 2026).</w:t>
      </w:r>
    </w:p>
    <w:p w14:paraId="56B81A78"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Camacho, S. and Henderson, S.C. (2022) ‘The social determinants of adverse childhood experiences: an intersectional analysis of place, access to resources, and compounding effects’, </w:t>
      </w:r>
      <w:r w:rsidRPr="00A65F75">
        <w:rPr>
          <w:rFonts w:ascii="Arial" w:hAnsi="Arial" w:cs="Arial"/>
          <w:i/>
          <w:iCs/>
        </w:rPr>
        <w:t>International Journal of Environmental Research and Public Health</w:t>
      </w:r>
      <w:r w:rsidRPr="00A65F75">
        <w:rPr>
          <w:rFonts w:ascii="Arial" w:hAnsi="Arial" w:cs="Arial"/>
        </w:rPr>
        <w:t>, 19(17), p. 10670.</w:t>
      </w:r>
      <w:r>
        <w:rPr>
          <w:rFonts w:ascii="Arial" w:hAnsi="Arial" w:cs="Arial"/>
        </w:rPr>
        <w:t xml:space="preserve"> </w:t>
      </w:r>
      <w:hyperlink r:id="rId14" w:history="1">
        <w:r w:rsidRPr="000B0853">
          <w:rPr>
            <w:rStyle w:val="Hyperlink"/>
            <w:rFonts w:ascii="Arial" w:hAnsi="Arial" w:cs="Arial"/>
          </w:rPr>
          <w:t>https://doi.org/10.3390/ijerph191710670</w:t>
        </w:r>
      </w:hyperlink>
    </w:p>
    <w:p w14:paraId="6FDC4E06" w14:textId="77777777" w:rsidR="00BD6F3C" w:rsidRDefault="00BD6F3C" w:rsidP="00A86FE4">
      <w:pPr>
        <w:spacing w:line="360" w:lineRule="auto"/>
        <w:ind w:left="720" w:hanging="720"/>
        <w:rPr>
          <w:rFonts w:ascii="Arial" w:hAnsi="Arial" w:cs="Arial"/>
        </w:rPr>
      </w:pPr>
      <w:r w:rsidRPr="00A65F75">
        <w:rPr>
          <w:rFonts w:ascii="Arial" w:hAnsi="Arial" w:cs="Arial"/>
        </w:rPr>
        <w:t xml:space="preserve">Christou, P.A. (2022) ‘How to use thematic analysis in qualitative research’, </w:t>
      </w:r>
      <w:r w:rsidRPr="00A65F75">
        <w:rPr>
          <w:rFonts w:ascii="Arial" w:hAnsi="Arial" w:cs="Arial"/>
          <w:i/>
          <w:iCs/>
        </w:rPr>
        <w:t>Journal of Qualitative Research in Tourism</w:t>
      </w:r>
      <w:r w:rsidRPr="00A65F75">
        <w:rPr>
          <w:rFonts w:ascii="Arial" w:hAnsi="Arial" w:cs="Arial"/>
        </w:rPr>
        <w:t>, 3(2), pp. 79–95.</w:t>
      </w:r>
      <w:r>
        <w:rPr>
          <w:rFonts w:ascii="Arial" w:hAnsi="Arial" w:cs="Arial"/>
        </w:rPr>
        <w:t xml:space="preserve"> </w:t>
      </w:r>
      <w:hyperlink r:id="rId15" w:tgtFrame="_blank" w:history="1">
        <w:r w:rsidRPr="000B0853">
          <w:rPr>
            <w:rStyle w:val="Hyperlink"/>
            <w:rFonts w:ascii="Arial" w:hAnsi="Arial" w:cs="Arial"/>
          </w:rPr>
          <w:t>https://doi.org/10.4337/jqrt.2023.0006</w:t>
        </w:r>
      </w:hyperlink>
    </w:p>
    <w:p w14:paraId="71AA3F14" w14:textId="52DAEBA8" w:rsidR="00BD6F3C" w:rsidRPr="006B21CE" w:rsidRDefault="00BD6F3C" w:rsidP="00A86FE4">
      <w:pPr>
        <w:spacing w:line="360" w:lineRule="auto"/>
        <w:ind w:left="720" w:hanging="720"/>
        <w:rPr>
          <w:rFonts w:ascii="Arial" w:hAnsi="Arial" w:cs="Arial"/>
        </w:rPr>
      </w:pPr>
      <w:r w:rsidRPr="00A65F75">
        <w:rPr>
          <w:rFonts w:ascii="Arial" w:hAnsi="Arial" w:cs="Arial"/>
        </w:rPr>
        <w:t xml:space="preserve">Clark, H., Royal, P., Robillard Webb, L., Viggars, M., Veale, V., Godfrey, K., Derbyshire, E., Whyte, D., Eddy, J., Murray, A. and Murray, P. (2024) </w:t>
      </w:r>
      <w:r w:rsidRPr="00A65F75">
        <w:rPr>
          <w:rFonts w:ascii="Arial" w:hAnsi="Arial" w:cs="Arial"/>
          <w:i/>
          <w:iCs/>
        </w:rPr>
        <w:t>Adverse childhood experiences: roads to recovery</w:t>
      </w:r>
      <w:r w:rsidRPr="00A65F75">
        <w:rPr>
          <w:rFonts w:ascii="Arial" w:hAnsi="Arial" w:cs="Arial"/>
        </w:rPr>
        <w:t>. London: The Cross-Party Group for a Fit and Healthy Childhood.</w:t>
      </w:r>
      <w:r>
        <w:rPr>
          <w:rFonts w:ascii="Arial" w:hAnsi="Arial" w:cs="Arial"/>
        </w:rPr>
        <w:t xml:space="preserve"> </w:t>
      </w:r>
      <w:r w:rsidR="005542C3">
        <w:rPr>
          <w:rFonts w:ascii="Arial" w:hAnsi="Arial" w:cs="Arial"/>
        </w:rPr>
        <w:t xml:space="preserve">Available at: </w:t>
      </w:r>
      <w:hyperlink r:id="rId16" w:history="1">
        <w:r w:rsidR="005542C3" w:rsidRPr="001A296B">
          <w:rPr>
            <w:rStyle w:val="Hyperlink"/>
            <w:rFonts w:ascii="Arial" w:hAnsi="Arial" w:cs="Arial"/>
          </w:rPr>
          <w:t>https://fhcappg.org.uk/?page_id=4360</w:t>
        </w:r>
      </w:hyperlink>
      <w:r w:rsidR="005542C3">
        <w:t xml:space="preserve"> (Accessed 28 March 2026).</w:t>
      </w:r>
    </w:p>
    <w:p w14:paraId="2B42C8B2" w14:textId="77777777" w:rsidR="00BD6F3C" w:rsidRPr="001946F2" w:rsidRDefault="00BD6F3C" w:rsidP="00EA06A6">
      <w:pPr>
        <w:spacing w:line="360" w:lineRule="auto"/>
        <w:ind w:left="720" w:hanging="720"/>
        <w:rPr>
          <w:rFonts w:ascii="Arial" w:hAnsi="Arial" w:cs="Arial"/>
        </w:rPr>
      </w:pPr>
      <w:r w:rsidRPr="00A65F75">
        <w:rPr>
          <w:rFonts w:ascii="Arial" w:hAnsi="Arial" w:cs="Arial"/>
        </w:rPr>
        <w:t xml:space="preserve">Corcoran, R. (2023) ‘Poverty, ACEs and stigmatised places: the application of psychology to the challenges of disadvantage’, </w:t>
      </w:r>
      <w:r w:rsidRPr="00A65F75">
        <w:rPr>
          <w:rFonts w:ascii="Arial" w:hAnsi="Arial" w:cs="Arial"/>
          <w:i/>
          <w:iCs/>
        </w:rPr>
        <w:t>Psychology and Psychotherapy: Theory, Research and Practice</w:t>
      </w:r>
      <w:r w:rsidRPr="00A65F75">
        <w:rPr>
          <w:rFonts w:ascii="Arial" w:hAnsi="Arial" w:cs="Arial"/>
        </w:rPr>
        <w:t>, 96(3), pp. 577–589.</w:t>
      </w:r>
      <w:r>
        <w:rPr>
          <w:rFonts w:ascii="Arial" w:hAnsi="Arial" w:cs="Arial"/>
        </w:rPr>
        <w:t xml:space="preserve"> </w:t>
      </w:r>
      <w:hyperlink r:id="rId17" w:history="1">
        <w:r w:rsidRPr="001946F2">
          <w:rPr>
            <w:rStyle w:val="Hyperlink"/>
            <w:rFonts w:ascii="Arial" w:hAnsi="Arial" w:cs="Arial"/>
          </w:rPr>
          <w:t>https://doi.org/10.1111/papt.12457</w:t>
        </w:r>
      </w:hyperlink>
    </w:p>
    <w:p w14:paraId="3C1A13D4"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Danese, A., Asmussen, K., MacLeod, J., Meehan, A., Sears, J., Slopen, N., Smith, P. and Sweeney, A. (2024) ‘Revisiting the use of adverse childhood experience screening in healthcare settings’, </w:t>
      </w:r>
      <w:r w:rsidRPr="00A65F75">
        <w:rPr>
          <w:rFonts w:ascii="Arial" w:hAnsi="Arial" w:cs="Arial"/>
          <w:i/>
          <w:iCs/>
        </w:rPr>
        <w:t>Nature Reviews Psychology</w:t>
      </w:r>
      <w:r w:rsidRPr="00A65F75">
        <w:rPr>
          <w:rFonts w:ascii="Arial" w:hAnsi="Arial" w:cs="Arial"/>
        </w:rPr>
        <w:t>, 3(11), pp. 729–740.</w:t>
      </w:r>
      <w:r>
        <w:rPr>
          <w:rFonts w:ascii="Arial" w:hAnsi="Arial" w:cs="Arial"/>
        </w:rPr>
        <w:t xml:space="preserve"> </w:t>
      </w:r>
      <w:hyperlink r:id="rId18" w:history="1">
        <w:r w:rsidRPr="006224C9">
          <w:rPr>
            <w:rStyle w:val="Hyperlink"/>
            <w:rFonts w:ascii="Arial" w:hAnsi="Arial" w:cs="Arial"/>
          </w:rPr>
          <w:t>https://doi.org/10.1038/s44159-024-00362-5</w:t>
        </w:r>
      </w:hyperlink>
      <w:r>
        <w:rPr>
          <w:rFonts w:ascii="Arial" w:hAnsi="Arial" w:cs="Arial"/>
        </w:rPr>
        <w:t xml:space="preserve"> </w:t>
      </w:r>
    </w:p>
    <w:p w14:paraId="4F778A93"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Dawson, S., Bierce, A., Feder, G., Macleod, J., Turner, K.M. and Zammit, S. (2021) ‘Trauma-informed approaches to primary and community mental health care: protocol for a mixed-methods systematic review’, </w:t>
      </w:r>
      <w:r w:rsidRPr="00A65F75">
        <w:rPr>
          <w:rFonts w:ascii="Arial" w:hAnsi="Arial" w:cs="Arial"/>
          <w:i/>
          <w:iCs/>
        </w:rPr>
        <w:t>BMJ Open</w:t>
      </w:r>
      <w:r w:rsidRPr="00A65F75">
        <w:rPr>
          <w:rFonts w:ascii="Arial" w:hAnsi="Arial" w:cs="Arial"/>
        </w:rPr>
        <w:t>, 11(2), article e042112.</w:t>
      </w:r>
      <w:r>
        <w:rPr>
          <w:rFonts w:ascii="Arial" w:hAnsi="Arial" w:cs="Arial"/>
        </w:rPr>
        <w:t xml:space="preserve"> </w:t>
      </w:r>
      <w:hyperlink r:id="rId19" w:tgtFrame="_new" w:history="1">
        <w:r w:rsidRPr="00976474">
          <w:rPr>
            <w:rStyle w:val="Hyperlink"/>
            <w:rFonts w:ascii="Arial" w:hAnsi="Arial" w:cs="Arial"/>
          </w:rPr>
          <w:t>https://doi.org/10.1136/bmjopen-2020-042112</w:t>
        </w:r>
      </w:hyperlink>
      <w:r>
        <w:rPr>
          <w:rFonts w:ascii="Arial" w:hAnsi="Arial" w:cs="Arial"/>
        </w:rPr>
        <w:t xml:space="preserve"> </w:t>
      </w:r>
    </w:p>
    <w:p w14:paraId="380C0C15"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Di Salvo, M. (2025) ‘The transformation of social services in comparative perspective: reform trends and strategies in response to new social risks’, </w:t>
      </w:r>
      <w:r w:rsidRPr="00A65F75">
        <w:rPr>
          <w:rFonts w:ascii="Arial" w:hAnsi="Arial" w:cs="Arial"/>
          <w:i/>
          <w:iCs/>
        </w:rPr>
        <w:t>International Journal for 21st Century Education</w:t>
      </w:r>
      <w:r w:rsidRPr="00A65F75">
        <w:rPr>
          <w:rFonts w:ascii="Arial" w:hAnsi="Arial" w:cs="Arial"/>
        </w:rPr>
        <w:t>, 12(1), pp. 46–61.</w:t>
      </w:r>
      <w:r w:rsidRPr="00BC38B6">
        <w:t xml:space="preserve"> </w:t>
      </w:r>
      <w:hyperlink r:id="rId20" w:history="1">
        <w:r w:rsidRPr="00BC38B6">
          <w:rPr>
            <w:rStyle w:val="Hyperlink"/>
            <w:rFonts w:ascii="Arial" w:hAnsi="Arial" w:cs="Arial"/>
          </w:rPr>
          <w:t xml:space="preserve">https://doi.org/10.21071/ij21ce.v12i1.18660 </w:t>
        </w:r>
      </w:hyperlink>
      <w:r>
        <w:rPr>
          <w:rFonts w:ascii="Arial" w:hAnsi="Arial" w:cs="Arial"/>
        </w:rPr>
        <w:t xml:space="preserve"> </w:t>
      </w:r>
    </w:p>
    <w:p w14:paraId="413863EF" w14:textId="77777777" w:rsidR="00BD6F3C" w:rsidRPr="00E83EE1" w:rsidRDefault="00BD6F3C" w:rsidP="00EA06A6">
      <w:pPr>
        <w:spacing w:line="360" w:lineRule="auto"/>
        <w:ind w:left="720" w:hanging="720"/>
        <w:rPr>
          <w:rFonts w:ascii="Arial" w:hAnsi="Arial" w:cs="Arial"/>
        </w:rPr>
      </w:pPr>
      <w:r w:rsidRPr="00A65F75">
        <w:rPr>
          <w:rFonts w:ascii="Arial" w:hAnsi="Arial" w:cs="Arial"/>
        </w:rPr>
        <w:t xml:space="preserve">Edelman, N.L. (2023) ‘Trauma and resilience informed research principles and practice: a framework to improve the inclusion and experience of disadvantaged populations in health and social care research’, </w:t>
      </w:r>
      <w:r w:rsidRPr="00A65F75">
        <w:rPr>
          <w:rFonts w:ascii="Arial" w:hAnsi="Arial" w:cs="Arial"/>
          <w:i/>
          <w:iCs/>
        </w:rPr>
        <w:t>Journal of Health Services Research &amp; Policy</w:t>
      </w:r>
      <w:r w:rsidRPr="00A65F75">
        <w:rPr>
          <w:rFonts w:ascii="Arial" w:hAnsi="Arial" w:cs="Arial"/>
        </w:rPr>
        <w:t>, 28(1), pp. 66–75.</w:t>
      </w:r>
      <w:r>
        <w:rPr>
          <w:rFonts w:ascii="Arial" w:hAnsi="Arial" w:cs="Arial"/>
        </w:rPr>
        <w:t xml:space="preserve"> </w:t>
      </w:r>
      <w:hyperlink r:id="rId21" w:history="1">
        <w:r w:rsidRPr="00E83EE1">
          <w:rPr>
            <w:rStyle w:val="Hyperlink"/>
            <w:rFonts w:ascii="Arial" w:hAnsi="Arial" w:cs="Arial"/>
          </w:rPr>
          <w:t>https://doi.org/10.1177/13558196221124740</w:t>
        </w:r>
      </w:hyperlink>
    </w:p>
    <w:p w14:paraId="2B5EADA7"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Emsley, E., Smith, J., Martin, D. and Lewis, N.V. (2022) ‘Trauma-informed care in the UK: where are we? A qualitative study of health policies and professional perspectives’, </w:t>
      </w:r>
      <w:r w:rsidRPr="00A65F75">
        <w:rPr>
          <w:rFonts w:ascii="Arial" w:hAnsi="Arial" w:cs="Arial"/>
          <w:i/>
          <w:iCs/>
        </w:rPr>
        <w:t>BMC Health Services Research</w:t>
      </w:r>
      <w:r w:rsidRPr="00A65F75">
        <w:rPr>
          <w:rFonts w:ascii="Arial" w:hAnsi="Arial" w:cs="Arial"/>
        </w:rPr>
        <w:t>, 22(1), p. 1164.</w:t>
      </w:r>
      <w:r>
        <w:rPr>
          <w:rFonts w:ascii="Arial" w:hAnsi="Arial" w:cs="Arial"/>
        </w:rPr>
        <w:t xml:space="preserve"> </w:t>
      </w:r>
      <w:hyperlink r:id="rId22" w:history="1">
        <w:r w:rsidRPr="006224C9">
          <w:rPr>
            <w:rStyle w:val="Hyperlink"/>
            <w:rFonts w:ascii="Arial" w:hAnsi="Arial" w:cs="Arial"/>
          </w:rPr>
          <w:t>https://doi.org/10.1186/s12913-022-08461-w</w:t>
        </w:r>
      </w:hyperlink>
      <w:r>
        <w:rPr>
          <w:rFonts w:ascii="Arial" w:hAnsi="Arial" w:cs="Arial"/>
        </w:rPr>
        <w:t xml:space="preserve"> </w:t>
      </w:r>
    </w:p>
    <w:p w14:paraId="6A38B3BC"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Farooq, B., Allen, K., Russell, A.E., Howe, L.D. and Mars, B. (2024) ‘The association between poverty and longitudinal patterns of adverse childhood experiences across childhood and adolescence: findings from a prospective population-based cohort study in the UK’, </w:t>
      </w:r>
      <w:r w:rsidRPr="00A65F75">
        <w:rPr>
          <w:rFonts w:ascii="Arial" w:hAnsi="Arial" w:cs="Arial"/>
          <w:i/>
          <w:iCs/>
        </w:rPr>
        <w:t>Child Abuse &amp; Neglect</w:t>
      </w:r>
      <w:r w:rsidRPr="00A65F75">
        <w:rPr>
          <w:rFonts w:ascii="Arial" w:hAnsi="Arial" w:cs="Arial"/>
        </w:rPr>
        <w:t>, 156, article 107014.</w:t>
      </w:r>
      <w:r>
        <w:rPr>
          <w:rFonts w:ascii="Arial" w:hAnsi="Arial" w:cs="Arial"/>
        </w:rPr>
        <w:t xml:space="preserve"> </w:t>
      </w:r>
      <w:hyperlink r:id="rId23" w:tgtFrame="_blank" w:tooltip="Persistent link using digital object identifier" w:history="1">
        <w:r w:rsidRPr="00814BFB">
          <w:rPr>
            <w:rStyle w:val="Hyperlink"/>
            <w:rFonts w:ascii="Arial" w:hAnsi="Arial" w:cs="Arial"/>
          </w:rPr>
          <w:t>https://doi.org/10.1016/j.chiabu.2024.107014</w:t>
        </w:r>
      </w:hyperlink>
    </w:p>
    <w:p w14:paraId="1C542BDC"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Farr, M., Eyles, E., Stone, T., Redaniel, M.T., Traub, T., Burrowes, J., Halsley, R., Williams, K., Edwards, A. and Redwood, S. (2025) ‘Implementing trauma-informed practice across services to support people experiencing multiple disadvantage: a mixed method study’, </w:t>
      </w:r>
      <w:r w:rsidRPr="00A65F75">
        <w:rPr>
          <w:rFonts w:ascii="Arial" w:hAnsi="Arial" w:cs="Arial"/>
          <w:i/>
          <w:iCs/>
        </w:rPr>
        <w:t>BMC Health Services Research</w:t>
      </w:r>
      <w:r w:rsidRPr="00A65F75">
        <w:rPr>
          <w:rFonts w:ascii="Arial" w:hAnsi="Arial" w:cs="Arial"/>
        </w:rPr>
        <w:t>, 25(1), p. 1266.</w:t>
      </w:r>
      <w:r>
        <w:rPr>
          <w:rFonts w:ascii="Arial" w:hAnsi="Arial" w:cs="Arial"/>
        </w:rPr>
        <w:t xml:space="preserve"> </w:t>
      </w:r>
      <w:hyperlink r:id="rId24" w:history="1">
        <w:r w:rsidRPr="006224C9">
          <w:rPr>
            <w:rStyle w:val="Hyperlink"/>
            <w:rFonts w:ascii="Arial" w:hAnsi="Arial" w:cs="Arial"/>
          </w:rPr>
          <w:t>https://doi.org/10.1186/s12913-025-13339-8</w:t>
        </w:r>
      </w:hyperlink>
      <w:r>
        <w:rPr>
          <w:rFonts w:ascii="Arial" w:hAnsi="Arial" w:cs="Arial"/>
        </w:rPr>
        <w:t xml:space="preserve"> </w:t>
      </w:r>
    </w:p>
    <w:p w14:paraId="6423545C"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Ford, K., Hughes, K., Cresswell, K., Amos, R. and Bellis, M. (2024) </w:t>
      </w:r>
      <w:r w:rsidRPr="00A65F75">
        <w:rPr>
          <w:rFonts w:ascii="Arial" w:hAnsi="Arial" w:cs="Arial"/>
          <w:i/>
          <w:iCs/>
        </w:rPr>
        <w:t>Adverse childhood experiences and engagement with healthcare services: findings from a survey of adults in Wales and England</w:t>
      </w:r>
      <w:r w:rsidRPr="00A65F75">
        <w:rPr>
          <w:rFonts w:ascii="Arial" w:hAnsi="Arial" w:cs="Arial"/>
        </w:rPr>
        <w:t>. Cardiff: Public Health Wales; Bangor: Bangor University.</w:t>
      </w:r>
      <w:r>
        <w:rPr>
          <w:rFonts w:ascii="Arial" w:hAnsi="Arial" w:cs="Arial"/>
        </w:rPr>
        <w:t xml:space="preserve"> </w:t>
      </w:r>
      <w:r w:rsidRPr="00813A25">
        <w:rPr>
          <w:rFonts w:ascii="Arial" w:hAnsi="Arial" w:cs="Arial"/>
        </w:rPr>
        <w:t>ISBN 978-1-83766-388-0</w:t>
      </w:r>
      <w:r>
        <w:rPr>
          <w:rFonts w:ascii="Arial" w:hAnsi="Arial" w:cs="Arial"/>
        </w:rPr>
        <w:t xml:space="preserve"> </w:t>
      </w:r>
    </w:p>
    <w:p w14:paraId="3A684B87" w14:textId="54BC201F" w:rsidR="00BD6F3C" w:rsidRPr="00026A50" w:rsidRDefault="00BD6F3C" w:rsidP="00EA06A6">
      <w:pPr>
        <w:spacing w:line="360" w:lineRule="auto"/>
        <w:ind w:left="720" w:hanging="720"/>
        <w:rPr>
          <w:rFonts w:ascii="Arial" w:hAnsi="Arial" w:cs="Arial"/>
        </w:rPr>
      </w:pPr>
      <w:r w:rsidRPr="00A65F75">
        <w:rPr>
          <w:rFonts w:ascii="Arial" w:hAnsi="Arial" w:cs="Arial"/>
        </w:rPr>
        <w:t>Furlong, D.E. and Lester, J.N. (2023</w:t>
      </w:r>
      <w:r w:rsidR="005542C3">
        <w:rPr>
          <w:rFonts w:ascii="Arial" w:hAnsi="Arial" w:cs="Arial"/>
        </w:rPr>
        <w:t>)</w:t>
      </w:r>
      <w:r w:rsidRPr="00A65F75">
        <w:rPr>
          <w:rFonts w:ascii="Arial" w:hAnsi="Arial" w:cs="Arial"/>
        </w:rPr>
        <w:t xml:space="preserve"> ‘Toward a practice of qualitative methodological literature reviewing’, </w:t>
      </w:r>
      <w:r w:rsidRPr="00A65F75">
        <w:rPr>
          <w:rFonts w:ascii="Arial" w:hAnsi="Arial" w:cs="Arial"/>
          <w:i/>
          <w:iCs/>
        </w:rPr>
        <w:t>Qualitative Inquiry</w:t>
      </w:r>
      <w:r w:rsidRPr="00A65F75">
        <w:rPr>
          <w:rFonts w:ascii="Arial" w:hAnsi="Arial" w:cs="Arial"/>
        </w:rPr>
        <w:t xml:space="preserve">, </w:t>
      </w:r>
      <w:r w:rsidRPr="00A65F75">
        <w:rPr>
          <w:rFonts w:ascii="Arial" w:hAnsi="Arial" w:cs="Arial"/>
          <w:i/>
          <w:iCs/>
        </w:rPr>
        <w:t>29</w:t>
      </w:r>
      <w:r w:rsidRPr="00A65F75">
        <w:rPr>
          <w:rFonts w:ascii="Arial" w:hAnsi="Arial" w:cs="Arial"/>
        </w:rPr>
        <w:t>(6), pp.669-677.</w:t>
      </w:r>
      <w:r>
        <w:rPr>
          <w:rFonts w:ascii="Arial" w:hAnsi="Arial" w:cs="Arial"/>
        </w:rPr>
        <w:t xml:space="preserve"> </w:t>
      </w:r>
      <w:hyperlink r:id="rId25" w:history="1">
        <w:r w:rsidRPr="00026A50">
          <w:rPr>
            <w:rStyle w:val="Hyperlink"/>
            <w:rFonts w:ascii="Arial" w:hAnsi="Arial" w:cs="Arial"/>
          </w:rPr>
          <w:t>https://doi.org/10.1177/10778004221131028</w:t>
        </w:r>
      </w:hyperlink>
    </w:p>
    <w:p w14:paraId="4E26486B" w14:textId="36DA8BA5" w:rsidR="00BD6F3C" w:rsidRPr="0018775A" w:rsidRDefault="00BD6F3C" w:rsidP="00EA06A6">
      <w:pPr>
        <w:spacing w:line="360" w:lineRule="auto"/>
        <w:ind w:left="720" w:hanging="720"/>
        <w:rPr>
          <w:rFonts w:ascii="Arial" w:hAnsi="Arial" w:cs="Arial"/>
        </w:rPr>
      </w:pPr>
      <w:r w:rsidRPr="00A65F75">
        <w:rPr>
          <w:rFonts w:ascii="Arial" w:hAnsi="Arial" w:cs="Arial"/>
        </w:rPr>
        <w:t xml:space="preserve">Glass, J. (2021) </w:t>
      </w:r>
      <w:r w:rsidRPr="00A65F75">
        <w:rPr>
          <w:rFonts w:ascii="Arial" w:hAnsi="Arial" w:cs="Arial"/>
          <w:i/>
          <w:iCs/>
        </w:rPr>
        <w:t>Do childhood attachment and adverse childhood experiences predict adulthood attachment?</w:t>
      </w:r>
      <w:r w:rsidRPr="00A65F75">
        <w:rPr>
          <w:rFonts w:ascii="Arial" w:hAnsi="Arial" w:cs="Arial"/>
        </w:rPr>
        <w:t xml:space="preserve"> </w:t>
      </w:r>
      <w:r w:rsidR="005542C3">
        <w:rPr>
          <w:rFonts w:ascii="Arial" w:hAnsi="Arial" w:cs="Arial"/>
        </w:rPr>
        <w:t xml:space="preserve">Msc </w:t>
      </w:r>
      <w:r w:rsidRPr="00A65F75">
        <w:rPr>
          <w:rFonts w:ascii="Arial" w:hAnsi="Arial" w:cs="Arial"/>
        </w:rPr>
        <w:t>Thesis</w:t>
      </w:r>
      <w:r w:rsidR="005542C3">
        <w:rPr>
          <w:rFonts w:ascii="Arial" w:hAnsi="Arial" w:cs="Arial"/>
        </w:rPr>
        <w:t xml:space="preserve">, </w:t>
      </w:r>
      <w:r w:rsidR="005542C3" w:rsidRPr="005542C3">
        <w:rPr>
          <w:rFonts w:ascii="Arial" w:hAnsi="Arial" w:cs="Arial"/>
        </w:rPr>
        <w:t>University of South Carolina - Aiken</w:t>
      </w:r>
      <w:r w:rsidRPr="00A65F75">
        <w:rPr>
          <w:rFonts w:ascii="Arial" w:hAnsi="Arial" w:cs="Arial"/>
        </w:rPr>
        <w:t>.</w:t>
      </w:r>
      <w:r>
        <w:rPr>
          <w:rFonts w:ascii="Arial" w:hAnsi="Arial" w:cs="Arial"/>
        </w:rPr>
        <w:t xml:space="preserve"> </w:t>
      </w:r>
      <w:r w:rsidR="005542C3">
        <w:rPr>
          <w:rFonts w:ascii="Arial" w:hAnsi="Arial" w:cs="Arial"/>
        </w:rPr>
        <w:t xml:space="preserve">Available at: </w:t>
      </w:r>
      <w:hyperlink r:id="rId26" w:history="1">
        <w:r w:rsidR="005542C3" w:rsidRPr="00507D58">
          <w:rPr>
            <w:rStyle w:val="Hyperlink"/>
            <w:rFonts w:ascii="Arial" w:hAnsi="Arial" w:cs="Arial"/>
          </w:rPr>
          <w:t>https://scholarcommons.sc.edu/aiken_psychology_theses/52</w:t>
        </w:r>
      </w:hyperlink>
      <w:r>
        <w:rPr>
          <w:rFonts w:ascii="Arial" w:hAnsi="Arial" w:cs="Arial"/>
        </w:rPr>
        <w:t xml:space="preserve"> </w:t>
      </w:r>
      <w:r w:rsidRPr="0018775A">
        <w:rPr>
          <w:rFonts w:ascii="Arial" w:hAnsi="Arial" w:cs="Arial"/>
        </w:rPr>
        <w:t xml:space="preserve"> </w:t>
      </w:r>
      <w:r w:rsidR="005542C3">
        <w:rPr>
          <w:rFonts w:ascii="Arial" w:hAnsi="Arial" w:cs="Arial"/>
        </w:rPr>
        <w:t>(Accessed 28 March 2026).</w:t>
      </w:r>
    </w:p>
    <w:p w14:paraId="2DB50A90"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Glendinning, F., Rodriguez, G.R., Newbury, A. and Wilmot, R. (2021) </w:t>
      </w:r>
      <w:r w:rsidRPr="00A65F75">
        <w:rPr>
          <w:rFonts w:ascii="Arial" w:hAnsi="Arial" w:cs="Arial"/>
          <w:i/>
          <w:iCs/>
        </w:rPr>
        <w:t>Adverse childhood experience (ACE) and trauma-informed approaches in youth justice services in Wales: an evaluation of the implementation of the enhanced case management (ECM) project</w:t>
      </w:r>
      <w:r w:rsidRPr="00A65F75">
        <w:rPr>
          <w:rFonts w:ascii="Arial" w:hAnsi="Arial" w:cs="Arial"/>
        </w:rPr>
        <w:t>. Bangor: Bangor University.</w:t>
      </w:r>
      <w:r>
        <w:rPr>
          <w:rFonts w:ascii="Arial" w:hAnsi="Arial" w:cs="Arial"/>
        </w:rPr>
        <w:t xml:space="preserve"> </w:t>
      </w:r>
      <w:r w:rsidRPr="00F12A35">
        <w:rPr>
          <w:rFonts w:ascii="Arial" w:hAnsi="Arial" w:cs="Arial"/>
        </w:rPr>
        <w:t>ISBN 978-1-84220-186-2</w:t>
      </w:r>
      <w:r>
        <w:rPr>
          <w:rFonts w:ascii="Arial" w:hAnsi="Arial" w:cs="Arial"/>
        </w:rPr>
        <w:t xml:space="preserve"> </w:t>
      </w:r>
    </w:p>
    <w:p w14:paraId="1562FA0D"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Gooding, K., Bertone, M.P., Loffreda, G. and Witter, S. (2022) ‘How can we strengthen partnership and coordination for health system emergency preparedness and response? Findings from a synthesis of experience across countries facing shocks’, </w:t>
      </w:r>
      <w:r w:rsidRPr="00A65F75">
        <w:rPr>
          <w:rFonts w:ascii="Arial" w:hAnsi="Arial" w:cs="Arial"/>
          <w:i/>
          <w:iCs/>
        </w:rPr>
        <w:t>BMC Health Services Research</w:t>
      </w:r>
      <w:r w:rsidRPr="00A65F75">
        <w:rPr>
          <w:rFonts w:ascii="Arial" w:hAnsi="Arial" w:cs="Arial"/>
        </w:rPr>
        <w:t>, 22(1), p. 1441.</w:t>
      </w:r>
      <w:r>
        <w:rPr>
          <w:rFonts w:ascii="Arial" w:hAnsi="Arial" w:cs="Arial"/>
        </w:rPr>
        <w:t xml:space="preserve"> </w:t>
      </w:r>
      <w:hyperlink r:id="rId27" w:history="1">
        <w:r w:rsidRPr="006224C9">
          <w:rPr>
            <w:rStyle w:val="Hyperlink"/>
            <w:rFonts w:ascii="Arial" w:hAnsi="Arial" w:cs="Arial"/>
          </w:rPr>
          <w:t>https://doi.org/10.1186/s12913-022-08859-6</w:t>
        </w:r>
      </w:hyperlink>
      <w:r>
        <w:rPr>
          <w:rFonts w:ascii="Arial" w:hAnsi="Arial" w:cs="Arial"/>
        </w:rPr>
        <w:t xml:space="preserve"> </w:t>
      </w:r>
    </w:p>
    <w:p w14:paraId="111F7FFE" w14:textId="77777777" w:rsidR="00BD6F3C" w:rsidRDefault="00BD6F3C" w:rsidP="00EA06A6">
      <w:pPr>
        <w:spacing w:line="360" w:lineRule="auto"/>
        <w:ind w:left="720" w:hanging="720"/>
        <w:rPr>
          <w:rFonts w:ascii="Arial" w:hAnsi="Arial" w:cs="Arial"/>
        </w:rPr>
      </w:pPr>
      <w:r w:rsidRPr="00A65F75">
        <w:rPr>
          <w:rFonts w:ascii="Arial" w:hAnsi="Arial" w:cs="Arial"/>
        </w:rPr>
        <w:t xml:space="preserve">Hamby, S., Guerra, C., Toro, E. and Pinto-Cortez, C. (2024) ‘Advancing the science of adverse childhood experiences and resilience: a case for global and ecological perspectives’, </w:t>
      </w:r>
      <w:r w:rsidRPr="00A65F75">
        <w:rPr>
          <w:rFonts w:ascii="Arial" w:hAnsi="Arial" w:cs="Arial"/>
          <w:i/>
          <w:iCs/>
        </w:rPr>
        <w:t>Child Protection and Practice</w:t>
      </w:r>
      <w:r w:rsidRPr="00A65F75">
        <w:rPr>
          <w:rFonts w:ascii="Arial" w:hAnsi="Arial" w:cs="Arial"/>
        </w:rPr>
        <w:t>, 3, article 100060.</w:t>
      </w:r>
      <w:r>
        <w:rPr>
          <w:rFonts w:ascii="Arial" w:hAnsi="Arial" w:cs="Arial"/>
        </w:rPr>
        <w:t xml:space="preserve"> </w:t>
      </w:r>
      <w:hyperlink r:id="rId28" w:tgtFrame="_blank" w:tooltip="Persistent link using digital object identifier" w:history="1">
        <w:r w:rsidRPr="00F86CCB">
          <w:rPr>
            <w:rStyle w:val="Hyperlink"/>
            <w:rFonts w:ascii="Arial" w:hAnsi="Arial" w:cs="Arial"/>
          </w:rPr>
          <w:t>https://doi.org/10.1016/j.chipro.2024.100060</w:t>
        </w:r>
      </w:hyperlink>
      <w:r>
        <w:rPr>
          <w:rFonts w:ascii="Arial" w:hAnsi="Arial" w:cs="Arial"/>
        </w:rPr>
        <w:t xml:space="preserve"> </w:t>
      </w:r>
    </w:p>
    <w:p w14:paraId="007E00C1"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Hansen, C.D., Kirkeby, M.J., Kjelmann, K.G., Andersen, J.H. and Møberg, R.J. (2021) ‘The importance of adverse childhood experiences for labour market trajectories over the life course: a longitudinal study’, </w:t>
      </w:r>
      <w:r w:rsidRPr="00A65F75">
        <w:rPr>
          <w:rFonts w:ascii="Arial" w:hAnsi="Arial" w:cs="Arial"/>
          <w:i/>
          <w:iCs/>
        </w:rPr>
        <w:t>BMC Public Health</w:t>
      </w:r>
      <w:r w:rsidRPr="00A65F75">
        <w:rPr>
          <w:rFonts w:ascii="Arial" w:hAnsi="Arial" w:cs="Arial"/>
        </w:rPr>
        <w:t>, 21(1), p. 2044.</w:t>
      </w:r>
      <w:r>
        <w:rPr>
          <w:rFonts w:ascii="Arial" w:hAnsi="Arial" w:cs="Arial"/>
        </w:rPr>
        <w:t xml:space="preserve"> </w:t>
      </w:r>
      <w:hyperlink r:id="rId29" w:history="1">
        <w:r w:rsidRPr="006224C9">
          <w:rPr>
            <w:rStyle w:val="Hyperlink"/>
            <w:rFonts w:ascii="Arial" w:hAnsi="Arial" w:cs="Arial"/>
          </w:rPr>
          <w:t>https://doi.org/10.1186/s12889-021-12060-5</w:t>
        </w:r>
      </w:hyperlink>
      <w:r>
        <w:rPr>
          <w:rFonts w:ascii="Arial" w:hAnsi="Arial" w:cs="Arial"/>
        </w:rPr>
        <w:t xml:space="preserve"> </w:t>
      </w:r>
    </w:p>
    <w:p w14:paraId="7CEF988B"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Harper, C.R., Treves-Kagan, S. and Kennedy, K.S. (2023) ‘Understanding social and structural determinants of health and the primary prevention of adverse childhood experiences (ACEs)’, in </w:t>
      </w:r>
      <w:r w:rsidRPr="00A65F75">
        <w:rPr>
          <w:rFonts w:ascii="Arial" w:hAnsi="Arial" w:cs="Arial"/>
          <w:i/>
          <w:iCs/>
        </w:rPr>
        <w:t>Handbook of adverse childhood experiences: a framework for collaborative health promotion</w:t>
      </w:r>
      <w:r w:rsidRPr="00A65F75">
        <w:rPr>
          <w:rFonts w:ascii="Arial" w:hAnsi="Arial" w:cs="Arial"/>
        </w:rPr>
        <w:t>. Cham: Springer International Publishing, pp. 199–211.</w:t>
      </w:r>
      <w:r>
        <w:rPr>
          <w:rFonts w:ascii="Arial" w:hAnsi="Arial" w:cs="Arial"/>
        </w:rPr>
        <w:t xml:space="preserve"> </w:t>
      </w:r>
      <w:r w:rsidRPr="006D5FE5">
        <w:rPr>
          <w:rFonts w:ascii="Arial" w:hAnsi="Arial" w:cs="Arial"/>
        </w:rPr>
        <w:t>ISBN978-3-031-32596-0</w:t>
      </w:r>
      <w:r>
        <w:rPr>
          <w:rFonts w:ascii="Arial" w:hAnsi="Arial" w:cs="Arial"/>
        </w:rPr>
        <w:t xml:space="preserve"> </w:t>
      </w:r>
    </w:p>
    <w:p w14:paraId="0EBC01B0"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Heris, C.L., Kennedy, M., Graham, S., Bennetts, S.K., Atkinson, C., Mohamed, J., Woods, C., Chennall, R. and Chamberlain, C. (2022) ‘Key features of a trauma-informed public health emergency approach: a rapid review’, </w:t>
      </w:r>
      <w:r w:rsidRPr="00A65F75">
        <w:rPr>
          <w:rFonts w:ascii="Arial" w:hAnsi="Arial" w:cs="Arial"/>
          <w:i/>
          <w:iCs/>
        </w:rPr>
        <w:t>Frontiers in Public Health</w:t>
      </w:r>
      <w:r w:rsidRPr="00A65F75">
        <w:rPr>
          <w:rFonts w:ascii="Arial" w:hAnsi="Arial" w:cs="Arial"/>
        </w:rPr>
        <w:t>, 10, article 1006513.</w:t>
      </w:r>
      <w:r>
        <w:rPr>
          <w:rFonts w:ascii="Arial" w:hAnsi="Arial" w:cs="Arial"/>
        </w:rPr>
        <w:t xml:space="preserve"> </w:t>
      </w:r>
      <w:hyperlink r:id="rId30" w:history="1">
        <w:r w:rsidRPr="006D5FE5">
          <w:rPr>
            <w:rStyle w:val="Hyperlink"/>
            <w:rFonts w:ascii="Arial" w:hAnsi="Arial" w:cs="Arial"/>
          </w:rPr>
          <w:t>https://doi.org/10.3389/fpubh.2022.1006513</w:t>
        </w:r>
      </w:hyperlink>
      <w:r>
        <w:rPr>
          <w:rFonts w:ascii="Arial" w:hAnsi="Arial" w:cs="Arial"/>
        </w:rPr>
        <w:t xml:space="preserve"> </w:t>
      </w:r>
    </w:p>
    <w:p w14:paraId="5D997F3F"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Hertler, S., de Baca, T.C., Peñaherrera-Aguirre, M., Fernandes, H.B. and Figueredo, A.J. (2022) ‘Life history evolution forms the foundation of the adverse childhood experience pyramid’, </w:t>
      </w:r>
      <w:r w:rsidRPr="00A65F75">
        <w:rPr>
          <w:rFonts w:ascii="Arial" w:hAnsi="Arial" w:cs="Arial"/>
          <w:i/>
          <w:iCs/>
        </w:rPr>
        <w:t>Evolutionary Psychological Science</w:t>
      </w:r>
      <w:r w:rsidRPr="00A65F75">
        <w:rPr>
          <w:rFonts w:ascii="Arial" w:hAnsi="Arial" w:cs="Arial"/>
        </w:rPr>
        <w:t>, 8(1), pp. 89–104.</w:t>
      </w:r>
      <w:r>
        <w:rPr>
          <w:rFonts w:ascii="Arial" w:hAnsi="Arial" w:cs="Arial"/>
        </w:rPr>
        <w:t xml:space="preserve"> </w:t>
      </w:r>
      <w:hyperlink r:id="rId31" w:history="1">
        <w:r w:rsidRPr="006224C9">
          <w:rPr>
            <w:rStyle w:val="Hyperlink"/>
            <w:rFonts w:ascii="Arial" w:hAnsi="Arial" w:cs="Arial"/>
          </w:rPr>
          <w:t>https://doi.org/10.1007/s40806-021-00299-5</w:t>
        </w:r>
      </w:hyperlink>
      <w:r>
        <w:rPr>
          <w:rFonts w:ascii="Arial" w:hAnsi="Arial" w:cs="Arial"/>
        </w:rPr>
        <w:t xml:space="preserve"> </w:t>
      </w:r>
    </w:p>
    <w:p w14:paraId="64B38A92" w14:textId="12CEC966" w:rsidR="00BD6F3C" w:rsidRPr="00A65F75" w:rsidRDefault="00BD6F3C" w:rsidP="00EA06A6">
      <w:pPr>
        <w:spacing w:line="360" w:lineRule="auto"/>
        <w:ind w:left="720" w:hanging="720"/>
        <w:rPr>
          <w:rFonts w:ascii="Arial" w:hAnsi="Arial" w:cs="Arial"/>
        </w:rPr>
      </w:pPr>
      <w:r w:rsidRPr="00A65F75">
        <w:rPr>
          <w:rFonts w:ascii="Arial" w:hAnsi="Arial" w:cs="Arial"/>
        </w:rPr>
        <w:t xml:space="preserve">Hughes, K., Bellis, M., Ford, K., Sharp, C., Hopkins, J., Hill, R. and Cresswell, K. (2025) ‘Adverse childhood and school experiences: a retrospective cross-sectional study examining their associations with health-related behaviours and mental health’, </w:t>
      </w:r>
      <w:r w:rsidRPr="00A65F75">
        <w:rPr>
          <w:rFonts w:ascii="Arial" w:hAnsi="Arial" w:cs="Arial"/>
          <w:i/>
          <w:iCs/>
        </w:rPr>
        <w:t>BMC Public Health</w:t>
      </w:r>
      <w:r w:rsidRPr="00A65F75">
        <w:rPr>
          <w:rFonts w:ascii="Arial" w:hAnsi="Arial" w:cs="Arial"/>
        </w:rPr>
        <w:t xml:space="preserve">, 25. </w:t>
      </w:r>
      <w:hyperlink r:id="rId32" w:history="1">
        <w:r w:rsidRPr="006224C9">
          <w:rPr>
            <w:rStyle w:val="Hyperlink"/>
            <w:rFonts w:ascii="Arial" w:hAnsi="Arial" w:cs="Arial"/>
          </w:rPr>
          <w:t>https://doi.org/10.1186/s12889-025-21788-3</w:t>
        </w:r>
      </w:hyperlink>
      <w:r>
        <w:rPr>
          <w:rFonts w:ascii="Arial" w:hAnsi="Arial" w:cs="Arial"/>
        </w:rPr>
        <w:t xml:space="preserve"> </w:t>
      </w:r>
      <w:r w:rsidR="005542C3">
        <w:rPr>
          <w:rFonts w:ascii="Arial" w:hAnsi="Arial" w:cs="Arial"/>
        </w:rPr>
        <w:t xml:space="preserve"> </w:t>
      </w:r>
    </w:p>
    <w:p w14:paraId="56D7F873"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Hughes, K., Bellis, M.A., Cresswell, K., Hill, R., Ford, K. and Hopkins, J.C. (2024) ‘Examining relationships between adverse childhood experiences and coping during the cost-of-living crisis using a national cross-sectional survey in Wales, UK’, </w:t>
      </w:r>
      <w:r w:rsidRPr="00A65F75">
        <w:rPr>
          <w:rFonts w:ascii="Arial" w:hAnsi="Arial" w:cs="Arial"/>
          <w:i/>
          <w:iCs/>
        </w:rPr>
        <w:t>BMJ Open</w:t>
      </w:r>
      <w:r w:rsidRPr="00A65F75">
        <w:rPr>
          <w:rFonts w:ascii="Arial" w:hAnsi="Arial" w:cs="Arial"/>
        </w:rPr>
        <w:t>, 14(5), article e081924.</w:t>
      </w:r>
      <w:r>
        <w:rPr>
          <w:rFonts w:ascii="Arial" w:hAnsi="Arial" w:cs="Arial"/>
        </w:rPr>
        <w:t xml:space="preserve"> </w:t>
      </w:r>
      <w:hyperlink r:id="rId33" w:tgtFrame="_new" w:history="1">
        <w:r w:rsidRPr="00FA2EF0">
          <w:rPr>
            <w:rStyle w:val="Hyperlink"/>
            <w:rFonts w:ascii="Arial" w:hAnsi="Arial" w:cs="Arial"/>
          </w:rPr>
          <w:t>https://doi.org/10.1136/bmjopen-2023-081924</w:t>
        </w:r>
      </w:hyperlink>
      <w:r>
        <w:rPr>
          <w:rFonts w:ascii="Arial" w:hAnsi="Arial" w:cs="Arial"/>
        </w:rPr>
        <w:t xml:space="preserve"> </w:t>
      </w:r>
    </w:p>
    <w:p w14:paraId="366345D2" w14:textId="2C982F1B" w:rsidR="00BD6F3C" w:rsidRPr="00A65F75" w:rsidRDefault="00BD6F3C" w:rsidP="00EA06A6">
      <w:pPr>
        <w:spacing w:line="360" w:lineRule="auto"/>
        <w:ind w:left="720" w:hanging="720"/>
        <w:rPr>
          <w:rFonts w:ascii="Arial" w:hAnsi="Arial" w:cs="Arial"/>
        </w:rPr>
      </w:pPr>
      <w:r w:rsidRPr="00A65F75">
        <w:rPr>
          <w:rFonts w:ascii="Arial" w:hAnsi="Arial" w:cs="Arial"/>
        </w:rPr>
        <w:t xml:space="preserve">Hughes, R. (2025) </w:t>
      </w:r>
      <w:r w:rsidRPr="00A65F75">
        <w:rPr>
          <w:rFonts w:ascii="Arial" w:hAnsi="Arial" w:cs="Arial"/>
          <w:i/>
          <w:iCs/>
        </w:rPr>
        <w:t>Adverse childhood experiences and their effects on the social, emotional, and physical well-being in adulthood: a literature review</w:t>
      </w:r>
      <w:r w:rsidRPr="00A65F75">
        <w:rPr>
          <w:rFonts w:ascii="Arial" w:hAnsi="Arial" w:cs="Arial"/>
        </w:rPr>
        <w:t>.</w:t>
      </w:r>
      <w:r>
        <w:rPr>
          <w:rFonts w:ascii="Arial" w:hAnsi="Arial" w:cs="Arial"/>
        </w:rPr>
        <w:t xml:space="preserve"> </w:t>
      </w:r>
      <w:r w:rsidR="00EA5555">
        <w:rPr>
          <w:rFonts w:ascii="Arial" w:hAnsi="Arial" w:cs="Arial"/>
        </w:rPr>
        <w:t xml:space="preserve">Available at: </w:t>
      </w:r>
      <w:hyperlink r:id="rId34" w:history="1">
        <w:r w:rsidR="00EA5555" w:rsidRPr="001A296B">
          <w:rPr>
            <w:rStyle w:val="Hyperlink"/>
            <w:rFonts w:ascii="Arial" w:hAnsi="Arial" w:cs="Arial"/>
          </w:rPr>
          <w:t>https://paytonrhughes.com/wp-content/uploads/2025/11/hughes-literature-review.pdf (28</w:t>
        </w:r>
      </w:hyperlink>
      <w:r w:rsidR="00EA5555">
        <w:rPr>
          <w:rFonts w:ascii="Arial" w:hAnsi="Arial" w:cs="Arial"/>
        </w:rPr>
        <w:t xml:space="preserve"> March 2026).</w:t>
      </w:r>
    </w:p>
    <w:p w14:paraId="197A4E4D"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Jahanshahi, B., Murray, K. and McVie, S. (2022) ‘ACEs, places and inequality: understanding the effects of adverse childhood experiences and poverty on offending in childhood’, </w:t>
      </w:r>
      <w:r w:rsidRPr="00A65F75">
        <w:rPr>
          <w:rFonts w:ascii="Arial" w:hAnsi="Arial" w:cs="Arial"/>
          <w:i/>
          <w:iCs/>
        </w:rPr>
        <w:t>The British Journal of Criminology</w:t>
      </w:r>
      <w:r w:rsidRPr="00A65F75">
        <w:rPr>
          <w:rFonts w:ascii="Arial" w:hAnsi="Arial" w:cs="Arial"/>
        </w:rPr>
        <w:t>, 62(3), pp. 751–772.</w:t>
      </w:r>
      <w:r>
        <w:rPr>
          <w:rFonts w:ascii="Arial" w:hAnsi="Arial" w:cs="Arial"/>
        </w:rPr>
        <w:t xml:space="preserve"> </w:t>
      </w:r>
      <w:hyperlink r:id="rId35" w:history="1">
        <w:r w:rsidRPr="00DC5D86">
          <w:rPr>
            <w:rStyle w:val="Hyperlink"/>
            <w:rFonts w:ascii="Arial" w:hAnsi="Arial" w:cs="Arial"/>
          </w:rPr>
          <w:t>https://doi.org/10.1093/bjc/azab079</w:t>
        </w:r>
      </w:hyperlink>
      <w:r>
        <w:rPr>
          <w:rFonts w:ascii="Arial" w:hAnsi="Arial" w:cs="Arial"/>
        </w:rPr>
        <w:t xml:space="preserve"> </w:t>
      </w:r>
    </w:p>
    <w:p w14:paraId="041A9E9E" w14:textId="77777777" w:rsidR="00BD6F3C" w:rsidRPr="005B6680" w:rsidRDefault="00BD6F3C" w:rsidP="00EA06A6">
      <w:pPr>
        <w:spacing w:line="360" w:lineRule="auto"/>
        <w:ind w:left="720" w:hanging="720"/>
        <w:rPr>
          <w:rFonts w:ascii="Arial" w:hAnsi="Arial" w:cs="Arial"/>
        </w:rPr>
      </w:pPr>
      <w:r w:rsidRPr="00A65F75">
        <w:rPr>
          <w:rFonts w:ascii="Arial" w:hAnsi="Arial" w:cs="Arial"/>
        </w:rPr>
        <w:t xml:space="preserve">Jindal, M., Chaiyachati, K.H., Fung, V., Manson, S.M. and Mortensen, K. (2023) ‘Eliminating health care inequities through strengthening access to care’, </w:t>
      </w:r>
      <w:r w:rsidRPr="00A65F75">
        <w:rPr>
          <w:rFonts w:ascii="Arial" w:hAnsi="Arial" w:cs="Arial"/>
          <w:i/>
          <w:iCs/>
        </w:rPr>
        <w:t>Health Services Research</w:t>
      </w:r>
      <w:r w:rsidRPr="00A65F75">
        <w:rPr>
          <w:rFonts w:ascii="Arial" w:hAnsi="Arial" w:cs="Arial"/>
        </w:rPr>
        <w:t>, 58, pp. 300–310.</w:t>
      </w:r>
      <w:r>
        <w:rPr>
          <w:rFonts w:ascii="Arial" w:hAnsi="Arial" w:cs="Arial"/>
        </w:rPr>
        <w:t xml:space="preserve"> </w:t>
      </w:r>
      <w:hyperlink r:id="rId36" w:history="1">
        <w:r w:rsidRPr="005B6680">
          <w:rPr>
            <w:rStyle w:val="Hyperlink"/>
            <w:rFonts w:ascii="Arial" w:hAnsi="Arial" w:cs="Arial"/>
          </w:rPr>
          <w:t>https://doi.org/10.1111/1475-6773.14202</w:t>
        </w:r>
      </w:hyperlink>
    </w:p>
    <w:p w14:paraId="0C43C12F"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Kelly-Irving, M. and Delpierre, C. (2019) ‘A critique of the adverse childhood experiences framework in epidemiology and public health: uses and misuses’, </w:t>
      </w:r>
      <w:r w:rsidRPr="00A65F75">
        <w:rPr>
          <w:rFonts w:ascii="Arial" w:hAnsi="Arial" w:cs="Arial"/>
          <w:i/>
          <w:iCs/>
        </w:rPr>
        <w:t>Social Policy and Society</w:t>
      </w:r>
      <w:r w:rsidRPr="00A65F75">
        <w:rPr>
          <w:rFonts w:ascii="Arial" w:hAnsi="Arial" w:cs="Arial"/>
        </w:rPr>
        <w:t>, 18(3), pp. 445–456.</w:t>
      </w:r>
      <w:r>
        <w:rPr>
          <w:rFonts w:ascii="Arial" w:hAnsi="Arial" w:cs="Arial"/>
        </w:rPr>
        <w:t xml:space="preserve"> </w:t>
      </w:r>
      <w:hyperlink r:id="rId37" w:tgtFrame="_blank" w:history="1">
        <w:r w:rsidRPr="00735639">
          <w:rPr>
            <w:rStyle w:val="Hyperlink"/>
            <w:rFonts w:ascii="Arial" w:hAnsi="Arial" w:cs="Arial"/>
          </w:rPr>
          <w:t xml:space="preserve">https://doi.org/10.1017/S1474746419000101 </w:t>
        </w:r>
      </w:hyperlink>
    </w:p>
    <w:p w14:paraId="1E56DAE1"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Khanolkar, A.R. and Becares, L. (2025) ‘Prevalence of past homelessness, mental health and health risk behaviours among sexual minority young people in the UK: insights from the Millennium Cohort Study’, </w:t>
      </w:r>
      <w:r w:rsidRPr="00A65F75">
        <w:rPr>
          <w:rFonts w:ascii="Arial" w:hAnsi="Arial" w:cs="Arial"/>
          <w:i/>
          <w:iCs/>
        </w:rPr>
        <w:t>BMC Public Health</w:t>
      </w:r>
      <w:r w:rsidRPr="00A65F75">
        <w:rPr>
          <w:rFonts w:ascii="Arial" w:hAnsi="Arial" w:cs="Arial"/>
        </w:rPr>
        <w:t>, 25(10), p. 4241.</w:t>
      </w:r>
      <w:r>
        <w:rPr>
          <w:rFonts w:ascii="Arial" w:hAnsi="Arial" w:cs="Arial"/>
        </w:rPr>
        <w:t xml:space="preserve"> </w:t>
      </w:r>
      <w:hyperlink r:id="rId38" w:history="1">
        <w:r w:rsidRPr="006224C9">
          <w:rPr>
            <w:rStyle w:val="Hyperlink"/>
            <w:rFonts w:ascii="Arial" w:hAnsi="Arial" w:cs="Arial"/>
          </w:rPr>
          <w:t>https://doi.org/10.1186/s12889-025-25429-7</w:t>
        </w:r>
      </w:hyperlink>
      <w:r>
        <w:rPr>
          <w:rFonts w:ascii="Arial" w:hAnsi="Arial" w:cs="Arial"/>
        </w:rPr>
        <w:t xml:space="preserve"> </w:t>
      </w:r>
    </w:p>
    <w:p w14:paraId="0517A310"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Kurdi, Z. (2025) </w:t>
      </w:r>
      <w:r w:rsidRPr="00A65F75">
        <w:rPr>
          <w:rFonts w:ascii="Arial" w:hAnsi="Arial" w:cs="Arial"/>
          <w:i/>
          <w:iCs/>
        </w:rPr>
        <w:t>Measuring adverse childhood experiences (ACEs) and deprivation during early childhood and its link to self-reported victimisation during adolescence among young adults in the UK</w:t>
      </w:r>
      <w:r w:rsidRPr="00A65F75">
        <w:rPr>
          <w:rFonts w:ascii="Arial" w:hAnsi="Arial" w:cs="Arial"/>
        </w:rPr>
        <w:t>.</w:t>
      </w:r>
      <w:r>
        <w:rPr>
          <w:rFonts w:ascii="Arial" w:hAnsi="Arial" w:cs="Arial"/>
        </w:rPr>
        <w:t xml:space="preserve"> </w:t>
      </w:r>
      <w:hyperlink r:id="rId39" w:history="1">
        <w:r w:rsidRPr="009D39B2">
          <w:rPr>
            <w:rStyle w:val="Hyperlink"/>
            <w:rFonts w:ascii="Arial" w:hAnsi="Arial" w:cs="Arial"/>
          </w:rPr>
          <w:t>http://dx.doi.org/10.7488/era/6668</w:t>
        </w:r>
      </w:hyperlink>
      <w:r>
        <w:rPr>
          <w:rFonts w:ascii="Arial" w:hAnsi="Arial" w:cs="Arial"/>
        </w:rPr>
        <w:t xml:space="preserve"> </w:t>
      </w:r>
    </w:p>
    <w:p w14:paraId="76D74E90" w14:textId="1D9D2D4A" w:rsidR="00BD6F3C" w:rsidRPr="00A65F75" w:rsidRDefault="00BD6F3C" w:rsidP="00EA06A6">
      <w:pPr>
        <w:spacing w:line="360" w:lineRule="auto"/>
        <w:ind w:left="720" w:hanging="720"/>
        <w:rPr>
          <w:rFonts w:ascii="Arial" w:hAnsi="Arial" w:cs="Arial"/>
        </w:rPr>
      </w:pPr>
      <w:r w:rsidRPr="00A65F75">
        <w:rPr>
          <w:rFonts w:ascii="Arial" w:hAnsi="Arial" w:cs="Arial"/>
        </w:rPr>
        <w:t xml:space="preserve">Lal, A., Erondu, N.A., Heymann, D.L., Gitahi, G. and Yates, R. (2021) ‘Fragmented health systems in COVID-19: rectifying the misalignment between global health security and universal health coverage’, </w:t>
      </w:r>
      <w:r w:rsidRPr="00A65F75">
        <w:rPr>
          <w:rFonts w:ascii="Arial" w:hAnsi="Arial" w:cs="Arial"/>
          <w:i/>
          <w:iCs/>
        </w:rPr>
        <w:t>The Lancet</w:t>
      </w:r>
      <w:r w:rsidRPr="00A65F75">
        <w:rPr>
          <w:rFonts w:ascii="Arial" w:hAnsi="Arial" w:cs="Arial"/>
        </w:rPr>
        <w:t>, 397(10268), pp. 61–67.</w:t>
      </w:r>
      <w:r>
        <w:rPr>
          <w:rFonts w:ascii="Arial" w:hAnsi="Arial" w:cs="Arial"/>
        </w:rPr>
        <w:t xml:space="preserve"> </w:t>
      </w:r>
      <w:r w:rsidR="00E4728A" w:rsidRPr="00E4728A">
        <w:rPr>
          <w:rFonts w:ascii="Arial" w:hAnsi="Arial" w:cs="Arial"/>
        </w:rPr>
        <w:t xml:space="preserve">DOI: </w:t>
      </w:r>
      <w:hyperlink r:id="rId40" w:tgtFrame="_blank" w:history="1">
        <w:r w:rsidR="00E4728A" w:rsidRPr="00E4728A">
          <w:rPr>
            <w:rStyle w:val="Hyperlink"/>
            <w:rFonts w:ascii="Arial" w:hAnsi="Arial" w:cs="Arial"/>
          </w:rPr>
          <w:t xml:space="preserve">10.1016/S0140-6736(20)32228-5 </w:t>
        </w:r>
      </w:hyperlink>
    </w:p>
    <w:p w14:paraId="3CEDDB88"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LaNoue, M.D. and Hass, R.W. (2025) ‘Conceptualizing self-reported adverse childhood experiences: from epidemiologic exposure to psychometric latent variable’, </w:t>
      </w:r>
      <w:r w:rsidRPr="00A65F75">
        <w:rPr>
          <w:rFonts w:ascii="Arial" w:hAnsi="Arial" w:cs="Arial"/>
          <w:i/>
          <w:iCs/>
        </w:rPr>
        <w:t>Social Science &amp; Medicine</w:t>
      </w:r>
      <w:r w:rsidRPr="00A65F75">
        <w:rPr>
          <w:rFonts w:ascii="Arial" w:hAnsi="Arial" w:cs="Arial"/>
        </w:rPr>
        <w:t>, 366, article 117664.</w:t>
      </w:r>
      <w:r>
        <w:rPr>
          <w:rFonts w:ascii="Arial" w:hAnsi="Arial" w:cs="Arial"/>
        </w:rPr>
        <w:t xml:space="preserve"> </w:t>
      </w:r>
      <w:hyperlink r:id="rId41" w:tgtFrame="_blank" w:tooltip="Persistent link using digital object identifier" w:history="1">
        <w:r w:rsidRPr="00D80867">
          <w:rPr>
            <w:rStyle w:val="Hyperlink"/>
            <w:rFonts w:ascii="Arial" w:hAnsi="Arial" w:cs="Arial"/>
          </w:rPr>
          <w:t>https://doi.org/10.1016/j.socscimed.2024.117664</w:t>
        </w:r>
      </w:hyperlink>
      <w:r>
        <w:rPr>
          <w:rFonts w:ascii="Arial" w:hAnsi="Arial" w:cs="Arial"/>
        </w:rPr>
        <w:t xml:space="preserve"> </w:t>
      </w:r>
    </w:p>
    <w:p w14:paraId="0C0BB592"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Larson, M. (2021) </w:t>
      </w:r>
      <w:r w:rsidRPr="00A65F75">
        <w:rPr>
          <w:rFonts w:ascii="Arial" w:hAnsi="Arial" w:cs="Arial"/>
          <w:i/>
          <w:iCs/>
        </w:rPr>
        <w:t>Understanding resilience among individuals with adverse childhood experiences (ACEs)</w:t>
      </w:r>
      <w:r w:rsidRPr="00A65F75">
        <w:rPr>
          <w:rFonts w:ascii="Arial" w:hAnsi="Arial" w:cs="Arial"/>
        </w:rPr>
        <w:t>. Doctoral dissertation. Minneapolis: Walden University.</w:t>
      </w:r>
      <w:r>
        <w:rPr>
          <w:rFonts w:ascii="Arial" w:hAnsi="Arial" w:cs="Arial"/>
        </w:rPr>
        <w:t xml:space="preserve"> </w:t>
      </w:r>
      <w:hyperlink r:id="rId42" w:history="1">
        <w:r w:rsidRPr="006224C9">
          <w:rPr>
            <w:rStyle w:val="Hyperlink"/>
            <w:rFonts w:ascii="Arial" w:hAnsi="Arial" w:cs="Arial"/>
          </w:rPr>
          <w:t>https://www.proquest.com/openview/f321f21190df80937edb793abf7c4ab5/1?pq-origsite=gscholar&amp;cbl=18750&amp;diss=y#</w:t>
        </w:r>
      </w:hyperlink>
      <w:r>
        <w:rPr>
          <w:rFonts w:ascii="Arial" w:hAnsi="Arial" w:cs="Arial"/>
        </w:rPr>
        <w:t xml:space="preserve"> </w:t>
      </w:r>
    </w:p>
    <w:p w14:paraId="38414841"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Lewer, D., King, E., Bramley, G., Fitzpatrick, S., Treanor, M.C., Maguire, N., Bullock, M., Hayward, A. and Story, A. (2020) ‘The ACE Index: mapping childhood adversity in England’, </w:t>
      </w:r>
      <w:r w:rsidRPr="00A65F75">
        <w:rPr>
          <w:rFonts w:ascii="Arial" w:hAnsi="Arial" w:cs="Arial"/>
          <w:i/>
          <w:iCs/>
        </w:rPr>
        <w:t>Journal of Public Health</w:t>
      </w:r>
      <w:r w:rsidRPr="00A65F75">
        <w:rPr>
          <w:rFonts w:ascii="Arial" w:hAnsi="Arial" w:cs="Arial"/>
        </w:rPr>
        <w:t>, 42(4), pp. e487–e495.</w:t>
      </w:r>
      <w:r>
        <w:rPr>
          <w:rFonts w:ascii="Arial" w:hAnsi="Arial" w:cs="Arial"/>
        </w:rPr>
        <w:t xml:space="preserve"> </w:t>
      </w:r>
      <w:hyperlink r:id="rId43" w:history="1">
        <w:r w:rsidRPr="007F3C0B">
          <w:rPr>
            <w:rStyle w:val="Hyperlink"/>
            <w:rFonts w:ascii="Arial" w:hAnsi="Arial" w:cs="Arial"/>
          </w:rPr>
          <w:t>https://doi.org/10.1093/pubmed/fdz158</w:t>
        </w:r>
      </w:hyperlink>
    </w:p>
    <w:p w14:paraId="3B7DB184" w14:textId="77777777" w:rsidR="00BD6F3C" w:rsidRPr="00A65F75" w:rsidRDefault="00BD6F3C" w:rsidP="00EA06A6">
      <w:pPr>
        <w:spacing w:line="360" w:lineRule="auto"/>
        <w:ind w:left="720" w:hanging="720"/>
        <w:rPr>
          <w:rFonts w:ascii="Arial" w:hAnsi="Arial" w:cs="Arial"/>
        </w:rPr>
      </w:pPr>
      <w:r w:rsidRPr="00A65F75">
        <w:rPr>
          <w:rFonts w:ascii="Arial" w:hAnsi="Arial" w:cs="Arial"/>
        </w:rPr>
        <w:t xml:space="preserve">Leza, L., Siria, S., López-Goñi, J.J. and Fernandez-Montalvo, J. (2021) ‘Adverse childhood experiences (ACEs) and substance use disorder (SUD): a scoping review’, </w:t>
      </w:r>
      <w:r w:rsidRPr="00A65F75">
        <w:rPr>
          <w:rFonts w:ascii="Arial" w:hAnsi="Arial" w:cs="Arial"/>
          <w:i/>
          <w:iCs/>
        </w:rPr>
        <w:t>Drug and Alcohol Dependence</w:t>
      </w:r>
      <w:r w:rsidRPr="00A65F75">
        <w:rPr>
          <w:rFonts w:ascii="Arial" w:hAnsi="Arial" w:cs="Arial"/>
        </w:rPr>
        <w:t>, 221, article 108563.</w:t>
      </w:r>
      <w:r>
        <w:rPr>
          <w:rFonts w:ascii="Arial" w:hAnsi="Arial" w:cs="Arial"/>
        </w:rPr>
        <w:t xml:space="preserve"> </w:t>
      </w:r>
      <w:hyperlink r:id="rId44" w:tgtFrame="_blank" w:tooltip="Persistent link using digital object identifier" w:history="1">
        <w:r w:rsidRPr="00670C05">
          <w:rPr>
            <w:rStyle w:val="Hyperlink"/>
            <w:rFonts w:ascii="Arial" w:hAnsi="Arial" w:cs="Arial"/>
          </w:rPr>
          <w:t>https://doi.org/10.1016/j.drugalcdep.2021.108563</w:t>
        </w:r>
      </w:hyperlink>
      <w:r>
        <w:rPr>
          <w:rFonts w:ascii="Arial" w:hAnsi="Arial" w:cs="Arial"/>
        </w:rPr>
        <w:t xml:space="preserve"> </w:t>
      </w:r>
    </w:p>
    <w:p w14:paraId="600FEEDE" w14:textId="77777777" w:rsidR="00BD6F3C" w:rsidRPr="00A65F75" w:rsidRDefault="00BD6F3C" w:rsidP="004B7DE1">
      <w:pPr>
        <w:spacing w:line="360" w:lineRule="auto"/>
        <w:ind w:left="720" w:hanging="720"/>
        <w:rPr>
          <w:rFonts w:ascii="Arial" w:hAnsi="Arial" w:cs="Arial"/>
        </w:rPr>
      </w:pPr>
      <w:r w:rsidRPr="00A65F75">
        <w:rPr>
          <w:rFonts w:ascii="Arial" w:hAnsi="Arial" w:cs="Arial"/>
        </w:rPr>
        <w:t xml:space="preserve">McCoy, E., Smith, C. and Quigg, Z. (2025) </w:t>
      </w:r>
      <w:r w:rsidRPr="00A65F75">
        <w:rPr>
          <w:rFonts w:ascii="Arial" w:hAnsi="Arial" w:cs="Arial"/>
          <w:i/>
          <w:iCs/>
        </w:rPr>
        <w:t>Merseyside adverse childhood experiences and trauma responsive system review</w:t>
      </w:r>
      <w:r w:rsidRPr="00A65F75">
        <w:rPr>
          <w:rFonts w:ascii="Arial" w:hAnsi="Arial" w:cs="Arial"/>
        </w:rPr>
        <w:t>.</w:t>
      </w:r>
      <w:r>
        <w:rPr>
          <w:rFonts w:ascii="Arial" w:hAnsi="Arial" w:cs="Arial"/>
        </w:rPr>
        <w:t xml:space="preserve"> Available at: </w:t>
      </w:r>
      <w:hyperlink r:id="rId45" w:history="1">
        <w:r w:rsidRPr="009453A8">
          <w:rPr>
            <w:rStyle w:val="Hyperlink"/>
            <w:rFonts w:ascii="Arial" w:hAnsi="Arial" w:cs="Arial"/>
          </w:rPr>
          <w:t>https://researchonline.ljmu.ac.uk/id/eprint/26735/</w:t>
        </w:r>
      </w:hyperlink>
      <w:r>
        <w:rPr>
          <w:rFonts w:ascii="Arial" w:hAnsi="Arial" w:cs="Arial"/>
        </w:rPr>
        <w:t xml:space="preserve"> (28 March 2026).</w:t>
      </w:r>
    </w:p>
    <w:p w14:paraId="5E4B9349" w14:textId="77777777" w:rsidR="00BD6F3C" w:rsidRPr="004B7DE1" w:rsidRDefault="00BD6F3C" w:rsidP="004B7DE1">
      <w:pPr>
        <w:spacing w:line="360" w:lineRule="auto"/>
        <w:ind w:left="720" w:hanging="720"/>
        <w:rPr>
          <w:rFonts w:ascii="Arial" w:hAnsi="Arial" w:cs="Arial"/>
        </w:rPr>
      </w:pPr>
      <w:r w:rsidRPr="00A65F75">
        <w:rPr>
          <w:rFonts w:ascii="Arial" w:hAnsi="Arial" w:cs="Arial"/>
        </w:rPr>
        <w:t xml:space="preserve">McKay, M.T., Cannon, M., Chambers, D., Conroy, R.M., Coughlan, H., Dodd, P., Healy, C., O’Donnell, L. and Clarke, M.C. (2021) ‘Childhood trauma and adult mental disorder: a systematic review and meta-analysis of longitudinal cohort studies’, </w:t>
      </w:r>
      <w:r w:rsidRPr="00A65F75">
        <w:rPr>
          <w:rFonts w:ascii="Arial" w:hAnsi="Arial" w:cs="Arial"/>
          <w:i/>
          <w:iCs/>
        </w:rPr>
        <w:t>Acta Psychiatrica Scandinavica</w:t>
      </w:r>
      <w:r w:rsidRPr="00A65F75">
        <w:rPr>
          <w:rFonts w:ascii="Arial" w:hAnsi="Arial" w:cs="Arial"/>
        </w:rPr>
        <w:t>, 143(3), pp. 189–205.</w:t>
      </w:r>
      <w:r>
        <w:rPr>
          <w:rFonts w:ascii="Arial" w:hAnsi="Arial" w:cs="Arial"/>
        </w:rPr>
        <w:t xml:space="preserve"> </w:t>
      </w:r>
      <w:hyperlink r:id="rId46" w:history="1">
        <w:r w:rsidRPr="004B7DE1">
          <w:rPr>
            <w:rStyle w:val="Hyperlink"/>
            <w:rFonts w:ascii="Arial" w:hAnsi="Arial" w:cs="Arial"/>
          </w:rPr>
          <w:t>https://doi.org/10.1111/acps.13268</w:t>
        </w:r>
      </w:hyperlink>
    </w:p>
    <w:p w14:paraId="145E5327"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McKay, M.T., Kilmartin, L., Meagher, A., Cannon, M., Healy, C. and Clarke, M.C. (2022) ‘A revised and extended systematic review and meta-analysis of the relationship between childhood adversity and adult psychiatric disorder’, </w:t>
      </w:r>
      <w:r w:rsidRPr="00A65F75">
        <w:rPr>
          <w:rFonts w:ascii="Arial" w:hAnsi="Arial" w:cs="Arial"/>
          <w:i/>
          <w:iCs/>
        </w:rPr>
        <w:t>Journal of Psychiatric Research</w:t>
      </w:r>
      <w:r w:rsidRPr="00A65F75">
        <w:rPr>
          <w:rFonts w:ascii="Arial" w:hAnsi="Arial" w:cs="Arial"/>
        </w:rPr>
        <w:t>, 156, pp. 268–283.</w:t>
      </w:r>
      <w:r>
        <w:rPr>
          <w:rFonts w:ascii="Arial" w:hAnsi="Arial" w:cs="Arial"/>
        </w:rPr>
        <w:t xml:space="preserve"> </w:t>
      </w:r>
      <w:hyperlink r:id="rId47" w:tgtFrame="_blank" w:tooltip="Persistent link using digital object identifier" w:history="1">
        <w:r w:rsidRPr="0057458D">
          <w:rPr>
            <w:rStyle w:val="Hyperlink"/>
            <w:rFonts w:ascii="Arial" w:hAnsi="Arial" w:cs="Arial"/>
          </w:rPr>
          <w:t>https://doi.org/10.1016/j.jpsychires.2022.10.015</w:t>
        </w:r>
      </w:hyperlink>
    </w:p>
    <w:p w14:paraId="01A8CDC6" w14:textId="77777777" w:rsidR="00BD6F3C" w:rsidRPr="0057458D" w:rsidRDefault="00BD6F3C" w:rsidP="0057458D">
      <w:pPr>
        <w:spacing w:line="360" w:lineRule="auto"/>
        <w:ind w:left="720" w:hanging="720"/>
        <w:rPr>
          <w:rFonts w:ascii="Arial" w:hAnsi="Arial" w:cs="Arial"/>
        </w:rPr>
      </w:pPr>
      <w:r w:rsidRPr="00A65F75">
        <w:rPr>
          <w:rFonts w:ascii="Arial" w:hAnsi="Arial" w:cs="Arial"/>
        </w:rPr>
        <w:t xml:space="preserve">McNally, K., Ragan, K., Varese, F. and Lovell, K. (2023) ‘The ongoing importance of routine enquiry into trauma and abuse and trauma-informed care within mental health trusts in England’, </w:t>
      </w:r>
      <w:r w:rsidRPr="00A65F75">
        <w:rPr>
          <w:rFonts w:ascii="Arial" w:hAnsi="Arial" w:cs="Arial"/>
          <w:i/>
          <w:iCs/>
        </w:rPr>
        <w:t>Journal of Psychiatric and Mental Health Nursing</w:t>
      </w:r>
      <w:r w:rsidRPr="00A65F75">
        <w:rPr>
          <w:rFonts w:ascii="Arial" w:hAnsi="Arial" w:cs="Arial"/>
        </w:rPr>
        <w:t>, 30(6), pp. 1130–1136.</w:t>
      </w:r>
      <w:r>
        <w:rPr>
          <w:rFonts w:ascii="Arial" w:hAnsi="Arial" w:cs="Arial"/>
        </w:rPr>
        <w:t xml:space="preserve"> </w:t>
      </w:r>
      <w:hyperlink r:id="rId48" w:history="1">
        <w:r w:rsidRPr="0057458D">
          <w:rPr>
            <w:rStyle w:val="Hyperlink"/>
            <w:rFonts w:ascii="Arial" w:hAnsi="Arial" w:cs="Arial"/>
          </w:rPr>
          <w:t>https://doi.org/10.1111/jpm.12947</w:t>
        </w:r>
      </w:hyperlink>
    </w:p>
    <w:p w14:paraId="43EAC6CC" w14:textId="54F42A16" w:rsidR="00BD6F3C" w:rsidRPr="00A65F75" w:rsidRDefault="00BD6F3C" w:rsidP="00D11EC7">
      <w:pPr>
        <w:spacing w:line="360" w:lineRule="auto"/>
        <w:ind w:left="720" w:hanging="720"/>
        <w:rPr>
          <w:rFonts w:ascii="Arial" w:hAnsi="Arial" w:cs="Arial"/>
        </w:rPr>
      </w:pPr>
      <w:r w:rsidRPr="00A65F75">
        <w:rPr>
          <w:rFonts w:ascii="Arial" w:hAnsi="Arial" w:cs="Arial"/>
        </w:rPr>
        <w:t xml:space="preserve">Melody-Mackey, L.C. (2021) </w:t>
      </w:r>
      <w:r w:rsidRPr="00A65F75">
        <w:rPr>
          <w:rFonts w:ascii="Arial" w:hAnsi="Arial" w:cs="Arial"/>
          <w:i/>
          <w:iCs/>
        </w:rPr>
        <w:t>Adverse childhood experiences, special education, and the role of resilience in the life course</w:t>
      </w:r>
      <w:r w:rsidRPr="00A65F75">
        <w:rPr>
          <w:rFonts w:ascii="Arial" w:hAnsi="Arial" w:cs="Arial"/>
        </w:rPr>
        <w:t>.</w:t>
      </w:r>
      <w:r>
        <w:rPr>
          <w:rFonts w:ascii="Arial" w:hAnsi="Arial" w:cs="Arial"/>
        </w:rPr>
        <w:t xml:space="preserve"> PhD Thesis, Fielding Graduate University, CA, USA.</w:t>
      </w:r>
      <w:r w:rsidR="005542C3">
        <w:rPr>
          <w:rFonts w:ascii="Arial" w:hAnsi="Arial" w:cs="Arial"/>
        </w:rPr>
        <w:t xml:space="preserve"> Available at: </w:t>
      </w:r>
      <w:hyperlink r:id="rId49" w:history="1">
        <w:r w:rsidR="005542C3" w:rsidRPr="00507D58">
          <w:rPr>
            <w:rStyle w:val="Hyperlink"/>
            <w:rFonts w:ascii="Arial" w:hAnsi="Arial" w:cs="Arial"/>
          </w:rPr>
          <w:t>https://eric.ed.gov/?q=resilience+AND+child+AND+abuse&amp;ff1=dtySince_2002&amp;id=ED655954</w:t>
        </w:r>
      </w:hyperlink>
      <w:r w:rsidR="005542C3">
        <w:rPr>
          <w:rFonts w:ascii="Arial" w:hAnsi="Arial" w:cs="Arial"/>
        </w:rPr>
        <w:t xml:space="preserve"> (Accessed 28 March 2026).</w:t>
      </w:r>
    </w:p>
    <w:p w14:paraId="20D95DD9" w14:textId="77777777" w:rsidR="00BD6F3C" w:rsidRDefault="00BD6F3C" w:rsidP="00EA06A6">
      <w:pPr>
        <w:spacing w:line="360" w:lineRule="auto"/>
        <w:ind w:left="720" w:hanging="720"/>
        <w:rPr>
          <w:rFonts w:ascii="Arial" w:hAnsi="Arial" w:cs="Arial"/>
        </w:rPr>
      </w:pPr>
      <w:r w:rsidRPr="008672B2">
        <w:rPr>
          <w:rFonts w:ascii="Arial" w:hAnsi="Arial" w:cs="Arial"/>
        </w:rPr>
        <w:t>Morgan, H.</w:t>
      </w:r>
      <w:r>
        <w:rPr>
          <w:rFonts w:ascii="Arial" w:hAnsi="Arial" w:cs="Arial"/>
        </w:rPr>
        <w:t xml:space="preserve"> (</w:t>
      </w:r>
      <w:r w:rsidRPr="008672B2">
        <w:rPr>
          <w:rFonts w:ascii="Arial" w:hAnsi="Arial" w:cs="Arial"/>
        </w:rPr>
        <w:t>2022</w:t>
      </w:r>
      <w:r>
        <w:rPr>
          <w:rFonts w:ascii="Arial" w:hAnsi="Arial" w:cs="Arial"/>
        </w:rPr>
        <w:t>)</w:t>
      </w:r>
      <w:r w:rsidRPr="008672B2">
        <w:rPr>
          <w:rFonts w:ascii="Arial" w:hAnsi="Arial" w:cs="Arial"/>
        </w:rPr>
        <w:t xml:space="preserve"> </w:t>
      </w:r>
      <w:r>
        <w:rPr>
          <w:rFonts w:ascii="Arial" w:hAnsi="Arial" w:cs="Arial"/>
        </w:rPr>
        <w:t>‘</w:t>
      </w:r>
      <w:r w:rsidRPr="008672B2">
        <w:rPr>
          <w:rFonts w:ascii="Arial" w:hAnsi="Arial" w:cs="Arial"/>
        </w:rPr>
        <w:t>Understanding thematic analysis and the debates involving its use</w:t>
      </w:r>
      <w:r>
        <w:rPr>
          <w:rFonts w:ascii="Arial" w:hAnsi="Arial" w:cs="Arial"/>
        </w:rPr>
        <w:t xml:space="preserve">’ </w:t>
      </w:r>
      <w:r w:rsidRPr="008672B2">
        <w:rPr>
          <w:rFonts w:ascii="Arial" w:hAnsi="Arial" w:cs="Arial"/>
          <w:i/>
          <w:iCs/>
        </w:rPr>
        <w:t>The qualitative report</w:t>
      </w:r>
      <w:r w:rsidRPr="008672B2">
        <w:rPr>
          <w:rFonts w:ascii="Arial" w:hAnsi="Arial" w:cs="Arial"/>
        </w:rPr>
        <w:t>, </w:t>
      </w:r>
      <w:r w:rsidRPr="008672B2">
        <w:rPr>
          <w:rFonts w:ascii="Arial" w:hAnsi="Arial" w:cs="Arial"/>
          <w:i/>
          <w:iCs/>
        </w:rPr>
        <w:t>27</w:t>
      </w:r>
      <w:r w:rsidRPr="008672B2">
        <w:rPr>
          <w:rFonts w:ascii="Arial" w:hAnsi="Arial" w:cs="Arial"/>
        </w:rPr>
        <w:t xml:space="preserve">(10), pp.2079-2090. </w:t>
      </w:r>
      <w:hyperlink r:id="rId50" w:history="1">
        <w:r w:rsidRPr="006224C9">
          <w:rPr>
            <w:rStyle w:val="Hyperlink"/>
            <w:rFonts w:ascii="Arial" w:hAnsi="Arial" w:cs="Arial"/>
          </w:rPr>
          <w:t>https://doi.org/10.46743/2160-3715/2022.5912</w:t>
        </w:r>
      </w:hyperlink>
      <w:r>
        <w:rPr>
          <w:rFonts w:ascii="Arial" w:hAnsi="Arial" w:cs="Arial"/>
        </w:rPr>
        <w:t xml:space="preserve"> </w:t>
      </w:r>
    </w:p>
    <w:p w14:paraId="4DF215B0"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Morrissey, J. and Higgins, A. (2022) ‘Trauma and trauma-informed care’, in </w:t>
      </w:r>
      <w:r w:rsidRPr="00A65F75">
        <w:rPr>
          <w:rFonts w:ascii="Arial" w:hAnsi="Arial" w:cs="Arial"/>
          <w:i/>
          <w:iCs/>
        </w:rPr>
        <w:t>Advanced practice in mental health nursing: a European perspective</w:t>
      </w:r>
      <w:r w:rsidRPr="00A65F75">
        <w:rPr>
          <w:rFonts w:ascii="Arial" w:hAnsi="Arial" w:cs="Arial"/>
        </w:rPr>
        <w:t>. Cham: Springer International Publishing, pp. 197–219.</w:t>
      </w:r>
      <w:r>
        <w:rPr>
          <w:rFonts w:ascii="Arial" w:hAnsi="Arial" w:cs="Arial"/>
        </w:rPr>
        <w:t xml:space="preserve"> </w:t>
      </w:r>
      <w:hyperlink r:id="rId51" w:history="1">
        <w:r w:rsidRPr="009453A8">
          <w:rPr>
            <w:rStyle w:val="Hyperlink"/>
            <w:rFonts w:ascii="Arial" w:hAnsi="Arial" w:cs="Arial"/>
          </w:rPr>
          <w:t>https://doi.org/10.1007/978-3-031-05536-2_9</w:t>
        </w:r>
      </w:hyperlink>
      <w:r>
        <w:rPr>
          <w:rFonts w:ascii="Arial" w:hAnsi="Arial" w:cs="Arial"/>
        </w:rPr>
        <w:t xml:space="preserve"> </w:t>
      </w:r>
    </w:p>
    <w:p w14:paraId="5B36E231"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Moxey, M., Dennie, E., Rossi, R., Sallis, H. and Herbert, A. (2025) ‘Exploring adverse childhood experiences (ACEs) among those seeking treatment for gambling problems: a mixed-methods study’, </w:t>
      </w:r>
      <w:r w:rsidRPr="00A65F75">
        <w:rPr>
          <w:rFonts w:ascii="Arial" w:hAnsi="Arial" w:cs="Arial"/>
          <w:i/>
          <w:iCs/>
        </w:rPr>
        <w:t>Addictive Behaviors</w:t>
      </w:r>
      <w:r w:rsidRPr="00A65F75">
        <w:rPr>
          <w:rFonts w:ascii="Arial" w:hAnsi="Arial" w:cs="Arial"/>
        </w:rPr>
        <w:t>, article 108535.</w:t>
      </w:r>
      <w:r>
        <w:rPr>
          <w:rFonts w:ascii="Arial" w:hAnsi="Arial" w:cs="Arial"/>
        </w:rPr>
        <w:t xml:space="preserve"> </w:t>
      </w:r>
      <w:hyperlink r:id="rId52" w:tgtFrame="_blank" w:tooltip="Persistent link using digital object identifier" w:history="1">
        <w:r w:rsidRPr="0057458D">
          <w:rPr>
            <w:rStyle w:val="Hyperlink"/>
            <w:rFonts w:ascii="Arial" w:hAnsi="Arial" w:cs="Arial"/>
          </w:rPr>
          <w:t>https://doi.org/10.1016/j.addbeh.2025.108535</w:t>
        </w:r>
      </w:hyperlink>
    </w:p>
    <w:p w14:paraId="63906929" w14:textId="175FAC97" w:rsidR="00BD6F3C" w:rsidRDefault="00BD6F3C" w:rsidP="00EA06A6">
      <w:pPr>
        <w:spacing w:line="360" w:lineRule="auto"/>
        <w:ind w:left="720" w:hanging="720"/>
        <w:rPr>
          <w:rFonts w:ascii="Arial" w:hAnsi="Arial" w:cs="Arial"/>
        </w:rPr>
      </w:pPr>
      <w:r w:rsidRPr="00946F7C">
        <w:rPr>
          <w:rFonts w:ascii="Arial" w:hAnsi="Arial" w:cs="Arial"/>
        </w:rPr>
        <w:t>Najman, J.M., Clavarino, A.M., McGee, T.R., Middeldorp, C.M., Williams, G.M. and Scott, J.G.</w:t>
      </w:r>
      <w:r w:rsidR="00E4728A">
        <w:rPr>
          <w:rFonts w:ascii="Arial" w:hAnsi="Arial" w:cs="Arial"/>
        </w:rPr>
        <w:t xml:space="preserve"> (</w:t>
      </w:r>
      <w:r w:rsidRPr="00946F7C">
        <w:rPr>
          <w:rFonts w:ascii="Arial" w:hAnsi="Arial" w:cs="Arial"/>
        </w:rPr>
        <w:t>2022</w:t>
      </w:r>
      <w:r w:rsidR="00E4728A">
        <w:rPr>
          <w:rFonts w:ascii="Arial" w:hAnsi="Arial" w:cs="Arial"/>
        </w:rPr>
        <w:t>) ‘</w:t>
      </w:r>
      <w:r w:rsidRPr="00946F7C">
        <w:rPr>
          <w:rFonts w:ascii="Arial" w:hAnsi="Arial" w:cs="Arial"/>
        </w:rPr>
        <w:t>Do adversities experienced over the early life course predict mental illness and substance use behaviour in adulthood: a birth cohort study</w:t>
      </w:r>
      <w:r w:rsidR="00E4728A">
        <w:rPr>
          <w:rFonts w:ascii="Arial" w:hAnsi="Arial" w:cs="Arial"/>
        </w:rPr>
        <w:t xml:space="preserve">’, </w:t>
      </w:r>
      <w:r w:rsidRPr="00946F7C">
        <w:rPr>
          <w:rFonts w:ascii="Arial" w:hAnsi="Arial" w:cs="Arial"/>
          <w:i/>
          <w:iCs/>
        </w:rPr>
        <w:t>Journal of psychiatric research</w:t>
      </w:r>
      <w:r w:rsidRPr="00946F7C">
        <w:rPr>
          <w:rFonts w:ascii="Arial" w:hAnsi="Arial" w:cs="Arial"/>
        </w:rPr>
        <w:t>, </w:t>
      </w:r>
      <w:r w:rsidRPr="00946F7C">
        <w:rPr>
          <w:rFonts w:ascii="Arial" w:hAnsi="Arial" w:cs="Arial"/>
          <w:i/>
          <w:iCs/>
        </w:rPr>
        <w:t>155</w:t>
      </w:r>
      <w:r w:rsidRPr="00946F7C">
        <w:rPr>
          <w:rFonts w:ascii="Arial" w:hAnsi="Arial" w:cs="Arial"/>
        </w:rPr>
        <w:t xml:space="preserve">, pp.542-549. </w:t>
      </w:r>
      <w:hyperlink r:id="rId53" w:tgtFrame="_blank" w:tooltip="Persistent link using digital object identifier" w:history="1">
        <w:r w:rsidRPr="00946F7C">
          <w:rPr>
            <w:rStyle w:val="Hyperlink"/>
            <w:rFonts w:ascii="Arial" w:hAnsi="Arial" w:cs="Arial"/>
          </w:rPr>
          <w:t>https://doi.org/10.1016/j.jpsychires.2022.09.020</w:t>
        </w:r>
      </w:hyperlink>
    </w:p>
    <w:p w14:paraId="361F314C"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Narayan, A.J., Lieberman, A.F. and Masten, A.S. (2021) ‘Intergenerational transmission and prevention of adverse childhood experiences (ACEs)’, </w:t>
      </w:r>
      <w:r w:rsidRPr="00A65F75">
        <w:rPr>
          <w:rFonts w:ascii="Arial" w:hAnsi="Arial" w:cs="Arial"/>
          <w:i/>
          <w:iCs/>
        </w:rPr>
        <w:t>Clinical Psychology Review</w:t>
      </w:r>
      <w:r w:rsidRPr="00A65F75">
        <w:rPr>
          <w:rFonts w:ascii="Arial" w:hAnsi="Arial" w:cs="Arial"/>
        </w:rPr>
        <w:t>, 85, article 101997.</w:t>
      </w:r>
      <w:r>
        <w:rPr>
          <w:rFonts w:ascii="Arial" w:hAnsi="Arial" w:cs="Arial"/>
        </w:rPr>
        <w:t xml:space="preserve"> </w:t>
      </w:r>
      <w:hyperlink r:id="rId54" w:tgtFrame="_blank" w:tooltip="Persistent link using digital object identifier" w:history="1">
        <w:r w:rsidRPr="0057458D">
          <w:rPr>
            <w:rStyle w:val="Hyperlink"/>
            <w:rFonts w:ascii="Arial" w:hAnsi="Arial" w:cs="Arial"/>
          </w:rPr>
          <w:t>https://doi.org/10.1016/j.cpr.2021.101997</w:t>
        </w:r>
      </w:hyperlink>
    </w:p>
    <w:p w14:paraId="65B2FD8F"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NHS England (2023) </w:t>
      </w:r>
      <w:r w:rsidRPr="00A65F75">
        <w:rPr>
          <w:rFonts w:ascii="Arial" w:hAnsi="Arial" w:cs="Arial"/>
          <w:i/>
          <w:iCs/>
        </w:rPr>
        <w:t>NHS long term plan: mental health implementation update 2023/24</w:t>
      </w:r>
      <w:r w:rsidRPr="00A65F75">
        <w:rPr>
          <w:rFonts w:ascii="Arial" w:hAnsi="Arial" w:cs="Arial"/>
        </w:rPr>
        <w:t xml:space="preserve">. London: NHS England. Available at: </w:t>
      </w:r>
      <w:hyperlink r:id="rId55" w:history="1">
        <w:r w:rsidRPr="00A65F75">
          <w:rPr>
            <w:rStyle w:val="Hyperlink"/>
            <w:rFonts w:ascii="Arial" w:hAnsi="Arial" w:cs="Arial"/>
            <w:color w:val="auto"/>
          </w:rPr>
          <w:t>https://www.england.nhs.uk/mental-health</w:t>
        </w:r>
      </w:hyperlink>
      <w:r w:rsidRPr="00A65F75">
        <w:rPr>
          <w:rFonts w:ascii="Arial" w:hAnsi="Arial" w:cs="Arial"/>
        </w:rPr>
        <w:t xml:space="preserve"> (Accessed: 9 March 2026).</w:t>
      </w:r>
    </w:p>
    <w:p w14:paraId="1EB645B2"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Nikopaschos, F., Gibbons, O., Bailey, E., Foxall, A., Giachero, C. and Burrell, G. (2025) ‘Trauma-informed care on mental health wards: staff and service user perspectives’, </w:t>
      </w:r>
      <w:r w:rsidRPr="00A65F75">
        <w:rPr>
          <w:rFonts w:ascii="Arial" w:hAnsi="Arial" w:cs="Arial"/>
          <w:i/>
          <w:iCs/>
        </w:rPr>
        <w:t>Frontiers in Psychology</w:t>
      </w:r>
      <w:r w:rsidRPr="00A65F75">
        <w:rPr>
          <w:rFonts w:ascii="Arial" w:hAnsi="Arial" w:cs="Arial"/>
        </w:rPr>
        <w:t>, 16, article 1578821.</w:t>
      </w:r>
      <w:r>
        <w:rPr>
          <w:rFonts w:ascii="Arial" w:hAnsi="Arial" w:cs="Arial"/>
        </w:rPr>
        <w:t xml:space="preserve"> </w:t>
      </w:r>
      <w:hyperlink r:id="rId56" w:history="1">
        <w:r w:rsidRPr="0057458D">
          <w:rPr>
            <w:rStyle w:val="Hyperlink"/>
            <w:rFonts w:ascii="Arial" w:hAnsi="Arial" w:cs="Arial"/>
          </w:rPr>
          <w:t>https://doi.org/10.3389/fpsyg.2025.1578821</w:t>
        </w:r>
      </w:hyperlink>
    </w:p>
    <w:p w14:paraId="519C82F9"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Office for Health Improvement and Disparities (2026) </w:t>
      </w:r>
      <w:r w:rsidRPr="00A65F75">
        <w:rPr>
          <w:rFonts w:ascii="Arial" w:hAnsi="Arial" w:cs="Arial"/>
          <w:i/>
          <w:iCs/>
        </w:rPr>
        <w:t>Office for Health Improvement and Disparities</w:t>
      </w:r>
      <w:r w:rsidRPr="00A65F75">
        <w:rPr>
          <w:rFonts w:ascii="Arial" w:hAnsi="Arial" w:cs="Arial"/>
        </w:rPr>
        <w:t xml:space="preserve">. Available at: </w:t>
      </w:r>
      <w:hyperlink r:id="rId57" w:history="1">
        <w:r w:rsidRPr="00A65F75">
          <w:rPr>
            <w:rStyle w:val="Hyperlink"/>
            <w:rFonts w:ascii="Arial" w:hAnsi="Arial" w:cs="Arial"/>
            <w:color w:val="auto"/>
          </w:rPr>
          <w:t>https://www.gov.uk/government/organisations/office-for-health-improvement-and-disparities</w:t>
        </w:r>
      </w:hyperlink>
      <w:r w:rsidRPr="00A65F75">
        <w:rPr>
          <w:rFonts w:ascii="Arial" w:hAnsi="Arial" w:cs="Arial"/>
        </w:rPr>
        <w:t xml:space="preserve"> (Accessed: 26 February 2026).</w:t>
      </w:r>
    </w:p>
    <w:p w14:paraId="7C5964F8"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Partridge, S. (2021) ‘What happened to you? Attachment theory extended’, </w:t>
      </w:r>
      <w:r w:rsidRPr="00A65F75">
        <w:rPr>
          <w:rFonts w:ascii="Arial" w:hAnsi="Arial" w:cs="Arial"/>
          <w:i/>
          <w:iCs/>
        </w:rPr>
        <w:t>Attachment</w:t>
      </w:r>
      <w:r w:rsidRPr="00A65F75">
        <w:rPr>
          <w:rFonts w:ascii="Arial" w:hAnsi="Arial" w:cs="Arial"/>
        </w:rPr>
        <w:t>, 15(1), pp. 7–13.</w:t>
      </w:r>
      <w:r>
        <w:rPr>
          <w:rFonts w:ascii="Arial" w:hAnsi="Arial" w:cs="Arial"/>
        </w:rPr>
        <w:t xml:space="preserve"> Available at: </w:t>
      </w:r>
      <w:hyperlink r:id="rId58" w:history="1">
        <w:r w:rsidRPr="009453A8">
          <w:rPr>
            <w:rStyle w:val="Hyperlink"/>
            <w:rFonts w:ascii="Arial" w:hAnsi="Arial" w:cs="Arial"/>
          </w:rPr>
          <w:t>https://firingthemind.com/wp-content/uploads/2021/07/Editorial.pdf</w:t>
        </w:r>
      </w:hyperlink>
      <w:r>
        <w:rPr>
          <w:rFonts w:ascii="Arial" w:hAnsi="Arial" w:cs="Arial"/>
        </w:rPr>
        <w:t xml:space="preserve"> (Accessed 28 March 2026).</w:t>
      </w:r>
    </w:p>
    <w:p w14:paraId="0C83681F" w14:textId="432C079D" w:rsidR="00BD6F3C" w:rsidRPr="00A65F75" w:rsidRDefault="00BD6F3C" w:rsidP="00D11EC7">
      <w:pPr>
        <w:spacing w:line="360" w:lineRule="auto"/>
        <w:ind w:left="720" w:hanging="720"/>
        <w:rPr>
          <w:rFonts w:ascii="Arial" w:hAnsi="Arial" w:cs="Arial"/>
        </w:rPr>
      </w:pPr>
      <w:r w:rsidRPr="00A65F75">
        <w:rPr>
          <w:rFonts w:ascii="Arial" w:hAnsi="Arial" w:cs="Arial"/>
        </w:rPr>
        <w:t xml:space="preserve">Piotrowski, C.C. (2020) ‘ACEs and trauma-informed care’, in </w:t>
      </w:r>
      <w:r w:rsidRPr="00A65F75">
        <w:rPr>
          <w:rFonts w:ascii="Arial" w:hAnsi="Arial" w:cs="Arial"/>
          <w:i/>
          <w:iCs/>
        </w:rPr>
        <w:t>Adverse childhood experiences</w:t>
      </w:r>
      <w:r w:rsidRPr="00A65F75">
        <w:rPr>
          <w:rFonts w:ascii="Arial" w:hAnsi="Arial" w:cs="Arial"/>
        </w:rPr>
        <w:t>. London: Academic Press, pp. 307–328.</w:t>
      </w:r>
      <w:r w:rsidR="00E4728A" w:rsidRPr="00E4728A">
        <w:t xml:space="preserve"> </w:t>
      </w:r>
      <w:hyperlink r:id="rId59" w:tgtFrame="_blank" w:tooltip="Persistent link using digital object identifier" w:history="1">
        <w:r w:rsidR="00E4728A" w:rsidRPr="00E4728A">
          <w:rPr>
            <w:rStyle w:val="Hyperlink"/>
            <w:rFonts w:ascii="Arial" w:hAnsi="Arial" w:cs="Arial"/>
          </w:rPr>
          <w:t>https://doi.org/10.1016/B978-0-12-816065-7.00015-X</w:t>
        </w:r>
      </w:hyperlink>
    </w:p>
    <w:p w14:paraId="283E21A3"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Public Health Wales (2025) ‘New study highlights impact of childhood adversity and school experiences on adult health’, 3 March. Available at: </w:t>
      </w:r>
      <w:hyperlink r:id="rId60" w:history="1">
        <w:r w:rsidRPr="00A65F75">
          <w:rPr>
            <w:rStyle w:val="Hyperlink"/>
            <w:rFonts w:ascii="Arial" w:hAnsi="Arial" w:cs="Arial"/>
            <w:color w:val="auto"/>
          </w:rPr>
          <w:t>https://phw.nhs.wales/news/new-study-highlights-impact-of-childhood-adversity-and-school-experiences-on-adult-health/</w:t>
        </w:r>
      </w:hyperlink>
      <w:r w:rsidRPr="00A65F75">
        <w:rPr>
          <w:rFonts w:ascii="Arial" w:hAnsi="Arial" w:cs="Arial"/>
        </w:rPr>
        <w:t xml:space="preserve"> (Accessed: 13 March 2026).</w:t>
      </w:r>
    </w:p>
    <w:p w14:paraId="729D42C7"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Public Health Wales NHS Trust (2022) </w:t>
      </w:r>
      <w:r w:rsidRPr="00A65F75">
        <w:rPr>
          <w:rFonts w:ascii="Arial" w:hAnsi="Arial" w:cs="Arial"/>
          <w:i/>
          <w:iCs/>
        </w:rPr>
        <w:t>Trauma-informed Wales: a societal approach to understanding, preventing and supporting the impacts of trauma and adversity</w:t>
      </w:r>
      <w:r w:rsidRPr="00A65F75">
        <w:rPr>
          <w:rFonts w:ascii="Arial" w:hAnsi="Arial" w:cs="Arial"/>
        </w:rPr>
        <w:t xml:space="preserve">. Cardiff: Public Health Wales NHS Trust. Available at: </w:t>
      </w:r>
      <w:hyperlink r:id="rId61" w:history="1">
        <w:r w:rsidRPr="00A65F75">
          <w:rPr>
            <w:rStyle w:val="Hyperlink"/>
            <w:rFonts w:ascii="Arial" w:hAnsi="Arial" w:cs="Arial"/>
            <w:color w:val="auto"/>
          </w:rPr>
          <w:t>https://traumaframeworkcymru.com/wp-content/uploads/2022/07/Trauma-Informed-Wales-Framework.pdf</w:t>
        </w:r>
      </w:hyperlink>
      <w:r w:rsidRPr="00A65F75">
        <w:rPr>
          <w:rFonts w:ascii="Arial" w:hAnsi="Arial" w:cs="Arial"/>
        </w:rPr>
        <w:t xml:space="preserve"> (Accessed: 27 February 2026).</w:t>
      </w:r>
    </w:p>
    <w:p w14:paraId="1617C0F6" w14:textId="66AA7B35" w:rsidR="00BD6F3C" w:rsidRPr="00A65F75" w:rsidRDefault="00BD6F3C" w:rsidP="00D11EC7">
      <w:pPr>
        <w:spacing w:line="360" w:lineRule="auto"/>
        <w:ind w:left="720" w:hanging="720"/>
        <w:rPr>
          <w:rFonts w:ascii="Arial" w:hAnsi="Arial" w:cs="Arial"/>
        </w:rPr>
      </w:pPr>
      <w:r w:rsidRPr="00A65F75">
        <w:rPr>
          <w:rFonts w:ascii="Arial" w:hAnsi="Arial" w:cs="Arial"/>
        </w:rPr>
        <w:t xml:space="preserve">Rokach, A. and Clayton, S. (2023) </w:t>
      </w:r>
      <w:r w:rsidRPr="00A65F75">
        <w:rPr>
          <w:rFonts w:ascii="Arial" w:hAnsi="Arial" w:cs="Arial"/>
          <w:i/>
          <w:iCs/>
        </w:rPr>
        <w:t>Adverse childhood experiences and their life-long impact</w:t>
      </w:r>
      <w:r w:rsidRPr="00A65F75">
        <w:rPr>
          <w:rFonts w:ascii="Arial" w:hAnsi="Arial" w:cs="Arial"/>
        </w:rPr>
        <w:t>. Amsterdam: Elsevier.</w:t>
      </w:r>
      <w:r w:rsidR="00E4728A">
        <w:rPr>
          <w:rFonts w:ascii="Arial" w:hAnsi="Arial" w:cs="Arial"/>
        </w:rPr>
        <w:t xml:space="preserve"> ISBN: 978-0-323-85853-3</w:t>
      </w:r>
    </w:p>
    <w:p w14:paraId="285249CD"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Sahle, B.W., Reavley, N.J., Li, W., Morgan, A.J., Yap, M.B.H., Reupert, A. and Jorm, A.F. (2022) ‘The association between adverse childhood experiences and common mental disorders and suicidality: an umbrella review of systematic reviews and meta-analyses’, </w:t>
      </w:r>
      <w:r w:rsidRPr="00A65F75">
        <w:rPr>
          <w:rFonts w:ascii="Arial" w:hAnsi="Arial" w:cs="Arial"/>
          <w:i/>
          <w:iCs/>
        </w:rPr>
        <w:t>European Child &amp; Adolescent Psychiatry</w:t>
      </w:r>
      <w:r w:rsidRPr="00A65F75">
        <w:rPr>
          <w:rFonts w:ascii="Arial" w:hAnsi="Arial" w:cs="Arial"/>
        </w:rPr>
        <w:t>, 31(10), pp. 1489–1499.</w:t>
      </w:r>
      <w:r>
        <w:rPr>
          <w:rFonts w:ascii="Arial" w:hAnsi="Arial" w:cs="Arial"/>
        </w:rPr>
        <w:t xml:space="preserve"> </w:t>
      </w:r>
      <w:hyperlink r:id="rId62" w:history="1">
        <w:r w:rsidRPr="009453A8">
          <w:rPr>
            <w:rStyle w:val="Hyperlink"/>
            <w:rFonts w:ascii="Arial" w:hAnsi="Arial" w:cs="Arial"/>
          </w:rPr>
          <w:t>https://doi.org/10.1007/s00787-021-01745-2</w:t>
        </w:r>
      </w:hyperlink>
      <w:r>
        <w:rPr>
          <w:rFonts w:ascii="Arial" w:hAnsi="Arial" w:cs="Arial"/>
        </w:rPr>
        <w:t xml:space="preserve"> </w:t>
      </w:r>
    </w:p>
    <w:p w14:paraId="77E60C4B"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Smith, M. and Monteux, S. (2023) </w:t>
      </w:r>
      <w:r w:rsidRPr="00A65F75">
        <w:rPr>
          <w:rFonts w:ascii="Arial" w:hAnsi="Arial" w:cs="Arial"/>
          <w:i/>
          <w:iCs/>
        </w:rPr>
        <w:t>Trauma-informed approaches: a critical overview of what they offer to social work and social care</w:t>
      </w:r>
      <w:r w:rsidRPr="00A65F75">
        <w:rPr>
          <w:rFonts w:ascii="Arial" w:hAnsi="Arial" w:cs="Arial"/>
        </w:rPr>
        <w:t>.</w:t>
      </w:r>
      <w:r>
        <w:rPr>
          <w:rFonts w:ascii="Arial" w:hAnsi="Arial" w:cs="Arial"/>
        </w:rPr>
        <w:t xml:space="preserve"> </w:t>
      </w:r>
      <w:r w:rsidRPr="00AF65BB">
        <w:rPr>
          <w:rFonts w:ascii="Arial" w:hAnsi="Arial" w:cs="Arial"/>
          <w:i/>
          <w:iCs/>
        </w:rPr>
        <w:t>Insights</w:t>
      </w:r>
      <w:r w:rsidRPr="00AF65BB">
        <w:rPr>
          <w:rFonts w:ascii="Arial" w:hAnsi="Arial" w:cs="Arial"/>
        </w:rPr>
        <w:t>, 1-24.</w:t>
      </w:r>
      <w:r>
        <w:rPr>
          <w:rFonts w:ascii="Arial" w:hAnsi="Arial" w:cs="Arial"/>
        </w:rPr>
        <w:t xml:space="preserve"> Available at: </w:t>
      </w:r>
      <w:hyperlink r:id="rId63" w:history="1">
        <w:r w:rsidRPr="009453A8">
          <w:rPr>
            <w:rStyle w:val="Hyperlink"/>
            <w:rFonts w:ascii="Arial" w:hAnsi="Arial" w:cs="Arial"/>
          </w:rPr>
          <w:t>https://discovery.dundee.ac.uk/ws/portalfiles/portal/99091364/insights_70.pdf</w:t>
        </w:r>
      </w:hyperlink>
      <w:r>
        <w:rPr>
          <w:rFonts w:ascii="Arial" w:hAnsi="Arial" w:cs="Arial"/>
        </w:rPr>
        <w:t xml:space="preserve"> (Accessed 28 March 2026).</w:t>
      </w:r>
    </w:p>
    <w:p w14:paraId="4F729CBF"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Sødal, E.H., Huddy, V. and McKenzie, J. (2023) ‘Black people’s experiences of being asked about adverse childhood experiences in the UK: a qualitative study’, </w:t>
      </w:r>
      <w:r w:rsidRPr="00A65F75">
        <w:rPr>
          <w:rFonts w:ascii="Arial" w:hAnsi="Arial" w:cs="Arial"/>
          <w:i/>
          <w:iCs/>
        </w:rPr>
        <w:t>Psychology and Psychotherapy: Theory, Research and Practice</w:t>
      </w:r>
      <w:r w:rsidRPr="00A65F75">
        <w:rPr>
          <w:rFonts w:ascii="Arial" w:hAnsi="Arial" w:cs="Arial"/>
        </w:rPr>
        <w:t>, 96(4), pp. 902–917.</w:t>
      </w:r>
      <w:r>
        <w:rPr>
          <w:rFonts w:ascii="Arial" w:hAnsi="Arial" w:cs="Arial"/>
        </w:rPr>
        <w:t xml:space="preserve"> </w:t>
      </w:r>
      <w:hyperlink r:id="rId64" w:history="1">
        <w:r w:rsidRPr="00AF65BB">
          <w:rPr>
            <w:rStyle w:val="Hyperlink"/>
            <w:rFonts w:ascii="Arial" w:hAnsi="Arial" w:cs="Arial"/>
          </w:rPr>
          <w:t>https://doi.org/10.1111/papt.12482</w:t>
        </w:r>
      </w:hyperlink>
    </w:p>
    <w:p w14:paraId="7AF41CD5"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Spratt, T. and Kennedy, M. (2021) ‘Adverse childhood experiences: developments in trauma and resilience aware services’, </w:t>
      </w:r>
      <w:r w:rsidRPr="00A65F75">
        <w:rPr>
          <w:rFonts w:ascii="Arial" w:hAnsi="Arial" w:cs="Arial"/>
          <w:i/>
          <w:iCs/>
        </w:rPr>
        <w:t>The British Journal of Social Work</w:t>
      </w:r>
      <w:r w:rsidRPr="00A65F75">
        <w:rPr>
          <w:rFonts w:ascii="Arial" w:hAnsi="Arial" w:cs="Arial"/>
        </w:rPr>
        <w:t>, 51(3), pp. 999–1017.</w:t>
      </w:r>
      <w:r>
        <w:rPr>
          <w:rFonts w:ascii="Arial" w:hAnsi="Arial" w:cs="Arial"/>
        </w:rPr>
        <w:t xml:space="preserve"> </w:t>
      </w:r>
      <w:hyperlink r:id="rId65" w:history="1">
        <w:r w:rsidRPr="00AF65BB">
          <w:rPr>
            <w:rStyle w:val="Hyperlink"/>
            <w:rFonts w:ascii="Arial" w:hAnsi="Arial" w:cs="Arial"/>
          </w:rPr>
          <w:t>https://doi.org/10.1093/bjsw/bcaa080</w:t>
        </w:r>
      </w:hyperlink>
    </w:p>
    <w:p w14:paraId="0203023B"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Squires, V. (2023) ‘Thematic analysis’, in </w:t>
      </w:r>
      <w:r w:rsidRPr="00A65F75">
        <w:rPr>
          <w:rFonts w:ascii="Arial" w:hAnsi="Arial" w:cs="Arial"/>
          <w:i/>
          <w:iCs/>
        </w:rPr>
        <w:t>Varieties of qualitative research methods: selected contextual perspectives</w:t>
      </w:r>
      <w:r w:rsidRPr="00A65F75">
        <w:rPr>
          <w:rFonts w:ascii="Arial" w:hAnsi="Arial" w:cs="Arial"/>
        </w:rPr>
        <w:t>. Cham: Springer International Publishing, pp. 463–468.</w:t>
      </w:r>
      <w:r>
        <w:rPr>
          <w:rFonts w:ascii="Arial" w:hAnsi="Arial" w:cs="Arial"/>
        </w:rPr>
        <w:t xml:space="preserve"> </w:t>
      </w:r>
      <w:hyperlink r:id="rId66" w:history="1">
        <w:r w:rsidRPr="009453A8">
          <w:rPr>
            <w:rStyle w:val="Hyperlink"/>
            <w:rFonts w:ascii="Arial" w:hAnsi="Arial" w:cs="Arial"/>
          </w:rPr>
          <w:t>https://doi.org/10.1007/978-3-031-04394-9_72</w:t>
        </w:r>
      </w:hyperlink>
      <w:r>
        <w:rPr>
          <w:rFonts w:ascii="Arial" w:hAnsi="Arial" w:cs="Arial"/>
        </w:rPr>
        <w:t xml:space="preserve"> </w:t>
      </w:r>
    </w:p>
    <w:p w14:paraId="487945CF"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Srivastav, A., Strompolis, M., Moseley, A. and Daniels, K. (2020) ‘The empower action model: a framework for preventing adverse childhood experiences by promoting health, equity, and well-being across the life span’, </w:t>
      </w:r>
      <w:r w:rsidRPr="00A65F75">
        <w:rPr>
          <w:rFonts w:ascii="Arial" w:hAnsi="Arial" w:cs="Arial"/>
          <w:i/>
          <w:iCs/>
        </w:rPr>
        <w:t>Health Promotion Practice</w:t>
      </w:r>
      <w:r w:rsidRPr="00A65F75">
        <w:rPr>
          <w:rFonts w:ascii="Arial" w:hAnsi="Arial" w:cs="Arial"/>
        </w:rPr>
        <w:t>, 21(4), pp. 525–534.</w:t>
      </w:r>
      <w:r>
        <w:rPr>
          <w:rFonts w:ascii="Arial" w:hAnsi="Arial" w:cs="Arial"/>
        </w:rPr>
        <w:t xml:space="preserve"> </w:t>
      </w:r>
      <w:hyperlink r:id="rId67" w:history="1">
        <w:r w:rsidRPr="00AF65BB">
          <w:rPr>
            <w:rStyle w:val="Hyperlink"/>
            <w:rFonts w:ascii="Arial" w:hAnsi="Arial" w:cs="Arial"/>
          </w:rPr>
          <w:t>https://doi.org/10.1177/152483991988935</w:t>
        </w:r>
      </w:hyperlink>
    </w:p>
    <w:p w14:paraId="6F77EEC4"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Villadsen, A., Asaria, M., Skarda, I., Ploubidis, G., Williams, M., Brunner, E. and Cookson, R. (2023) ‘Clustering of adverse health and educational outcomes in adolescence following early childhood disadvantage: population-based retrospective UK cohort study’, </w:t>
      </w:r>
      <w:r w:rsidRPr="00A65F75">
        <w:rPr>
          <w:rFonts w:ascii="Arial" w:hAnsi="Arial" w:cs="Arial"/>
          <w:i/>
          <w:iCs/>
        </w:rPr>
        <w:t>The Lancet Public Health</w:t>
      </w:r>
      <w:r w:rsidRPr="00A65F75">
        <w:rPr>
          <w:rFonts w:ascii="Arial" w:hAnsi="Arial" w:cs="Arial"/>
        </w:rPr>
        <w:t xml:space="preserve">, 8(4), pp. e286–e293. Available at: </w:t>
      </w:r>
      <w:hyperlink r:id="rId68" w:history="1">
        <w:r w:rsidRPr="00A65F75">
          <w:rPr>
            <w:rStyle w:val="Hyperlink"/>
            <w:rFonts w:ascii="Arial" w:hAnsi="Arial" w:cs="Arial"/>
            <w:color w:val="auto"/>
          </w:rPr>
          <w:t>https://doi.org/10.1016/S2468-2667(23)00029-4</w:t>
        </w:r>
      </w:hyperlink>
      <w:r w:rsidRPr="00A65F75">
        <w:rPr>
          <w:rFonts w:ascii="Arial" w:hAnsi="Arial" w:cs="Arial"/>
        </w:rPr>
        <w:t>.</w:t>
      </w:r>
    </w:p>
    <w:p w14:paraId="670FBA81" w14:textId="77777777" w:rsidR="00BD6F3C" w:rsidRPr="00A65F75" w:rsidRDefault="00BD6F3C" w:rsidP="00D11EC7">
      <w:pPr>
        <w:spacing w:line="360" w:lineRule="auto"/>
        <w:ind w:left="720" w:hanging="720"/>
        <w:rPr>
          <w:rFonts w:ascii="Arial" w:hAnsi="Arial" w:cs="Arial"/>
        </w:rPr>
      </w:pPr>
      <w:r w:rsidRPr="00A65F75">
        <w:rPr>
          <w:rFonts w:ascii="Arial" w:hAnsi="Arial" w:cs="Arial"/>
        </w:rPr>
        <w:t xml:space="preserve">Walsh, D., McCartney, G., Smith, M. and Armour, G. (2019) ‘Relationship between childhood socioeconomic position and adverse childhood experiences (ACEs): a systematic review’, </w:t>
      </w:r>
      <w:r w:rsidRPr="00A65F75">
        <w:rPr>
          <w:rFonts w:ascii="Arial" w:hAnsi="Arial" w:cs="Arial"/>
          <w:i/>
          <w:iCs/>
        </w:rPr>
        <w:t>Journal of Epidemiology and Community Health</w:t>
      </w:r>
      <w:r w:rsidRPr="00A65F75">
        <w:rPr>
          <w:rFonts w:ascii="Arial" w:hAnsi="Arial" w:cs="Arial"/>
        </w:rPr>
        <w:t>, 73(12), pp. 1087–1093.</w:t>
      </w:r>
      <w:r>
        <w:rPr>
          <w:rFonts w:ascii="Arial" w:hAnsi="Arial" w:cs="Arial"/>
        </w:rPr>
        <w:t xml:space="preserve"> </w:t>
      </w:r>
      <w:hyperlink r:id="rId69" w:tgtFrame="_new" w:history="1">
        <w:r w:rsidRPr="00AF65BB">
          <w:rPr>
            <w:rStyle w:val="Hyperlink"/>
            <w:rFonts w:ascii="Arial" w:hAnsi="Arial" w:cs="Arial"/>
          </w:rPr>
          <w:t>https://doi.org/10.1136/jech-2019-212738</w:t>
        </w:r>
      </w:hyperlink>
    </w:p>
    <w:p w14:paraId="6172D6E1" w14:textId="77777777" w:rsidR="00BD6F3C" w:rsidRPr="0084499E" w:rsidRDefault="00BD6F3C" w:rsidP="0084499E">
      <w:pPr>
        <w:spacing w:line="360" w:lineRule="auto"/>
        <w:ind w:left="720" w:hanging="720"/>
        <w:rPr>
          <w:rFonts w:ascii="Arial" w:hAnsi="Arial" w:cs="Arial"/>
        </w:rPr>
      </w:pPr>
      <w:r w:rsidRPr="00A65F75">
        <w:rPr>
          <w:rFonts w:ascii="Arial" w:hAnsi="Arial" w:cs="Arial"/>
        </w:rPr>
        <w:t xml:space="preserve">Wilson-Genderson, M., Heid, A.R., Cartwright, F. and Pruchno, R. (2022) ‘Adverse childhood experiences, adult trauma, and depressive symptom trajectories’, </w:t>
      </w:r>
      <w:r w:rsidRPr="00A65F75">
        <w:rPr>
          <w:rFonts w:ascii="Arial" w:hAnsi="Arial" w:cs="Arial"/>
          <w:i/>
          <w:iCs/>
        </w:rPr>
        <w:t>Aging &amp; Mental Health</w:t>
      </w:r>
      <w:r w:rsidRPr="00A65F75">
        <w:rPr>
          <w:rFonts w:ascii="Arial" w:hAnsi="Arial" w:cs="Arial"/>
        </w:rPr>
        <w:t>, 26(11), pp. 2170–2178.</w:t>
      </w:r>
      <w:r>
        <w:rPr>
          <w:rFonts w:ascii="Arial" w:hAnsi="Arial" w:cs="Arial"/>
        </w:rPr>
        <w:t xml:space="preserve"> </w:t>
      </w:r>
      <w:hyperlink r:id="rId70" w:history="1">
        <w:r w:rsidRPr="0084499E">
          <w:rPr>
            <w:rStyle w:val="Hyperlink"/>
            <w:rFonts w:ascii="Arial" w:hAnsi="Arial" w:cs="Arial"/>
          </w:rPr>
          <w:t>https://doi.org/10.1080/13607863.2021.1978926</w:t>
        </w:r>
      </w:hyperlink>
      <w:r w:rsidRPr="0084499E">
        <w:rPr>
          <w:rFonts w:ascii="Arial" w:hAnsi="Arial" w:cs="Arial"/>
        </w:rPr>
        <w:t xml:space="preserve"> </w:t>
      </w:r>
    </w:p>
    <w:p w14:paraId="016D41A9" w14:textId="6F24996C" w:rsidR="00DE777E" w:rsidRPr="00A65F75" w:rsidRDefault="00DE777E" w:rsidP="0084499E">
      <w:pPr>
        <w:spacing w:line="360" w:lineRule="auto"/>
        <w:rPr>
          <w:rFonts w:ascii="Arial" w:hAnsi="Arial" w:cs="Arial"/>
          <w:lang w:val="en-US"/>
        </w:rPr>
        <w:sectPr w:rsidR="00DE777E" w:rsidRPr="00A65F75" w:rsidSect="00F2229C">
          <w:headerReference w:type="default" r:id="rId71"/>
          <w:pgSz w:w="11906" w:h="16838"/>
          <w:pgMar w:top="1440" w:right="1440" w:bottom="1440" w:left="1440" w:header="708" w:footer="708" w:gutter="0"/>
          <w:cols w:space="708"/>
          <w:titlePg/>
          <w:docGrid w:linePitch="360"/>
        </w:sectPr>
      </w:pPr>
    </w:p>
    <w:p w14:paraId="74BDD314" w14:textId="02B394F0" w:rsidR="00DE777E" w:rsidRPr="00A65F75" w:rsidRDefault="00D25943" w:rsidP="00D11EC7">
      <w:pPr>
        <w:pStyle w:val="Heading1"/>
        <w:spacing w:line="360" w:lineRule="auto"/>
        <w:rPr>
          <w:rFonts w:cs="Arial"/>
          <w:sz w:val="22"/>
          <w:szCs w:val="22"/>
        </w:rPr>
      </w:pPr>
      <w:bookmarkStart w:id="73" w:name="_Toc225676746"/>
      <w:r w:rsidRPr="00A65F75">
        <w:rPr>
          <w:rFonts w:cs="Arial"/>
          <w:sz w:val="22"/>
          <w:szCs w:val="22"/>
          <w:lang w:val="en-US"/>
        </w:rPr>
        <w:t>APPENDICES</w:t>
      </w:r>
      <w:bookmarkEnd w:id="73"/>
    </w:p>
    <w:p w14:paraId="18E8497C" w14:textId="2DFD9805" w:rsidR="00DE777E" w:rsidRPr="00A65F75" w:rsidRDefault="00DE777E" w:rsidP="00D11EC7">
      <w:pPr>
        <w:pStyle w:val="Heading2"/>
        <w:spacing w:line="360" w:lineRule="auto"/>
        <w:rPr>
          <w:rFonts w:cs="Arial"/>
          <w:sz w:val="22"/>
          <w:szCs w:val="22"/>
          <w:lang w:val="en-US"/>
        </w:rPr>
      </w:pPr>
      <w:bookmarkStart w:id="74" w:name="_Toc225676747"/>
      <w:r w:rsidRPr="00A65F75">
        <w:rPr>
          <w:rFonts w:cs="Arial"/>
          <w:sz w:val="22"/>
          <w:szCs w:val="22"/>
          <w:lang w:val="en-US"/>
        </w:rPr>
        <w:t>Appendix 1 S</w:t>
      </w:r>
      <w:r w:rsidRPr="00A65F75">
        <w:rPr>
          <w:rFonts w:cs="Arial"/>
          <w:sz w:val="22"/>
          <w:szCs w:val="22"/>
        </w:rPr>
        <w:t>ource-tracking table</w:t>
      </w:r>
      <w:bookmarkEnd w:id="74"/>
    </w:p>
    <w:tbl>
      <w:tblPr>
        <w:tblStyle w:val="TableGrid"/>
        <w:tblW w:w="14035" w:type="dxa"/>
        <w:tblLook w:val="04A0" w:firstRow="1" w:lastRow="0" w:firstColumn="1" w:lastColumn="0" w:noHBand="0" w:noVBand="1"/>
      </w:tblPr>
      <w:tblGrid>
        <w:gridCol w:w="1803"/>
        <w:gridCol w:w="1803"/>
        <w:gridCol w:w="1803"/>
        <w:gridCol w:w="1803"/>
        <w:gridCol w:w="1803"/>
        <w:gridCol w:w="2320"/>
        <w:gridCol w:w="2700"/>
      </w:tblGrid>
      <w:tr w:rsidR="009D1CA9" w:rsidRPr="00A65F75" w14:paraId="7EF8BA29" w14:textId="77777777" w:rsidTr="00DE777E">
        <w:tc>
          <w:tcPr>
            <w:tcW w:w="1803" w:type="dxa"/>
          </w:tcPr>
          <w:p w14:paraId="2257C7E8" w14:textId="77777777" w:rsidR="00DE777E" w:rsidRPr="00A65F75" w:rsidRDefault="00DE777E" w:rsidP="00D11EC7">
            <w:pPr>
              <w:spacing w:line="360" w:lineRule="auto"/>
              <w:rPr>
                <w:rFonts w:ascii="Arial" w:hAnsi="Arial" w:cs="Arial"/>
                <w:b/>
                <w:bCs/>
                <w:lang w:val="en-US"/>
              </w:rPr>
            </w:pPr>
            <w:r w:rsidRPr="00A65F75">
              <w:rPr>
                <w:rFonts w:ascii="Arial" w:hAnsi="Arial" w:cs="Arial"/>
                <w:b/>
                <w:bCs/>
                <w:lang w:val="en-US"/>
              </w:rPr>
              <w:t>Author</w:t>
            </w:r>
          </w:p>
        </w:tc>
        <w:tc>
          <w:tcPr>
            <w:tcW w:w="1803" w:type="dxa"/>
          </w:tcPr>
          <w:p w14:paraId="1C9CC90E" w14:textId="77777777" w:rsidR="00DE777E" w:rsidRPr="00A65F75" w:rsidRDefault="00DE777E" w:rsidP="00D11EC7">
            <w:pPr>
              <w:spacing w:line="360" w:lineRule="auto"/>
              <w:rPr>
                <w:rFonts w:ascii="Arial" w:hAnsi="Arial" w:cs="Arial"/>
                <w:b/>
                <w:bCs/>
                <w:lang w:val="en-US"/>
              </w:rPr>
            </w:pPr>
            <w:r w:rsidRPr="00A65F75">
              <w:rPr>
                <w:rFonts w:ascii="Arial" w:hAnsi="Arial" w:cs="Arial"/>
                <w:b/>
                <w:bCs/>
                <w:lang w:val="en-US"/>
              </w:rPr>
              <w:t>Title</w:t>
            </w:r>
          </w:p>
        </w:tc>
        <w:tc>
          <w:tcPr>
            <w:tcW w:w="1803" w:type="dxa"/>
          </w:tcPr>
          <w:p w14:paraId="45D9D349" w14:textId="77777777" w:rsidR="00DE777E" w:rsidRPr="00A65F75" w:rsidRDefault="00DE777E" w:rsidP="00D11EC7">
            <w:pPr>
              <w:spacing w:line="360" w:lineRule="auto"/>
              <w:rPr>
                <w:rFonts w:ascii="Arial" w:hAnsi="Arial" w:cs="Arial"/>
                <w:b/>
                <w:bCs/>
                <w:lang w:val="en-US"/>
              </w:rPr>
            </w:pPr>
            <w:r w:rsidRPr="00A65F75">
              <w:rPr>
                <w:rFonts w:ascii="Arial" w:hAnsi="Arial" w:cs="Arial"/>
                <w:b/>
                <w:bCs/>
                <w:lang w:val="en-US"/>
              </w:rPr>
              <w:t>Location</w:t>
            </w:r>
          </w:p>
        </w:tc>
        <w:tc>
          <w:tcPr>
            <w:tcW w:w="1803" w:type="dxa"/>
          </w:tcPr>
          <w:p w14:paraId="508B7002" w14:textId="77777777" w:rsidR="00DE777E" w:rsidRPr="00A65F75" w:rsidRDefault="00DE777E" w:rsidP="00D11EC7">
            <w:pPr>
              <w:spacing w:line="360" w:lineRule="auto"/>
              <w:rPr>
                <w:rFonts w:ascii="Arial" w:hAnsi="Arial" w:cs="Arial"/>
                <w:b/>
                <w:bCs/>
                <w:lang w:val="en-US"/>
              </w:rPr>
            </w:pPr>
            <w:r w:rsidRPr="00A65F75">
              <w:rPr>
                <w:rFonts w:ascii="Arial" w:hAnsi="Arial" w:cs="Arial"/>
                <w:b/>
                <w:bCs/>
                <w:lang w:val="en-US"/>
              </w:rPr>
              <w:t>Research Design</w:t>
            </w:r>
          </w:p>
        </w:tc>
        <w:tc>
          <w:tcPr>
            <w:tcW w:w="1803" w:type="dxa"/>
          </w:tcPr>
          <w:p w14:paraId="1054EA6D" w14:textId="77777777" w:rsidR="00DE777E" w:rsidRPr="00A65F75" w:rsidRDefault="00DE777E" w:rsidP="00D11EC7">
            <w:pPr>
              <w:spacing w:line="360" w:lineRule="auto"/>
              <w:rPr>
                <w:rFonts w:ascii="Arial" w:hAnsi="Arial" w:cs="Arial"/>
                <w:b/>
                <w:bCs/>
                <w:lang w:val="en-US"/>
              </w:rPr>
            </w:pPr>
            <w:r w:rsidRPr="00A65F75">
              <w:rPr>
                <w:rFonts w:ascii="Arial" w:hAnsi="Arial" w:cs="Arial"/>
                <w:b/>
                <w:bCs/>
                <w:lang w:val="en-US"/>
              </w:rPr>
              <w:t>Sample</w:t>
            </w:r>
          </w:p>
        </w:tc>
        <w:tc>
          <w:tcPr>
            <w:tcW w:w="2320" w:type="dxa"/>
          </w:tcPr>
          <w:p w14:paraId="24B20814" w14:textId="77777777" w:rsidR="00DE777E" w:rsidRPr="00A65F75" w:rsidRDefault="00DE777E" w:rsidP="00D11EC7">
            <w:pPr>
              <w:spacing w:line="360" w:lineRule="auto"/>
              <w:rPr>
                <w:rFonts w:ascii="Arial" w:hAnsi="Arial" w:cs="Arial"/>
                <w:b/>
                <w:bCs/>
                <w:lang w:val="en-US"/>
              </w:rPr>
            </w:pPr>
            <w:r w:rsidRPr="00A65F75">
              <w:rPr>
                <w:rFonts w:ascii="Arial" w:hAnsi="Arial" w:cs="Arial"/>
                <w:b/>
                <w:bCs/>
                <w:lang w:val="en-US"/>
              </w:rPr>
              <w:t>Findings</w:t>
            </w:r>
          </w:p>
        </w:tc>
        <w:tc>
          <w:tcPr>
            <w:tcW w:w="2700" w:type="dxa"/>
          </w:tcPr>
          <w:p w14:paraId="5CECAEBF" w14:textId="77777777" w:rsidR="00DE777E" w:rsidRPr="00A65F75" w:rsidRDefault="00DE777E" w:rsidP="00D11EC7">
            <w:pPr>
              <w:spacing w:line="360" w:lineRule="auto"/>
              <w:rPr>
                <w:rFonts w:ascii="Arial" w:hAnsi="Arial" w:cs="Arial"/>
                <w:b/>
                <w:bCs/>
                <w:lang w:val="en-US"/>
              </w:rPr>
            </w:pPr>
            <w:r w:rsidRPr="00A65F75">
              <w:rPr>
                <w:rFonts w:ascii="Arial" w:hAnsi="Arial" w:cs="Arial"/>
                <w:b/>
                <w:bCs/>
                <w:lang w:val="en-US"/>
              </w:rPr>
              <w:t>Relevance</w:t>
            </w:r>
          </w:p>
        </w:tc>
      </w:tr>
      <w:tr w:rsidR="009D1CA9" w:rsidRPr="00A65F75" w14:paraId="25EEF168" w14:textId="77777777" w:rsidTr="00DE777E">
        <w:tc>
          <w:tcPr>
            <w:tcW w:w="1803" w:type="dxa"/>
          </w:tcPr>
          <w:p w14:paraId="270AC2DD" w14:textId="77777777" w:rsidR="00DE777E" w:rsidRPr="00A65F75" w:rsidRDefault="00DE777E" w:rsidP="00D11EC7">
            <w:pPr>
              <w:spacing w:line="360" w:lineRule="auto"/>
              <w:rPr>
                <w:rFonts w:ascii="Arial" w:hAnsi="Arial" w:cs="Arial"/>
                <w:lang w:val="en-US"/>
              </w:rPr>
            </w:pPr>
            <w:r w:rsidRPr="00A65F75">
              <w:rPr>
                <w:rFonts w:ascii="Arial" w:hAnsi="Arial" w:cs="Arial"/>
              </w:rPr>
              <w:t>Hughes et al. (2024)</w:t>
            </w:r>
          </w:p>
        </w:tc>
        <w:tc>
          <w:tcPr>
            <w:tcW w:w="1803" w:type="dxa"/>
          </w:tcPr>
          <w:p w14:paraId="62E25773" w14:textId="77777777" w:rsidR="00DE777E" w:rsidRPr="00A65F75" w:rsidRDefault="00DE777E" w:rsidP="00D11EC7">
            <w:pPr>
              <w:spacing w:line="360" w:lineRule="auto"/>
              <w:rPr>
                <w:rFonts w:ascii="Arial" w:hAnsi="Arial" w:cs="Arial"/>
                <w:lang w:val="en-US"/>
              </w:rPr>
            </w:pPr>
            <w:r w:rsidRPr="00A65F75">
              <w:rPr>
                <w:rFonts w:ascii="Arial" w:hAnsi="Arial" w:cs="Arial"/>
              </w:rPr>
              <w:t>Examining relationships between adverse childhood experiences and coping during the cost-of-living crisis using a national cross-sectional survey in Wales, UK.</w:t>
            </w:r>
          </w:p>
        </w:tc>
        <w:tc>
          <w:tcPr>
            <w:tcW w:w="1803" w:type="dxa"/>
          </w:tcPr>
          <w:p w14:paraId="2041B557" w14:textId="77777777" w:rsidR="00DE777E" w:rsidRPr="00A65F75" w:rsidRDefault="00DE777E" w:rsidP="00D11EC7">
            <w:pPr>
              <w:spacing w:line="360" w:lineRule="auto"/>
              <w:rPr>
                <w:rFonts w:ascii="Arial" w:hAnsi="Arial" w:cs="Arial"/>
                <w:lang w:val="en-US"/>
              </w:rPr>
            </w:pPr>
            <w:r w:rsidRPr="00A65F75">
              <w:rPr>
                <w:rFonts w:ascii="Arial" w:hAnsi="Arial" w:cs="Arial"/>
              </w:rPr>
              <w:t>Wales, UK</w:t>
            </w:r>
          </w:p>
        </w:tc>
        <w:tc>
          <w:tcPr>
            <w:tcW w:w="1803" w:type="dxa"/>
          </w:tcPr>
          <w:p w14:paraId="13D686ED" w14:textId="77777777" w:rsidR="00DE777E" w:rsidRPr="00A65F75" w:rsidRDefault="00DE777E" w:rsidP="00D11EC7">
            <w:pPr>
              <w:spacing w:line="360" w:lineRule="auto"/>
              <w:rPr>
                <w:rFonts w:ascii="Arial" w:hAnsi="Arial" w:cs="Arial"/>
                <w:lang w:val="en-US"/>
              </w:rPr>
            </w:pPr>
            <w:r w:rsidRPr="00A65F75">
              <w:rPr>
                <w:rFonts w:ascii="Arial" w:hAnsi="Arial" w:cs="Arial"/>
              </w:rPr>
              <w:t>National cross-sectional face-to-face questionnaires to households on the association of ACEs and coping in the cost-of-living crisis</w:t>
            </w:r>
          </w:p>
        </w:tc>
        <w:tc>
          <w:tcPr>
            <w:tcW w:w="1803" w:type="dxa"/>
          </w:tcPr>
          <w:p w14:paraId="2802EE0B" w14:textId="77777777" w:rsidR="00DE777E" w:rsidRPr="00A65F75" w:rsidRDefault="00DE777E" w:rsidP="00D11EC7">
            <w:pPr>
              <w:spacing w:line="360" w:lineRule="auto"/>
              <w:rPr>
                <w:rFonts w:ascii="Arial" w:hAnsi="Arial" w:cs="Arial"/>
              </w:rPr>
            </w:pPr>
            <w:r w:rsidRPr="00A65F75">
              <w:rPr>
                <w:rFonts w:ascii="Arial" w:hAnsi="Arial" w:cs="Arial"/>
              </w:rPr>
              <w:t>1880 adults aged 18 years and older, selected using a random quota sampling strategy</w:t>
            </w:r>
          </w:p>
          <w:p w14:paraId="1372DB77" w14:textId="77777777" w:rsidR="00DE777E" w:rsidRPr="00A65F75" w:rsidRDefault="00DE777E" w:rsidP="00D11EC7">
            <w:pPr>
              <w:spacing w:line="360" w:lineRule="auto"/>
              <w:rPr>
                <w:rFonts w:ascii="Arial" w:hAnsi="Arial" w:cs="Arial"/>
                <w:lang w:val="en-US"/>
              </w:rPr>
            </w:pPr>
          </w:p>
        </w:tc>
        <w:tc>
          <w:tcPr>
            <w:tcW w:w="2320" w:type="dxa"/>
          </w:tcPr>
          <w:p w14:paraId="385A11F0" w14:textId="77777777" w:rsidR="00DE777E" w:rsidRPr="00A65F75" w:rsidRDefault="00DE777E" w:rsidP="00D11EC7">
            <w:pPr>
              <w:spacing w:line="360" w:lineRule="auto"/>
              <w:rPr>
                <w:rFonts w:ascii="Arial" w:hAnsi="Arial" w:cs="Arial"/>
                <w:lang w:val="en-US"/>
              </w:rPr>
            </w:pPr>
            <w:r w:rsidRPr="00A65F75">
              <w:rPr>
                <w:rFonts w:ascii="Arial" w:hAnsi="Arial" w:cs="Arial"/>
              </w:rPr>
              <w:t>The study determined the significant association between the quantity of adverse childhood experiences (ACEs) and the capacity of people to endure the crisis of the cost of living. The respondents who had four and above ACEs had significantly higher probability of stating financial problems, distress and anxiety than the respondents with none. Increased ACE exposure was also associated with perceived adverse impacts on mental health, physical health, familial connections, community security and social solidarity. Even following the adjustment of socioeconomic status, these associations were still significant, ACEs being viewed as a vulnerable aspect in its own right.</w:t>
            </w:r>
          </w:p>
        </w:tc>
        <w:tc>
          <w:tcPr>
            <w:tcW w:w="2700" w:type="dxa"/>
          </w:tcPr>
          <w:p w14:paraId="726EF662" w14:textId="77777777" w:rsidR="00DE777E" w:rsidRPr="00A65F75" w:rsidRDefault="00DE777E" w:rsidP="00D11EC7">
            <w:pPr>
              <w:spacing w:line="360" w:lineRule="auto"/>
              <w:rPr>
                <w:rFonts w:ascii="Arial" w:hAnsi="Arial" w:cs="Arial"/>
                <w:lang w:val="en-US"/>
              </w:rPr>
            </w:pPr>
            <w:r w:rsidRPr="00A65F75">
              <w:rPr>
                <w:rFonts w:ascii="Arial" w:hAnsi="Arial" w:cs="Arial"/>
              </w:rPr>
              <w:t>The research shows the impact of ACEs on the susceptibility of their psychological health and their stress management abilities in the face of societal stressors in the long term. The results confirm the thesis that childhood adversity is a factor that leads to worse mental health outcomes and more vulnerability to external crises during adulthood. This evidence supports the use of trauma-informed NHS services in marginalised populations in England and Wales to research long-term mental health outcomes. It indicates that ACE histories must be taken into account when identifying vulnerable populations, and designing health and social care interventions.</w:t>
            </w:r>
          </w:p>
        </w:tc>
      </w:tr>
      <w:tr w:rsidR="009D1CA9" w:rsidRPr="00A65F75" w14:paraId="2A1E0D9B" w14:textId="77777777" w:rsidTr="00DE777E">
        <w:tc>
          <w:tcPr>
            <w:tcW w:w="1803" w:type="dxa"/>
          </w:tcPr>
          <w:p w14:paraId="5AAFFA85" w14:textId="77777777" w:rsidR="00DE777E" w:rsidRPr="00A65F75" w:rsidRDefault="00DE777E" w:rsidP="00D11EC7">
            <w:pPr>
              <w:spacing w:line="360" w:lineRule="auto"/>
              <w:rPr>
                <w:rFonts w:ascii="Arial" w:hAnsi="Arial" w:cs="Arial"/>
                <w:lang w:val="en-US"/>
              </w:rPr>
            </w:pPr>
            <w:r w:rsidRPr="00A65F75">
              <w:rPr>
                <w:rFonts w:ascii="Arial" w:hAnsi="Arial" w:cs="Arial"/>
              </w:rPr>
              <w:t>Ford</w:t>
            </w:r>
            <w:r w:rsidRPr="00A65F75">
              <w:rPr>
                <w:rFonts w:ascii="Arial" w:hAnsi="Arial" w:cs="Arial"/>
                <w:lang w:val="en-US"/>
              </w:rPr>
              <w:t xml:space="preserve"> et al.</w:t>
            </w:r>
            <w:r w:rsidRPr="00A65F75">
              <w:rPr>
                <w:rFonts w:ascii="Arial" w:hAnsi="Arial" w:cs="Arial"/>
              </w:rPr>
              <w:t xml:space="preserve"> (2024)</w:t>
            </w:r>
          </w:p>
        </w:tc>
        <w:tc>
          <w:tcPr>
            <w:tcW w:w="1803" w:type="dxa"/>
          </w:tcPr>
          <w:p w14:paraId="2C2AB50E" w14:textId="77777777" w:rsidR="00DE777E" w:rsidRPr="00A65F75" w:rsidRDefault="00DE777E" w:rsidP="00D11EC7">
            <w:pPr>
              <w:spacing w:line="360" w:lineRule="auto"/>
              <w:rPr>
                <w:rFonts w:ascii="Arial" w:hAnsi="Arial" w:cs="Arial"/>
                <w:lang w:val="en-US"/>
              </w:rPr>
            </w:pPr>
            <w:r w:rsidRPr="00A65F75">
              <w:rPr>
                <w:rFonts w:ascii="Arial" w:hAnsi="Arial" w:cs="Arial"/>
              </w:rPr>
              <w:t>Adverse childhood experiences and engagement with healthcare services: Findings from a survey of adults in Wales and England</w:t>
            </w:r>
          </w:p>
        </w:tc>
        <w:tc>
          <w:tcPr>
            <w:tcW w:w="1803" w:type="dxa"/>
          </w:tcPr>
          <w:p w14:paraId="7D70B3C6" w14:textId="77777777" w:rsidR="00DE777E" w:rsidRPr="00A65F75" w:rsidRDefault="00DE777E" w:rsidP="00D11EC7">
            <w:pPr>
              <w:spacing w:line="360" w:lineRule="auto"/>
              <w:rPr>
                <w:rFonts w:ascii="Arial" w:hAnsi="Arial" w:cs="Arial"/>
                <w:lang w:val="en-US"/>
              </w:rPr>
            </w:pPr>
            <w:r w:rsidRPr="00A65F75">
              <w:rPr>
                <w:rFonts w:ascii="Arial" w:hAnsi="Arial" w:cs="Arial"/>
              </w:rPr>
              <w:t>Wales and England</w:t>
            </w:r>
            <w:r w:rsidRPr="00A65F75">
              <w:rPr>
                <w:rFonts w:ascii="Arial" w:hAnsi="Arial" w:cs="Arial"/>
                <w:lang w:val="en-US"/>
              </w:rPr>
              <w:t>, UK</w:t>
            </w:r>
          </w:p>
        </w:tc>
        <w:tc>
          <w:tcPr>
            <w:tcW w:w="1803" w:type="dxa"/>
          </w:tcPr>
          <w:p w14:paraId="67AD9D07" w14:textId="77777777" w:rsidR="00DE777E" w:rsidRPr="00A65F75" w:rsidRDefault="00DE777E" w:rsidP="00D11EC7">
            <w:pPr>
              <w:spacing w:line="360" w:lineRule="auto"/>
              <w:rPr>
                <w:rFonts w:ascii="Arial" w:hAnsi="Arial" w:cs="Arial"/>
                <w:lang w:val="en-US"/>
              </w:rPr>
            </w:pPr>
            <w:r w:rsidRPr="00A65F75">
              <w:rPr>
                <w:rFonts w:ascii="Arial" w:hAnsi="Arial" w:cs="Arial"/>
              </w:rPr>
              <w:t>Cross-sectional online survey</w:t>
            </w:r>
          </w:p>
        </w:tc>
        <w:tc>
          <w:tcPr>
            <w:tcW w:w="1803" w:type="dxa"/>
          </w:tcPr>
          <w:p w14:paraId="0A6DF72E" w14:textId="77777777" w:rsidR="00DE777E" w:rsidRPr="00A65F75" w:rsidRDefault="00DE777E" w:rsidP="00D11EC7">
            <w:pPr>
              <w:spacing w:line="360" w:lineRule="auto"/>
              <w:rPr>
                <w:rFonts w:ascii="Arial" w:hAnsi="Arial" w:cs="Arial"/>
                <w:lang w:val="en-US"/>
              </w:rPr>
            </w:pPr>
            <w:r w:rsidRPr="00A65F75">
              <w:rPr>
                <w:rFonts w:ascii="Arial" w:hAnsi="Arial" w:cs="Arial"/>
              </w:rPr>
              <w:t>Online questionnaire on ACEs and healthcare use of 1,696 adults aged 18 years and above</w:t>
            </w:r>
          </w:p>
        </w:tc>
        <w:tc>
          <w:tcPr>
            <w:tcW w:w="2320" w:type="dxa"/>
          </w:tcPr>
          <w:p w14:paraId="37B046D3" w14:textId="77777777" w:rsidR="00DE777E" w:rsidRPr="00A65F75" w:rsidRDefault="00DE777E" w:rsidP="00D11EC7">
            <w:pPr>
              <w:spacing w:line="360" w:lineRule="auto"/>
              <w:rPr>
                <w:rFonts w:ascii="Arial" w:hAnsi="Arial" w:cs="Arial"/>
                <w:lang w:val="en-US"/>
              </w:rPr>
            </w:pPr>
            <w:r w:rsidRPr="00A65F75">
              <w:rPr>
                <w:rFonts w:ascii="Arial" w:hAnsi="Arial" w:cs="Arial"/>
              </w:rPr>
              <w:t>The study established that the greater the ACE exposure, the greater the use of healthcare and the worse the services engagement. Multiple ACEs were also associated with increased likelihood of prescription of antibiotics, prescription medication, and reception of prescriptions for mental health conditions. Similarly, they were more prone to report poor medication compliance and reduced involvement in preventive medical services like childhood vaccinations. Further, increased ACE exposure was associated with lower levels of comfort in healthcare settings and poorer relationships with medical professionals, which revealed the problem of trust and involvement in health systems.</w:t>
            </w:r>
          </w:p>
        </w:tc>
        <w:tc>
          <w:tcPr>
            <w:tcW w:w="2700" w:type="dxa"/>
          </w:tcPr>
          <w:p w14:paraId="0099DF74" w14:textId="77777777" w:rsidR="00DE777E" w:rsidRPr="00A65F75" w:rsidRDefault="00DE777E" w:rsidP="00D11EC7">
            <w:pPr>
              <w:spacing w:line="360" w:lineRule="auto"/>
              <w:rPr>
                <w:rFonts w:ascii="Arial" w:hAnsi="Arial" w:cs="Arial"/>
                <w:lang w:val="en-US"/>
              </w:rPr>
            </w:pPr>
            <w:r w:rsidRPr="00A65F75">
              <w:rPr>
                <w:rFonts w:ascii="Arial" w:hAnsi="Arial" w:cs="Arial"/>
              </w:rPr>
              <w:t>The study demonstrates the impact of ACEs on the long-term interaction with healthcare systems in England and Wales. The results prove that people with multiple ACEs do not receive better mental health outcomes, but also have more difficulties in approaching and believing in healthcare services. In a study of mental health in the long term of marginalised groups, this fact backs the introduction of trauma-informed NHS practice. Additionally, it highlights the need to improve relationships between patients and providers and structure healthcare services more respondent to people with a history of childhood adversity.</w:t>
            </w:r>
          </w:p>
        </w:tc>
      </w:tr>
      <w:tr w:rsidR="009D1CA9" w:rsidRPr="00A65F75" w14:paraId="2F5E020C" w14:textId="77777777" w:rsidTr="00DE777E">
        <w:tc>
          <w:tcPr>
            <w:tcW w:w="1803" w:type="dxa"/>
          </w:tcPr>
          <w:p w14:paraId="5DFCAA15" w14:textId="77777777" w:rsidR="00DE777E" w:rsidRPr="00A65F75" w:rsidRDefault="00DE777E" w:rsidP="00D11EC7">
            <w:pPr>
              <w:spacing w:line="360" w:lineRule="auto"/>
              <w:rPr>
                <w:rFonts w:ascii="Arial" w:hAnsi="Arial" w:cs="Arial"/>
              </w:rPr>
            </w:pPr>
            <w:r w:rsidRPr="00A65F75">
              <w:rPr>
                <w:rFonts w:ascii="Arial" w:hAnsi="Arial" w:cs="Arial"/>
              </w:rPr>
              <w:t>Public Health Wales (2025)</w:t>
            </w:r>
          </w:p>
        </w:tc>
        <w:tc>
          <w:tcPr>
            <w:tcW w:w="1803" w:type="dxa"/>
          </w:tcPr>
          <w:p w14:paraId="4115C481" w14:textId="77777777" w:rsidR="00DE777E" w:rsidRPr="00A65F75" w:rsidRDefault="00DE777E" w:rsidP="00D11EC7">
            <w:pPr>
              <w:spacing w:line="360" w:lineRule="auto"/>
              <w:rPr>
                <w:rFonts w:ascii="Arial" w:hAnsi="Arial" w:cs="Arial"/>
                <w:lang w:val="en-US"/>
              </w:rPr>
            </w:pPr>
            <w:r w:rsidRPr="00A65F75">
              <w:rPr>
                <w:rFonts w:ascii="Arial" w:hAnsi="Arial" w:cs="Arial"/>
              </w:rPr>
              <w:t>New study highlights impact of childhood adversity and school experiences on adult health</w:t>
            </w:r>
          </w:p>
        </w:tc>
        <w:tc>
          <w:tcPr>
            <w:tcW w:w="1803" w:type="dxa"/>
          </w:tcPr>
          <w:p w14:paraId="7B2054FD" w14:textId="77777777" w:rsidR="00DE777E" w:rsidRPr="00A65F75" w:rsidRDefault="00DE777E" w:rsidP="00D11EC7">
            <w:pPr>
              <w:spacing w:line="360" w:lineRule="auto"/>
              <w:rPr>
                <w:rFonts w:ascii="Arial" w:hAnsi="Arial" w:cs="Arial"/>
                <w:lang w:val="en-US"/>
              </w:rPr>
            </w:pPr>
            <w:r w:rsidRPr="00A65F75">
              <w:rPr>
                <w:rFonts w:ascii="Arial" w:hAnsi="Arial" w:cs="Arial"/>
              </w:rPr>
              <w:t>Wales, United Kingdom.</w:t>
            </w:r>
          </w:p>
        </w:tc>
        <w:tc>
          <w:tcPr>
            <w:tcW w:w="1803" w:type="dxa"/>
          </w:tcPr>
          <w:p w14:paraId="22695CBB" w14:textId="77777777" w:rsidR="00DE777E" w:rsidRPr="00A65F75" w:rsidRDefault="00DE777E" w:rsidP="00D11EC7">
            <w:pPr>
              <w:spacing w:line="360" w:lineRule="auto"/>
              <w:rPr>
                <w:rFonts w:ascii="Arial" w:hAnsi="Arial" w:cs="Arial"/>
                <w:lang w:val="en-US"/>
              </w:rPr>
            </w:pPr>
            <w:r w:rsidRPr="00A65F75">
              <w:rPr>
                <w:rFonts w:ascii="Arial" w:hAnsi="Arial" w:cs="Arial"/>
              </w:rPr>
              <w:t>Retrospective cross-sectional research</w:t>
            </w:r>
            <w:r w:rsidRPr="00A65F75">
              <w:rPr>
                <w:rFonts w:ascii="Arial" w:hAnsi="Arial" w:cs="Arial"/>
                <w:lang w:val="en-US"/>
              </w:rPr>
              <w:t xml:space="preserve"> design</w:t>
            </w:r>
          </w:p>
        </w:tc>
        <w:tc>
          <w:tcPr>
            <w:tcW w:w="1803" w:type="dxa"/>
          </w:tcPr>
          <w:p w14:paraId="3F173E49" w14:textId="77777777" w:rsidR="00DE777E" w:rsidRPr="00A65F75" w:rsidRDefault="00DE777E" w:rsidP="00D11EC7">
            <w:pPr>
              <w:spacing w:line="360" w:lineRule="auto"/>
              <w:rPr>
                <w:rFonts w:ascii="Arial" w:hAnsi="Arial" w:cs="Arial"/>
                <w:lang w:val="en-US"/>
              </w:rPr>
            </w:pPr>
            <w:r w:rsidRPr="00A65F75">
              <w:rPr>
                <w:rFonts w:ascii="Arial" w:hAnsi="Arial" w:cs="Arial"/>
              </w:rPr>
              <w:t>A national sample of adults in Wales completed a survey</w:t>
            </w:r>
          </w:p>
        </w:tc>
        <w:tc>
          <w:tcPr>
            <w:tcW w:w="2320" w:type="dxa"/>
          </w:tcPr>
          <w:p w14:paraId="79BD53E1" w14:textId="77777777" w:rsidR="00DE777E" w:rsidRPr="00A65F75" w:rsidRDefault="00DE777E" w:rsidP="00D11EC7">
            <w:pPr>
              <w:spacing w:line="360" w:lineRule="auto"/>
              <w:rPr>
                <w:rFonts w:ascii="Arial" w:hAnsi="Arial" w:cs="Arial"/>
                <w:lang w:val="en-US"/>
              </w:rPr>
            </w:pPr>
            <w:r w:rsidRPr="00A65F75">
              <w:rPr>
                <w:rFonts w:ascii="Arial" w:hAnsi="Arial" w:cs="Arial"/>
              </w:rPr>
              <w:t>It was concluded that people who experienced ACEs and poor school experiences, including bullying or poor school belonging, were more prone to poor mental health and low life wellbeing in adulthood. Participants with 4 or more ACEs had a high probability of being bullied and were less likely to be school connected. Another effect found in the research was the cumulative effect, which is that combined adversities risked mental illness. Positive school environments, however, minimized this risk, which explains the protective effect of supportive educational contexts in minimizing long-term health effects.</w:t>
            </w:r>
          </w:p>
        </w:tc>
        <w:tc>
          <w:tcPr>
            <w:tcW w:w="2700" w:type="dxa"/>
          </w:tcPr>
          <w:p w14:paraId="6F47C503" w14:textId="77777777" w:rsidR="00DE777E" w:rsidRPr="00A65F75" w:rsidRDefault="00DE777E" w:rsidP="00D11EC7">
            <w:pPr>
              <w:spacing w:line="360" w:lineRule="auto"/>
              <w:rPr>
                <w:rFonts w:ascii="Arial" w:hAnsi="Arial" w:cs="Arial"/>
                <w:lang w:val="en-US"/>
              </w:rPr>
            </w:pPr>
            <w:r w:rsidRPr="00A65F75">
              <w:rPr>
                <w:rFonts w:ascii="Arial" w:hAnsi="Arial" w:cs="Arial"/>
              </w:rPr>
              <w:t>This research illustrates the role of ACEs in the development of long-term mental health consequences as well as the influence of social set-ups in the determination of such effects. As it is mentioned in the findings, home and school adversity may accumulate risks towards poor mental health in adulthood. In the case of a research on ACEs in marginalised populations in England and Wales, the study advocates the value of trauma-informed systems in sectors. It further points out the possibility of early interventions in education to decrease mental health disparities in future and enhance wellbeing.</w:t>
            </w:r>
          </w:p>
        </w:tc>
      </w:tr>
      <w:tr w:rsidR="009D1CA9" w:rsidRPr="00A65F75" w14:paraId="0F0A7E95" w14:textId="77777777" w:rsidTr="00DE777E">
        <w:tc>
          <w:tcPr>
            <w:tcW w:w="1803" w:type="dxa"/>
          </w:tcPr>
          <w:p w14:paraId="448146DF" w14:textId="77777777" w:rsidR="00DE777E" w:rsidRPr="00A65F75" w:rsidRDefault="00DE777E" w:rsidP="00D11EC7">
            <w:pPr>
              <w:spacing w:line="360" w:lineRule="auto"/>
              <w:rPr>
                <w:rFonts w:ascii="Arial" w:hAnsi="Arial" w:cs="Arial"/>
              </w:rPr>
            </w:pPr>
            <w:r w:rsidRPr="00A65F75">
              <w:rPr>
                <w:rFonts w:ascii="Arial" w:hAnsi="Arial" w:cs="Arial"/>
              </w:rPr>
              <w:t>Khanolkar and Becares (2025)</w:t>
            </w:r>
          </w:p>
        </w:tc>
        <w:tc>
          <w:tcPr>
            <w:tcW w:w="1803" w:type="dxa"/>
          </w:tcPr>
          <w:p w14:paraId="2E88C1EA" w14:textId="77777777" w:rsidR="00DE777E" w:rsidRPr="00A65F75" w:rsidRDefault="00DE777E" w:rsidP="00D11EC7">
            <w:pPr>
              <w:spacing w:line="360" w:lineRule="auto"/>
              <w:rPr>
                <w:rFonts w:ascii="Arial" w:hAnsi="Arial" w:cs="Arial"/>
                <w:lang w:val="en-US"/>
              </w:rPr>
            </w:pPr>
            <w:r w:rsidRPr="00A65F75">
              <w:rPr>
                <w:rFonts w:ascii="Arial" w:hAnsi="Arial" w:cs="Arial"/>
              </w:rPr>
              <w:t>Prevalence of past homelessness, mental health and health risk behaviours among sexual minority young people in the UK: insights from the Millennium Cohort Study</w:t>
            </w:r>
          </w:p>
        </w:tc>
        <w:tc>
          <w:tcPr>
            <w:tcW w:w="1803" w:type="dxa"/>
          </w:tcPr>
          <w:p w14:paraId="4F83ECDF" w14:textId="77777777" w:rsidR="00DE777E" w:rsidRPr="00A65F75" w:rsidRDefault="00DE777E" w:rsidP="00D11EC7">
            <w:pPr>
              <w:spacing w:line="360" w:lineRule="auto"/>
              <w:rPr>
                <w:rFonts w:ascii="Arial" w:hAnsi="Arial" w:cs="Arial"/>
                <w:lang w:val="en-US"/>
              </w:rPr>
            </w:pPr>
            <w:r w:rsidRPr="00A65F75">
              <w:rPr>
                <w:rFonts w:ascii="Arial" w:hAnsi="Arial" w:cs="Arial"/>
                <w:lang w:val="en-US"/>
              </w:rPr>
              <w:t>UK</w:t>
            </w:r>
          </w:p>
        </w:tc>
        <w:tc>
          <w:tcPr>
            <w:tcW w:w="1803" w:type="dxa"/>
          </w:tcPr>
          <w:p w14:paraId="13231010" w14:textId="77777777" w:rsidR="00DE777E" w:rsidRPr="00A65F75" w:rsidRDefault="00DE777E" w:rsidP="00D11EC7">
            <w:pPr>
              <w:spacing w:line="360" w:lineRule="auto"/>
              <w:rPr>
                <w:rFonts w:ascii="Arial" w:hAnsi="Arial" w:cs="Arial"/>
                <w:lang w:val="en-US"/>
              </w:rPr>
            </w:pPr>
            <w:r w:rsidRPr="00A65F75">
              <w:rPr>
                <w:rFonts w:ascii="Arial" w:hAnsi="Arial" w:cs="Arial"/>
              </w:rPr>
              <w:t>Cross-sectional analysis of nationally representative cohort data</w:t>
            </w:r>
          </w:p>
        </w:tc>
        <w:tc>
          <w:tcPr>
            <w:tcW w:w="1803" w:type="dxa"/>
          </w:tcPr>
          <w:p w14:paraId="432C029D" w14:textId="77777777" w:rsidR="00DE777E" w:rsidRPr="00A65F75" w:rsidRDefault="00DE777E" w:rsidP="00D11EC7">
            <w:pPr>
              <w:spacing w:line="360" w:lineRule="auto"/>
              <w:rPr>
                <w:rFonts w:ascii="Arial" w:hAnsi="Arial" w:cs="Arial"/>
                <w:lang w:val="en-US"/>
              </w:rPr>
            </w:pPr>
            <w:r w:rsidRPr="00A65F75">
              <w:rPr>
                <w:rFonts w:ascii="Arial" w:hAnsi="Arial" w:cs="Arial"/>
              </w:rPr>
              <w:t>10,232 adolescents aged 17 from the UK Millennium Cohort Study</w:t>
            </w:r>
          </w:p>
        </w:tc>
        <w:tc>
          <w:tcPr>
            <w:tcW w:w="2320" w:type="dxa"/>
          </w:tcPr>
          <w:p w14:paraId="0A6D21D9" w14:textId="77777777" w:rsidR="00DE777E" w:rsidRPr="00A65F75" w:rsidRDefault="00DE777E" w:rsidP="00D11EC7">
            <w:pPr>
              <w:spacing w:line="360" w:lineRule="auto"/>
              <w:rPr>
                <w:rFonts w:ascii="Arial" w:hAnsi="Arial" w:cs="Arial"/>
                <w:lang w:val="en-US"/>
              </w:rPr>
            </w:pPr>
            <w:r w:rsidRPr="00A65F75">
              <w:rPr>
                <w:rFonts w:ascii="Arial" w:hAnsi="Arial" w:cs="Arial"/>
              </w:rPr>
              <w:t>The research established that sexual minority adolescents, especially the bisexual youth, were much more likely to have previous homelessness than heterosexual adolescents. Rates of self-harm and attempted suicide among homeless sexual minority youth were significantly higher than among heterosexual adolescents who experienced the same. Homelessness in the past also linked with the high rate of health risk behaviours like smoking and antisocial behaviour.</w:t>
            </w:r>
          </w:p>
        </w:tc>
        <w:tc>
          <w:tcPr>
            <w:tcW w:w="2700" w:type="dxa"/>
          </w:tcPr>
          <w:p w14:paraId="17B82906" w14:textId="77777777" w:rsidR="00DE777E" w:rsidRPr="00A65F75" w:rsidRDefault="00DE777E" w:rsidP="00D11EC7">
            <w:pPr>
              <w:spacing w:line="360" w:lineRule="auto"/>
              <w:rPr>
                <w:rFonts w:ascii="Arial" w:hAnsi="Arial" w:cs="Arial"/>
                <w:lang w:val="en-US"/>
              </w:rPr>
            </w:pPr>
            <w:r w:rsidRPr="00A65F75">
              <w:rPr>
                <w:rFonts w:ascii="Arial" w:hAnsi="Arial" w:cs="Arial"/>
              </w:rPr>
              <w:t>This article identifies the intersection point of structural vulnerability and marginalisation with negative experiences to enhance negative mental health outcomes. Homelessness experiences have been found to be major types of childhood adversity that lead to long-term psychological damage. The results indicate that the vulnerable groups, especially the sexual minority youth are at a compounded risk of mental illness and detrimental behaviours. To research the marginalised groups in England and Wales that studies ACEs, the evidence indicates that NHS interventions based on social determinants of mental health should be specifically targeted and based on trauma, as it is a marginalised group.</w:t>
            </w:r>
          </w:p>
        </w:tc>
      </w:tr>
      <w:tr w:rsidR="009D1CA9" w:rsidRPr="00A65F75" w14:paraId="0A029E74" w14:textId="77777777" w:rsidTr="00DE777E">
        <w:tc>
          <w:tcPr>
            <w:tcW w:w="1803" w:type="dxa"/>
          </w:tcPr>
          <w:p w14:paraId="20A6E4D6" w14:textId="77777777" w:rsidR="00DE777E" w:rsidRPr="00A65F75" w:rsidRDefault="00DE777E" w:rsidP="00D11EC7">
            <w:pPr>
              <w:spacing w:line="360" w:lineRule="auto"/>
              <w:rPr>
                <w:rFonts w:ascii="Arial" w:hAnsi="Arial" w:cs="Arial"/>
              </w:rPr>
            </w:pPr>
            <w:r w:rsidRPr="00A65F75">
              <w:rPr>
                <w:rFonts w:ascii="Arial" w:hAnsi="Arial" w:cs="Arial"/>
              </w:rPr>
              <w:t>Sødal, Huddy and McKenzie (2023)</w:t>
            </w:r>
          </w:p>
        </w:tc>
        <w:tc>
          <w:tcPr>
            <w:tcW w:w="1803" w:type="dxa"/>
          </w:tcPr>
          <w:p w14:paraId="3DA59CE4" w14:textId="77777777" w:rsidR="00DE777E" w:rsidRPr="00A65F75" w:rsidRDefault="00DE777E" w:rsidP="00D11EC7">
            <w:pPr>
              <w:spacing w:line="360" w:lineRule="auto"/>
              <w:rPr>
                <w:rFonts w:ascii="Arial" w:hAnsi="Arial" w:cs="Arial"/>
              </w:rPr>
            </w:pPr>
            <w:r w:rsidRPr="00A65F75">
              <w:rPr>
                <w:rFonts w:ascii="Arial" w:hAnsi="Arial" w:cs="Arial"/>
              </w:rPr>
              <w:t>Black people's experiences of being asked about adverse childhood experiences in the UK: A qualitative study</w:t>
            </w:r>
          </w:p>
        </w:tc>
        <w:tc>
          <w:tcPr>
            <w:tcW w:w="1803" w:type="dxa"/>
          </w:tcPr>
          <w:p w14:paraId="1580A4AE" w14:textId="77777777" w:rsidR="00DE777E" w:rsidRPr="00A65F75" w:rsidRDefault="00DE777E" w:rsidP="00D11EC7">
            <w:pPr>
              <w:spacing w:line="360" w:lineRule="auto"/>
              <w:rPr>
                <w:rFonts w:ascii="Arial" w:hAnsi="Arial" w:cs="Arial"/>
                <w:lang w:val="en-US"/>
              </w:rPr>
            </w:pPr>
            <w:r w:rsidRPr="00A65F75">
              <w:rPr>
                <w:rFonts w:ascii="Arial" w:hAnsi="Arial" w:cs="Arial"/>
                <w:lang w:val="en-US"/>
              </w:rPr>
              <w:t>UK</w:t>
            </w:r>
          </w:p>
        </w:tc>
        <w:tc>
          <w:tcPr>
            <w:tcW w:w="1803" w:type="dxa"/>
          </w:tcPr>
          <w:p w14:paraId="033A767D" w14:textId="77777777" w:rsidR="00DE777E" w:rsidRPr="00A65F75" w:rsidRDefault="00DE777E" w:rsidP="00D11EC7">
            <w:pPr>
              <w:spacing w:line="360" w:lineRule="auto"/>
              <w:rPr>
                <w:rFonts w:ascii="Arial" w:hAnsi="Arial" w:cs="Arial"/>
                <w:lang w:val="en-US"/>
              </w:rPr>
            </w:pPr>
            <w:r w:rsidRPr="00A65F75">
              <w:rPr>
                <w:rFonts w:ascii="Arial" w:hAnsi="Arial" w:cs="Arial"/>
              </w:rPr>
              <w:t>Qualitative study using critical realist reflexive thematic analysis</w:t>
            </w:r>
          </w:p>
        </w:tc>
        <w:tc>
          <w:tcPr>
            <w:tcW w:w="1803" w:type="dxa"/>
          </w:tcPr>
          <w:p w14:paraId="74E053A0" w14:textId="77777777" w:rsidR="00DE777E" w:rsidRPr="00A65F75" w:rsidRDefault="00DE777E" w:rsidP="00D11EC7">
            <w:pPr>
              <w:spacing w:line="360" w:lineRule="auto"/>
              <w:rPr>
                <w:rFonts w:ascii="Arial" w:hAnsi="Arial" w:cs="Arial"/>
                <w:lang w:val="en-US"/>
              </w:rPr>
            </w:pPr>
            <w:r w:rsidRPr="00A65F75">
              <w:rPr>
                <w:rFonts w:ascii="Arial" w:hAnsi="Arial" w:cs="Arial"/>
                <w:lang w:val="en-US"/>
              </w:rPr>
              <w:t>10</w:t>
            </w:r>
            <w:r w:rsidRPr="00A65F75">
              <w:rPr>
                <w:rFonts w:ascii="Arial" w:hAnsi="Arial" w:cs="Arial"/>
              </w:rPr>
              <w:t xml:space="preserve"> black adults</w:t>
            </w:r>
          </w:p>
        </w:tc>
        <w:tc>
          <w:tcPr>
            <w:tcW w:w="2320" w:type="dxa"/>
          </w:tcPr>
          <w:p w14:paraId="5CF52680" w14:textId="77777777" w:rsidR="00DE777E" w:rsidRPr="00A65F75" w:rsidRDefault="00DE777E" w:rsidP="00D11EC7">
            <w:pPr>
              <w:spacing w:line="360" w:lineRule="auto"/>
              <w:rPr>
                <w:rFonts w:ascii="Arial" w:hAnsi="Arial" w:cs="Arial"/>
                <w:lang w:val="en-US"/>
              </w:rPr>
            </w:pPr>
            <w:r w:rsidRPr="00A65F75">
              <w:rPr>
                <w:rFonts w:ascii="Arial" w:hAnsi="Arial" w:cs="Arial"/>
              </w:rPr>
              <w:t>Findings established four themes concerning the experience of the Blacks when questioned about ACEs: trust and safety, the significance of clinician approach, barriers to engagement, and drawbacks of ACE questionnaires. According to the participants, meaningful ACE discussions required trust, cultural sensitivity, and good therapeutic relationships. There has been an experience of racism and global mistrust in the medical field, which influenced transparency in evaluations. The participants criticised typical ACE questionnaires as simplifying the complex experience into tick-box categories and not being able to capture a wider range of social and contextual adversity.</w:t>
            </w:r>
          </w:p>
        </w:tc>
        <w:tc>
          <w:tcPr>
            <w:tcW w:w="2700" w:type="dxa"/>
          </w:tcPr>
          <w:p w14:paraId="43D2D358" w14:textId="77777777" w:rsidR="00DE777E" w:rsidRPr="00A65F75" w:rsidRDefault="00DE777E" w:rsidP="00D11EC7">
            <w:pPr>
              <w:spacing w:line="360" w:lineRule="auto"/>
              <w:rPr>
                <w:rFonts w:ascii="Arial" w:hAnsi="Arial" w:cs="Arial"/>
                <w:lang w:val="en-US"/>
              </w:rPr>
            </w:pPr>
            <w:r w:rsidRPr="00A65F75">
              <w:rPr>
                <w:rFonts w:ascii="Arial" w:hAnsi="Arial" w:cs="Arial"/>
              </w:rPr>
              <w:t>The study underscores the experience of the marginalised ethnic groups in ACE assessment in the UK mental health services. Similarly, the results show that trust, cultural competence, and inclusive definitions of adversity are critical in dealing with childhood trauma in healthcare facilities. To explore the influence of ACEs on a study that investigates the long-term mental health effects of ACEs in vulnerable groups in England and Wales, the study indicates that trauma-informed and culturally sensitive NHS practice is important. Equally, it indicates possible drawbacks of the standard ACE screening tools when used in various groups of people</w:t>
            </w:r>
            <w:r w:rsidRPr="00A65F75">
              <w:rPr>
                <w:rFonts w:ascii="Arial" w:hAnsi="Arial" w:cs="Arial"/>
                <w:lang w:val="en-US"/>
              </w:rPr>
              <w:t>.</w:t>
            </w:r>
          </w:p>
        </w:tc>
      </w:tr>
      <w:tr w:rsidR="009D1CA9" w:rsidRPr="00A65F75" w14:paraId="2780317B" w14:textId="77777777" w:rsidTr="00DE777E">
        <w:tc>
          <w:tcPr>
            <w:tcW w:w="1803" w:type="dxa"/>
          </w:tcPr>
          <w:p w14:paraId="2185868F" w14:textId="77777777" w:rsidR="00DE777E" w:rsidRPr="00A65F75" w:rsidRDefault="00DE777E" w:rsidP="00D11EC7">
            <w:pPr>
              <w:spacing w:line="360" w:lineRule="auto"/>
              <w:rPr>
                <w:rFonts w:ascii="Arial" w:hAnsi="Arial" w:cs="Arial"/>
              </w:rPr>
            </w:pPr>
            <w:r w:rsidRPr="00A65F75">
              <w:rPr>
                <w:rFonts w:ascii="Arial" w:hAnsi="Arial" w:cs="Arial"/>
              </w:rPr>
              <w:t>Moxey et al. (2025)</w:t>
            </w:r>
          </w:p>
        </w:tc>
        <w:tc>
          <w:tcPr>
            <w:tcW w:w="1803" w:type="dxa"/>
          </w:tcPr>
          <w:p w14:paraId="1A87DB31" w14:textId="77777777" w:rsidR="00DE777E" w:rsidRPr="00A65F75" w:rsidRDefault="00DE777E" w:rsidP="00D11EC7">
            <w:pPr>
              <w:spacing w:line="360" w:lineRule="auto"/>
              <w:rPr>
                <w:rFonts w:ascii="Arial" w:hAnsi="Arial" w:cs="Arial"/>
              </w:rPr>
            </w:pPr>
            <w:r w:rsidRPr="00A65F75">
              <w:rPr>
                <w:rFonts w:ascii="Arial" w:hAnsi="Arial" w:cs="Arial"/>
              </w:rPr>
              <w:t>Exploring adverse childhood experiences (ACEs) among those seeking treatment for gambling problems: A mixed-methods study</w:t>
            </w:r>
          </w:p>
        </w:tc>
        <w:tc>
          <w:tcPr>
            <w:tcW w:w="1803" w:type="dxa"/>
          </w:tcPr>
          <w:p w14:paraId="68F0A5F7" w14:textId="77777777" w:rsidR="00DE777E" w:rsidRPr="00A65F75" w:rsidRDefault="00DE777E" w:rsidP="00D11EC7">
            <w:pPr>
              <w:spacing w:line="360" w:lineRule="auto"/>
              <w:rPr>
                <w:rFonts w:ascii="Arial" w:hAnsi="Arial" w:cs="Arial"/>
                <w:lang w:val="en-US"/>
              </w:rPr>
            </w:pPr>
            <w:r w:rsidRPr="00A65F75">
              <w:rPr>
                <w:rFonts w:ascii="Arial" w:hAnsi="Arial" w:cs="Arial"/>
                <w:lang w:val="en-US"/>
              </w:rPr>
              <w:t>UK</w:t>
            </w:r>
          </w:p>
        </w:tc>
        <w:tc>
          <w:tcPr>
            <w:tcW w:w="1803" w:type="dxa"/>
          </w:tcPr>
          <w:p w14:paraId="731BD34A" w14:textId="77777777" w:rsidR="00DE777E" w:rsidRPr="00A65F75" w:rsidRDefault="00DE777E" w:rsidP="00D11EC7">
            <w:pPr>
              <w:spacing w:line="360" w:lineRule="auto"/>
              <w:rPr>
                <w:rFonts w:ascii="Arial" w:hAnsi="Arial" w:cs="Arial"/>
                <w:lang w:val="en-US"/>
              </w:rPr>
            </w:pPr>
            <w:r w:rsidRPr="00A65F75">
              <w:rPr>
                <w:rFonts w:ascii="Arial" w:hAnsi="Arial" w:cs="Arial"/>
              </w:rPr>
              <w:t xml:space="preserve">Mixed-methods study combining qualitative interviews and quantitative survey data </w:t>
            </w:r>
          </w:p>
        </w:tc>
        <w:tc>
          <w:tcPr>
            <w:tcW w:w="1803" w:type="dxa"/>
          </w:tcPr>
          <w:p w14:paraId="0D85A091" w14:textId="77777777" w:rsidR="00DE777E" w:rsidRPr="00A65F75" w:rsidRDefault="00DE777E" w:rsidP="00D11EC7">
            <w:pPr>
              <w:spacing w:line="360" w:lineRule="auto"/>
              <w:rPr>
                <w:rFonts w:ascii="Arial" w:hAnsi="Arial" w:cs="Arial"/>
                <w:lang w:val="en-US"/>
              </w:rPr>
            </w:pPr>
            <w:r w:rsidRPr="00A65F75">
              <w:rPr>
                <w:rFonts w:ascii="Arial" w:hAnsi="Arial" w:cs="Arial"/>
              </w:rPr>
              <w:t xml:space="preserve">A survey was conducted on 195 gambling treatment clients </w:t>
            </w:r>
            <w:r w:rsidRPr="00A65F75">
              <w:rPr>
                <w:rFonts w:ascii="Arial" w:hAnsi="Arial" w:cs="Arial"/>
                <w:lang w:val="en-US"/>
              </w:rPr>
              <w:t>while</w:t>
            </w:r>
            <w:r w:rsidRPr="00A65F75">
              <w:rPr>
                <w:rFonts w:ascii="Arial" w:hAnsi="Arial" w:cs="Arial"/>
              </w:rPr>
              <w:t xml:space="preserve"> 10 participants were given in depth qualitative interviews</w:t>
            </w:r>
          </w:p>
          <w:p w14:paraId="5A6D96B1" w14:textId="77777777" w:rsidR="00DE777E" w:rsidRPr="00A65F75" w:rsidRDefault="00DE777E" w:rsidP="00D11EC7">
            <w:pPr>
              <w:spacing w:line="360" w:lineRule="auto"/>
              <w:rPr>
                <w:rFonts w:ascii="Arial" w:hAnsi="Arial" w:cs="Arial"/>
                <w:lang w:val="en-US"/>
              </w:rPr>
            </w:pPr>
          </w:p>
        </w:tc>
        <w:tc>
          <w:tcPr>
            <w:tcW w:w="2320" w:type="dxa"/>
          </w:tcPr>
          <w:p w14:paraId="393AF119" w14:textId="77777777" w:rsidR="00DE777E" w:rsidRPr="00A65F75" w:rsidRDefault="00DE777E" w:rsidP="00D11EC7">
            <w:pPr>
              <w:spacing w:line="360" w:lineRule="auto"/>
              <w:rPr>
                <w:rFonts w:ascii="Arial" w:hAnsi="Arial" w:cs="Arial"/>
                <w:lang w:val="en-US"/>
              </w:rPr>
            </w:pPr>
            <w:r w:rsidRPr="00A65F75">
              <w:rPr>
                <w:rFonts w:ascii="Arial" w:hAnsi="Arial" w:cs="Arial"/>
              </w:rPr>
              <w:t>The study established a very high prevalence of the ACEs among the individuals who were seeking treatment of gambling problems. More than four out of five (81.35) individuals indicated a minimum of at least one ACE, with 40.5 per cent indicating four or more ACEs, which is well beyond what the national population statistics indicate. Women had higher exposure to ACE especially emotional and sexual abuse. The individuals who were severely exposed to gambling were the most exposed individuals to ACE. Further, qualitative data revealed that gambling was a common maladaptive coping strategy to cope with distress caused by childhood trauma, and this represents a complex set of psychological processes between ACEs and addictive behaviours.</w:t>
            </w:r>
          </w:p>
        </w:tc>
        <w:tc>
          <w:tcPr>
            <w:tcW w:w="2700" w:type="dxa"/>
          </w:tcPr>
          <w:p w14:paraId="25401C08" w14:textId="77777777" w:rsidR="00DE777E" w:rsidRPr="00A65F75" w:rsidRDefault="00DE777E" w:rsidP="00D11EC7">
            <w:pPr>
              <w:spacing w:line="360" w:lineRule="auto"/>
              <w:rPr>
                <w:rFonts w:ascii="Arial" w:hAnsi="Arial" w:cs="Arial"/>
                <w:lang w:val="en-US"/>
              </w:rPr>
            </w:pPr>
            <w:r w:rsidRPr="00A65F75">
              <w:rPr>
                <w:rFonts w:ascii="Arial" w:hAnsi="Arial" w:cs="Arial"/>
              </w:rPr>
              <w:t>The study assists in demonstrating the role of ACEs in long-term mental health and behavioural outcomes, including the addictive behaviours, such as gambling. Its results show the way that childhood trauma may result in the development of maladaptive coping mechanisms during adulthood, which supports psychological impacts of ACEs over time. In the case of a research study on ACEs within marginalised groups in England and Wales, the study shows how traumatic health and social care services are significant. Moreover, it encourages the necessity of ACE screening and combined mental health interventions in NHS and associated curing.</w:t>
            </w:r>
          </w:p>
        </w:tc>
      </w:tr>
      <w:tr w:rsidR="009D1CA9" w:rsidRPr="00A65F75" w14:paraId="15C38A29" w14:textId="77777777" w:rsidTr="00DE777E">
        <w:tc>
          <w:tcPr>
            <w:tcW w:w="1803" w:type="dxa"/>
          </w:tcPr>
          <w:p w14:paraId="7BF6F59A" w14:textId="77777777" w:rsidR="00DE777E" w:rsidRPr="00A65F75" w:rsidRDefault="00DE777E" w:rsidP="00D11EC7">
            <w:pPr>
              <w:spacing w:line="360" w:lineRule="auto"/>
              <w:rPr>
                <w:rFonts w:ascii="Arial" w:hAnsi="Arial" w:cs="Arial"/>
              </w:rPr>
            </w:pPr>
            <w:r w:rsidRPr="00A65F75">
              <w:rPr>
                <w:rFonts w:ascii="Arial" w:hAnsi="Arial" w:cs="Arial"/>
              </w:rPr>
              <w:t>Bellis et al. (2025)</w:t>
            </w:r>
          </w:p>
        </w:tc>
        <w:tc>
          <w:tcPr>
            <w:tcW w:w="1803" w:type="dxa"/>
          </w:tcPr>
          <w:p w14:paraId="4C38FE72" w14:textId="77777777" w:rsidR="00DE777E" w:rsidRPr="00A65F75" w:rsidRDefault="00DE777E" w:rsidP="00D11EC7">
            <w:pPr>
              <w:spacing w:line="360" w:lineRule="auto"/>
              <w:rPr>
                <w:rFonts w:ascii="Arial" w:hAnsi="Arial" w:cs="Arial"/>
              </w:rPr>
            </w:pPr>
            <w:r w:rsidRPr="00A65F75">
              <w:rPr>
                <w:rFonts w:ascii="Arial" w:hAnsi="Arial" w:cs="Arial"/>
              </w:rPr>
              <w:t>Relative and combined contributions of adverse childhood experiences and self-reported child poverty to health and economic outcomes in adults–a retrospective study in a UK region</w:t>
            </w:r>
          </w:p>
        </w:tc>
        <w:tc>
          <w:tcPr>
            <w:tcW w:w="1803" w:type="dxa"/>
          </w:tcPr>
          <w:p w14:paraId="41862BAA" w14:textId="77777777" w:rsidR="00DE777E" w:rsidRPr="00A65F75" w:rsidRDefault="00DE777E" w:rsidP="00D11EC7">
            <w:pPr>
              <w:spacing w:line="360" w:lineRule="auto"/>
              <w:rPr>
                <w:rFonts w:ascii="Arial" w:hAnsi="Arial" w:cs="Arial"/>
                <w:lang w:val="en-US"/>
              </w:rPr>
            </w:pPr>
            <w:r w:rsidRPr="00A65F75">
              <w:rPr>
                <w:rFonts w:ascii="Arial" w:hAnsi="Arial" w:cs="Arial"/>
              </w:rPr>
              <w:t>Northwest England, United Kingdom</w:t>
            </w:r>
          </w:p>
        </w:tc>
        <w:tc>
          <w:tcPr>
            <w:tcW w:w="1803" w:type="dxa"/>
          </w:tcPr>
          <w:p w14:paraId="5345E0D7" w14:textId="77777777" w:rsidR="00DE777E" w:rsidRPr="00A65F75" w:rsidRDefault="00DE777E" w:rsidP="00D11EC7">
            <w:pPr>
              <w:spacing w:line="360" w:lineRule="auto"/>
              <w:rPr>
                <w:rFonts w:ascii="Arial" w:hAnsi="Arial" w:cs="Arial"/>
                <w:lang w:val="en-US"/>
              </w:rPr>
            </w:pPr>
            <w:r w:rsidRPr="00A65F75">
              <w:rPr>
                <w:rFonts w:ascii="Arial" w:hAnsi="Arial" w:cs="Arial"/>
              </w:rPr>
              <w:t>Retrospective cross-sectional household survey</w:t>
            </w:r>
          </w:p>
        </w:tc>
        <w:tc>
          <w:tcPr>
            <w:tcW w:w="1803" w:type="dxa"/>
          </w:tcPr>
          <w:p w14:paraId="3ACF67E8" w14:textId="77777777" w:rsidR="00DE777E" w:rsidRPr="00A65F75" w:rsidRDefault="00DE777E" w:rsidP="00D11EC7">
            <w:pPr>
              <w:spacing w:line="360" w:lineRule="auto"/>
              <w:rPr>
                <w:rFonts w:ascii="Arial" w:hAnsi="Arial" w:cs="Arial"/>
                <w:lang w:val="en-US"/>
              </w:rPr>
            </w:pPr>
            <w:r w:rsidRPr="00A65F75">
              <w:rPr>
                <w:rFonts w:ascii="Arial" w:hAnsi="Arial" w:cs="Arial"/>
              </w:rPr>
              <w:t>There were 5,330 adults, aged 18 years and above</w:t>
            </w:r>
          </w:p>
        </w:tc>
        <w:tc>
          <w:tcPr>
            <w:tcW w:w="2320" w:type="dxa"/>
          </w:tcPr>
          <w:p w14:paraId="41D1F3EA" w14:textId="77777777" w:rsidR="00DE777E" w:rsidRPr="00A65F75" w:rsidRDefault="00DE777E" w:rsidP="00D11EC7">
            <w:pPr>
              <w:spacing w:line="360" w:lineRule="auto"/>
              <w:rPr>
                <w:rFonts w:ascii="Arial" w:hAnsi="Arial" w:cs="Arial"/>
                <w:lang w:val="en-US"/>
              </w:rPr>
            </w:pPr>
            <w:r w:rsidRPr="00A65F75">
              <w:rPr>
                <w:rFonts w:ascii="Arial" w:hAnsi="Arial" w:cs="Arial"/>
              </w:rPr>
              <w:t>Findings suggested that ACEs and childhood poverty had an independent and cumulative effect on poor health and economic outcomes during adulthood. The increased ACE levels were significantly linked to increased documentation of childhood poverty. Persons who had experienced four or more ACEs and the most extreme cases of poverty had the worst health outcomes, including decreased mental wellbeing, and chronic health conditions. Patterns were mirrored on economic outcomes, whereby a greater level of unemployment and less income was observed in those exposed to ACE and in those living in poverty in childhood, in life-course disadvantage.</w:t>
            </w:r>
          </w:p>
        </w:tc>
        <w:tc>
          <w:tcPr>
            <w:tcW w:w="2700" w:type="dxa"/>
          </w:tcPr>
          <w:p w14:paraId="2E874089" w14:textId="77777777" w:rsidR="00DE777E" w:rsidRPr="00A65F75" w:rsidRDefault="00DE777E" w:rsidP="00D11EC7">
            <w:pPr>
              <w:spacing w:line="360" w:lineRule="auto"/>
              <w:rPr>
                <w:rFonts w:ascii="Arial" w:hAnsi="Arial" w:cs="Arial"/>
                <w:lang w:val="en-US"/>
              </w:rPr>
            </w:pPr>
            <w:r w:rsidRPr="00A65F75">
              <w:rPr>
                <w:rFonts w:ascii="Arial" w:hAnsi="Arial" w:cs="Arial"/>
              </w:rPr>
              <w:t>The study exemplifies the interplay between ACEs and structural inequalities like poverty in childhood to influence the mental health and socioeconomic status over the long run. The results reveal that ACEs do not just apply to disadvantaged groups but are also found in all socioeconomic setups though the tendency is higher in poor households. To examine the ACEs in the case of marginalised populations in England and Wales, the study supports the need to focus on tackling both the determinants of trauma and socioeconomic factors in the NHS and social care system to decrease the health disparities in the future.</w:t>
            </w:r>
          </w:p>
        </w:tc>
      </w:tr>
      <w:tr w:rsidR="009D1CA9" w:rsidRPr="00A65F75" w14:paraId="781610CF" w14:textId="77777777" w:rsidTr="00DE777E">
        <w:tc>
          <w:tcPr>
            <w:tcW w:w="1803" w:type="dxa"/>
          </w:tcPr>
          <w:p w14:paraId="0997F7D4" w14:textId="77777777" w:rsidR="00DE777E" w:rsidRPr="00A65F75" w:rsidRDefault="00DE777E" w:rsidP="00D11EC7">
            <w:pPr>
              <w:spacing w:line="360" w:lineRule="auto"/>
              <w:rPr>
                <w:rFonts w:ascii="Arial" w:hAnsi="Arial" w:cs="Arial"/>
              </w:rPr>
            </w:pPr>
            <w:r w:rsidRPr="00A65F75">
              <w:rPr>
                <w:rFonts w:ascii="Arial" w:hAnsi="Arial" w:cs="Arial"/>
              </w:rPr>
              <w:t>Farooq et al. (2024)</w:t>
            </w:r>
          </w:p>
        </w:tc>
        <w:tc>
          <w:tcPr>
            <w:tcW w:w="1803" w:type="dxa"/>
          </w:tcPr>
          <w:p w14:paraId="260B2495" w14:textId="77777777" w:rsidR="00DE777E" w:rsidRPr="00A65F75" w:rsidRDefault="00DE777E" w:rsidP="00D11EC7">
            <w:pPr>
              <w:spacing w:line="360" w:lineRule="auto"/>
              <w:rPr>
                <w:rFonts w:ascii="Arial" w:hAnsi="Arial" w:cs="Arial"/>
                <w:lang w:val="en-US"/>
              </w:rPr>
            </w:pPr>
            <w:r w:rsidRPr="00A65F75">
              <w:rPr>
                <w:rFonts w:ascii="Arial" w:hAnsi="Arial" w:cs="Arial"/>
              </w:rPr>
              <w:t>The association between poverty and longitudinal patterns of adverse childhood experiences across childhood and adolescence: Findings from a prospective population-based cohort study in the UK</w:t>
            </w:r>
          </w:p>
        </w:tc>
        <w:tc>
          <w:tcPr>
            <w:tcW w:w="1803" w:type="dxa"/>
          </w:tcPr>
          <w:p w14:paraId="1487342F" w14:textId="77777777" w:rsidR="00DE777E" w:rsidRPr="00A65F75" w:rsidRDefault="00DE777E" w:rsidP="00D11EC7">
            <w:pPr>
              <w:spacing w:line="360" w:lineRule="auto"/>
              <w:rPr>
                <w:rFonts w:ascii="Arial" w:hAnsi="Arial" w:cs="Arial"/>
                <w:lang w:val="en-US"/>
              </w:rPr>
            </w:pPr>
            <w:r w:rsidRPr="00A65F75">
              <w:rPr>
                <w:rFonts w:ascii="Arial" w:hAnsi="Arial" w:cs="Arial"/>
              </w:rPr>
              <w:t>United Kingdom</w:t>
            </w:r>
          </w:p>
        </w:tc>
        <w:tc>
          <w:tcPr>
            <w:tcW w:w="1803" w:type="dxa"/>
          </w:tcPr>
          <w:p w14:paraId="21E9B090" w14:textId="77777777" w:rsidR="00DE777E" w:rsidRPr="00A65F75" w:rsidRDefault="00DE777E" w:rsidP="00D11EC7">
            <w:pPr>
              <w:spacing w:line="360" w:lineRule="auto"/>
              <w:rPr>
                <w:rFonts w:ascii="Arial" w:hAnsi="Arial" w:cs="Arial"/>
                <w:lang w:val="en-US"/>
              </w:rPr>
            </w:pPr>
            <w:r w:rsidRPr="00A65F75">
              <w:rPr>
                <w:rFonts w:ascii="Arial" w:hAnsi="Arial" w:cs="Arial"/>
              </w:rPr>
              <w:t>Prospective longitudinal cohort study</w:t>
            </w:r>
          </w:p>
        </w:tc>
        <w:tc>
          <w:tcPr>
            <w:tcW w:w="1803" w:type="dxa"/>
          </w:tcPr>
          <w:p w14:paraId="1D2754B7" w14:textId="77777777" w:rsidR="00DE777E" w:rsidRPr="00A65F75" w:rsidRDefault="00DE777E" w:rsidP="00D11EC7">
            <w:pPr>
              <w:spacing w:line="360" w:lineRule="auto"/>
              <w:rPr>
                <w:rFonts w:ascii="Arial" w:hAnsi="Arial" w:cs="Arial"/>
                <w:lang w:val="en-US"/>
              </w:rPr>
            </w:pPr>
            <w:r w:rsidRPr="00A65F75">
              <w:rPr>
                <w:rFonts w:ascii="Arial" w:hAnsi="Arial" w:cs="Arial"/>
              </w:rPr>
              <w:t>8,859 children from the Avon Longitudinal Study of Parents and Children (ALSPAC)</w:t>
            </w:r>
          </w:p>
        </w:tc>
        <w:tc>
          <w:tcPr>
            <w:tcW w:w="2320" w:type="dxa"/>
          </w:tcPr>
          <w:p w14:paraId="08E9A023" w14:textId="77777777" w:rsidR="00DE777E" w:rsidRPr="00A65F75" w:rsidRDefault="00DE777E" w:rsidP="00D11EC7">
            <w:pPr>
              <w:spacing w:line="360" w:lineRule="auto"/>
              <w:rPr>
                <w:rFonts w:ascii="Arial" w:hAnsi="Arial" w:cs="Arial"/>
                <w:lang w:val="en-US"/>
              </w:rPr>
            </w:pPr>
            <w:r w:rsidRPr="00A65F75">
              <w:rPr>
                <w:rFonts w:ascii="Arial" w:hAnsi="Arial" w:cs="Arial"/>
              </w:rPr>
              <w:t>The article established five developmental patterns of ACEs during childhood and adolescence. The majority of the subjects had low ACE exposure, with some of the groups demonstrating different trends such as household chaos, long-lasting mental health issues in the parents and abuse of the children at an early age. Poverty in the year of pregnancy was a significant contributor to the probability of membership to any of the higher-risk ACE groups. The greatest correlation was seen with early and mid-childhood disharmony in the household. The results underscore the fact that ACEs tend to cluster and develop as the developmental stages progress and poverty is one of the most significant structural risks of exposure.</w:t>
            </w:r>
          </w:p>
        </w:tc>
        <w:tc>
          <w:tcPr>
            <w:tcW w:w="2700" w:type="dxa"/>
          </w:tcPr>
          <w:p w14:paraId="05B12646" w14:textId="77777777" w:rsidR="00DE777E" w:rsidRPr="00A65F75" w:rsidRDefault="00DE777E" w:rsidP="00D11EC7">
            <w:pPr>
              <w:spacing w:line="360" w:lineRule="auto"/>
              <w:rPr>
                <w:rFonts w:ascii="Arial" w:hAnsi="Arial" w:cs="Arial"/>
                <w:lang w:val="en-US"/>
              </w:rPr>
            </w:pPr>
            <w:r w:rsidRPr="00A65F75">
              <w:rPr>
                <w:rFonts w:ascii="Arial" w:hAnsi="Arial" w:cs="Arial"/>
              </w:rPr>
              <w:t>The study is cognizant of the process of formation and maintenance of ACEs over time in the background of socioeconomic deprivation. The results indicate that poverty is a major factor that can predispose an individual to numerous types of adversity in childhood and adolescence. The study has strong evidence of structural inequality to childhood trauma exposure in case of the research undertaken to investigate long-term mental health outcomes of ACEs among marginalised populations in England and Wales. It attests to the priority of preventative measures at an early stage and coordinated NHS/social care strategies involving a vulnerable family.</w:t>
            </w:r>
          </w:p>
        </w:tc>
      </w:tr>
      <w:tr w:rsidR="009D1CA9" w:rsidRPr="00A65F75" w14:paraId="31D4795B" w14:textId="77777777" w:rsidTr="00DE777E">
        <w:tc>
          <w:tcPr>
            <w:tcW w:w="1803" w:type="dxa"/>
          </w:tcPr>
          <w:p w14:paraId="018FDD0C" w14:textId="77777777" w:rsidR="00DE777E" w:rsidRPr="00A65F75" w:rsidRDefault="00DE777E" w:rsidP="00D11EC7">
            <w:pPr>
              <w:spacing w:line="360" w:lineRule="auto"/>
              <w:rPr>
                <w:rFonts w:ascii="Arial" w:hAnsi="Arial" w:cs="Arial"/>
              </w:rPr>
            </w:pPr>
            <w:r w:rsidRPr="00A65F75">
              <w:rPr>
                <w:rFonts w:ascii="Arial" w:hAnsi="Arial" w:cs="Arial"/>
              </w:rPr>
              <w:t>Emsley et al. (2022)</w:t>
            </w:r>
          </w:p>
        </w:tc>
        <w:tc>
          <w:tcPr>
            <w:tcW w:w="1803" w:type="dxa"/>
          </w:tcPr>
          <w:p w14:paraId="071FD4FA" w14:textId="77777777" w:rsidR="00DE777E" w:rsidRPr="00A65F75" w:rsidRDefault="00DE777E" w:rsidP="00D11EC7">
            <w:pPr>
              <w:spacing w:line="360" w:lineRule="auto"/>
              <w:rPr>
                <w:rFonts w:ascii="Arial" w:hAnsi="Arial" w:cs="Arial"/>
                <w:lang w:val="en-US"/>
              </w:rPr>
            </w:pPr>
            <w:r w:rsidRPr="00A65F75">
              <w:rPr>
                <w:rFonts w:ascii="Arial" w:hAnsi="Arial" w:cs="Arial"/>
              </w:rPr>
              <w:t>Trauma-informed care in the UK: where are we? A qualitative study of health policies and professional perspectives</w:t>
            </w:r>
          </w:p>
        </w:tc>
        <w:tc>
          <w:tcPr>
            <w:tcW w:w="1803" w:type="dxa"/>
          </w:tcPr>
          <w:p w14:paraId="6B3A3676" w14:textId="77777777" w:rsidR="00DE777E" w:rsidRPr="00A65F75" w:rsidRDefault="00DE777E" w:rsidP="00D11EC7">
            <w:pPr>
              <w:spacing w:line="360" w:lineRule="auto"/>
              <w:rPr>
                <w:rFonts w:ascii="Arial" w:hAnsi="Arial" w:cs="Arial"/>
                <w:lang w:val="en-US"/>
              </w:rPr>
            </w:pPr>
            <w:r w:rsidRPr="00A65F75">
              <w:rPr>
                <w:rFonts w:ascii="Arial" w:hAnsi="Arial" w:cs="Arial"/>
                <w:lang w:val="en-US"/>
              </w:rPr>
              <w:t>UK</w:t>
            </w:r>
          </w:p>
        </w:tc>
        <w:tc>
          <w:tcPr>
            <w:tcW w:w="1803" w:type="dxa"/>
          </w:tcPr>
          <w:p w14:paraId="334848B0" w14:textId="77777777" w:rsidR="00DE777E" w:rsidRPr="00A65F75" w:rsidRDefault="00DE777E" w:rsidP="00D11EC7">
            <w:pPr>
              <w:spacing w:line="360" w:lineRule="auto"/>
              <w:rPr>
                <w:rFonts w:ascii="Arial" w:hAnsi="Arial" w:cs="Arial"/>
                <w:lang w:val="en-US"/>
              </w:rPr>
            </w:pPr>
            <w:r w:rsidRPr="00A65F75">
              <w:rPr>
                <w:rFonts w:ascii="Arial" w:hAnsi="Arial" w:cs="Arial"/>
                <w:lang w:val="en-US"/>
              </w:rPr>
              <w:t xml:space="preserve">Mixed-methods combining </w:t>
            </w:r>
            <w:r w:rsidRPr="00A65F75">
              <w:rPr>
                <w:rFonts w:ascii="Arial" w:hAnsi="Arial" w:cs="Arial"/>
              </w:rPr>
              <w:t>policy document analysis and semi-structured interviews</w:t>
            </w:r>
          </w:p>
        </w:tc>
        <w:tc>
          <w:tcPr>
            <w:tcW w:w="1803" w:type="dxa"/>
          </w:tcPr>
          <w:p w14:paraId="771954E3" w14:textId="77777777" w:rsidR="00DE777E" w:rsidRPr="00A65F75" w:rsidRDefault="00DE777E" w:rsidP="00D11EC7">
            <w:pPr>
              <w:spacing w:line="360" w:lineRule="auto"/>
              <w:rPr>
                <w:rFonts w:ascii="Arial" w:hAnsi="Arial" w:cs="Arial"/>
                <w:lang w:val="en-US"/>
              </w:rPr>
            </w:pPr>
            <w:r w:rsidRPr="00A65F75">
              <w:rPr>
                <w:rFonts w:ascii="Arial" w:hAnsi="Arial" w:cs="Arial"/>
              </w:rPr>
              <w:t>24 policy documents on the UK health, 11 professionals working in healthcare organisations and local authorities on trauma-informed initiatives</w:t>
            </w:r>
          </w:p>
        </w:tc>
        <w:tc>
          <w:tcPr>
            <w:tcW w:w="2320" w:type="dxa"/>
          </w:tcPr>
          <w:p w14:paraId="21DA7736" w14:textId="77777777" w:rsidR="00DE777E" w:rsidRPr="00A65F75" w:rsidRDefault="00DE777E" w:rsidP="00D11EC7">
            <w:pPr>
              <w:spacing w:line="360" w:lineRule="auto"/>
              <w:rPr>
                <w:rFonts w:ascii="Arial" w:hAnsi="Arial" w:cs="Arial"/>
                <w:lang w:val="en-US"/>
              </w:rPr>
            </w:pPr>
            <w:r w:rsidRPr="00A65F75">
              <w:rPr>
                <w:rFonts w:ascii="Arial" w:hAnsi="Arial" w:cs="Arial"/>
              </w:rPr>
              <w:t>Findings demonstrated that the use of trauma-informed (TI) methodologies is mentioned extensively in the UK health policies but lacks a national strategy, laws, and funding. It was reported to be implemented scantly, with the most success in Scotland and Wales and a patchier implementation in England. Expert source has indicated organisational variables which influence implementation, such as leadership, culture, service-user involvement, and resource constraints. Greater contextual constraints encompassed lack of governmental support and prioritization. Although the meaning of TI care varies, the participants came to an agreement that the policy direction and funding should be organized to enable the implementation process.</w:t>
            </w:r>
          </w:p>
        </w:tc>
        <w:tc>
          <w:tcPr>
            <w:tcW w:w="2700" w:type="dxa"/>
          </w:tcPr>
          <w:p w14:paraId="551C1813" w14:textId="77777777" w:rsidR="00DE777E" w:rsidRPr="00A65F75" w:rsidRDefault="00DE777E" w:rsidP="00D11EC7">
            <w:pPr>
              <w:spacing w:line="360" w:lineRule="auto"/>
              <w:rPr>
                <w:rFonts w:ascii="Arial" w:hAnsi="Arial" w:cs="Arial"/>
                <w:lang w:val="en-US"/>
              </w:rPr>
            </w:pPr>
            <w:r w:rsidRPr="00A65F75">
              <w:rPr>
                <w:rFonts w:ascii="Arial" w:hAnsi="Arial" w:cs="Arial"/>
              </w:rPr>
              <w:t>The article discusses the integration of trauma-informed practice into the UK health policy and practice. As a closely interconnected factor with trauma exposure, trauma-informed care is one of the primary frameworks of enhancing mental health outcomes in people with childhood adversity. In the case of research that seeks to explore ACEs in marginalised populations in England and Wales, there is no evidence of the differences between the policy support and actual practice in the NHS services. It advocates the need of a more robust national coordination, funding, and training in order to be able to deal with long-term effects of ACEs using trauma-informed systems.</w:t>
            </w:r>
          </w:p>
        </w:tc>
      </w:tr>
      <w:tr w:rsidR="009D1CA9" w:rsidRPr="00A65F75" w14:paraId="2B83407F" w14:textId="77777777" w:rsidTr="00DE777E">
        <w:tc>
          <w:tcPr>
            <w:tcW w:w="1803" w:type="dxa"/>
          </w:tcPr>
          <w:p w14:paraId="3F40537A" w14:textId="77777777" w:rsidR="00DE777E" w:rsidRPr="00A65F75" w:rsidRDefault="00DE777E" w:rsidP="00D11EC7">
            <w:pPr>
              <w:spacing w:line="360" w:lineRule="auto"/>
              <w:rPr>
                <w:rFonts w:ascii="Arial" w:hAnsi="Arial" w:cs="Arial"/>
              </w:rPr>
            </w:pPr>
            <w:r w:rsidRPr="00A65F75">
              <w:rPr>
                <w:rFonts w:ascii="Arial" w:hAnsi="Arial" w:cs="Arial"/>
              </w:rPr>
              <w:t>Nikopaschos et al. (2025)</w:t>
            </w:r>
          </w:p>
        </w:tc>
        <w:tc>
          <w:tcPr>
            <w:tcW w:w="1803" w:type="dxa"/>
          </w:tcPr>
          <w:p w14:paraId="21CF4ABC" w14:textId="77777777" w:rsidR="00DE777E" w:rsidRPr="00A65F75" w:rsidRDefault="00DE777E" w:rsidP="00D11EC7">
            <w:pPr>
              <w:spacing w:line="360" w:lineRule="auto"/>
              <w:rPr>
                <w:rFonts w:ascii="Arial" w:hAnsi="Arial" w:cs="Arial"/>
              </w:rPr>
            </w:pPr>
            <w:r w:rsidRPr="00A65F75">
              <w:rPr>
                <w:rFonts w:ascii="Arial" w:hAnsi="Arial" w:cs="Arial"/>
              </w:rPr>
              <w:t>Trauma-Informed Care on mental health wards: staff and service user perspectives</w:t>
            </w:r>
          </w:p>
        </w:tc>
        <w:tc>
          <w:tcPr>
            <w:tcW w:w="1803" w:type="dxa"/>
          </w:tcPr>
          <w:p w14:paraId="2872D8DA" w14:textId="77777777" w:rsidR="00DE777E" w:rsidRPr="00A65F75" w:rsidRDefault="00DE777E" w:rsidP="00D11EC7">
            <w:pPr>
              <w:spacing w:line="360" w:lineRule="auto"/>
              <w:rPr>
                <w:rFonts w:ascii="Arial" w:hAnsi="Arial" w:cs="Arial"/>
              </w:rPr>
            </w:pPr>
            <w:r w:rsidRPr="00A65F75">
              <w:rPr>
                <w:rFonts w:ascii="Arial" w:hAnsi="Arial" w:cs="Arial"/>
              </w:rPr>
              <w:t>United Kingdom</w:t>
            </w:r>
          </w:p>
        </w:tc>
        <w:tc>
          <w:tcPr>
            <w:tcW w:w="1803" w:type="dxa"/>
          </w:tcPr>
          <w:p w14:paraId="58F5F2C5" w14:textId="77777777" w:rsidR="00DE777E" w:rsidRPr="00A65F75" w:rsidRDefault="00DE777E" w:rsidP="00D11EC7">
            <w:pPr>
              <w:spacing w:line="360" w:lineRule="auto"/>
              <w:rPr>
                <w:rFonts w:ascii="Arial" w:hAnsi="Arial" w:cs="Arial"/>
                <w:lang w:val="en-US"/>
              </w:rPr>
            </w:pPr>
            <w:r w:rsidRPr="00A65F75">
              <w:rPr>
                <w:rFonts w:ascii="Arial" w:hAnsi="Arial" w:cs="Arial"/>
              </w:rPr>
              <w:t>Semi-structured interview and thematic analysis</w:t>
            </w:r>
          </w:p>
        </w:tc>
        <w:tc>
          <w:tcPr>
            <w:tcW w:w="1803" w:type="dxa"/>
          </w:tcPr>
          <w:p w14:paraId="6E6F45A8" w14:textId="77777777" w:rsidR="00DE777E" w:rsidRPr="00A65F75" w:rsidRDefault="00DE777E" w:rsidP="00D11EC7">
            <w:pPr>
              <w:spacing w:line="360" w:lineRule="auto"/>
              <w:rPr>
                <w:rFonts w:ascii="Arial" w:hAnsi="Arial" w:cs="Arial"/>
                <w:lang w:val="en-US"/>
              </w:rPr>
            </w:pPr>
            <w:r w:rsidRPr="00A65F75">
              <w:rPr>
                <w:rFonts w:ascii="Arial" w:hAnsi="Arial" w:cs="Arial"/>
              </w:rPr>
              <w:t>15 respondents, 7 staff members and 8 service users in an NHS adult acute inpatient mental health facility</w:t>
            </w:r>
          </w:p>
        </w:tc>
        <w:tc>
          <w:tcPr>
            <w:tcW w:w="2320" w:type="dxa"/>
          </w:tcPr>
          <w:p w14:paraId="3DD032EB" w14:textId="77777777" w:rsidR="00DE777E" w:rsidRPr="00A65F75" w:rsidRDefault="00DE777E" w:rsidP="00D11EC7">
            <w:pPr>
              <w:spacing w:line="360" w:lineRule="auto"/>
              <w:rPr>
                <w:rFonts w:ascii="Arial" w:hAnsi="Arial" w:cs="Arial"/>
                <w:lang w:val="en-US"/>
              </w:rPr>
            </w:pPr>
            <w:r w:rsidRPr="00A65F75">
              <w:rPr>
                <w:rFonts w:ascii="Arial" w:hAnsi="Arial" w:cs="Arial"/>
              </w:rPr>
              <w:t>It was concluded that the adoption of trauma-informed care (TIC) practices led to better knowledge of the service users’ psychological challenges by hospital staff and a more empathetic attitude to distress. Employees noted that knowledge was increased and engagement and clinical practice were altered, but organisational constraints like resource limitation were still present. Psychological stabilisation resource was reported as beneficial by the service users and also led to acquisition of coping strategies and analysis of their experiences. Altogether, TIC helped to enhance therapeutic relationships and encouraged recovery, which supported the previous studies that indicated that the intervention minimized self-harm and restraining behaviours on mental health wards.</w:t>
            </w:r>
          </w:p>
        </w:tc>
        <w:tc>
          <w:tcPr>
            <w:tcW w:w="2700" w:type="dxa"/>
          </w:tcPr>
          <w:p w14:paraId="773E48FE" w14:textId="77777777" w:rsidR="00DE777E" w:rsidRPr="00A65F75" w:rsidRDefault="00DE777E" w:rsidP="00D11EC7">
            <w:pPr>
              <w:spacing w:line="360" w:lineRule="auto"/>
              <w:rPr>
                <w:rFonts w:ascii="Arial" w:hAnsi="Arial" w:cs="Arial"/>
                <w:lang w:val="en-US"/>
              </w:rPr>
            </w:pPr>
            <w:r w:rsidRPr="00A65F75">
              <w:rPr>
                <w:rFonts w:ascii="Arial" w:hAnsi="Arial" w:cs="Arial"/>
              </w:rPr>
              <w:t xml:space="preserve">The study illustrates how trauma-informed care can enhance the services to trauma and adversity history individuals in NHS mental health services. The ACEs are closely associated with the psychological distress in the long-term perspective so the deployment of trauma-informed care can enhance the relationships and treatment outcomes of the affected communities. </w:t>
            </w:r>
          </w:p>
        </w:tc>
      </w:tr>
      <w:tr w:rsidR="009D1CA9" w:rsidRPr="00A65F75" w14:paraId="373676BC" w14:textId="77777777" w:rsidTr="00DE777E">
        <w:tc>
          <w:tcPr>
            <w:tcW w:w="1803" w:type="dxa"/>
          </w:tcPr>
          <w:p w14:paraId="654E044D" w14:textId="77777777" w:rsidR="00DE777E" w:rsidRPr="00A65F75" w:rsidRDefault="00DE777E" w:rsidP="00D11EC7">
            <w:pPr>
              <w:spacing w:line="360" w:lineRule="auto"/>
              <w:rPr>
                <w:rFonts w:ascii="Arial" w:hAnsi="Arial" w:cs="Arial"/>
              </w:rPr>
            </w:pPr>
            <w:r w:rsidRPr="00A65F75">
              <w:rPr>
                <w:rFonts w:ascii="Arial" w:hAnsi="Arial" w:cs="Arial"/>
              </w:rPr>
              <w:t>McNally</w:t>
            </w:r>
            <w:r w:rsidRPr="00A65F75">
              <w:rPr>
                <w:rFonts w:ascii="Arial" w:hAnsi="Arial" w:cs="Arial"/>
                <w:lang w:val="en-US"/>
              </w:rPr>
              <w:t xml:space="preserve"> et al. </w:t>
            </w:r>
            <w:r w:rsidRPr="00A65F75">
              <w:rPr>
                <w:rFonts w:ascii="Arial" w:hAnsi="Arial" w:cs="Arial"/>
              </w:rPr>
              <w:t>(2023)</w:t>
            </w:r>
          </w:p>
        </w:tc>
        <w:tc>
          <w:tcPr>
            <w:tcW w:w="1803" w:type="dxa"/>
          </w:tcPr>
          <w:p w14:paraId="7D07F8B4" w14:textId="77777777" w:rsidR="00DE777E" w:rsidRPr="00A65F75" w:rsidRDefault="00DE777E" w:rsidP="00D11EC7">
            <w:pPr>
              <w:spacing w:line="360" w:lineRule="auto"/>
              <w:rPr>
                <w:rFonts w:ascii="Arial" w:hAnsi="Arial" w:cs="Arial"/>
              </w:rPr>
            </w:pPr>
            <w:r w:rsidRPr="00A65F75">
              <w:rPr>
                <w:rFonts w:ascii="Arial" w:hAnsi="Arial" w:cs="Arial"/>
              </w:rPr>
              <w:t>The ongoing importance of the routine enquiry into trauma and abuse and trauma</w:t>
            </w:r>
            <w:r w:rsidRPr="00A65F75">
              <w:rPr>
                <w:rFonts w:ascii="Cambria Math" w:hAnsi="Cambria Math" w:cs="Cambria Math"/>
              </w:rPr>
              <w:t>‐</w:t>
            </w:r>
            <w:r w:rsidRPr="00A65F75">
              <w:rPr>
                <w:rFonts w:ascii="Arial" w:hAnsi="Arial" w:cs="Arial"/>
              </w:rPr>
              <w:t>informed care within mental health trusts in England</w:t>
            </w:r>
          </w:p>
        </w:tc>
        <w:tc>
          <w:tcPr>
            <w:tcW w:w="1803" w:type="dxa"/>
          </w:tcPr>
          <w:p w14:paraId="35DCFF76" w14:textId="77777777" w:rsidR="00DE777E" w:rsidRPr="00A65F75" w:rsidRDefault="00DE777E" w:rsidP="00D11EC7">
            <w:pPr>
              <w:spacing w:line="360" w:lineRule="auto"/>
              <w:rPr>
                <w:rFonts w:ascii="Arial" w:hAnsi="Arial" w:cs="Arial"/>
                <w:lang w:val="en-US"/>
              </w:rPr>
            </w:pPr>
            <w:r w:rsidRPr="00A65F75">
              <w:rPr>
                <w:rFonts w:ascii="Arial" w:hAnsi="Arial" w:cs="Arial"/>
                <w:lang w:val="en-US"/>
              </w:rPr>
              <w:t>England, UK</w:t>
            </w:r>
          </w:p>
        </w:tc>
        <w:tc>
          <w:tcPr>
            <w:tcW w:w="1803" w:type="dxa"/>
          </w:tcPr>
          <w:p w14:paraId="7A412542" w14:textId="77777777" w:rsidR="00DE777E" w:rsidRPr="00A65F75" w:rsidRDefault="00DE777E" w:rsidP="00D11EC7">
            <w:pPr>
              <w:spacing w:line="360" w:lineRule="auto"/>
              <w:rPr>
                <w:rFonts w:ascii="Arial" w:hAnsi="Arial" w:cs="Arial"/>
                <w:lang w:val="en-US"/>
              </w:rPr>
            </w:pPr>
            <w:r w:rsidRPr="00A65F75">
              <w:rPr>
                <w:rFonts w:ascii="Arial" w:hAnsi="Arial" w:cs="Arial"/>
              </w:rPr>
              <w:t>Cross-sectional descriptive study using Freedom of Information requests</w:t>
            </w:r>
          </w:p>
        </w:tc>
        <w:tc>
          <w:tcPr>
            <w:tcW w:w="1803" w:type="dxa"/>
          </w:tcPr>
          <w:p w14:paraId="303F5B8D" w14:textId="77777777" w:rsidR="00DE777E" w:rsidRPr="00A65F75" w:rsidRDefault="00DE777E" w:rsidP="00D11EC7">
            <w:pPr>
              <w:spacing w:line="360" w:lineRule="auto"/>
              <w:rPr>
                <w:rFonts w:ascii="Arial" w:hAnsi="Arial" w:cs="Arial"/>
                <w:lang w:val="en-US"/>
              </w:rPr>
            </w:pPr>
            <w:r w:rsidRPr="00A65F75">
              <w:rPr>
                <w:rFonts w:ascii="Arial" w:hAnsi="Arial" w:cs="Arial"/>
              </w:rPr>
              <w:t>52 mental health trusts</w:t>
            </w:r>
          </w:p>
        </w:tc>
        <w:tc>
          <w:tcPr>
            <w:tcW w:w="2320" w:type="dxa"/>
          </w:tcPr>
          <w:p w14:paraId="09A7EC65" w14:textId="77777777" w:rsidR="00DE777E" w:rsidRPr="00A65F75" w:rsidRDefault="00DE777E" w:rsidP="00D11EC7">
            <w:pPr>
              <w:spacing w:line="360" w:lineRule="auto"/>
              <w:rPr>
                <w:rFonts w:ascii="Arial" w:hAnsi="Arial" w:cs="Arial"/>
                <w:lang w:val="en-US"/>
              </w:rPr>
            </w:pPr>
            <w:r w:rsidRPr="00A65F75">
              <w:rPr>
                <w:rFonts w:ascii="Arial" w:hAnsi="Arial" w:cs="Arial"/>
              </w:rPr>
              <w:t>It was established that 70% of mental health trusts indicated that they had no trauma-informed care training for staff. Although it has long been advised that routine inquiry about trauma and abuse is undertaken, most trusts did not have the resources or structured programmes to assist MHPs in making sensitive enquiries and be able to respond to disclosures. Such training lapse can lead to lack of coherent practice and lead to re-traumatisation of service users. The paper demonstrates that there is an urgent need to develop a structured TIC training at trusts to guarantee safe, responsive, and evidence-based mental health care.</w:t>
            </w:r>
          </w:p>
        </w:tc>
        <w:tc>
          <w:tcPr>
            <w:tcW w:w="2700" w:type="dxa"/>
          </w:tcPr>
          <w:p w14:paraId="0A248CB3" w14:textId="77777777" w:rsidR="00DE777E" w:rsidRPr="00A65F75" w:rsidRDefault="00DE777E" w:rsidP="00D11EC7">
            <w:pPr>
              <w:spacing w:line="360" w:lineRule="auto"/>
              <w:rPr>
                <w:rFonts w:ascii="Arial" w:hAnsi="Arial" w:cs="Arial"/>
                <w:lang w:val="en-US"/>
              </w:rPr>
            </w:pPr>
            <w:r w:rsidRPr="00A65F75">
              <w:rPr>
                <w:rFonts w:ascii="Arial" w:hAnsi="Arial" w:cs="Arial"/>
              </w:rPr>
              <w:t>The article pinpoints critical gaps in the training of mental health professionals in trauma-informed care, which is directly associated with the successful support of people with ACEs. In a study to examine how ACEs may affect mental health in adulthood in England, the results indicate the significance of staff education on routine enquiry, trauma sensitive communication as well as responsive interventions. By improving TIC delivery in mental health care services, patient safety, re-traumatisation, and recovery can be improved to benefit populations that experienced adversity in childhood.</w:t>
            </w:r>
          </w:p>
        </w:tc>
      </w:tr>
      <w:tr w:rsidR="009D1CA9" w:rsidRPr="00A65F75" w14:paraId="1A31CCD7" w14:textId="77777777" w:rsidTr="00DE777E">
        <w:tc>
          <w:tcPr>
            <w:tcW w:w="1803" w:type="dxa"/>
          </w:tcPr>
          <w:p w14:paraId="3F75DD9E" w14:textId="77777777" w:rsidR="00DE777E" w:rsidRPr="00A65F75" w:rsidRDefault="00DE777E" w:rsidP="00D11EC7">
            <w:pPr>
              <w:spacing w:line="360" w:lineRule="auto"/>
              <w:rPr>
                <w:rFonts w:ascii="Arial" w:hAnsi="Arial" w:cs="Arial"/>
                <w:lang w:val="en-US"/>
              </w:rPr>
            </w:pPr>
            <w:r w:rsidRPr="00A65F75">
              <w:rPr>
                <w:rFonts w:ascii="Arial" w:hAnsi="Arial" w:cs="Arial"/>
              </w:rPr>
              <w:t>Farr</w:t>
            </w:r>
            <w:r w:rsidRPr="00A65F75">
              <w:rPr>
                <w:rFonts w:ascii="Arial" w:hAnsi="Arial" w:cs="Arial"/>
                <w:lang w:val="en-US"/>
              </w:rPr>
              <w:t xml:space="preserve"> et al. (2025)</w:t>
            </w:r>
          </w:p>
        </w:tc>
        <w:tc>
          <w:tcPr>
            <w:tcW w:w="1803" w:type="dxa"/>
          </w:tcPr>
          <w:p w14:paraId="27C3CFA4" w14:textId="77777777" w:rsidR="00DE777E" w:rsidRPr="00A65F75" w:rsidRDefault="00DE777E" w:rsidP="00D11EC7">
            <w:pPr>
              <w:spacing w:line="360" w:lineRule="auto"/>
              <w:rPr>
                <w:rFonts w:ascii="Arial" w:hAnsi="Arial" w:cs="Arial"/>
                <w:lang w:val="en-US"/>
              </w:rPr>
            </w:pPr>
            <w:r w:rsidRPr="00A65F75">
              <w:rPr>
                <w:rFonts w:ascii="Arial" w:hAnsi="Arial" w:cs="Arial"/>
              </w:rPr>
              <w:t>Implementing trauma-informed practice across services to support people experiencing multiple disadvantage: a mixed method study</w:t>
            </w:r>
          </w:p>
        </w:tc>
        <w:tc>
          <w:tcPr>
            <w:tcW w:w="1803" w:type="dxa"/>
          </w:tcPr>
          <w:p w14:paraId="1E0186DE" w14:textId="77777777" w:rsidR="00DE777E" w:rsidRPr="00A65F75" w:rsidRDefault="00DE777E" w:rsidP="00D11EC7">
            <w:pPr>
              <w:spacing w:line="360" w:lineRule="auto"/>
              <w:rPr>
                <w:rFonts w:ascii="Arial" w:hAnsi="Arial" w:cs="Arial"/>
              </w:rPr>
            </w:pPr>
            <w:r w:rsidRPr="00A65F75">
              <w:rPr>
                <w:rFonts w:ascii="Arial" w:hAnsi="Arial" w:cs="Arial"/>
              </w:rPr>
              <w:t>Bristol, UK</w:t>
            </w:r>
          </w:p>
        </w:tc>
        <w:tc>
          <w:tcPr>
            <w:tcW w:w="1803" w:type="dxa"/>
          </w:tcPr>
          <w:p w14:paraId="3B9FC6A5" w14:textId="77777777" w:rsidR="00DE777E" w:rsidRPr="00A65F75" w:rsidRDefault="00DE777E" w:rsidP="00D11EC7">
            <w:pPr>
              <w:spacing w:line="360" w:lineRule="auto"/>
              <w:rPr>
                <w:rFonts w:ascii="Arial" w:hAnsi="Arial" w:cs="Arial"/>
                <w:lang w:val="en-US"/>
              </w:rPr>
            </w:pPr>
            <w:r w:rsidRPr="00A65F75">
              <w:rPr>
                <w:rFonts w:ascii="Arial" w:hAnsi="Arial" w:cs="Arial"/>
              </w:rPr>
              <w:t>Participatory action research based on mixed methods</w:t>
            </w:r>
          </w:p>
        </w:tc>
        <w:tc>
          <w:tcPr>
            <w:tcW w:w="1803" w:type="dxa"/>
          </w:tcPr>
          <w:p w14:paraId="7B94732B" w14:textId="77777777" w:rsidR="00DE777E" w:rsidRPr="00A65F75" w:rsidRDefault="00DE777E" w:rsidP="00D11EC7">
            <w:pPr>
              <w:spacing w:line="360" w:lineRule="auto"/>
              <w:rPr>
                <w:rFonts w:ascii="Arial" w:hAnsi="Arial" w:cs="Arial"/>
                <w:lang w:val="en-US"/>
              </w:rPr>
            </w:pPr>
            <w:r w:rsidRPr="00A65F75">
              <w:rPr>
                <w:rFonts w:ascii="Arial" w:hAnsi="Arial" w:cs="Arial"/>
              </w:rPr>
              <w:t>117 staff took part in surveys (out of which 30 followed up one year later) and 23 staff were interviewed</w:t>
            </w:r>
          </w:p>
        </w:tc>
        <w:tc>
          <w:tcPr>
            <w:tcW w:w="2320" w:type="dxa"/>
          </w:tcPr>
          <w:p w14:paraId="0913208D" w14:textId="77777777" w:rsidR="00DE777E" w:rsidRPr="00A65F75" w:rsidRDefault="00DE777E" w:rsidP="00D11EC7">
            <w:pPr>
              <w:spacing w:line="360" w:lineRule="auto"/>
              <w:rPr>
                <w:rFonts w:ascii="Arial" w:hAnsi="Arial" w:cs="Arial"/>
                <w:lang w:val="en-US"/>
              </w:rPr>
            </w:pPr>
            <w:r w:rsidRPr="00A65F75">
              <w:rPr>
                <w:rFonts w:ascii="Arial" w:hAnsi="Arial" w:cs="Arial"/>
              </w:rPr>
              <w:t>The study concluded a movement towards trauma-informed approaches in services, with insignificant change in one year. Barriers were linked to short-term funding, lack of security in contracts, retention of employees, vicarious trauma and organisational demands to achieve targets. The engagement of the staff depended on trust, transparency, and psychological safety, with 73% experiencing lived experience of traumas or multiple disadvantage. At individual, organisational and system level, long-term, joint strategies are required which are reinforced by consistent funding, worker support and multi-sectoral cooperation to entrench trauma-informed practice successfully.</w:t>
            </w:r>
          </w:p>
        </w:tc>
        <w:tc>
          <w:tcPr>
            <w:tcW w:w="2700" w:type="dxa"/>
          </w:tcPr>
          <w:p w14:paraId="3DD4724D" w14:textId="77777777" w:rsidR="00DE777E" w:rsidRPr="00A65F75" w:rsidRDefault="00DE777E" w:rsidP="00D11EC7">
            <w:pPr>
              <w:spacing w:line="360" w:lineRule="auto"/>
              <w:rPr>
                <w:rFonts w:ascii="Arial" w:hAnsi="Arial" w:cs="Arial"/>
                <w:lang w:val="en-US"/>
              </w:rPr>
            </w:pPr>
            <w:r w:rsidRPr="00A65F75">
              <w:rPr>
                <w:rFonts w:ascii="Arial" w:hAnsi="Arial" w:cs="Arial"/>
              </w:rPr>
              <w:t>This study underscores the significance of organisational and systemic elements in adopting trauma-informed care, which is applicable in the context of studying the effects of the ACEs and trauma on the outcomes of adult mental health. It proves that the individual-based interventions cannot exist without supporting systems, leadership, and wellbeing of the staff. In the UK context, research about ACE-informed practice highlights the necessity of stable, highly funded and collaborative services in order to provide environments in which staff and clients affected by childhood adversity can be supported to build resilience, recovery, and sustainable trauma-informed practice.</w:t>
            </w:r>
          </w:p>
        </w:tc>
      </w:tr>
      <w:tr w:rsidR="00210D27" w:rsidRPr="00A65F75" w14:paraId="7435A945" w14:textId="77777777" w:rsidTr="00DE777E">
        <w:tc>
          <w:tcPr>
            <w:tcW w:w="1803" w:type="dxa"/>
          </w:tcPr>
          <w:p w14:paraId="038C17EB" w14:textId="77777777" w:rsidR="00DE777E" w:rsidRPr="00A65F75" w:rsidRDefault="00DE777E" w:rsidP="00D11EC7">
            <w:pPr>
              <w:spacing w:line="360" w:lineRule="auto"/>
              <w:rPr>
                <w:rFonts w:ascii="Arial" w:hAnsi="Arial" w:cs="Arial"/>
                <w:lang w:val="en-US"/>
              </w:rPr>
            </w:pPr>
            <w:r w:rsidRPr="00A65F75">
              <w:rPr>
                <w:rFonts w:ascii="Arial" w:hAnsi="Arial" w:cs="Arial"/>
              </w:rPr>
              <w:t>Bellis</w:t>
            </w:r>
            <w:r w:rsidRPr="00A65F75">
              <w:rPr>
                <w:rFonts w:ascii="Arial" w:hAnsi="Arial" w:cs="Arial"/>
                <w:lang w:val="en-US"/>
              </w:rPr>
              <w:t xml:space="preserve"> et al. (2024)</w:t>
            </w:r>
          </w:p>
        </w:tc>
        <w:tc>
          <w:tcPr>
            <w:tcW w:w="1803" w:type="dxa"/>
          </w:tcPr>
          <w:p w14:paraId="307E549C" w14:textId="77777777" w:rsidR="00DE777E" w:rsidRPr="00A65F75" w:rsidRDefault="00DE777E" w:rsidP="00D11EC7">
            <w:pPr>
              <w:spacing w:line="360" w:lineRule="auto"/>
              <w:rPr>
                <w:rFonts w:ascii="Arial" w:hAnsi="Arial" w:cs="Arial"/>
              </w:rPr>
            </w:pPr>
            <w:r w:rsidRPr="00A65F75">
              <w:rPr>
                <w:rFonts w:ascii="Arial" w:hAnsi="Arial" w:cs="Arial"/>
              </w:rPr>
              <w:t>Associations between adverse childhood experiences and trust in health and other information from public services, professionals and wider sources: national cross sectional survey</w:t>
            </w:r>
          </w:p>
        </w:tc>
        <w:tc>
          <w:tcPr>
            <w:tcW w:w="1803" w:type="dxa"/>
          </w:tcPr>
          <w:p w14:paraId="7980AE06" w14:textId="77777777" w:rsidR="00DE777E" w:rsidRPr="00A65F75" w:rsidRDefault="00DE777E" w:rsidP="00D11EC7">
            <w:pPr>
              <w:spacing w:line="360" w:lineRule="auto"/>
              <w:rPr>
                <w:rFonts w:ascii="Arial" w:hAnsi="Arial" w:cs="Arial"/>
                <w:lang w:val="en-US"/>
              </w:rPr>
            </w:pPr>
            <w:r w:rsidRPr="00A65F75">
              <w:rPr>
                <w:rFonts w:ascii="Arial" w:hAnsi="Arial" w:cs="Arial"/>
                <w:lang w:val="en-US"/>
              </w:rPr>
              <w:t>Wales, UK</w:t>
            </w:r>
          </w:p>
        </w:tc>
        <w:tc>
          <w:tcPr>
            <w:tcW w:w="1803" w:type="dxa"/>
          </w:tcPr>
          <w:p w14:paraId="58A115B6" w14:textId="77777777" w:rsidR="00DE777E" w:rsidRPr="00A65F75" w:rsidRDefault="00DE777E" w:rsidP="00D11EC7">
            <w:pPr>
              <w:spacing w:line="360" w:lineRule="auto"/>
              <w:rPr>
                <w:rFonts w:ascii="Arial" w:hAnsi="Arial" w:cs="Arial"/>
                <w:lang w:val="en-US"/>
              </w:rPr>
            </w:pPr>
            <w:r w:rsidRPr="00A65F75">
              <w:rPr>
                <w:rFonts w:ascii="Arial" w:hAnsi="Arial" w:cs="Arial"/>
              </w:rPr>
              <w:t>Cross-sectional national survey</w:t>
            </w:r>
          </w:p>
        </w:tc>
        <w:tc>
          <w:tcPr>
            <w:tcW w:w="1803" w:type="dxa"/>
          </w:tcPr>
          <w:p w14:paraId="36CAD8EF" w14:textId="77777777" w:rsidR="00DE777E" w:rsidRPr="00A65F75" w:rsidRDefault="00DE777E" w:rsidP="00D11EC7">
            <w:pPr>
              <w:spacing w:line="360" w:lineRule="auto"/>
              <w:rPr>
                <w:rFonts w:ascii="Arial" w:hAnsi="Arial" w:cs="Arial"/>
                <w:lang w:val="en-US"/>
              </w:rPr>
            </w:pPr>
            <w:r w:rsidRPr="00A65F75">
              <w:rPr>
                <w:rFonts w:ascii="Arial" w:hAnsi="Arial" w:cs="Arial"/>
                <w:lang w:val="en-US"/>
              </w:rPr>
              <w:t xml:space="preserve">A </w:t>
            </w:r>
            <w:r w:rsidRPr="00A65F75">
              <w:rPr>
                <w:rFonts w:ascii="Arial" w:hAnsi="Arial" w:cs="Arial"/>
              </w:rPr>
              <w:t xml:space="preserve">survey of 1,880 adults aged </w:t>
            </w:r>
            <w:r w:rsidRPr="00A65F75">
              <w:rPr>
                <w:rFonts w:ascii="Arial" w:hAnsi="Arial" w:cs="Arial"/>
                <w:lang w:val="en-US"/>
              </w:rPr>
              <w:t>1</w:t>
            </w:r>
            <w:r w:rsidRPr="00A65F75">
              <w:rPr>
                <w:rFonts w:ascii="Arial" w:hAnsi="Arial" w:cs="Arial"/>
              </w:rPr>
              <w:t>8 years</w:t>
            </w:r>
            <w:r w:rsidRPr="00A65F75">
              <w:rPr>
                <w:rFonts w:ascii="Arial" w:hAnsi="Arial" w:cs="Arial"/>
                <w:lang w:val="en-US"/>
              </w:rPr>
              <w:t xml:space="preserve"> and above</w:t>
            </w:r>
          </w:p>
        </w:tc>
        <w:tc>
          <w:tcPr>
            <w:tcW w:w="2320" w:type="dxa"/>
          </w:tcPr>
          <w:p w14:paraId="1EF11F4B" w14:textId="77777777" w:rsidR="00DE777E" w:rsidRPr="00A65F75" w:rsidRDefault="00DE777E" w:rsidP="00D11EC7">
            <w:pPr>
              <w:spacing w:line="360" w:lineRule="auto"/>
              <w:rPr>
                <w:rFonts w:ascii="Arial" w:hAnsi="Arial" w:cs="Arial"/>
                <w:lang w:val="en-US"/>
              </w:rPr>
            </w:pPr>
            <w:r w:rsidRPr="00A65F75">
              <w:rPr>
                <w:rFonts w:ascii="Arial" w:hAnsi="Arial" w:cs="Arial"/>
              </w:rPr>
              <w:t>Findings established that ACE exposure was linked to a lack of trust in health services (GPs, hospital doctors, nurses, pharmacists, NHS 111) and broader entities such as police, government, and charities. The level of low trust rose with the number of ACEs- as low trust in government grew 48.4% (0 ACEs) and 73.7% (ore 4 ACEs). Equally, there were reduced credibility of TV/radio and social media information with ACEs. These results indicate ACEs as the determinants of the hindrance in the access to services and adoption of the public health guidance.</w:t>
            </w:r>
          </w:p>
        </w:tc>
        <w:tc>
          <w:tcPr>
            <w:tcW w:w="2700" w:type="dxa"/>
          </w:tcPr>
          <w:p w14:paraId="234A4B40" w14:textId="77777777" w:rsidR="00DE777E" w:rsidRPr="00A65F75" w:rsidRDefault="00DE777E" w:rsidP="00D11EC7">
            <w:pPr>
              <w:spacing w:line="360" w:lineRule="auto"/>
              <w:rPr>
                <w:rFonts w:ascii="Arial" w:hAnsi="Arial" w:cs="Arial"/>
                <w:lang w:val="en-US"/>
              </w:rPr>
            </w:pPr>
            <w:r w:rsidRPr="00A65F75">
              <w:rPr>
                <w:rFonts w:ascii="Arial" w:hAnsi="Arial" w:cs="Arial"/>
              </w:rPr>
              <w:t xml:space="preserve">This study affirms that adults with ACEs poorly use health and social services because of the reduced levels of institutional trust which can reinstate health disparities. In the case of studies dedicated to the trauma-informed care and ACE-informed practice, it is important to comprehend the mechanisms of trust to develop accessible, acceptable, and effective interventions. </w:t>
            </w:r>
          </w:p>
        </w:tc>
      </w:tr>
    </w:tbl>
    <w:p w14:paraId="49AB9FCC" w14:textId="77777777" w:rsidR="00DE777E" w:rsidRPr="00A65F75" w:rsidRDefault="00DE777E" w:rsidP="00D11EC7">
      <w:pPr>
        <w:spacing w:line="360" w:lineRule="auto"/>
        <w:rPr>
          <w:rFonts w:ascii="Arial" w:hAnsi="Arial" w:cs="Arial"/>
          <w:lang w:val="en-US"/>
        </w:rPr>
      </w:pPr>
    </w:p>
    <w:p w14:paraId="332491C7" w14:textId="77777777" w:rsidR="00D81148" w:rsidRPr="00A65F75" w:rsidRDefault="00D81148" w:rsidP="00D11EC7">
      <w:pPr>
        <w:spacing w:line="360" w:lineRule="auto"/>
        <w:ind w:left="720" w:hanging="720"/>
        <w:rPr>
          <w:rFonts w:ascii="Arial" w:hAnsi="Arial" w:cs="Arial"/>
        </w:rPr>
        <w:sectPr w:rsidR="00D81148" w:rsidRPr="00A65F75" w:rsidSect="00DE777E">
          <w:pgSz w:w="16838" w:h="11906" w:orient="landscape"/>
          <w:pgMar w:top="1440" w:right="1440" w:bottom="1440" w:left="1440" w:header="708" w:footer="708" w:gutter="0"/>
          <w:cols w:space="708"/>
          <w:titlePg/>
          <w:docGrid w:linePitch="360"/>
        </w:sectPr>
      </w:pPr>
    </w:p>
    <w:p w14:paraId="59186BB1" w14:textId="21D88060" w:rsidR="00DE777E" w:rsidRPr="00A65F75" w:rsidRDefault="00D81148" w:rsidP="00D11EC7">
      <w:pPr>
        <w:pStyle w:val="Heading2"/>
        <w:spacing w:line="360" w:lineRule="auto"/>
        <w:rPr>
          <w:rFonts w:cs="Arial"/>
          <w:sz w:val="22"/>
          <w:szCs w:val="22"/>
        </w:rPr>
      </w:pPr>
      <w:bookmarkStart w:id="75" w:name="_Toc225676748"/>
      <w:r w:rsidRPr="00A65F75">
        <w:rPr>
          <w:rFonts w:cs="Arial"/>
          <w:sz w:val="22"/>
          <w:szCs w:val="22"/>
        </w:rPr>
        <w:t>Appendix 2</w:t>
      </w:r>
      <w:r w:rsidR="000D584E" w:rsidRPr="00A65F75">
        <w:rPr>
          <w:rFonts w:cs="Arial"/>
          <w:sz w:val="22"/>
          <w:szCs w:val="22"/>
        </w:rPr>
        <w:t xml:space="preserve"> PRISMA chart</w:t>
      </w:r>
      <w:bookmarkEnd w:id="75"/>
    </w:p>
    <w:p w14:paraId="6E14A7C0" w14:textId="77777777" w:rsidR="000D584E" w:rsidRPr="009D1CA9" w:rsidRDefault="000D584E" w:rsidP="00D11EC7">
      <w:pPr>
        <w:spacing w:line="360" w:lineRule="auto"/>
        <w:rPr>
          <w:rFonts w:ascii="Arial" w:hAnsi="Arial" w:cs="Arial"/>
          <w:b/>
          <w:bCs/>
        </w:rPr>
      </w:pPr>
      <w:r w:rsidRPr="00A65F75">
        <w:rPr>
          <w:rFonts w:ascii="Arial" w:hAnsi="Arial" w:cs="Arial"/>
          <w:noProof/>
        </w:rPr>
        <mc:AlternateContent>
          <mc:Choice Requires="wpg">
            <w:drawing>
              <wp:anchor distT="0" distB="0" distL="114300" distR="114300" simplePos="0" relativeHeight="251659264" behindDoc="0" locked="0" layoutInCell="1" allowOverlap="1" wp14:anchorId="05C4C5B9" wp14:editId="68E20E77">
                <wp:simplePos x="0" y="0"/>
                <wp:positionH relativeFrom="margin">
                  <wp:posOffset>219075</wp:posOffset>
                </wp:positionH>
                <wp:positionV relativeFrom="paragraph">
                  <wp:posOffset>4445</wp:posOffset>
                </wp:positionV>
                <wp:extent cx="4841875" cy="5838825"/>
                <wp:effectExtent l="0" t="0" r="15875" b="28575"/>
                <wp:wrapNone/>
                <wp:docPr id="1917677254" name="Group 22"/>
                <wp:cNvGraphicFramePr/>
                <a:graphic xmlns:a="http://schemas.openxmlformats.org/drawingml/2006/main">
                  <a:graphicData uri="http://schemas.microsoft.com/office/word/2010/wordprocessingGroup">
                    <wpg:wgp>
                      <wpg:cNvGrpSpPr/>
                      <wpg:grpSpPr>
                        <a:xfrm>
                          <a:off x="0" y="0"/>
                          <a:ext cx="4841875" cy="5838825"/>
                          <a:chOff x="0" y="0"/>
                          <a:chExt cx="4842349" cy="5839301"/>
                        </a:xfrm>
                      </wpg:grpSpPr>
                      <wps:wsp>
                        <wps:cNvPr id="1011255600" name="Rectangle 1011255600"/>
                        <wps:cNvSpPr/>
                        <wps:spPr>
                          <a:xfrm>
                            <a:off x="459534" y="371445"/>
                            <a:ext cx="1887220" cy="14478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9A2105"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48F16D98" w14:textId="1F862F98" w:rsidR="000D584E" w:rsidRDefault="002E031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CINAHL</w:t>
                              </w:r>
                              <w:r w:rsidR="000D584E">
                                <w:rPr>
                                  <w:rFonts w:ascii="Arial" w:hAnsi="Arial" w:cs="Arial"/>
                                  <w:color w:val="000000" w:themeColor="text1"/>
                                  <w:sz w:val="18"/>
                                  <w:szCs w:val="20"/>
                                </w:rPr>
                                <w:t xml:space="preserve"> (n = </w:t>
                              </w:r>
                              <w:r w:rsidR="00DE2A9C">
                                <w:rPr>
                                  <w:rFonts w:ascii="Arial" w:hAnsi="Arial" w:cs="Arial"/>
                                  <w:color w:val="000000" w:themeColor="text1"/>
                                  <w:sz w:val="18"/>
                                  <w:szCs w:val="20"/>
                                </w:rPr>
                                <w:t>3</w:t>
                              </w:r>
                              <w:r w:rsidR="000D584E">
                                <w:rPr>
                                  <w:rFonts w:ascii="Arial" w:hAnsi="Arial" w:cs="Arial"/>
                                  <w:color w:val="000000" w:themeColor="text1"/>
                                  <w:sz w:val="18"/>
                                  <w:szCs w:val="20"/>
                                </w:rPr>
                                <w:t>43)</w:t>
                              </w:r>
                            </w:p>
                            <w:p w14:paraId="71064392" w14:textId="2213DADF" w:rsidR="000D584E" w:rsidRDefault="002E031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MEDLINE </w:t>
                              </w:r>
                              <w:r w:rsidR="000D584E">
                                <w:rPr>
                                  <w:rFonts w:ascii="Arial" w:hAnsi="Arial" w:cs="Arial"/>
                                  <w:color w:val="000000" w:themeColor="text1"/>
                                  <w:sz w:val="18"/>
                                  <w:szCs w:val="20"/>
                                </w:rPr>
                                <w:t>(n = 2</w:t>
                              </w:r>
                              <w:r w:rsidR="00F80B63">
                                <w:rPr>
                                  <w:rFonts w:ascii="Arial" w:hAnsi="Arial" w:cs="Arial"/>
                                  <w:color w:val="000000" w:themeColor="text1"/>
                                  <w:sz w:val="18"/>
                                  <w:szCs w:val="20"/>
                                </w:rPr>
                                <w:t>1</w:t>
                              </w:r>
                              <w:r w:rsidR="000D584E">
                                <w:rPr>
                                  <w:rFonts w:ascii="Arial" w:hAnsi="Arial" w:cs="Arial"/>
                                  <w:color w:val="000000" w:themeColor="text1"/>
                                  <w:sz w:val="18"/>
                                  <w:szCs w:val="20"/>
                                </w:rPr>
                                <w:t>9)</w:t>
                              </w:r>
                            </w:p>
                            <w:p w14:paraId="185B32B3" w14:textId="3E989F04" w:rsidR="000D584E" w:rsidRPr="00560609" w:rsidRDefault="002E031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UWTSD </w:t>
                              </w:r>
                              <w:r w:rsidR="000D584E">
                                <w:rPr>
                                  <w:rFonts w:ascii="Arial" w:hAnsi="Arial" w:cs="Arial"/>
                                  <w:color w:val="000000" w:themeColor="text1"/>
                                  <w:sz w:val="18"/>
                                  <w:szCs w:val="20"/>
                                </w:rPr>
                                <w:t>(n = 93)</w:t>
                              </w:r>
                            </w:p>
                            <w:p w14:paraId="7DB4BDD6" w14:textId="3C6179BF" w:rsidR="000D584E" w:rsidRPr="00560609" w:rsidRDefault="000D584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PsycINFO (n = </w:t>
                              </w:r>
                              <w:r w:rsidR="0044155F">
                                <w:rPr>
                                  <w:rFonts w:ascii="Arial" w:hAnsi="Arial" w:cs="Arial"/>
                                  <w:color w:val="000000" w:themeColor="text1"/>
                                  <w:sz w:val="18"/>
                                  <w:szCs w:val="20"/>
                                </w:rPr>
                                <w:t>53</w:t>
                              </w:r>
                              <w:r>
                                <w:rPr>
                                  <w:rFonts w:ascii="Arial" w:hAnsi="Arial" w:cs="Arial"/>
                                  <w:color w:val="000000" w:themeColor="text1"/>
                                  <w:sz w:val="18"/>
                                  <w:szCs w:val="20"/>
                                </w:rPr>
                                <w:t>)</w:t>
                              </w:r>
                            </w:p>
                            <w:p w14:paraId="19E3BF85" w14:textId="6A242436" w:rsidR="000D584E" w:rsidRPr="00560609" w:rsidRDefault="002E031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Public Health Wales </w:t>
                              </w:r>
                              <w:r w:rsidR="000D584E">
                                <w:rPr>
                                  <w:rFonts w:ascii="Arial" w:hAnsi="Arial" w:cs="Arial"/>
                                  <w:color w:val="000000" w:themeColor="text1"/>
                                  <w:sz w:val="18"/>
                                  <w:szCs w:val="20"/>
                                </w:rPr>
                                <w:t xml:space="preserve">(n = </w:t>
                              </w:r>
                              <w:r>
                                <w:rPr>
                                  <w:rFonts w:ascii="Arial" w:hAnsi="Arial" w:cs="Arial"/>
                                  <w:color w:val="000000" w:themeColor="text1"/>
                                  <w:sz w:val="18"/>
                                  <w:szCs w:val="20"/>
                                </w:rPr>
                                <w:t>1</w:t>
                              </w:r>
                              <w:r w:rsidR="000D584E">
                                <w:rPr>
                                  <w:rFonts w:ascii="Arial" w:hAnsi="Arial" w:cs="Arial"/>
                                  <w:color w:val="000000" w:themeColor="text1"/>
                                  <w:sz w:val="18"/>
                                  <w:szCs w:val="20"/>
                                </w:rPr>
                                <w:t>)</w:t>
                              </w:r>
                            </w:p>
                            <w:p w14:paraId="5136FFB2" w14:textId="77777777" w:rsidR="000D584E" w:rsidRPr="00560609" w:rsidRDefault="000D584E" w:rsidP="000D584E">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5061756" name="Rectangle 1095061756"/>
                        <wps:cNvSpPr/>
                        <wps:spPr>
                          <a:xfrm>
                            <a:off x="2936079" y="371475"/>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520EB1"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7F0A9DC6" w14:textId="6F295B6B" w:rsidR="000D584E" w:rsidRPr="00560609" w:rsidRDefault="000D584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removed  (n = </w:t>
                              </w:r>
                              <w:r w:rsidR="00541BF5">
                                <w:rPr>
                                  <w:rFonts w:ascii="Arial" w:hAnsi="Arial" w:cs="Arial"/>
                                  <w:color w:val="000000" w:themeColor="text1"/>
                                  <w:sz w:val="18"/>
                                  <w:szCs w:val="20"/>
                                </w:rPr>
                                <w:t>235</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3255952" name="Rectangle 1093255952"/>
                        <wps:cNvSpPr/>
                        <wps:spPr>
                          <a:xfrm>
                            <a:off x="459579" y="1990725"/>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A0B361"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5E0E4570" w14:textId="2B8ED026" w:rsidR="000D584E" w:rsidRPr="00560609" w:rsidRDefault="000D584E" w:rsidP="000D584E">
                              <w:pPr>
                                <w:spacing w:after="0" w:line="240" w:lineRule="auto"/>
                                <w:rPr>
                                  <w:rFonts w:ascii="Arial" w:hAnsi="Arial" w:cs="Arial"/>
                                  <w:color w:val="000000" w:themeColor="text1"/>
                                  <w:sz w:val="18"/>
                                  <w:szCs w:val="20"/>
                                </w:rPr>
                              </w:pPr>
                              <w:r>
                                <w:rPr>
                                  <w:rFonts w:ascii="Arial" w:hAnsi="Arial" w:cs="Arial"/>
                                  <w:color w:val="000000" w:themeColor="text1"/>
                                  <w:sz w:val="18"/>
                                  <w:szCs w:val="20"/>
                                </w:rPr>
                                <w:t>(n = 4</w:t>
                              </w:r>
                              <w:r w:rsidR="00541BF5">
                                <w:rPr>
                                  <w:rFonts w:ascii="Arial" w:hAnsi="Arial" w:cs="Arial"/>
                                  <w:color w:val="000000" w:themeColor="text1"/>
                                  <w:sz w:val="18"/>
                                  <w:szCs w:val="20"/>
                                </w:rPr>
                                <w:t>74</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3246753" name="Rectangle 853246753"/>
                        <wps:cNvSpPr/>
                        <wps:spPr>
                          <a:xfrm>
                            <a:off x="2945604" y="1990725"/>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E2560B"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 due to irrelevant titles and abstracts</w:t>
                              </w:r>
                            </w:p>
                            <w:p w14:paraId="010BBAD8" w14:textId="746C12C1" w:rsidR="000D584E" w:rsidRPr="00560609" w:rsidRDefault="000D584E" w:rsidP="000D584E">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w:t>
                              </w:r>
                              <w:r w:rsidR="00541BF5">
                                <w:rPr>
                                  <w:rFonts w:ascii="Arial" w:hAnsi="Arial" w:cs="Arial"/>
                                  <w:color w:val="000000" w:themeColor="text1"/>
                                  <w:sz w:val="18"/>
                                  <w:szCs w:val="20"/>
                                </w:rPr>
                                <w:t>2</w:t>
                              </w:r>
                              <w:r>
                                <w:rPr>
                                  <w:rFonts w:ascii="Arial" w:hAnsi="Arial" w:cs="Arial"/>
                                  <w:color w:val="000000" w:themeColor="text1"/>
                                  <w:sz w:val="18"/>
                                  <w:szCs w:val="20"/>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8383957" name="Rectangle 1348383957"/>
                        <wps:cNvSpPr/>
                        <wps:spPr>
                          <a:xfrm>
                            <a:off x="459579" y="2867025"/>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DD0C45"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032CA423" w14:textId="00AEE33B" w:rsidR="000D584E" w:rsidRPr="00560609" w:rsidRDefault="000D584E" w:rsidP="000D584E">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24</w:t>
                              </w:r>
                              <w:r w:rsidR="00EC1BEE">
                                <w:rPr>
                                  <w:rFonts w:ascii="Arial" w:hAnsi="Arial" w:cs="Arial"/>
                                  <w:color w:val="000000" w:themeColor="text1"/>
                                  <w:sz w:val="18"/>
                                  <w:szCs w:val="20"/>
                                </w:rPr>
                                <w:t>5</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5641287" name="Rectangle 1575641287"/>
                        <wps:cNvSpPr/>
                        <wps:spPr>
                          <a:xfrm>
                            <a:off x="2945604" y="2886075"/>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32B123"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 due to inaccessibility of full articles</w:t>
                              </w:r>
                            </w:p>
                            <w:p w14:paraId="35C271FE" w14:textId="2671EFD2" w:rsidR="000D584E" w:rsidRPr="00560609" w:rsidRDefault="000D584E" w:rsidP="000D584E">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w:t>
                              </w:r>
                              <w:r w:rsidR="00EC1BEE">
                                <w:rPr>
                                  <w:rFonts w:ascii="Arial" w:hAnsi="Arial" w:cs="Arial"/>
                                  <w:color w:val="000000" w:themeColor="text1"/>
                                  <w:sz w:val="18"/>
                                  <w:szCs w:val="20"/>
                                </w:rPr>
                                <w:t>7</w:t>
                              </w:r>
                              <w:r>
                                <w:rPr>
                                  <w:rFonts w:ascii="Arial" w:hAnsi="Arial" w:cs="Arial"/>
                                  <w:color w:val="000000" w:themeColor="text1"/>
                                  <w:sz w:val="18"/>
                                  <w:szCs w:val="20"/>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1639591" name="Rectangle 1441639591"/>
                        <wps:cNvSpPr/>
                        <wps:spPr>
                          <a:xfrm>
                            <a:off x="459579" y="373380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0AC938"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41D6291C" w14:textId="31502AE3" w:rsidR="000D584E" w:rsidRPr="00560609" w:rsidRDefault="000D584E" w:rsidP="000D584E">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EC1BEE">
                                <w:rPr>
                                  <w:rFonts w:ascii="Arial" w:hAnsi="Arial" w:cs="Arial"/>
                                  <w:color w:val="000000" w:themeColor="text1"/>
                                  <w:sz w:val="18"/>
                                  <w:szCs w:val="20"/>
                                </w:rPr>
                                <w:t>72</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6264225" name="Rectangle 1086264225"/>
                        <wps:cNvSpPr/>
                        <wps:spPr>
                          <a:xfrm>
                            <a:off x="2955129" y="3724275"/>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020DD3"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1BD93CF5" w14:textId="7309EAD2" w:rsidR="000D584E" w:rsidRDefault="000D584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Outside UK settings (n = 2</w:t>
                              </w:r>
                              <w:r w:rsidR="00833DF7">
                                <w:rPr>
                                  <w:rFonts w:ascii="Arial" w:hAnsi="Arial" w:cs="Arial"/>
                                  <w:color w:val="000000" w:themeColor="text1"/>
                                  <w:sz w:val="18"/>
                                  <w:szCs w:val="20"/>
                                </w:rPr>
                                <w:t>7</w:t>
                              </w:r>
                              <w:r>
                                <w:rPr>
                                  <w:rFonts w:ascii="Arial" w:hAnsi="Arial" w:cs="Arial"/>
                                  <w:color w:val="000000" w:themeColor="text1"/>
                                  <w:sz w:val="18"/>
                                  <w:szCs w:val="20"/>
                                </w:rPr>
                                <w:t>)</w:t>
                              </w:r>
                            </w:p>
                            <w:p w14:paraId="78044CA8" w14:textId="5E825DDE" w:rsidR="000D584E" w:rsidRDefault="000D584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Relevance (n = </w:t>
                              </w:r>
                              <w:r w:rsidR="00833DF7">
                                <w:rPr>
                                  <w:rFonts w:ascii="Arial" w:hAnsi="Arial" w:cs="Arial"/>
                                  <w:color w:val="000000" w:themeColor="text1"/>
                                  <w:sz w:val="18"/>
                                  <w:szCs w:val="20"/>
                                </w:rPr>
                                <w:t>1</w:t>
                              </w:r>
                              <w:r>
                                <w:rPr>
                                  <w:rFonts w:ascii="Arial" w:hAnsi="Arial" w:cs="Arial"/>
                                  <w:color w:val="000000" w:themeColor="text1"/>
                                  <w:sz w:val="18"/>
                                  <w:szCs w:val="20"/>
                                </w:rPr>
                                <w:t>8)</w:t>
                              </w:r>
                            </w:p>
                            <w:p w14:paraId="57FDB813" w14:textId="2BA89D71" w:rsidR="000D584E" w:rsidRPr="00560609" w:rsidRDefault="000D584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Older than 2016 (n = </w:t>
                              </w:r>
                              <w:r w:rsidR="00833DF7">
                                <w:rPr>
                                  <w:rFonts w:ascii="Arial" w:hAnsi="Arial" w:cs="Arial"/>
                                  <w:color w:val="000000" w:themeColor="text1"/>
                                  <w:sz w:val="18"/>
                                  <w:szCs w:val="20"/>
                                </w:rPr>
                                <w:t>8</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8211765" name="Rectangle 1688211765"/>
                        <wps:cNvSpPr/>
                        <wps:spPr>
                          <a:xfrm>
                            <a:off x="440529" y="508635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75DFC3" w14:textId="77777777" w:rsidR="000D584E" w:rsidRDefault="000D584E" w:rsidP="000D584E">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69161F1E" w14:textId="45390AB8" w:rsidR="000D584E" w:rsidRPr="00560609" w:rsidRDefault="000D584E" w:rsidP="000D584E">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D44D5D">
                                <w:rPr>
                                  <w:rFonts w:ascii="Arial" w:hAnsi="Arial" w:cs="Arial"/>
                                  <w:color w:val="000000" w:themeColor="text1"/>
                                  <w:sz w:val="18"/>
                                  <w:szCs w:val="20"/>
                                </w:rPr>
                                <w:t>13</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1202263" name="Straight Arrow Connector 1671202263"/>
                        <wps:cNvCnPr/>
                        <wps:spPr>
                          <a:xfrm>
                            <a:off x="2355054" y="1019175"/>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20252745" name="Straight Arrow Connector 820252745"/>
                        <wps:cNvCnPr/>
                        <wps:spPr>
                          <a:xfrm>
                            <a:off x="2355054" y="2238375"/>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56688685" name="Straight Arrow Connector 1356688685"/>
                        <wps:cNvCnPr/>
                        <wps:spPr>
                          <a:xfrm>
                            <a:off x="2364579" y="3133725"/>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76261929" name="Straight Arrow Connector 876261929"/>
                        <wps:cNvCnPr/>
                        <wps:spPr>
                          <a:xfrm>
                            <a:off x="2374104" y="4010025"/>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49145055" name="Flowchart: Alternate Process 1449145055"/>
                        <wps:cNvSpPr/>
                        <wps:spPr>
                          <a:xfrm>
                            <a:off x="459579"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7FAA0695" w14:textId="77777777" w:rsidR="000D584E" w:rsidRPr="001502CF" w:rsidRDefault="000D584E" w:rsidP="000D584E">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289595" name="Flowchart: Alternate Process 23289595"/>
                        <wps:cNvSpPr/>
                        <wps:spPr>
                          <a:xfrm rot="16200000">
                            <a:off x="-503716" y="87503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14B5485" w14:textId="77777777" w:rsidR="000D584E" w:rsidRPr="001502CF" w:rsidRDefault="000D584E" w:rsidP="000D584E">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8350618" name="Flowchart: Alternate Process 1618350618"/>
                        <wps:cNvSpPr/>
                        <wps:spPr>
                          <a:xfrm rot="16200000">
                            <a:off x="-1262223" y="3316922"/>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6E1C6A6" w14:textId="77777777" w:rsidR="000D584E" w:rsidRDefault="000D584E" w:rsidP="000D584E">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6E8E9329" w14:textId="77777777" w:rsidR="000D584E" w:rsidRPr="001502CF" w:rsidRDefault="000D584E" w:rsidP="000D584E">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4629282" name="Flowchart: Alternate Process 2084629282"/>
                        <wps:cNvSpPr/>
                        <wps:spPr>
                          <a:xfrm rot="16200000">
                            <a:off x="-234476" y="5325745"/>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59111B1" w14:textId="77777777" w:rsidR="000D584E" w:rsidRPr="001502CF" w:rsidRDefault="000D584E" w:rsidP="000D584E">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9858784" name="Straight Arrow Connector 1229858784"/>
                        <wps:cNvCnPr/>
                        <wps:spPr>
                          <a:xfrm>
                            <a:off x="1297779" y="255270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60676709" name="Straight Arrow Connector 1260676709"/>
                        <wps:cNvCnPr/>
                        <wps:spPr>
                          <a:xfrm>
                            <a:off x="1307304" y="340995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35844280" name="Straight Arrow Connector 1235844280"/>
                        <wps:cNvCnPr/>
                        <wps:spPr>
                          <a:xfrm>
                            <a:off x="1297779" y="428625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5C4C5B9" id="Group 22" o:spid="_x0000_s1026" style="position:absolute;margin-left:17.25pt;margin-top:.35pt;width:381.25pt;height:459.75pt;z-index:251659264;mso-position-horizontal-relative:margin" coordsize="48423,5839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">
                <v:rect id="Rectangle 1011255600" o:spid="_x0000_s1027" style="position:absolute;left:4595;top:3714;width:18872;height:1447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" filled="f" strokecolor="black [3213]" strokeweight="1pt">
                  <v:textbox>
                    <w:txbxContent>
                      <w:p w14:paraId="199A2105"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48F16D98" w14:textId="1F862F98" w:rsidR="000D584E" w:rsidRDefault="002E031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CINAHL</w:t>
                        </w:r>
                        <w:r w:rsidR="000D584E">
                          <w:rPr>
                            <w:rFonts w:ascii="Arial" w:hAnsi="Arial" w:cs="Arial"/>
                            <w:color w:val="000000" w:themeColor="text1"/>
                            <w:sz w:val="18"/>
                            <w:szCs w:val="20"/>
                          </w:rPr>
                          <w:t xml:space="preserve"> (n = </w:t>
                        </w:r>
                        <w:r w:rsidR="00DE2A9C">
                          <w:rPr>
                            <w:rFonts w:ascii="Arial" w:hAnsi="Arial" w:cs="Arial"/>
                            <w:color w:val="000000" w:themeColor="text1"/>
                            <w:sz w:val="18"/>
                            <w:szCs w:val="20"/>
                          </w:rPr>
                          <w:t>3</w:t>
                        </w:r>
                        <w:r w:rsidR="000D584E">
                          <w:rPr>
                            <w:rFonts w:ascii="Arial" w:hAnsi="Arial" w:cs="Arial"/>
                            <w:color w:val="000000" w:themeColor="text1"/>
                            <w:sz w:val="18"/>
                            <w:szCs w:val="20"/>
                          </w:rPr>
                          <w:t>43)</w:t>
                        </w:r>
                      </w:p>
                      <w:p w14:paraId="71064392" w14:textId="2213DADF" w:rsidR="000D584E" w:rsidRDefault="002E031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MEDLINE </w:t>
                        </w:r>
                        <w:r w:rsidR="000D584E">
                          <w:rPr>
                            <w:rFonts w:ascii="Arial" w:hAnsi="Arial" w:cs="Arial"/>
                            <w:color w:val="000000" w:themeColor="text1"/>
                            <w:sz w:val="18"/>
                            <w:szCs w:val="20"/>
                          </w:rPr>
                          <w:t>(n = 2</w:t>
                        </w:r>
                        <w:r w:rsidR="00F80B63">
                          <w:rPr>
                            <w:rFonts w:ascii="Arial" w:hAnsi="Arial" w:cs="Arial"/>
                            <w:color w:val="000000" w:themeColor="text1"/>
                            <w:sz w:val="18"/>
                            <w:szCs w:val="20"/>
                          </w:rPr>
                          <w:t>1</w:t>
                        </w:r>
                        <w:r w:rsidR="000D584E">
                          <w:rPr>
                            <w:rFonts w:ascii="Arial" w:hAnsi="Arial" w:cs="Arial"/>
                            <w:color w:val="000000" w:themeColor="text1"/>
                            <w:sz w:val="18"/>
                            <w:szCs w:val="20"/>
                          </w:rPr>
                          <w:t>9)</w:t>
                        </w:r>
                      </w:p>
                      <w:p w14:paraId="185B32B3" w14:textId="3E989F04" w:rsidR="000D584E" w:rsidRPr="00560609" w:rsidRDefault="002E031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UWTSD </w:t>
                        </w:r>
                        <w:r w:rsidR="000D584E">
                          <w:rPr>
                            <w:rFonts w:ascii="Arial" w:hAnsi="Arial" w:cs="Arial"/>
                            <w:color w:val="000000" w:themeColor="text1"/>
                            <w:sz w:val="18"/>
                            <w:szCs w:val="20"/>
                          </w:rPr>
                          <w:t>(n = 93)</w:t>
                        </w:r>
                      </w:p>
                      <w:p w14:paraId="7DB4BDD6" w14:textId="3C6179BF" w:rsidR="000D584E" w:rsidRPr="00560609" w:rsidRDefault="000D584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PsycINFO (n = </w:t>
                        </w:r>
                        <w:r w:rsidR="0044155F">
                          <w:rPr>
                            <w:rFonts w:ascii="Arial" w:hAnsi="Arial" w:cs="Arial"/>
                            <w:color w:val="000000" w:themeColor="text1"/>
                            <w:sz w:val="18"/>
                            <w:szCs w:val="20"/>
                          </w:rPr>
                          <w:t>53</w:t>
                        </w:r>
                        <w:r>
                          <w:rPr>
                            <w:rFonts w:ascii="Arial" w:hAnsi="Arial" w:cs="Arial"/>
                            <w:color w:val="000000" w:themeColor="text1"/>
                            <w:sz w:val="18"/>
                            <w:szCs w:val="20"/>
                          </w:rPr>
                          <w:t>)</w:t>
                        </w:r>
                      </w:p>
                      <w:p w14:paraId="19E3BF85" w14:textId="6A242436" w:rsidR="000D584E" w:rsidRPr="00560609" w:rsidRDefault="002E031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Public Health Wales </w:t>
                        </w:r>
                        <w:r w:rsidR="000D584E">
                          <w:rPr>
                            <w:rFonts w:ascii="Arial" w:hAnsi="Arial" w:cs="Arial"/>
                            <w:color w:val="000000" w:themeColor="text1"/>
                            <w:sz w:val="18"/>
                            <w:szCs w:val="20"/>
                          </w:rPr>
                          <w:t xml:space="preserve">(n = </w:t>
                        </w:r>
                        <w:r>
                          <w:rPr>
                            <w:rFonts w:ascii="Arial" w:hAnsi="Arial" w:cs="Arial"/>
                            <w:color w:val="000000" w:themeColor="text1"/>
                            <w:sz w:val="18"/>
                            <w:szCs w:val="20"/>
                          </w:rPr>
                          <w:t>1</w:t>
                        </w:r>
                        <w:r w:rsidR="000D584E">
                          <w:rPr>
                            <w:rFonts w:ascii="Arial" w:hAnsi="Arial" w:cs="Arial"/>
                            <w:color w:val="000000" w:themeColor="text1"/>
                            <w:sz w:val="18"/>
                            <w:szCs w:val="20"/>
                          </w:rPr>
                          <w:t>)</w:t>
                        </w:r>
                      </w:p>
                      <w:p w14:paraId="5136FFB2" w14:textId="77777777" w:rsidR="000D584E" w:rsidRPr="00560609" w:rsidRDefault="000D584E" w:rsidP="000D584E">
                        <w:pPr>
                          <w:spacing w:after="0" w:line="240" w:lineRule="auto"/>
                          <w:ind w:left="284"/>
                          <w:rPr>
                            <w:rFonts w:ascii="Arial" w:hAnsi="Arial" w:cs="Arial"/>
                            <w:color w:val="000000" w:themeColor="text1"/>
                            <w:sz w:val="18"/>
                            <w:szCs w:val="20"/>
                          </w:rPr>
                        </w:pPr>
                      </w:p>
                    </w:txbxContent>
                  </v:textbox>
                </v:rect>
                <v:rect id="Rectangle 1095061756" o:spid="_x0000_s1028" style="position:absolute;left:29360;top:3714;width:18872;height:1243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" filled="f" strokecolor="black [3213]" strokeweight="1pt">
                  <v:textbox>
                    <w:txbxContent>
                      <w:p w14:paraId="78520EB1"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7F0A9DC6" w14:textId="6F295B6B" w:rsidR="000D584E" w:rsidRPr="00560609" w:rsidRDefault="000D584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removed  (n = </w:t>
                        </w:r>
                        <w:r w:rsidR="00541BF5">
                          <w:rPr>
                            <w:rFonts w:ascii="Arial" w:hAnsi="Arial" w:cs="Arial"/>
                            <w:color w:val="000000" w:themeColor="text1"/>
                            <w:sz w:val="18"/>
                            <w:szCs w:val="20"/>
                          </w:rPr>
                          <w:t>235</w:t>
                        </w:r>
                        <w:r>
                          <w:rPr>
                            <w:rFonts w:ascii="Arial" w:hAnsi="Arial" w:cs="Arial"/>
                            <w:color w:val="000000" w:themeColor="text1"/>
                            <w:sz w:val="18"/>
                            <w:szCs w:val="20"/>
                          </w:rPr>
                          <w:t>)</w:t>
                        </w:r>
                      </w:p>
                    </w:txbxContent>
                  </v:textbox>
                </v:rect>
                <v:rect id="Rectangle 1093255952" o:spid="_x0000_s1029" style="position:absolute;left:4595;top:19907;width:18872;height:52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" filled="f" strokecolor="black [3213]" strokeweight="1pt">
                  <v:textbox>
                    <w:txbxContent>
                      <w:p w14:paraId="06A0B361"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5E0E4570" w14:textId="2B8ED026" w:rsidR="000D584E" w:rsidRPr="00560609" w:rsidRDefault="000D584E" w:rsidP="000D584E">
                        <w:pPr>
                          <w:spacing w:after="0" w:line="240" w:lineRule="auto"/>
                          <w:rPr>
                            <w:rFonts w:ascii="Arial" w:hAnsi="Arial" w:cs="Arial"/>
                            <w:color w:val="000000" w:themeColor="text1"/>
                            <w:sz w:val="18"/>
                            <w:szCs w:val="20"/>
                          </w:rPr>
                        </w:pPr>
                        <w:r>
                          <w:rPr>
                            <w:rFonts w:ascii="Arial" w:hAnsi="Arial" w:cs="Arial"/>
                            <w:color w:val="000000" w:themeColor="text1"/>
                            <w:sz w:val="18"/>
                            <w:szCs w:val="20"/>
                          </w:rPr>
                          <w:t>(n = 4</w:t>
                        </w:r>
                        <w:r w:rsidR="00541BF5">
                          <w:rPr>
                            <w:rFonts w:ascii="Arial" w:hAnsi="Arial" w:cs="Arial"/>
                            <w:color w:val="000000" w:themeColor="text1"/>
                            <w:sz w:val="18"/>
                            <w:szCs w:val="20"/>
                          </w:rPr>
                          <w:t>74</w:t>
                        </w:r>
                        <w:r>
                          <w:rPr>
                            <w:rFonts w:ascii="Arial" w:hAnsi="Arial" w:cs="Arial"/>
                            <w:color w:val="000000" w:themeColor="text1"/>
                            <w:sz w:val="18"/>
                            <w:szCs w:val="20"/>
                          </w:rPr>
                          <w:t>)</w:t>
                        </w:r>
                      </w:p>
                    </w:txbxContent>
                  </v:textbox>
                </v:rect>
                <v:rect id="Rectangle 853246753" o:spid="_x0000_s1030" style="position:absolute;left:29456;top:19907;width:18872;height:52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" filled="f" strokecolor="black [3213]" strokeweight="1pt">
                  <v:textbox>
                    <w:txbxContent>
                      <w:p w14:paraId="37E2560B"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 due to irrelevant titles and abstracts</w:t>
                        </w:r>
                      </w:p>
                      <w:p w14:paraId="010BBAD8" w14:textId="746C12C1" w:rsidR="000D584E" w:rsidRPr="00560609" w:rsidRDefault="000D584E" w:rsidP="000D584E">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w:t>
                        </w:r>
                        <w:r w:rsidR="00541BF5">
                          <w:rPr>
                            <w:rFonts w:ascii="Arial" w:hAnsi="Arial" w:cs="Arial"/>
                            <w:color w:val="000000" w:themeColor="text1"/>
                            <w:sz w:val="18"/>
                            <w:szCs w:val="20"/>
                          </w:rPr>
                          <w:t>2</w:t>
                        </w:r>
                        <w:r>
                          <w:rPr>
                            <w:rFonts w:ascii="Arial" w:hAnsi="Arial" w:cs="Arial"/>
                            <w:color w:val="000000" w:themeColor="text1"/>
                            <w:sz w:val="18"/>
                            <w:szCs w:val="20"/>
                          </w:rPr>
                          <w:t>9)</w:t>
                        </w:r>
                      </w:p>
                    </w:txbxContent>
                  </v:textbox>
                </v:rect>
                <v:rect id="Rectangle 1348383957" o:spid="_x0000_s1031" style="position:absolute;left:4595;top:28670;width:18872;height:52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" filled="f" strokecolor="black [3213]" strokeweight="1pt">
                  <v:textbox>
                    <w:txbxContent>
                      <w:p w14:paraId="68DD0C45"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032CA423" w14:textId="00AEE33B" w:rsidR="000D584E" w:rsidRPr="00560609" w:rsidRDefault="000D584E" w:rsidP="000D584E">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24</w:t>
                        </w:r>
                        <w:r w:rsidR="00EC1BEE">
                          <w:rPr>
                            <w:rFonts w:ascii="Arial" w:hAnsi="Arial" w:cs="Arial"/>
                            <w:color w:val="000000" w:themeColor="text1"/>
                            <w:sz w:val="18"/>
                            <w:szCs w:val="20"/>
                          </w:rPr>
                          <w:t>5</w:t>
                        </w:r>
                        <w:r>
                          <w:rPr>
                            <w:rFonts w:ascii="Arial" w:hAnsi="Arial" w:cs="Arial"/>
                            <w:color w:val="000000" w:themeColor="text1"/>
                            <w:sz w:val="18"/>
                            <w:szCs w:val="20"/>
                          </w:rPr>
                          <w:t>)</w:t>
                        </w:r>
                      </w:p>
                    </w:txbxContent>
                  </v:textbox>
                </v:rect>
                <v:rect id="Rectangle 1575641287" o:spid="_x0000_s1032" style="position:absolute;left:29456;top:28860;width:18872;height:52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" filled="f" strokecolor="black [3213]" strokeweight="1pt">
                  <v:textbox>
                    <w:txbxContent>
                      <w:p w14:paraId="6A32B123"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 due to inaccessibility of full articles</w:t>
                        </w:r>
                      </w:p>
                      <w:p w14:paraId="35C271FE" w14:textId="2671EFD2" w:rsidR="000D584E" w:rsidRPr="00560609" w:rsidRDefault="000D584E" w:rsidP="000D584E">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w:t>
                        </w:r>
                        <w:r w:rsidR="00EC1BEE">
                          <w:rPr>
                            <w:rFonts w:ascii="Arial" w:hAnsi="Arial" w:cs="Arial"/>
                            <w:color w:val="000000" w:themeColor="text1"/>
                            <w:sz w:val="18"/>
                            <w:szCs w:val="20"/>
                          </w:rPr>
                          <w:t>7</w:t>
                        </w:r>
                        <w:r>
                          <w:rPr>
                            <w:rFonts w:ascii="Arial" w:hAnsi="Arial" w:cs="Arial"/>
                            <w:color w:val="000000" w:themeColor="text1"/>
                            <w:sz w:val="18"/>
                            <w:szCs w:val="20"/>
                          </w:rPr>
                          <w:t>3)</w:t>
                        </w:r>
                      </w:p>
                    </w:txbxContent>
                  </v:textbox>
                </v:rect>
                <v:rect id="Rectangle 1441639591" o:spid="_x0000_s1033" style="position:absolute;left:4595;top:37338;width:18872;height:52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" filled="f" strokecolor="black [3213]" strokeweight="1pt">
                  <v:textbox>
                    <w:txbxContent>
                      <w:p w14:paraId="1D0AC938"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41D6291C" w14:textId="31502AE3" w:rsidR="000D584E" w:rsidRPr="00560609" w:rsidRDefault="000D584E" w:rsidP="000D584E">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EC1BEE">
                          <w:rPr>
                            <w:rFonts w:ascii="Arial" w:hAnsi="Arial" w:cs="Arial"/>
                            <w:color w:val="000000" w:themeColor="text1"/>
                            <w:sz w:val="18"/>
                            <w:szCs w:val="20"/>
                          </w:rPr>
                          <w:t>72</w:t>
                        </w:r>
                        <w:r>
                          <w:rPr>
                            <w:rFonts w:ascii="Arial" w:hAnsi="Arial" w:cs="Arial"/>
                            <w:color w:val="000000" w:themeColor="text1"/>
                            <w:sz w:val="18"/>
                            <w:szCs w:val="20"/>
                          </w:rPr>
                          <w:t>)</w:t>
                        </w:r>
                      </w:p>
                    </w:txbxContent>
                  </v:textbox>
                </v:rect>
                <v:rect id="Rectangle 1086264225" o:spid="_x0000_s1034" style="position:absolute;left:29551;top:37242;width:18872;height:1133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" filled="f" strokecolor="black [3213]" strokeweight="1pt">
                  <v:textbox>
                    <w:txbxContent>
                      <w:p w14:paraId="5A020DD3" w14:textId="77777777" w:rsidR="000D584E" w:rsidRDefault="000D584E" w:rsidP="000D584E">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1BD93CF5" w14:textId="7309EAD2" w:rsidR="000D584E" w:rsidRDefault="000D584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Outside UK settings (n = 2</w:t>
                        </w:r>
                        <w:r w:rsidR="00833DF7">
                          <w:rPr>
                            <w:rFonts w:ascii="Arial" w:hAnsi="Arial" w:cs="Arial"/>
                            <w:color w:val="000000" w:themeColor="text1"/>
                            <w:sz w:val="18"/>
                            <w:szCs w:val="20"/>
                          </w:rPr>
                          <w:t>7</w:t>
                        </w:r>
                        <w:r>
                          <w:rPr>
                            <w:rFonts w:ascii="Arial" w:hAnsi="Arial" w:cs="Arial"/>
                            <w:color w:val="000000" w:themeColor="text1"/>
                            <w:sz w:val="18"/>
                            <w:szCs w:val="20"/>
                          </w:rPr>
                          <w:t>)</w:t>
                        </w:r>
                      </w:p>
                      <w:p w14:paraId="78044CA8" w14:textId="5E825DDE" w:rsidR="000D584E" w:rsidRDefault="000D584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Relevance (n = </w:t>
                        </w:r>
                        <w:r w:rsidR="00833DF7">
                          <w:rPr>
                            <w:rFonts w:ascii="Arial" w:hAnsi="Arial" w:cs="Arial"/>
                            <w:color w:val="000000" w:themeColor="text1"/>
                            <w:sz w:val="18"/>
                            <w:szCs w:val="20"/>
                          </w:rPr>
                          <w:t>1</w:t>
                        </w:r>
                        <w:r>
                          <w:rPr>
                            <w:rFonts w:ascii="Arial" w:hAnsi="Arial" w:cs="Arial"/>
                            <w:color w:val="000000" w:themeColor="text1"/>
                            <w:sz w:val="18"/>
                            <w:szCs w:val="20"/>
                          </w:rPr>
                          <w:t>8)</w:t>
                        </w:r>
                      </w:p>
                      <w:p w14:paraId="57FDB813" w14:textId="2BA89D71" w:rsidR="000D584E" w:rsidRPr="00560609" w:rsidRDefault="000D584E" w:rsidP="000D584E">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Older than 2016 (n = </w:t>
                        </w:r>
                        <w:r w:rsidR="00833DF7">
                          <w:rPr>
                            <w:rFonts w:ascii="Arial" w:hAnsi="Arial" w:cs="Arial"/>
                            <w:color w:val="000000" w:themeColor="text1"/>
                            <w:sz w:val="18"/>
                            <w:szCs w:val="20"/>
                          </w:rPr>
                          <w:t>8</w:t>
                        </w:r>
                        <w:r>
                          <w:rPr>
                            <w:rFonts w:ascii="Arial" w:hAnsi="Arial" w:cs="Arial"/>
                            <w:color w:val="000000" w:themeColor="text1"/>
                            <w:sz w:val="18"/>
                            <w:szCs w:val="20"/>
                          </w:rPr>
                          <w:t>)</w:t>
                        </w:r>
                      </w:p>
                    </w:txbxContent>
                  </v:textbox>
                </v:rect>
                <v:rect id="Rectangle 1688211765" o:spid="_x0000_s1035" style="position:absolute;left:4405;top:50863;width:18872;height:723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" filled="f" strokecolor="black [3213]" strokeweight="1pt">
                  <v:textbox>
                    <w:txbxContent>
                      <w:p w14:paraId="7475DFC3" w14:textId="77777777" w:rsidR="000D584E" w:rsidRDefault="000D584E" w:rsidP="000D584E">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69161F1E" w14:textId="45390AB8" w:rsidR="000D584E" w:rsidRPr="00560609" w:rsidRDefault="000D584E" w:rsidP="000D584E">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D44D5D">
                          <w:rPr>
                            <w:rFonts w:ascii="Arial" w:hAnsi="Arial" w:cs="Arial"/>
                            <w:color w:val="000000" w:themeColor="text1"/>
                            <w:sz w:val="18"/>
                            <w:szCs w:val="20"/>
                          </w:rPr>
                          <w:t>13</w:t>
                        </w:r>
                        <w:r>
                          <w:rPr>
                            <w:rFonts w:ascii="Arial" w:hAnsi="Arial" w:cs="Arial"/>
                            <w:color w:val="000000" w:themeColor="text1"/>
                            <w:sz w:val="18"/>
                            <w:szCs w:val="20"/>
                          </w:rPr>
                          <w:t>)</w:t>
                        </w:r>
                      </w:p>
                    </w:txbxContent>
                  </v:textbox>
                </v:rect>
                <v:shapetype id="_x0000_t32" coordsize="21600,21600" o:spt="32" o:oned="t" path="m,l21600,21600e" filled="f">
                  <v:path arrowok="t" fillok="f" o:connecttype="none"/>
                  <o:lock v:ext="edit" shapetype="t"/>
                </v:shapetype>
                <v:shape id="Straight Arrow Connector 1671202263" o:spid="_x0000_s1036" type="#_x0000_t32" style="position:absolute;left:23550;top:10191;width:5633;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" strokecolor="black [3213]" strokeweight=".5pt">
                  <v:stroke endarrow="block" joinstyle="miter"/>
                </v:shape>
                <v:shape id="Straight Arrow Connector 820252745" o:spid="_x0000_s1037" type="#_x0000_t32" style="position:absolute;left:23550;top:22383;width:563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" strokecolor="black [3213]" strokeweight=".5pt">
                  <v:stroke endarrow="block" joinstyle="miter"/>
                </v:shape>
                <v:shape id="Straight Arrow Connector 1356688685" o:spid="_x0000_s1038" type="#_x0000_t32" style="position:absolute;left:23645;top:31337;width:5633;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" strokecolor="black [3213]" strokeweight=".5pt">
                  <v:stroke endarrow="block" joinstyle="miter"/>
                </v:shape>
                <v:shape id="Straight Arrow Connector 876261929" o:spid="_x0000_s1039" type="#_x0000_t32" style="position:absolute;left:23741;top:40100;width:563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" strokecolor="black [3213]" strokeweight=".5pt">
                  <v:stroke endarrow="block" joinstyle="miter"/>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449145055" o:spid="_x0000_s1040" type="#_x0000_t176" style="position:absolute;left:4595;width:43453;height:262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" fillcolor="#ffc000 [3207]" strokecolor="#7f5f00 [1607]" strokeweight="1pt">
                  <v:textbox>
                    <w:txbxContent>
                      <w:p w14:paraId="7FAA0695" w14:textId="77777777" w:rsidR="000D584E" w:rsidRPr="001502CF" w:rsidRDefault="000D584E" w:rsidP="000D584E">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v:shape id="Flowchart: Alternate Process 23289595" o:spid="_x0000_s1041" type="#_x0000_t176" style="position:absolute;left:-5037;top:8749;width:12770;height:2629;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" fillcolor="#9cc2e5 [1944]" strokecolor="black [3213]" strokeweight="1pt">
                  <v:textbox>
                    <w:txbxContent>
                      <w:p w14:paraId="714B5485" w14:textId="77777777" w:rsidR="000D584E" w:rsidRPr="001502CF" w:rsidRDefault="000D584E" w:rsidP="000D584E">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v:shape id="Flowchart: Alternate Process 1618350618" o:spid="_x0000_s1042" type="#_x0000_t176" style="position:absolute;left:-12623;top:33169;width:27874;height:2628;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" fillcolor="#9cc2e5 [1944]" strokecolor="black [3213]" strokeweight="1pt">
                  <v:textbox>
                    <w:txbxContent>
                      <w:p w14:paraId="16E1C6A6" w14:textId="77777777" w:rsidR="000D584E" w:rsidRDefault="000D584E" w:rsidP="000D584E">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6E8E9329" w14:textId="77777777" w:rsidR="000D584E" w:rsidRPr="001502CF" w:rsidRDefault="000D584E" w:rsidP="000D584E">
                        <w:pPr>
                          <w:spacing w:after="0" w:line="240" w:lineRule="auto"/>
                          <w:rPr>
                            <w:rFonts w:ascii="Arial" w:hAnsi="Arial" w:cs="Arial"/>
                            <w:b/>
                            <w:color w:val="000000" w:themeColor="text1"/>
                            <w:sz w:val="18"/>
                            <w:szCs w:val="18"/>
                          </w:rPr>
                        </w:pPr>
                      </w:p>
                    </w:txbxContent>
                  </v:textbox>
                </v:shape>
                <v:shape id="Flowchart: Alternate Process 2084629282" o:spid="_x0000_s1043" type="#_x0000_t176" style="position:absolute;left:-2346;top:53257;width:7643;height:2629;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" fillcolor="#9cc2e5 [1944]" strokecolor="black [3213]" strokeweight="1pt">
                  <v:textbox>
                    <w:txbxContent>
                      <w:p w14:paraId="059111B1" w14:textId="77777777" w:rsidR="000D584E" w:rsidRPr="001502CF" w:rsidRDefault="000D584E" w:rsidP="000D584E">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v:shape id="Straight Arrow Connector 1229858784" o:spid="_x0000_s1044" type="#_x0000_t32" style="position:absolute;left:12977;top:25527;width:0;height:281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" strokecolor="black [3213]" strokeweight=".5pt">
                  <v:stroke endarrow="block" joinstyle="miter"/>
                </v:shape>
                <v:shape id="Straight Arrow Connector 1260676709" o:spid="_x0000_s1045" type="#_x0000_t32" style="position:absolute;left:13073;top:34099;width:0;height:281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" strokecolor="black [3213]" strokeweight=".5pt">
                  <v:stroke endarrow="block" joinstyle="miter"/>
                </v:shape>
                <v:shape id="Straight Arrow Connector 1235844280" o:spid="_x0000_s1046" type="#_x0000_t32" style="position:absolute;left:12977;top:42862;width:0;height:746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" strokecolor="black [3213]" strokeweight=".5pt">
                  <v:stroke endarrow="block" joinstyle="miter"/>
                </v:shape>
                <w10:wrap anchorx="margin"/>
              </v:group>
            </w:pict>
          </mc:Fallback>
        </mc:AlternateContent>
      </w:r>
    </w:p>
    <w:p w14:paraId="297457A1" w14:textId="77777777" w:rsidR="000D584E" w:rsidRPr="009D1CA9" w:rsidRDefault="000D584E" w:rsidP="00D11EC7">
      <w:pPr>
        <w:spacing w:line="360" w:lineRule="auto"/>
        <w:rPr>
          <w:rFonts w:ascii="Arial" w:hAnsi="Arial" w:cs="Arial"/>
          <w:b/>
          <w:bCs/>
        </w:rPr>
      </w:pPr>
    </w:p>
    <w:p w14:paraId="6F527E19" w14:textId="77777777" w:rsidR="000D584E" w:rsidRPr="009D1CA9" w:rsidRDefault="000D584E" w:rsidP="00D11EC7">
      <w:pPr>
        <w:spacing w:line="360" w:lineRule="auto"/>
        <w:rPr>
          <w:rFonts w:ascii="Arial" w:hAnsi="Arial" w:cs="Arial"/>
          <w:b/>
          <w:bCs/>
        </w:rPr>
      </w:pPr>
    </w:p>
    <w:p w14:paraId="4ABC7147" w14:textId="77777777" w:rsidR="000D584E" w:rsidRPr="009D1CA9" w:rsidRDefault="000D584E" w:rsidP="00D11EC7">
      <w:pPr>
        <w:spacing w:line="360" w:lineRule="auto"/>
        <w:rPr>
          <w:rFonts w:ascii="Arial" w:hAnsi="Arial" w:cs="Arial"/>
          <w:b/>
          <w:bCs/>
        </w:rPr>
      </w:pPr>
    </w:p>
    <w:p w14:paraId="3A5295B9" w14:textId="77777777" w:rsidR="000D584E" w:rsidRPr="009D1CA9" w:rsidRDefault="000D584E" w:rsidP="00D11EC7">
      <w:pPr>
        <w:spacing w:line="360" w:lineRule="auto"/>
        <w:rPr>
          <w:rFonts w:ascii="Arial" w:hAnsi="Arial" w:cs="Arial"/>
          <w:b/>
          <w:bCs/>
        </w:rPr>
      </w:pPr>
    </w:p>
    <w:p w14:paraId="0D46A763" w14:textId="77777777" w:rsidR="000D584E" w:rsidRPr="009D1CA9" w:rsidRDefault="000D584E" w:rsidP="00D11EC7">
      <w:pPr>
        <w:spacing w:line="360" w:lineRule="auto"/>
        <w:rPr>
          <w:rFonts w:ascii="Arial" w:hAnsi="Arial" w:cs="Arial"/>
          <w:b/>
          <w:bCs/>
        </w:rPr>
      </w:pPr>
    </w:p>
    <w:p w14:paraId="6A9037E3" w14:textId="77777777" w:rsidR="000D584E" w:rsidRPr="009D1CA9" w:rsidRDefault="000D584E" w:rsidP="00D11EC7">
      <w:pPr>
        <w:spacing w:line="360" w:lineRule="auto"/>
        <w:rPr>
          <w:rFonts w:ascii="Arial" w:hAnsi="Arial" w:cs="Arial"/>
          <w:b/>
          <w:bCs/>
        </w:rPr>
      </w:pPr>
    </w:p>
    <w:p w14:paraId="39BCDEC6" w14:textId="77777777" w:rsidR="000D584E" w:rsidRPr="009D1CA9" w:rsidRDefault="000D584E" w:rsidP="00D11EC7">
      <w:pPr>
        <w:spacing w:line="360" w:lineRule="auto"/>
        <w:rPr>
          <w:rFonts w:ascii="Arial" w:hAnsi="Arial" w:cs="Arial"/>
          <w:b/>
          <w:bCs/>
        </w:rPr>
      </w:pPr>
    </w:p>
    <w:p w14:paraId="1DBB2D92" w14:textId="77777777" w:rsidR="000D584E" w:rsidRPr="009D1CA9" w:rsidRDefault="000D584E" w:rsidP="00D11EC7">
      <w:pPr>
        <w:spacing w:line="360" w:lineRule="auto"/>
        <w:rPr>
          <w:rFonts w:ascii="Arial" w:hAnsi="Arial" w:cs="Arial"/>
          <w:b/>
          <w:bCs/>
        </w:rPr>
      </w:pPr>
    </w:p>
    <w:p w14:paraId="30CFF323" w14:textId="77777777" w:rsidR="000D584E" w:rsidRPr="009D1CA9" w:rsidRDefault="000D584E" w:rsidP="00D11EC7">
      <w:pPr>
        <w:spacing w:line="360" w:lineRule="auto"/>
        <w:rPr>
          <w:rFonts w:ascii="Arial" w:hAnsi="Arial" w:cs="Arial"/>
          <w:b/>
          <w:bCs/>
        </w:rPr>
      </w:pPr>
    </w:p>
    <w:p w14:paraId="34AF48ED" w14:textId="77777777" w:rsidR="000D584E" w:rsidRPr="009D1CA9" w:rsidRDefault="000D584E" w:rsidP="00D11EC7">
      <w:pPr>
        <w:spacing w:line="360" w:lineRule="auto"/>
        <w:rPr>
          <w:rFonts w:ascii="Arial" w:hAnsi="Arial" w:cs="Arial"/>
          <w:b/>
          <w:bCs/>
        </w:rPr>
      </w:pPr>
    </w:p>
    <w:p w14:paraId="438D8350" w14:textId="77777777" w:rsidR="000D584E" w:rsidRPr="009D1CA9" w:rsidRDefault="000D584E" w:rsidP="00D11EC7">
      <w:pPr>
        <w:spacing w:line="360" w:lineRule="auto"/>
        <w:rPr>
          <w:rFonts w:ascii="Arial" w:hAnsi="Arial" w:cs="Arial"/>
          <w:b/>
          <w:bCs/>
        </w:rPr>
      </w:pPr>
    </w:p>
    <w:p w14:paraId="26F37E63" w14:textId="77777777" w:rsidR="000D584E" w:rsidRPr="009D1CA9" w:rsidRDefault="000D584E" w:rsidP="00D11EC7">
      <w:pPr>
        <w:spacing w:line="360" w:lineRule="auto"/>
        <w:rPr>
          <w:rFonts w:ascii="Arial" w:hAnsi="Arial" w:cs="Arial"/>
          <w:b/>
          <w:bCs/>
        </w:rPr>
      </w:pPr>
    </w:p>
    <w:p w14:paraId="66446C23" w14:textId="77777777" w:rsidR="000D584E" w:rsidRPr="009D1CA9" w:rsidRDefault="000D584E" w:rsidP="00D11EC7">
      <w:pPr>
        <w:spacing w:line="360" w:lineRule="auto"/>
        <w:rPr>
          <w:rFonts w:ascii="Arial" w:hAnsi="Arial" w:cs="Arial"/>
          <w:b/>
          <w:bCs/>
        </w:rPr>
      </w:pPr>
    </w:p>
    <w:p w14:paraId="69F56230" w14:textId="77777777" w:rsidR="000D584E" w:rsidRPr="009D1CA9" w:rsidRDefault="000D584E" w:rsidP="00D11EC7">
      <w:pPr>
        <w:spacing w:line="360" w:lineRule="auto"/>
        <w:rPr>
          <w:rFonts w:ascii="Arial" w:hAnsi="Arial" w:cs="Arial"/>
        </w:rPr>
      </w:pPr>
    </w:p>
    <w:p w14:paraId="62756F15" w14:textId="77777777" w:rsidR="000D584E" w:rsidRDefault="000D584E" w:rsidP="00D11EC7">
      <w:pPr>
        <w:spacing w:line="360" w:lineRule="auto"/>
        <w:ind w:left="720" w:hanging="720"/>
        <w:rPr>
          <w:rFonts w:ascii="Arial" w:hAnsi="Arial" w:cs="Arial"/>
        </w:rPr>
      </w:pPr>
    </w:p>
    <w:p w14:paraId="18840C89" w14:textId="77777777" w:rsidR="00E272FF" w:rsidRDefault="00E272FF" w:rsidP="00D11EC7">
      <w:pPr>
        <w:spacing w:line="360" w:lineRule="auto"/>
        <w:ind w:left="720" w:hanging="720"/>
        <w:rPr>
          <w:rFonts w:ascii="Arial" w:hAnsi="Arial" w:cs="Arial"/>
        </w:rPr>
      </w:pPr>
    </w:p>
    <w:p w14:paraId="19E0C19C" w14:textId="77777777" w:rsidR="00E272FF" w:rsidRDefault="00E272FF" w:rsidP="00D11EC7">
      <w:pPr>
        <w:spacing w:line="360" w:lineRule="auto"/>
        <w:ind w:left="720" w:hanging="720"/>
        <w:rPr>
          <w:rFonts w:ascii="Arial" w:hAnsi="Arial" w:cs="Arial"/>
        </w:rPr>
      </w:pPr>
    </w:p>
    <w:p w14:paraId="138FD428" w14:textId="77777777" w:rsidR="00E272FF" w:rsidRDefault="00E272FF" w:rsidP="00D11EC7">
      <w:pPr>
        <w:spacing w:line="360" w:lineRule="auto"/>
        <w:ind w:left="720" w:hanging="720"/>
        <w:rPr>
          <w:rFonts w:ascii="Arial" w:hAnsi="Arial" w:cs="Arial"/>
        </w:rPr>
      </w:pPr>
    </w:p>
    <w:p w14:paraId="3BF55F1E" w14:textId="77777777" w:rsidR="00E272FF" w:rsidRDefault="00E272FF" w:rsidP="00E272FF">
      <w:pPr>
        <w:rPr>
          <w:rFonts w:ascii="Arial" w:hAnsi="Arial" w:cs="Arial"/>
        </w:rPr>
        <w:sectPr w:rsidR="00E272FF" w:rsidSect="000D584E">
          <w:pgSz w:w="11906" w:h="16838"/>
          <w:pgMar w:top="1440" w:right="1440" w:bottom="1440" w:left="1440" w:header="708" w:footer="708" w:gutter="0"/>
          <w:cols w:space="708"/>
          <w:titlePg/>
          <w:docGrid w:linePitch="360"/>
        </w:sectPr>
      </w:pPr>
    </w:p>
    <w:p w14:paraId="715E7DBF" w14:textId="2C61B8A5" w:rsidR="00E272FF" w:rsidRPr="00E140C5" w:rsidRDefault="00E272FF" w:rsidP="00E140C5">
      <w:pPr>
        <w:pStyle w:val="Heading2"/>
      </w:pPr>
      <w:bookmarkStart w:id="76" w:name="_Toc225676749"/>
      <w:r w:rsidRPr="00E140C5">
        <w:t>Appendix 3 Poster</w:t>
      </w:r>
      <w:bookmarkEnd w:id="76"/>
    </w:p>
    <w:tbl>
      <w:tblPr>
        <w:tblStyle w:val="TableGrid"/>
        <w:tblW w:w="0" w:type="auto"/>
        <w:tblLook w:val="04A0" w:firstRow="1" w:lastRow="0" w:firstColumn="1" w:lastColumn="0" w:noHBand="0" w:noVBand="1"/>
      </w:tblPr>
      <w:tblGrid>
        <w:gridCol w:w="6974"/>
        <w:gridCol w:w="6974"/>
      </w:tblGrid>
      <w:tr w:rsidR="00C36A5A" w14:paraId="56F29FDB" w14:textId="77777777" w:rsidTr="00BF6167">
        <w:tc>
          <w:tcPr>
            <w:tcW w:w="13948" w:type="dxa"/>
            <w:gridSpan w:val="2"/>
          </w:tcPr>
          <w:p w14:paraId="21BC7C20" w14:textId="082B9EA4" w:rsidR="00C36A5A" w:rsidRPr="00C36A5A" w:rsidRDefault="00C36A5A" w:rsidP="00E272FF">
            <w:pPr>
              <w:rPr>
                <w:rFonts w:ascii="Arial" w:hAnsi="Arial" w:cs="Arial"/>
                <w:lang/>
              </w:rPr>
            </w:pPr>
            <w:r w:rsidRPr="00C36A5A">
              <w:rPr>
                <w:rFonts w:ascii="Arial" w:hAnsi="Arial" w:cs="Arial"/>
                <w:b/>
                <w:bCs/>
              </w:rPr>
              <w:t>An Investigation into the Long-Term Mental Health Outcomes of Adverse Childhood Experiences (ACEs) Among Marginalised and Vulnerable Populations in England and Wales: Implications for NHS Health and Social Care Practice</w:t>
            </w:r>
          </w:p>
        </w:tc>
      </w:tr>
      <w:tr w:rsidR="00C36A5A" w14:paraId="75970B45" w14:textId="77777777" w:rsidTr="00C36A5A">
        <w:tc>
          <w:tcPr>
            <w:tcW w:w="6974" w:type="dxa"/>
          </w:tcPr>
          <w:p w14:paraId="5311C565" w14:textId="77777777" w:rsidR="00C36A5A" w:rsidRPr="00C36A5A" w:rsidRDefault="00C36A5A" w:rsidP="00C36A5A">
            <w:pPr>
              <w:rPr>
                <w:rFonts w:ascii="Arial" w:hAnsi="Arial" w:cs="Arial"/>
                <w:lang/>
              </w:rPr>
            </w:pPr>
            <w:r w:rsidRPr="00C36A5A">
              <w:rPr>
                <w:rFonts w:ascii="Arial" w:hAnsi="Arial" w:cs="Arial"/>
                <w:b/>
                <w:bCs/>
              </w:rPr>
              <w:t>01 Introduction and Research Aim</w:t>
            </w:r>
          </w:p>
          <w:p w14:paraId="34EB724B" w14:textId="711FEA1F" w:rsidR="00C36A5A" w:rsidRPr="00C36A5A" w:rsidRDefault="00C36A5A" w:rsidP="00E272FF">
            <w:pPr>
              <w:rPr>
                <w:rFonts w:ascii="Arial" w:hAnsi="Arial" w:cs="Arial"/>
                <w:lang/>
              </w:rPr>
            </w:pPr>
            <w:r w:rsidRPr="00C36A5A">
              <w:rPr>
                <w:rFonts w:ascii="Arial" w:hAnsi="Arial" w:cs="Arial"/>
              </w:rPr>
              <w:t>Adverse Childhood Experiences (ACEs) have been closely linked with poor mental health inequality over the long term especially in marginalised groups</w:t>
            </w:r>
            <w:r w:rsidRPr="00C36A5A">
              <w:rPr>
                <w:rFonts w:ascii="Arial" w:hAnsi="Arial" w:cs="Arial"/>
                <w:lang w:val="en-US"/>
              </w:rPr>
              <w:t xml:space="preserve"> (</w:t>
            </w:r>
            <w:r w:rsidRPr="00C36A5A">
              <w:rPr>
                <w:rFonts w:ascii="Arial" w:hAnsi="Arial" w:cs="Arial"/>
              </w:rPr>
              <w:t>Hughes et al., 2025</w:t>
            </w:r>
            <w:r w:rsidRPr="00C36A5A">
              <w:rPr>
                <w:rFonts w:ascii="Arial" w:hAnsi="Arial" w:cs="Arial"/>
                <w:lang w:val="en-US"/>
              </w:rPr>
              <w:t xml:space="preserve">; </w:t>
            </w:r>
            <w:r w:rsidRPr="00C36A5A">
              <w:rPr>
                <w:rFonts w:ascii="Arial" w:hAnsi="Arial" w:cs="Arial"/>
              </w:rPr>
              <w:t>Kurdi, 2025</w:t>
            </w:r>
            <w:r w:rsidRPr="00C36A5A">
              <w:rPr>
                <w:rFonts w:ascii="Arial" w:hAnsi="Arial" w:cs="Arial"/>
                <w:lang w:val="en-US"/>
              </w:rPr>
              <w:t>)</w:t>
            </w:r>
            <w:r w:rsidRPr="00C36A5A">
              <w:rPr>
                <w:rFonts w:ascii="Arial" w:hAnsi="Arial" w:cs="Arial"/>
              </w:rPr>
              <w:t xml:space="preserve">. Despite the growing recognition of ACEs in the policy and health-related discourse, the question of whether or not health and social care systems address the needs caused by trauma remains a matter of concern. </w:t>
            </w:r>
            <w:r w:rsidRPr="00C36A5A">
              <w:rPr>
                <w:rFonts w:ascii="Arial" w:hAnsi="Arial" w:cs="Arial"/>
                <w:lang w:val="en-US"/>
              </w:rPr>
              <w:t xml:space="preserve">Consistently, there is a need to evaluate </w:t>
            </w:r>
            <w:r w:rsidRPr="00C36A5A">
              <w:rPr>
                <w:rFonts w:ascii="Arial" w:hAnsi="Arial" w:cs="Arial"/>
              </w:rPr>
              <w:t>how ACEs determine mental health and whether the responses to trauma are sufficiently integrated into practice through the application of trauma-informed healthcare settings. This review aimed to critically evaluate the relationship between adverse childhood experiences and mental health outcomes in marginalised groups in England and Wales.</w:t>
            </w:r>
          </w:p>
        </w:tc>
        <w:tc>
          <w:tcPr>
            <w:tcW w:w="6974" w:type="dxa"/>
          </w:tcPr>
          <w:p w14:paraId="3A35AA5D" w14:textId="77777777" w:rsidR="00C36A5A" w:rsidRPr="00C36A5A" w:rsidRDefault="00C36A5A" w:rsidP="00C36A5A">
            <w:pPr>
              <w:rPr>
                <w:rFonts w:ascii="Arial" w:hAnsi="Arial" w:cs="Arial"/>
                <w:lang/>
              </w:rPr>
            </w:pPr>
            <w:r w:rsidRPr="00C36A5A">
              <w:rPr>
                <w:rFonts w:ascii="Arial" w:hAnsi="Arial" w:cs="Arial"/>
                <w:b/>
                <w:bCs/>
              </w:rPr>
              <w:t>02 Search Strategy</w:t>
            </w:r>
          </w:p>
          <w:p w14:paraId="478C8A00" w14:textId="0870813A" w:rsidR="00C36A5A" w:rsidRPr="00C36A5A" w:rsidRDefault="00C36A5A" w:rsidP="00E272FF">
            <w:pPr>
              <w:rPr>
                <w:rFonts w:ascii="Arial" w:hAnsi="Arial" w:cs="Arial"/>
                <w:lang/>
              </w:rPr>
            </w:pPr>
            <w:r w:rsidRPr="00C36A5A">
              <w:rPr>
                <w:rFonts w:ascii="Arial" w:hAnsi="Arial" w:cs="Arial"/>
              </w:rPr>
              <w:t>Search strategy</w:t>
            </w:r>
            <w:r w:rsidRPr="00C36A5A">
              <w:rPr>
                <w:rFonts w:ascii="Arial" w:hAnsi="Arial" w:cs="Arial"/>
                <w:lang w:val="en-US"/>
              </w:rPr>
              <w:t xml:space="preserve"> is the</w:t>
            </w:r>
            <w:r w:rsidRPr="00C36A5A">
              <w:rPr>
                <w:rFonts w:ascii="Arial" w:hAnsi="Arial" w:cs="Arial"/>
              </w:rPr>
              <w:t xml:space="preserve"> process of searching the academic literature of the secondary research to find the relevant</w:t>
            </w:r>
            <w:r w:rsidRPr="00C36A5A">
              <w:rPr>
                <w:rFonts w:ascii="Arial" w:hAnsi="Arial" w:cs="Arial"/>
                <w:lang w:val="en-US"/>
              </w:rPr>
              <w:t xml:space="preserve"> sources (</w:t>
            </w:r>
            <w:r w:rsidRPr="00C36A5A">
              <w:rPr>
                <w:rFonts w:ascii="Arial" w:hAnsi="Arial" w:cs="Arial"/>
              </w:rPr>
              <w:t>Furlong and Lester, 2023</w:t>
            </w:r>
            <w:r w:rsidRPr="00C36A5A">
              <w:rPr>
                <w:rFonts w:ascii="Arial" w:hAnsi="Arial" w:cs="Arial"/>
                <w:lang w:val="en-US"/>
              </w:rPr>
              <w:t>)</w:t>
            </w:r>
            <w:r w:rsidRPr="00C36A5A">
              <w:rPr>
                <w:rFonts w:ascii="Arial" w:hAnsi="Arial" w:cs="Arial"/>
              </w:rPr>
              <w:t>. It entails systematic search by means of predetermined keywords, databases</w:t>
            </w:r>
            <w:r w:rsidRPr="00C36A5A">
              <w:rPr>
                <w:rFonts w:ascii="Arial" w:hAnsi="Arial" w:cs="Arial"/>
                <w:lang w:val="en-US"/>
              </w:rPr>
              <w:t xml:space="preserve"> (</w:t>
            </w:r>
            <w:r w:rsidRPr="00C36A5A">
              <w:rPr>
                <w:rFonts w:ascii="Arial" w:hAnsi="Arial" w:cs="Arial"/>
              </w:rPr>
              <w:t>CINAHL, MEDLINE, PsycINFO</w:t>
            </w:r>
            <w:r w:rsidRPr="00C36A5A">
              <w:rPr>
                <w:rFonts w:ascii="Arial" w:hAnsi="Arial" w:cs="Arial"/>
                <w:lang w:val="en-US"/>
              </w:rPr>
              <w:t xml:space="preserve">, </w:t>
            </w:r>
            <w:r w:rsidRPr="00C36A5A">
              <w:rPr>
                <w:rFonts w:ascii="Arial" w:hAnsi="Arial" w:cs="Arial"/>
              </w:rPr>
              <w:t>UWTSD Library, NHS England, Public Health Wales, OHID and GOV.UK</w:t>
            </w:r>
            <w:r w:rsidRPr="00C36A5A">
              <w:rPr>
                <w:rFonts w:ascii="Arial" w:hAnsi="Arial" w:cs="Arial"/>
                <w:lang w:val="en-US"/>
              </w:rPr>
              <w:t xml:space="preserve"> repositories)</w:t>
            </w:r>
            <w:r w:rsidRPr="00C36A5A">
              <w:rPr>
                <w:rFonts w:ascii="Arial" w:hAnsi="Arial" w:cs="Arial"/>
              </w:rPr>
              <w:t xml:space="preserve"> and search boundaries to make sure that evidence is suitable and reliable. </w:t>
            </w:r>
            <w:r w:rsidRPr="00C36A5A">
              <w:rPr>
                <w:rFonts w:ascii="Arial" w:hAnsi="Arial" w:cs="Arial"/>
                <w:lang w:val="en-US"/>
              </w:rPr>
              <w:t xml:space="preserve">The </w:t>
            </w:r>
            <w:r w:rsidRPr="00C36A5A">
              <w:rPr>
                <w:rFonts w:ascii="Arial" w:hAnsi="Arial" w:cs="Arial"/>
              </w:rPr>
              <w:t>search</w:t>
            </w:r>
            <w:r w:rsidRPr="00C36A5A">
              <w:rPr>
                <w:rFonts w:ascii="Arial" w:hAnsi="Arial" w:cs="Arial"/>
                <w:lang w:val="en-US"/>
              </w:rPr>
              <w:t xml:space="preserve"> entailed selecting </w:t>
            </w:r>
            <w:r w:rsidRPr="00C36A5A">
              <w:rPr>
                <w:rFonts w:ascii="Arial" w:hAnsi="Arial" w:cs="Arial"/>
              </w:rPr>
              <w:t xml:space="preserve">peer-reviewed articles </w:t>
            </w:r>
            <w:r w:rsidRPr="00C36A5A">
              <w:rPr>
                <w:rFonts w:ascii="Arial" w:hAnsi="Arial" w:cs="Arial"/>
                <w:lang w:val="en-US"/>
              </w:rPr>
              <w:t>on</w:t>
            </w:r>
            <w:r w:rsidRPr="00C36A5A">
              <w:rPr>
                <w:rFonts w:ascii="Arial" w:hAnsi="Arial" w:cs="Arial"/>
              </w:rPr>
              <w:t xml:space="preserve"> ACEs</w:t>
            </w:r>
            <w:r w:rsidRPr="00C36A5A">
              <w:rPr>
                <w:rFonts w:ascii="Arial" w:hAnsi="Arial" w:cs="Arial"/>
                <w:lang w:val="en-US"/>
              </w:rPr>
              <w:t xml:space="preserve"> among marginalized populations in the UK</w:t>
            </w:r>
            <w:r w:rsidRPr="00C36A5A">
              <w:rPr>
                <w:rFonts w:ascii="Arial" w:hAnsi="Arial" w:cs="Arial"/>
              </w:rPr>
              <w:t>, mental health disparities and trauma-informed care</w:t>
            </w:r>
            <w:r w:rsidRPr="00C36A5A">
              <w:rPr>
                <w:rFonts w:ascii="Arial" w:hAnsi="Arial" w:cs="Arial"/>
                <w:lang w:val="en-US"/>
              </w:rPr>
              <w:t>. Keyword included</w:t>
            </w:r>
            <w:r w:rsidRPr="00C36A5A">
              <w:rPr>
                <w:rFonts w:ascii="Arial" w:hAnsi="Arial" w:cs="Arial"/>
              </w:rPr>
              <w:t xml:space="preserve"> Adverse Childhood Experiences, mental health outcomes, and trauma-informed care and marginalised populations. Search results were refined </w:t>
            </w:r>
            <w:r w:rsidRPr="00C36A5A">
              <w:rPr>
                <w:rFonts w:ascii="Arial" w:hAnsi="Arial" w:cs="Arial"/>
                <w:lang w:val="en-US"/>
              </w:rPr>
              <w:t>using</w:t>
            </w:r>
            <w:r w:rsidRPr="00C36A5A">
              <w:rPr>
                <w:rFonts w:ascii="Arial" w:hAnsi="Arial" w:cs="Arial"/>
              </w:rPr>
              <w:t xml:space="preserve"> the Boolean operators </w:t>
            </w:r>
            <w:r w:rsidRPr="00C36A5A">
              <w:rPr>
                <w:rFonts w:ascii="Arial" w:hAnsi="Arial" w:cs="Arial"/>
                <w:lang w:val="en-US"/>
              </w:rPr>
              <w:t>to</w:t>
            </w:r>
            <w:r w:rsidRPr="00C36A5A">
              <w:rPr>
                <w:rFonts w:ascii="Arial" w:hAnsi="Arial" w:cs="Arial"/>
              </w:rPr>
              <w:t xml:space="preserve"> improve relevance</w:t>
            </w:r>
            <w:r w:rsidRPr="00C36A5A">
              <w:rPr>
                <w:rFonts w:ascii="Arial" w:hAnsi="Arial" w:cs="Arial"/>
                <w:lang w:val="en-US"/>
              </w:rPr>
              <w:t xml:space="preserve">, allowing recognition of sources </w:t>
            </w:r>
            <w:r w:rsidRPr="00C36A5A">
              <w:rPr>
                <w:rFonts w:ascii="Arial" w:hAnsi="Arial" w:cs="Arial"/>
              </w:rPr>
              <w:t>that met the objective of the research.</w:t>
            </w:r>
          </w:p>
        </w:tc>
      </w:tr>
      <w:tr w:rsidR="00C36A5A" w14:paraId="647DA891" w14:textId="77777777" w:rsidTr="00C36A5A">
        <w:tc>
          <w:tcPr>
            <w:tcW w:w="6974" w:type="dxa"/>
          </w:tcPr>
          <w:p w14:paraId="7009C9E8" w14:textId="77777777" w:rsidR="00C36A5A" w:rsidRPr="00C36A5A" w:rsidRDefault="00C36A5A" w:rsidP="00C36A5A">
            <w:pPr>
              <w:rPr>
                <w:rFonts w:ascii="Arial" w:hAnsi="Arial" w:cs="Arial"/>
                <w:lang/>
              </w:rPr>
            </w:pPr>
            <w:r w:rsidRPr="00C36A5A">
              <w:rPr>
                <w:rFonts w:ascii="Arial" w:hAnsi="Arial" w:cs="Arial"/>
                <w:b/>
                <w:bCs/>
              </w:rPr>
              <w:t>03 Searching for Information</w:t>
            </w:r>
          </w:p>
          <w:p w14:paraId="4293BEFE" w14:textId="77777777" w:rsidR="00C36A5A" w:rsidRPr="00C36A5A" w:rsidRDefault="00C36A5A" w:rsidP="00C36A5A">
            <w:pPr>
              <w:rPr>
                <w:rFonts w:ascii="Arial" w:hAnsi="Arial" w:cs="Arial"/>
                <w:lang/>
              </w:rPr>
            </w:pPr>
            <w:r w:rsidRPr="00C36A5A">
              <w:rPr>
                <w:rFonts w:ascii="Arial" w:hAnsi="Arial" w:cs="Arial"/>
              </w:rPr>
              <w:t>The identification of relevant studies was done systematically</w:t>
            </w:r>
            <w:r w:rsidRPr="00C36A5A">
              <w:rPr>
                <w:rFonts w:ascii="Arial" w:hAnsi="Arial" w:cs="Arial"/>
                <w:lang w:val="en-US"/>
              </w:rPr>
              <w:t>:</w:t>
            </w:r>
          </w:p>
          <w:p w14:paraId="3912FDE6" w14:textId="77777777" w:rsidR="00C36A5A" w:rsidRPr="00C36A5A" w:rsidRDefault="00C36A5A" w:rsidP="00C36A5A">
            <w:pPr>
              <w:ind w:left="318" w:hanging="318"/>
              <w:rPr>
                <w:rFonts w:ascii="Arial" w:hAnsi="Arial" w:cs="Arial"/>
                <w:lang/>
              </w:rPr>
            </w:pPr>
            <w:r w:rsidRPr="00C36A5A">
              <w:rPr>
                <w:rFonts w:ascii="Arial" w:hAnsi="Arial" w:cs="Arial"/>
              </w:rPr>
              <w:t>1.</w:t>
            </w:r>
            <w:r w:rsidRPr="00C36A5A">
              <w:rPr>
                <w:rFonts w:ascii="Arial" w:hAnsi="Arial" w:cs="Arial"/>
              </w:rPr>
              <w:tab/>
              <w:t>To have credible sources, academic databases were chosen.</w:t>
            </w:r>
          </w:p>
          <w:p w14:paraId="28A3426A" w14:textId="77777777" w:rsidR="00C36A5A" w:rsidRPr="00C36A5A" w:rsidRDefault="00C36A5A" w:rsidP="00C36A5A">
            <w:pPr>
              <w:ind w:left="318" w:hanging="318"/>
              <w:rPr>
                <w:rFonts w:ascii="Arial" w:hAnsi="Arial" w:cs="Arial"/>
                <w:lang/>
              </w:rPr>
            </w:pPr>
            <w:r w:rsidRPr="00C36A5A">
              <w:rPr>
                <w:rFonts w:ascii="Arial" w:hAnsi="Arial" w:cs="Arial"/>
              </w:rPr>
              <w:t>2.</w:t>
            </w:r>
            <w:r w:rsidRPr="00C36A5A">
              <w:rPr>
                <w:rFonts w:ascii="Arial" w:hAnsi="Arial" w:cs="Arial"/>
              </w:rPr>
              <w:tab/>
              <w:t>Keywords have been created according to the research purpose.</w:t>
            </w:r>
          </w:p>
          <w:p w14:paraId="1A379887" w14:textId="77777777" w:rsidR="00C36A5A" w:rsidRPr="00C36A5A" w:rsidRDefault="00C36A5A" w:rsidP="00C36A5A">
            <w:pPr>
              <w:ind w:left="318" w:hanging="318"/>
              <w:rPr>
                <w:rFonts w:ascii="Arial" w:hAnsi="Arial" w:cs="Arial"/>
                <w:lang/>
              </w:rPr>
            </w:pPr>
            <w:r w:rsidRPr="00C36A5A">
              <w:rPr>
                <w:rFonts w:ascii="Arial" w:hAnsi="Arial" w:cs="Arial"/>
              </w:rPr>
              <w:t>3.</w:t>
            </w:r>
            <w:r w:rsidRPr="00C36A5A">
              <w:rPr>
                <w:rFonts w:ascii="Arial" w:hAnsi="Arial" w:cs="Arial"/>
              </w:rPr>
              <w:tab/>
              <w:t xml:space="preserve">Search results were </w:t>
            </w:r>
            <w:r w:rsidRPr="00C36A5A">
              <w:rPr>
                <w:rFonts w:ascii="Arial" w:hAnsi="Arial" w:cs="Arial"/>
                <w:lang w:val="en-US"/>
              </w:rPr>
              <w:t>filtered</w:t>
            </w:r>
            <w:r w:rsidRPr="00C36A5A">
              <w:rPr>
                <w:rFonts w:ascii="Arial" w:hAnsi="Arial" w:cs="Arial"/>
              </w:rPr>
              <w:t xml:space="preserve"> with the help of Boolean operators (AND/OR).</w:t>
            </w:r>
          </w:p>
          <w:p w14:paraId="61E33979" w14:textId="77777777" w:rsidR="00C36A5A" w:rsidRPr="00C36A5A" w:rsidRDefault="00C36A5A" w:rsidP="00C36A5A">
            <w:pPr>
              <w:ind w:left="318" w:hanging="318"/>
              <w:rPr>
                <w:rFonts w:ascii="Arial" w:hAnsi="Arial" w:cs="Arial"/>
                <w:lang/>
              </w:rPr>
            </w:pPr>
            <w:r w:rsidRPr="00C36A5A">
              <w:rPr>
                <w:rFonts w:ascii="Arial" w:hAnsi="Arial" w:cs="Arial"/>
              </w:rPr>
              <w:t>4.</w:t>
            </w:r>
            <w:r w:rsidRPr="00C36A5A">
              <w:rPr>
                <w:rFonts w:ascii="Arial" w:hAnsi="Arial" w:cs="Arial"/>
              </w:rPr>
              <w:tab/>
              <w:t>Relevant titles and abstracts were filtered.</w:t>
            </w:r>
          </w:p>
          <w:p w14:paraId="6F0A46B6" w14:textId="77777777" w:rsidR="00C36A5A" w:rsidRDefault="00C36A5A" w:rsidP="00C36A5A">
            <w:pPr>
              <w:ind w:left="318" w:hanging="318"/>
              <w:rPr>
                <w:rFonts w:ascii="Arial" w:hAnsi="Arial" w:cs="Arial"/>
              </w:rPr>
            </w:pPr>
            <w:r w:rsidRPr="00C36A5A">
              <w:rPr>
                <w:rFonts w:ascii="Arial" w:hAnsi="Arial" w:cs="Arial"/>
              </w:rPr>
              <w:t>5.</w:t>
            </w:r>
            <w:r w:rsidRPr="00C36A5A">
              <w:rPr>
                <w:rFonts w:ascii="Arial" w:hAnsi="Arial" w:cs="Arial"/>
              </w:rPr>
              <w:tab/>
              <w:t>Inclusion was done after CRAAP test of full articles.</w:t>
            </w:r>
          </w:p>
          <w:p w14:paraId="7187436A" w14:textId="77777777" w:rsidR="00C36A5A" w:rsidRDefault="00C36A5A" w:rsidP="00E272FF">
            <w:pPr>
              <w:rPr>
                <w:rFonts w:ascii="Arial" w:hAnsi="Arial" w:cs="Arial"/>
              </w:rPr>
            </w:pPr>
          </w:p>
          <w:p w14:paraId="3761B4F5" w14:textId="77777777" w:rsidR="00C36A5A" w:rsidRDefault="00C36A5A" w:rsidP="00E272FF">
            <w:pPr>
              <w:rPr>
                <w:rFonts w:ascii="Arial" w:hAnsi="Arial" w:cs="Arial"/>
              </w:rPr>
            </w:pPr>
          </w:p>
          <w:p w14:paraId="3E985E23" w14:textId="5B291D5A" w:rsidR="00C36A5A" w:rsidRPr="00C36A5A" w:rsidRDefault="00C36A5A" w:rsidP="00E272FF">
            <w:pPr>
              <w:rPr>
                <w:rFonts w:ascii="Arial" w:hAnsi="Arial" w:cs="Arial"/>
                <w:lang/>
              </w:rPr>
            </w:pPr>
          </w:p>
        </w:tc>
        <w:tc>
          <w:tcPr>
            <w:tcW w:w="6974" w:type="dxa"/>
          </w:tcPr>
          <w:p w14:paraId="3BA79545" w14:textId="77777777" w:rsidR="00C36A5A" w:rsidRPr="00C36A5A" w:rsidRDefault="00C36A5A" w:rsidP="00C36A5A">
            <w:pPr>
              <w:rPr>
                <w:rFonts w:ascii="Arial" w:hAnsi="Arial" w:cs="Arial"/>
                <w:lang/>
              </w:rPr>
            </w:pPr>
            <w:r w:rsidRPr="00C36A5A">
              <w:rPr>
                <w:rFonts w:ascii="Arial" w:hAnsi="Arial" w:cs="Arial"/>
                <w:b/>
                <w:bCs/>
                <w:lang w:val="en-US"/>
              </w:rPr>
              <w:t>04 Picture/Graph/Visual Aid/Statistics</w:t>
            </w:r>
          </w:p>
          <w:p w14:paraId="587FC899" w14:textId="77777777" w:rsidR="00C36A5A" w:rsidRDefault="00C36A5A" w:rsidP="00C36A5A">
            <w:pPr>
              <w:tabs>
                <w:tab w:val="right" w:pos="6758"/>
              </w:tabs>
              <w:rPr>
                <w:rFonts w:ascii="Arial" w:hAnsi="Arial" w:cs="Arial"/>
              </w:rPr>
            </w:pPr>
            <w:r w:rsidRPr="00C36A5A">
              <w:rPr>
                <w:rFonts w:ascii="Arial" w:hAnsi="Arial" w:cs="Arial"/>
                <w:noProof/>
              </w:rPr>
              <w:drawing>
                <wp:inline distT="0" distB="0" distL="0" distR="0" wp14:anchorId="204456D2" wp14:editId="78C38B08">
                  <wp:extent cx="3396613" cy="1868769"/>
                  <wp:effectExtent l="0" t="0" r="0" b="0"/>
                  <wp:docPr id="5" name="Picture 4">
                    <a:extLst xmlns:a="http://schemas.openxmlformats.org/drawingml/2006/main">
                      <a:ext uri="{FF2B5EF4-FFF2-40B4-BE49-F238E27FC236}">
                        <a16:creationId xmlns:a16="http://schemas.microsoft.com/office/drawing/2014/main" id="{3CE6D8D5-35DB-58CA-63D5-C344DBE0DA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CE6D8D5-35DB-58CA-63D5-C344DBE0DA2A}"/>
                              </a:ext>
                            </a:extLst>
                          </pic:cNvPr>
                          <pic:cNvPicPr>
                            <a:picLocks noChangeAspect="1"/>
                          </pic:cNvPicPr>
                        </pic:nvPicPr>
                        <pic:blipFill>
                          <a:blip r:embed="rId72"/>
                          <a:stretch>
                            <a:fillRect/>
                          </a:stretch>
                        </pic:blipFill>
                        <pic:spPr>
                          <a:xfrm>
                            <a:off x="0" y="0"/>
                            <a:ext cx="3396613" cy="1868769"/>
                          </a:xfrm>
                          <a:prstGeom prst="rect">
                            <a:avLst/>
                          </a:prstGeom>
                        </pic:spPr>
                      </pic:pic>
                    </a:graphicData>
                  </a:graphic>
                </wp:inline>
              </w:drawing>
            </w:r>
            <w:r>
              <w:rPr>
                <w:rFonts w:ascii="Arial" w:hAnsi="Arial" w:cs="Arial"/>
              </w:rPr>
              <w:tab/>
            </w:r>
          </w:p>
          <w:p w14:paraId="51184824" w14:textId="15B4E9F3" w:rsidR="00C36A5A" w:rsidRPr="00C36A5A" w:rsidRDefault="00C36A5A" w:rsidP="00C36A5A">
            <w:pPr>
              <w:tabs>
                <w:tab w:val="right" w:pos="6758"/>
              </w:tabs>
              <w:rPr>
                <w:rFonts w:ascii="Arial" w:hAnsi="Arial" w:cs="Arial"/>
                <w:lang/>
              </w:rPr>
            </w:pPr>
            <w:r w:rsidRPr="00C36A5A">
              <w:rPr>
                <w:rFonts w:ascii="Arial" w:hAnsi="Arial" w:cs="Arial"/>
                <w:lang/>
              </w:rPr>
              <w:t xml:space="preserve">TRACEs+ Pyramid </w:t>
            </w:r>
          </w:p>
          <w:p w14:paraId="2B947DB2" w14:textId="77777777" w:rsidR="00C36A5A" w:rsidRPr="00C36A5A" w:rsidRDefault="00C36A5A" w:rsidP="00C36A5A">
            <w:pPr>
              <w:tabs>
                <w:tab w:val="right" w:pos="6758"/>
              </w:tabs>
              <w:rPr>
                <w:rFonts w:ascii="Arial" w:hAnsi="Arial" w:cs="Arial"/>
                <w:lang/>
              </w:rPr>
            </w:pPr>
            <w:r w:rsidRPr="00C36A5A">
              <w:rPr>
                <w:rFonts w:ascii="Arial" w:hAnsi="Arial" w:cs="Arial"/>
              </w:rPr>
              <w:t>(</w:t>
            </w:r>
            <w:r w:rsidRPr="00C36A5A">
              <w:rPr>
                <w:rFonts w:ascii="Arial" w:hAnsi="Arial" w:cs="Arial"/>
                <w:lang/>
              </w:rPr>
              <w:t>Weems</w:t>
            </w:r>
            <w:r w:rsidRPr="00C36A5A">
              <w:rPr>
                <w:rFonts w:ascii="Arial" w:hAnsi="Arial" w:cs="Arial"/>
                <w:lang w:val="en-US"/>
              </w:rPr>
              <w:t xml:space="preserve"> et al. 2021</w:t>
            </w:r>
            <w:r w:rsidRPr="00C36A5A">
              <w:rPr>
                <w:rFonts w:ascii="Arial" w:hAnsi="Arial" w:cs="Arial"/>
              </w:rPr>
              <w:t>)</w:t>
            </w:r>
            <w:r w:rsidRPr="00C36A5A">
              <w:rPr>
                <w:rFonts w:ascii="Arial" w:hAnsi="Arial" w:cs="Arial"/>
                <w:lang w:val="en-US"/>
              </w:rPr>
              <w:t xml:space="preserve"> </w:t>
            </w:r>
          </w:p>
          <w:p w14:paraId="76603928" w14:textId="7AA6EFBA" w:rsidR="00C36A5A" w:rsidRDefault="00C36A5A" w:rsidP="00C36A5A">
            <w:pPr>
              <w:tabs>
                <w:tab w:val="right" w:pos="6758"/>
              </w:tabs>
              <w:rPr>
                <w:rFonts w:ascii="Arial" w:hAnsi="Arial" w:cs="Arial"/>
              </w:rPr>
            </w:pPr>
          </w:p>
        </w:tc>
      </w:tr>
    </w:tbl>
    <w:p w14:paraId="1FD4ED63" w14:textId="66444FD9" w:rsidR="00C36A5A" w:rsidRDefault="00C36A5A" w:rsidP="00E272FF">
      <w:pPr>
        <w:rPr>
          <w:rFonts w:ascii="Arial" w:hAnsi="Arial" w:cs="Arial"/>
        </w:rPr>
      </w:pPr>
    </w:p>
    <w:tbl>
      <w:tblPr>
        <w:tblStyle w:val="TableGrid"/>
        <w:tblW w:w="13892" w:type="dxa"/>
        <w:tblInd w:w="-5" w:type="dxa"/>
        <w:tblLook w:val="04A0" w:firstRow="1" w:lastRow="0" w:firstColumn="1" w:lastColumn="0" w:noHBand="0" w:noVBand="1"/>
      </w:tblPr>
      <w:tblGrid>
        <w:gridCol w:w="6946"/>
        <w:gridCol w:w="6946"/>
      </w:tblGrid>
      <w:tr w:rsidR="00C36A5A" w14:paraId="128B2D1F" w14:textId="77777777" w:rsidTr="00C36A5A">
        <w:tc>
          <w:tcPr>
            <w:tcW w:w="13892" w:type="dxa"/>
            <w:gridSpan w:val="2"/>
          </w:tcPr>
          <w:p w14:paraId="7FEE1405" w14:textId="77777777" w:rsidR="00C36A5A" w:rsidRPr="00C36A5A" w:rsidRDefault="00C36A5A" w:rsidP="00C36A5A">
            <w:pPr>
              <w:spacing w:line="276" w:lineRule="auto"/>
              <w:rPr>
                <w:rFonts w:ascii="Arial" w:hAnsi="Arial" w:cs="Arial"/>
                <w:lang/>
              </w:rPr>
            </w:pPr>
            <w:r w:rsidRPr="00C36A5A">
              <w:rPr>
                <w:rFonts w:ascii="Arial" w:hAnsi="Arial" w:cs="Arial"/>
                <w:b/>
                <w:bCs/>
              </w:rPr>
              <w:t>05 Research Validation and Analysis</w:t>
            </w:r>
          </w:p>
          <w:p w14:paraId="2CAA0B95" w14:textId="4ED11D4C" w:rsidR="00C36A5A" w:rsidRPr="00C36A5A" w:rsidRDefault="00C36A5A" w:rsidP="00C36A5A">
            <w:pPr>
              <w:spacing w:line="276" w:lineRule="auto"/>
              <w:rPr>
                <w:rFonts w:ascii="Arial" w:hAnsi="Arial" w:cs="Arial"/>
                <w:lang/>
              </w:rPr>
            </w:pPr>
            <w:r w:rsidRPr="00C36A5A">
              <w:rPr>
                <w:rFonts w:ascii="Arial" w:hAnsi="Arial" w:cs="Arial"/>
              </w:rPr>
              <w:t>Research validation gives credibility, reliability and relevancy to secondary sources</w:t>
            </w:r>
            <w:r w:rsidRPr="00C36A5A">
              <w:rPr>
                <w:rFonts w:ascii="Arial" w:hAnsi="Arial" w:cs="Arial"/>
                <w:lang w:val="en-US"/>
              </w:rPr>
              <w:t xml:space="preserve"> (</w:t>
            </w:r>
            <w:r w:rsidRPr="00C36A5A">
              <w:rPr>
                <w:rFonts w:ascii="Arial" w:hAnsi="Arial" w:cs="Arial"/>
              </w:rPr>
              <w:t>Arai, 2023</w:t>
            </w:r>
            <w:r w:rsidRPr="00C36A5A">
              <w:rPr>
                <w:rFonts w:ascii="Arial" w:hAnsi="Arial" w:cs="Arial"/>
                <w:lang w:val="en-US"/>
              </w:rPr>
              <w:t>)</w:t>
            </w:r>
            <w:r w:rsidRPr="00C36A5A">
              <w:rPr>
                <w:rFonts w:ascii="Arial" w:hAnsi="Arial" w:cs="Arial"/>
              </w:rPr>
              <w:t xml:space="preserve">. Quality of methodology and reduction of bias was achieved through </w:t>
            </w:r>
            <w:r w:rsidRPr="00C36A5A">
              <w:rPr>
                <w:rFonts w:ascii="Arial" w:hAnsi="Arial" w:cs="Arial"/>
                <w:lang w:val="en-US"/>
              </w:rPr>
              <w:t>CRAAP appraisal</w:t>
            </w:r>
            <w:r w:rsidRPr="00C36A5A">
              <w:rPr>
                <w:rFonts w:ascii="Arial" w:hAnsi="Arial" w:cs="Arial"/>
              </w:rPr>
              <w:t>. Nevertheless, the use of available literature restrict</w:t>
            </w:r>
            <w:r w:rsidRPr="00C36A5A">
              <w:rPr>
                <w:rFonts w:ascii="Arial" w:hAnsi="Arial" w:cs="Arial"/>
                <w:lang w:val="en-US"/>
              </w:rPr>
              <w:t>ed</w:t>
            </w:r>
            <w:r w:rsidRPr="00C36A5A">
              <w:rPr>
                <w:rFonts w:ascii="Arial" w:hAnsi="Arial" w:cs="Arial"/>
              </w:rPr>
              <w:t xml:space="preserve"> the manipulation of study design </w:t>
            </w:r>
            <w:r w:rsidRPr="00C36A5A">
              <w:rPr>
                <w:rFonts w:ascii="Arial" w:hAnsi="Arial" w:cs="Arial"/>
                <w:lang w:val="en-US"/>
              </w:rPr>
              <w:t>across UK</w:t>
            </w:r>
            <w:r w:rsidRPr="00C36A5A">
              <w:rPr>
                <w:rFonts w:ascii="Arial" w:hAnsi="Arial" w:cs="Arial"/>
              </w:rPr>
              <w:t xml:space="preserve"> healthcare systems. The thematic analysis was used to conduct the analysis of the literature, where </w:t>
            </w:r>
            <w:r w:rsidRPr="00C36A5A">
              <w:rPr>
                <w:rFonts w:ascii="Arial" w:hAnsi="Arial" w:cs="Arial"/>
                <w:lang w:val="en-US"/>
              </w:rPr>
              <w:t xml:space="preserve">repeat </w:t>
            </w:r>
            <w:r w:rsidRPr="00C36A5A">
              <w:rPr>
                <w:rFonts w:ascii="Arial" w:hAnsi="Arial" w:cs="Arial"/>
              </w:rPr>
              <w:t xml:space="preserve">patterns emerging in the studies were clustered into themes. </w:t>
            </w:r>
          </w:p>
        </w:tc>
      </w:tr>
      <w:tr w:rsidR="00C36A5A" w14:paraId="25077CDA" w14:textId="77777777" w:rsidTr="00C36A5A">
        <w:tc>
          <w:tcPr>
            <w:tcW w:w="6946" w:type="dxa"/>
          </w:tcPr>
          <w:p w14:paraId="50DD7085" w14:textId="77777777" w:rsidR="00C36A5A" w:rsidRPr="00C36A5A" w:rsidRDefault="00C36A5A" w:rsidP="00C36A5A">
            <w:pPr>
              <w:spacing w:line="360" w:lineRule="auto"/>
              <w:rPr>
                <w:rFonts w:ascii="Arial" w:hAnsi="Arial" w:cs="Arial"/>
                <w:lang/>
              </w:rPr>
            </w:pPr>
            <w:r w:rsidRPr="00C36A5A">
              <w:rPr>
                <w:rFonts w:ascii="Arial" w:hAnsi="Arial" w:cs="Arial"/>
                <w:b/>
                <w:bCs/>
              </w:rPr>
              <w:t xml:space="preserve">06 Inclusion Criteria </w:t>
            </w:r>
          </w:p>
          <w:p w14:paraId="5A3276A8" w14:textId="77777777" w:rsidR="00C36A5A" w:rsidRPr="00C36A5A" w:rsidRDefault="00C36A5A" w:rsidP="00C36A5A">
            <w:pPr>
              <w:numPr>
                <w:ilvl w:val="0"/>
                <w:numId w:val="6"/>
              </w:numPr>
              <w:spacing w:line="360" w:lineRule="auto"/>
              <w:rPr>
                <w:rFonts w:ascii="Arial" w:hAnsi="Arial" w:cs="Arial"/>
                <w:lang/>
              </w:rPr>
            </w:pPr>
            <w:r w:rsidRPr="00C36A5A">
              <w:rPr>
                <w:rFonts w:ascii="Arial" w:hAnsi="Arial" w:cs="Arial"/>
              </w:rPr>
              <w:t xml:space="preserve">Articles </w:t>
            </w:r>
            <w:r w:rsidRPr="00C36A5A">
              <w:rPr>
                <w:rFonts w:ascii="Arial" w:hAnsi="Arial" w:cs="Arial"/>
                <w:lang w:val="en-US"/>
              </w:rPr>
              <w:t xml:space="preserve">with </w:t>
            </w:r>
            <w:r w:rsidRPr="00C36A5A">
              <w:rPr>
                <w:rFonts w:ascii="Arial" w:hAnsi="Arial" w:cs="Arial"/>
              </w:rPr>
              <w:t>literature on ACE exposure in marginalised or vulnerable groups.</w:t>
            </w:r>
          </w:p>
          <w:p w14:paraId="5CFEEACA" w14:textId="77777777" w:rsidR="00C36A5A" w:rsidRPr="00C36A5A" w:rsidRDefault="00C36A5A" w:rsidP="00C36A5A">
            <w:pPr>
              <w:numPr>
                <w:ilvl w:val="0"/>
                <w:numId w:val="6"/>
              </w:numPr>
              <w:spacing w:line="360" w:lineRule="auto"/>
              <w:rPr>
                <w:rFonts w:ascii="Arial" w:hAnsi="Arial" w:cs="Arial"/>
                <w:lang/>
              </w:rPr>
            </w:pPr>
            <w:r w:rsidRPr="00C36A5A">
              <w:rPr>
                <w:rFonts w:ascii="Arial" w:hAnsi="Arial" w:cs="Arial"/>
              </w:rPr>
              <w:t xml:space="preserve">Studies of adverse childhood experiences </w:t>
            </w:r>
          </w:p>
          <w:p w14:paraId="3A822678" w14:textId="77777777" w:rsidR="00C36A5A" w:rsidRPr="00C36A5A" w:rsidRDefault="00C36A5A" w:rsidP="00C36A5A">
            <w:pPr>
              <w:numPr>
                <w:ilvl w:val="0"/>
                <w:numId w:val="6"/>
              </w:numPr>
              <w:spacing w:line="360" w:lineRule="auto"/>
              <w:rPr>
                <w:rFonts w:ascii="Arial" w:hAnsi="Arial" w:cs="Arial"/>
                <w:lang/>
              </w:rPr>
            </w:pPr>
            <w:r w:rsidRPr="00C36A5A">
              <w:rPr>
                <w:rFonts w:ascii="Arial" w:hAnsi="Arial" w:cs="Arial"/>
              </w:rPr>
              <w:t>On UK based research, this is applicable in England and Wales.</w:t>
            </w:r>
          </w:p>
          <w:p w14:paraId="2E0A9054" w14:textId="77777777" w:rsidR="00C36A5A" w:rsidRPr="00C36A5A" w:rsidRDefault="00C36A5A" w:rsidP="00C36A5A">
            <w:pPr>
              <w:numPr>
                <w:ilvl w:val="0"/>
                <w:numId w:val="6"/>
              </w:numPr>
              <w:spacing w:line="360" w:lineRule="auto"/>
              <w:rPr>
                <w:rFonts w:ascii="Arial" w:hAnsi="Arial" w:cs="Arial"/>
                <w:lang/>
              </w:rPr>
            </w:pPr>
            <w:r w:rsidRPr="00C36A5A">
              <w:rPr>
                <w:rFonts w:ascii="Arial" w:hAnsi="Arial" w:cs="Arial"/>
              </w:rPr>
              <w:t xml:space="preserve">Long-term mental health outcome studies </w:t>
            </w:r>
          </w:p>
          <w:p w14:paraId="664FABF9" w14:textId="77777777" w:rsidR="00C36A5A" w:rsidRPr="00C36A5A" w:rsidRDefault="00C36A5A" w:rsidP="00C36A5A">
            <w:pPr>
              <w:numPr>
                <w:ilvl w:val="0"/>
                <w:numId w:val="6"/>
              </w:numPr>
              <w:spacing w:line="360" w:lineRule="auto"/>
              <w:rPr>
                <w:rFonts w:ascii="Arial" w:hAnsi="Arial" w:cs="Arial"/>
                <w:lang/>
              </w:rPr>
            </w:pPr>
            <w:r w:rsidRPr="00C36A5A">
              <w:rPr>
                <w:rFonts w:ascii="Arial" w:hAnsi="Arial" w:cs="Arial"/>
              </w:rPr>
              <w:t>Empirical, systematic reviews and policy reports</w:t>
            </w:r>
          </w:p>
          <w:p w14:paraId="198557E9" w14:textId="77777777" w:rsidR="00C36A5A" w:rsidRPr="00C36A5A" w:rsidRDefault="00C36A5A" w:rsidP="00C36A5A">
            <w:pPr>
              <w:numPr>
                <w:ilvl w:val="0"/>
                <w:numId w:val="6"/>
              </w:numPr>
              <w:spacing w:line="360" w:lineRule="auto"/>
              <w:rPr>
                <w:rFonts w:ascii="Arial" w:hAnsi="Arial" w:cs="Arial"/>
                <w:lang/>
              </w:rPr>
            </w:pPr>
            <w:r w:rsidRPr="00C36A5A">
              <w:rPr>
                <w:rFonts w:ascii="Arial" w:hAnsi="Arial" w:cs="Arial"/>
              </w:rPr>
              <w:t>UK studies or research that are relevant in England and Wales</w:t>
            </w:r>
          </w:p>
          <w:p w14:paraId="004EB783" w14:textId="52664FF0" w:rsidR="00C36A5A" w:rsidRPr="00C36A5A" w:rsidRDefault="00C36A5A" w:rsidP="00D11EC7">
            <w:pPr>
              <w:numPr>
                <w:ilvl w:val="0"/>
                <w:numId w:val="6"/>
              </w:numPr>
              <w:spacing w:line="360" w:lineRule="auto"/>
              <w:rPr>
                <w:rFonts w:ascii="Arial" w:hAnsi="Arial" w:cs="Arial"/>
                <w:lang/>
              </w:rPr>
            </w:pPr>
            <w:r w:rsidRPr="00C36A5A">
              <w:rPr>
                <w:rFonts w:ascii="Arial" w:hAnsi="Arial" w:cs="Arial"/>
              </w:rPr>
              <w:t>Studies published between 2016 and 2026</w:t>
            </w:r>
          </w:p>
        </w:tc>
        <w:tc>
          <w:tcPr>
            <w:tcW w:w="6946" w:type="dxa"/>
          </w:tcPr>
          <w:p w14:paraId="6914D2A4" w14:textId="77777777" w:rsidR="00C36A5A" w:rsidRPr="00C36A5A" w:rsidRDefault="00C36A5A" w:rsidP="00C36A5A">
            <w:pPr>
              <w:spacing w:line="360" w:lineRule="auto"/>
              <w:rPr>
                <w:rFonts w:ascii="Arial" w:hAnsi="Arial" w:cs="Arial"/>
                <w:lang/>
              </w:rPr>
            </w:pPr>
            <w:r w:rsidRPr="00C36A5A">
              <w:rPr>
                <w:rFonts w:ascii="Arial" w:hAnsi="Arial" w:cs="Arial"/>
                <w:b/>
                <w:bCs/>
              </w:rPr>
              <w:t>07 Exclusion Criteria</w:t>
            </w:r>
          </w:p>
          <w:p w14:paraId="5EE1DF47" w14:textId="77777777" w:rsidR="00C36A5A" w:rsidRPr="00C36A5A" w:rsidRDefault="00C36A5A" w:rsidP="00C36A5A">
            <w:pPr>
              <w:numPr>
                <w:ilvl w:val="0"/>
                <w:numId w:val="7"/>
              </w:numPr>
              <w:spacing w:line="360" w:lineRule="auto"/>
              <w:rPr>
                <w:rFonts w:ascii="Arial" w:hAnsi="Arial" w:cs="Arial"/>
                <w:lang/>
              </w:rPr>
            </w:pPr>
            <w:r w:rsidRPr="00C36A5A">
              <w:rPr>
                <w:rFonts w:ascii="Arial" w:hAnsi="Arial" w:cs="Arial"/>
              </w:rPr>
              <w:t>Studies older than 10 years</w:t>
            </w:r>
          </w:p>
          <w:p w14:paraId="1A3F90BF" w14:textId="77777777" w:rsidR="00C36A5A" w:rsidRPr="00C36A5A" w:rsidRDefault="00C36A5A" w:rsidP="00C36A5A">
            <w:pPr>
              <w:numPr>
                <w:ilvl w:val="0"/>
                <w:numId w:val="7"/>
              </w:numPr>
              <w:spacing w:line="360" w:lineRule="auto"/>
              <w:rPr>
                <w:rFonts w:ascii="Arial" w:hAnsi="Arial" w:cs="Arial"/>
                <w:lang/>
              </w:rPr>
            </w:pPr>
            <w:r w:rsidRPr="00C36A5A">
              <w:rPr>
                <w:rFonts w:ascii="Arial" w:hAnsi="Arial" w:cs="Arial"/>
              </w:rPr>
              <w:t>Weblogs, opinionated or unverified content.</w:t>
            </w:r>
          </w:p>
          <w:p w14:paraId="66E2C75F" w14:textId="77777777" w:rsidR="00C36A5A" w:rsidRDefault="00C36A5A" w:rsidP="00D11EC7">
            <w:pPr>
              <w:spacing w:line="360" w:lineRule="auto"/>
              <w:rPr>
                <w:rFonts w:ascii="Arial" w:hAnsi="Arial" w:cs="Arial"/>
              </w:rPr>
            </w:pPr>
          </w:p>
        </w:tc>
      </w:tr>
      <w:tr w:rsidR="00C36A5A" w14:paraId="37C4D7C8" w14:textId="77777777" w:rsidTr="001F007F">
        <w:tc>
          <w:tcPr>
            <w:tcW w:w="13892" w:type="dxa"/>
            <w:gridSpan w:val="2"/>
          </w:tcPr>
          <w:p w14:paraId="7651FBB3" w14:textId="77777777" w:rsidR="00C36A5A" w:rsidRPr="00C36A5A" w:rsidRDefault="00C36A5A" w:rsidP="00C36A5A">
            <w:pPr>
              <w:spacing w:line="360" w:lineRule="auto"/>
              <w:jc w:val="center"/>
              <w:rPr>
                <w:rFonts w:ascii="Arial" w:hAnsi="Arial" w:cs="Arial"/>
                <w:lang/>
              </w:rPr>
            </w:pPr>
            <w:r w:rsidRPr="00C36A5A">
              <w:rPr>
                <w:rFonts w:ascii="Arial" w:hAnsi="Arial" w:cs="Arial"/>
                <w:b/>
                <w:bCs/>
              </w:rPr>
              <w:t>08 Ethical Considerations</w:t>
            </w:r>
          </w:p>
          <w:p w14:paraId="58BF2394" w14:textId="2E1A655A" w:rsidR="00C36A5A" w:rsidRPr="00C36A5A" w:rsidRDefault="00C36A5A" w:rsidP="00D11EC7">
            <w:pPr>
              <w:spacing w:line="360" w:lineRule="auto"/>
              <w:rPr>
                <w:rFonts w:ascii="Arial" w:hAnsi="Arial" w:cs="Arial"/>
                <w:lang/>
              </w:rPr>
            </w:pPr>
            <w:r w:rsidRPr="00C36A5A">
              <w:rPr>
                <w:rFonts w:ascii="Arial" w:hAnsi="Arial" w:cs="Arial"/>
              </w:rPr>
              <w:t>In secondary research, ethics means to use the available data in a manner that is responsible and which also upholds academic integrity</w:t>
            </w:r>
            <w:r w:rsidRPr="00C36A5A">
              <w:rPr>
                <w:rFonts w:ascii="Arial" w:hAnsi="Arial" w:cs="Arial"/>
                <w:lang w:val="en-US"/>
              </w:rPr>
              <w:t xml:space="preserve"> (</w:t>
            </w:r>
            <w:r w:rsidRPr="00C36A5A">
              <w:rPr>
                <w:rFonts w:ascii="Arial" w:hAnsi="Arial" w:cs="Arial"/>
              </w:rPr>
              <w:t>Zhaksylyk</w:t>
            </w:r>
            <w:r w:rsidRPr="00C36A5A">
              <w:rPr>
                <w:rFonts w:ascii="Arial" w:hAnsi="Arial" w:cs="Arial"/>
                <w:lang w:val="en-US"/>
              </w:rPr>
              <w:t xml:space="preserve"> et al. 2023)</w:t>
            </w:r>
            <w:r w:rsidRPr="00C36A5A">
              <w:rPr>
                <w:rFonts w:ascii="Arial" w:hAnsi="Arial" w:cs="Arial"/>
              </w:rPr>
              <w:t>. The sources have been referenced appropriately to prevent plagiarism and appreciate intellectual property. Peer-reviewed studies that were credible were only utilized to achieve data reliability.</w:t>
            </w:r>
          </w:p>
        </w:tc>
      </w:tr>
    </w:tbl>
    <w:p w14:paraId="55209819" w14:textId="4CA38FA5" w:rsidR="00E272FF" w:rsidRDefault="00E272FF" w:rsidP="00D11EC7">
      <w:pPr>
        <w:spacing w:line="360" w:lineRule="auto"/>
        <w:ind w:left="720" w:hanging="720"/>
        <w:rPr>
          <w:rFonts w:ascii="Arial" w:hAnsi="Arial" w:cs="Arial"/>
        </w:rPr>
      </w:pPr>
    </w:p>
    <w:p w14:paraId="65651416" w14:textId="77777777" w:rsidR="00C36A5A" w:rsidRDefault="00C36A5A" w:rsidP="00D11EC7">
      <w:pPr>
        <w:spacing w:line="360" w:lineRule="auto"/>
        <w:ind w:left="720" w:hanging="720"/>
        <w:rPr>
          <w:rFonts w:ascii="Arial" w:hAnsi="Arial" w:cs="Arial"/>
        </w:rPr>
      </w:pPr>
    </w:p>
    <w:p w14:paraId="035480BF" w14:textId="5BDBC8F8" w:rsidR="00C36A5A" w:rsidRDefault="00C36A5A">
      <w:pPr>
        <w:rPr>
          <w:rFonts w:ascii="Arial" w:hAnsi="Arial" w:cs="Arial"/>
        </w:rPr>
      </w:pPr>
      <w:r>
        <w:rPr>
          <w:rFonts w:ascii="Arial" w:hAnsi="Arial" w:cs="Arial"/>
        </w:rPr>
        <w:br w:type="page"/>
      </w:r>
    </w:p>
    <w:tbl>
      <w:tblPr>
        <w:tblStyle w:val="TableGrid"/>
        <w:tblW w:w="0" w:type="auto"/>
        <w:tblInd w:w="-5" w:type="dxa"/>
        <w:tblLook w:val="04A0" w:firstRow="1" w:lastRow="0" w:firstColumn="1" w:lastColumn="0" w:noHBand="0" w:noVBand="1"/>
      </w:tblPr>
      <w:tblGrid>
        <w:gridCol w:w="13892"/>
      </w:tblGrid>
      <w:tr w:rsidR="00C36A5A" w14:paraId="55B15ACB" w14:textId="77777777" w:rsidTr="00C36A5A">
        <w:tc>
          <w:tcPr>
            <w:tcW w:w="13892" w:type="dxa"/>
          </w:tcPr>
          <w:p w14:paraId="562872FE" w14:textId="77777777" w:rsidR="00C36A5A" w:rsidRPr="00C36A5A" w:rsidRDefault="00C36A5A" w:rsidP="00D11EC7">
            <w:pPr>
              <w:spacing w:line="360" w:lineRule="auto"/>
              <w:rPr>
                <w:rFonts w:ascii="Arial" w:hAnsi="Arial" w:cs="Arial"/>
                <w:b/>
                <w:bCs/>
              </w:rPr>
            </w:pPr>
            <w:r w:rsidRPr="00C36A5A">
              <w:rPr>
                <w:rFonts w:ascii="Arial" w:hAnsi="Arial" w:cs="Arial"/>
                <w:b/>
                <w:bCs/>
              </w:rPr>
              <w:t>References</w:t>
            </w:r>
          </w:p>
          <w:p w14:paraId="6BFC5DC2" w14:textId="77777777" w:rsidR="00C36A5A" w:rsidRPr="00C36A5A" w:rsidRDefault="00C36A5A" w:rsidP="00C36A5A">
            <w:pPr>
              <w:spacing w:line="360" w:lineRule="auto"/>
              <w:ind w:left="360"/>
              <w:rPr>
                <w:rFonts w:ascii="Arial" w:hAnsi="Arial" w:cs="Arial"/>
                <w:lang/>
              </w:rPr>
            </w:pPr>
            <w:r w:rsidRPr="00C36A5A">
              <w:rPr>
                <w:rFonts w:ascii="Arial" w:hAnsi="Arial" w:cs="Arial"/>
              </w:rPr>
              <w:t xml:space="preserve">Arai, L. (2023) ‘Essential study skills for health and social care students.’ In </w:t>
            </w:r>
            <w:r w:rsidRPr="00C36A5A">
              <w:rPr>
                <w:rFonts w:ascii="Arial" w:hAnsi="Arial" w:cs="Arial"/>
                <w:i/>
                <w:iCs/>
              </w:rPr>
              <w:t>Foundations for 21st-Century Health and Social Care</w:t>
            </w:r>
            <w:r w:rsidRPr="00C36A5A">
              <w:rPr>
                <w:rFonts w:ascii="Arial" w:hAnsi="Arial" w:cs="Arial"/>
              </w:rPr>
              <w:t xml:space="preserve"> (pp. 11-31). Routledge.</w:t>
            </w:r>
          </w:p>
          <w:p w14:paraId="4BA5C1D4" w14:textId="77777777" w:rsidR="00C36A5A" w:rsidRPr="00C36A5A" w:rsidRDefault="00C36A5A" w:rsidP="00C36A5A">
            <w:pPr>
              <w:spacing w:line="360" w:lineRule="auto"/>
              <w:ind w:left="360"/>
              <w:rPr>
                <w:rFonts w:ascii="Arial" w:hAnsi="Arial" w:cs="Arial"/>
                <w:lang/>
              </w:rPr>
            </w:pPr>
            <w:r w:rsidRPr="00C36A5A">
              <w:rPr>
                <w:rFonts w:ascii="Arial" w:hAnsi="Arial" w:cs="Arial"/>
              </w:rPr>
              <w:t xml:space="preserve">Furlong, D.E. and Lester, J.N. (20230 ‘Toward a practice of qualitative methodological literature reviewing’, </w:t>
            </w:r>
            <w:r w:rsidRPr="00C36A5A">
              <w:rPr>
                <w:rFonts w:ascii="Arial" w:hAnsi="Arial" w:cs="Arial"/>
                <w:i/>
                <w:iCs/>
              </w:rPr>
              <w:t>Qualitative Inquiry</w:t>
            </w:r>
            <w:r w:rsidRPr="00C36A5A">
              <w:rPr>
                <w:rFonts w:ascii="Arial" w:hAnsi="Arial" w:cs="Arial"/>
              </w:rPr>
              <w:t xml:space="preserve">, </w:t>
            </w:r>
            <w:r w:rsidRPr="00C36A5A">
              <w:rPr>
                <w:rFonts w:ascii="Arial" w:hAnsi="Arial" w:cs="Arial"/>
                <w:i/>
                <w:iCs/>
              </w:rPr>
              <w:t>29</w:t>
            </w:r>
            <w:r w:rsidRPr="00C36A5A">
              <w:rPr>
                <w:rFonts w:ascii="Arial" w:hAnsi="Arial" w:cs="Arial"/>
              </w:rPr>
              <w:t>(6), pp.669-677.</w:t>
            </w:r>
          </w:p>
          <w:p w14:paraId="3109C0A7" w14:textId="77777777" w:rsidR="00C36A5A" w:rsidRPr="00C36A5A" w:rsidRDefault="00C36A5A" w:rsidP="00C36A5A">
            <w:pPr>
              <w:spacing w:line="360" w:lineRule="auto"/>
              <w:ind w:left="360"/>
              <w:rPr>
                <w:rFonts w:ascii="Arial" w:hAnsi="Arial" w:cs="Arial"/>
                <w:lang/>
              </w:rPr>
            </w:pPr>
            <w:r w:rsidRPr="00C36A5A">
              <w:rPr>
                <w:rFonts w:ascii="Arial" w:hAnsi="Arial" w:cs="Arial"/>
              </w:rPr>
              <w:t xml:space="preserve">Hughes, K., Bellis, M., Ford, K., Sharp, C., Hopkins, J., Hill, R. and Cresswell, K. (2025) ‘Adverse childhood and school experiences: a retrospective cross-sectional study examining their associations with health-related behaviours and mental health’, </w:t>
            </w:r>
            <w:r w:rsidRPr="00C36A5A">
              <w:rPr>
                <w:rFonts w:ascii="Arial" w:hAnsi="Arial" w:cs="Arial"/>
                <w:i/>
                <w:iCs/>
              </w:rPr>
              <w:t>BMC Public Health</w:t>
            </w:r>
            <w:r w:rsidRPr="00C36A5A">
              <w:rPr>
                <w:rFonts w:ascii="Arial" w:hAnsi="Arial" w:cs="Arial"/>
              </w:rPr>
              <w:t>, 25.</w:t>
            </w:r>
          </w:p>
          <w:p w14:paraId="5E3089F4" w14:textId="77777777" w:rsidR="00C36A5A" w:rsidRPr="00C36A5A" w:rsidRDefault="00C36A5A" w:rsidP="00C36A5A">
            <w:pPr>
              <w:spacing w:line="360" w:lineRule="auto"/>
              <w:ind w:left="360"/>
              <w:rPr>
                <w:rFonts w:ascii="Arial" w:hAnsi="Arial" w:cs="Arial"/>
                <w:lang/>
              </w:rPr>
            </w:pPr>
            <w:r w:rsidRPr="00C36A5A">
              <w:rPr>
                <w:rFonts w:ascii="Arial" w:hAnsi="Arial" w:cs="Arial"/>
              </w:rPr>
              <w:t xml:space="preserve">Kurdi, Z. (2025) </w:t>
            </w:r>
            <w:r w:rsidRPr="00C36A5A">
              <w:rPr>
                <w:rFonts w:ascii="Arial" w:hAnsi="Arial" w:cs="Arial"/>
                <w:i/>
                <w:iCs/>
              </w:rPr>
              <w:t>Measuring adverse childhood experiences (ACEs) and deprivation during early childhood and its link to self-reported victimisation during adolescence among young adults in the UK</w:t>
            </w:r>
            <w:r w:rsidRPr="00C36A5A">
              <w:rPr>
                <w:rFonts w:ascii="Arial" w:hAnsi="Arial" w:cs="Arial"/>
              </w:rPr>
              <w:t>.</w:t>
            </w:r>
          </w:p>
          <w:p w14:paraId="072933D4" w14:textId="2E2572BD" w:rsidR="00C36A5A" w:rsidRPr="00C36A5A" w:rsidRDefault="00C36A5A" w:rsidP="00C36A5A">
            <w:pPr>
              <w:spacing w:line="360" w:lineRule="auto"/>
              <w:ind w:left="360"/>
              <w:rPr>
                <w:rFonts w:ascii="Arial" w:hAnsi="Arial" w:cs="Arial"/>
                <w:lang/>
              </w:rPr>
            </w:pPr>
            <w:r w:rsidRPr="00C36A5A">
              <w:rPr>
                <w:rFonts w:ascii="Arial" w:hAnsi="Arial" w:cs="Arial"/>
                <w:lang/>
              </w:rPr>
              <w:t>Weems, C.F., Russell, J.D., Neill, E.L. and McCurdy, B.H.</w:t>
            </w:r>
            <w:r w:rsidRPr="00C36A5A">
              <w:rPr>
                <w:rFonts w:ascii="Arial" w:hAnsi="Arial" w:cs="Arial"/>
                <w:lang w:val="en-US"/>
              </w:rPr>
              <w:t xml:space="preserve"> (</w:t>
            </w:r>
            <w:r w:rsidRPr="00C36A5A">
              <w:rPr>
                <w:rFonts w:ascii="Arial" w:hAnsi="Arial" w:cs="Arial"/>
                <w:lang/>
              </w:rPr>
              <w:t>2021</w:t>
            </w:r>
            <w:r w:rsidRPr="00C36A5A">
              <w:rPr>
                <w:rFonts w:ascii="Arial" w:hAnsi="Arial" w:cs="Arial"/>
                <w:lang w:val="en-US"/>
              </w:rPr>
              <w:t xml:space="preserve">) </w:t>
            </w:r>
            <w:r w:rsidRPr="00C36A5A">
              <w:rPr>
                <w:rFonts w:ascii="Arial" w:hAnsi="Arial" w:cs="Arial"/>
                <w:i/>
                <w:iCs/>
                <w:lang/>
              </w:rPr>
              <w:t>Translating the neuroscience of adverse childhood experiences to inform policy and foster population-level resilience</w:t>
            </w:r>
            <w:r w:rsidRPr="00C36A5A">
              <w:rPr>
                <w:rFonts w:ascii="Arial" w:hAnsi="Arial" w:cs="Arial"/>
                <w:lang/>
              </w:rPr>
              <w:t>. Wisconsin Center for Affective Science.</w:t>
            </w:r>
            <w:r>
              <w:rPr>
                <w:rFonts w:ascii="Arial" w:hAnsi="Arial" w:cs="Arial"/>
                <w:lang/>
              </w:rPr>
              <w:t xml:space="preserve"> Available at: </w:t>
            </w:r>
            <w:hyperlink r:id="rId73" w:history="1">
              <w:r w:rsidRPr="001A296B">
                <w:rPr>
                  <w:rStyle w:val="Hyperlink"/>
                  <w:rFonts w:ascii="Arial" w:hAnsi="Arial" w:cs="Arial"/>
                  <w:lang/>
                </w:rPr>
                <w:t xml:space="preserve">https://emotion.wisc.edu/wp-content/uploads/sites/1353/2021/08/Weems-2020-Translating-the-neuroscience-of-Adverse-Childhood-Experiences-to-inform-policy-and-foster-population-level-resilience.pdf </w:t>
              </w:r>
            </w:hyperlink>
            <w:r>
              <w:rPr>
                <w:rFonts w:ascii="Arial" w:hAnsi="Arial" w:cs="Arial"/>
                <w:lang/>
              </w:rPr>
              <w:t xml:space="preserve"> (Accessed 28 March 2026). </w:t>
            </w:r>
          </w:p>
          <w:p w14:paraId="6679474E" w14:textId="6F2E9F7C" w:rsidR="00C36A5A" w:rsidRPr="00C36A5A" w:rsidRDefault="00C36A5A" w:rsidP="00C36A5A">
            <w:pPr>
              <w:spacing w:line="360" w:lineRule="auto"/>
              <w:ind w:left="360"/>
              <w:rPr>
                <w:rFonts w:ascii="Arial" w:hAnsi="Arial" w:cs="Arial"/>
                <w:lang/>
              </w:rPr>
            </w:pPr>
            <w:r w:rsidRPr="00C36A5A">
              <w:rPr>
                <w:rFonts w:ascii="Arial" w:hAnsi="Arial" w:cs="Arial"/>
              </w:rPr>
              <w:t xml:space="preserve">Zhaksylyk, A., Zimba, O., Yessirkepov, M. and Kocyigit, B.F. (2023) ‘Research integrity: where we are and where we are heading’, </w:t>
            </w:r>
            <w:r w:rsidRPr="00C36A5A">
              <w:rPr>
                <w:rFonts w:ascii="Arial" w:hAnsi="Arial" w:cs="Arial"/>
                <w:i/>
                <w:iCs/>
              </w:rPr>
              <w:t>Journal of Korean medical science</w:t>
            </w:r>
            <w:r w:rsidRPr="00C36A5A">
              <w:rPr>
                <w:rFonts w:ascii="Arial" w:hAnsi="Arial" w:cs="Arial"/>
              </w:rPr>
              <w:t>, </w:t>
            </w:r>
            <w:r w:rsidRPr="00C36A5A">
              <w:rPr>
                <w:rFonts w:ascii="Arial" w:hAnsi="Arial" w:cs="Arial"/>
                <w:i/>
                <w:iCs/>
              </w:rPr>
              <w:t>38</w:t>
            </w:r>
            <w:r w:rsidRPr="00C36A5A">
              <w:rPr>
                <w:rFonts w:ascii="Arial" w:hAnsi="Arial" w:cs="Arial"/>
              </w:rPr>
              <w:t>(47).</w:t>
            </w:r>
          </w:p>
        </w:tc>
      </w:tr>
    </w:tbl>
    <w:p w14:paraId="19B9CB08" w14:textId="35CF6A45" w:rsidR="00C36A5A" w:rsidRPr="009D1CA9" w:rsidRDefault="00C36A5A" w:rsidP="00D11EC7">
      <w:pPr>
        <w:spacing w:line="360" w:lineRule="auto"/>
        <w:ind w:left="720" w:hanging="720"/>
        <w:rPr>
          <w:rFonts w:ascii="Arial" w:hAnsi="Arial" w:cs="Arial"/>
        </w:rPr>
      </w:pPr>
    </w:p>
    <w:sectPr w:rsidR="00C36A5A" w:rsidRPr="009D1CA9" w:rsidSect="00E272FF">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E949C" w14:textId="77777777" w:rsidR="00A508B2" w:rsidRDefault="00A508B2" w:rsidP="00F2229C">
      <w:pPr>
        <w:spacing w:after="0" w:line="240" w:lineRule="auto"/>
      </w:pPr>
      <w:r>
        <w:separator/>
      </w:r>
    </w:p>
  </w:endnote>
  <w:endnote w:type="continuationSeparator" w:id="0">
    <w:p w14:paraId="45C7A492" w14:textId="77777777" w:rsidR="00A508B2" w:rsidRDefault="00A508B2" w:rsidP="00F22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A98B1" w14:textId="77777777" w:rsidR="00A508B2" w:rsidRDefault="00A508B2" w:rsidP="00F2229C">
      <w:pPr>
        <w:spacing w:after="0" w:line="240" w:lineRule="auto"/>
      </w:pPr>
      <w:r>
        <w:separator/>
      </w:r>
    </w:p>
  </w:footnote>
  <w:footnote w:type="continuationSeparator" w:id="0">
    <w:p w14:paraId="37860858" w14:textId="77777777" w:rsidR="00A508B2" w:rsidRDefault="00A508B2" w:rsidP="00F222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017129720"/>
      <w:docPartObj>
        <w:docPartGallery w:val="Page Numbers (Top of Page)"/>
        <w:docPartUnique/>
      </w:docPartObj>
    </w:sdtPr>
    <w:sdtEndPr>
      <w:rPr>
        <w:noProof/>
      </w:rPr>
    </w:sdtEndPr>
    <w:sdtContent>
      <w:p w14:paraId="03E09690" w14:textId="33205D5A" w:rsidR="00F2229C" w:rsidRPr="00F2229C" w:rsidRDefault="00F2229C">
        <w:pPr>
          <w:pStyle w:val="Header"/>
          <w:jc w:val="right"/>
          <w:rPr>
            <w:rFonts w:ascii="Arial" w:hAnsi="Arial" w:cs="Arial"/>
          </w:rPr>
        </w:pPr>
        <w:r w:rsidRPr="00F2229C">
          <w:rPr>
            <w:rFonts w:ascii="Arial" w:hAnsi="Arial" w:cs="Arial"/>
          </w:rPr>
          <w:fldChar w:fldCharType="begin"/>
        </w:r>
        <w:r w:rsidRPr="00F2229C">
          <w:rPr>
            <w:rFonts w:ascii="Arial" w:hAnsi="Arial" w:cs="Arial"/>
          </w:rPr>
          <w:instrText xml:space="preserve"> PAGE   \* MERGEFORMAT </w:instrText>
        </w:r>
        <w:r w:rsidRPr="00F2229C">
          <w:rPr>
            <w:rFonts w:ascii="Arial" w:hAnsi="Arial" w:cs="Arial"/>
          </w:rPr>
          <w:fldChar w:fldCharType="separate"/>
        </w:r>
        <w:r w:rsidR="00911E4D">
          <w:rPr>
            <w:rFonts w:ascii="Arial" w:hAnsi="Arial" w:cs="Arial"/>
            <w:noProof/>
          </w:rPr>
          <w:t>44</w:t>
        </w:r>
        <w:r w:rsidRPr="00F2229C">
          <w:rPr>
            <w:rFonts w:ascii="Arial" w:hAnsi="Arial" w:cs="Arial"/>
            <w:noProof/>
          </w:rPr>
          <w:fldChar w:fldCharType="end"/>
        </w:r>
      </w:p>
    </w:sdtContent>
  </w:sdt>
  <w:p w14:paraId="68032F31" w14:textId="77777777" w:rsidR="00F2229C" w:rsidRPr="00F2229C" w:rsidRDefault="00F2229C">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C44B4"/>
    <w:multiLevelType w:val="hybridMultilevel"/>
    <w:tmpl w:val="C3ECC7B8"/>
    <w:lvl w:ilvl="0" w:tplc="8E60854E">
      <w:start w:val="1"/>
      <w:numFmt w:val="bullet"/>
      <w:lvlText w:val="•"/>
      <w:lvlJc w:val="left"/>
      <w:pPr>
        <w:tabs>
          <w:tab w:val="num" w:pos="720"/>
        </w:tabs>
        <w:ind w:left="720" w:hanging="360"/>
      </w:pPr>
      <w:rPr>
        <w:rFonts w:ascii="Arial" w:hAnsi="Arial" w:hint="default"/>
      </w:rPr>
    </w:lvl>
    <w:lvl w:ilvl="1" w:tplc="9EDC006C" w:tentative="1">
      <w:start w:val="1"/>
      <w:numFmt w:val="bullet"/>
      <w:lvlText w:val="•"/>
      <w:lvlJc w:val="left"/>
      <w:pPr>
        <w:tabs>
          <w:tab w:val="num" w:pos="1440"/>
        </w:tabs>
        <w:ind w:left="1440" w:hanging="360"/>
      </w:pPr>
      <w:rPr>
        <w:rFonts w:ascii="Arial" w:hAnsi="Arial" w:hint="default"/>
      </w:rPr>
    </w:lvl>
    <w:lvl w:ilvl="2" w:tplc="AE16FE60" w:tentative="1">
      <w:start w:val="1"/>
      <w:numFmt w:val="bullet"/>
      <w:lvlText w:val="•"/>
      <w:lvlJc w:val="left"/>
      <w:pPr>
        <w:tabs>
          <w:tab w:val="num" w:pos="2160"/>
        </w:tabs>
        <w:ind w:left="2160" w:hanging="360"/>
      </w:pPr>
      <w:rPr>
        <w:rFonts w:ascii="Arial" w:hAnsi="Arial" w:hint="default"/>
      </w:rPr>
    </w:lvl>
    <w:lvl w:ilvl="3" w:tplc="6A166C7C" w:tentative="1">
      <w:start w:val="1"/>
      <w:numFmt w:val="bullet"/>
      <w:lvlText w:val="•"/>
      <w:lvlJc w:val="left"/>
      <w:pPr>
        <w:tabs>
          <w:tab w:val="num" w:pos="2880"/>
        </w:tabs>
        <w:ind w:left="2880" w:hanging="360"/>
      </w:pPr>
      <w:rPr>
        <w:rFonts w:ascii="Arial" w:hAnsi="Arial" w:hint="default"/>
      </w:rPr>
    </w:lvl>
    <w:lvl w:ilvl="4" w:tplc="629A483E" w:tentative="1">
      <w:start w:val="1"/>
      <w:numFmt w:val="bullet"/>
      <w:lvlText w:val="•"/>
      <w:lvlJc w:val="left"/>
      <w:pPr>
        <w:tabs>
          <w:tab w:val="num" w:pos="3600"/>
        </w:tabs>
        <w:ind w:left="3600" w:hanging="360"/>
      </w:pPr>
      <w:rPr>
        <w:rFonts w:ascii="Arial" w:hAnsi="Arial" w:hint="default"/>
      </w:rPr>
    </w:lvl>
    <w:lvl w:ilvl="5" w:tplc="F40288CC" w:tentative="1">
      <w:start w:val="1"/>
      <w:numFmt w:val="bullet"/>
      <w:lvlText w:val="•"/>
      <w:lvlJc w:val="left"/>
      <w:pPr>
        <w:tabs>
          <w:tab w:val="num" w:pos="4320"/>
        </w:tabs>
        <w:ind w:left="4320" w:hanging="360"/>
      </w:pPr>
      <w:rPr>
        <w:rFonts w:ascii="Arial" w:hAnsi="Arial" w:hint="default"/>
      </w:rPr>
    </w:lvl>
    <w:lvl w:ilvl="6" w:tplc="88D49416" w:tentative="1">
      <w:start w:val="1"/>
      <w:numFmt w:val="bullet"/>
      <w:lvlText w:val="•"/>
      <w:lvlJc w:val="left"/>
      <w:pPr>
        <w:tabs>
          <w:tab w:val="num" w:pos="5040"/>
        </w:tabs>
        <w:ind w:left="5040" w:hanging="360"/>
      </w:pPr>
      <w:rPr>
        <w:rFonts w:ascii="Arial" w:hAnsi="Arial" w:hint="default"/>
      </w:rPr>
    </w:lvl>
    <w:lvl w:ilvl="7" w:tplc="965CE86C" w:tentative="1">
      <w:start w:val="1"/>
      <w:numFmt w:val="bullet"/>
      <w:lvlText w:val="•"/>
      <w:lvlJc w:val="left"/>
      <w:pPr>
        <w:tabs>
          <w:tab w:val="num" w:pos="5760"/>
        </w:tabs>
        <w:ind w:left="5760" w:hanging="360"/>
      </w:pPr>
      <w:rPr>
        <w:rFonts w:ascii="Arial" w:hAnsi="Arial" w:hint="default"/>
      </w:rPr>
    </w:lvl>
    <w:lvl w:ilvl="8" w:tplc="26B6942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02D7174"/>
    <w:multiLevelType w:val="hybridMultilevel"/>
    <w:tmpl w:val="6E10DB1E"/>
    <w:lvl w:ilvl="0" w:tplc="C1DE1A92">
      <w:start w:val="1"/>
      <w:numFmt w:val="bullet"/>
      <w:lvlText w:val="•"/>
      <w:lvlJc w:val="left"/>
      <w:pPr>
        <w:tabs>
          <w:tab w:val="num" w:pos="720"/>
        </w:tabs>
        <w:ind w:left="720" w:hanging="360"/>
      </w:pPr>
      <w:rPr>
        <w:rFonts w:ascii="Arial" w:hAnsi="Arial" w:hint="default"/>
      </w:rPr>
    </w:lvl>
    <w:lvl w:ilvl="1" w:tplc="9F005F18" w:tentative="1">
      <w:start w:val="1"/>
      <w:numFmt w:val="bullet"/>
      <w:lvlText w:val="•"/>
      <w:lvlJc w:val="left"/>
      <w:pPr>
        <w:tabs>
          <w:tab w:val="num" w:pos="1440"/>
        </w:tabs>
        <w:ind w:left="1440" w:hanging="360"/>
      </w:pPr>
      <w:rPr>
        <w:rFonts w:ascii="Arial" w:hAnsi="Arial" w:hint="default"/>
      </w:rPr>
    </w:lvl>
    <w:lvl w:ilvl="2" w:tplc="8080535E" w:tentative="1">
      <w:start w:val="1"/>
      <w:numFmt w:val="bullet"/>
      <w:lvlText w:val="•"/>
      <w:lvlJc w:val="left"/>
      <w:pPr>
        <w:tabs>
          <w:tab w:val="num" w:pos="2160"/>
        </w:tabs>
        <w:ind w:left="2160" w:hanging="360"/>
      </w:pPr>
      <w:rPr>
        <w:rFonts w:ascii="Arial" w:hAnsi="Arial" w:hint="default"/>
      </w:rPr>
    </w:lvl>
    <w:lvl w:ilvl="3" w:tplc="A6F69DEA" w:tentative="1">
      <w:start w:val="1"/>
      <w:numFmt w:val="bullet"/>
      <w:lvlText w:val="•"/>
      <w:lvlJc w:val="left"/>
      <w:pPr>
        <w:tabs>
          <w:tab w:val="num" w:pos="2880"/>
        </w:tabs>
        <w:ind w:left="2880" w:hanging="360"/>
      </w:pPr>
      <w:rPr>
        <w:rFonts w:ascii="Arial" w:hAnsi="Arial" w:hint="default"/>
      </w:rPr>
    </w:lvl>
    <w:lvl w:ilvl="4" w:tplc="9DFA0930" w:tentative="1">
      <w:start w:val="1"/>
      <w:numFmt w:val="bullet"/>
      <w:lvlText w:val="•"/>
      <w:lvlJc w:val="left"/>
      <w:pPr>
        <w:tabs>
          <w:tab w:val="num" w:pos="3600"/>
        </w:tabs>
        <w:ind w:left="3600" w:hanging="360"/>
      </w:pPr>
      <w:rPr>
        <w:rFonts w:ascii="Arial" w:hAnsi="Arial" w:hint="default"/>
      </w:rPr>
    </w:lvl>
    <w:lvl w:ilvl="5" w:tplc="DC0E7F24" w:tentative="1">
      <w:start w:val="1"/>
      <w:numFmt w:val="bullet"/>
      <w:lvlText w:val="•"/>
      <w:lvlJc w:val="left"/>
      <w:pPr>
        <w:tabs>
          <w:tab w:val="num" w:pos="4320"/>
        </w:tabs>
        <w:ind w:left="4320" w:hanging="360"/>
      </w:pPr>
      <w:rPr>
        <w:rFonts w:ascii="Arial" w:hAnsi="Arial" w:hint="default"/>
      </w:rPr>
    </w:lvl>
    <w:lvl w:ilvl="6" w:tplc="1AAC9AB6" w:tentative="1">
      <w:start w:val="1"/>
      <w:numFmt w:val="bullet"/>
      <w:lvlText w:val="•"/>
      <w:lvlJc w:val="left"/>
      <w:pPr>
        <w:tabs>
          <w:tab w:val="num" w:pos="5040"/>
        </w:tabs>
        <w:ind w:left="5040" w:hanging="360"/>
      </w:pPr>
      <w:rPr>
        <w:rFonts w:ascii="Arial" w:hAnsi="Arial" w:hint="default"/>
      </w:rPr>
    </w:lvl>
    <w:lvl w:ilvl="7" w:tplc="AC7A7A34" w:tentative="1">
      <w:start w:val="1"/>
      <w:numFmt w:val="bullet"/>
      <w:lvlText w:val="•"/>
      <w:lvlJc w:val="left"/>
      <w:pPr>
        <w:tabs>
          <w:tab w:val="num" w:pos="5760"/>
        </w:tabs>
        <w:ind w:left="5760" w:hanging="360"/>
      </w:pPr>
      <w:rPr>
        <w:rFonts w:ascii="Arial" w:hAnsi="Arial" w:hint="default"/>
      </w:rPr>
    </w:lvl>
    <w:lvl w:ilvl="8" w:tplc="B54E25C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8BD6610"/>
    <w:multiLevelType w:val="hybridMultilevel"/>
    <w:tmpl w:val="74EE6AD0"/>
    <w:lvl w:ilvl="0" w:tplc="9DD8DA3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2D7601"/>
    <w:multiLevelType w:val="multilevel"/>
    <w:tmpl w:val="A816E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8F420D"/>
    <w:multiLevelType w:val="hybridMultilevel"/>
    <w:tmpl w:val="650C07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4253DD"/>
    <w:multiLevelType w:val="hybridMultilevel"/>
    <w:tmpl w:val="CE2AC8D8"/>
    <w:lvl w:ilvl="0" w:tplc="BE625F84">
      <w:start w:val="1"/>
      <w:numFmt w:val="lowerRoman"/>
      <w:lvlText w:val="%1."/>
      <w:lvlJc w:val="left"/>
      <w:pPr>
        <w:ind w:left="108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7860543A"/>
    <w:multiLevelType w:val="hybridMultilevel"/>
    <w:tmpl w:val="DD26B4BA"/>
    <w:lvl w:ilvl="0" w:tplc="DC78A78A">
      <w:start w:val="1"/>
      <w:numFmt w:val="bullet"/>
      <w:lvlText w:val="•"/>
      <w:lvlJc w:val="left"/>
      <w:pPr>
        <w:tabs>
          <w:tab w:val="num" w:pos="720"/>
        </w:tabs>
        <w:ind w:left="720" w:hanging="360"/>
      </w:pPr>
      <w:rPr>
        <w:rFonts w:ascii="Arial" w:hAnsi="Arial" w:hint="default"/>
      </w:rPr>
    </w:lvl>
    <w:lvl w:ilvl="1" w:tplc="081421DE" w:tentative="1">
      <w:start w:val="1"/>
      <w:numFmt w:val="bullet"/>
      <w:lvlText w:val="•"/>
      <w:lvlJc w:val="left"/>
      <w:pPr>
        <w:tabs>
          <w:tab w:val="num" w:pos="1440"/>
        </w:tabs>
        <w:ind w:left="1440" w:hanging="360"/>
      </w:pPr>
      <w:rPr>
        <w:rFonts w:ascii="Arial" w:hAnsi="Arial" w:hint="default"/>
      </w:rPr>
    </w:lvl>
    <w:lvl w:ilvl="2" w:tplc="8FFE878E" w:tentative="1">
      <w:start w:val="1"/>
      <w:numFmt w:val="bullet"/>
      <w:lvlText w:val="•"/>
      <w:lvlJc w:val="left"/>
      <w:pPr>
        <w:tabs>
          <w:tab w:val="num" w:pos="2160"/>
        </w:tabs>
        <w:ind w:left="2160" w:hanging="360"/>
      </w:pPr>
      <w:rPr>
        <w:rFonts w:ascii="Arial" w:hAnsi="Arial" w:hint="default"/>
      </w:rPr>
    </w:lvl>
    <w:lvl w:ilvl="3" w:tplc="EF88C1E4" w:tentative="1">
      <w:start w:val="1"/>
      <w:numFmt w:val="bullet"/>
      <w:lvlText w:val="•"/>
      <w:lvlJc w:val="left"/>
      <w:pPr>
        <w:tabs>
          <w:tab w:val="num" w:pos="2880"/>
        </w:tabs>
        <w:ind w:left="2880" w:hanging="360"/>
      </w:pPr>
      <w:rPr>
        <w:rFonts w:ascii="Arial" w:hAnsi="Arial" w:hint="default"/>
      </w:rPr>
    </w:lvl>
    <w:lvl w:ilvl="4" w:tplc="FC1AFF30" w:tentative="1">
      <w:start w:val="1"/>
      <w:numFmt w:val="bullet"/>
      <w:lvlText w:val="•"/>
      <w:lvlJc w:val="left"/>
      <w:pPr>
        <w:tabs>
          <w:tab w:val="num" w:pos="3600"/>
        </w:tabs>
        <w:ind w:left="3600" w:hanging="360"/>
      </w:pPr>
      <w:rPr>
        <w:rFonts w:ascii="Arial" w:hAnsi="Arial" w:hint="default"/>
      </w:rPr>
    </w:lvl>
    <w:lvl w:ilvl="5" w:tplc="6F907D56" w:tentative="1">
      <w:start w:val="1"/>
      <w:numFmt w:val="bullet"/>
      <w:lvlText w:val="•"/>
      <w:lvlJc w:val="left"/>
      <w:pPr>
        <w:tabs>
          <w:tab w:val="num" w:pos="4320"/>
        </w:tabs>
        <w:ind w:left="4320" w:hanging="360"/>
      </w:pPr>
      <w:rPr>
        <w:rFonts w:ascii="Arial" w:hAnsi="Arial" w:hint="default"/>
      </w:rPr>
    </w:lvl>
    <w:lvl w:ilvl="6" w:tplc="B120B1AE" w:tentative="1">
      <w:start w:val="1"/>
      <w:numFmt w:val="bullet"/>
      <w:lvlText w:val="•"/>
      <w:lvlJc w:val="left"/>
      <w:pPr>
        <w:tabs>
          <w:tab w:val="num" w:pos="5040"/>
        </w:tabs>
        <w:ind w:left="5040" w:hanging="360"/>
      </w:pPr>
      <w:rPr>
        <w:rFonts w:ascii="Arial" w:hAnsi="Arial" w:hint="default"/>
      </w:rPr>
    </w:lvl>
    <w:lvl w:ilvl="7" w:tplc="F65823A6" w:tentative="1">
      <w:start w:val="1"/>
      <w:numFmt w:val="bullet"/>
      <w:lvlText w:val="•"/>
      <w:lvlJc w:val="left"/>
      <w:pPr>
        <w:tabs>
          <w:tab w:val="num" w:pos="5760"/>
        </w:tabs>
        <w:ind w:left="5760" w:hanging="360"/>
      </w:pPr>
      <w:rPr>
        <w:rFonts w:ascii="Arial" w:hAnsi="Arial" w:hint="default"/>
      </w:rPr>
    </w:lvl>
    <w:lvl w:ilvl="8" w:tplc="EC5875B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C5E6DB7"/>
    <w:multiLevelType w:val="hybridMultilevel"/>
    <w:tmpl w:val="C150A314"/>
    <w:lvl w:ilvl="0" w:tplc="9DD8DA3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8431628">
    <w:abstractNumId w:val="5"/>
  </w:num>
  <w:num w:numId="2" w16cid:durableId="217864290">
    <w:abstractNumId w:val="4"/>
  </w:num>
  <w:num w:numId="3" w16cid:durableId="133525016">
    <w:abstractNumId w:val="7"/>
  </w:num>
  <w:num w:numId="4" w16cid:durableId="1573081255">
    <w:abstractNumId w:val="2"/>
  </w:num>
  <w:num w:numId="5" w16cid:durableId="600799521">
    <w:abstractNumId w:val="3"/>
  </w:num>
  <w:num w:numId="6" w16cid:durableId="1450201824">
    <w:abstractNumId w:val="6"/>
  </w:num>
  <w:num w:numId="7" w16cid:durableId="725687226">
    <w:abstractNumId w:val="0"/>
  </w:num>
  <w:num w:numId="8" w16cid:durableId="10799071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0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685"/>
    <w:rsid w:val="00001C47"/>
    <w:rsid w:val="000040D3"/>
    <w:rsid w:val="00022854"/>
    <w:rsid w:val="00026B89"/>
    <w:rsid w:val="00062855"/>
    <w:rsid w:val="00077FA2"/>
    <w:rsid w:val="000802EF"/>
    <w:rsid w:val="000A3677"/>
    <w:rsid w:val="000A79F9"/>
    <w:rsid w:val="000B257E"/>
    <w:rsid w:val="000B554A"/>
    <w:rsid w:val="000C52D8"/>
    <w:rsid w:val="000D211F"/>
    <w:rsid w:val="000D584E"/>
    <w:rsid w:val="000E7AA1"/>
    <w:rsid w:val="001071E8"/>
    <w:rsid w:val="00124C02"/>
    <w:rsid w:val="001250F2"/>
    <w:rsid w:val="00130D1C"/>
    <w:rsid w:val="001856FF"/>
    <w:rsid w:val="001936D3"/>
    <w:rsid w:val="00193719"/>
    <w:rsid w:val="00197A48"/>
    <w:rsid w:val="001A47E4"/>
    <w:rsid w:val="001A584E"/>
    <w:rsid w:val="001C1593"/>
    <w:rsid w:val="001D6672"/>
    <w:rsid w:val="001F2B8B"/>
    <w:rsid w:val="00205D87"/>
    <w:rsid w:val="00210D27"/>
    <w:rsid w:val="00214161"/>
    <w:rsid w:val="00223ADC"/>
    <w:rsid w:val="002356A0"/>
    <w:rsid w:val="00250A06"/>
    <w:rsid w:val="00253842"/>
    <w:rsid w:val="0027706B"/>
    <w:rsid w:val="00286F4E"/>
    <w:rsid w:val="00287F10"/>
    <w:rsid w:val="0029412D"/>
    <w:rsid w:val="002945A7"/>
    <w:rsid w:val="00296AB6"/>
    <w:rsid w:val="002B50C5"/>
    <w:rsid w:val="002C294E"/>
    <w:rsid w:val="002D462E"/>
    <w:rsid w:val="002E031E"/>
    <w:rsid w:val="002E2873"/>
    <w:rsid w:val="002E356E"/>
    <w:rsid w:val="002E3DAA"/>
    <w:rsid w:val="002E4854"/>
    <w:rsid w:val="002E585D"/>
    <w:rsid w:val="003131D2"/>
    <w:rsid w:val="00333657"/>
    <w:rsid w:val="003533F2"/>
    <w:rsid w:val="00365C30"/>
    <w:rsid w:val="00366DF4"/>
    <w:rsid w:val="00370694"/>
    <w:rsid w:val="003718B0"/>
    <w:rsid w:val="00382AFF"/>
    <w:rsid w:val="003A089D"/>
    <w:rsid w:val="003A1E78"/>
    <w:rsid w:val="003D7FAA"/>
    <w:rsid w:val="003F2F0E"/>
    <w:rsid w:val="00416D75"/>
    <w:rsid w:val="00422C69"/>
    <w:rsid w:val="0044155F"/>
    <w:rsid w:val="004423F8"/>
    <w:rsid w:val="00454529"/>
    <w:rsid w:val="00457642"/>
    <w:rsid w:val="00460D6B"/>
    <w:rsid w:val="004676A1"/>
    <w:rsid w:val="00473B4A"/>
    <w:rsid w:val="00473D74"/>
    <w:rsid w:val="00490324"/>
    <w:rsid w:val="00492DD3"/>
    <w:rsid w:val="00493791"/>
    <w:rsid w:val="004956DF"/>
    <w:rsid w:val="004A6082"/>
    <w:rsid w:val="004A7977"/>
    <w:rsid w:val="004B7DE1"/>
    <w:rsid w:val="004D1DC6"/>
    <w:rsid w:val="004F444A"/>
    <w:rsid w:val="004F4EE6"/>
    <w:rsid w:val="0050095C"/>
    <w:rsid w:val="005121D4"/>
    <w:rsid w:val="00515D78"/>
    <w:rsid w:val="00523F7D"/>
    <w:rsid w:val="005312E8"/>
    <w:rsid w:val="00541BF5"/>
    <w:rsid w:val="00543011"/>
    <w:rsid w:val="005524F3"/>
    <w:rsid w:val="005542C3"/>
    <w:rsid w:val="00554A64"/>
    <w:rsid w:val="00561337"/>
    <w:rsid w:val="00566B2C"/>
    <w:rsid w:val="00567CC3"/>
    <w:rsid w:val="0057458D"/>
    <w:rsid w:val="00574E4C"/>
    <w:rsid w:val="00587F4F"/>
    <w:rsid w:val="005B3C45"/>
    <w:rsid w:val="005B45B8"/>
    <w:rsid w:val="005D7806"/>
    <w:rsid w:val="00615858"/>
    <w:rsid w:val="00616017"/>
    <w:rsid w:val="006306B4"/>
    <w:rsid w:val="00643627"/>
    <w:rsid w:val="0066256E"/>
    <w:rsid w:val="006658C4"/>
    <w:rsid w:val="0068184E"/>
    <w:rsid w:val="006917D8"/>
    <w:rsid w:val="00694748"/>
    <w:rsid w:val="006A68BA"/>
    <w:rsid w:val="006C0624"/>
    <w:rsid w:val="006C1971"/>
    <w:rsid w:val="006C3BC3"/>
    <w:rsid w:val="006C3F50"/>
    <w:rsid w:val="006D016A"/>
    <w:rsid w:val="006E0C6B"/>
    <w:rsid w:val="006F523C"/>
    <w:rsid w:val="00701C71"/>
    <w:rsid w:val="00701D42"/>
    <w:rsid w:val="00703C1F"/>
    <w:rsid w:val="007066FD"/>
    <w:rsid w:val="00730C81"/>
    <w:rsid w:val="00731111"/>
    <w:rsid w:val="0074011E"/>
    <w:rsid w:val="00743BFF"/>
    <w:rsid w:val="007A01C2"/>
    <w:rsid w:val="007A7697"/>
    <w:rsid w:val="007D214E"/>
    <w:rsid w:val="007D6B2A"/>
    <w:rsid w:val="007E00DB"/>
    <w:rsid w:val="007E2AB3"/>
    <w:rsid w:val="007E4544"/>
    <w:rsid w:val="007F42E2"/>
    <w:rsid w:val="00800D96"/>
    <w:rsid w:val="0081595F"/>
    <w:rsid w:val="008162DE"/>
    <w:rsid w:val="00833DF7"/>
    <w:rsid w:val="0084499E"/>
    <w:rsid w:val="008672B2"/>
    <w:rsid w:val="008861BC"/>
    <w:rsid w:val="00897811"/>
    <w:rsid w:val="008B51B5"/>
    <w:rsid w:val="008B5C72"/>
    <w:rsid w:val="008C25F8"/>
    <w:rsid w:val="008E3ADD"/>
    <w:rsid w:val="008E767F"/>
    <w:rsid w:val="008F0EE9"/>
    <w:rsid w:val="008F2EA1"/>
    <w:rsid w:val="008F779C"/>
    <w:rsid w:val="00901E4C"/>
    <w:rsid w:val="0090335B"/>
    <w:rsid w:val="00906986"/>
    <w:rsid w:val="00911E4D"/>
    <w:rsid w:val="00935C65"/>
    <w:rsid w:val="00937ED3"/>
    <w:rsid w:val="00946F7C"/>
    <w:rsid w:val="00965E1F"/>
    <w:rsid w:val="00967502"/>
    <w:rsid w:val="00967F7C"/>
    <w:rsid w:val="00973E24"/>
    <w:rsid w:val="00973E78"/>
    <w:rsid w:val="00997765"/>
    <w:rsid w:val="009B19CE"/>
    <w:rsid w:val="009B4A11"/>
    <w:rsid w:val="009C0CAA"/>
    <w:rsid w:val="009D1CA9"/>
    <w:rsid w:val="009D6D94"/>
    <w:rsid w:val="00A15CD0"/>
    <w:rsid w:val="00A22884"/>
    <w:rsid w:val="00A323E7"/>
    <w:rsid w:val="00A508B2"/>
    <w:rsid w:val="00A5163D"/>
    <w:rsid w:val="00A65F75"/>
    <w:rsid w:val="00A661AE"/>
    <w:rsid w:val="00A74605"/>
    <w:rsid w:val="00A83241"/>
    <w:rsid w:val="00A83983"/>
    <w:rsid w:val="00A85877"/>
    <w:rsid w:val="00A858A1"/>
    <w:rsid w:val="00A86FE4"/>
    <w:rsid w:val="00A87407"/>
    <w:rsid w:val="00A918F1"/>
    <w:rsid w:val="00AA7D9C"/>
    <w:rsid w:val="00AC1295"/>
    <w:rsid w:val="00AD2DB7"/>
    <w:rsid w:val="00AD59BA"/>
    <w:rsid w:val="00AF65BB"/>
    <w:rsid w:val="00B1212D"/>
    <w:rsid w:val="00B125D3"/>
    <w:rsid w:val="00B17821"/>
    <w:rsid w:val="00B227AE"/>
    <w:rsid w:val="00B36CAB"/>
    <w:rsid w:val="00B40388"/>
    <w:rsid w:val="00B46DD0"/>
    <w:rsid w:val="00B64685"/>
    <w:rsid w:val="00B72AA3"/>
    <w:rsid w:val="00B76B3F"/>
    <w:rsid w:val="00B84B2F"/>
    <w:rsid w:val="00B91A03"/>
    <w:rsid w:val="00BA48C3"/>
    <w:rsid w:val="00BB2087"/>
    <w:rsid w:val="00BC034E"/>
    <w:rsid w:val="00BD07A6"/>
    <w:rsid w:val="00BD6F3C"/>
    <w:rsid w:val="00BF65A3"/>
    <w:rsid w:val="00C0105A"/>
    <w:rsid w:val="00C06524"/>
    <w:rsid w:val="00C245EA"/>
    <w:rsid w:val="00C248B5"/>
    <w:rsid w:val="00C327AA"/>
    <w:rsid w:val="00C34B9A"/>
    <w:rsid w:val="00C36A5A"/>
    <w:rsid w:val="00C52F6E"/>
    <w:rsid w:val="00C6457E"/>
    <w:rsid w:val="00CA085B"/>
    <w:rsid w:val="00CB7B90"/>
    <w:rsid w:val="00CC7104"/>
    <w:rsid w:val="00CD00F7"/>
    <w:rsid w:val="00CD1A1D"/>
    <w:rsid w:val="00D11EC7"/>
    <w:rsid w:val="00D25943"/>
    <w:rsid w:val="00D3260D"/>
    <w:rsid w:val="00D35312"/>
    <w:rsid w:val="00D377E1"/>
    <w:rsid w:val="00D44D5D"/>
    <w:rsid w:val="00D47DA0"/>
    <w:rsid w:val="00D74705"/>
    <w:rsid w:val="00D81148"/>
    <w:rsid w:val="00D92276"/>
    <w:rsid w:val="00DA7045"/>
    <w:rsid w:val="00DB0972"/>
    <w:rsid w:val="00DB14A6"/>
    <w:rsid w:val="00DB2B8A"/>
    <w:rsid w:val="00DB780A"/>
    <w:rsid w:val="00DE2A9C"/>
    <w:rsid w:val="00DE39C8"/>
    <w:rsid w:val="00DE777E"/>
    <w:rsid w:val="00DF4095"/>
    <w:rsid w:val="00E00B3F"/>
    <w:rsid w:val="00E02E33"/>
    <w:rsid w:val="00E03CFE"/>
    <w:rsid w:val="00E06D58"/>
    <w:rsid w:val="00E1101F"/>
    <w:rsid w:val="00E140C5"/>
    <w:rsid w:val="00E17B5F"/>
    <w:rsid w:val="00E272FF"/>
    <w:rsid w:val="00E2733C"/>
    <w:rsid w:val="00E276A5"/>
    <w:rsid w:val="00E4728A"/>
    <w:rsid w:val="00E73146"/>
    <w:rsid w:val="00E85A73"/>
    <w:rsid w:val="00E951D9"/>
    <w:rsid w:val="00EA06A6"/>
    <w:rsid w:val="00EA5555"/>
    <w:rsid w:val="00EA791B"/>
    <w:rsid w:val="00EB0430"/>
    <w:rsid w:val="00EB0551"/>
    <w:rsid w:val="00EC1BEE"/>
    <w:rsid w:val="00EC3235"/>
    <w:rsid w:val="00EC6FF3"/>
    <w:rsid w:val="00ED5E35"/>
    <w:rsid w:val="00ED7700"/>
    <w:rsid w:val="00EE135E"/>
    <w:rsid w:val="00EF6A53"/>
    <w:rsid w:val="00F14DF3"/>
    <w:rsid w:val="00F2229C"/>
    <w:rsid w:val="00F275CA"/>
    <w:rsid w:val="00F36B38"/>
    <w:rsid w:val="00F430EA"/>
    <w:rsid w:val="00F45A4F"/>
    <w:rsid w:val="00F522F6"/>
    <w:rsid w:val="00F67361"/>
    <w:rsid w:val="00F75E2F"/>
    <w:rsid w:val="00F80B63"/>
    <w:rsid w:val="00F86FE1"/>
    <w:rsid w:val="00FA0424"/>
    <w:rsid w:val="00FA0EA4"/>
    <w:rsid w:val="00FB3A80"/>
    <w:rsid w:val="00FB57B8"/>
    <w:rsid w:val="00FD23C3"/>
    <w:rsid w:val="00FD474E"/>
    <w:rsid w:val="00FD4EB6"/>
    <w:rsid w:val="00FE5D2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BA02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45B8"/>
    <w:pPr>
      <w:keepNext/>
      <w:keepLines/>
      <w:spacing w:before="360" w:after="80"/>
      <w:jc w:val="center"/>
      <w:outlineLvl w:val="0"/>
    </w:pPr>
    <w:rPr>
      <w:rFonts w:ascii="Arial" w:eastAsiaTheme="majorEastAsia" w:hAnsi="Arial" w:cstheme="majorBidi"/>
      <w:b/>
      <w:sz w:val="24"/>
      <w:szCs w:val="40"/>
    </w:rPr>
  </w:style>
  <w:style w:type="paragraph" w:styleId="Heading2">
    <w:name w:val="heading 2"/>
    <w:basedOn w:val="Normal"/>
    <w:next w:val="Normal"/>
    <w:link w:val="Heading2Char"/>
    <w:uiPriority w:val="9"/>
    <w:unhideWhenUsed/>
    <w:qFormat/>
    <w:rsid w:val="00CC7104"/>
    <w:pPr>
      <w:keepNext/>
      <w:keepLines/>
      <w:spacing w:before="160" w:after="80"/>
      <w:outlineLvl w:val="1"/>
    </w:pPr>
    <w:rPr>
      <w:rFonts w:ascii="Arial" w:eastAsiaTheme="majorEastAsia" w:hAnsi="Arial" w:cstheme="majorBidi"/>
      <w:b/>
      <w:sz w:val="24"/>
      <w:szCs w:val="32"/>
    </w:rPr>
  </w:style>
  <w:style w:type="paragraph" w:styleId="Heading3">
    <w:name w:val="heading 3"/>
    <w:basedOn w:val="Normal"/>
    <w:next w:val="Normal"/>
    <w:link w:val="Heading3Char"/>
    <w:uiPriority w:val="9"/>
    <w:unhideWhenUsed/>
    <w:qFormat/>
    <w:rsid w:val="00CC7104"/>
    <w:pPr>
      <w:keepNext/>
      <w:keepLines/>
      <w:spacing w:before="160" w:after="80"/>
      <w:outlineLvl w:val="2"/>
    </w:pPr>
    <w:rPr>
      <w:rFonts w:ascii="Arial" w:eastAsiaTheme="majorEastAsia" w:hAnsi="Arial" w:cstheme="majorBidi"/>
      <w:b/>
      <w:i/>
      <w:sz w:val="24"/>
      <w:szCs w:val="28"/>
    </w:rPr>
  </w:style>
  <w:style w:type="paragraph" w:styleId="Heading4">
    <w:name w:val="heading 4"/>
    <w:basedOn w:val="Normal"/>
    <w:next w:val="Normal"/>
    <w:link w:val="Heading4Char"/>
    <w:uiPriority w:val="9"/>
    <w:semiHidden/>
    <w:unhideWhenUsed/>
    <w:qFormat/>
    <w:rsid w:val="00B646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646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646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46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46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46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5B8"/>
    <w:rPr>
      <w:rFonts w:ascii="Arial" w:eastAsiaTheme="majorEastAsia" w:hAnsi="Arial" w:cstheme="majorBidi"/>
      <w:b/>
      <w:sz w:val="24"/>
      <w:szCs w:val="40"/>
    </w:rPr>
  </w:style>
  <w:style w:type="character" w:customStyle="1" w:styleId="Heading2Char">
    <w:name w:val="Heading 2 Char"/>
    <w:basedOn w:val="DefaultParagraphFont"/>
    <w:link w:val="Heading2"/>
    <w:uiPriority w:val="9"/>
    <w:rsid w:val="00CC7104"/>
    <w:rPr>
      <w:rFonts w:ascii="Arial" w:eastAsiaTheme="majorEastAsia" w:hAnsi="Arial" w:cstheme="majorBidi"/>
      <w:b/>
      <w:sz w:val="24"/>
      <w:szCs w:val="32"/>
    </w:rPr>
  </w:style>
  <w:style w:type="character" w:customStyle="1" w:styleId="Heading3Char">
    <w:name w:val="Heading 3 Char"/>
    <w:basedOn w:val="DefaultParagraphFont"/>
    <w:link w:val="Heading3"/>
    <w:uiPriority w:val="9"/>
    <w:rsid w:val="00CC7104"/>
    <w:rPr>
      <w:rFonts w:ascii="Arial" w:eastAsiaTheme="majorEastAsia" w:hAnsi="Arial" w:cstheme="majorBidi"/>
      <w:b/>
      <w:i/>
      <w:sz w:val="24"/>
      <w:szCs w:val="28"/>
    </w:rPr>
  </w:style>
  <w:style w:type="character" w:customStyle="1" w:styleId="Heading4Char">
    <w:name w:val="Heading 4 Char"/>
    <w:basedOn w:val="DefaultParagraphFont"/>
    <w:link w:val="Heading4"/>
    <w:uiPriority w:val="9"/>
    <w:semiHidden/>
    <w:rsid w:val="00B646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646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646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46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46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4685"/>
    <w:rPr>
      <w:rFonts w:eastAsiaTheme="majorEastAsia" w:cstheme="majorBidi"/>
      <w:color w:val="272727" w:themeColor="text1" w:themeTint="D8"/>
    </w:rPr>
  </w:style>
  <w:style w:type="paragraph" w:styleId="Title">
    <w:name w:val="Title"/>
    <w:basedOn w:val="Normal"/>
    <w:next w:val="Normal"/>
    <w:link w:val="TitleChar"/>
    <w:uiPriority w:val="10"/>
    <w:qFormat/>
    <w:rsid w:val="00B646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46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46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46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4685"/>
    <w:pPr>
      <w:spacing w:before="160"/>
      <w:jc w:val="center"/>
    </w:pPr>
    <w:rPr>
      <w:i/>
      <w:iCs/>
      <w:color w:val="404040" w:themeColor="text1" w:themeTint="BF"/>
    </w:rPr>
  </w:style>
  <w:style w:type="character" w:customStyle="1" w:styleId="QuoteChar">
    <w:name w:val="Quote Char"/>
    <w:basedOn w:val="DefaultParagraphFont"/>
    <w:link w:val="Quote"/>
    <w:uiPriority w:val="29"/>
    <w:rsid w:val="00B64685"/>
    <w:rPr>
      <w:i/>
      <w:iCs/>
      <w:color w:val="404040" w:themeColor="text1" w:themeTint="BF"/>
    </w:rPr>
  </w:style>
  <w:style w:type="paragraph" w:styleId="ListParagraph">
    <w:name w:val="List Paragraph"/>
    <w:basedOn w:val="Normal"/>
    <w:uiPriority w:val="34"/>
    <w:qFormat/>
    <w:rsid w:val="00B64685"/>
    <w:pPr>
      <w:ind w:left="720"/>
      <w:contextualSpacing/>
    </w:pPr>
  </w:style>
  <w:style w:type="character" w:styleId="IntenseEmphasis">
    <w:name w:val="Intense Emphasis"/>
    <w:basedOn w:val="DefaultParagraphFont"/>
    <w:uiPriority w:val="21"/>
    <w:qFormat/>
    <w:rsid w:val="00B64685"/>
    <w:rPr>
      <w:i/>
      <w:iCs/>
      <w:color w:val="2F5496" w:themeColor="accent1" w:themeShade="BF"/>
    </w:rPr>
  </w:style>
  <w:style w:type="paragraph" w:styleId="IntenseQuote">
    <w:name w:val="Intense Quote"/>
    <w:basedOn w:val="Normal"/>
    <w:next w:val="Normal"/>
    <w:link w:val="IntenseQuoteChar"/>
    <w:uiPriority w:val="30"/>
    <w:qFormat/>
    <w:rsid w:val="00B646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4685"/>
    <w:rPr>
      <w:i/>
      <w:iCs/>
      <w:color w:val="2F5496" w:themeColor="accent1" w:themeShade="BF"/>
    </w:rPr>
  </w:style>
  <w:style w:type="character" w:styleId="IntenseReference">
    <w:name w:val="Intense Reference"/>
    <w:basedOn w:val="DefaultParagraphFont"/>
    <w:uiPriority w:val="32"/>
    <w:qFormat/>
    <w:rsid w:val="00B64685"/>
    <w:rPr>
      <w:b/>
      <w:bCs/>
      <w:smallCaps/>
      <w:color w:val="2F5496" w:themeColor="accent1" w:themeShade="BF"/>
      <w:spacing w:val="5"/>
    </w:rPr>
  </w:style>
  <w:style w:type="paragraph" w:styleId="Header">
    <w:name w:val="header"/>
    <w:basedOn w:val="Normal"/>
    <w:link w:val="HeaderChar"/>
    <w:uiPriority w:val="99"/>
    <w:unhideWhenUsed/>
    <w:rsid w:val="00F222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29C"/>
    <w:rPr>
      <w:lang w:val="en-GB"/>
    </w:rPr>
  </w:style>
  <w:style w:type="paragraph" w:styleId="Footer">
    <w:name w:val="footer"/>
    <w:basedOn w:val="Normal"/>
    <w:link w:val="FooterChar"/>
    <w:uiPriority w:val="99"/>
    <w:unhideWhenUsed/>
    <w:rsid w:val="00F222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29C"/>
    <w:rPr>
      <w:lang w:val="en-GB"/>
    </w:rPr>
  </w:style>
  <w:style w:type="character" w:styleId="Hyperlink">
    <w:name w:val="Hyperlink"/>
    <w:basedOn w:val="DefaultParagraphFont"/>
    <w:uiPriority w:val="99"/>
    <w:unhideWhenUsed/>
    <w:rsid w:val="00CD00F7"/>
    <w:rPr>
      <w:color w:val="0563C1" w:themeColor="hyperlink"/>
      <w:u w:val="single"/>
    </w:rPr>
  </w:style>
  <w:style w:type="character" w:customStyle="1" w:styleId="UnresolvedMention1">
    <w:name w:val="Unresolved Mention1"/>
    <w:basedOn w:val="DefaultParagraphFont"/>
    <w:uiPriority w:val="99"/>
    <w:semiHidden/>
    <w:unhideWhenUsed/>
    <w:rsid w:val="00CD00F7"/>
    <w:rPr>
      <w:color w:val="605E5C"/>
      <w:shd w:val="clear" w:color="auto" w:fill="E1DFDD"/>
    </w:rPr>
  </w:style>
  <w:style w:type="paragraph" w:styleId="TOCHeading">
    <w:name w:val="TOC Heading"/>
    <w:basedOn w:val="Heading1"/>
    <w:next w:val="Normal"/>
    <w:uiPriority w:val="39"/>
    <w:unhideWhenUsed/>
    <w:qFormat/>
    <w:rsid w:val="00AD59BA"/>
    <w:pPr>
      <w:spacing w:before="240" w:after="0"/>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D59BA"/>
    <w:pPr>
      <w:spacing w:after="100"/>
    </w:pPr>
  </w:style>
  <w:style w:type="paragraph" w:styleId="TOC2">
    <w:name w:val="toc 2"/>
    <w:basedOn w:val="Normal"/>
    <w:next w:val="Normal"/>
    <w:autoRedefine/>
    <w:uiPriority w:val="39"/>
    <w:unhideWhenUsed/>
    <w:rsid w:val="00AD59BA"/>
    <w:pPr>
      <w:spacing w:after="100"/>
      <w:ind w:left="220"/>
    </w:pPr>
  </w:style>
  <w:style w:type="paragraph" w:styleId="TOC3">
    <w:name w:val="toc 3"/>
    <w:basedOn w:val="Normal"/>
    <w:next w:val="Normal"/>
    <w:autoRedefine/>
    <w:uiPriority w:val="39"/>
    <w:unhideWhenUsed/>
    <w:rsid w:val="00AD59BA"/>
    <w:pPr>
      <w:spacing w:after="100"/>
      <w:ind w:left="440"/>
    </w:pPr>
  </w:style>
  <w:style w:type="table" w:styleId="TableGrid">
    <w:name w:val="Table Grid"/>
    <w:basedOn w:val="TableNormal"/>
    <w:uiPriority w:val="39"/>
    <w:rsid w:val="008E76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499E"/>
    <w:rPr>
      <w:color w:val="605E5C"/>
      <w:shd w:val="clear" w:color="auto" w:fill="E1DFDD"/>
    </w:rPr>
  </w:style>
  <w:style w:type="character" w:styleId="FollowedHyperlink">
    <w:name w:val="FollowedHyperlink"/>
    <w:basedOn w:val="DefaultParagraphFont"/>
    <w:uiPriority w:val="99"/>
    <w:semiHidden/>
    <w:unhideWhenUsed/>
    <w:rsid w:val="00515D78"/>
    <w:rPr>
      <w:color w:val="954F72" w:themeColor="followedHyperlink"/>
      <w:u w:val="single"/>
    </w:rPr>
  </w:style>
  <w:style w:type="paragraph" w:styleId="NormalWeb">
    <w:name w:val="Normal (Web)"/>
    <w:basedOn w:val="Normal"/>
    <w:uiPriority w:val="99"/>
    <w:semiHidden/>
    <w:unhideWhenUsed/>
    <w:rsid w:val="00C36A5A"/>
    <w:pPr>
      <w:spacing w:before="100" w:beforeAutospacing="1" w:after="100" w:afterAutospacing="1" w:line="240" w:lineRule="auto"/>
    </w:pPr>
    <w:rPr>
      <w:rFonts w:ascii="Times New Roman" w:eastAsia="Times New Roman" w:hAnsi="Times New Roman" w:cs="Times New Roman"/>
      <w:kern w:val="0"/>
      <w:sz w:val="24"/>
      <w:szCs w:val="24"/>
      <w:lan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cholarcommons.sc.edu/aiken_psychology_theses/52" TargetMode="External"/><Relationship Id="rId21" Type="http://schemas.openxmlformats.org/officeDocument/2006/relationships/hyperlink" Target="https://doi.org/10.1177/13558196221124740" TargetMode="External"/><Relationship Id="rId42" Type="http://schemas.openxmlformats.org/officeDocument/2006/relationships/hyperlink" Target="https://www.proquest.com/openview/f321f21190df80937edb793abf7c4ab5/1?pq-origsite=gscholar&amp;cbl=18750&amp;diss=y" TargetMode="External"/><Relationship Id="rId47" Type="http://schemas.openxmlformats.org/officeDocument/2006/relationships/hyperlink" Target="https://doi.org/10.1016/j.jpsychires.2022.10.015" TargetMode="External"/><Relationship Id="rId63" Type="http://schemas.openxmlformats.org/officeDocument/2006/relationships/hyperlink" Target="https://discovery.dundee.ac.uk/ws/portalfiles/portal/99091364/insights_70.pdf" TargetMode="External"/><Relationship Id="rId68" Type="http://schemas.openxmlformats.org/officeDocument/2006/relationships/hyperlink" Target="https://doi.org/10.1016/S2468-2667(23)00029-4" TargetMode="External"/><Relationship Id="rId2" Type="http://schemas.openxmlformats.org/officeDocument/2006/relationships/numbering" Target="numbering.xml"/><Relationship Id="rId16" Type="http://schemas.openxmlformats.org/officeDocument/2006/relationships/hyperlink" Target="https://fhcappg.org.uk/?page_id=4360" TargetMode="External"/><Relationship Id="rId29" Type="http://schemas.openxmlformats.org/officeDocument/2006/relationships/hyperlink" Target="https://doi.org/10.1186/s12889-021-12060-5" TargetMode="External"/><Relationship Id="rId11" Type="http://schemas.openxmlformats.org/officeDocument/2006/relationships/hyperlink" Target="https://doi.org/10.1186/s12889-025-23938-z" TargetMode="External"/><Relationship Id="rId24" Type="http://schemas.openxmlformats.org/officeDocument/2006/relationships/hyperlink" Target="https://doi.org/10.1186/s12913-025-13339-8" TargetMode="External"/><Relationship Id="rId32" Type="http://schemas.openxmlformats.org/officeDocument/2006/relationships/hyperlink" Target="https://doi.org/10.1186/s12889-025-21788-3" TargetMode="External"/><Relationship Id="rId37" Type="http://schemas.openxmlformats.org/officeDocument/2006/relationships/hyperlink" Target="https://doi.org/10.1017/S1474746419000101" TargetMode="External"/><Relationship Id="rId40" Type="http://schemas.openxmlformats.org/officeDocument/2006/relationships/hyperlink" Target="https://doi.org/10.1016/S0140-6736(20)32228-5" TargetMode="External"/><Relationship Id="rId45" Type="http://schemas.openxmlformats.org/officeDocument/2006/relationships/hyperlink" Target="https://researchonline.ljmu.ac.uk/id/eprint/26735/" TargetMode="External"/><Relationship Id="rId53" Type="http://schemas.openxmlformats.org/officeDocument/2006/relationships/hyperlink" Target="https://doi.org/10.1016/j.jpsychires.2022.09.020" TargetMode="External"/><Relationship Id="rId58" Type="http://schemas.openxmlformats.org/officeDocument/2006/relationships/hyperlink" Target="https://firingthemind.com/wp-content/uploads/2021/07/Editorial.pdf" TargetMode="External"/><Relationship Id="rId66" Type="http://schemas.openxmlformats.org/officeDocument/2006/relationships/hyperlink" Target="https://doi.org/10.1007/978-3-031-04394-9_72"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traumaframeworkcymru.com/wp-content/uploads/2022/07/Trauma-Informed-Wales-Framework.pdf" TargetMode="External"/><Relationship Id="rId19" Type="http://schemas.openxmlformats.org/officeDocument/2006/relationships/hyperlink" Target="https://doi.org/10.1136/bmjopen-2020-042112" TargetMode="External"/><Relationship Id="rId14" Type="http://schemas.openxmlformats.org/officeDocument/2006/relationships/hyperlink" Target="https://doi.org/10.3390/ijerph191710670" TargetMode="External"/><Relationship Id="rId22" Type="http://schemas.openxmlformats.org/officeDocument/2006/relationships/hyperlink" Target="https://doi.org/10.1186/s12913-022-08461-w" TargetMode="External"/><Relationship Id="rId27" Type="http://schemas.openxmlformats.org/officeDocument/2006/relationships/hyperlink" Target="https://doi.org/10.1186/s12913-022-08859-6" TargetMode="External"/><Relationship Id="rId30" Type="http://schemas.openxmlformats.org/officeDocument/2006/relationships/hyperlink" Target="https://doi.org/10.3389/fpubh.2022.1006513" TargetMode="External"/><Relationship Id="rId35" Type="http://schemas.openxmlformats.org/officeDocument/2006/relationships/hyperlink" Target="https://doi.org/10.1093/bjc/azab079" TargetMode="External"/><Relationship Id="rId43" Type="http://schemas.openxmlformats.org/officeDocument/2006/relationships/hyperlink" Target="https://doi.org/10.1093/pubmed/fdz158" TargetMode="External"/><Relationship Id="rId48" Type="http://schemas.openxmlformats.org/officeDocument/2006/relationships/hyperlink" Target="https://doi.org/10.1111/jpm.12947" TargetMode="External"/><Relationship Id="rId56" Type="http://schemas.openxmlformats.org/officeDocument/2006/relationships/hyperlink" Target="https://doi.org/10.3389/fpsyg.2025.1578821" TargetMode="External"/><Relationship Id="rId64" Type="http://schemas.openxmlformats.org/officeDocument/2006/relationships/hyperlink" Target="https://doi.org/10.1111/papt.12482" TargetMode="External"/><Relationship Id="rId69" Type="http://schemas.openxmlformats.org/officeDocument/2006/relationships/hyperlink" Target="https://doi.org/10.1136/jech-2019-212738" TargetMode="External"/><Relationship Id="rId8" Type="http://schemas.openxmlformats.org/officeDocument/2006/relationships/hyperlink" Target="https://orca.cardiff.ac.uk/id/eprint/172163" TargetMode="External"/><Relationship Id="rId51" Type="http://schemas.openxmlformats.org/officeDocument/2006/relationships/hyperlink" Target="https://doi.org/10.1007/978-3-031-05536-2_9" TargetMode="External"/><Relationship Id="rId72"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38/s41591-023-02426-0" TargetMode="External"/><Relationship Id="rId17" Type="http://schemas.openxmlformats.org/officeDocument/2006/relationships/hyperlink" Target="https://doi.org/10.1111/papt.12457" TargetMode="External"/><Relationship Id="rId25" Type="http://schemas.openxmlformats.org/officeDocument/2006/relationships/hyperlink" Target="https://doi.org/10.1177/10778004221131028" TargetMode="External"/><Relationship Id="rId33" Type="http://schemas.openxmlformats.org/officeDocument/2006/relationships/hyperlink" Target="https://doi.org/10.1136/bmjopen-2023-081924" TargetMode="External"/><Relationship Id="rId38" Type="http://schemas.openxmlformats.org/officeDocument/2006/relationships/hyperlink" Target="https://doi.org/10.1186/s12889-025-25429-7" TargetMode="External"/><Relationship Id="rId46" Type="http://schemas.openxmlformats.org/officeDocument/2006/relationships/hyperlink" Target="https://doi.org/10.1111/acps.13268" TargetMode="External"/><Relationship Id="rId59" Type="http://schemas.openxmlformats.org/officeDocument/2006/relationships/hyperlink" Target="https://doi.org/10.1016/B978-0-12-816065-7.00015-X" TargetMode="External"/><Relationship Id="rId67" Type="http://schemas.openxmlformats.org/officeDocument/2006/relationships/hyperlink" Target="https://doi.org/10.1177/1524839919889355" TargetMode="External"/><Relationship Id="rId20" Type="http://schemas.openxmlformats.org/officeDocument/2006/relationships/hyperlink" Target="https://doi.org/10.21071/ij21ce.v12i1.18660" TargetMode="External"/><Relationship Id="rId41" Type="http://schemas.openxmlformats.org/officeDocument/2006/relationships/hyperlink" Target="https://doi.org/10.1016/j.socscimed.2024.117664" TargetMode="External"/><Relationship Id="rId54" Type="http://schemas.openxmlformats.org/officeDocument/2006/relationships/hyperlink" Target="https://doi.org/10.1016/j.cpr.2021.101997" TargetMode="External"/><Relationship Id="rId62" Type="http://schemas.openxmlformats.org/officeDocument/2006/relationships/hyperlink" Target="https://doi.org/10.1007/s00787-021-01745-2" TargetMode="External"/><Relationship Id="rId70" Type="http://schemas.openxmlformats.org/officeDocument/2006/relationships/hyperlink" Target="https://doi.org/10.1080/13607863.2021.1978926"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4337/jqrt.2023.0006" TargetMode="External"/><Relationship Id="rId23" Type="http://schemas.openxmlformats.org/officeDocument/2006/relationships/hyperlink" Target="https://doi.org/10.1016/j.chiabu.2024.107014" TargetMode="External"/><Relationship Id="rId28" Type="http://schemas.openxmlformats.org/officeDocument/2006/relationships/hyperlink" Target="https://doi.org/10.1016/j.chipro.2024.100060" TargetMode="External"/><Relationship Id="rId36" Type="http://schemas.openxmlformats.org/officeDocument/2006/relationships/hyperlink" Target="https://doi.org/10.1111/1475-6773.14202" TargetMode="External"/><Relationship Id="rId49" Type="http://schemas.openxmlformats.org/officeDocument/2006/relationships/hyperlink" Target="https://eric.ed.gov/?q=resilience+AND+child+AND+abuse&amp;ff1=dtySince_2002&amp;id=ED655954" TargetMode="External"/><Relationship Id="rId57" Type="http://schemas.openxmlformats.org/officeDocument/2006/relationships/hyperlink" Target="https://www.gov.uk/government/organisations/office-for-health-improvement-and-disparities" TargetMode="External"/><Relationship Id="rId10" Type="http://schemas.openxmlformats.org/officeDocument/2006/relationships/hyperlink" Target="https://www.taylorfrancis.com/chapters/edit/10.4324/9781003198338-4/research-research-basics-evidence-based-practice-lisa-arai?context=ubx" TargetMode="External"/><Relationship Id="rId31" Type="http://schemas.openxmlformats.org/officeDocument/2006/relationships/hyperlink" Target="https://doi.org/10.1007/s40806-021-00299-5" TargetMode="External"/><Relationship Id="rId44" Type="http://schemas.openxmlformats.org/officeDocument/2006/relationships/hyperlink" Target="https://doi.org/10.1016/j.drugalcdep.2021.108563" TargetMode="External"/><Relationship Id="rId52" Type="http://schemas.openxmlformats.org/officeDocument/2006/relationships/hyperlink" Target="https://doi.org/10.1016/j.addbeh.2025.108535" TargetMode="External"/><Relationship Id="rId60" Type="http://schemas.openxmlformats.org/officeDocument/2006/relationships/hyperlink" Target="https://phw.nhs.wales/news/new-study-highlights-impact-of-childhood-adversity-and-school-experiences-on-adult-health/" TargetMode="External"/><Relationship Id="rId65" Type="http://schemas.openxmlformats.org/officeDocument/2006/relationships/hyperlink" Target="https://doi.org/10.1093/bjsw/bcaa080" TargetMode="External"/><Relationship Id="rId73" Type="http://schemas.openxmlformats.org/officeDocument/2006/relationships/hyperlink" Target="https://emotion.wisc.edu/wp-content/uploads/sites/1353/2021/08/Weems-2020-Translating-the-neuroscience-of-Adverse-Childhood-Experiences-to-inform-policy-and-foster-population-level-resilience.pdf%20" TargetMode="External"/><Relationship Id="rId4" Type="http://schemas.openxmlformats.org/officeDocument/2006/relationships/settings" Target="settings.xml"/><Relationship Id="rId9" Type="http://schemas.openxmlformats.org/officeDocument/2006/relationships/hyperlink" Target="https://doi.org/10.1016/j.glmedi.2025.100198" TargetMode="External"/><Relationship Id="rId13" Type="http://schemas.openxmlformats.org/officeDocument/2006/relationships/hyperlink" Target="https://www.health.org.uk/sites/default/files/pdf/2022-02/2022%20-%20Public%20polling.pdf" TargetMode="External"/><Relationship Id="rId18" Type="http://schemas.openxmlformats.org/officeDocument/2006/relationships/hyperlink" Target="https://doi.org/10.1038/s44159-024-00362-5" TargetMode="External"/><Relationship Id="rId39" Type="http://schemas.openxmlformats.org/officeDocument/2006/relationships/hyperlink" Target="http://dx.doi.org/10.7488/era/6668" TargetMode="External"/><Relationship Id="rId34" Type="http://schemas.openxmlformats.org/officeDocument/2006/relationships/hyperlink" Target="https://paytonrhughes.com/wp-content/uploads/2025/11/hughes-literature-review.pdf%20(28" TargetMode="External"/><Relationship Id="rId50" Type="http://schemas.openxmlformats.org/officeDocument/2006/relationships/hyperlink" Target="https://doi.org/10.46743/2160-3715/2022.5912" TargetMode="External"/><Relationship Id="rId55" Type="http://schemas.openxmlformats.org/officeDocument/2006/relationships/hyperlink" Target="https://www.england.nhs.uk/mental-health" TargetMode="External"/><Relationship Id="rId7" Type="http://schemas.openxmlformats.org/officeDocument/2006/relationships/endnotes" Target="endnotes.xml"/><Relationship Id="rId7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29C50-18A9-4FD2-B413-5F0F076EAF8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19745</Words>
  <Characters>112552</Characters>
  <Application>Microsoft Office Word</Application>
  <DocSecurity>0</DocSecurity>
  <Lines>937</Lines>
  <Paragraphs>264</Paragraphs>
  <ScaleCrop>false</ScaleCrop>
  <Company/>
  <LinksUpToDate>false</LinksUpToDate>
  <CharactersWithSpaces>132033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2026-03-29T10:12:00Z</dcterms:created>
  <dcterms:modified xsi:type="dcterms:W3CDTF">2026-03-29T10:12:00Z</dcterms:modified>
</cp:coreProperties>
</file>