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67C78" w14:textId="77777777" w:rsidR="003D43D6" w:rsidRDefault="003D43D6" w:rsidP="003D43D6"/>
    <w:p w14:paraId="7AC1FB94" w14:textId="77777777" w:rsidR="003D43D6" w:rsidRDefault="003D43D6" w:rsidP="003D43D6"/>
    <w:p w14:paraId="7EDD63DC" w14:textId="77777777" w:rsidR="003D43D6" w:rsidRDefault="003D43D6" w:rsidP="003D43D6"/>
    <w:p w14:paraId="0E4CDBF2" w14:textId="77777777" w:rsidR="003D43D6" w:rsidRDefault="003D43D6" w:rsidP="003D43D6"/>
    <w:p w14:paraId="359E917B" w14:textId="77777777" w:rsidR="003D43D6" w:rsidRDefault="003D43D6" w:rsidP="003D43D6"/>
    <w:p w14:paraId="1F3FE8DD" w14:textId="559E08D4" w:rsidR="003D43D6" w:rsidRPr="00981883" w:rsidRDefault="00981883" w:rsidP="003D43D6">
      <w:pPr>
        <w:rPr>
          <w:rFonts w:ascii="Arial" w:hAnsi="Arial" w:cs="Arial"/>
          <w:b/>
          <w:bCs/>
          <w:u w:val="single"/>
        </w:rPr>
      </w:pPr>
      <w:r w:rsidRPr="00981883">
        <w:rPr>
          <w:rFonts w:ascii="Arial" w:hAnsi="Arial" w:cs="Arial"/>
          <w:b/>
          <w:bCs/>
          <w:u w:val="single"/>
        </w:rPr>
        <w:t>Title</w:t>
      </w:r>
    </w:p>
    <w:p w14:paraId="624EC4F3" w14:textId="2D12C013" w:rsidR="003D43D6" w:rsidRDefault="003D43D6" w:rsidP="003D43D6">
      <w:pPr>
        <w:spacing w:line="480" w:lineRule="auto"/>
        <w:rPr>
          <w:rFonts w:ascii="Arial" w:hAnsi="Arial" w:cs="Arial"/>
        </w:rPr>
      </w:pPr>
    </w:p>
    <w:p w14:paraId="435F669A" w14:textId="3DF009A6" w:rsidR="00981883" w:rsidRDefault="00981883" w:rsidP="003D43D6">
      <w:pPr>
        <w:spacing w:line="480" w:lineRule="auto"/>
        <w:rPr>
          <w:rFonts w:ascii="Arial" w:hAnsi="Arial" w:cs="Arial"/>
        </w:rPr>
      </w:pPr>
    </w:p>
    <w:p w14:paraId="3CAEE7C4" w14:textId="4DD7D998" w:rsidR="00981883" w:rsidRDefault="00981883" w:rsidP="003D43D6">
      <w:pPr>
        <w:spacing w:line="480" w:lineRule="auto"/>
        <w:rPr>
          <w:rFonts w:ascii="Arial" w:hAnsi="Arial" w:cs="Arial"/>
        </w:rPr>
      </w:pPr>
      <w:r>
        <w:rPr>
          <w:rFonts w:ascii="Arial" w:hAnsi="Arial" w:cs="Arial"/>
        </w:rPr>
        <w:t xml:space="preserve">ECAD6007 – Who am I teaching? </w:t>
      </w:r>
    </w:p>
    <w:p w14:paraId="6CC380FF" w14:textId="77777777" w:rsidR="00981883" w:rsidRPr="003D43D6" w:rsidRDefault="00981883" w:rsidP="003D43D6">
      <w:pPr>
        <w:spacing w:line="480" w:lineRule="auto"/>
        <w:rPr>
          <w:rFonts w:ascii="Arial" w:hAnsi="Arial" w:cs="Arial"/>
        </w:rPr>
      </w:pPr>
    </w:p>
    <w:p w14:paraId="02E67DBD" w14:textId="77777777" w:rsidR="003D43D6" w:rsidRPr="003D43D6" w:rsidRDefault="003D43D6" w:rsidP="003D43D6">
      <w:pPr>
        <w:spacing w:line="480" w:lineRule="auto"/>
        <w:rPr>
          <w:rFonts w:ascii="Arial" w:hAnsi="Arial" w:cs="Arial"/>
        </w:rPr>
      </w:pPr>
      <w:r w:rsidRPr="003D43D6">
        <w:rPr>
          <w:rFonts w:ascii="Arial" w:hAnsi="Arial" w:cs="Arial"/>
        </w:rPr>
        <w:t>“A critical evaluation and the identification of next teaching and learning steps focusing on a case study of an individual learner or a group of learners, based on an observed critical incident.”</w:t>
      </w:r>
    </w:p>
    <w:p w14:paraId="5F727EDF" w14:textId="77777777" w:rsidR="003D43D6" w:rsidRPr="003D43D6" w:rsidRDefault="003D43D6" w:rsidP="003D43D6">
      <w:pPr>
        <w:spacing w:line="480" w:lineRule="auto"/>
        <w:rPr>
          <w:rFonts w:ascii="Arial" w:hAnsi="Arial" w:cs="Arial"/>
        </w:rPr>
      </w:pPr>
    </w:p>
    <w:p w14:paraId="467A083B" w14:textId="77777777" w:rsidR="003D43D6" w:rsidRPr="003D43D6" w:rsidRDefault="003D43D6" w:rsidP="003D43D6">
      <w:pPr>
        <w:spacing w:line="480" w:lineRule="auto"/>
        <w:rPr>
          <w:rFonts w:ascii="Arial" w:hAnsi="Arial" w:cs="Arial"/>
        </w:rPr>
      </w:pPr>
    </w:p>
    <w:p w14:paraId="529A9A65" w14:textId="77777777" w:rsidR="003D43D6" w:rsidRPr="003D43D6" w:rsidRDefault="003D43D6" w:rsidP="003D43D6">
      <w:pPr>
        <w:spacing w:line="480" w:lineRule="auto"/>
        <w:rPr>
          <w:rFonts w:ascii="Arial" w:hAnsi="Arial" w:cs="Arial"/>
        </w:rPr>
      </w:pPr>
    </w:p>
    <w:p w14:paraId="1022022A" w14:textId="23389C3E" w:rsidR="003D43D6" w:rsidRDefault="003D43D6" w:rsidP="003D43D6">
      <w:pPr>
        <w:spacing w:line="480" w:lineRule="auto"/>
        <w:rPr>
          <w:rFonts w:ascii="Arial" w:hAnsi="Arial" w:cs="Arial"/>
        </w:rPr>
      </w:pPr>
    </w:p>
    <w:p w14:paraId="4DCEB5B0" w14:textId="0E1CFF80" w:rsidR="00981883" w:rsidRDefault="00981883" w:rsidP="003D43D6">
      <w:pPr>
        <w:spacing w:line="480" w:lineRule="auto"/>
        <w:rPr>
          <w:rFonts w:ascii="Arial" w:hAnsi="Arial" w:cs="Arial"/>
        </w:rPr>
      </w:pPr>
    </w:p>
    <w:p w14:paraId="09828DD2" w14:textId="70876D3B" w:rsidR="00981883" w:rsidRDefault="00981883" w:rsidP="003D43D6">
      <w:pPr>
        <w:spacing w:line="480" w:lineRule="auto"/>
        <w:rPr>
          <w:rFonts w:ascii="Arial" w:hAnsi="Arial" w:cs="Arial"/>
        </w:rPr>
      </w:pPr>
    </w:p>
    <w:p w14:paraId="16765644" w14:textId="54D81C7C" w:rsidR="00981883" w:rsidRDefault="00981883" w:rsidP="003D43D6">
      <w:pPr>
        <w:spacing w:line="480" w:lineRule="auto"/>
        <w:rPr>
          <w:rFonts w:ascii="Arial" w:hAnsi="Arial" w:cs="Arial"/>
        </w:rPr>
      </w:pPr>
    </w:p>
    <w:p w14:paraId="01C99A37" w14:textId="2E2DE94D" w:rsidR="00981883" w:rsidRDefault="00981883" w:rsidP="003D43D6">
      <w:pPr>
        <w:spacing w:line="480" w:lineRule="auto"/>
        <w:rPr>
          <w:rFonts w:ascii="Arial" w:hAnsi="Arial" w:cs="Arial"/>
        </w:rPr>
      </w:pPr>
    </w:p>
    <w:p w14:paraId="325C0718" w14:textId="77777777" w:rsidR="00981883" w:rsidRDefault="00981883" w:rsidP="003D43D6">
      <w:pPr>
        <w:spacing w:line="480" w:lineRule="auto"/>
        <w:rPr>
          <w:rFonts w:ascii="Arial" w:hAnsi="Arial" w:cs="Arial"/>
        </w:rPr>
      </w:pPr>
    </w:p>
    <w:p w14:paraId="25DAEEB5" w14:textId="12B66921" w:rsidR="00981883" w:rsidRDefault="00981883" w:rsidP="003D43D6">
      <w:pPr>
        <w:spacing w:line="480" w:lineRule="auto"/>
        <w:rPr>
          <w:rFonts w:ascii="Arial" w:hAnsi="Arial" w:cs="Arial"/>
        </w:rPr>
      </w:pPr>
    </w:p>
    <w:p w14:paraId="7AEBCF8E" w14:textId="3328535C" w:rsidR="00981883" w:rsidRDefault="00981883" w:rsidP="003D43D6">
      <w:pPr>
        <w:spacing w:line="480" w:lineRule="auto"/>
        <w:rPr>
          <w:rFonts w:ascii="Arial" w:hAnsi="Arial" w:cs="Arial"/>
        </w:rPr>
      </w:pPr>
      <w:r>
        <w:rPr>
          <w:rFonts w:ascii="Arial" w:hAnsi="Arial" w:cs="Arial"/>
        </w:rPr>
        <w:t>Student Name – Shannon Marie Jones</w:t>
      </w:r>
    </w:p>
    <w:p w14:paraId="57E11F62" w14:textId="338EA063" w:rsidR="00981883" w:rsidRPr="003D43D6" w:rsidRDefault="00981883" w:rsidP="003D43D6">
      <w:pPr>
        <w:spacing w:line="480" w:lineRule="auto"/>
        <w:rPr>
          <w:rFonts w:ascii="Arial" w:hAnsi="Arial" w:cs="Arial"/>
        </w:rPr>
      </w:pPr>
      <w:r>
        <w:rPr>
          <w:rFonts w:ascii="Arial" w:hAnsi="Arial" w:cs="Arial"/>
        </w:rPr>
        <w:t>Student Number - 1801341</w:t>
      </w:r>
    </w:p>
    <w:p w14:paraId="03B9C733" w14:textId="77777777" w:rsidR="003D43D6" w:rsidRPr="003D43D6" w:rsidRDefault="003D43D6" w:rsidP="003D43D6">
      <w:pPr>
        <w:spacing w:line="480" w:lineRule="auto"/>
        <w:rPr>
          <w:rFonts w:ascii="Arial" w:hAnsi="Arial" w:cs="Arial"/>
        </w:rPr>
      </w:pPr>
    </w:p>
    <w:p w14:paraId="091B9D03" w14:textId="77777777" w:rsidR="003D43D6" w:rsidRPr="003D43D6" w:rsidRDefault="003D43D6" w:rsidP="003D43D6">
      <w:pPr>
        <w:spacing w:line="480" w:lineRule="auto"/>
        <w:rPr>
          <w:rFonts w:ascii="Arial" w:hAnsi="Arial" w:cs="Arial"/>
        </w:rPr>
      </w:pPr>
    </w:p>
    <w:p w14:paraId="03633963" w14:textId="77777777" w:rsidR="003D43D6" w:rsidRPr="003D43D6" w:rsidRDefault="003D43D6" w:rsidP="003D43D6">
      <w:pPr>
        <w:spacing w:line="480" w:lineRule="auto"/>
        <w:rPr>
          <w:rFonts w:ascii="Arial" w:hAnsi="Arial" w:cs="Arial"/>
        </w:rPr>
      </w:pPr>
    </w:p>
    <w:p w14:paraId="109D2E69" w14:textId="77777777" w:rsidR="003D43D6" w:rsidRPr="003D43D6" w:rsidRDefault="003D43D6" w:rsidP="003D43D6">
      <w:pPr>
        <w:spacing w:line="480" w:lineRule="auto"/>
        <w:rPr>
          <w:rFonts w:ascii="Arial" w:hAnsi="Arial" w:cs="Arial"/>
        </w:rPr>
      </w:pPr>
    </w:p>
    <w:p w14:paraId="790A2265" w14:textId="77777777" w:rsidR="003D43D6" w:rsidRPr="003D43D6" w:rsidRDefault="003D43D6" w:rsidP="003D43D6">
      <w:pPr>
        <w:spacing w:line="480" w:lineRule="auto"/>
        <w:rPr>
          <w:rFonts w:ascii="Arial" w:hAnsi="Arial" w:cs="Arial"/>
        </w:rPr>
      </w:pPr>
    </w:p>
    <w:p w14:paraId="14D67BFF" w14:textId="77777777" w:rsidR="003D43D6" w:rsidRPr="003D43D6" w:rsidRDefault="003D43D6" w:rsidP="003D43D6">
      <w:pPr>
        <w:spacing w:line="480" w:lineRule="auto"/>
        <w:rPr>
          <w:rFonts w:ascii="Arial" w:hAnsi="Arial" w:cs="Arial"/>
        </w:rPr>
      </w:pPr>
    </w:p>
    <w:p w14:paraId="035FB07E" w14:textId="77777777" w:rsidR="003D43D6" w:rsidRPr="003D43D6" w:rsidRDefault="003D43D6" w:rsidP="003D43D6">
      <w:pPr>
        <w:spacing w:line="480" w:lineRule="auto"/>
        <w:rPr>
          <w:rFonts w:ascii="Arial" w:hAnsi="Arial" w:cs="Arial"/>
        </w:rPr>
      </w:pPr>
    </w:p>
    <w:p w14:paraId="090296DC" w14:textId="77777777" w:rsidR="003D43D6" w:rsidRPr="003D43D6" w:rsidRDefault="003D43D6" w:rsidP="003D43D6">
      <w:pPr>
        <w:spacing w:line="480" w:lineRule="auto"/>
        <w:rPr>
          <w:rFonts w:ascii="Arial" w:hAnsi="Arial" w:cs="Arial"/>
        </w:rPr>
      </w:pPr>
    </w:p>
    <w:p w14:paraId="43623B88" w14:textId="77777777" w:rsidR="003D43D6" w:rsidRPr="003D43D6" w:rsidRDefault="003D43D6" w:rsidP="003D43D6">
      <w:pPr>
        <w:spacing w:line="480" w:lineRule="auto"/>
        <w:rPr>
          <w:rFonts w:ascii="Arial" w:hAnsi="Arial" w:cs="Arial"/>
        </w:rPr>
      </w:pPr>
    </w:p>
    <w:p w14:paraId="2A92A06E" w14:textId="77777777" w:rsidR="003D43D6" w:rsidRPr="003D43D6" w:rsidRDefault="003D43D6" w:rsidP="003D43D6">
      <w:pPr>
        <w:spacing w:line="480" w:lineRule="auto"/>
        <w:rPr>
          <w:rFonts w:ascii="Arial" w:hAnsi="Arial" w:cs="Arial"/>
        </w:rPr>
      </w:pPr>
    </w:p>
    <w:p w14:paraId="56217580" w14:textId="77777777" w:rsidR="003D43D6" w:rsidRPr="003D43D6" w:rsidRDefault="003D43D6" w:rsidP="003D43D6">
      <w:pPr>
        <w:spacing w:line="480" w:lineRule="auto"/>
        <w:rPr>
          <w:rFonts w:ascii="Arial" w:hAnsi="Arial" w:cs="Arial"/>
        </w:rPr>
      </w:pPr>
    </w:p>
    <w:p w14:paraId="5CA58BA9" w14:textId="77777777" w:rsidR="003D43D6" w:rsidRPr="003D43D6" w:rsidRDefault="003D43D6" w:rsidP="003D43D6">
      <w:pPr>
        <w:spacing w:line="480" w:lineRule="auto"/>
        <w:rPr>
          <w:rFonts w:ascii="Arial" w:hAnsi="Arial" w:cs="Arial"/>
        </w:rPr>
      </w:pPr>
    </w:p>
    <w:p w14:paraId="55EBBC44" w14:textId="77777777" w:rsidR="003D43D6" w:rsidRPr="003D43D6" w:rsidRDefault="003D43D6" w:rsidP="003D43D6">
      <w:pPr>
        <w:spacing w:line="480" w:lineRule="auto"/>
        <w:rPr>
          <w:rFonts w:ascii="Arial" w:hAnsi="Arial" w:cs="Arial"/>
        </w:rPr>
      </w:pPr>
    </w:p>
    <w:p w14:paraId="5318CEE5" w14:textId="77777777" w:rsidR="003D43D6" w:rsidRPr="003D43D6" w:rsidRDefault="003D43D6" w:rsidP="003D43D6">
      <w:pPr>
        <w:spacing w:line="480" w:lineRule="auto"/>
        <w:rPr>
          <w:rFonts w:ascii="Arial" w:hAnsi="Arial" w:cs="Arial"/>
        </w:rPr>
      </w:pPr>
    </w:p>
    <w:p w14:paraId="79C5FBB5" w14:textId="418CEADB"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Introduction </w:t>
      </w:r>
    </w:p>
    <w:p w14:paraId="561A9C8A" w14:textId="77777777" w:rsidR="003D43D6" w:rsidRPr="003D43D6" w:rsidRDefault="003D43D6" w:rsidP="003D43D6">
      <w:pPr>
        <w:spacing w:line="480" w:lineRule="auto"/>
        <w:rPr>
          <w:rFonts w:ascii="Arial" w:hAnsi="Arial" w:cs="Arial"/>
        </w:rPr>
      </w:pPr>
    </w:p>
    <w:p w14:paraId="3B564AC3" w14:textId="77777777" w:rsidR="003D43D6" w:rsidRPr="003D43D6" w:rsidRDefault="003D43D6" w:rsidP="003D43D6">
      <w:pPr>
        <w:spacing w:line="480" w:lineRule="auto"/>
        <w:rPr>
          <w:rFonts w:ascii="Arial" w:hAnsi="Arial" w:cs="Arial"/>
        </w:rPr>
      </w:pPr>
      <w:r w:rsidRPr="003D43D6">
        <w:rPr>
          <w:rFonts w:ascii="Arial" w:hAnsi="Arial" w:cs="Arial"/>
        </w:rPr>
        <w:t xml:space="preserve">Critical reflection is a process of being able to identify, question, and asses. Being able to reflect critically allows us to gather thoughts on our practice. The benefits of reflection include strengthening practice, creating new learning opportunities, and creating higher engagement (Lyons, 2006). </w:t>
      </w:r>
    </w:p>
    <w:p w14:paraId="787EE5FD" w14:textId="77777777" w:rsidR="003D43D6" w:rsidRPr="003D43D6" w:rsidRDefault="003D43D6" w:rsidP="003D43D6">
      <w:pPr>
        <w:spacing w:line="480" w:lineRule="auto"/>
        <w:rPr>
          <w:rFonts w:ascii="Arial" w:hAnsi="Arial" w:cs="Arial"/>
        </w:rPr>
      </w:pPr>
      <w:r w:rsidRPr="003D43D6">
        <w:rPr>
          <w:rFonts w:ascii="Arial" w:hAnsi="Arial" w:cs="Arial"/>
        </w:rPr>
        <w:t>This evaluation will discuss a specific critical incident, that took place in a small classroom after break time. The critical incident proceeded when a child entered their classroom in an unexpected manner. Leading on from this description I will discuss and examine the process of what happened after this incident had taken place. Throughout this, I will be underpinning theories and evidence to support my discussion. I will be especially looking at highly studied theorists Skinner, Bronfenbrenner, and Gibbs.</w:t>
      </w:r>
    </w:p>
    <w:p w14:paraId="374A223B" w14:textId="77777777" w:rsidR="003D43D6" w:rsidRPr="003D43D6" w:rsidRDefault="003D43D6" w:rsidP="003D43D6">
      <w:pPr>
        <w:spacing w:line="480" w:lineRule="auto"/>
        <w:rPr>
          <w:rFonts w:ascii="Arial" w:hAnsi="Arial" w:cs="Arial"/>
        </w:rPr>
      </w:pPr>
      <w:r w:rsidRPr="003D43D6">
        <w:rPr>
          <w:rFonts w:ascii="Arial" w:hAnsi="Arial" w:cs="Arial"/>
        </w:rPr>
        <w:lastRenderedPageBreak/>
        <w:t>I will be using Skinner’s operant conditioning theory (1964), this theory is used to see if an association is made between a behaviour and a certain consequence to create an outcome, whether it’s good or bad. Bronfenbrenner’s ecological system theory (1999) will be used to assemble research around my critical incident. I will be carefully looking into the child and considering what could be the reason for their selected behaviour. Investigating this incident, a variety of issues could be a factor in why the behaviour commenced, this will be delved into further.</w:t>
      </w:r>
    </w:p>
    <w:p w14:paraId="32100D12" w14:textId="77777777" w:rsidR="003D43D6" w:rsidRPr="003D43D6" w:rsidRDefault="003D43D6" w:rsidP="003D43D6">
      <w:pPr>
        <w:spacing w:line="480" w:lineRule="auto"/>
        <w:rPr>
          <w:rFonts w:ascii="Arial" w:hAnsi="Arial" w:cs="Arial"/>
        </w:rPr>
      </w:pPr>
      <w:r w:rsidRPr="003D43D6">
        <w:rPr>
          <w:rFonts w:ascii="Arial" w:hAnsi="Arial" w:cs="Arial"/>
        </w:rPr>
        <w:t xml:space="preserve">Gibbs's model of reflection allows me to understand the consequences used by the teacher and if it worked. Being able to reflect on these actions allows me to implement my thoughts and construct a plan of action to use if a similar situation was to arise. </w:t>
      </w:r>
    </w:p>
    <w:p w14:paraId="2CD24B00" w14:textId="77777777" w:rsidR="003D43D6" w:rsidRPr="003D43D6" w:rsidRDefault="003D43D6" w:rsidP="003D43D6">
      <w:pPr>
        <w:spacing w:line="480" w:lineRule="auto"/>
        <w:rPr>
          <w:rFonts w:ascii="Arial" w:hAnsi="Arial" w:cs="Arial"/>
        </w:rPr>
      </w:pPr>
    </w:p>
    <w:p w14:paraId="1A940237" w14:textId="2445C86E"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The role of critical reflection </w:t>
      </w:r>
    </w:p>
    <w:p w14:paraId="2426EFF1" w14:textId="77777777" w:rsidR="003D43D6" w:rsidRPr="003D43D6" w:rsidRDefault="003D43D6" w:rsidP="003D43D6">
      <w:pPr>
        <w:spacing w:line="480" w:lineRule="auto"/>
        <w:rPr>
          <w:rFonts w:ascii="Arial" w:hAnsi="Arial" w:cs="Arial"/>
          <w:b/>
          <w:bCs/>
          <w:u w:val="single"/>
        </w:rPr>
      </w:pPr>
    </w:p>
    <w:p w14:paraId="3B25A8D6" w14:textId="50ED77CB" w:rsidR="003D43D6" w:rsidRPr="003D43D6" w:rsidRDefault="003D43D6" w:rsidP="003D43D6">
      <w:pPr>
        <w:spacing w:line="480" w:lineRule="auto"/>
        <w:rPr>
          <w:rFonts w:ascii="Arial" w:hAnsi="Arial" w:cs="Arial"/>
        </w:rPr>
      </w:pPr>
      <w:r w:rsidRPr="003D43D6">
        <w:rPr>
          <w:rFonts w:ascii="Arial" w:hAnsi="Arial" w:cs="Arial"/>
        </w:rPr>
        <w:t>Critical reflection creates an opportunity for further development, reflective practice helps progression by allowing other factors to be considered, such as feedback from peers. Critical reflection comes from within, meaning individuals’ selective perception of oneself only observes what they want to see. Bronfenbrenner (1979) elaborates that some issues are selected whereas others are not addressed, such as reflecting on a lot of strengths in comparison to weaknesses.</w:t>
      </w:r>
    </w:p>
    <w:p w14:paraId="4119786B" w14:textId="77777777" w:rsidR="003D43D6" w:rsidRPr="003D43D6" w:rsidRDefault="003D43D6" w:rsidP="003D43D6">
      <w:pPr>
        <w:spacing w:line="480" w:lineRule="auto"/>
        <w:rPr>
          <w:rFonts w:ascii="Arial" w:hAnsi="Arial" w:cs="Arial"/>
        </w:rPr>
      </w:pPr>
    </w:p>
    <w:p w14:paraId="2929D0F9" w14:textId="6F98252A" w:rsidR="003D43D6" w:rsidRPr="003D43D6" w:rsidRDefault="003D43D6" w:rsidP="003D43D6">
      <w:pPr>
        <w:spacing w:line="480" w:lineRule="auto"/>
        <w:rPr>
          <w:rFonts w:ascii="Arial" w:hAnsi="Arial" w:cs="Arial"/>
        </w:rPr>
      </w:pPr>
      <w:r w:rsidRPr="003D43D6">
        <w:rPr>
          <w:rFonts w:ascii="Arial" w:hAnsi="Arial" w:cs="Arial"/>
        </w:rPr>
        <w:t xml:space="preserve"> A critical reflection is reviewing an incident from an analytic perspective, by reviewing past actions from an event. This helps individuals learn to construct the correct changes, to help grow and implement personal development. (Dewey, 1933) demonstrates that reflective practice plays a part in learning which signifies growth </w:t>
      </w:r>
      <w:r w:rsidRPr="003D43D6">
        <w:rPr>
          <w:rFonts w:ascii="Arial" w:hAnsi="Arial" w:cs="Arial"/>
        </w:rPr>
        <w:lastRenderedPageBreak/>
        <w:t xml:space="preserve">and change. As a teacher reflection is key, it allows teachers to not only learn from experiences but also promotes a positive learning environment. A positive learning environment is a fundamental step to engaging learners, Maslow (1943) suggests for individuals to reach their full potential, basic needs must be addressed. Looking at ‘Hierarchy of Needs’ motivates individuals, when physical and emotional needs are engaged, personal growth is the next </w:t>
      </w:r>
      <w:r w:rsidRPr="003D43D6">
        <w:rPr>
          <w:rFonts w:ascii="Arial" w:hAnsi="Arial" w:cs="Arial"/>
        </w:rPr>
        <w:t>fulfilment</w:t>
      </w:r>
      <w:r w:rsidRPr="003D43D6">
        <w:rPr>
          <w:rFonts w:ascii="Arial" w:hAnsi="Arial" w:cs="Arial"/>
        </w:rPr>
        <w:t xml:space="preserve">. This research displays that teachers being able to reflect will massively aid children to reach the Welsh curriculum needs. </w:t>
      </w:r>
    </w:p>
    <w:p w14:paraId="35DBE513" w14:textId="77777777" w:rsidR="003D43D6" w:rsidRPr="003D43D6" w:rsidRDefault="003D43D6" w:rsidP="003D43D6">
      <w:pPr>
        <w:spacing w:line="480" w:lineRule="auto"/>
        <w:rPr>
          <w:rFonts w:ascii="Arial" w:hAnsi="Arial" w:cs="Arial"/>
        </w:rPr>
      </w:pPr>
    </w:p>
    <w:p w14:paraId="45DD05CA" w14:textId="2DE2A60F" w:rsidR="003D43D6" w:rsidRPr="003D43D6" w:rsidRDefault="003D43D6" w:rsidP="003D43D6">
      <w:pPr>
        <w:spacing w:line="480" w:lineRule="auto"/>
        <w:rPr>
          <w:rFonts w:ascii="Arial" w:hAnsi="Arial" w:cs="Arial"/>
        </w:rPr>
      </w:pPr>
      <w:r w:rsidRPr="003D43D6">
        <w:rPr>
          <w:rFonts w:ascii="Arial" w:hAnsi="Arial" w:cs="Arial"/>
        </w:rPr>
        <w:t>This provides children to reform in education, to become enterprising and creative contributors, ambitious and capable learners, ethically informed citizens, and healthy, confident individuals.</w:t>
      </w:r>
      <w:r w:rsidRPr="003D43D6">
        <w:rPr>
          <w:rFonts w:ascii="Arial" w:hAnsi="Arial" w:cs="Arial"/>
        </w:rPr>
        <w:t xml:space="preserve"> </w:t>
      </w:r>
      <w:r w:rsidRPr="003D43D6">
        <w:rPr>
          <w:rFonts w:ascii="Arial" w:hAnsi="Arial" w:cs="Arial"/>
        </w:rPr>
        <w:t xml:space="preserve">Teachers play a massive influence in a variety of different factors, internal and external factors, internal having a perception of their roles and responsibilities and external being those such as the children, parents, and colleagues. Brookfield (2009) believes self-reflection is the foundation of teaching, being able to self-reflect and understand students’ experiences is the “utmost importance” of good teaching. </w:t>
      </w:r>
    </w:p>
    <w:p w14:paraId="41CFB862" w14:textId="77777777" w:rsidR="003D43D6" w:rsidRPr="003D43D6" w:rsidRDefault="003D43D6" w:rsidP="003D43D6">
      <w:pPr>
        <w:spacing w:line="480" w:lineRule="auto"/>
        <w:rPr>
          <w:rFonts w:ascii="Arial" w:hAnsi="Arial" w:cs="Arial"/>
        </w:rPr>
      </w:pPr>
    </w:p>
    <w:p w14:paraId="4B33EA4D" w14:textId="77777777" w:rsidR="003D43D6" w:rsidRPr="003D43D6" w:rsidRDefault="003D43D6" w:rsidP="003D43D6">
      <w:pPr>
        <w:spacing w:line="480" w:lineRule="auto"/>
        <w:rPr>
          <w:rFonts w:ascii="Arial" w:hAnsi="Arial" w:cs="Arial"/>
        </w:rPr>
      </w:pPr>
      <w:r w:rsidRPr="003D43D6">
        <w:rPr>
          <w:rFonts w:ascii="Arial" w:hAnsi="Arial" w:cs="Arial"/>
        </w:rPr>
        <w:t xml:space="preserve">Being able to gather knowledge by having conversations with peers, attending workshops, and having team bonding experiences, contributes to improved teacher motivation, and produces amazing teaching and learning outcomes. Investigating further into Brookfield’s Four Lenses also shows incredible teachers will engage in reflection to continue to display advanced vocabulary in teaching practice, trying to shape learning environments and constant search to improve their teaching is worthy of exceptional teachers. </w:t>
      </w:r>
    </w:p>
    <w:p w14:paraId="21B07699" w14:textId="77777777" w:rsidR="003D43D6" w:rsidRPr="003D43D6" w:rsidRDefault="003D43D6" w:rsidP="003D43D6">
      <w:pPr>
        <w:spacing w:line="480" w:lineRule="auto"/>
        <w:rPr>
          <w:rFonts w:ascii="Arial" w:hAnsi="Arial" w:cs="Arial"/>
        </w:rPr>
      </w:pPr>
    </w:p>
    <w:p w14:paraId="09C29145" w14:textId="0CBFF3A6" w:rsidR="003D43D6" w:rsidRPr="003D43D6" w:rsidRDefault="003D43D6" w:rsidP="003D43D6">
      <w:pPr>
        <w:spacing w:line="480" w:lineRule="auto"/>
        <w:rPr>
          <w:rFonts w:ascii="Arial" w:hAnsi="Arial" w:cs="Arial"/>
          <w:b/>
          <w:bCs/>
          <w:u w:val="single"/>
        </w:rPr>
      </w:pPr>
      <w:r w:rsidRPr="003D43D6">
        <w:rPr>
          <w:rFonts w:ascii="Arial" w:hAnsi="Arial" w:cs="Arial"/>
          <w:b/>
          <w:bCs/>
          <w:u w:val="single"/>
        </w:rPr>
        <w:lastRenderedPageBreak/>
        <w:t>Observation</w:t>
      </w:r>
    </w:p>
    <w:p w14:paraId="3AF2DD1B" w14:textId="77777777" w:rsidR="003D43D6" w:rsidRPr="003D43D6" w:rsidRDefault="003D43D6" w:rsidP="003D43D6">
      <w:pPr>
        <w:spacing w:line="480" w:lineRule="auto"/>
        <w:rPr>
          <w:rFonts w:ascii="Arial" w:hAnsi="Arial" w:cs="Arial"/>
          <w:b/>
          <w:bCs/>
          <w:u w:val="single"/>
        </w:rPr>
      </w:pPr>
    </w:p>
    <w:p w14:paraId="084BB4B3" w14:textId="77777777" w:rsidR="003D43D6" w:rsidRPr="003D43D6" w:rsidRDefault="003D43D6" w:rsidP="003D43D6">
      <w:pPr>
        <w:spacing w:line="480" w:lineRule="auto"/>
        <w:rPr>
          <w:rFonts w:ascii="Arial" w:hAnsi="Arial" w:cs="Arial"/>
        </w:rPr>
      </w:pPr>
      <w:r w:rsidRPr="003D43D6">
        <w:rPr>
          <w:rFonts w:ascii="Arial" w:hAnsi="Arial" w:cs="Arial"/>
        </w:rPr>
        <w:t>On Monday 16th September at 11:10 am after the first break time, I observed my critical incident. The observation was based on a small, local, state primary school. The main vision of the school is “Together we share, care, and achieve”. The school was built in 1913, and since then they have had a major refurbishment. Attending this school there are 187 pupils from ages 3-11, with two single-aged classes and four with mixed-age classes. The school is a mixed-gendered school with 54% boys and 46% girls. The school's Estyn report shows that around 26% of these children are eligible for free school meals, which is above the 20% average for primary schools within Wales. The Estyn report also states that the school’s current performance is good, and the school’s prospects for improvement are also in the category of good.</w:t>
      </w:r>
    </w:p>
    <w:p w14:paraId="5B5FE615" w14:textId="77777777" w:rsidR="003D43D6" w:rsidRPr="003D43D6" w:rsidRDefault="003D43D6" w:rsidP="003D43D6">
      <w:pPr>
        <w:spacing w:line="480" w:lineRule="auto"/>
        <w:rPr>
          <w:rFonts w:ascii="Arial" w:hAnsi="Arial" w:cs="Arial"/>
        </w:rPr>
      </w:pPr>
      <w:r w:rsidRPr="003D43D6">
        <w:rPr>
          <w:rFonts w:ascii="Arial" w:hAnsi="Arial" w:cs="Arial"/>
        </w:rPr>
        <w:t>The lesson I observed was in key stage two, in a year three and four mixed class. In this mixed-aged class, there were around twenty children in the class, and six children were not in on the day of the observation. The classroom environment was small and closed in, with not much space to get around. The walls were displayed brightly with lots of eye-catching pieces of the student's work. The setting in the class was gloomy, dim, and cold with blinds closed, but a slight frosty breeze through the classroom on a dreary day, the observation took place right after the first playtime. A lot of the children had come in after break very excited and wound up, the noise level in the class was high, along with the energy levels of the happy and bubbly students.</w:t>
      </w:r>
    </w:p>
    <w:p w14:paraId="090A902B" w14:textId="77777777" w:rsidR="003D43D6" w:rsidRPr="003D43D6" w:rsidRDefault="003D43D6" w:rsidP="003D43D6">
      <w:pPr>
        <w:spacing w:line="480" w:lineRule="auto"/>
        <w:rPr>
          <w:rFonts w:ascii="Arial" w:hAnsi="Arial" w:cs="Arial"/>
        </w:rPr>
      </w:pPr>
    </w:p>
    <w:p w14:paraId="7549819B" w14:textId="01CFA404"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Critical incident </w:t>
      </w:r>
    </w:p>
    <w:p w14:paraId="15D3E4FA" w14:textId="77777777" w:rsidR="003D43D6" w:rsidRPr="003D43D6" w:rsidRDefault="003D43D6" w:rsidP="003D43D6">
      <w:pPr>
        <w:spacing w:line="480" w:lineRule="auto"/>
        <w:rPr>
          <w:rFonts w:ascii="Arial" w:hAnsi="Arial" w:cs="Arial"/>
        </w:rPr>
      </w:pPr>
    </w:p>
    <w:p w14:paraId="1FFE1C29" w14:textId="77777777" w:rsidR="003D43D6" w:rsidRPr="003D43D6" w:rsidRDefault="003D43D6" w:rsidP="003D43D6">
      <w:pPr>
        <w:spacing w:line="480" w:lineRule="auto"/>
        <w:rPr>
          <w:rFonts w:ascii="Arial" w:hAnsi="Arial" w:cs="Arial"/>
        </w:rPr>
      </w:pPr>
      <w:r w:rsidRPr="003D43D6">
        <w:rPr>
          <w:rFonts w:ascii="Arial" w:hAnsi="Arial" w:cs="Arial"/>
        </w:rPr>
        <w:lastRenderedPageBreak/>
        <w:t xml:space="preserve">The lesson that I observed was a recap lesson on the topic of time, the main objective was ‘to learn how to read a digital and analogue clock’. </w:t>
      </w:r>
    </w:p>
    <w:p w14:paraId="728B0651" w14:textId="77777777" w:rsidR="003D43D6" w:rsidRPr="003D43D6" w:rsidRDefault="003D43D6" w:rsidP="003D43D6">
      <w:pPr>
        <w:spacing w:line="480" w:lineRule="auto"/>
        <w:rPr>
          <w:rFonts w:ascii="Arial" w:hAnsi="Arial" w:cs="Arial"/>
        </w:rPr>
      </w:pPr>
      <w:r w:rsidRPr="003D43D6">
        <w:rPr>
          <w:rFonts w:ascii="Arial" w:hAnsi="Arial" w:cs="Arial"/>
        </w:rPr>
        <w:t>My critical incident started when a child burst through the door in an inappropriate manner, the class teacher told the child to go back out of the class and walk back in again. The child had walked out of the class and re-entered again in the same manner, shouting, and barging in. The teacher had said “is that how we walk into class?” and the child just sat down and ignored the teacher. No other repercussion was discussed, the child sat down and started swinging on their chair. The child’s body language showed that they were not interested, slanting on the table, with their head in their hands looking unbothered. The child kept shouting out throughout the lesson. At one time the answer was on the board and another child shouted out “it’s on the board” the teacher then explained to the children it was on there to help.</w:t>
      </w:r>
    </w:p>
    <w:p w14:paraId="622B5ACC" w14:textId="77777777" w:rsidR="003D43D6" w:rsidRPr="003D43D6" w:rsidRDefault="003D43D6" w:rsidP="003D43D6">
      <w:pPr>
        <w:spacing w:line="480" w:lineRule="auto"/>
        <w:rPr>
          <w:rFonts w:ascii="Arial" w:hAnsi="Arial" w:cs="Arial"/>
        </w:rPr>
      </w:pPr>
    </w:p>
    <w:p w14:paraId="5A7E3ED2" w14:textId="6B096317" w:rsidR="003D43D6" w:rsidRPr="003D43D6" w:rsidRDefault="003D43D6" w:rsidP="003D43D6">
      <w:pPr>
        <w:spacing w:line="480" w:lineRule="auto"/>
        <w:rPr>
          <w:rFonts w:ascii="Arial" w:hAnsi="Arial" w:cs="Arial"/>
        </w:rPr>
      </w:pPr>
      <w:r w:rsidRPr="003D43D6">
        <w:rPr>
          <w:rFonts w:ascii="Arial" w:hAnsi="Arial" w:cs="Arial"/>
        </w:rPr>
        <w:t xml:space="preserve">Throughout the lesson the child was being disruptive and shouted out a lot, the teacher had said to the child “Do I need to have a chat with mammy again” and “Do you want to go and see the headteacher?” This implied that the teacher generally speaks to the parent on a regular occurrence due to the child’s </w:t>
      </w:r>
      <w:proofErr w:type="spellStart"/>
      <w:r w:rsidRPr="003D43D6">
        <w:rPr>
          <w:rFonts w:ascii="Arial" w:hAnsi="Arial" w:cs="Arial"/>
        </w:rPr>
        <w:t>behavior</w:t>
      </w:r>
      <w:proofErr w:type="spellEnd"/>
      <w:r w:rsidRPr="003D43D6">
        <w:rPr>
          <w:rFonts w:ascii="Arial" w:hAnsi="Arial" w:cs="Arial"/>
        </w:rPr>
        <w:t xml:space="preserve">. This also conveyed that the head teacher is known as a caution which a lot of the children in the class were intimidated by.  The teacher had communicated to the child that they had told the parent last week how the child was improving and doing well and that they would be very disappointed if this carried on throughout the day. </w:t>
      </w:r>
    </w:p>
    <w:p w14:paraId="383CDF9F" w14:textId="77777777" w:rsidR="003D43D6" w:rsidRPr="003D43D6" w:rsidRDefault="003D43D6" w:rsidP="003D43D6">
      <w:pPr>
        <w:spacing w:line="480" w:lineRule="auto"/>
        <w:rPr>
          <w:rFonts w:ascii="Arial" w:hAnsi="Arial" w:cs="Arial"/>
        </w:rPr>
      </w:pPr>
    </w:p>
    <w:p w14:paraId="125BAEBB" w14:textId="77777777" w:rsidR="003D43D6" w:rsidRPr="003D43D6" w:rsidRDefault="003D43D6" w:rsidP="003D43D6">
      <w:pPr>
        <w:spacing w:line="480" w:lineRule="auto"/>
        <w:rPr>
          <w:rFonts w:ascii="Arial" w:hAnsi="Arial" w:cs="Arial"/>
        </w:rPr>
      </w:pPr>
      <w:r w:rsidRPr="003D43D6">
        <w:rPr>
          <w:rFonts w:ascii="Arial" w:hAnsi="Arial" w:cs="Arial"/>
        </w:rPr>
        <w:t xml:space="preserve">The child’s body language then changed, and they started paying attention and playing an active role. When it came to the work the teacher had three different </w:t>
      </w:r>
      <w:r w:rsidRPr="003D43D6">
        <w:rPr>
          <w:rFonts w:ascii="Arial" w:hAnsi="Arial" w:cs="Arial"/>
        </w:rPr>
        <w:lastRenderedPageBreak/>
        <w:t xml:space="preserve">worksheets, the children would choose their worksheet, whether they wanted to challenge themselves or stick to what they could do. </w:t>
      </w:r>
    </w:p>
    <w:p w14:paraId="624AF8D9" w14:textId="77777777" w:rsidR="003D43D6" w:rsidRPr="003D43D6" w:rsidRDefault="003D43D6" w:rsidP="003D43D6">
      <w:pPr>
        <w:spacing w:line="480" w:lineRule="auto"/>
        <w:rPr>
          <w:rFonts w:ascii="Arial" w:hAnsi="Arial" w:cs="Arial"/>
        </w:rPr>
      </w:pPr>
    </w:p>
    <w:p w14:paraId="71399085" w14:textId="77777777" w:rsidR="003D43D6" w:rsidRPr="003D43D6" w:rsidRDefault="003D43D6" w:rsidP="003D43D6">
      <w:pPr>
        <w:spacing w:line="480" w:lineRule="auto"/>
        <w:rPr>
          <w:rFonts w:ascii="Arial" w:hAnsi="Arial" w:cs="Arial"/>
        </w:rPr>
      </w:pPr>
      <w:r w:rsidRPr="003D43D6">
        <w:rPr>
          <w:rFonts w:ascii="Arial" w:hAnsi="Arial" w:cs="Arial"/>
        </w:rPr>
        <w:t xml:space="preserve">These were sorted into levels of mild, hot, or spicy, mild being the easiest to spicy being the most challenging. This also gave children the independence to choose their learning. This task gave the children a choice for their independence whilst linking to ambitious and capable learners, one of the four core purposes. The teacher allowed the children to set high standards to challenge themselves, aiming for children to become ambitious and capable learners. This child that had been disruptive previously had chosen a more challenging level of work for himself and completed it in the time given.  </w:t>
      </w:r>
    </w:p>
    <w:p w14:paraId="486A298A" w14:textId="77777777" w:rsidR="003D43D6" w:rsidRPr="003D43D6" w:rsidRDefault="003D43D6" w:rsidP="003D43D6">
      <w:pPr>
        <w:spacing w:line="480" w:lineRule="auto"/>
        <w:rPr>
          <w:rFonts w:ascii="Arial" w:hAnsi="Arial" w:cs="Arial"/>
        </w:rPr>
      </w:pPr>
    </w:p>
    <w:p w14:paraId="2BC86A47" w14:textId="77777777" w:rsidR="003D43D6" w:rsidRPr="003D43D6" w:rsidRDefault="003D43D6" w:rsidP="003D43D6">
      <w:pPr>
        <w:spacing w:line="480" w:lineRule="auto"/>
        <w:rPr>
          <w:rFonts w:ascii="Arial" w:hAnsi="Arial" w:cs="Arial"/>
        </w:rPr>
      </w:pPr>
      <w:r w:rsidRPr="003D43D6">
        <w:rPr>
          <w:rFonts w:ascii="Arial" w:hAnsi="Arial" w:cs="Arial"/>
        </w:rPr>
        <w:t xml:space="preserve">At the end of the lesson the teacher sat with the student and went through their report card, the student was able to colour code in each subject of the day red being unsatisfactory, amber being good, and green being excellent. The teacher had said that you can colour the box in amber, but I want the boxes green tomorrow </w:t>
      </w:r>
    </w:p>
    <w:p w14:paraId="42A1E2C9" w14:textId="77777777" w:rsidR="003D43D6" w:rsidRPr="003D43D6" w:rsidRDefault="003D43D6" w:rsidP="003D43D6">
      <w:pPr>
        <w:spacing w:line="480" w:lineRule="auto"/>
        <w:rPr>
          <w:rFonts w:ascii="Arial" w:hAnsi="Arial" w:cs="Arial"/>
        </w:rPr>
      </w:pPr>
    </w:p>
    <w:p w14:paraId="57860D50" w14:textId="5E0D214E"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Literature review </w:t>
      </w:r>
    </w:p>
    <w:p w14:paraId="38C3908B" w14:textId="77777777" w:rsidR="003D43D6" w:rsidRPr="003D43D6" w:rsidRDefault="003D43D6" w:rsidP="003D43D6">
      <w:pPr>
        <w:spacing w:line="480" w:lineRule="auto"/>
        <w:rPr>
          <w:rFonts w:ascii="Arial" w:hAnsi="Arial" w:cs="Arial"/>
        </w:rPr>
      </w:pPr>
    </w:p>
    <w:p w14:paraId="4CB99D2A" w14:textId="77777777" w:rsidR="003D43D6" w:rsidRPr="003D43D6" w:rsidRDefault="003D43D6" w:rsidP="003D43D6">
      <w:pPr>
        <w:spacing w:line="480" w:lineRule="auto"/>
        <w:rPr>
          <w:rFonts w:ascii="Arial" w:hAnsi="Arial" w:cs="Arial"/>
        </w:rPr>
      </w:pPr>
      <w:r w:rsidRPr="003D43D6">
        <w:rPr>
          <w:rFonts w:ascii="Arial" w:hAnsi="Arial" w:cs="Arial"/>
        </w:rPr>
        <w:t>A critical incident is an unexpected incident that occurs, something we recognise as a one-off challenge rather than a regular occurrence. Though it’s how we tackle the issue rather than leaving it to pursue.</w:t>
      </w:r>
    </w:p>
    <w:p w14:paraId="2760446F" w14:textId="77777777" w:rsidR="003D43D6" w:rsidRPr="003D43D6" w:rsidRDefault="003D43D6" w:rsidP="003D43D6">
      <w:pPr>
        <w:spacing w:line="480" w:lineRule="auto"/>
        <w:rPr>
          <w:rFonts w:ascii="Arial" w:hAnsi="Arial" w:cs="Arial"/>
        </w:rPr>
      </w:pPr>
    </w:p>
    <w:p w14:paraId="07CF2BB4" w14:textId="34471E40" w:rsidR="003D43D6" w:rsidRPr="003D43D6" w:rsidRDefault="003D43D6" w:rsidP="003D43D6">
      <w:pPr>
        <w:spacing w:line="480" w:lineRule="auto"/>
        <w:rPr>
          <w:rFonts w:ascii="Arial" w:hAnsi="Arial" w:cs="Arial"/>
        </w:rPr>
      </w:pPr>
      <w:r w:rsidRPr="003D43D6">
        <w:rPr>
          <w:rFonts w:ascii="Arial" w:hAnsi="Arial" w:cs="Arial"/>
        </w:rPr>
        <w:t xml:space="preserve">Tripp (1993) describes critical incidents as a beneficial practice for self-reflect. As a teacher it is important to self-reflect, reflection is a part of learning and teaching, </w:t>
      </w:r>
      <w:r w:rsidRPr="003D43D6">
        <w:rPr>
          <w:rFonts w:ascii="Arial" w:hAnsi="Arial" w:cs="Arial"/>
        </w:rPr>
        <w:lastRenderedPageBreak/>
        <w:t>(Finley, 2008) believes challenging assumptions of everyday practice highlight professional knowledge.</w:t>
      </w:r>
    </w:p>
    <w:p w14:paraId="31CC4AE5" w14:textId="332E1F3B" w:rsidR="003D43D6" w:rsidRPr="003D43D6" w:rsidRDefault="003D43D6" w:rsidP="003D43D6">
      <w:pPr>
        <w:spacing w:line="480" w:lineRule="auto"/>
        <w:rPr>
          <w:rFonts w:ascii="Arial" w:hAnsi="Arial" w:cs="Arial"/>
        </w:rPr>
      </w:pPr>
      <w:r w:rsidRPr="003D43D6">
        <w:rPr>
          <w:rFonts w:ascii="Arial" w:hAnsi="Arial" w:cs="Arial"/>
        </w:rPr>
        <w:t>A considerable amount of literature has been published on behaviour management, looking at B.F Skinner’s theory of behaviour, Skinner believes there are two types of behaviours, respondent, and operant. Respondent behaviours are behaviours that occur automatically and involuntarily. Where in comparison, operant behaviours are types that happen under mindful control, behaviours that happen unexpectedly or purposely. Delving into operant behaviours negative punishment was apparent in this observed critical incident, negative reinforcement aims to decrease unwanted behaviour. Skinner (1964) explains negative reinforcement is defined as “reinforcement through elimination or removal of an aversive stimulus” this statement means when an event happens a negative consequence can be put in place. An example Skinner uses is when you punish a child to make them work, the word is misused. Teachers usually try to arrange different conditions for the child to do their work, and the child then escapes further punishment by completing the work. This is a type of behaviour studied by Skinner (1964) that conveyed that punishment does not overcome as it is assumed to. Punishment is used to diminish the probability of bad behaviour happening again, negative punishment can be used by removing something or the person from a situation, hoping to stop the behaviour. Intending to use negative punishment to decrease behaviour, findings show many other problems can arise from this type of behaviour management (Ornelas, 2018).</w:t>
      </w:r>
    </w:p>
    <w:p w14:paraId="0B70EA29" w14:textId="77777777" w:rsidR="003D43D6" w:rsidRPr="003D43D6" w:rsidRDefault="003D43D6" w:rsidP="003D43D6">
      <w:pPr>
        <w:spacing w:line="480" w:lineRule="auto"/>
        <w:rPr>
          <w:rFonts w:ascii="Arial" w:hAnsi="Arial" w:cs="Arial"/>
        </w:rPr>
      </w:pPr>
    </w:p>
    <w:p w14:paraId="0561F701" w14:textId="2EAC6598" w:rsidR="003D43D6" w:rsidRPr="003D43D6" w:rsidRDefault="003D43D6" w:rsidP="003D43D6">
      <w:pPr>
        <w:spacing w:line="480" w:lineRule="auto"/>
        <w:rPr>
          <w:rFonts w:ascii="Arial" w:hAnsi="Arial" w:cs="Arial"/>
        </w:rPr>
      </w:pPr>
      <w:r w:rsidRPr="003D43D6">
        <w:rPr>
          <w:rFonts w:ascii="Arial" w:hAnsi="Arial" w:cs="Arial"/>
        </w:rPr>
        <w:t xml:space="preserve">For example, aggression can become apparent when negative punishment is used, the child could become physically and verbally abusive. Research shows that passive-aggressive behaviour also is more common as this behaviour is intended to </w:t>
      </w:r>
      <w:r w:rsidRPr="003D43D6">
        <w:rPr>
          <w:rFonts w:ascii="Arial" w:hAnsi="Arial" w:cs="Arial"/>
        </w:rPr>
        <w:lastRenderedPageBreak/>
        <w:t xml:space="preserve">harm others, rather than directly. These types of behaviours can also occur due to the child’s development which will be elaborated further exploring into Bronfenbrenner’s ecological system. For example, behaviour punishment is more effective the quicker it is applied, and the more consistent repetition shows a reduction in behaviour. Baron and Galizio (2005) identify the differences between negative and positive reinforcement and do they control behaviour in different ways. However, the research shows there are similarities in these positive and negative reinforcements that are more apparent in comparison to the differences. Critchfield, (2008) explains that it is vital to compare both positive and negative reinforcements throughout the same studies to highlight key disparities. A critical feature noticed within research shows that it is always assumed that these behaviours have different consequences stimulus presentation versus stimulus avoidance. </w:t>
      </w:r>
    </w:p>
    <w:p w14:paraId="26C25309" w14:textId="77777777" w:rsidR="003D43D6" w:rsidRPr="003D43D6" w:rsidRDefault="003D43D6" w:rsidP="003D43D6">
      <w:pPr>
        <w:spacing w:line="480" w:lineRule="auto"/>
        <w:rPr>
          <w:rFonts w:ascii="Arial" w:hAnsi="Arial" w:cs="Arial"/>
        </w:rPr>
      </w:pPr>
    </w:p>
    <w:p w14:paraId="46B21D1F" w14:textId="77777777" w:rsidR="003D43D6" w:rsidRPr="003D43D6" w:rsidRDefault="003D43D6" w:rsidP="003D43D6">
      <w:pPr>
        <w:spacing w:line="480" w:lineRule="auto"/>
        <w:rPr>
          <w:rFonts w:ascii="Arial" w:hAnsi="Arial" w:cs="Arial"/>
        </w:rPr>
      </w:pPr>
      <w:r w:rsidRPr="003D43D6">
        <w:rPr>
          <w:rFonts w:ascii="Arial" w:hAnsi="Arial" w:cs="Arial"/>
        </w:rPr>
        <w:t>Skinner’s operant conditioning theory states that behaviour can be formed by its actions (Gordon, 1987). Positive reinforcement is defined when a behaviour meets a well targeted contingency, whereas negative falls to meet the behaviour targets not reaching the contingency. Positive reinforcement is effects like praise and appreciation, these actions are rewards, and these rewards increase the probability of good behaviours repetition. “The way positive reinforcement is carried out is more important than the amount “(Skinner, 1964). If a child receives positive reinforcement this is encouraged behaviour and is more likely to reoccur. Though if a teacher or parent is unclear in telling a child what they expect positive reinforcement negatively drive the behaviour. Positive reinforcement motivates children to achieve the anticipated reinforcement of the behaviour expected.</w:t>
      </w:r>
    </w:p>
    <w:p w14:paraId="2C5F8C70" w14:textId="77777777" w:rsidR="003D43D6" w:rsidRPr="003D43D6" w:rsidRDefault="003D43D6" w:rsidP="003D43D6">
      <w:pPr>
        <w:spacing w:line="480" w:lineRule="auto"/>
        <w:rPr>
          <w:rFonts w:ascii="Arial" w:hAnsi="Arial" w:cs="Arial"/>
        </w:rPr>
      </w:pPr>
    </w:p>
    <w:p w14:paraId="1A4DA39A" w14:textId="3A140062" w:rsidR="003D43D6" w:rsidRPr="003D43D6" w:rsidRDefault="003D43D6" w:rsidP="003D43D6">
      <w:pPr>
        <w:spacing w:line="480" w:lineRule="auto"/>
        <w:rPr>
          <w:rFonts w:ascii="Arial" w:hAnsi="Arial" w:cs="Arial"/>
        </w:rPr>
      </w:pPr>
      <w:r w:rsidRPr="003D43D6">
        <w:rPr>
          <w:rFonts w:ascii="Arial" w:hAnsi="Arial" w:cs="Arial"/>
        </w:rPr>
        <w:lastRenderedPageBreak/>
        <w:t xml:space="preserve"> Conflicting between positive and negative reinforcement punishment can be unsought reinforcement or reinforced behaviour. An example of this could be if a student receives negative feedback and is then reinforced to do something as an undesired reinforcer. The theory opposes that positive theory acts as a motivation technique rather than punishment because punishment tries to stop the behaviour rather than resolve it. The punishment can cause negative attitudes, this only suppresses the behaviour but doesn’t elucidate it. </w:t>
      </w:r>
    </w:p>
    <w:p w14:paraId="7B8845BD" w14:textId="77777777" w:rsidR="003D43D6" w:rsidRPr="003D43D6" w:rsidRDefault="003D43D6" w:rsidP="003D43D6">
      <w:pPr>
        <w:spacing w:line="480" w:lineRule="auto"/>
        <w:rPr>
          <w:rFonts w:ascii="Arial" w:hAnsi="Arial" w:cs="Arial"/>
        </w:rPr>
      </w:pPr>
    </w:p>
    <w:p w14:paraId="2F8A144D" w14:textId="35E856AD" w:rsidR="003D43D6" w:rsidRPr="003D43D6" w:rsidRDefault="003D43D6" w:rsidP="003D43D6">
      <w:pPr>
        <w:spacing w:line="480" w:lineRule="auto"/>
        <w:rPr>
          <w:rFonts w:ascii="Arial" w:hAnsi="Arial" w:cs="Arial"/>
        </w:rPr>
      </w:pPr>
      <w:r w:rsidRPr="003D43D6">
        <w:rPr>
          <w:rFonts w:ascii="Arial" w:hAnsi="Arial" w:cs="Arial"/>
        </w:rPr>
        <w:t xml:space="preserve">Though positive and negative reinforcement also links with teachers being able to critically reflect. Schön, (1978) reflective practice theory was built upon Dewey’s theory on reflective practice, this theory is fostered by believing that individuals should reflect upon professional actions and the consequences implied. Both have opposed different views within their reflection model and some associated views. Schön trusted that professionals should not only reflect in action but also after actions too. Both theorists also believed reflection is situated in action and these impacts on reflection emphasise practical reflection. Reflection in action allows you to spot decision making opportunities, which helps improve the quality and creativity of choices. </w:t>
      </w:r>
    </w:p>
    <w:p w14:paraId="2D51FDCB" w14:textId="77777777" w:rsidR="003D43D6" w:rsidRPr="003D43D6" w:rsidRDefault="003D43D6" w:rsidP="003D43D6">
      <w:pPr>
        <w:spacing w:line="480" w:lineRule="auto"/>
        <w:rPr>
          <w:rFonts w:ascii="Arial" w:hAnsi="Arial" w:cs="Arial"/>
        </w:rPr>
      </w:pPr>
    </w:p>
    <w:p w14:paraId="5F39A124" w14:textId="5261A1B6" w:rsidR="003D43D6" w:rsidRPr="003D43D6" w:rsidRDefault="003D43D6" w:rsidP="003D43D6">
      <w:pPr>
        <w:spacing w:line="480" w:lineRule="auto"/>
        <w:rPr>
          <w:rFonts w:ascii="Arial" w:hAnsi="Arial" w:cs="Arial"/>
        </w:rPr>
      </w:pPr>
      <w:r w:rsidRPr="003D43D6">
        <w:rPr>
          <w:rFonts w:ascii="Arial" w:hAnsi="Arial" w:cs="Arial"/>
        </w:rPr>
        <w:t xml:space="preserve">Reflection on action allows you to grow from your past experiences allowing you to rethink the problems, to get build suggestions on what could be done better next. Paterson, (2013) states that those who reflect through practice don’t just look at their past actions, they focus more around “emotions, experiences, actions, and responses”. These factors allow you to use this information gathered to heighten knowledge and create a higher level of understanding. Teaching is a professional </w:t>
      </w:r>
      <w:r w:rsidRPr="003D43D6">
        <w:rPr>
          <w:rFonts w:ascii="Arial" w:hAnsi="Arial" w:cs="Arial"/>
        </w:rPr>
        <w:lastRenderedPageBreak/>
        <w:t xml:space="preserve">development and a key practice to development is to gain from these experiences. Gaining personal knowledge rather than formal learning or knowledge links this theory and practice together. Schon considers reflection in action to allow you to be able to think ahead which enables you to analyse the situation, this then allows you to gain experience in this situation by being able to critically respond. Reflection on action acknowledges you to think through this and subsequently be able to discuss and evaluate these problems. Things like reflective journals are a great factor to use as </w:t>
      </w:r>
      <w:r w:rsidRPr="003D43D6">
        <w:rPr>
          <w:rFonts w:ascii="Arial" w:hAnsi="Arial" w:cs="Arial"/>
        </w:rPr>
        <w:t>this permit</w:t>
      </w:r>
      <w:r w:rsidRPr="003D43D6">
        <w:rPr>
          <w:rFonts w:ascii="Arial" w:hAnsi="Arial" w:cs="Arial"/>
        </w:rPr>
        <w:t xml:space="preserve"> better understanding and development.</w:t>
      </w:r>
    </w:p>
    <w:p w14:paraId="309F6F39" w14:textId="77777777" w:rsidR="003D43D6" w:rsidRPr="003D43D6" w:rsidRDefault="003D43D6" w:rsidP="003D43D6">
      <w:pPr>
        <w:spacing w:line="480" w:lineRule="auto"/>
        <w:rPr>
          <w:rFonts w:ascii="Arial" w:hAnsi="Arial" w:cs="Arial"/>
        </w:rPr>
      </w:pPr>
    </w:p>
    <w:p w14:paraId="40E7D3BF" w14:textId="77777777" w:rsidR="003D43D6" w:rsidRPr="003D43D6" w:rsidRDefault="003D43D6" w:rsidP="003D43D6">
      <w:pPr>
        <w:spacing w:line="480" w:lineRule="auto"/>
        <w:rPr>
          <w:rFonts w:ascii="Arial" w:hAnsi="Arial" w:cs="Arial"/>
        </w:rPr>
      </w:pPr>
      <w:r w:rsidRPr="003D43D6">
        <w:rPr>
          <w:rFonts w:ascii="Arial" w:hAnsi="Arial" w:cs="Arial"/>
        </w:rPr>
        <w:t xml:space="preserve">Exploring reality therapy developed by Glasser, (1965) is an approach used to develop behaviour and motivation. Glasser emphasizes the importance of individuals taking responsibility for their behaviour making them accountable for their actions. This theory also focuses on how they can change this behaviour and how they think going forward, theorist Wubbolding (2011) also underpins this theory. This theory works with individuals to control behaviours instead of “deadly habits” referred to by Glasser (2000).  These habits are things like criticizing, blaming, threatening, and rewarding control. Though evidence suggests more effective behaviours should be put in place, such as support, encouragement, respect, and negotiation these are referred to as “caring habits” (Glasser, 2000). </w:t>
      </w:r>
    </w:p>
    <w:p w14:paraId="18B30EEC" w14:textId="71F10AD0" w:rsidR="003D43D6" w:rsidRPr="003D43D6" w:rsidRDefault="003D43D6" w:rsidP="003D43D6">
      <w:pPr>
        <w:spacing w:line="480" w:lineRule="auto"/>
        <w:rPr>
          <w:rFonts w:ascii="Arial" w:hAnsi="Arial" w:cs="Arial"/>
        </w:rPr>
      </w:pPr>
      <w:r w:rsidRPr="003D43D6">
        <w:rPr>
          <w:rFonts w:ascii="Arial" w:hAnsi="Arial" w:cs="Arial"/>
        </w:rPr>
        <w:t xml:space="preserve">Elaborating on Bronfenbrenner’s Ecological System Theory (1979), Bronfenbrenner believed child development is greater developed when the child’s environment is better understood when the environment of the child is delved into. This theory considers children are influenced by four different ecological forces, the first is the microsystem which is made up of the child’s own close family and friends. This is the </w:t>
      </w:r>
      <w:r w:rsidRPr="003D43D6">
        <w:rPr>
          <w:rFonts w:ascii="Arial" w:hAnsi="Arial" w:cs="Arial"/>
        </w:rPr>
        <w:lastRenderedPageBreak/>
        <w:t xml:space="preserve">smallest and most immediate family of the </w:t>
      </w:r>
      <w:r w:rsidRPr="003D43D6">
        <w:rPr>
          <w:rFonts w:ascii="Arial" w:hAnsi="Arial" w:cs="Arial"/>
        </w:rPr>
        <w:t xml:space="preserve">child; </w:t>
      </w:r>
      <w:r w:rsidRPr="003D43D6">
        <w:rPr>
          <w:rFonts w:ascii="Arial" w:hAnsi="Arial" w:cs="Arial"/>
        </w:rPr>
        <w:t>this is the environment that the child lives up in.</w:t>
      </w:r>
    </w:p>
    <w:p w14:paraId="4FC92A54" w14:textId="77777777" w:rsidR="003D43D6" w:rsidRPr="003D43D6" w:rsidRDefault="003D43D6" w:rsidP="003D43D6">
      <w:pPr>
        <w:spacing w:line="480" w:lineRule="auto"/>
        <w:rPr>
          <w:rFonts w:ascii="Arial" w:hAnsi="Arial" w:cs="Arial"/>
        </w:rPr>
      </w:pPr>
    </w:p>
    <w:p w14:paraId="2850209E" w14:textId="77777777" w:rsidR="003D43D6" w:rsidRPr="003D43D6" w:rsidRDefault="003D43D6" w:rsidP="003D43D6">
      <w:pPr>
        <w:spacing w:line="480" w:lineRule="auto"/>
        <w:rPr>
          <w:rFonts w:ascii="Arial" w:hAnsi="Arial" w:cs="Arial"/>
        </w:rPr>
      </w:pPr>
      <w:r w:rsidRPr="003D43D6">
        <w:rPr>
          <w:rFonts w:ascii="Arial" w:hAnsi="Arial" w:cs="Arial"/>
        </w:rPr>
        <w:t xml:space="preserve">Next is the mesosystem, this factor is made up of the extended family, friends, and teachers. This is the relationship between school and home life, as an example, a supportive parent-teacher relationship will benefit a child more in comparison to if the parent-teacher relationship is negative. The third is gathered from the child’s culture, their religious beliefs that influence all other aspects, known as the exosystem. An example of this would be something that happens to the child’s parent can influence the child directly. If the parent is feeling upset these feelings could pass on to the child leaving them feeling upset or worried. </w:t>
      </w:r>
    </w:p>
    <w:p w14:paraId="25001FAC" w14:textId="4738CB24" w:rsidR="003D43D6" w:rsidRPr="003D43D6" w:rsidRDefault="003D43D6" w:rsidP="003D43D6">
      <w:pPr>
        <w:spacing w:line="480" w:lineRule="auto"/>
        <w:rPr>
          <w:rFonts w:ascii="Arial" w:hAnsi="Arial" w:cs="Arial"/>
        </w:rPr>
      </w:pPr>
      <w:r w:rsidRPr="003D43D6">
        <w:rPr>
          <w:rFonts w:ascii="Arial" w:hAnsi="Arial" w:cs="Arial"/>
        </w:rPr>
        <w:t>Then ultimately the last factor is the macrosystem, which is the larger society, this factor regards to time, as children get older all the considerations can change and implement in different ways. As an illustration, children who appear to live in an area where offence is more present can affect children, as opposed to those who haven’t experienced these issues. Children are born into the microsystem where these factors affect them, research shows that children born into deprived backgrounds are more likely to experience family problems (Williams, 2008). Children will encounter more negative situations not just at home but in school too.</w:t>
      </w:r>
    </w:p>
    <w:p w14:paraId="68D60E66" w14:textId="77777777" w:rsidR="003D43D6" w:rsidRPr="003D43D6" w:rsidRDefault="003D43D6" w:rsidP="003D43D6">
      <w:pPr>
        <w:spacing w:line="480" w:lineRule="auto"/>
        <w:rPr>
          <w:rFonts w:ascii="Arial" w:hAnsi="Arial" w:cs="Arial"/>
        </w:rPr>
      </w:pPr>
    </w:p>
    <w:p w14:paraId="10CBCDE6" w14:textId="77777777" w:rsidR="003D43D6" w:rsidRPr="003D43D6" w:rsidRDefault="003D43D6" w:rsidP="003D43D6">
      <w:pPr>
        <w:spacing w:line="480" w:lineRule="auto"/>
        <w:rPr>
          <w:rFonts w:ascii="Arial" w:hAnsi="Arial" w:cs="Arial"/>
        </w:rPr>
      </w:pPr>
      <w:r w:rsidRPr="003D43D6">
        <w:rPr>
          <w:rFonts w:ascii="Arial" w:hAnsi="Arial" w:cs="Arial"/>
        </w:rPr>
        <w:t xml:space="preserve">Lewin (1943) research underpins that children born into deprivation in infancy are less aided in comparison to children born into wealth. Bronfenbrenner’s theory highlights that child development is vital, it shows that real life situations can have a massive impact on the behaviour of children. However, this shows that children who </w:t>
      </w:r>
      <w:r w:rsidRPr="003D43D6">
        <w:rPr>
          <w:rFonts w:ascii="Arial" w:hAnsi="Arial" w:cs="Arial"/>
        </w:rPr>
        <w:lastRenderedPageBreak/>
        <w:t xml:space="preserve">have a close relationship with their teachers and family can create a positive environment that will benefit children to reach their fullest potential. </w:t>
      </w:r>
    </w:p>
    <w:p w14:paraId="75A69DCF" w14:textId="77777777" w:rsidR="003D43D6" w:rsidRPr="003D43D6" w:rsidRDefault="003D43D6" w:rsidP="003D43D6">
      <w:pPr>
        <w:spacing w:line="480" w:lineRule="auto"/>
        <w:rPr>
          <w:rFonts w:ascii="Arial" w:hAnsi="Arial" w:cs="Arial"/>
        </w:rPr>
      </w:pPr>
    </w:p>
    <w:p w14:paraId="14010351" w14:textId="76F35597"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Reflection </w:t>
      </w:r>
    </w:p>
    <w:p w14:paraId="70276954" w14:textId="77777777" w:rsidR="003D43D6" w:rsidRPr="003D43D6" w:rsidRDefault="003D43D6" w:rsidP="003D43D6">
      <w:pPr>
        <w:spacing w:line="480" w:lineRule="auto"/>
        <w:rPr>
          <w:rFonts w:ascii="Arial" w:hAnsi="Arial" w:cs="Arial"/>
          <w:b/>
          <w:bCs/>
          <w:u w:val="single"/>
        </w:rPr>
      </w:pPr>
    </w:p>
    <w:p w14:paraId="05E8EA4F" w14:textId="78D564BD" w:rsidR="003D43D6" w:rsidRPr="003D43D6" w:rsidRDefault="003D43D6" w:rsidP="003D43D6">
      <w:pPr>
        <w:spacing w:line="480" w:lineRule="auto"/>
        <w:rPr>
          <w:rFonts w:ascii="Arial" w:hAnsi="Arial" w:cs="Arial"/>
        </w:rPr>
      </w:pPr>
      <w:r w:rsidRPr="003D43D6">
        <w:rPr>
          <w:rFonts w:ascii="Arial" w:hAnsi="Arial" w:cs="Arial"/>
        </w:rPr>
        <w:t xml:space="preserve">To help me critically reflect I will be applying Gibb’s reflective cycle (1988), Gibbs reflection model is one of the most used cycles to create structure and to further gain from experience. Brookfield, (1964) indicates that being able to critically evaluate creates excellent teachers, those who self-reflect. Gibbs six stage cycle allows you to elaborate on specific incidents which allows you to learn and plan from positive and negative practices gained. Using Gibbs's first stage of the model ‘description’ I will be elaborating further on what happened. </w:t>
      </w:r>
    </w:p>
    <w:p w14:paraId="2D86A045" w14:textId="77777777" w:rsidR="003D43D6" w:rsidRPr="003D43D6" w:rsidRDefault="003D43D6" w:rsidP="003D43D6">
      <w:pPr>
        <w:spacing w:line="480" w:lineRule="auto"/>
        <w:rPr>
          <w:rFonts w:ascii="Arial" w:hAnsi="Arial" w:cs="Arial"/>
        </w:rPr>
      </w:pPr>
    </w:p>
    <w:p w14:paraId="53718ECC" w14:textId="3300B5E0" w:rsidR="003D43D6" w:rsidRPr="003D43D6" w:rsidRDefault="003D43D6" w:rsidP="003D43D6">
      <w:pPr>
        <w:spacing w:line="480" w:lineRule="auto"/>
        <w:rPr>
          <w:rFonts w:ascii="Arial" w:hAnsi="Arial" w:cs="Arial"/>
        </w:rPr>
      </w:pPr>
      <w:r w:rsidRPr="003D43D6">
        <w:rPr>
          <w:rFonts w:ascii="Arial" w:hAnsi="Arial" w:cs="Arial"/>
        </w:rPr>
        <w:t>During this incident child A burst through the classroom door, in an inappropriate manner causing a lot of disruption to the class. The teacher had said to the child to go outside and come back in accordingly however the child had not listened and re-entered in the same way. The class teacher had said to the child “is that how we walk into class?” and child A ignored the teacher proceeding to sit down swinging on their chair. From the offset, you could see the child was high rate and full of energy from coming in after playtime. This took place in the child’s everyday classroom in a small and enclosed classroom. This took place just before the teacher explained they were going to be learning about, digital and analogue clocks. At this time all the children had settled into class in their usual organised seating plan. In this situation, the feelings I gathered from the rest of the class were that they were unbothered by this, and I think now they are more than likely used to this performance from child A.</w:t>
      </w:r>
    </w:p>
    <w:p w14:paraId="3D4E1DAE" w14:textId="77777777" w:rsidR="003D43D6" w:rsidRPr="003D43D6" w:rsidRDefault="003D43D6" w:rsidP="003D43D6">
      <w:pPr>
        <w:spacing w:line="480" w:lineRule="auto"/>
        <w:rPr>
          <w:rFonts w:ascii="Arial" w:hAnsi="Arial" w:cs="Arial"/>
        </w:rPr>
      </w:pPr>
    </w:p>
    <w:p w14:paraId="4680077E" w14:textId="3687BBDB" w:rsidR="003D43D6" w:rsidRPr="003D43D6" w:rsidRDefault="003D43D6" w:rsidP="003D43D6">
      <w:pPr>
        <w:spacing w:line="480" w:lineRule="auto"/>
        <w:rPr>
          <w:rFonts w:ascii="Arial" w:hAnsi="Arial" w:cs="Arial"/>
        </w:rPr>
      </w:pPr>
      <w:r w:rsidRPr="003D43D6">
        <w:rPr>
          <w:rFonts w:ascii="Arial" w:hAnsi="Arial" w:cs="Arial"/>
        </w:rPr>
        <w:t xml:space="preserve">Evaluating this </w:t>
      </w:r>
      <w:r w:rsidRPr="003D43D6">
        <w:rPr>
          <w:rFonts w:ascii="Arial" w:hAnsi="Arial" w:cs="Arial"/>
        </w:rPr>
        <w:t>experience,</w:t>
      </w:r>
      <w:r w:rsidRPr="003D43D6">
        <w:rPr>
          <w:rFonts w:ascii="Arial" w:hAnsi="Arial" w:cs="Arial"/>
        </w:rPr>
        <w:t xml:space="preserve"> I believe there were positives and negatives, many factors could have implemented child A on this day, such as the cold weather, and the time of day, such as the transition from being outside to playing to coming into a clam classroom environment. The negative from this experience was that the child has come into the class in this way however, a positive from this minor incident didn’t affect the child later when carrying on with their work. Negatively this could have an impact on the child’s learning if behaviour issues start to develop further on the contrary this positive reinforcement can encourage good behaviour within this child.</w:t>
      </w:r>
    </w:p>
    <w:p w14:paraId="103E9335" w14:textId="77777777" w:rsidR="003D43D6" w:rsidRPr="003D43D6" w:rsidRDefault="003D43D6" w:rsidP="003D43D6">
      <w:pPr>
        <w:spacing w:line="480" w:lineRule="auto"/>
        <w:rPr>
          <w:rFonts w:ascii="Arial" w:hAnsi="Arial" w:cs="Arial"/>
        </w:rPr>
      </w:pPr>
    </w:p>
    <w:p w14:paraId="38AC4F61" w14:textId="5D79DC20" w:rsidR="003D43D6" w:rsidRPr="003D43D6" w:rsidRDefault="003D43D6" w:rsidP="003D43D6">
      <w:pPr>
        <w:spacing w:line="480" w:lineRule="auto"/>
        <w:rPr>
          <w:rFonts w:ascii="Arial" w:hAnsi="Arial" w:cs="Arial"/>
        </w:rPr>
      </w:pPr>
      <w:r w:rsidRPr="003D43D6">
        <w:rPr>
          <w:rFonts w:ascii="Arial" w:hAnsi="Arial" w:cs="Arial"/>
        </w:rPr>
        <w:t xml:space="preserve">Analysing this situation further a lot of issues could be laying beneath the surface, for example, if child A hadn’t eaten anything at break time or for breakfast this can have a major impact on a child’s performance. A study from Lawton (2013) displays that food consumption is linked with positive outcomes. Though if a child is not having breakfast this has been highlighted to indicate a negative effect on children in terms of behaviour, cognitive, and academic performance. </w:t>
      </w:r>
    </w:p>
    <w:p w14:paraId="26FEA28D" w14:textId="77777777" w:rsidR="003D43D6" w:rsidRPr="003D43D6" w:rsidRDefault="003D43D6" w:rsidP="003D43D6">
      <w:pPr>
        <w:spacing w:line="480" w:lineRule="auto"/>
        <w:rPr>
          <w:rFonts w:ascii="Arial" w:hAnsi="Arial" w:cs="Arial"/>
        </w:rPr>
      </w:pPr>
    </w:p>
    <w:p w14:paraId="5BD07F52" w14:textId="77777777" w:rsidR="003D43D6" w:rsidRPr="003D43D6" w:rsidRDefault="003D43D6" w:rsidP="003D43D6">
      <w:pPr>
        <w:spacing w:line="480" w:lineRule="auto"/>
        <w:rPr>
          <w:rFonts w:ascii="Arial" w:hAnsi="Arial" w:cs="Arial"/>
        </w:rPr>
      </w:pPr>
      <w:r w:rsidRPr="003D43D6">
        <w:rPr>
          <w:rFonts w:ascii="Arial" w:hAnsi="Arial" w:cs="Arial"/>
        </w:rPr>
        <w:t>Concluding this reflection there are many things I have learned from this situation, not only negative but positive too. I’ve learned to understand that no fixed solution is the right one, meaning that sometimes there can be other options available to help children to meet their needs. For example, possibly the child could be given a time-out card, this could be then used if the child is feeling overwhelmed or feels as if they need some time to calm down before transitioning from outside to the classroom. Martinelli (2021) research around child taking timeouts prove they are a way to limit negative behaviours and physical aggression.</w:t>
      </w:r>
      <w:r w:rsidRPr="003D43D6">
        <w:rPr>
          <w:rFonts w:ascii="Arial" w:hAnsi="Arial" w:cs="Arial"/>
        </w:rPr>
        <w:t xml:space="preserve"> </w:t>
      </w:r>
      <w:r w:rsidRPr="003D43D6">
        <w:rPr>
          <w:rFonts w:ascii="Arial" w:hAnsi="Arial" w:cs="Arial"/>
        </w:rPr>
        <w:t xml:space="preserve">Creating an action plan going forward </w:t>
      </w:r>
      <w:r w:rsidRPr="003D43D6">
        <w:rPr>
          <w:rFonts w:ascii="Arial" w:hAnsi="Arial" w:cs="Arial"/>
        </w:rPr>
        <w:lastRenderedPageBreak/>
        <w:t xml:space="preserve">many things can be implemented, when this critical incident occurred the teacher was standing in the doorway at the time almost guarding the door, undesirably the child could have thought before they came in that something was wrong, maybe they were going to be confronted. </w:t>
      </w:r>
    </w:p>
    <w:p w14:paraId="780E50B2" w14:textId="77777777" w:rsidR="003D43D6" w:rsidRPr="003D43D6" w:rsidRDefault="003D43D6" w:rsidP="003D43D6">
      <w:pPr>
        <w:spacing w:line="480" w:lineRule="auto"/>
        <w:rPr>
          <w:rFonts w:ascii="Arial" w:hAnsi="Arial" w:cs="Arial"/>
        </w:rPr>
      </w:pPr>
    </w:p>
    <w:p w14:paraId="2B8B4C5A" w14:textId="68B16220" w:rsidR="003D43D6" w:rsidRPr="003D43D6" w:rsidRDefault="003D43D6" w:rsidP="003D43D6">
      <w:pPr>
        <w:spacing w:line="480" w:lineRule="auto"/>
        <w:rPr>
          <w:rFonts w:ascii="Arial" w:hAnsi="Arial" w:cs="Arial"/>
        </w:rPr>
      </w:pPr>
      <w:r w:rsidRPr="003D43D6">
        <w:rPr>
          <w:rFonts w:ascii="Arial" w:hAnsi="Arial" w:cs="Arial"/>
        </w:rPr>
        <w:t xml:space="preserve">The way a teacher’s body language shows in a class should be welcoming, not only the teacher but also the environment. The class should also be inviting and a safe space for all students to feel comfortable in. To do this differently in the future I would agree to let the child have a timeout before coming back into the class, then ask if the child was okay and if something was bothering them to cause an outburst in behaviour, hopefully resolving any issues. I would also not reward or ignore this type of behaviour as this could set a habit in the child, if they think this behaviour is appropriate the first time and they receive no consequence there is a possibility this will happen again. </w:t>
      </w:r>
    </w:p>
    <w:p w14:paraId="5C4FC1FB" w14:textId="77777777" w:rsidR="003D43D6" w:rsidRPr="003D43D6" w:rsidRDefault="003D43D6" w:rsidP="003D43D6">
      <w:pPr>
        <w:spacing w:line="480" w:lineRule="auto"/>
        <w:rPr>
          <w:rFonts w:ascii="Arial" w:hAnsi="Arial" w:cs="Arial"/>
        </w:rPr>
      </w:pPr>
    </w:p>
    <w:p w14:paraId="19FCEC65" w14:textId="77777777" w:rsidR="003D43D6" w:rsidRPr="003D43D6" w:rsidRDefault="003D43D6" w:rsidP="003D43D6">
      <w:pPr>
        <w:spacing w:line="480" w:lineRule="auto"/>
        <w:rPr>
          <w:rFonts w:ascii="Arial" w:hAnsi="Arial" w:cs="Arial"/>
        </w:rPr>
      </w:pPr>
      <w:r w:rsidRPr="003D43D6">
        <w:rPr>
          <w:rFonts w:ascii="Arial" w:hAnsi="Arial" w:cs="Arial"/>
        </w:rPr>
        <w:t>It is apparent from many theorists like Kolb (1974), Brookfield (1964), Schon (1978), Gibbs (1988) etc that it is important to reflect. “Being able to reflect helps teachers discover the value of their lesson through critical self-reflection” (Brookfield 1964). Building my pedagogy, I correspondingly think that it is important for children to be able to reflect, for children to be able to comprehend how their actions have consequences. I believe it is key for children to be efficient at understanding others whilst having self-awareness, reflection will aid personal growth and allow children to develop from their experiences.</w:t>
      </w:r>
    </w:p>
    <w:p w14:paraId="17058E0D" w14:textId="77777777" w:rsidR="003D43D6" w:rsidRPr="003D43D6" w:rsidRDefault="003D43D6" w:rsidP="003D43D6">
      <w:pPr>
        <w:spacing w:line="480" w:lineRule="auto"/>
        <w:rPr>
          <w:rFonts w:ascii="Arial" w:hAnsi="Arial" w:cs="Arial"/>
        </w:rPr>
      </w:pPr>
    </w:p>
    <w:p w14:paraId="4B273468" w14:textId="77777777" w:rsidR="003D43D6" w:rsidRPr="003D43D6" w:rsidRDefault="003D43D6" w:rsidP="003D43D6">
      <w:pPr>
        <w:spacing w:line="480" w:lineRule="auto"/>
        <w:rPr>
          <w:rFonts w:ascii="Arial" w:hAnsi="Arial" w:cs="Arial"/>
          <w:b/>
          <w:bCs/>
          <w:u w:val="single"/>
        </w:rPr>
      </w:pPr>
      <w:r w:rsidRPr="003D43D6">
        <w:rPr>
          <w:rFonts w:ascii="Arial" w:hAnsi="Arial" w:cs="Arial"/>
          <w:b/>
          <w:bCs/>
          <w:u w:val="single"/>
        </w:rPr>
        <w:t xml:space="preserve">Conclusion </w:t>
      </w:r>
    </w:p>
    <w:p w14:paraId="3A124FA6" w14:textId="77777777" w:rsidR="003D43D6" w:rsidRPr="003D43D6" w:rsidRDefault="003D43D6" w:rsidP="003D43D6">
      <w:pPr>
        <w:spacing w:line="480" w:lineRule="auto"/>
        <w:rPr>
          <w:rFonts w:ascii="Arial" w:hAnsi="Arial" w:cs="Arial"/>
        </w:rPr>
      </w:pPr>
    </w:p>
    <w:p w14:paraId="6B867349" w14:textId="583AAC28" w:rsidR="003D43D6" w:rsidRPr="003D43D6" w:rsidRDefault="003D43D6" w:rsidP="003D43D6">
      <w:pPr>
        <w:spacing w:line="480" w:lineRule="auto"/>
        <w:rPr>
          <w:rFonts w:ascii="Arial" w:hAnsi="Arial" w:cs="Arial"/>
        </w:rPr>
      </w:pPr>
      <w:r w:rsidRPr="003D43D6">
        <w:rPr>
          <w:rFonts w:ascii="Arial" w:hAnsi="Arial" w:cs="Arial"/>
        </w:rPr>
        <w:t>This research surrounding critical incidents conveys a clear understanding of different theories. Bronfenbrenner’s research displays the importance of a child’s background and how things children go through can have a major impact on their behaviour and academic performance.</w:t>
      </w:r>
    </w:p>
    <w:p w14:paraId="5DEB5F29" w14:textId="77777777" w:rsidR="003D43D6" w:rsidRPr="003D43D6" w:rsidRDefault="003D43D6" w:rsidP="003D43D6">
      <w:pPr>
        <w:spacing w:line="480" w:lineRule="auto"/>
        <w:rPr>
          <w:rFonts w:ascii="Arial" w:hAnsi="Arial" w:cs="Arial"/>
        </w:rPr>
      </w:pPr>
    </w:p>
    <w:p w14:paraId="2001AB83" w14:textId="29AE7F90" w:rsidR="003D43D6" w:rsidRPr="003D43D6" w:rsidRDefault="003D43D6" w:rsidP="003D43D6">
      <w:pPr>
        <w:spacing w:line="480" w:lineRule="auto"/>
        <w:rPr>
          <w:rFonts w:ascii="Arial" w:hAnsi="Arial" w:cs="Arial"/>
        </w:rPr>
      </w:pPr>
      <w:r w:rsidRPr="003D43D6">
        <w:rPr>
          <w:rFonts w:ascii="Arial" w:hAnsi="Arial" w:cs="Arial"/>
        </w:rPr>
        <w:t>Looking at Skinner’s operant conditioning theory highlighting positive and negative reinforcement. Using this evidence to understand how this framework is implemented within a classroom. This also displays an understanding of the effects good and bad of using positive and negative reinforcement. Noting that “the way positive reinforcement is carried out is more important than the amount” (Skinner 1964).</w:t>
      </w:r>
    </w:p>
    <w:p w14:paraId="26607EB9" w14:textId="77777777" w:rsidR="003D43D6" w:rsidRPr="003D43D6" w:rsidRDefault="003D43D6" w:rsidP="003D43D6">
      <w:pPr>
        <w:spacing w:line="480" w:lineRule="auto"/>
        <w:rPr>
          <w:rFonts w:ascii="Arial" w:hAnsi="Arial" w:cs="Arial"/>
        </w:rPr>
      </w:pPr>
    </w:p>
    <w:p w14:paraId="7B1D7AF5" w14:textId="5EEA36A7" w:rsidR="003D43D6" w:rsidRPr="003D43D6" w:rsidRDefault="003D43D6" w:rsidP="003D43D6">
      <w:pPr>
        <w:spacing w:line="480" w:lineRule="auto"/>
        <w:rPr>
          <w:rFonts w:ascii="Arial" w:hAnsi="Arial" w:cs="Arial"/>
        </w:rPr>
      </w:pPr>
      <w:r w:rsidRPr="003D43D6">
        <w:rPr>
          <w:rFonts w:ascii="Arial" w:hAnsi="Arial" w:cs="Arial"/>
        </w:rPr>
        <w:t>The findings add to the understanding of critical reflection, using Gibb’s model of reflection I was able to understand “it is not sufficient to simply have an experience to learn” (Gibbs, 1988). Using Gibbs six step model I was able to identify strengths, and areas for improvement with an action plan in place to follow the procedure. This reflection model allowed me to reflect on the critical incident and express my thoughts and feelings, before being able to analyse the situation. This then obligated me to develop an action plan accordingly. Considering the child's feelings and what other factors may have caused the behaviour. This will not only benefit the child but myself further attaining wholesome experiences.</w:t>
      </w:r>
    </w:p>
    <w:p w14:paraId="5A3F8E64" w14:textId="77777777" w:rsidR="003D43D6" w:rsidRPr="003D43D6" w:rsidRDefault="003D43D6" w:rsidP="003D43D6">
      <w:pPr>
        <w:spacing w:line="480" w:lineRule="auto"/>
        <w:rPr>
          <w:rFonts w:ascii="Arial" w:hAnsi="Arial" w:cs="Arial"/>
        </w:rPr>
      </w:pPr>
    </w:p>
    <w:p w14:paraId="3C99B8E2" w14:textId="4BC67D31" w:rsidR="00B92BA6" w:rsidRDefault="003D43D6" w:rsidP="003D43D6">
      <w:pPr>
        <w:spacing w:line="480" w:lineRule="auto"/>
      </w:pPr>
      <w:r w:rsidRPr="003D43D6">
        <w:rPr>
          <w:rFonts w:ascii="Arial" w:hAnsi="Arial" w:cs="Arial"/>
        </w:rPr>
        <w:t xml:space="preserve">Throughout my critical incident, I have been able to demonstrate continuous professional learning by linking this to the new Professional Standard for Teaching </w:t>
      </w:r>
      <w:r w:rsidRPr="003D43D6">
        <w:rPr>
          <w:rFonts w:ascii="Arial" w:hAnsi="Arial" w:cs="Arial"/>
        </w:rPr>
        <w:lastRenderedPageBreak/>
        <w:t>and Leadership. Trying to extend my knowledge and skills and showing worthy reflective behaviour, this knowledge will allow me to develop my pedagogy proficiently</w:t>
      </w:r>
      <w:r>
        <w:t>.</w:t>
      </w:r>
    </w:p>
    <w:p w14:paraId="18BDAFC6" w14:textId="400CF2C8" w:rsidR="00981883" w:rsidRDefault="00981883" w:rsidP="003D43D6">
      <w:pPr>
        <w:spacing w:line="480" w:lineRule="auto"/>
      </w:pPr>
    </w:p>
    <w:p w14:paraId="4BCAB0CE" w14:textId="087B7D7F" w:rsidR="00981883" w:rsidRDefault="002E4B1D" w:rsidP="003D43D6">
      <w:pPr>
        <w:spacing w:line="480" w:lineRule="auto"/>
      </w:pPr>
      <w:r>
        <w:t>Word count- 3985</w:t>
      </w:r>
    </w:p>
    <w:p w14:paraId="7004C8A5" w14:textId="02924274" w:rsidR="00981883" w:rsidRDefault="00981883" w:rsidP="003D43D6">
      <w:pPr>
        <w:spacing w:line="480" w:lineRule="auto"/>
      </w:pPr>
    </w:p>
    <w:p w14:paraId="400C0DD2" w14:textId="297AF52E" w:rsidR="00981883" w:rsidRPr="00981883" w:rsidRDefault="00981883" w:rsidP="003D43D6">
      <w:pPr>
        <w:spacing w:line="480" w:lineRule="auto"/>
        <w:rPr>
          <w:rFonts w:ascii="Arial" w:hAnsi="Arial" w:cs="Arial"/>
        </w:rPr>
      </w:pPr>
    </w:p>
    <w:p w14:paraId="6D1C9F8E" w14:textId="27EB9C64" w:rsidR="00981883" w:rsidRDefault="00981883" w:rsidP="003D43D6">
      <w:pPr>
        <w:spacing w:line="480" w:lineRule="auto"/>
        <w:rPr>
          <w:rFonts w:ascii="Arial" w:hAnsi="Arial" w:cs="Arial"/>
        </w:rPr>
      </w:pPr>
    </w:p>
    <w:p w14:paraId="14DB62C6" w14:textId="3F69137B" w:rsidR="00981883" w:rsidRDefault="00981883" w:rsidP="003D43D6">
      <w:pPr>
        <w:spacing w:line="480" w:lineRule="auto"/>
        <w:rPr>
          <w:rFonts w:ascii="Arial" w:hAnsi="Arial" w:cs="Arial"/>
        </w:rPr>
      </w:pPr>
    </w:p>
    <w:p w14:paraId="3D1D2F73" w14:textId="23B2197C" w:rsidR="00981883" w:rsidRDefault="00981883" w:rsidP="003D43D6">
      <w:pPr>
        <w:spacing w:line="480" w:lineRule="auto"/>
        <w:rPr>
          <w:rFonts w:ascii="Arial" w:hAnsi="Arial" w:cs="Arial"/>
        </w:rPr>
      </w:pPr>
    </w:p>
    <w:p w14:paraId="02886133" w14:textId="45058904" w:rsidR="00981883" w:rsidRDefault="00981883" w:rsidP="003D43D6">
      <w:pPr>
        <w:spacing w:line="480" w:lineRule="auto"/>
        <w:rPr>
          <w:rFonts w:ascii="Arial" w:hAnsi="Arial" w:cs="Arial"/>
        </w:rPr>
      </w:pPr>
    </w:p>
    <w:p w14:paraId="00662DBC" w14:textId="6AF53027" w:rsidR="00981883" w:rsidRDefault="00981883" w:rsidP="003D43D6">
      <w:pPr>
        <w:spacing w:line="480" w:lineRule="auto"/>
        <w:rPr>
          <w:rFonts w:ascii="Arial" w:hAnsi="Arial" w:cs="Arial"/>
        </w:rPr>
      </w:pPr>
    </w:p>
    <w:p w14:paraId="5B454479" w14:textId="0B60CB60" w:rsidR="00981883" w:rsidRDefault="00981883" w:rsidP="003D43D6">
      <w:pPr>
        <w:spacing w:line="480" w:lineRule="auto"/>
        <w:rPr>
          <w:rFonts w:ascii="Arial" w:hAnsi="Arial" w:cs="Arial"/>
        </w:rPr>
      </w:pPr>
    </w:p>
    <w:p w14:paraId="1B66C731" w14:textId="50F467CF" w:rsidR="00981883" w:rsidRDefault="00981883" w:rsidP="003D43D6">
      <w:pPr>
        <w:spacing w:line="480" w:lineRule="auto"/>
        <w:rPr>
          <w:rFonts w:ascii="Arial" w:hAnsi="Arial" w:cs="Arial"/>
        </w:rPr>
      </w:pPr>
    </w:p>
    <w:p w14:paraId="4B3F5534" w14:textId="57B48009" w:rsidR="00981883" w:rsidRDefault="00981883" w:rsidP="003D43D6">
      <w:pPr>
        <w:spacing w:line="480" w:lineRule="auto"/>
        <w:rPr>
          <w:rFonts w:ascii="Arial" w:hAnsi="Arial" w:cs="Arial"/>
        </w:rPr>
      </w:pPr>
    </w:p>
    <w:p w14:paraId="42A0B26F" w14:textId="29EA2C02" w:rsidR="00981883" w:rsidRDefault="00981883" w:rsidP="003D43D6">
      <w:pPr>
        <w:spacing w:line="480" w:lineRule="auto"/>
        <w:rPr>
          <w:rFonts w:ascii="Arial" w:hAnsi="Arial" w:cs="Arial"/>
        </w:rPr>
      </w:pPr>
    </w:p>
    <w:p w14:paraId="17A720D8" w14:textId="01A3C954" w:rsidR="00981883" w:rsidRDefault="00981883" w:rsidP="003D43D6">
      <w:pPr>
        <w:spacing w:line="480" w:lineRule="auto"/>
        <w:rPr>
          <w:rFonts w:ascii="Arial" w:hAnsi="Arial" w:cs="Arial"/>
        </w:rPr>
      </w:pPr>
    </w:p>
    <w:p w14:paraId="036F3A3E" w14:textId="5D19FBC5" w:rsidR="00981883" w:rsidRDefault="00981883" w:rsidP="003D43D6">
      <w:pPr>
        <w:spacing w:line="480" w:lineRule="auto"/>
        <w:rPr>
          <w:rFonts w:ascii="Arial" w:hAnsi="Arial" w:cs="Arial"/>
        </w:rPr>
      </w:pPr>
    </w:p>
    <w:p w14:paraId="48DC9016" w14:textId="50907C93" w:rsidR="00981883" w:rsidRDefault="00981883" w:rsidP="003D43D6">
      <w:pPr>
        <w:spacing w:line="480" w:lineRule="auto"/>
        <w:rPr>
          <w:rFonts w:ascii="Arial" w:hAnsi="Arial" w:cs="Arial"/>
        </w:rPr>
      </w:pPr>
    </w:p>
    <w:p w14:paraId="5207F269" w14:textId="15EB8C46" w:rsidR="00981883" w:rsidRDefault="00981883" w:rsidP="003D43D6">
      <w:pPr>
        <w:spacing w:line="480" w:lineRule="auto"/>
        <w:rPr>
          <w:rFonts w:ascii="Arial" w:hAnsi="Arial" w:cs="Arial"/>
        </w:rPr>
      </w:pPr>
    </w:p>
    <w:p w14:paraId="7C0A8878" w14:textId="3B225290" w:rsidR="009E2AD4" w:rsidRDefault="009E2AD4" w:rsidP="00981883"/>
    <w:p w14:paraId="2EC6389A" w14:textId="05764111" w:rsidR="009E2AD4" w:rsidRDefault="009E2AD4" w:rsidP="00981883"/>
    <w:p w14:paraId="24AAE9D7" w14:textId="4BD9AD94" w:rsidR="009E2AD4" w:rsidRDefault="009E2AD4" w:rsidP="00981883"/>
    <w:p w14:paraId="78E4E3C0" w14:textId="0002268E" w:rsidR="009E2AD4" w:rsidRDefault="009E2AD4" w:rsidP="00981883"/>
    <w:p w14:paraId="6D8DB4FA" w14:textId="7064DF24" w:rsidR="009E2AD4" w:rsidRDefault="009E2AD4" w:rsidP="00981883"/>
    <w:p w14:paraId="68D16DAC" w14:textId="45695A97" w:rsidR="009E2AD4" w:rsidRDefault="009E2AD4" w:rsidP="00981883"/>
    <w:p w14:paraId="75C53D67" w14:textId="2AD17D7F" w:rsidR="009E2AD4" w:rsidRDefault="009E2AD4" w:rsidP="00981883"/>
    <w:p w14:paraId="41C84C53" w14:textId="3C24E82A" w:rsidR="009E2AD4" w:rsidRDefault="009E2AD4" w:rsidP="00981883"/>
    <w:p w14:paraId="3F47288E" w14:textId="77777777" w:rsidR="00981883" w:rsidRDefault="00981883" w:rsidP="00981883"/>
    <w:p w14:paraId="1E170A22" w14:textId="77777777" w:rsidR="00981883" w:rsidRDefault="00981883" w:rsidP="00981883"/>
    <w:p w14:paraId="74EC7DA2" w14:textId="77777777" w:rsidR="00981883" w:rsidRPr="009A5CD1" w:rsidRDefault="00981883" w:rsidP="00981883">
      <w:pPr>
        <w:rPr>
          <w:u w:val="single"/>
        </w:rPr>
      </w:pPr>
    </w:p>
    <w:p w14:paraId="2F9CB467" w14:textId="77777777" w:rsidR="00981883" w:rsidRDefault="00981883" w:rsidP="00981883">
      <w:pPr>
        <w:rPr>
          <w:b/>
          <w:bCs/>
          <w:u w:val="single"/>
        </w:rPr>
      </w:pPr>
      <w:r w:rsidRPr="0074752C">
        <w:rPr>
          <w:b/>
          <w:bCs/>
          <w:u w:val="single"/>
        </w:rPr>
        <w:t xml:space="preserve">Reference list </w:t>
      </w:r>
    </w:p>
    <w:p w14:paraId="29C19355" w14:textId="77777777" w:rsidR="00981883" w:rsidRDefault="00981883" w:rsidP="00981883">
      <w:pPr>
        <w:rPr>
          <w:b/>
          <w:bCs/>
          <w:u w:val="single"/>
        </w:rPr>
      </w:pPr>
    </w:p>
    <w:p w14:paraId="023DFB66" w14:textId="77777777" w:rsidR="00981883" w:rsidRPr="0074752C" w:rsidRDefault="00981883" w:rsidP="00981883">
      <w:pPr>
        <w:spacing w:line="480" w:lineRule="auto"/>
        <w:rPr>
          <w:rFonts w:ascii="Arial" w:hAnsi="Arial" w:cs="Arial"/>
        </w:rPr>
      </w:pPr>
    </w:p>
    <w:p w14:paraId="1EE23187" w14:textId="77777777" w:rsidR="00981883" w:rsidRPr="000A34AE" w:rsidRDefault="00981883" w:rsidP="00981883">
      <w:pPr>
        <w:spacing w:line="480" w:lineRule="auto"/>
        <w:rPr>
          <w:rFonts w:ascii="Arial" w:hAnsi="Arial" w:cs="Arial"/>
        </w:rPr>
      </w:pPr>
    </w:p>
    <w:p w14:paraId="6692C7BB" w14:textId="77777777" w:rsidR="00981883" w:rsidRPr="00B8641E" w:rsidRDefault="00981883" w:rsidP="00981883">
      <w:pPr>
        <w:spacing w:line="480" w:lineRule="auto"/>
        <w:rPr>
          <w:rFonts w:ascii="Arial" w:hAnsi="Arial" w:cs="Arial"/>
        </w:rPr>
      </w:pPr>
      <w:r w:rsidRPr="00B8641E">
        <w:rPr>
          <w:rFonts w:ascii="Arial" w:hAnsi="Arial" w:cs="Arial"/>
        </w:rPr>
        <w:t> </w:t>
      </w:r>
    </w:p>
    <w:p w14:paraId="280550EA" w14:textId="77777777" w:rsidR="00981883" w:rsidRDefault="00981883" w:rsidP="00981883">
      <w:pPr>
        <w:spacing w:line="480" w:lineRule="auto"/>
        <w:rPr>
          <w:rFonts w:ascii="Arial" w:hAnsi="Arial" w:cs="Arial"/>
        </w:rPr>
      </w:pPr>
      <w:r w:rsidRPr="0074752C">
        <w:rPr>
          <w:rFonts w:ascii="Arial" w:hAnsi="Arial" w:cs="Arial"/>
        </w:rPr>
        <w:t>Adolphus, K., Lawton, C.L. and Dye, L. (1AD) </w:t>
      </w:r>
      <w:r w:rsidRPr="0074752C">
        <w:rPr>
          <w:rFonts w:ascii="Arial" w:hAnsi="Arial" w:cs="Arial"/>
          <w:i/>
          <w:iCs/>
        </w:rPr>
        <w:t>The effects of breakfast on behaviour and academic performance in children and adolescents</w:t>
      </w:r>
      <w:r w:rsidRPr="0074752C">
        <w:rPr>
          <w:rFonts w:ascii="Arial" w:hAnsi="Arial" w:cs="Arial"/>
        </w:rPr>
        <w:t>, </w:t>
      </w:r>
      <w:r w:rsidRPr="0074752C">
        <w:rPr>
          <w:rFonts w:ascii="Arial" w:hAnsi="Arial" w:cs="Arial"/>
          <w:i/>
          <w:iCs/>
        </w:rPr>
        <w:t>Frontiers</w:t>
      </w:r>
      <w:r w:rsidRPr="0074752C">
        <w:rPr>
          <w:rFonts w:ascii="Arial" w:hAnsi="Arial" w:cs="Arial"/>
        </w:rPr>
        <w:t>. Frontiers. Available at: https://www.frontiersin.org/articles/10.3389/fnhum.2013.00425/full (Accessed: November 6, 2022). </w:t>
      </w:r>
    </w:p>
    <w:p w14:paraId="6EFDDDC6" w14:textId="77777777" w:rsidR="00981883" w:rsidRPr="0074752C" w:rsidRDefault="00981883" w:rsidP="00981883">
      <w:pPr>
        <w:spacing w:line="480" w:lineRule="auto"/>
        <w:rPr>
          <w:rFonts w:ascii="Arial" w:hAnsi="Arial" w:cs="Arial"/>
        </w:rPr>
      </w:pPr>
    </w:p>
    <w:p w14:paraId="1C31DAAF" w14:textId="77777777" w:rsidR="00981883" w:rsidRDefault="00981883" w:rsidP="00981883">
      <w:pPr>
        <w:spacing w:line="480" w:lineRule="auto"/>
        <w:rPr>
          <w:rFonts w:ascii="Arial" w:hAnsi="Arial" w:cs="Arial"/>
        </w:rPr>
      </w:pPr>
      <w:r w:rsidRPr="00F601A7">
        <w:rPr>
          <w:rFonts w:ascii="Arial" w:hAnsi="Arial" w:cs="Arial"/>
          <w:i/>
          <w:iCs/>
        </w:rPr>
        <w:t xml:space="preserve">Applying the Gibbs reflective model - </w:t>
      </w:r>
      <w:r w:rsidRPr="0074752C">
        <w:rPr>
          <w:rFonts w:ascii="Arial" w:hAnsi="Arial" w:cs="Arial"/>
          <w:i/>
          <w:iCs/>
        </w:rPr>
        <w:t>M</w:t>
      </w:r>
      <w:r w:rsidRPr="00F601A7">
        <w:rPr>
          <w:rFonts w:ascii="Arial" w:hAnsi="Arial" w:cs="Arial"/>
          <w:i/>
          <w:iCs/>
        </w:rPr>
        <w:t xml:space="preserve">anchester </w:t>
      </w:r>
      <w:r w:rsidRPr="0074752C">
        <w:rPr>
          <w:rFonts w:ascii="Arial" w:hAnsi="Arial" w:cs="Arial"/>
          <w:i/>
          <w:iCs/>
        </w:rPr>
        <w:t>M</w:t>
      </w:r>
      <w:r w:rsidRPr="00F601A7">
        <w:rPr>
          <w:rFonts w:ascii="Arial" w:hAnsi="Arial" w:cs="Arial"/>
          <w:i/>
          <w:iCs/>
        </w:rPr>
        <w:t xml:space="preserve">etropolitan </w:t>
      </w:r>
      <w:r w:rsidRPr="0074752C">
        <w:rPr>
          <w:rFonts w:ascii="Arial" w:hAnsi="Arial" w:cs="Arial"/>
          <w:i/>
          <w:iCs/>
        </w:rPr>
        <w:t>U</w:t>
      </w:r>
      <w:r w:rsidRPr="00F601A7">
        <w:rPr>
          <w:rFonts w:ascii="Arial" w:hAnsi="Arial" w:cs="Arial"/>
          <w:i/>
          <w:iCs/>
        </w:rPr>
        <w:t>niversity</w:t>
      </w:r>
      <w:r w:rsidRPr="00F601A7">
        <w:rPr>
          <w:rFonts w:ascii="Arial" w:hAnsi="Arial" w:cs="Arial"/>
        </w:rPr>
        <w:t> (</w:t>
      </w:r>
      <w:r w:rsidRPr="0074752C">
        <w:rPr>
          <w:rFonts w:ascii="Arial" w:hAnsi="Arial" w:cs="Arial"/>
        </w:rPr>
        <w:t>1970</w:t>
      </w:r>
      <w:r w:rsidRPr="00F601A7">
        <w:rPr>
          <w:rFonts w:ascii="Arial" w:hAnsi="Arial" w:cs="Arial"/>
        </w:rPr>
        <w:t>). Available</w:t>
      </w:r>
      <w:r>
        <w:rPr>
          <w:rFonts w:ascii="Arial" w:hAnsi="Arial" w:cs="Arial"/>
        </w:rPr>
        <w:t xml:space="preserve"> </w:t>
      </w:r>
      <w:r w:rsidRPr="00F601A7">
        <w:rPr>
          <w:rFonts w:ascii="Arial" w:hAnsi="Arial" w:cs="Arial"/>
        </w:rPr>
        <w:t>at: https://www.mmu.ac.uk/media/mmuacuk/content/documents/careers/Applying-the-Gibbs-Model-2018.pdf (Accessed: November 6, 2022). </w:t>
      </w:r>
    </w:p>
    <w:p w14:paraId="3F9F38D3" w14:textId="77777777" w:rsidR="00981883" w:rsidRPr="0074752C" w:rsidRDefault="00981883" w:rsidP="00981883">
      <w:pPr>
        <w:spacing w:line="480" w:lineRule="auto"/>
        <w:rPr>
          <w:rFonts w:ascii="Arial" w:hAnsi="Arial" w:cs="Arial"/>
        </w:rPr>
      </w:pPr>
    </w:p>
    <w:p w14:paraId="5A53DAE8" w14:textId="77777777" w:rsidR="00981883" w:rsidRDefault="00981883" w:rsidP="00981883">
      <w:pPr>
        <w:spacing w:line="480" w:lineRule="auto"/>
        <w:rPr>
          <w:rFonts w:ascii="Arial" w:hAnsi="Arial" w:cs="Arial"/>
        </w:rPr>
      </w:pPr>
      <w:r w:rsidRPr="0074752C">
        <w:rPr>
          <w:rFonts w:ascii="Arial" w:hAnsi="Arial" w:cs="Arial"/>
        </w:rPr>
        <w:t xml:space="preserve">Bronfenbrenner. (1996). </w:t>
      </w:r>
      <w:r w:rsidRPr="0074752C">
        <w:rPr>
          <w:rFonts w:ascii="Arial" w:hAnsi="Arial" w:cs="Arial"/>
          <w:i/>
          <w:iCs/>
        </w:rPr>
        <w:t>The ecology of human development experiments by nature and design</w:t>
      </w:r>
      <w:r w:rsidRPr="0074752C">
        <w:rPr>
          <w:rFonts w:ascii="Arial" w:hAnsi="Arial" w:cs="Arial"/>
        </w:rPr>
        <w:t>. Harvard University Press. Available at: https://ebookcentral.proquest.com/lib/fjpw/home.action (Accessed: November 3, 2022). </w:t>
      </w:r>
    </w:p>
    <w:p w14:paraId="5E01D178" w14:textId="77777777" w:rsidR="00981883" w:rsidRPr="0074752C" w:rsidRDefault="00981883" w:rsidP="00981883">
      <w:pPr>
        <w:spacing w:line="480" w:lineRule="auto"/>
        <w:rPr>
          <w:rFonts w:ascii="Arial" w:hAnsi="Arial" w:cs="Arial"/>
        </w:rPr>
      </w:pPr>
    </w:p>
    <w:p w14:paraId="06CDC49C" w14:textId="77777777" w:rsidR="00981883" w:rsidRPr="0074752C" w:rsidRDefault="00981883" w:rsidP="00981883">
      <w:pPr>
        <w:spacing w:line="480" w:lineRule="auto"/>
        <w:rPr>
          <w:rFonts w:ascii="Arial" w:hAnsi="Arial" w:cs="Arial"/>
        </w:rPr>
      </w:pPr>
      <w:r w:rsidRPr="00B8641E">
        <w:rPr>
          <w:rFonts w:ascii="Arial" w:hAnsi="Arial" w:cs="Arial"/>
        </w:rPr>
        <w:t>Donaldson, G. (2015) </w:t>
      </w:r>
      <w:r w:rsidRPr="00B8641E">
        <w:rPr>
          <w:rFonts w:ascii="Arial" w:hAnsi="Arial" w:cs="Arial"/>
          <w:i/>
          <w:iCs/>
        </w:rPr>
        <w:t>Successful futures: Review of curriculum and assessment arrangements</w:t>
      </w:r>
      <w:r w:rsidRPr="00B8641E">
        <w:rPr>
          <w:rFonts w:ascii="Arial" w:hAnsi="Arial" w:cs="Arial"/>
        </w:rPr>
        <w:t>, </w:t>
      </w:r>
      <w:r w:rsidRPr="00B8641E">
        <w:rPr>
          <w:rFonts w:ascii="Arial" w:hAnsi="Arial" w:cs="Arial"/>
          <w:i/>
          <w:iCs/>
        </w:rPr>
        <w:t>GOV.WALES</w:t>
      </w:r>
      <w:r w:rsidRPr="00B8641E">
        <w:rPr>
          <w:rFonts w:ascii="Arial" w:hAnsi="Arial" w:cs="Arial"/>
        </w:rPr>
        <w:t>. Available at: https://gov.wales/successful-futures-review-curriculum-and-assessment-arrangements (Accessed: November 3, 2022).</w:t>
      </w:r>
    </w:p>
    <w:p w14:paraId="1EFC4A3F" w14:textId="77777777" w:rsidR="00981883" w:rsidRDefault="00981883" w:rsidP="00981883">
      <w:pPr>
        <w:pStyle w:val="NormalWeb"/>
        <w:ind w:left="567" w:hanging="567"/>
        <w:rPr>
          <w:rStyle w:val="apple-converted-space"/>
          <w:rFonts w:ascii="Arial" w:eastAsiaTheme="majorEastAsia" w:hAnsi="Arial" w:cs="Arial"/>
          <w:color w:val="000000"/>
        </w:rPr>
      </w:pPr>
      <w:r w:rsidRPr="0074752C">
        <w:rPr>
          <w:rFonts w:ascii="Arial" w:hAnsi="Arial" w:cs="Arial"/>
          <w:color w:val="000000"/>
        </w:rPr>
        <w:t>Donnelly, M. and Straus, M.A. (2005)</w:t>
      </w:r>
      <w:r w:rsidRPr="0074752C">
        <w:rPr>
          <w:rStyle w:val="apple-converted-space"/>
          <w:rFonts w:ascii="Arial" w:eastAsiaTheme="majorEastAsia" w:hAnsi="Arial" w:cs="Arial"/>
          <w:color w:val="000000"/>
        </w:rPr>
        <w:t> </w:t>
      </w:r>
      <w:r w:rsidRPr="0074752C">
        <w:rPr>
          <w:rFonts w:ascii="Arial" w:hAnsi="Arial" w:cs="Arial"/>
          <w:i/>
          <w:iCs/>
          <w:color w:val="000000"/>
        </w:rPr>
        <w:t>Corporal punishment of children in theoretical perspective</w:t>
      </w:r>
      <w:r w:rsidRPr="0074752C">
        <w:rPr>
          <w:rFonts w:ascii="Arial" w:hAnsi="Arial" w:cs="Arial"/>
          <w:color w:val="000000"/>
        </w:rPr>
        <w:t>. New Haven: Yale University Press.</w:t>
      </w:r>
      <w:r w:rsidRPr="0074752C">
        <w:rPr>
          <w:rStyle w:val="apple-converted-space"/>
          <w:rFonts w:ascii="Arial" w:eastAsiaTheme="majorEastAsia" w:hAnsi="Arial" w:cs="Arial"/>
          <w:color w:val="000000"/>
        </w:rPr>
        <w:t> </w:t>
      </w:r>
    </w:p>
    <w:p w14:paraId="4FB927DB" w14:textId="77777777" w:rsidR="00981883" w:rsidRPr="0074752C" w:rsidRDefault="00981883" w:rsidP="00981883">
      <w:pPr>
        <w:pStyle w:val="NormalWeb"/>
        <w:ind w:left="567" w:hanging="567"/>
        <w:rPr>
          <w:rFonts w:ascii="Arial" w:hAnsi="Arial" w:cs="Arial"/>
          <w:color w:val="000000"/>
        </w:rPr>
      </w:pPr>
    </w:p>
    <w:p w14:paraId="0D3AD5A7" w14:textId="77777777" w:rsidR="00981883" w:rsidRPr="0074752C" w:rsidRDefault="00981883" w:rsidP="00981883">
      <w:pPr>
        <w:spacing w:line="480" w:lineRule="auto"/>
        <w:rPr>
          <w:rFonts w:ascii="Arial" w:hAnsi="Arial" w:cs="Arial"/>
        </w:rPr>
      </w:pPr>
      <w:r w:rsidRPr="0074752C">
        <w:rPr>
          <w:rFonts w:ascii="Arial" w:hAnsi="Arial" w:cs="Arial"/>
        </w:rPr>
        <w:t>Fontes, R.M. and Shahan, T.A. (2021) </w:t>
      </w:r>
      <w:r w:rsidRPr="0074752C">
        <w:rPr>
          <w:rFonts w:ascii="Arial" w:hAnsi="Arial" w:cs="Arial"/>
          <w:i/>
          <w:iCs/>
        </w:rPr>
        <w:t>Punishment and its putative fallout: A reappraisal</w:t>
      </w:r>
      <w:r w:rsidRPr="0074752C">
        <w:rPr>
          <w:rFonts w:ascii="Arial" w:hAnsi="Arial" w:cs="Arial"/>
        </w:rPr>
        <w:t>, </w:t>
      </w:r>
      <w:r w:rsidRPr="0074752C">
        <w:rPr>
          <w:rFonts w:ascii="Arial" w:hAnsi="Arial" w:cs="Arial"/>
          <w:i/>
          <w:iCs/>
        </w:rPr>
        <w:t>Journal of the experimental analysis of behaviour</w:t>
      </w:r>
      <w:r w:rsidRPr="0074752C">
        <w:rPr>
          <w:rFonts w:ascii="Arial" w:hAnsi="Arial" w:cs="Arial"/>
        </w:rPr>
        <w:t>. U.S. National Library of Medicine. Available at: https://www.ncbi.nlm.nih.gov/pmc/articles/PMC7855474/ (Accessed: October 31, 2022). </w:t>
      </w:r>
    </w:p>
    <w:p w14:paraId="25231A06" w14:textId="77777777" w:rsidR="00981883" w:rsidRPr="0074752C" w:rsidRDefault="00981883" w:rsidP="00981883">
      <w:pPr>
        <w:pStyle w:val="NormalWeb"/>
        <w:spacing w:line="480" w:lineRule="auto"/>
        <w:ind w:left="567" w:hanging="567"/>
        <w:rPr>
          <w:rFonts w:ascii="Arial" w:hAnsi="Arial" w:cs="Arial"/>
          <w:color w:val="000000"/>
        </w:rPr>
      </w:pPr>
      <w:r w:rsidRPr="0074752C">
        <w:rPr>
          <w:rFonts w:ascii="Arial" w:hAnsi="Arial" w:cs="Arial"/>
          <w:i/>
          <w:iCs/>
          <w:color w:val="000000"/>
        </w:rPr>
        <w:t>Getting started with reflective practice</w:t>
      </w:r>
      <w:r w:rsidRPr="0074752C">
        <w:rPr>
          <w:rStyle w:val="apple-converted-space"/>
          <w:rFonts w:ascii="Arial" w:eastAsiaTheme="majorEastAsia" w:hAnsi="Arial" w:cs="Arial"/>
          <w:color w:val="000000"/>
        </w:rPr>
        <w:t> </w:t>
      </w:r>
      <w:r w:rsidRPr="0074752C">
        <w:rPr>
          <w:rFonts w:ascii="Arial" w:hAnsi="Arial" w:cs="Arial"/>
          <w:color w:val="000000"/>
        </w:rPr>
        <w:t>(no date)</w:t>
      </w:r>
      <w:r w:rsidRPr="0074752C">
        <w:rPr>
          <w:rStyle w:val="apple-converted-space"/>
          <w:rFonts w:ascii="Arial" w:eastAsiaTheme="majorEastAsia" w:hAnsi="Arial" w:cs="Arial"/>
          <w:color w:val="000000"/>
        </w:rPr>
        <w:t> </w:t>
      </w:r>
      <w:r w:rsidRPr="0074752C">
        <w:rPr>
          <w:rFonts w:ascii="Arial" w:hAnsi="Arial" w:cs="Arial"/>
          <w:i/>
          <w:iCs/>
          <w:color w:val="000000"/>
        </w:rPr>
        <w:t>Welcome</w:t>
      </w:r>
      <w:r w:rsidRPr="0074752C">
        <w:rPr>
          <w:rFonts w:ascii="Arial" w:hAnsi="Arial" w:cs="Arial"/>
          <w:color w:val="000000"/>
        </w:rPr>
        <w:t>. Available at: https://www.cambridge-community.org.uk/professional-development/gswrp/index.html (Accessed: October 23, 2022).</w:t>
      </w:r>
    </w:p>
    <w:p w14:paraId="4EAA0E0D" w14:textId="77777777" w:rsidR="00981883" w:rsidRDefault="00981883" w:rsidP="00981883">
      <w:pPr>
        <w:spacing w:line="480" w:lineRule="auto"/>
        <w:rPr>
          <w:rFonts w:ascii="Arial" w:hAnsi="Arial" w:cs="Arial"/>
        </w:rPr>
      </w:pPr>
      <w:r w:rsidRPr="0074752C">
        <w:rPr>
          <w:rFonts w:ascii="Arial" w:hAnsi="Arial" w:cs="Arial"/>
          <w:i/>
          <w:iCs/>
        </w:rPr>
        <w:t>Getting started with reflective practice</w:t>
      </w:r>
      <w:r w:rsidRPr="0074752C">
        <w:rPr>
          <w:rFonts w:ascii="Arial" w:hAnsi="Arial" w:cs="Arial"/>
        </w:rPr>
        <w:t> (no date) </w:t>
      </w:r>
      <w:r w:rsidRPr="0074752C">
        <w:rPr>
          <w:rFonts w:ascii="Arial" w:hAnsi="Arial" w:cs="Arial"/>
          <w:i/>
          <w:iCs/>
        </w:rPr>
        <w:t>Welcome</w:t>
      </w:r>
      <w:r w:rsidRPr="0074752C">
        <w:rPr>
          <w:rFonts w:ascii="Arial" w:hAnsi="Arial" w:cs="Arial"/>
        </w:rPr>
        <w:t>. Available at: https://www.cambridge-community.org.uk/professional-development/gswrp/index.html (Accessed: October 23, 2022). </w:t>
      </w:r>
    </w:p>
    <w:p w14:paraId="6CE9F990" w14:textId="77777777" w:rsidR="00981883" w:rsidRPr="0074752C" w:rsidRDefault="00981883" w:rsidP="00981883">
      <w:pPr>
        <w:spacing w:line="480" w:lineRule="auto"/>
        <w:rPr>
          <w:rFonts w:ascii="Arial" w:hAnsi="Arial" w:cs="Arial"/>
        </w:rPr>
      </w:pPr>
    </w:p>
    <w:p w14:paraId="6717F847" w14:textId="77777777" w:rsidR="00981883" w:rsidRDefault="00981883" w:rsidP="00981883">
      <w:pPr>
        <w:spacing w:line="480" w:lineRule="auto"/>
        <w:rPr>
          <w:rFonts w:ascii="Arial" w:hAnsi="Arial" w:cs="Arial"/>
        </w:rPr>
      </w:pPr>
      <w:r w:rsidRPr="0074752C">
        <w:rPr>
          <w:rFonts w:ascii="Arial" w:hAnsi="Arial" w:cs="Arial"/>
          <w:i/>
          <w:iCs/>
        </w:rPr>
        <w:t>Gibbs' Reflective Cycle</w:t>
      </w:r>
      <w:r w:rsidRPr="0074752C">
        <w:rPr>
          <w:rFonts w:ascii="Arial" w:hAnsi="Arial" w:cs="Arial"/>
        </w:rPr>
        <w:t> (1970) </w:t>
      </w:r>
      <w:r w:rsidRPr="0074752C">
        <w:rPr>
          <w:rFonts w:ascii="Arial" w:hAnsi="Arial" w:cs="Arial"/>
          <w:i/>
          <w:iCs/>
        </w:rPr>
        <w:t>The University of Edinburgh</w:t>
      </w:r>
      <w:r w:rsidRPr="0074752C">
        <w:rPr>
          <w:rFonts w:ascii="Arial" w:hAnsi="Arial" w:cs="Arial"/>
        </w:rPr>
        <w:t>. Available at: https://www.ed.ac.uk/reflection/reflectors-toolkit/reflecting-on-experience/gibbs-reflective-cycle (Accessed: November 6, 2022). </w:t>
      </w:r>
    </w:p>
    <w:p w14:paraId="1D9CBC73" w14:textId="77777777" w:rsidR="00981883" w:rsidRPr="0074752C" w:rsidRDefault="00981883" w:rsidP="00981883">
      <w:pPr>
        <w:spacing w:line="480" w:lineRule="auto"/>
        <w:rPr>
          <w:rFonts w:ascii="Arial" w:hAnsi="Arial" w:cs="Arial"/>
        </w:rPr>
      </w:pPr>
    </w:p>
    <w:p w14:paraId="20F63689" w14:textId="77777777" w:rsidR="00981883" w:rsidRPr="0074752C" w:rsidRDefault="00981883" w:rsidP="00981883">
      <w:pPr>
        <w:spacing w:line="480" w:lineRule="auto"/>
        <w:rPr>
          <w:rFonts w:ascii="Arial" w:hAnsi="Arial" w:cs="Arial"/>
        </w:rPr>
      </w:pPr>
      <w:r w:rsidRPr="0074752C">
        <w:rPr>
          <w:rFonts w:ascii="Arial" w:hAnsi="Arial" w:cs="Arial"/>
        </w:rPr>
        <w:t xml:space="preserve">  Hayes, N., </w:t>
      </w:r>
      <w:proofErr w:type="spellStart"/>
      <w:r w:rsidRPr="0074752C">
        <w:rPr>
          <w:rFonts w:ascii="Arial" w:hAnsi="Arial" w:cs="Arial"/>
        </w:rPr>
        <w:t>Halpenny</w:t>
      </w:r>
      <w:proofErr w:type="spellEnd"/>
      <w:r w:rsidRPr="0074752C">
        <w:rPr>
          <w:rFonts w:ascii="Arial" w:hAnsi="Arial" w:cs="Arial"/>
        </w:rPr>
        <w:t>, A.M. and O’Toole, L. (2017) Introducing Bronfenbrenner: a guide for practitioners and students in early years education. London; Routledge. Available at: https://doi.org/10.4324/9781315646206.</w:t>
      </w:r>
    </w:p>
    <w:p w14:paraId="2096E66F" w14:textId="77777777" w:rsidR="00981883" w:rsidRPr="0074752C" w:rsidRDefault="00981883" w:rsidP="00981883">
      <w:pPr>
        <w:pStyle w:val="NormalWeb"/>
        <w:spacing w:line="480" w:lineRule="auto"/>
        <w:ind w:left="567" w:hanging="567"/>
        <w:rPr>
          <w:rStyle w:val="apple-converted-space"/>
          <w:rFonts w:ascii="Arial" w:eastAsiaTheme="majorEastAsia" w:hAnsi="Arial" w:cs="Arial"/>
          <w:color w:val="000000"/>
        </w:rPr>
      </w:pPr>
      <w:r w:rsidRPr="0074752C">
        <w:rPr>
          <w:rFonts w:ascii="Arial" w:hAnsi="Arial" w:cs="Arial"/>
          <w:color w:val="000000"/>
        </w:rPr>
        <w:t>Holt, M.C. and Roff, S. (2004) “Development and validation of the Anaesthetic Theatre Educational Environment Measure (ATEEM),”</w:t>
      </w:r>
      <w:r w:rsidRPr="0074752C">
        <w:rPr>
          <w:rStyle w:val="apple-converted-space"/>
          <w:rFonts w:ascii="Arial" w:eastAsiaTheme="majorEastAsia" w:hAnsi="Arial" w:cs="Arial"/>
          <w:color w:val="000000"/>
        </w:rPr>
        <w:t> </w:t>
      </w:r>
      <w:r w:rsidRPr="0074752C">
        <w:rPr>
          <w:rFonts w:ascii="Arial" w:hAnsi="Arial" w:cs="Arial"/>
          <w:i/>
          <w:iCs/>
          <w:color w:val="000000"/>
        </w:rPr>
        <w:t>Medical Teacher</w:t>
      </w:r>
      <w:r w:rsidRPr="0074752C">
        <w:rPr>
          <w:rFonts w:ascii="Arial" w:hAnsi="Arial" w:cs="Arial"/>
          <w:color w:val="000000"/>
        </w:rPr>
        <w:t>, 26(6), pp. 553–558. Available at: https://doi.org/10.1080/01421590410001711599.</w:t>
      </w:r>
      <w:r w:rsidRPr="0074752C">
        <w:rPr>
          <w:rStyle w:val="apple-converted-space"/>
          <w:rFonts w:ascii="Arial" w:eastAsiaTheme="majorEastAsia" w:hAnsi="Arial" w:cs="Arial"/>
          <w:color w:val="000000"/>
        </w:rPr>
        <w:t> </w:t>
      </w:r>
    </w:p>
    <w:p w14:paraId="581300CC" w14:textId="77777777" w:rsidR="00981883" w:rsidRDefault="00981883" w:rsidP="00981883">
      <w:pPr>
        <w:spacing w:line="480" w:lineRule="auto"/>
        <w:rPr>
          <w:rFonts w:ascii="Arial" w:hAnsi="Arial" w:cs="Arial"/>
        </w:rPr>
      </w:pPr>
      <w:r w:rsidRPr="0074752C">
        <w:rPr>
          <w:rFonts w:ascii="Arial" w:hAnsi="Arial" w:cs="Arial"/>
        </w:rPr>
        <w:lastRenderedPageBreak/>
        <w:t xml:space="preserve">L, Canter. (2010) </w:t>
      </w:r>
      <w:r w:rsidRPr="0074752C">
        <w:rPr>
          <w:rFonts w:ascii="Arial" w:hAnsi="Arial" w:cs="Arial"/>
          <w:i/>
          <w:iCs/>
        </w:rPr>
        <w:t>Assertive discipline; positive behaviour management for today's classroom.</w:t>
      </w:r>
      <w:r w:rsidRPr="0074752C">
        <w:rPr>
          <w:rFonts w:ascii="Arial" w:hAnsi="Arial" w:cs="Arial"/>
        </w:rPr>
        <w:t xml:space="preserve"> 4th ed. 2010. </w:t>
      </w:r>
      <w:r w:rsidRPr="0074752C">
        <w:rPr>
          <w:rFonts w:ascii="Arial" w:hAnsi="Arial" w:cs="Arial"/>
          <w:i/>
          <w:iCs/>
        </w:rPr>
        <w:t>Reference and Research Book News</w:t>
      </w:r>
      <w:r w:rsidRPr="0074752C">
        <w:rPr>
          <w:rFonts w:ascii="Arial" w:hAnsi="Arial" w:cs="Arial"/>
        </w:rPr>
        <w:t>. Available at: https://www.proquest.com/docview/199670185?accountid=130472&amp;parentSessionId=pRF1QnL8WYl%2Fa7Yvwu%2BwLSX4TPj7uDYouFONJBaEABI%3D&amp;pq-origsite=primo (Accessed: November 1, 2022).</w:t>
      </w:r>
    </w:p>
    <w:p w14:paraId="6C126F18" w14:textId="77777777" w:rsidR="00981883" w:rsidRPr="0074752C" w:rsidRDefault="00981883" w:rsidP="00981883">
      <w:pPr>
        <w:spacing w:line="480" w:lineRule="auto"/>
        <w:rPr>
          <w:rFonts w:ascii="Arial" w:hAnsi="Arial" w:cs="Arial"/>
        </w:rPr>
      </w:pPr>
    </w:p>
    <w:p w14:paraId="1A3CD585" w14:textId="2D28820E" w:rsidR="00981883" w:rsidRDefault="00981883" w:rsidP="00981883">
      <w:pPr>
        <w:spacing w:line="480" w:lineRule="auto"/>
        <w:rPr>
          <w:rFonts w:ascii="Arial" w:hAnsi="Arial" w:cs="Arial"/>
        </w:rPr>
      </w:pPr>
      <w:r w:rsidRPr="0074752C">
        <w:rPr>
          <w:rFonts w:ascii="Arial" w:hAnsi="Arial" w:cs="Arial"/>
        </w:rPr>
        <w:t xml:space="preserve">  MacPhail, A. (2011) ‘Professional learning as a physical education teacher educator’, Physical education and sport pedagogy, 16(4), pp. 435–451. Available at: </w:t>
      </w:r>
      <w:r w:rsidRPr="009E2AD4">
        <w:rPr>
          <w:rFonts w:ascii="Arial" w:hAnsi="Arial" w:cs="Arial"/>
        </w:rPr>
        <w:t>https://doi.org/10.1080/17408989.2011.582485</w:t>
      </w:r>
      <w:r w:rsidRPr="0074752C">
        <w:rPr>
          <w:rFonts w:ascii="Arial" w:hAnsi="Arial" w:cs="Arial"/>
        </w:rPr>
        <w:t>.</w:t>
      </w:r>
    </w:p>
    <w:p w14:paraId="2AD81514" w14:textId="77777777" w:rsidR="00981883" w:rsidRPr="0074752C" w:rsidRDefault="00981883" w:rsidP="00981883">
      <w:pPr>
        <w:spacing w:line="480" w:lineRule="auto"/>
        <w:rPr>
          <w:rFonts w:ascii="Arial" w:hAnsi="Arial" w:cs="Arial"/>
        </w:rPr>
      </w:pPr>
    </w:p>
    <w:p w14:paraId="3EAD57DD" w14:textId="061210D5" w:rsidR="00981883" w:rsidRDefault="00981883" w:rsidP="00981883">
      <w:pPr>
        <w:rPr>
          <w:rFonts w:ascii="Arial" w:hAnsi="Arial" w:cs="Arial"/>
        </w:rPr>
      </w:pPr>
      <w:r w:rsidRPr="0074752C">
        <w:rPr>
          <w:rFonts w:ascii="Arial" w:hAnsi="Arial" w:cs="Arial"/>
        </w:rPr>
        <w:t>Martinelli, K. (2021) </w:t>
      </w:r>
      <w:r w:rsidRPr="0074752C">
        <w:rPr>
          <w:rFonts w:ascii="Arial" w:hAnsi="Arial" w:cs="Arial"/>
          <w:i/>
          <w:iCs/>
        </w:rPr>
        <w:t>Are time outs harmful to children?</w:t>
      </w:r>
      <w:r w:rsidRPr="0074752C">
        <w:rPr>
          <w:rFonts w:ascii="Arial" w:hAnsi="Arial" w:cs="Arial"/>
        </w:rPr>
        <w:t> </w:t>
      </w:r>
      <w:r w:rsidRPr="0074752C">
        <w:rPr>
          <w:rFonts w:ascii="Arial" w:hAnsi="Arial" w:cs="Arial"/>
          <w:i/>
          <w:iCs/>
        </w:rPr>
        <w:t>Child Mind Institute</w:t>
      </w:r>
      <w:r w:rsidRPr="0074752C">
        <w:rPr>
          <w:rFonts w:ascii="Arial" w:hAnsi="Arial" w:cs="Arial"/>
        </w:rPr>
        <w:t>. Available at: https://childmind.org/article/are-time-outs-harmful-kids/ (Accessed: November 6, 2022). </w:t>
      </w:r>
    </w:p>
    <w:p w14:paraId="7E1C6243" w14:textId="21F2AEF6" w:rsidR="009E2AD4" w:rsidRDefault="009E2AD4" w:rsidP="00981883">
      <w:pPr>
        <w:rPr>
          <w:rFonts w:ascii="Arial" w:hAnsi="Arial" w:cs="Arial"/>
        </w:rPr>
      </w:pPr>
    </w:p>
    <w:p w14:paraId="762EC857" w14:textId="77777777" w:rsidR="009E2AD4" w:rsidRPr="0074752C" w:rsidRDefault="009E2AD4" w:rsidP="00981883">
      <w:pPr>
        <w:rPr>
          <w:rFonts w:ascii="Arial" w:hAnsi="Arial" w:cs="Arial"/>
        </w:rPr>
      </w:pPr>
    </w:p>
    <w:p w14:paraId="1B108A96" w14:textId="77777777" w:rsidR="00981883" w:rsidRDefault="00981883" w:rsidP="00981883">
      <w:pPr>
        <w:spacing w:line="480" w:lineRule="auto"/>
        <w:rPr>
          <w:rFonts w:ascii="Arial" w:hAnsi="Arial" w:cs="Arial"/>
        </w:rPr>
      </w:pPr>
      <w:r w:rsidRPr="0074752C">
        <w:rPr>
          <w:rFonts w:ascii="Arial" w:hAnsi="Arial" w:cs="Arial"/>
        </w:rPr>
        <w:t xml:space="preserve">  Monographs of the Society for Research in Child Development. (1936). Washington, D.C: Society for Research in Child Development.</w:t>
      </w:r>
    </w:p>
    <w:p w14:paraId="64A1530A" w14:textId="77777777" w:rsidR="00981883" w:rsidRPr="0074752C" w:rsidRDefault="00981883" w:rsidP="00981883">
      <w:pPr>
        <w:spacing w:line="480" w:lineRule="auto"/>
        <w:rPr>
          <w:rFonts w:ascii="Arial" w:hAnsi="Arial" w:cs="Arial"/>
        </w:rPr>
      </w:pPr>
    </w:p>
    <w:p w14:paraId="1BFB8977" w14:textId="5A046A6E" w:rsidR="00981883" w:rsidRDefault="00981883" w:rsidP="00981883">
      <w:pPr>
        <w:spacing w:line="480" w:lineRule="auto"/>
        <w:rPr>
          <w:rFonts w:ascii="Arial" w:hAnsi="Arial" w:cs="Arial"/>
        </w:rPr>
      </w:pPr>
      <w:r w:rsidRPr="0074752C">
        <w:rPr>
          <w:rFonts w:ascii="Arial" w:hAnsi="Arial" w:cs="Arial"/>
        </w:rPr>
        <w:t xml:space="preserve">  Navarro, J.L. and </w:t>
      </w:r>
      <w:proofErr w:type="spellStart"/>
      <w:r w:rsidRPr="0074752C">
        <w:rPr>
          <w:rFonts w:ascii="Arial" w:hAnsi="Arial" w:cs="Arial"/>
        </w:rPr>
        <w:t>Tudge</w:t>
      </w:r>
      <w:proofErr w:type="spellEnd"/>
      <w:r w:rsidRPr="0074752C">
        <w:rPr>
          <w:rFonts w:ascii="Arial" w:hAnsi="Arial" w:cs="Arial"/>
        </w:rPr>
        <w:t xml:space="preserve">, J.R.H. (2022) ‘Technologizing Bronfenbrenner: Neo-ecological Theory’, Current psychology (New Brunswick, N.J.), pp. 1–17. Available at: </w:t>
      </w:r>
      <w:r w:rsidRPr="009E2AD4">
        <w:rPr>
          <w:rFonts w:ascii="Arial" w:hAnsi="Arial" w:cs="Arial"/>
        </w:rPr>
        <w:t>https://doi.org/10.1007/s12144-022-02738-3</w:t>
      </w:r>
      <w:r w:rsidRPr="0074752C">
        <w:rPr>
          <w:rFonts w:ascii="Arial" w:hAnsi="Arial" w:cs="Arial"/>
        </w:rPr>
        <w:t>.</w:t>
      </w:r>
    </w:p>
    <w:p w14:paraId="1BD5641D" w14:textId="77777777" w:rsidR="00981883" w:rsidRPr="0074752C" w:rsidRDefault="00981883" w:rsidP="00981883">
      <w:pPr>
        <w:spacing w:line="480" w:lineRule="auto"/>
        <w:rPr>
          <w:rFonts w:ascii="Arial" w:hAnsi="Arial" w:cs="Arial"/>
        </w:rPr>
      </w:pPr>
    </w:p>
    <w:p w14:paraId="646E63C1" w14:textId="56A61413" w:rsidR="00981883" w:rsidRDefault="00981883" w:rsidP="00981883">
      <w:pPr>
        <w:spacing w:line="480" w:lineRule="auto"/>
        <w:rPr>
          <w:rFonts w:ascii="Arial" w:hAnsi="Arial" w:cs="Arial"/>
          <w:color w:val="3A3A3A"/>
          <w:shd w:val="clear" w:color="auto" w:fill="FFFFFF"/>
        </w:rPr>
      </w:pPr>
      <w:proofErr w:type="spellStart"/>
      <w:r w:rsidRPr="0074752C">
        <w:rPr>
          <w:rFonts w:ascii="Arial" w:hAnsi="Arial" w:cs="Arial"/>
          <w:color w:val="3A3A3A"/>
          <w:shd w:val="clear" w:color="auto" w:fill="FFFFFF"/>
        </w:rPr>
        <w:t>Paat</w:t>
      </w:r>
      <w:proofErr w:type="spellEnd"/>
      <w:r w:rsidRPr="0074752C">
        <w:rPr>
          <w:rFonts w:ascii="Arial" w:hAnsi="Arial" w:cs="Arial"/>
          <w:color w:val="3A3A3A"/>
          <w:shd w:val="clear" w:color="auto" w:fill="FFFFFF"/>
        </w:rPr>
        <w:t>, Y. F. (2013) ‘Working with Immigrant Children and Their Families: An Application of Bronfenbrenner’s Ecological Systems Theory’,</w:t>
      </w:r>
      <w:r w:rsidRPr="0074752C">
        <w:rPr>
          <w:rStyle w:val="apple-converted-space"/>
          <w:rFonts w:ascii="Arial" w:hAnsi="Arial" w:cs="Arial"/>
          <w:color w:val="3A3A3A"/>
          <w:shd w:val="clear" w:color="auto" w:fill="FFFFFF"/>
        </w:rPr>
        <w:t> </w:t>
      </w:r>
      <w:r w:rsidRPr="0074752C">
        <w:rPr>
          <w:rFonts w:ascii="Arial" w:hAnsi="Arial" w:cs="Arial"/>
          <w:i/>
          <w:iCs/>
          <w:color w:val="3A3A3A"/>
        </w:rPr>
        <w:t>Journal of human behaviour in the social environment</w:t>
      </w:r>
      <w:r w:rsidRPr="0074752C">
        <w:rPr>
          <w:rFonts w:ascii="Arial" w:hAnsi="Arial" w:cs="Arial"/>
          <w:color w:val="3A3A3A"/>
          <w:shd w:val="clear" w:color="auto" w:fill="FFFFFF"/>
        </w:rPr>
        <w:t xml:space="preserve">, 23(8), pp. 954–966. Available at: </w:t>
      </w:r>
      <w:r w:rsidRPr="009E2AD4">
        <w:rPr>
          <w:rFonts w:ascii="Arial" w:hAnsi="Arial" w:cs="Arial"/>
          <w:shd w:val="clear" w:color="auto" w:fill="FFFFFF"/>
        </w:rPr>
        <w:t>https://doi.org/10.1080/10911359.2013.800007</w:t>
      </w:r>
      <w:r w:rsidRPr="0074752C">
        <w:rPr>
          <w:rFonts w:ascii="Arial" w:hAnsi="Arial" w:cs="Arial"/>
          <w:color w:val="3A3A3A"/>
          <w:shd w:val="clear" w:color="auto" w:fill="FFFFFF"/>
        </w:rPr>
        <w:t>.</w:t>
      </w:r>
    </w:p>
    <w:p w14:paraId="79F5DE4B" w14:textId="77777777" w:rsidR="00981883" w:rsidRPr="0074752C" w:rsidRDefault="00981883" w:rsidP="00981883">
      <w:pPr>
        <w:spacing w:line="480" w:lineRule="auto"/>
        <w:rPr>
          <w:rFonts w:ascii="Arial" w:hAnsi="Arial" w:cs="Arial"/>
        </w:rPr>
      </w:pPr>
    </w:p>
    <w:p w14:paraId="685DD4C3" w14:textId="77777777" w:rsidR="00981883" w:rsidRDefault="00981883" w:rsidP="00981883">
      <w:pPr>
        <w:spacing w:line="480" w:lineRule="auto"/>
        <w:rPr>
          <w:rFonts w:ascii="Arial" w:hAnsi="Arial" w:cs="Arial"/>
        </w:rPr>
      </w:pPr>
      <w:r w:rsidRPr="00FB0E2C">
        <w:rPr>
          <w:rFonts w:ascii="Arial" w:hAnsi="Arial" w:cs="Arial"/>
          <w:i/>
          <w:iCs/>
        </w:rPr>
        <w:lastRenderedPageBreak/>
        <w:t>Professional standards for teaching and Leadership Interactive for PC - HWB</w:t>
      </w:r>
      <w:r w:rsidRPr="00FB0E2C">
        <w:rPr>
          <w:rFonts w:ascii="Arial" w:hAnsi="Arial" w:cs="Arial"/>
        </w:rPr>
        <w:t> (2018) </w:t>
      </w:r>
      <w:r w:rsidRPr="00FB0E2C">
        <w:rPr>
          <w:rFonts w:ascii="Arial" w:hAnsi="Arial" w:cs="Arial"/>
          <w:i/>
          <w:iCs/>
        </w:rPr>
        <w:t>Professional Standards for Teaching and Leadership</w:t>
      </w:r>
      <w:r w:rsidRPr="00FB0E2C">
        <w:rPr>
          <w:rFonts w:ascii="Arial" w:hAnsi="Arial" w:cs="Arial"/>
        </w:rPr>
        <w:t>. Welsh Government. Available at: https://hwb.gov.wales/api/storage/19bc948b-8a3f-41e0-944a-7bf2cadf7d18/professional-standards-for-teaching-and-leadership-interactive-pdf-for-pc.pdf (Accessed: November 2, 2022). </w:t>
      </w:r>
    </w:p>
    <w:p w14:paraId="72B81DDF" w14:textId="77777777" w:rsidR="00981883" w:rsidRPr="00FB0E2C" w:rsidRDefault="00981883" w:rsidP="00981883">
      <w:pPr>
        <w:spacing w:line="480" w:lineRule="auto"/>
        <w:rPr>
          <w:rFonts w:ascii="Arial" w:hAnsi="Arial" w:cs="Arial"/>
        </w:rPr>
      </w:pPr>
    </w:p>
    <w:p w14:paraId="1C5ED678" w14:textId="77777777" w:rsidR="00981883" w:rsidRPr="0074752C" w:rsidRDefault="00981883" w:rsidP="00981883">
      <w:pPr>
        <w:spacing w:line="480" w:lineRule="auto"/>
        <w:rPr>
          <w:rFonts w:ascii="Arial" w:hAnsi="Arial" w:cs="Arial"/>
        </w:rPr>
      </w:pPr>
      <w:r w:rsidRPr="0074752C">
        <w:rPr>
          <w:rFonts w:ascii="Arial" w:hAnsi="Arial" w:cs="Arial"/>
        </w:rPr>
        <w:t xml:space="preserve">Robey, P., </w:t>
      </w:r>
      <w:proofErr w:type="spellStart"/>
      <w:r w:rsidRPr="0074752C">
        <w:rPr>
          <w:rFonts w:ascii="Arial" w:hAnsi="Arial" w:cs="Arial"/>
        </w:rPr>
        <w:t>Burdenski</w:t>
      </w:r>
      <w:proofErr w:type="spellEnd"/>
      <w:r w:rsidRPr="0074752C">
        <w:rPr>
          <w:rFonts w:ascii="Arial" w:hAnsi="Arial" w:cs="Arial"/>
        </w:rPr>
        <w:t xml:space="preserve">, T. K., </w:t>
      </w:r>
      <w:proofErr w:type="spellStart"/>
      <w:r w:rsidRPr="0074752C">
        <w:rPr>
          <w:rFonts w:ascii="Arial" w:hAnsi="Arial" w:cs="Arial"/>
        </w:rPr>
        <w:t>Britzman</w:t>
      </w:r>
      <w:proofErr w:type="spellEnd"/>
      <w:r w:rsidRPr="0074752C">
        <w:rPr>
          <w:rFonts w:ascii="Arial" w:hAnsi="Arial" w:cs="Arial"/>
        </w:rPr>
        <w:t xml:space="preserve">, M., Crowell, J., &amp; </w:t>
      </w:r>
      <w:proofErr w:type="spellStart"/>
      <w:r w:rsidRPr="0074752C">
        <w:rPr>
          <w:rFonts w:ascii="Arial" w:hAnsi="Arial" w:cs="Arial"/>
        </w:rPr>
        <w:t>Cisse</w:t>
      </w:r>
      <w:proofErr w:type="spellEnd"/>
      <w:r w:rsidRPr="0074752C">
        <w:rPr>
          <w:rFonts w:ascii="Arial" w:hAnsi="Arial" w:cs="Arial"/>
        </w:rPr>
        <w:t xml:space="preserve">, G. S. (2011). </w:t>
      </w:r>
      <w:r w:rsidRPr="0074752C">
        <w:rPr>
          <w:rFonts w:ascii="Arial" w:hAnsi="Arial" w:cs="Arial"/>
          <w:i/>
          <w:iCs/>
        </w:rPr>
        <w:t>Systemic Applications of Choice Theory and Reality Therapy: An Interview with Glasser Scholars</w:t>
      </w:r>
      <w:r w:rsidRPr="0074752C">
        <w:rPr>
          <w:rFonts w:ascii="Arial" w:hAnsi="Arial" w:cs="Arial"/>
        </w:rPr>
        <w:t>. The Family Journal, 19(4), 427–433. Available at: https://doi-org.ezproxy.uwtsd.ac.uk/10.1177/1066480711415038 (Accessed: November 1, 2022).</w:t>
      </w:r>
    </w:p>
    <w:p w14:paraId="7D568724" w14:textId="77777777" w:rsidR="00981883" w:rsidRPr="0074752C" w:rsidRDefault="00981883" w:rsidP="00981883">
      <w:pPr>
        <w:pStyle w:val="NormalWeb"/>
        <w:spacing w:line="480" w:lineRule="auto"/>
        <w:ind w:left="567" w:hanging="567"/>
        <w:rPr>
          <w:rFonts w:ascii="Arial" w:hAnsi="Arial" w:cs="Arial"/>
          <w:color w:val="000000"/>
        </w:rPr>
      </w:pPr>
      <w:r w:rsidRPr="0074752C">
        <w:rPr>
          <w:rFonts w:ascii="Arial" w:hAnsi="Arial" w:cs="Arial"/>
          <w:color w:val="000000"/>
        </w:rPr>
        <w:t>Sheryl Third, R.E.C.E.E.C.E.C. (2022)</w:t>
      </w:r>
      <w:r w:rsidRPr="0074752C">
        <w:rPr>
          <w:rStyle w:val="apple-converted-space"/>
          <w:rFonts w:ascii="Arial" w:eastAsiaTheme="majorEastAsia" w:hAnsi="Arial" w:cs="Arial"/>
          <w:color w:val="000000"/>
        </w:rPr>
        <w:t> </w:t>
      </w:r>
      <w:r w:rsidRPr="0074752C">
        <w:rPr>
          <w:rFonts w:ascii="Arial" w:hAnsi="Arial" w:cs="Arial"/>
          <w:i/>
          <w:iCs/>
          <w:color w:val="000000"/>
        </w:rPr>
        <w:t>3.2 The beginning of theories &amp; models of reflective practice – John Dewey</w:t>
      </w:r>
      <w:r w:rsidRPr="0074752C">
        <w:rPr>
          <w:rFonts w:ascii="Arial" w:hAnsi="Arial" w:cs="Arial"/>
          <w:color w:val="000000"/>
        </w:rPr>
        <w:t>,</w:t>
      </w:r>
      <w:r w:rsidRPr="0074752C">
        <w:rPr>
          <w:rStyle w:val="apple-converted-space"/>
          <w:rFonts w:ascii="Arial" w:eastAsiaTheme="majorEastAsia" w:hAnsi="Arial" w:cs="Arial"/>
          <w:color w:val="000000"/>
        </w:rPr>
        <w:t> </w:t>
      </w:r>
      <w:r w:rsidRPr="0074752C">
        <w:rPr>
          <w:rFonts w:ascii="Arial" w:hAnsi="Arial" w:cs="Arial"/>
          <w:i/>
          <w:iCs/>
          <w:color w:val="000000"/>
        </w:rPr>
        <w:t>Reflective Practice in Early Years Education</w:t>
      </w:r>
      <w:r w:rsidRPr="0074752C">
        <w:rPr>
          <w:rFonts w:ascii="Arial" w:hAnsi="Arial" w:cs="Arial"/>
          <w:color w:val="000000"/>
        </w:rPr>
        <w:t>. Fanshawe College Pressbooks. Available at: https://ecampusontario.pressbooks.pub/reflectivepracticeinearlyyears/chapter/3-2-beginning-theories/ (Accessed: October 5, 2022).</w:t>
      </w:r>
      <w:r w:rsidRPr="0074752C">
        <w:rPr>
          <w:rStyle w:val="apple-converted-space"/>
          <w:rFonts w:ascii="Arial" w:eastAsiaTheme="majorEastAsia" w:hAnsi="Arial" w:cs="Arial"/>
          <w:color w:val="000000"/>
        </w:rPr>
        <w:t> </w:t>
      </w:r>
    </w:p>
    <w:p w14:paraId="7B8B7034" w14:textId="77777777" w:rsidR="00981883" w:rsidRPr="0074752C" w:rsidRDefault="00981883" w:rsidP="00981883">
      <w:pPr>
        <w:spacing w:line="480" w:lineRule="auto"/>
        <w:rPr>
          <w:rFonts w:ascii="Arial" w:hAnsi="Arial" w:cs="Arial"/>
        </w:rPr>
      </w:pPr>
      <w:r w:rsidRPr="0074752C">
        <w:rPr>
          <w:rFonts w:ascii="Arial" w:hAnsi="Arial" w:cs="Arial"/>
        </w:rPr>
        <w:t xml:space="preserve">  Skinner, D. (2005) Get set for teacher training. 1st ed. Edinburgh: Edinburgh University Press. Available at: https://doi.org/10.1515/9780748626205.</w:t>
      </w:r>
    </w:p>
    <w:p w14:paraId="2F5C6C1C" w14:textId="77777777" w:rsidR="00981883" w:rsidRDefault="00981883" w:rsidP="00981883">
      <w:pPr>
        <w:spacing w:line="480" w:lineRule="auto"/>
        <w:rPr>
          <w:rFonts w:ascii="Arial" w:hAnsi="Arial" w:cs="Arial"/>
        </w:rPr>
      </w:pPr>
      <w:r w:rsidRPr="0074752C">
        <w:rPr>
          <w:rFonts w:ascii="Arial" w:hAnsi="Arial" w:cs="Arial"/>
        </w:rPr>
        <w:t xml:space="preserve">  Skinner, Q. (1978) The foundations of modern political thought. Volume 1, The Renaissance. Cambridge: Cambridge University Press.</w:t>
      </w:r>
    </w:p>
    <w:p w14:paraId="07AC3356" w14:textId="77777777" w:rsidR="00981883" w:rsidRPr="0074752C" w:rsidRDefault="00981883" w:rsidP="00981883">
      <w:pPr>
        <w:spacing w:line="480" w:lineRule="auto"/>
        <w:rPr>
          <w:rFonts w:ascii="Arial" w:hAnsi="Arial" w:cs="Arial"/>
        </w:rPr>
      </w:pPr>
    </w:p>
    <w:p w14:paraId="743A1074" w14:textId="77777777" w:rsidR="00981883" w:rsidRPr="0074752C" w:rsidRDefault="00981883" w:rsidP="00981883">
      <w:pPr>
        <w:spacing w:line="480" w:lineRule="auto"/>
        <w:rPr>
          <w:rStyle w:val="doilink"/>
          <w:rFonts w:ascii="Arial" w:hAnsi="Arial" w:cs="Arial"/>
          <w:color w:val="333333"/>
        </w:rPr>
      </w:pPr>
      <w:r w:rsidRPr="0074752C">
        <w:rPr>
          <w:rStyle w:val="authors"/>
          <w:rFonts w:ascii="Arial" w:hAnsi="Arial" w:cs="Arial"/>
          <w:color w:val="333333"/>
        </w:rPr>
        <w:t>Trina R. Williams Shanks PhD</w:t>
      </w:r>
      <w:r w:rsidRPr="0074752C">
        <w:rPr>
          <w:rStyle w:val="apple-converted-space"/>
          <w:rFonts w:ascii="Arial" w:hAnsi="Arial" w:cs="Arial"/>
          <w:color w:val="333333"/>
          <w:shd w:val="clear" w:color="auto" w:fill="FFFFFF"/>
        </w:rPr>
        <w:t> </w:t>
      </w:r>
      <w:r w:rsidRPr="0074752C">
        <w:rPr>
          <w:rStyle w:val="Date1"/>
          <w:rFonts w:ascii="Arial" w:hAnsi="Arial" w:cs="Arial"/>
          <w:color w:val="333333"/>
        </w:rPr>
        <w:t>(2007)</w:t>
      </w:r>
      <w:r w:rsidRPr="0074752C">
        <w:rPr>
          <w:rStyle w:val="apple-converted-space"/>
          <w:rFonts w:ascii="Arial" w:hAnsi="Arial" w:cs="Arial"/>
          <w:color w:val="333333"/>
          <w:shd w:val="clear" w:color="auto" w:fill="FFFFFF"/>
        </w:rPr>
        <w:t> </w:t>
      </w:r>
      <w:r w:rsidRPr="0074752C">
        <w:rPr>
          <w:rStyle w:val="arttitle"/>
          <w:rFonts w:ascii="Arial" w:hAnsi="Arial" w:cs="Arial"/>
          <w:color w:val="333333"/>
        </w:rPr>
        <w:t>The Impacts of Household Wealth on Child Development,</w:t>
      </w:r>
      <w:r w:rsidRPr="0074752C">
        <w:rPr>
          <w:rStyle w:val="apple-converted-space"/>
          <w:rFonts w:ascii="Arial" w:hAnsi="Arial" w:cs="Arial"/>
          <w:color w:val="333333"/>
          <w:shd w:val="clear" w:color="auto" w:fill="FFFFFF"/>
        </w:rPr>
        <w:t> </w:t>
      </w:r>
      <w:r w:rsidRPr="0074752C">
        <w:rPr>
          <w:rStyle w:val="serialtitle"/>
          <w:rFonts w:ascii="Arial" w:hAnsi="Arial" w:cs="Arial"/>
          <w:color w:val="333333"/>
        </w:rPr>
        <w:t>Journal of Poverty,</w:t>
      </w:r>
      <w:r w:rsidRPr="0074752C">
        <w:rPr>
          <w:rStyle w:val="volumeissue"/>
          <w:rFonts w:ascii="Arial" w:hAnsi="Arial" w:cs="Arial"/>
          <w:color w:val="333333"/>
        </w:rPr>
        <w:t>11:2,</w:t>
      </w:r>
      <w:r w:rsidRPr="0074752C">
        <w:rPr>
          <w:rStyle w:val="apple-converted-space"/>
          <w:rFonts w:ascii="Arial" w:hAnsi="Arial" w:cs="Arial"/>
          <w:color w:val="333333"/>
          <w:shd w:val="clear" w:color="auto" w:fill="FFFFFF"/>
        </w:rPr>
        <w:t> </w:t>
      </w:r>
      <w:r w:rsidRPr="0074752C">
        <w:rPr>
          <w:rStyle w:val="pagerange"/>
          <w:rFonts w:ascii="Arial" w:hAnsi="Arial" w:cs="Arial"/>
          <w:color w:val="333333"/>
        </w:rPr>
        <w:t>93-116,</w:t>
      </w:r>
      <w:r w:rsidRPr="0074752C">
        <w:rPr>
          <w:rStyle w:val="apple-converted-space"/>
          <w:rFonts w:ascii="Arial" w:hAnsi="Arial" w:cs="Arial"/>
          <w:color w:val="333333"/>
          <w:shd w:val="clear" w:color="auto" w:fill="FFFFFF"/>
        </w:rPr>
        <w:t> </w:t>
      </w:r>
      <w:r w:rsidRPr="0074752C">
        <w:rPr>
          <w:rStyle w:val="doilink"/>
          <w:rFonts w:ascii="Arial" w:hAnsi="Arial" w:cs="Arial"/>
          <w:color w:val="333333"/>
        </w:rPr>
        <w:t>DOI:</w:t>
      </w:r>
      <w:r w:rsidRPr="0074752C">
        <w:rPr>
          <w:rStyle w:val="apple-converted-space"/>
          <w:rFonts w:ascii="Arial" w:hAnsi="Arial" w:cs="Arial"/>
          <w:color w:val="333333"/>
        </w:rPr>
        <w:t> </w:t>
      </w:r>
      <w:r w:rsidRPr="0074752C">
        <w:rPr>
          <w:rStyle w:val="doilink"/>
          <w:rFonts w:ascii="Arial" w:hAnsi="Arial" w:cs="Arial"/>
          <w:color w:val="333333"/>
        </w:rPr>
        <w:t>10.1300/J134v11n02_05</w:t>
      </w:r>
    </w:p>
    <w:p w14:paraId="72962467" w14:textId="77777777" w:rsidR="00981883" w:rsidRPr="0074752C" w:rsidRDefault="00981883" w:rsidP="00981883">
      <w:pPr>
        <w:spacing w:line="480" w:lineRule="auto"/>
        <w:rPr>
          <w:rFonts w:ascii="Arial" w:hAnsi="Arial" w:cs="Arial"/>
        </w:rPr>
      </w:pPr>
      <w:r w:rsidRPr="0074752C">
        <w:rPr>
          <w:rFonts w:ascii="Arial" w:hAnsi="Arial" w:cs="Arial"/>
          <w:i/>
          <w:iCs/>
        </w:rPr>
        <w:lastRenderedPageBreak/>
        <w:t xml:space="preserve">Wiley Online Library | Scientific Research Articles, journals, books. </w:t>
      </w:r>
      <w:r w:rsidRPr="0074752C">
        <w:rPr>
          <w:rFonts w:ascii="Arial" w:hAnsi="Arial" w:cs="Arial"/>
        </w:rPr>
        <w:t>(2021). Available at: https://onlinelibrary.wiley.com/ (Accessed: November 2, 2022). </w:t>
      </w:r>
    </w:p>
    <w:p w14:paraId="76926C57" w14:textId="5056D88D" w:rsidR="00981883" w:rsidRPr="009E2AD4" w:rsidRDefault="00981883" w:rsidP="009E2AD4">
      <w:pPr>
        <w:pStyle w:val="NormalWeb"/>
        <w:spacing w:line="480" w:lineRule="auto"/>
        <w:ind w:left="567" w:hanging="567"/>
        <w:rPr>
          <w:rFonts w:ascii="Arial" w:hAnsi="Arial" w:cs="Arial"/>
          <w:color w:val="000000"/>
        </w:rPr>
      </w:pPr>
      <w:r w:rsidRPr="0074752C">
        <w:rPr>
          <w:rFonts w:ascii="Arial" w:hAnsi="Arial" w:cs="Arial"/>
          <w:i/>
          <w:iCs/>
          <w:color w:val="000000"/>
        </w:rPr>
        <w:t xml:space="preserve">Wiley Online Library | Scientific Research Articles, journals, books. </w:t>
      </w:r>
      <w:r w:rsidRPr="0074752C">
        <w:rPr>
          <w:rFonts w:ascii="Arial" w:hAnsi="Arial" w:cs="Arial"/>
          <w:color w:val="000000"/>
        </w:rPr>
        <w:t>(2017). Available at: https://onlinelibrary.wiley.com (Accessed: November 2, 2022).</w:t>
      </w:r>
    </w:p>
    <w:sectPr w:rsidR="00981883" w:rsidRPr="009E2AD4" w:rsidSect="00443D59">
      <w:footerReference w:type="even"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0F235" w14:textId="77777777" w:rsidR="00981883" w:rsidRDefault="00981883" w:rsidP="00981883">
      <w:r>
        <w:separator/>
      </w:r>
    </w:p>
  </w:endnote>
  <w:endnote w:type="continuationSeparator" w:id="0">
    <w:p w14:paraId="01F57DFE" w14:textId="77777777" w:rsidR="00981883" w:rsidRDefault="00981883" w:rsidP="00981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233082"/>
      <w:docPartObj>
        <w:docPartGallery w:val="Page Numbers (Bottom of Page)"/>
        <w:docPartUnique/>
      </w:docPartObj>
    </w:sdtPr>
    <w:sdtContent>
      <w:p w14:paraId="07EA1D6C" w14:textId="6DF367BA" w:rsidR="00981883" w:rsidRDefault="00981883" w:rsidP="00336C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91BC1B" w14:textId="77777777" w:rsidR="00981883" w:rsidRDefault="00981883" w:rsidP="009818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1C631" w14:textId="362C8EAF" w:rsidR="00981883" w:rsidRDefault="00981883">
    <w:pPr>
      <w:pStyle w:val="Footer"/>
    </w:pPr>
    <w:r>
      <w:t>1801341</w:t>
    </w:r>
  </w:p>
  <w:p w14:paraId="59F0EB88" w14:textId="77777777" w:rsidR="00981883" w:rsidRDefault="00981883" w:rsidP="009818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9C033" w14:textId="77777777" w:rsidR="00981883" w:rsidRDefault="00981883" w:rsidP="00981883">
      <w:r>
        <w:separator/>
      </w:r>
    </w:p>
  </w:footnote>
  <w:footnote w:type="continuationSeparator" w:id="0">
    <w:p w14:paraId="0BB1DF3F" w14:textId="77777777" w:rsidR="00981883" w:rsidRDefault="00981883" w:rsidP="009818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3D6"/>
    <w:rsid w:val="0010526B"/>
    <w:rsid w:val="002E4B1D"/>
    <w:rsid w:val="003D43D6"/>
    <w:rsid w:val="00443D59"/>
    <w:rsid w:val="00981883"/>
    <w:rsid w:val="009E2AD4"/>
    <w:rsid w:val="00AE0625"/>
    <w:rsid w:val="00B9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09FE5"/>
  <w15:chartTrackingRefBased/>
  <w15:docId w15:val="{4D10EA38-ACA9-1D49-A18B-94D3C12CC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81883"/>
    <w:pPr>
      <w:tabs>
        <w:tab w:val="center" w:pos="4513"/>
        <w:tab w:val="right" w:pos="9026"/>
      </w:tabs>
    </w:pPr>
  </w:style>
  <w:style w:type="character" w:customStyle="1" w:styleId="FooterChar">
    <w:name w:val="Footer Char"/>
    <w:basedOn w:val="DefaultParagraphFont"/>
    <w:link w:val="Footer"/>
    <w:uiPriority w:val="99"/>
    <w:rsid w:val="00981883"/>
  </w:style>
  <w:style w:type="character" w:styleId="PageNumber">
    <w:name w:val="page number"/>
    <w:basedOn w:val="DefaultParagraphFont"/>
    <w:uiPriority w:val="99"/>
    <w:semiHidden/>
    <w:unhideWhenUsed/>
    <w:rsid w:val="00981883"/>
  </w:style>
  <w:style w:type="paragraph" w:styleId="Header">
    <w:name w:val="header"/>
    <w:basedOn w:val="Normal"/>
    <w:link w:val="HeaderChar"/>
    <w:uiPriority w:val="99"/>
    <w:unhideWhenUsed/>
    <w:rsid w:val="00981883"/>
    <w:pPr>
      <w:tabs>
        <w:tab w:val="center" w:pos="4513"/>
        <w:tab w:val="right" w:pos="9026"/>
      </w:tabs>
    </w:pPr>
  </w:style>
  <w:style w:type="character" w:customStyle="1" w:styleId="HeaderChar">
    <w:name w:val="Header Char"/>
    <w:basedOn w:val="DefaultParagraphFont"/>
    <w:link w:val="Header"/>
    <w:uiPriority w:val="99"/>
    <w:rsid w:val="00981883"/>
  </w:style>
  <w:style w:type="paragraph" w:styleId="NormalWeb">
    <w:name w:val="Normal (Web)"/>
    <w:basedOn w:val="Normal"/>
    <w:uiPriority w:val="99"/>
    <w:unhideWhenUsed/>
    <w:rsid w:val="009818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81883"/>
    <w:rPr>
      <w:color w:val="0563C1" w:themeColor="hyperlink"/>
      <w:u w:val="single"/>
    </w:rPr>
  </w:style>
  <w:style w:type="character" w:customStyle="1" w:styleId="apple-converted-space">
    <w:name w:val="apple-converted-space"/>
    <w:basedOn w:val="DefaultParagraphFont"/>
    <w:rsid w:val="00981883"/>
  </w:style>
  <w:style w:type="character" w:customStyle="1" w:styleId="authors">
    <w:name w:val="authors"/>
    <w:basedOn w:val="DefaultParagraphFont"/>
    <w:rsid w:val="00981883"/>
  </w:style>
  <w:style w:type="character" w:customStyle="1" w:styleId="Date1">
    <w:name w:val="Date1"/>
    <w:basedOn w:val="DefaultParagraphFont"/>
    <w:rsid w:val="00981883"/>
  </w:style>
  <w:style w:type="character" w:customStyle="1" w:styleId="arttitle">
    <w:name w:val="art_title"/>
    <w:basedOn w:val="DefaultParagraphFont"/>
    <w:rsid w:val="00981883"/>
  </w:style>
  <w:style w:type="character" w:customStyle="1" w:styleId="serialtitle">
    <w:name w:val="serial_title"/>
    <w:basedOn w:val="DefaultParagraphFont"/>
    <w:rsid w:val="00981883"/>
  </w:style>
  <w:style w:type="character" w:customStyle="1" w:styleId="volumeissue">
    <w:name w:val="volume_issue"/>
    <w:basedOn w:val="DefaultParagraphFont"/>
    <w:rsid w:val="00981883"/>
  </w:style>
  <w:style w:type="character" w:customStyle="1" w:styleId="pagerange">
    <w:name w:val="page_range"/>
    <w:basedOn w:val="DefaultParagraphFont"/>
    <w:rsid w:val="00981883"/>
  </w:style>
  <w:style w:type="character" w:customStyle="1" w:styleId="doilink">
    <w:name w:val="doi_link"/>
    <w:basedOn w:val="DefaultParagraphFont"/>
    <w:rsid w:val="00981883"/>
  </w:style>
  <w:style w:type="table" w:styleId="TableGrid">
    <w:name w:val="Table Grid"/>
    <w:basedOn w:val="TableNormal"/>
    <w:uiPriority w:val="39"/>
    <w:rsid w:val="009818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4622</Words>
  <Characters>26350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 (FLSE)</dc:creator>
  <cp:keywords/>
  <dc:description/>
  <cp:lastModifiedBy>Jones S (FLSE)</cp:lastModifiedBy>
  <cp:revision>2</cp:revision>
  <dcterms:created xsi:type="dcterms:W3CDTF">2022-11-06T21:57:00Z</dcterms:created>
  <dcterms:modified xsi:type="dcterms:W3CDTF">2022-11-06T21:57:00Z</dcterms:modified>
</cp:coreProperties>
</file>