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microsoft.com/office/2011/relationships/webextensiontaskpanes" Target="word/webextensions/taskpanes.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5">
      <w:pPr>
        <w:pStyle w:val="Title"/>
        <w:framePr w:w="0" w:h="0" w:vAnchor="margin" w:hAnchor="text" w:x="0" w:y="0"/>
        <w:widowControl w:val="on"/>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center"/>
        <w:rPr>
          <w:rFonts w:ascii="Times New Roman" w:cs="Times New Roman" w:eastAsia="Helvetica Neue"/>
          <w:spacing w:val="-10"/>
          <w:sz w:val="56"/>
          <w:szCs w:val="56"/>
          <w:rtl w:val="off"/>
          <w:lang w:val="en-GB" w:eastAsia="en-US"/>
        </w:rPr>
      </w:pPr>
    </w:p>
    <w:p w14:paraId="00000006">
      <w:pPr>
        <w:pStyle w:val="Title"/>
        <w:framePr w:w="0" w:h="0" w:vAnchor="margin" w:hAnchor="text" w:x="0" w:y="0"/>
        <w:widowControl w:val="on"/>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center"/>
        <w:rPr>
          <w:rFonts w:ascii="Times New Roman" w:cs="Times New Roman" w:eastAsia="Helvetica Neue"/>
          <w:spacing w:val="-10"/>
          <w:sz w:val="56"/>
          <w:szCs w:val="56"/>
          <w:rtl w:val="off"/>
          <w:lang w:val="en-GB" w:eastAsia="en-US"/>
        </w:rPr>
      </w:pPr>
    </w:p>
    <w:p w14:paraId="00000007">
      <w:pPr>
        <w:pStyle w:val="Title"/>
        <w:framePr w:w="0" w:h="0" w:vAnchor="margin" w:hAnchor="text" w:x="0" w:y="0"/>
        <w:widowControl w:val="on"/>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center"/>
        <w:rPr>
          <w:rFonts w:ascii="Times New Roman" w:cs="Times New Roman" w:eastAsia="Helvetica Neue"/>
          <w:spacing w:val="-10"/>
          <w:sz w:val="56"/>
          <w:szCs w:val="56"/>
          <w:rtl w:val="off"/>
          <w:lang w:val="en-GB" w:eastAsia="en-US"/>
        </w:rPr>
      </w:pPr>
      <w:r>
        <w:rPr>
          <w:rFonts w:ascii="Times New Roman" w:cs="Times New Roman" w:eastAsia="Helvetica Neue"/>
          <w:spacing w:val="-10"/>
          <w:sz w:val="56"/>
          <w:szCs w:val="56"/>
          <w:rtl w:val="off"/>
          <w:lang w:val="en-GB" w:eastAsia="en-US"/>
        </w:rPr>
        <w:t>LCBB5000</w:t>
      </w:r>
    </w:p>
    <w:p w14:paraId="00000008">
      <w:pPr>
        <w:framePr w:w="0" w:h="0" w:vAnchor="margin" w:hAnchor="text" w:x="0" w:y="0"/>
        <w:widowControl w:val="on"/>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both"/>
        <w:rPr>
          <w:rFonts w:ascii="Times New Roman" w:cs="Vrinda" w:eastAsia="Calibri"/>
          <w:color w:val="000000"/>
          <w:sz w:val="24"/>
          <w:szCs w:val="22"/>
          <w:rtl w:val="off"/>
          <w:lang w:val="en-GB" w:eastAsia="en-US"/>
        </w:rPr>
      </w:pPr>
    </w:p>
    <w:p w14:paraId="00000009">
      <w:pPr>
        <w:pStyle w:val="Title"/>
        <w:framePr w:w="0" w:h="0" w:vAnchor="margin" w:hAnchor="text" w:x="0" w:y="0"/>
        <w:widowControl w:val="on"/>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center"/>
        <w:rPr>
          <w:rFonts w:ascii="Times New Roman" w:cs="Times New Roman" w:eastAsia="Helvetica Neue"/>
          <w:spacing w:val="-10"/>
          <w:sz w:val="56"/>
          <w:szCs w:val="56"/>
          <w:rtl w:val="off"/>
          <w:lang w:val="en-GB" w:eastAsia="en-US"/>
        </w:rPr>
      </w:pPr>
      <w:r>
        <w:rPr>
          <w:rFonts w:ascii="Times New Roman" w:cs="Times New Roman" w:eastAsia="Helvetica Neue"/>
          <w:spacing w:val="-10"/>
          <w:sz w:val="56"/>
          <w:szCs w:val="56"/>
          <w:rtl w:val="off"/>
          <w:lang w:val="en-GB" w:eastAsia="en-US"/>
        </w:rPr>
        <w:t>Component 2</w:t>
      </w:r>
    </w:p>
    <w:p w14:paraId="0000000A">
      <w:pPr>
        <w:framePr w:w="0" w:h="0" w:vAnchor="margin" w:hAnchor="text" w:x="0" w:y="0"/>
        <w:widowControl w:val="on"/>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both"/>
        <w:rPr>
          <w:rFonts w:ascii="Times New Roman" w:cs="Vrinda" w:eastAsia="Calibri"/>
          <w:color w:val="000000"/>
          <w:sz w:val="24"/>
          <w:szCs w:val="22"/>
          <w:rtl w:val="off"/>
          <w:lang w:val="en-GB" w:eastAsia="en-US"/>
        </w:rPr>
      </w:pPr>
    </w:p>
    <w:p w14:paraId="0000000B">
      <w:pPr>
        <w:framePr w:w="0" w:h="0" w:vAnchor="margin" w:hAnchor="text" w:x="0" w:y="0"/>
        <w:widowControl w:val="on"/>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center"/>
        <w:rPr>
          <w:rFonts w:ascii="Times New Roman" w:cs="Vrinda" w:eastAsia="Calibri"/>
          <w:b/>
          <w:color w:val="000000"/>
          <w:sz w:val="40"/>
          <w:szCs w:val="22"/>
          <w:rtl w:val="off"/>
          <w:lang w:val="en-GB" w:eastAsia="en-US"/>
        </w:rPr>
      </w:pPr>
      <w:r>
        <w:rPr>
          <w:rFonts w:ascii="Times New Roman" w:cs="Vrinda" w:eastAsia="Calibri"/>
          <w:b/>
          <w:color w:val="000000"/>
          <w:sz w:val="40"/>
          <w:szCs w:val="22"/>
          <w:rtl w:val="off"/>
          <w:lang w:val="en-GB" w:eastAsia="en-US"/>
        </w:rPr>
        <w:t>Coursework: Essay</w:t>
      </w:r>
    </w:p>
    <w:p w14:paraId="0000000C">
      <w:pPr>
        <w:framePr w:w="0" w:h="0" w:vAnchor="margin" w:hAnchor="text" w:x="0" w:y="0"/>
        <w:widowControl w:val="on"/>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both"/>
        <w:rPr>
          <w:rFonts w:ascii="Times New Roman" w:cs="Vrinda" w:eastAsia="Calibri"/>
          <w:color w:val="000000"/>
          <w:sz w:val="24"/>
          <w:szCs w:val="22"/>
          <w:rtl w:val="off"/>
          <w:lang w:val="en-GB" w:eastAsia="en-US"/>
        </w:rPr>
      </w:pPr>
    </w:p>
    <w:p w14:paraId="0000000D">
      <w:pPr>
        <w:framePr w:w="0" w:h="0" w:vAnchor="margin" w:hAnchor="text" w:x="0" w:y="0"/>
        <w:widowControl w:val="on"/>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both"/>
        <w:rPr>
          <w:rFonts w:ascii="Times New Roman" w:cs="Vrinda" w:eastAsia="Calibri"/>
          <w:color w:val="000000"/>
          <w:sz w:val="24"/>
          <w:szCs w:val="22"/>
          <w:rtl w:val="off"/>
          <w:lang w:val="en-GB" w:eastAsia="en-US"/>
        </w:rPr>
      </w:pPr>
    </w:p>
    <w:p w14:paraId="0000000E">
      <w:pPr>
        <w:framePr w:w="0" w:h="0" w:vAnchor="margin" w:hAnchor="text" w:x="0" w:y="0"/>
        <w:widowControl w:val="on"/>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both"/>
        <w:rPr>
          <w:rFonts w:ascii="Times New Roman" w:cs="Vrinda" w:eastAsia="Calibri"/>
          <w:b/>
          <w:iCs/>
          <w:color w:val="000000"/>
          <w:sz w:val="24"/>
          <w:szCs w:val="22"/>
          <w:rtl w:val="off"/>
          <w:lang w:val="en-GB" w:eastAsia="en-US"/>
        </w:rPr>
      </w:pPr>
      <w:r>
        <w:rPr>
          <w:rFonts w:ascii="Times New Roman" w:cs="Vrinda" w:eastAsia="Calibri"/>
          <w:b/>
          <w:iCs/>
          <w:color w:val="000000"/>
          <w:sz w:val="24"/>
          <w:szCs w:val="22"/>
          <w:rtl w:val="off"/>
          <w:lang w:val="en-GB" w:eastAsia="en-US"/>
        </w:rPr>
        <w:t>Student Name: Cezar -</w:t>
      </w:r>
      <w:r>
        <w:rPr>
          <w:rFonts w:ascii="Times New Roman" w:cs="Vrinda" w:eastAsia="Calibri"/>
          <w:b/>
          <w:iCs/>
          <w:color w:val="000000"/>
          <w:sz w:val="24"/>
          <w:szCs w:val="22"/>
          <w:rtl w:val="off"/>
          <w:lang w:val="en-GB" w:eastAsia="en-US"/>
        </w:rPr>
        <w:t>Daniel Totora</w:t>
      </w:r>
    </w:p>
    <w:p w14:paraId="0000000F">
      <w:pPr>
        <w:framePr w:w="0" w:h="0" w:vAnchor="margin" w:hAnchor="text" w:x="0" w:y="0"/>
        <w:widowControl w:val="on"/>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both"/>
        <w:rPr>
          <w:rFonts w:ascii="Times New Roman" w:cs="Vrinda" w:eastAsia="Calibri"/>
          <w:b/>
          <w:iCs/>
          <w:color w:val="000000"/>
          <w:sz w:val="24"/>
          <w:szCs w:val="22"/>
          <w:rtl w:val="off"/>
          <w:lang w:val="en-GB" w:eastAsia="en-US"/>
        </w:rPr>
      </w:pPr>
      <w:r>
        <w:rPr>
          <w:rFonts w:ascii="Times New Roman" w:cs="Vrinda" w:eastAsia="Calibri"/>
          <w:b/>
          <w:iCs/>
          <w:color w:val="000000"/>
          <w:sz w:val="24"/>
          <w:szCs w:val="22"/>
          <w:rtl w:val="off"/>
          <w:lang w:val="en-GB" w:eastAsia="en-US"/>
        </w:rPr>
        <w:t>Student ID</w:t>
      </w:r>
      <w:r>
        <w:rPr>
          <w:rFonts w:ascii="Times New Roman" w:cs="Vrinda" w:eastAsia="Calibri"/>
          <w:b/>
          <w:iCs/>
          <w:color w:val="000000"/>
          <w:sz w:val="24"/>
          <w:szCs w:val="22"/>
          <w:rtl w:val="off"/>
          <w:lang w:val="en-GB" w:eastAsia="en-US"/>
        </w:rPr>
        <w:t>: 2028347</w:t>
      </w:r>
    </w:p>
    <w:p w14:paraId="00000010">
      <w:pPr>
        <w:framePr w:w="0" w:h="0" w:vAnchor="margin" w:hAnchor="text" w:x="0" w:y="0"/>
        <w:widowControl w:val="on"/>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both"/>
        <w:rPr>
          <w:rFonts w:ascii="Times New Roman" w:cs="Vrinda" w:eastAsia="Calibri"/>
          <w:b/>
          <w:iCs/>
          <w:color w:val="000000"/>
          <w:sz w:val="24"/>
          <w:szCs w:val="22"/>
          <w:rtl w:val="off"/>
          <w:lang w:val="en-GB" w:eastAsia="en-US"/>
        </w:rPr>
      </w:pPr>
      <w:r>
        <w:rPr>
          <w:rFonts w:ascii="Times New Roman" w:cs="Vrinda" w:eastAsia="Calibri"/>
          <w:b/>
          <w:iCs/>
          <w:color w:val="000000"/>
          <w:sz w:val="24"/>
          <w:szCs w:val="22"/>
          <w:rtl w:val="off"/>
          <w:lang w:val="en-GB" w:eastAsia="en-US"/>
        </w:rPr>
        <w:t>Module: Data handling and Business Intelligence</w:t>
      </w:r>
    </w:p>
    <w:p w14:paraId="00000011">
      <w:pPr>
        <w:framePr w:w="0" w:h="0" w:vAnchor="margin" w:hAnchor="text" w:x="0" w:y="0"/>
        <w:widowControl w:val="on"/>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both"/>
        <w:rPr>
          <w:rFonts w:ascii="Times New Roman" w:cs="Vrinda" w:eastAsia="Calibri"/>
          <w:b/>
          <w:iCs/>
          <w:color w:val="000000"/>
          <w:sz w:val="24"/>
          <w:szCs w:val="22"/>
          <w:rtl w:val="off"/>
          <w:lang w:val="en-GB" w:eastAsia="en-US"/>
        </w:rPr>
      </w:pPr>
      <w:r>
        <w:rPr>
          <w:rFonts w:ascii="Times New Roman" w:cs="Vrinda" w:eastAsia="Calibri"/>
          <w:b/>
          <w:iCs/>
          <w:color w:val="000000"/>
          <w:sz w:val="24"/>
          <w:szCs w:val="22"/>
          <w:rtl w:val="off"/>
          <w:lang w:val="en-GB" w:eastAsia="en-US"/>
        </w:rPr>
        <w:t>Module code: LCBB 5000 Component 2</w:t>
      </w:r>
    </w:p>
    <w:p w14:paraId="00000012">
      <w:pPr>
        <w:framePr w:w="0" w:h="0" w:vAnchor="margin" w:hAnchor="text" w:x="0" w:y="0"/>
        <w:widowControl w:val="on"/>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both"/>
        <w:rPr>
          <w:b/>
          <w:bCs/>
          <w:sz w:val="32"/>
          <w:szCs w:val="28"/>
          <w:lang w:val="en-GB"/>
        </w:rPr>
      </w:pPr>
      <w:r>
        <w:rPr>
          <w:rFonts w:ascii="Times New Roman" w:cs="Vrinda" w:eastAsia="Calibri"/>
          <w:b/>
          <w:iCs/>
          <w:color w:val="000000"/>
          <w:sz w:val="24"/>
          <w:szCs w:val="22"/>
          <w:rtl w:val="off"/>
          <w:lang w:val="en-GB" w:eastAsia="en-US"/>
        </w:rPr>
        <w:t>Lecturer: Dr Anupam Mazumdar</w:t>
      </w:r>
    </w:p>
    <w:p w14:paraId="00000013">
      <w:pPr>
        <w:rPr>
          <w:lang w:val="en-GB"/>
        </w:rPr>
      </w:pPr>
      <w:r>
        <w:rPr>
          <w:lang w:val="en-GB"/>
        </w:rPr>
        <w:br w:type="page"/>
      </w:r>
    </w:p>
    <w:p w14:paraId="00000014">
      <w:pPr>
        <w:pStyle w:val="Heading1"/>
        <w:rPr>
          <w:lang w:val="en-GB"/>
        </w:rPr>
      </w:pPr>
      <w:bookmarkStart w:id="0" w:name="_Toc153753841"/>
      <w:r>
        <w:rPr>
          <w:lang w:val="en-GB"/>
        </w:rPr>
        <w:t>Table of Content</w:t>
      </w:r>
      <w:bookmarkEnd w:id="0"/>
    </w:p>
    <w:p w14:paraId="00000015">
      <w:pPr>
        <w:pStyle w:val="Toc1"/>
        <w:tabs>
          <w:tab w:val="right" w:leader="dot" w:pos="9350"/>
        </w:tabs>
        <w:rPr>
          <w:rFonts w:asciiTheme="minorHAnsi" w:eastAsiaTheme="minorEastAsia" w:hAnsiTheme="minorHAnsi"/>
          <w:sz w:val="22"/>
          <w14:ligatures w14:val="standardContextual"/>
        </w:rPr>
      </w:pPr>
      <w:r>
        <w:fldChar w:fldCharType="begin"/>
      </w:r>
      <w:r>
        <w:instrText xml:space="preserve"> TOC \o "1-3" \h \z \u </w:instrText>
      </w:r>
      <w:r>
        <w:fldChar w:fldCharType="separate"/>
      </w:r>
    </w:p>
    <w:p w14:paraId="00000016">
      <w:pPr>
        <w:pStyle w:val="Toc1"/>
        <w:tabs>
          <w:tab w:val="right" w:leader="dot" w:pos="9350"/>
        </w:tabs>
        <w:rPr>
          <w:rFonts w:asciiTheme="minorHAnsi" w:eastAsiaTheme="minorEastAsia" w:hAnsiTheme="minorHAnsi"/>
          <w:sz w:val="22"/>
          <w14:ligatures w14:val="standardContextual"/>
        </w:rPr>
      </w:pPr>
      <w:r>
        <w:fldChar w:fldCharType="begin"/>
      </w:r>
      <w:r>
        <w:instrText xml:space="preserve">HYPERLINK \l "_Toc153753842" </w:instrText>
      </w:r>
      <w:r>
        <w:fldChar w:fldCharType="separate"/>
      </w:r>
      <w:r>
        <w:rPr>
          <w:rStyle w:val="Hyperlink"/>
          <w:lang w:val="en-GB"/>
        </w:rPr>
        <w:t>Introduction</w:t>
      </w:r>
      <w:r>
        <w:tab/>
      </w:r>
      <w:r>
        <w:fldChar w:fldCharType="begin"/>
      </w:r>
      <w:r>
        <w:instrText xml:space="preserve"> PAGEREF _Toc153753842 \h </w:instrText>
      </w:r>
      <w:r>
        <w:fldChar w:fldCharType="separate"/>
      </w:r>
      <w:r>
        <w:t>1</w:t>
      </w:r>
      <w:r>
        <w:fldChar w:fldCharType="end"/>
      </w:r>
      <w:r>
        <w:fldChar w:fldCharType="end"/>
      </w:r>
    </w:p>
    <w:p w14:paraId="00000017">
      <w:pPr>
        <w:pStyle w:val="Toc1"/>
        <w:tabs>
          <w:tab w:val="right" w:leader="dot" w:pos="9350"/>
        </w:tabs>
        <w:rPr>
          <w:rFonts w:asciiTheme="minorHAnsi" w:eastAsiaTheme="minorEastAsia" w:hAnsiTheme="minorHAnsi"/>
          <w:sz w:val="22"/>
          <w14:ligatures w14:val="standardContextual"/>
        </w:rPr>
      </w:pPr>
      <w:r>
        <w:fldChar w:fldCharType="begin"/>
      </w:r>
      <w:r>
        <w:instrText xml:space="preserve">HYPERLINK \l "_Toc153753843" </w:instrText>
      </w:r>
      <w:r>
        <w:fldChar w:fldCharType="separate"/>
      </w:r>
      <w:r>
        <w:rPr>
          <w:rStyle w:val="Hyperlink"/>
          <w:lang w:val="en-GB"/>
        </w:rPr>
        <w:t>Part 1</w:t>
      </w:r>
      <w:r>
        <w:tab/>
      </w:r>
      <w:r>
        <w:fldChar w:fldCharType="begin"/>
      </w:r>
      <w:r>
        <w:instrText xml:space="preserve"> PAGEREF _Toc153753843 \h </w:instrText>
      </w:r>
      <w:r>
        <w:fldChar w:fldCharType="separate"/>
      </w:r>
      <w:r>
        <w:t>2</w:t>
      </w:r>
      <w:r>
        <w:fldChar w:fldCharType="end"/>
      </w:r>
      <w:r>
        <w:fldChar w:fldCharType="end"/>
      </w:r>
    </w:p>
    <w:p w14:paraId="00000018">
      <w:pPr>
        <w:pStyle w:val="Toc2"/>
        <w:tabs>
          <w:tab w:val="right" w:leader="dot" w:pos="9350"/>
        </w:tabs>
        <w:rPr>
          <w:rFonts w:asciiTheme="minorHAnsi" w:eastAsiaTheme="minorEastAsia" w:hAnsiTheme="minorHAnsi"/>
          <w:sz w:val="22"/>
          <w14:ligatures w14:val="standardContextual"/>
        </w:rPr>
      </w:pPr>
      <w:r>
        <w:fldChar w:fldCharType="begin"/>
      </w:r>
      <w:r>
        <w:instrText xml:space="preserve">HYPERLINK \l "_Toc153753844" </w:instrText>
      </w:r>
      <w:r>
        <w:fldChar w:fldCharType="separate"/>
      </w:r>
      <w:r>
        <w:rPr>
          <w:rStyle w:val="Hyperlink"/>
          <w:lang w:val="en-GB"/>
        </w:rPr>
        <w:t>Couple of Functions in Excel</w:t>
      </w:r>
      <w:r>
        <w:tab/>
      </w:r>
      <w:r>
        <w:fldChar w:fldCharType="begin"/>
      </w:r>
      <w:r>
        <w:instrText xml:space="preserve"> PAGEREF _Toc153753844 \h </w:instrText>
      </w:r>
      <w:r>
        <w:fldChar w:fldCharType="separate"/>
      </w:r>
      <w:r>
        <w:t>7</w:t>
      </w:r>
      <w:r>
        <w:fldChar w:fldCharType="end"/>
      </w:r>
      <w:r>
        <w:fldChar w:fldCharType="end"/>
      </w:r>
    </w:p>
    <w:p w14:paraId="00000019">
      <w:pPr>
        <w:pStyle w:val="Toc2"/>
        <w:tabs>
          <w:tab w:val="right" w:leader="dot" w:pos="9350"/>
        </w:tabs>
        <w:rPr>
          <w:rFonts w:asciiTheme="minorHAnsi" w:eastAsiaTheme="minorEastAsia" w:hAnsiTheme="minorHAnsi"/>
          <w:sz w:val="22"/>
          <w14:ligatures w14:val="standardContextual"/>
        </w:rPr>
      </w:pPr>
      <w:r>
        <w:fldChar w:fldCharType="begin"/>
      </w:r>
      <w:r>
        <w:instrText xml:space="preserve">HYPERLINK \l "_Toc153753845" </w:instrText>
      </w:r>
      <w:r>
        <w:fldChar w:fldCharType="separate"/>
      </w:r>
      <w:r>
        <w:rPr>
          <w:rStyle w:val="Hyperlink"/>
          <w:lang w:val="en-GB"/>
        </w:rPr>
        <w:t>Couple of Charts Constructed in Excel</w:t>
      </w:r>
      <w:r>
        <w:tab/>
      </w:r>
      <w:r>
        <w:fldChar w:fldCharType="begin"/>
      </w:r>
      <w:r>
        <w:instrText xml:space="preserve"> PAGEREF _Toc153753845 \h </w:instrText>
      </w:r>
      <w:r>
        <w:fldChar w:fldCharType="separate"/>
      </w:r>
      <w:r>
        <w:t>10</w:t>
      </w:r>
      <w:r>
        <w:fldChar w:fldCharType="end"/>
      </w:r>
      <w:r>
        <w:fldChar w:fldCharType="end"/>
      </w:r>
    </w:p>
    <w:p w14:paraId="0000001A">
      <w:pPr>
        <w:pStyle w:val="Toc1"/>
        <w:tabs>
          <w:tab w:val="right" w:leader="dot" w:pos="9350"/>
        </w:tabs>
        <w:rPr>
          <w:rFonts w:asciiTheme="minorHAnsi" w:eastAsiaTheme="minorEastAsia" w:hAnsiTheme="minorHAnsi"/>
          <w:sz w:val="22"/>
          <w14:ligatures w14:val="standardContextual"/>
        </w:rPr>
      </w:pPr>
      <w:r>
        <w:fldChar w:fldCharType="begin"/>
      </w:r>
      <w:r>
        <w:instrText xml:space="preserve">HYPERLINK \l "_Toc153753846" </w:instrText>
      </w:r>
      <w:r>
        <w:fldChar w:fldCharType="separate"/>
      </w:r>
      <w:r>
        <w:rPr>
          <w:rStyle w:val="Hyperlink"/>
          <w:lang w:val="en-GB"/>
        </w:rPr>
        <w:t>Part 2</w:t>
      </w:r>
      <w:r>
        <w:tab/>
      </w:r>
      <w:r>
        <w:fldChar w:fldCharType="begin"/>
      </w:r>
      <w:r>
        <w:instrText xml:space="preserve"> PAGEREF _Toc153753846 \h </w:instrText>
      </w:r>
      <w:r>
        <w:fldChar w:fldCharType="separate"/>
      </w:r>
      <w:r>
        <w:t>12</w:t>
      </w:r>
      <w:r>
        <w:fldChar w:fldCharType="end"/>
      </w:r>
      <w:r>
        <w:fldChar w:fldCharType="end"/>
      </w:r>
    </w:p>
    <w:p w14:paraId="0000001B">
      <w:pPr>
        <w:pStyle w:val="Toc1"/>
        <w:tabs>
          <w:tab w:val="right" w:leader="dot" w:pos="9350"/>
        </w:tabs>
        <w:rPr>
          <w:rFonts w:asciiTheme="minorHAnsi" w:eastAsiaTheme="minorEastAsia" w:hAnsiTheme="minorHAnsi"/>
          <w:sz w:val="22"/>
          <w14:ligatures w14:val="standardContextual"/>
        </w:rPr>
      </w:pPr>
      <w:r>
        <w:fldChar w:fldCharType="begin"/>
      </w:r>
      <w:r>
        <w:instrText xml:space="preserve">HYPERLINK \l "_Toc153753847" </w:instrText>
      </w:r>
      <w:r>
        <w:fldChar w:fldCharType="separate"/>
      </w:r>
      <w:r>
        <w:rPr>
          <w:rStyle w:val="Hyperlink"/>
          <w:lang w:val="en-GB"/>
        </w:rPr>
        <w:t>Conclusion</w:t>
      </w:r>
      <w:r>
        <w:tab/>
      </w:r>
      <w:r>
        <w:fldChar w:fldCharType="begin"/>
      </w:r>
      <w:r>
        <w:instrText xml:space="preserve"> PAGEREF _Toc153753847 \h </w:instrText>
      </w:r>
      <w:r>
        <w:fldChar w:fldCharType="separate"/>
      </w:r>
      <w:r>
        <w:t>21</w:t>
      </w:r>
      <w:r>
        <w:fldChar w:fldCharType="end"/>
      </w:r>
      <w:r>
        <w:fldChar w:fldCharType="end"/>
      </w:r>
    </w:p>
    <w:p w14:paraId="0000001C">
      <w:pPr>
        <w:pStyle w:val="Toc1"/>
        <w:tabs>
          <w:tab w:val="right" w:leader="dot" w:pos="9350"/>
        </w:tabs>
        <w:rPr>
          <w:rFonts w:asciiTheme="minorHAnsi" w:eastAsiaTheme="minorEastAsia" w:hAnsiTheme="minorHAnsi"/>
          <w:sz w:val="22"/>
          <w14:ligatures w14:val="standardContextual"/>
        </w:rPr>
      </w:pPr>
      <w:r>
        <w:fldChar w:fldCharType="begin"/>
      </w:r>
      <w:r>
        <w:instrText xml:space="preserve">HYPERLINK \l "_Toc153753848" </w:instrText>
      </w:r>
      <w:r>
        <w:fldChar w:fldCharType="separate"/>
      </w:r>
      <w:r>
        <w:rPr>
          <w:rStyle w:val="Hyperlink"/>
          <w:lang w:val="en-GB"/>
        </w:rPr>
        <w:t>Reference</w:t>
      </w:r>
      <w:r>
        <w:tab/>
      </w:r>
      <w:r>
        <w:fldChar w:fldCharType="begin"/>
      </w:r>
      <w:r>
        <w:instrText xml:space="preserve"> PAGEREF _Toc153753848 \h </w:instrText>
      </w:r>
      <w:r>
        <w:fldChar w:fldCharType="separate"/>
      </w:r>
      <w:r>
        <w:t>22</w:t>
      </w:r>
      <w:r>
        <w:fldChar w:fldCharType="end"/>
      </w:r>
      <w:r>
        <w:fldChar w:fldCharType="end"/>
      </w:r>
    </w:p>
    <w:p w14:paraId="0000001D">
      <w:r>
        <w:fldChar w:fldCharType="end"/>
      </w:r>
    </w:p>
    <w:p w14:paraId="0000001E">
      <w:pPr>
        <w:rPr>
          <w:lang w:val="en-GB"/>
        </w:rPr>
        <w:sectPr>
          <w:footerReference w:type="default" r:id="rId48"/>
          <w:footerReference w:type="first" r:id="rId49"/>
          <w:pgSz w:w="12240" w:h="15840"/>
          <w:pgMar w:top="1440" w:right="1440" w:bottom="1440" w:left="1440" w:header="720" w:footer="720" w:gutter="0"/>
          <w:pgNumType w:start="0" w:fmt="lowerRoman"/>
          <w:cols w:space="720"/>
          <w:titlePg/>
        </w:sectPr>
      </w:pPr>
      <w:r>
        <w:rPr>
          <w:lang w:val="en-GB"/>
        </w:rPr>
        <w:t>
</w:t>
      </w:r>
    </w:p>
    <w:p w14:paraId="0000001F">
      <w:pPr>
        <w:pStyle w:val="Heading1"/>
        <w:rPr>
          <w:lang w:val="en-GB"/>
        </w:rPr>
      </w:pPr>
      <w:bookmarkStart w:id="1" w:name="_Toc153753842"/>
      <w:r>
        <w:rPr>
          <w:lang w:val="en-GB"/>
        </w:rPr>
        <w:t>Introduction</w:t>
      </w:r>
      <w:bookmarkEnd w:id="1"/>
    </w:p>
    <w:p w14:paraId="00000020">
      <w:pPr>
        <w:rPr>
          <w:lang w:val="en-GB"/>
        </w:rPr>
      </w:pPr>
      <w:r>
        <w:rPr>
          <w:lang w:val="en-GB"/>
        </w:rPr>
        <w:t xml:space="preserve">The concept of data handling </w:t>
      </w:r>
      <w:r>
        <w:rPr>
          <w:lang w:val="en-GB"/>
        </w:rPr>
        <w:t xml:space="preserve">has grown </w:t>
      </w:r>
      <w:r>
        <w:rPr>
          <w:lang w:val="en-GB"/>
        </w:rPr>
        <w:t xml:space="preserve">as the </w:t>
      </w:r>
      <w:r>
        <w:rPr>
          <w:lang w:val="en-GB"/>
        </w:rPr>
        <w:t xml:space="preserve">traditional business systems have shifted to </w:t>
      </w:r>
      <w:r>
        <w:rPr>
          <w:lang w:val="en-GB"/>
        </w:rPr>
        <w:t>digital platforms</w:t>
      </w:r>
      <w:r>
        <w:rPr>
          <w:lang w:val="en-GB"/>
        </w:rPr>
        <w:t xml:space="preserve"> and </w:t>
      </w:r>
      <w:r>
        <w:rPr>
          <w:lang w:val="en-GB"/>
        </w:rPr>
        <w:t>outlets.</w:t>
      </w:r>
      <w:r>
        <w:rPr>
          <w:lang w:val="en-GB"/>
        </w:rPr>
        <w:t xml:space="preserve"> The world has grown to </w:t>
      </w:r>
      <w:r>
        <w:rPr>
          <w:lang w:val="en-GB"/>
        </w:rPr>
        <w:t xml:space="preserve">create numerous data with the emerge of digitalisation and </w:t>
      </w:r>
      <w:r>
        <w:rPr>
          <w:lang w:val="en-GB"/>
        </w:rPr>
        <w:t>modern age</w:t>
      </w:r>
      <w:r>
        <w:rPr>
          <w:lang w:val="en-GB"/>
        </w:rPr>
        <w:t xml:space="preserve"> </w:t>
      </w:r>
      <w:r>
        <w:rPr>
          <w:color w:val="000000"/>
          <w:lang w:val="en-GB"/>
        </w:rPr>
        <w:t>(</w:t>
      </w:r>
      <w:r>
        <w:rPr>
          <w:color w:val="000000"/>
          <w:lang w:val="en-GB"/>
        </w:rPr>
        <w:t>Schildkamp</w:t>
      </w:r>
      <w:r>
        <w:rPr>
          <w:color w:val="000000"/>
          <w:lang w:val="en-GB"/>
        </w:rPr>
        <w:t>, 2019)</w:t>
      </w:r>
      <w:r>
        <w:rPr>
          <w:lang w:val="en-GB"/>
        </w:rPr>
        <w:t xml:space="preserve">. </w:t>
      </w:r>
      <w:r>
        <w:rPr>
          <w:lang w:val="en-GB"/>
        </w:rPr>
        <w:t xml:space="preserve">Hence, data handling has become exceptionally crucial </w:t>
      </w:r>
      <w:r>
        <w:rPr>
          <w:lang w:val="en-GB"/>
        </w:rPr>
        <w:t xml:space="preserve">for the </w:t>
      </w:r>
      <w:r>
        <w:rPr>
          <w:lang w:val="en-GB"/>
        </w:rPr>
        <w:t>technolog</w:t>
      </w:r>
      <w:r>
        <w:rPr>
          <w:lang w:val="en-GB"/>
        </w:rPr>
        <w:t xml:space="preserve">y centric </w:t>
      </w:r>
      <w:r>
        <w:rPr>
          <w:lang w:val="en-GB"/>
        </w:rPr>
        <w:t xml:space="preserve">environment. </w:t>
      </w:r>
      <w:r>
        <w:rPr>
          <w:lang w:val="en-GB"/>
        </w:rPr>
        <w:t xml:space="preserve">The </w:t>
      </w:r>
      <w:r>
        <w:rPr>
          <w:lang w:val="en-GB"/>
        </w:rPr>
        <w:t xml:space="preserve">business operations rely heavily upon data as critical decisions are made based on it. </w:t>
      </w:r>
      <w:r>
        <w:rPr>
          <w:lang w:val="en-GB"/>
        </w:rPr>
        <w:t xml:space="preserve">Furthermore, </w:t>
      </w:r>
      <w:r>
        <w:rPr>
          <w:lang w:val="en-GB"/>
        </w:rPr>
        <w:t xml:space="preserve">proper analysis of data </w:t>
      </w:r>
      <w:r>
        <w:rPr>
          <w:lang w:val="en-GB"/>
        </w:rPr>
        <w:t xml:space="preserve">yields in useful findings which are then used by the managers to </w:t>
      </w:r>
      <w:r>
        <w:rPr>
          <w:lang w:val="en-GB"/>
        </w:rPr>
        <w:t xml:space="preserve">make informed </w:t>
      </w:r>
      <w:r>
        <w:rPr>
          <w:lang w:val="en-GB"/>
        </w:rPr>
        <w:t>business decisions</w:t>
      </w:r>
      <w:r>
        <w:rPr>
          <w:lang w:val="en-GB"/>
        </w:rPr>
        <w:t xml:space="preserve"> </w:t>
      </w:r>
      <w:r>
        <w:rPr>
          <w:color w:val="000000"/>
          <w:lang w:val="en-GB"/>
        </w:rPr>
        <w:t>(Parthiban, 2022)</w:t>
      </w:r>
      <w:r>
        <w:rPr>
          <w:lang w:val="en-GB"/>
        </w:rPr>
        <w:t>.</w:t>
      </w:r>
      <w:r>
        <w:rPr>
          <w:lang w:val="en-GB"/>
        </w:rPr>
        <w:t xml:space="preserve"> Hence, this </w:t>
      </w:r>
      <w:r>
        <w:rPr>
          <w:lang w:val="en-GB"/>
        </w:rPr>
        <w:t xml:space="preserve">report aims to </w:t>
      </w:r>
      <w:r>
        <w:rPr>
          <w:lang w:val="en-GB"/>
        </w:rPr>
        <w:t xml:space="preserve">provide justification and </w:t>
      </w:r>
      <w:r>
        <w:rPr>
          <w:lang w:val="en-GB"/>
        </w:rPr>
        <w:t>r</w:t>
      </w:r>
      <w:r>
        <w:rPr>
          <w:lang w:val="en-GB"/>
        </w:rPr>
        <w:t xml:space="preserve">ationale of using </w:t>
      </w:r>
      <w:r>
        <w:rPr>
          <w:lang w:val="en-GB"/>
        </w:rPr>
        <w:t xml:space="preserve">software like Excel and SPSS to </w:t>
      </w:r>
      <w:r>
        <w:rPr>
          <w:lang w:val="en-GB"/>
        </w:rPr>
        <w:t xml:space="preserve">analyse data, and explain how to use them </w:t>
      </w:r>
      <w:r>
        <w:rPr>
          <w:lang w:val="en-GB"/>
        </w:rPr>
        <w:t xml:space="preserve">to analyse and </w:t>
      </w:r>
      <w:r>
        <w:rPr>
          <w:lang w:val="en-GB"/>
        </w:rPr>
        <w:t>illustrate the findings.</w:t>
      </w:r>
      <w:r>
        <w:rPr>
          <w:lang w:val="en-GB"/>
        </w:rPr>
        <w:t xml:space="preserve"> Furthermore, the advantages and disadvantages of the </w:t>
      </w:r>
      <w:r>
        <w:rPr>
          <w:lang w:val="en-GB"/>
        </w:rPr>
        <w:t>study have been discussed and examined.</w:t>
      </w:r>
    </w:p>
    <w:p w14:paraId="00000021">
      <w:pPr>
        <w:spacing w:line="259" w:lineRule="auto"/>
        <w:jc w:val="left"/>
        <w:rPr>
          <w:lang w:val="en-GB"/>
        </w:rPr>
      </w:pPr>
      <w:r>
        <w:rPr>
          <w:lang w:val="en-GB"/>
        </w:rPr>
        <w:br w:type="page"/>
      </w:r>
    </w:p>
    <w:p w14:paraId="00000022">
      <w:pPr>
        <w:pStyle w:val="Heading1"/>
        <w:rPr>
          <w:lang w:val="en-GB"/>
        </w:rPr>
      </w:pPr>
      <w:bookmarkStart w:id="2" w:name="_Toc153753843"/>
      <w:r>
        <w:rPr>
          <w:lang w:val="en-GB"/>
        </w:rPr>
        <w:t>Part 1</w:t>
      </w:r>
      <w:bookmarkEnd w:id="2"/>
    </w:p>
    <w:p w14:paraId="00000023">
      <w:pPr>
        <w:rPr>
          <w:lang w:val="en-GB"/>
        </w:rPr>
      </w:pPr>
      <w:r>
        <w:rPr>
          <w:lang w:val="en-GB"/>
        </w:rPr>
        <w:t>The Excel file for the Hote</w:t>
      </w:r>
      <w:r>
        <w:rPr>
          <w:lang w:val="en-GB"/>
        </w:rPr>
        <w:t>l</w:t>
      </w:r>
      <w:r>
        <w:rPr>
          <w:lang w:val="en-GB"/>
        </w:rPr>
        <w:t xml:space="preserve"> reservation has numerous variables which can be tricky to work with. </w:t>
      </w:r>
      <w:r>
        <w:rPr>
          <w:lang w:val="en-GB"/>
        </w:rPr>
        <w:t xml:space="preserve">Hence, data selection and sorting are necessary primarily. This involves selecting the variables which are most relevant for the study such as </w:t>
      </w:r>
      <w:r>
        <w:rPr>
          <w:lang w:val="en-GB"/>
        </w:rPr>
        <w:t xml:space="preserve">arrival year, </w:t>
      </w:r>
      <w:r>
        <w:rPr>
          <w:lang w:val="en-GB"/>
        </w:rPr>
        <w:t xml:space="preserve">arrival month, </w:t>
      </w:r>
      <w:r>
        <w:rPr>
          <w:lang w:val="en-GB"/>
        </w:rPr>
        <w:t>market type, repeated guest, previous cancellation, previous bookings,</w:t>
      </w:r>
      <w:r>
        <w:rPr>
          <w:lang w:val="en-GB"/>
        </w:rPr>
        <w:t xml:space="preserve"> and average price, in a separate spreadsheet, as shown below.</w:t>
      </w:r>
      <w:r>
        <w:rPr>
          <w:lang w:val="en-GB"/>
        </w:rPr>
        <w:t xml:space="preserve"> The variables shall be adequate to determine the </w:t>
      </w:r>
      <w:r>
        <w:rPr>
          <w:lang w:val="en-GB"/>
        </w:rPr>
        <w:t>decline or incline in the average prices over the ears ranging from 2017 to 2021.</w:t>
      </w:r>
    </w:p>
    <w:p w14:paraId="00000024">
      <w:pPr>
        <w:jc w:val="center"/>
        <w:rPr>
          <w:lang w:val="en-GB"/>
        </w:rPr>
      </w:pPr>
      <w:r>
        <w:rPr>
          <w:lang w:val="en-GB"/>
        </w:rPr>
        <w:drawing xmlns:mc="http://schemas.openxmlformats.org/markup-compatibility/2006">
          <wp:inline distT="0" distB="0" distL="0" distR="0">
            <wp:extent cx="4131733" cy="4577252"/>
            <wp:effectExtent l="0" t="0" r="0" b="0"/>
            <wp:docPr id="2088018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304195" name="Picture 1"/>
                    <pic:cNvPicPr/>
                  </pic:nvPicPr>
                  <pic:blipFill>
                    <a:blip r:embed="rId50"/>
                    <a:srcRect/>
                    <a:stretch>
                      <a:fillRect/>
                    </a:stretch>
                  </pic:blipFill>
                  <pic:spPr>
                    <a:xfrm>
                      <a:off x="0" y="0"/>
                      <a:ext cx="4131733" cy="4577252"/>
                    </a:xfrm>
                    <a:prstGeom prst="rect">
                      <a:avLst/>
                    </a:prstGeom>
                  </pic:spPr>
                </pic:pic>
              </a:graphicData>
            </a:graphic>
          </wp:inline>
        </w:drawing>
      </w:r>
    </w:p>
    <w:p w14:paraId="00000025">
      <w:pPr>
        <w:rPr>
          <w:lang w:val="en-GB"/>
        </w:rPr>
      </w:pPr>
      <w:r>
        <w:rPr>
          <w:lang w:val="en-GB"/>
        </w:rPr>
        <w:t xml:space="preserve">Next, before constructing the graph, it is important to </w:t>
      </w:r>
      <w:r>
        <w:rPr>
          <w:lang w:val="en-GB"/>
        </w:rPr>
        <w:t xml:space="preserve">sort the data according to the year and the date. Hence, all the data must be selected except for the title </w:t>
      </w:r>
      <w:r>
        <w:rPr>
          <w:lang w:val="en-GB"/>
        </w:rPr>
        <w:t xml:space="preserve">cells. </w:t>
      </w:r>
      <w:r>
        <w:rPr>
          <w:lang w:val="en-GB"/>
        </w:rPr>
        <w:t xml:space="preserve">Then, the custom sort option from the sort and filter option must be </w:t>
      </w:r>
      <w:r>
        <w:rPr>
          <w:lang w:val="en-GB"/>
        </w:rPr>
        <w:t>clicked, as shown below.</w:t>
      </w:r>
    </w:p>
    <w:p w14:paraId="00000026">
      <w:pPr>
        <w:rPr>
          <w:lang w:val="en-GB"/>
        </w:rPr>
      </w:pPr>
      <w:r>
        <w:rPr>
          <w:lang w:val="en-GB"/>
        </w:rPr>
        <w:drawing xmlns:mc="http://schemas.openxmlformats.org/markup-compatibility/2006">
          <wp:inline distT="0" distB="0" distL="0" distR="0">
            <wp:extent cx="5943600" cy="1557655"/>
            <wp:effectExtent l="0" t="0" r="0" b="0"/>
            <wp:docPr id="2088018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774468" name="Picture 1"/>
                    <pic:cNvPicPr/>
                  </pic:nvPicPr>
                  <pic:blipFill>
                    <a:blip r:embed="rId51"/>
                    <a:srcRect/>
                    <a:stretch>
                      <a:fillRect/>
                    </a:stretch>
                  </pic:blipFill>
                  <pic:spPr>
                    <a:xfrm>
                      <a:off x="0" y="0"/>
                      <a:ext cx="5943600" cy="1557655"/>
                    </a:xfrm>
                    <a:prstGeom prst="rect">
                      <a:avLst/>
                    </a:prstGeom>
                  </pic:spPr>
                </pic:pic>
              </a:graphicData>
            </a:graphic>
          </wp:inline>
        </w:drawing>
      </w:r>
    </w:p>
    <w:p w14:paraId="00000027">
      <w:pPr>
        <w:rPr>
          <w:lang w:val="en-GB"/>
        </w:rPr>
      </w:pPr>
      <w:r>
        <w:rPr>
          <w:lang w:val="en-GB"/>
        </w:rPr>
        <w:t xml:space="preserve">Then, a command box will appear, </w:t>
      </w:r>
      <w:r>
        <w:rPr>
          <w:lang w:val="en-GB"/>
        </w:rPr>
        <w:t xml:space="preserve">in the sort by drop down, </w:t>
      </w:r>
      <w:r>
        <w:rPr>
          <w:lang w:val="en-GB"/>
        </w:rPr>
        <w:t>the arrival year is selected and the ok button is clicked as shown below.</w:t>
      </w:r>
    </w:p>
    <w:p w14:paraId="00000028">
      <w:pPr>
        <w:rPr>
          <w:lang w:val="en-GB"/>
        </w:rPr>
      </w:pPr>
      <w:r>
        <w:rPr>
          <w:lang w:val="en-GB"/>
        </w:rPr>
        <w:drawing xmlns:mc="http://schemas.openxmlformats.org/markup-compatibility/2006">
          <wp:inline distT="0" distB="0" distL="0" distR="0">
            <wp:extent cx="5943600" cy="3947160"/>
            <wp:effectExtent l="0" t="0" r="0" b="0"/>
            <wp:docPr id="2088018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094152" name="Picture 1"/>
                    <pic:cNvPicPr/>
                  </pic:nvPicPr>
                  <pic:blipFill>
                    <a:blip r:embed="rId52"/>
                    <a:srcRect/>
                    <a:stretch>
                      <a:fillRect/>
                    </a:stretch>
                  </pic:blipFill>
                  <pic:spPr>
                    <a:xfrm>
                      <a:off x="0" y="0"/>
                      <a:ext cx="5943600" cy="3947160"/>
                    </a:xfrm>
                    <a:prstGeom prst="rect">
                      <a:avLst/>
                    </a:prstGeom>
                  </pic:spPr>
                </pic:pic>
              </a:graphicData>
            </a:graphic>
          </wp:inline>
        </w:drawing>
      </w:r>
    </w:p>
    <w:p w14:paraId="00000029">
      <w:pPr>
        <w:rPr>
          <w:lang w:val="en-GB"/>
        </w:rPr>
      </w:pPr>
      <w:r>
        <w:rPr>
          <w:lang w:val="en-GB"/>
        </w:rPr>
        <w:t xml:space="preserve">It can be observed from the output below, that </w:t>
      </w:r>
      <w:r>
        <w:rPr>
          <w:lang w:val="en-GB"/>
        </w:rPr>
        <w:t xml:space="preserve">the data have been sorted according to the oldest to latest year, but the dates are still </w:t>
      </w:r>
      <w:r>
        <w:rPr>
          <w:lang w:val="en-GB"/>
        </w:rPr>
        <w:t xml:space="preserve">haphazard. </w:t>
      </w:r>
    </w:p>
    <w:p w14:paraId="0000002A">
      <w:pPr>
        <w:jc w:val="center"/>
        <w:rPr>
          <w:lang w:val="en-GB"/>
        </w:rPr>
      </w:pPr>
      <w:r>
        <w:rPr>
          <w:lang w:val="en-GB"/>
        </w:rPr>
        <w:drawing xmlns:mc="http://schemas.openxmlformats.org/markup-compatibility/2006">
          <wp:inline distT="0" distB="0" distL="0" distR="0">
            <wp:extent cx="4274624" cy="3632200"/>
            <wp:effectExtent l="0" t="0" r="0" b="0"/>
            <wp:docPr id="2088018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373444" name="Picture 1"/>
                    <pic:cNvPicPr/>
                  </pic:nvPicPr>
                  <pic:blipFill>
                    <a:blip r:embed="rId53"/>
                    <a:srcRect/>
                    <a:stretch>
                      <a:fillRect/>
                    </a:stretch>
                  </pic:blipFill>
                  <pic:spPr>
                    <a:xfrm>
                      <a:off x="0" y="0"/>
                      <a:ext cx="4274624" cy="3632200"/>
                    </a:xfrm>
                    <a:prstGeom prst="rect">
                      <a:avLst/>
                    </a:prstGeom>
                  </pic:spPr>
                </pic:pic>
              </a:graphicData>
            </a:graphic>
          </wp:inline>
        </w:drawing>
      </w:r>
    </w:p>
    <w:p w14:paraId="0000002B">
      <w:pPr>
        <w:rPr>
          <w:lang w:val="en-GB"/>
        </w:rPr>
      </w:pPr>
      <w:r>
        <w:rPr>
          <w:lang w:val="en-GB"/>
        </w:rPr>
        <w:t>Hence, the data except for the arrival year must be selected for each year and custom sorted</w:t>
      </w:r>
      <w:r>
        <w:rPr>
          <w:lang w:val="en-GB"/>
        </w:rPr>
        <w:t>. But the columns arrival year, arrival date, and average price must be selected to create a line graph, as shown below.</w:t>
      </w:r>
    </w:p>
    <w:p w14:paraId="0000002C">
      <w:pPr>
        <w:jc w:val="center"/>
        <w:rPr>
          <w:lang w:val="en-GB"/>
        </w:rPr>
      </w:pPr>
      <w:r>
        <w:rPr>
          <w:lang w:val="en-GB"/>
        </w:rPr>
        <w:drawing xmlns:mc="http://schemas.openxmlformats.org/markup-compatibility/2006">
          <wp:inline distT="0" distB="0" distL="0" distR="0">
            <wp:extent cx="5435600" cy="3126631"/>
            <wp:effectExtent l="0" t="0" r="0" b="0"/>
            <wp:docPr id="2088018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545304" name="Picture 1"/>
                    <pic:cNvPicPr/>
                  </pic:nvPicPr>
                  <pic:blipFill>
                    <a:blip r:embed="rId54"/>
                    <a:srcRect/>
                    <a:stretch>
                      <a:fillRect/>
                    </a:stretch>
                  </pic:blipFill>
                  <pic:spPr>
                    <a:xfrm>
                      <a:off x="0" y="0"/>
                      <a:ext cx="5435600" cy="3126631"/>
                    </a:xfrm>
                    <a:prstGeom prst="rect">
                      <a:avLst/>
                    </a:prstGeom>
                  </pic:spPr>
                </pic:pic>
              </a:graphicData>
            </a:graphic>
          </wp:inline>
        </w:drawing>
      </w:r>
    </w:p>
    <w:p w14:paraId="0000002D">
      <w:pPr>
        <w:rPr>
          <w:lang w:val="en-GB"/>
        </w:rPr>
      </w:pPr>
      <w:r>
        <w:rPr>
          <w:lang w:val="en-GB"/>
        </w:rPr>
        <w:t xml:space="preserve">Afterwards, a line chart shall appear which would look the one shown below. </w:t>
      </w:r>
      <w:r>
        <w:rPr>
          <w:lang w:val="en-GB"/>
        </w:rPr>
        <w:t>However, the chart requires to be edited, as it is not properly constructed.</w:t>
      </w:r>
    </w:p>
    <w:p w14:paraId="0000002E">
      <w:pPr>
        <w:spacing w:line="240" w:lineRule="auto"/>
        <w:jc w:val="center"/>
        <w:rPr>
          <w:lang w:val="en-GB"/>
        </w:rPr>
      </w:pPr>
      <w:r>
        <w:rPr>
          <w:lang w:val="en-GB"/>
        </w:rPr>
        <w:drawing xmlns:mc="http://schemas.openxmlformats.org/markup-compatibility/2006">
          <wp:inline distT="0" distB="0" distL="0" distR="0">
            <wp:extent cx="4276960" cy="2362200"/>
            <wp:effectExtent l="0" t="0" r="0" b="0"/>
            <wp:docPr id="2088018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948558" name="Picture 1"/>
                    <pic:cNvPicPr/>
                  </pic:nvPicPr>
                  <pic:blipFill>
                    <a:blip r:embed="rId55"/>
                    <a:srcRect/>
                    <a:stretch>
                      <a:fillRect/>
                    </a:stretch>
                  </pic:blipFill>
                  <pic:spPr>
                    <a:xfrm>
                      <a:off x="0" y="0"/>
                      <a:ext cx="4276960" cy="2362200"/>
                    </a:xfrm>
                    <a:prstGeom prst="rect">
                      <a:avLst/>
                    </a:prstGeom>
                  </pic:spPr>
                </pic:pic>
              </a:graphicData>
            </a:graphic>
          </wp:inline>
        </w:drawing>
      </w:r>
    </w:p>
    <w:p w14:paraId="0000002F">
      <w:pPr>
        <w:rPr>
          <w:lang w:val="en-GB"/>
        </w:rPr>
      </w:pPr>
      <w:r>
        <w:rPr>
          <w:lang w:val="en-GB"/>
        </w:rPr>
        <w:t xml:space="preserve">Hence, the chart needs to be right clicked and the </w:t>
      </w:r>
      <w:r>
        <w:rPr>
          <w:lang w:val="en-GB"/>
        </w:rPr>
        <w:t xml:space="preserve">option of select data must be </w:t>
      </w:r>
      <w:r>
        <w:rPr>
          <w:lang w:val="en-GB"/>
        </w:rPr>
        <w:t xml:space="preserve">selected, after which the following </w:t>
      </w:r>
      <w:r>
        <w:rPr>
          <w:lang w:val="en-GB"/>
        </w:rPr>
        <w:t>command box shall appear.</w:t>
      </w:r>
    </w:p>
    <w:p w14:paraId="00000030">
      <w:pPr>
        <w:spacing w:line="240" w:lineRule="auto"/>
        <w:rPr>
          <w:lang w:val="en-GB"/>
        </w:rPr>
      </w:pPr>
      <w:r>
        <w:rPr>
          <w:lang w:val="en-GB"/>
        </w:rPr>
        <w:drawing xmlns:mc="http://schemas.openxmlformats.org/markup-compatibility/2006">
          <wp:inline distT="0" distB="0" distL="0" distR="0">
            <wp:extent cx="5943600" cy="2133600"/>
            <wp:effectExtent l="0" t="0" r="0" b="0"/>
            <wp:docPr id="2088018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638229" name="Picture 1"/>
                    <pic:cNvPicPr/>
                  </pic:nvPicPr>
                  <pic:blipFill>
                    <a:blip r:embed="rId56"/>
                    <a:srcRect/>
                    <a:stretch>
                      <a:fillRect/>
                    </a:stretch>
                  </pic:blipFill>
                  <pic:spPr>
                    <a:xfrm>
                      <a:off x="0" y="0"/>
                      <a:ext cx="5943600" cy="2133600"/>
                    </a:xfrm>
                    <a:prstGeom prst="rect">
                      <a:avLst/>
                    </a:prstGeom>
                  </pic:spPr>
                </pic:pic>
              </a:graphicData>
            </a:graphic>
          </wp:inline>
        </w:drawing>
      </w:r>
    </w:p>
    <w:p w14:paraId="00000031">
      <w:pPr>
        <w:rPr>
          <w:lang w:val="en-GB"/>
        </w:rPr>
      </w:pPr>
      <w:r>
        <w:rPr>
          <w:lang w:val="en-GB"/>
        </w:rPr>
        <w:t xml:space="preserve">Then, the legend entries must be </w:t>
      </w:r>
      <w:r>
        <w:rPr>
          <w:lang w:val="en-GB"/>
        </w:rPr>
        <w:t>edited and the horizontal category must be given as the arrival year, as shown below.</w:t>
      </w:r>
    </w:p>
    <w:p w14:paraId="00000032">
      <w:pPr>
        <w:spacing w:line="240" w:lineRule="auto"/>
        <w:rPr>
          <w:lang w:val="en-GB"/>
        </w:rPr>
      </w:pPr>
      <w:r>
        <w:rPr>
          <w:lang w:val="en-GB"/>
        </w:rPr>
        <w:drawing xmlns:mc="http://schemas.openxmlformats.org/markup-compatibility/2006">
          <wp:inline distT="0" distB="0" distL="0" distR="0">
            <wp:extent cx="5942330" cy="1634067"/>
            <wp:effectExtent l="0" t="0" r="0" b="0"/>
            <wp:docPr id="2088018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96090" name="Picture 1"/>
                    <pic:cNvPicPr/>
                  </pic:nvPicPr>
                  <pic:blipFill>
                    <a:blip r:embed="rId57"/>
                    <a:srcRect/>
                    <a:stretch>
                      <a:fillRect/>
                    </a:stretch>
                  </pic:blipFill>
                  <pic:spPr>
                    <a:xfrm>
                      <a:off x="0" y="0"/>
                      <a:ext cx="5942330" cy="1634067"/>
                    </a:xfrm>
                    <a:prstGeom prst="rect">
                      <a:avLst/>
                    </a:prstGeom>
                  </pic:spPr>
                </pic:pic>
              </a:graphicData>
            </a:graphic>
          </wp:inline>
        </w:drawing>
      </w:r>
    </w:p>
    <w:p w14:paraId="00000033">
      <w:pPr>
        <w:rPr>
          <w:lang w:val="en-GB"/>
        </w:rPr>
      </w:pPr>
      <w:r>
        <w:rPr>
          <w:lang w:val="en-GB"/>
        </w:rPr>
        <w:t xml:space="preserve">Afterwards, the line chart is formed properly. </w:t>
      </w:r>
      <w:r>
        <w:rPr>
          <w:lang w:val="en-GB"/>
        </w:rPr>
        <w:t xml:space="preserve">The axis labels can be implemented </w:t>
      </w:r>
      <w:r>
        <w:rPr>
          <w:lang w:val="en-GB"/>
        </w:rPr>
        <w:t xml:space="preserve">by clicking the plus sign beside the chart and click axis titles. </w:t>
      </w:r>
      <w:r>
        <w:rPr>
          <w:lang w:val="en-GB"/>
        </w:rPr>
        <w:t>The following chart illustrates the changes in the average prices over the years.</w:t>
      </w:r>
    </w:p>
    <w:p w14:paraId="00000034">
      <w:pPr>
        <w:spacing w:line="240" w:lineRule="auto"/>
        <w:rPr>
          <w:lang w:val="en-GB"/>
        </w:rPr>
      </w:pPr>
      <w:r>
        <w:rPr>
          <w:lang w:val="en-GB"/>
        </w:rPr>
        <w:drawing xmlns:mc="http://schemas.openxmlformats.org/markup-compatibility/2006">
          <wp:inline distT="0" distB="0" distL="0" distR="0">
            <wp:extent cx="5942330" cy="2175933"/>
            <wp:effectExtent l="0" t="0" r="0" b="0"/>
            <wp:docPr id="2088018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389716" name="Picture 1"/>
                    <pic:cNvPicPr/>
                  </pic:nvPicPr>
                  <pic:blipFill>
                    <a:blip r:embed="rId58"/>
                    <a:srcRect/>
                    <a:stretch>
                      <a:fillRect/>
                    </a:stretch>
                  </pic:blipFill>
                  <pic:spPr>
                    <a:xfrm>
                      <a:off x="0" y="0"/>
                      <a:ext cx="5942330" cy="2175933"/>
                    </a:xfrm>
                    <a:prstGeom prst="rect">
                      <a:avLst/>
                    </a:prstGeom>
                  </pic:spPr>
                </pic:pic>
              </a:graphicData>
            </a:graphic>
          </wp:inline>
        </w:drawing>
      </w:r>
    </w:p>
    <w:p w14:paraId="00000035">
      <w:pPr>
        <w:rPr>
          <w:lang w:val="en-GB"/>
        </w:rPr>
      </w:pPr>
      <w:r>
        <w:rPr>
          <w:lang w:val="en-GB"/>
        </w:rPr>
        <w:t xml:space="preserve">It can be observed from the </w:t>
      </w:r>
      <w:r>
        <w:rPr>
          <w:lang w:val="en-GB"/>
        </w:rPr>
        <w:t xml:space="preserve">line graph that a sudden and highest spike in the average prices had been </w:t>
      </w:r>
      <w:r>
        <w:rPr>
          <w:lang w:val="en-GB"/>
        </w:rPr>
        <w:t>recorded in 2018.</w:t>
      </w:r>
      <w:r>
        <w:rPr>
          <w:lang w:val="en-GB"/>
        </w:rPr>
        <w:t xml:space="preserve"> This was probably due to over booking </w:t>
      </w:r>
      <w:r>
        <w:rPr>
          <w:lang w:val="en-GB"/>
        </w:rPr>
        <w:t xml:space="preserve">of the hotel or </w:t>
      </w:r>
      <w:r>
        <w:rPr>
          <w:lang w:val="en-GB"/>
        </w:rPr>
        <w:t>other external factors.</w:t>
      </w:r>
      <w:r>
        <w:rPr>
          <w:lang w:val="en-GB"/>
        </w:rPr>
        <w:t xml:space="preserve"> </w:t>
      </w:r>
      <w:r>
        <w:rPr>
          <w:lang w:val="en-GB"/>
        </w:rPr>
        <w:t xml:space="preserve">However, the average price of the years fluctuates </w:t>
      </w:r>
      <w:r>
        <w:rPr>
          <w:lang w:val="en-GB"/>
        </w:rPr>
        <w:t xml:space="preserve">with time, as the hotel experiences high demand and hotel reservations at the peak times of the year such as the holidays and summers. Other times, the hotel reservations are relatively less </w:t>
      </w:r>
      <w:r>
        <w:rPr>
          <w:lang w:val="en-GB"/>
        </w:rPr>
        <w:t>causing</w:t>
      </w:r>
      <w:r>
        <w:rPr>
          <w:lang w:val="en-GB"/>
        </w:rPr>
        <w:t xml:space="preserve"> the drastic fluctuations in the line graph. </w:t>
      </w:r>
      <w:r>
        <w:rPr>
          <w:lang w:val="en-GB"/>
        </w:rPr>
        <w:t xml:space="preserve">However, sudden incline in the prices can be observed </w:t>
      </w:r>
      <w:r>
        <w:rPr>
          <w:lang w:val="en-GB"/>
        </w:rPr>
        <w:t xml:space="preserve">in the earlier times in 2018 and then at the end of 2018 again. </w:t>
      </w:r>
      <w:r>
        <w:rPr>
          <w:lang w:val="en-GB"/>
        </w:rPr>
        <w:t xml:space="preserve">But the majority of the reservations had been made </w:t>
      </w:r>
      <w:r>
        <w:rPr>
          <w:lang w:val="en-GB"/>
        </w:rPr>
        <w:t>in 2018</w:t>
      </w:r>
      <w:r>
        <w:rPr>
          <w:lang w:val="en-GB"/>
        </w:rPr>
        <w:t>.</w:t>
      </w:r>
    </w:p>
    <w:p w14:paraId="00000036">
      <w:pPr>
        <w:rPr>
          <w:lang w:val="en-GB"/>
        </w:rPr>
      </w:pPr>
      <w:r>
        <w:rPr>
          <w:lang w:val="en-GB"/>
        </w:rPr>
        <w:t xml:space="preserve">This was only one method of assessing how the average price of the hotel reservation changes over time. </w:t>
      </w:r>
      <w:r>
        <w:rPr>
          <w:lang w:val="en-GB"/>
        </w:rPr>
        <w:t xml:space="preserve">However, there are several methods </w:t>
      </w:r>
      <w:r>
        <w:rPr>
          <w:lang w:val="en-GB"/>
        </w:rPr>
        <w:t xml:space="preserve">how MS Excel can be utilised </w:t>
      </w:r>
      <w:r>
        <w:rPr>
          <w:lang w:val="en-GB"/>
        </w:rPr>
        <w:t>for pre-processing the data, analysing them, and visualising the outcomes.</w:t>
      </w:r>
      <w:r>
        <w:rPr>
          <w:lang w:val="en-GB"/>
        </w:rPr>
        <w:t xml:space="preserve"> </w:t>
      </w:r>
      <w:r>
        <w:rPr>
          <w:lang w:val="en-GB"/>
        </w:rPr>
        <w:t xml:space="preserve">It can be </w:t>
      </w:r>
      <w:r>
        <w:rPr>
          <w:lang w:val="en-GB"/>
        </w:rPr>
        <w:t xml:space="preserve">said that MS Excel is extremely use friendly </w:t>
      </w:r>
      <w:r>
        <w:rPr>
          <w:lang w:val="en-GB"/>
        </w:rPr>
        <w:t xml:space="preserve">for basic data analysis. </w:t>
      </w:r>
      <w:r>
        <w:rPr>
          <w:lang w:val="en-GB"/>
        </w:rPr>
        <w:t xml:space="preserve">However, with some professional aid and </w:t>
      </w:r>
      <w:r>
        <w:rPr>
          <w:lang w:val="en-GB"/>
        </w:rPr>
        <w:t>mentor</w:t>
      </w:r>
      <w:r>
        <w:rPr>
          <w:lang w:val="en-GB"/>
        </w:rPr>
        <w:t xml:space="preserve">ing, </w:t>
      </w:r>
      <w:r>
        <w:rPr>
          <w:lang w:val="en-GB"/>
        </w:rPr>
        <w:t xml:space="preserve">a data analyst can use this software to </w:t>
      </w:r>
      <w:r>
        <w:rPr>
          <w:lang w:val="en-GB"/>
        </w:rPr>
        <w:t xml:space="preserve">conduct several functions and commands. </w:t>
      </w:r>
      <w:r>
        <w:rPr>
          <w:lang w:val="en-GB"/>
        </w:rPr>
        <w:t xml:space="preserve">However, the software tends to freeze or at least slow down </w:t>
      </w:r>
      <w:r>
        <w:rPr>
          <w:lang w:val="en-GB"/>
        </w:rPr>
        <w:t xml:space="preserve">when </w:t>
      </w:r>
      <w:r>
        <w:rPr>
          <w:lang w:val="en-GB"/>
        </w:rPr>
        <w:t xml:space="preserve">large amounts of data is analysed. Likewise, </w:t>
      </w:r>
      <w:r>
        <w:rPr>
          <w:lang w:val="en-GB"/>
        </w:rPr>
        <w:t xml:space="preserve">whilst </w:t>
      </w:r>
      <w:r>
        <w:rPr>
          <w:lang w:val="en-GB"/>
        </w:rPr>
        <w:t>performing</w:t>
      </w:r>
      <w:r>
        <w:rPr>
          <w:lang w:val="en-GB"/>
        </w:rPr>
        <w:t xml:space="preserve"> simple tasks such as editing the data selection for the chart </w:t>
      </w:r>
      <w:r>
        <w:rPr>
          <w:lang w:val="en-GB"/>
        </w:rPr>
        <w:t xml:space="preserve">had the software to freeze several times. But it is necessary to state that the </w:t>
      </w:r>
      <w:r>
        <w:rPr>
          <w:lang w:val="en-GB"/>
        </w:rPr>
        <w:t xml:space="preserve">processing speed of the computer also plays a critical role </w:t>
      </w:r>
      <w:r>
        <w:rPr>
          <w:lang w:val="en-GB"/>
        </w:rPr>
        <w:t xml:space="preserve">in the efficiency of the software. </w:t>
      </w:r>
      <w:r>
        <w:rPr>
          <w:lang w:val="en-GB"/>
        </w:rPr>
        <w:t>Nonetheless</w:t>
      </w:r>
      <w:r>
        <w:rPr>
          <w:lang w:val="en-GB"/>
        </w:rPr>
        <w:t xml:space="preserve">, the pre-processing of the data </w:t>
      </w:r>
      <w:r>
        <w:rPr>
          <w:lang w:val="en-GB"/>
        </w:rPr>
        <w:t>is very easy to do</w:t>
      </w:r>
      <w:r>
        <w:rPr>
          <w:lang w:val="en-GB"/>
        </w:rPr>
        <w:t xml:space="preserve">. However, as for the analysis part, beginners can implement </w:t>
      </w:r>
      <w:r>
        <w:rPr>
          <w:lang w:val="en-GB"/>
        </w:rPr>
        <w:t xml:space="preserve">simple commands without help, but as the complicacy increases, </w:t>
      </w:r>
      <w:r>
        <w:rPr>
          <w:lang w:val="en-GB"/>
        </w:rPr>
        <w:t>it is important for the analyst to have adequate knowledge of the software as data an</w:t>
      </w:r>
      <w:r>
        <w:rPr>
          <w:lang w:val="en-GB"/>
        </w:rPr>
        <w:t>a</w:t>
      </w:r>
      <w:r>
        <w:rPr>
          <w:lang w:val="en-GB"/>
        </w:rPr>
        <w:t xml:space="preserve">lysis can get </w:t>
      </w:r>
      <w:r>
        <w:rPr>
          <w:lang w:val="en-GB"/>
        </w:rPr>
        <w:t>complicated. Nonetheless</w:t>
      </w:r>
      <w:r>
        <w:rPr>
          <w:lang w:val="en-GB"/>
        </w:rPr>
        <w:t xml:space="preserve">, </w:t>
      </w:r>
      <w:r>
        <w:rPr>
          <w:lang w:val="en-GB"/>
        </w:rPr>
        <w:t xml:space="preserve">numerous data analysis can be done easily </w:t>
      </w:r>
      <w:r>
        <w:rPr>
          <w:lang w:val="en-GB"/>
        </w:rPr>
        <w:t xml:space="preserve">and complicated functions can be </w:t>
      </w:r>
      <w:r>
        <w:rPr>
          <w:lang w:val="en-GB"/>
        </w:rPr>
        <w:t xml:space="preserve">incorporated within the software through Add-ons. </w:t>
      </w:r>
      <w:r>
        <w:rPr>
          <w:lang w:val="en-GB"/>
        </w:rPr>
        <w:t>Thus, data analysis can be</w:t>
      </w:r>
      <w:r>
        <w:rPr>
          <w:lang w:val="en-GB"/>
        </w:rPr>
        <w:t xml:space="preserve"> complicated or easy depending on the </w:t>
      </w:r>
      <w:r>
        <w:rPr>
          <w:lang w:val="en-GB"/>
        </w:rPr>
        <w:t>typ</w:t>
      </w:r>
      <w:r>
        <w:rPr>
          <w:lang w:val="en-GB"/>
        </w:rPr>
        <w:t>e</w:t>
      </w:r>
      <w:r>
        <w:rPr>
          <w:lang w:val="en-GB"/>
        </w:rPr>
        <w:t xml:space="preserve"> of data analysis </w:t>
      </w:r>
      <w:r>
        <w:rPr>
          <w:lang w:val="en-GB"/>
        </w:rPr>
        <w:t>needed to be conducted</w:t>
      </w:r>
      <w:r>
        <w:rPr>
          <w:lang w:val="en-GB"/>
        </w:rPr>
        <w:t xml:space="preserve">. </w:t>
      </w:r>
      <w:r>
        <w:rPr>
          <w:lang w:val="en-GB"/>
        </w:rPr>
        <w:t xml:space="preserve">Furthermore, as for the outcome illustration, Excel had multiple </w:t>
      </w:r>
      <w:r>
        <w:rPr>
          <w:lang w:val="en-GB"/>
        </w:rPr>
        <w:t xml:space="preserve">options starting from pie charts to </w:t>
      </w:r>
      <w:r>
        <w:rPr>
          <w:lang w:val="en-GB"/>
        </w:rPr>
        <w:t>tables to summarise the outputs of the analysis.</w:t>
      </w:r>
      <w:r>
        <w:rPr>
          <w:lang w:val="en-GB"/>
        </w:rPr>
        <w:t xml:space="preserve"> </w:t>
      </w:r>
      <w:r>
        <w:rPr>
          <w:lang w:val="en-GB"/>
        </w:rPr>
        <w:t xml:space="preserve">The charts are quite easy to construct </w:t>
      </w:r>
      <w:r>
        <w:rPr>
          <w:lang w:val="en-GB"/>
        </w:rPr>
        <w:t xml:space="preserve">from scratch </w:t>
      </w:r>
      <w:r>
        <w:rPr>
          <w:lang w:val="en-GB"/>
        </w:rPr>
        <w:t xml:space="preserve">and amend according to the need. </w:t>
      </w:r>
    </w:p>
    <w:p w14:paraId="00000037">
      <w:pPr>
        <w:pStyle w:val="Heading2"/>
        <w:rPr>
          <w:lang w:val="en-GB"/>
        </w:rPr>
      </w:pPr>
      <w:bookmarkStart w:id="3" w:name="_Toc153753844"/>
      <w:r>
        <w:rPr>
          <w:lang w:val="en-GB"/>
        </w:rPr>
        <w:t>Couple of Functions in Excel</w:t>
      </w:r>
      <w:bookmarkEnd w:id="3"/>
    </w:p>
    <w:p w14:paraId="00000038">
      <w:pPr>
        <w:rPr>
          <w:lang w:val="en-GB"/>
        </w:rPr>
      </w:pPr>
      <w:r>
        <w:rPr>
          <w:lang w:val="en-GB"/>
        </w:rPr>
        <w:t xml:space="preserve">There are multiple functions in MS Excel which can be used within the spreadsheet. </w:t>
      </w:r>
      <w:r>
        <w:rPr>
          <w:lang w:val="en-GB"/>
        </w:rPr>
        <w:t xml:space="preserve">However, </w:t>
      </w:r>
      <w:r>
        <w:rPr>
          <w:lang w:val="en-GB"/>
        </w:rPr>
        <w:t xml:space="preserve">considering the </w:t>
      </w:r>
      <w:r>
        <w:rPr>
          <w:lang w:val="en-GB"/>
        </w:rPr>
        <w:t xml:space="preserve">variable in focus </w:t>
      </w:r>
      <w:r>
        <w:rPr>
          <w:lang w:val="en-GB"/>
        </w:rPr>
        <w:t xml:space="preserve">is the average prices of the hotel reservations, </w:t>
      </w:r>
      <w:r>
        <w:rPr>
          <w:lang w:val="en-GB"/>
        </w:rPr>
        <w:t>IF function</w:t>
      </w:r>
      <w:r>
        <w:rPr>
          <w:lang w:val="en-GB"/>
        </w:rPr>
        <w:t xml:space="preserve"> and a Pivot Table</w:t>
      </w:r>
      <w:r>
        <w:rPr>
          <w:lang w:val="en-GB"/>
        </w:rPr>
        <w:t xml:space="preserve"> had been used.</w:t>
      </w:r>
    </w:p>
    <w:p w14:paraId="00000039">
      <w:pPr>
        <w:rPr>
          <w:lang w:val="en-GB"/>
        </w:rPr>
      </w:pPr>
      <w:r>
        <w:rPr>
          <w:lang w:val="en-GB"/>
        </w:rPr>
        <w:t xml:space="preserve">In order to </w:t>
      </w:r>
      <w:r>
        <w:rPr>
          <w:lang w:val="en-GB"/>
        </w:rPr>
        <w:t xml:space="preserve">implement </w:t>
      </w:r>
      <w:r>
        <w:rPr>
          <w:lang w:val="en-GB"/>
        </w:rPr>
        <w:t xml:space="preserve">the IF function, </w:t>
      </w:r>
      <w:r>
        <w:rPr>
          <w:lang w:val="en-GB"/>
        </w:rPr>
        <w:t>the formula “</w:t>
      </w:r>
      <w:r>
        <w:rPr>
          <w:lang w:val="en-GB"/>
        </w:rPr>
        <w:t>= IF (</w:t>
      </w:r>
      <w:r>
        <w:rPr>
          <w:lang w:val="en-GB"/>
        </w:rPr>
        <w:t>G2&gt;65</w:t>
      </w:r>
      <w:r>
        <w:rPr>
          <w:lang w:val="en-GB"/>
        </w:rPr>
        <w:t xml:space="preserve"> </w:t>
      </w:r>
      <w:r>
        <w:rPr>
          <w:lang w:val="en-GB"/>
        </w:rPr>
        <w:t>,"High"</w:t>
      </w:r>
      <w:r>
        <w:rPr>
          <w:lang w:val="en-GB"/>
        </w:rPr>
        <w:t xml:space="preserve"> </w:t>
      </w:r>
      <w:r>
        <w:rPr>
          <w:lang w:val="en-GB"/>
        </w:rPr>
        <w:t>,</w:t>
      </w:r>
      <w:r>
        <w:rPr>
          <w:lang w:val="en-GB"/>
        </w:rPr>
        <w:t xml:space="preserve"> </w:t>
      </w:r>
      <w:r>
        <w:rPr>
          <w:lang w:val="en-GB"/>
        </w:rPr>
        <w:t>"Standard"</w:t>
      </w:r>
      <w:r>
        <w:rPr>
          <w:lang w:val="en-GB"/>
        </w:rPr>
        <w:t>)</w:t>
      </w:r>
      <w:r>
        <w:rPr>
          <w:lang w:val="en-GB"/>
        </w:rPr>
        <w:t>” had been used</w:t>
      </w:r>
      <w:r>
        <w:rPr>
          <w:lang w:val="en-GB"/>
        </w:rPr>
        <w:t xml:space="preserve">. So, if the average price of the </w:t>
      </w:r>
      <w:r>
        <w:rPr>
          <w:lang w:val="en-GB"/>
        </w:rPr>
        <w:t xml:space="preserve">respective hotel reservation </w:t>
      </w:r>
      <w:r>
        <w:rPr>
          <w:lang w:val="en-GB"/>
        </w:rPr>
        <w:t xml:space="preserve">had been </w:t>
      </w:r>
      <w:r>
        <w:rPr>
          <w:lang w:val="en-GB"/>
        </w:rPr>
        <w:t xml:space="preserve">below 65, </w:t>
      </w:r>
      <w:r>
        <w:rPr>
          <w:lang w:val="en-GB"/>
        </w:rPr>
        <w:t xml:space="preserve">the price is considered to be standard, whereas, if the price had been higher than 65, then the </w:t>
      </w:r>
      <w:r>
        <w:rPr>
          <w:lang w:val="en-GB"/>
        </w:rPr>
        <w:t xml:space="preserve">price would be considered to be </w:t>
      </w:r>
      <w:r>
        <w:rPr>
          <w:lang w:val="en-GB"/>
        </w:rPr>
        <w:t>high.</w:t>
      </w:r>
      <w:r>
        <w:rPr>
          <w:lang w:val="en-GB"/>
        </w:rPr>
        <w:t xml:space="preserve"> The screenshot of the dataset has been provided below</w:t>
      </w:r>
      <w:r>
        <w:rPr>
          <w:lang w:val="en-GB"/>
        </w:rPr>
        <w:t>, where the application of the formula is clearly visible</w:t>
      </w:r>
      <w:r>
        <w:rPr>
          <w:lang w:val="en-GB"/>
        </w:rPr>
        <w:t>.</w:t>
      </w:r>
    </w:p>
    <w:p w14:paraId="0000003A">
      <w:pPr>
        <w:rPr>
          <w:lang w:val="en-GB"/>
        </w:rPr>
      </w:pPr>
      <w:r>
        <w:rPr>
          <w:lang w:val="en-GB"/>
        </w:rPr>
        <w:drawing xmlns:mc="http://schemas.openxmlformats.org/markup-compatibility/2006">
          <wp:inline distT="0" distB="0" distL="0" distR="0">
            <wp:extent cx="5943600" cy="3444240"/>
            <wp:effectExtent l="0" t="0" r="0" b="0"/>
            <wp:docPr id="2088018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174602" name="Picture 1"/>
                    <pic:cNvPicPr/>
                  </pic:nvPicPr>
                  <pic:blipFill>
                    <a:blip r:embed="rId59"/>
                    <a:srcRect/>
                    <a:stretch>
                      <a:fillRect/>
                    </a:stretch>
                  </pic:blipFill>
                  <pic:spPr>
                    <a:xfrm>
                      <a:off x="0" y="0"/>
                      <a:ext cx="5943600" cy="3444240"/>
                    </a:xfrm>
                    <a:prstGeom prst="rect">
                      <a:avLst/>
                    </a:prstGeom>
                  </pic:spPr>
                </pic:pic>
              </a:graphicData>
            </a:graphic>
          </wp:inline>
        </w:drawing>
      </w:r>
    </w:p>
    <w:p w14:paraId="0000003B">
      <w:pPr>
        <w:rPr>
          <w:lang w:val="en-GB"/>
        </w:rPr>
      </w:pPr>
      <w:r>
        <w:rPr>
          <w:lang w:val="en-GB"/>
        </w:rPr>
        <w:t>Another function of Excel has been selected to be the Pivot Table</w:t>
      </w:r>
      <w:r>
        <w:rPr>
          <w:lang w:val="en-GB"/>
        </w:rPr>
        <w:t xml:space="preserve">, as it is used to </w:t>
      </w:r>
      <w:r>
        <w:rPr>
          <w:lang w:val="en-GB"/>
        </w:rPr>
        <w:t xml:space="preserve">sort the database into more understandable and </w:t>
      </w:r>
      <w:r>
        <w:rPr>
          <w:lang w:val="en-GB"/>
        </w:rPr>
        <w:t xml:space="preserve">easily interpretable </w:t>
      </w:r>
      <w:r>
        <w:rPr>
          <w:lang w:val="en-GB"/>
        </w:rPr>
        <w:t xml:space="preserve">state. </w:t>
      </w:r>
      <w:r>
        <w:rPr>
          <w:lang w:val="en-GB"/>
        </w:rPr>
        <w:t xml:space="preserve">In the first step, </w:t>
      </w:r>
      <w:r>
        <w:rPr>
          <w:lang w:val="en-GB"/>
        </w:rPr>
        <w:t xml:space="preserve">the option of pivot table from the </w:t>
      </w:r>
      <w:r>
        <w:rPr>
          <w:lang w:val="en-GB"/>
        </w:rPr>
        <w:t>Insert tab must be selected</w:t>
      </w:r>
      <w:r>
        <w:rPr>
          <w:lang w:val="en-GB"/>
        </w:rPr>
        <w:t xml:space="preserve">. The action can be understood by observing </w:t>
      </w:r>
      <w:r>
        <w:rPr>
          <w:lang w:val="en-GB"/>
        </w:rPr>
        <w:t xml:space="preserve">the </w:t>
      </w:r>
      <w:r>
        <w:rPr>
          <w:lang w:val="en-GB"/>
        </w:rPr>
        <w:t>following image.</w:t>
      </w:r>
    </w:p>
    <w:p w14:paraId="0000003C">
      <w:pPr>
        <w:spacing w:line="240" w:lineRule="auto"/>
        <w:jc w:val="center"/>
        <w:rPr>
          <w:lang w:val="en-GB"/>
        </w:rPr>
      </w:pPr>
      <w:r>
        <w:rPr>
          <w:lang w:val="en-GB"/>
        </w:rPr>
        <w:drawing xmlns:mc="http://schemas.openxmlformats.org/markup-compatibility/2006">
          <wp:inline distT="0" distB="0" distL="0" distR="0">
            <wp:extent cx="4702435" cy="3331660"/>
            <wp:effectExtent l="0" t="0" r="0" b="0"/>
            <wp:docPr id="2088018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849806" name="Picture 1"/>
                    <pic:cNvPicPr/>
                  </pic:nvPicPr>
                  <pic:blipFill>
                    <a:blip r:embed="rId60"/>
                    <a:srcRect/>
                    <a:stretch>
                      <a:fillRect/>
                    </a:stretch>
                  </pic:blipFill>
                  <pic:spPr>
                    <a:xfrm>
                      <a:off x="0" y="0"/>
                      <a:ext cx="4702435" cy="3331660"/>
                    </a:xfrm>
                    <a:prstGeom prst="rect">
                      <a:avLst/>
                    </a:prstGeom>
                  </pic:spPr>
                </pic:pic>
              </a:graphicData>
            </a:graphic>
          </wp:inline>
        </w:drawing>
      </w:r>
    </w:p>
    <w:p w14:paraId="0000003D">
      <w:pPr>
        <w:rPr>
          <w:lang w:val="en-GB"/>
        </w:rPr>
      </w:pPr>
      <w:r>
        <w:rPr>
          <w:lang w:val="en-GB"/>
        </w:rPr>
        <w:t xml:space="preserve">A command box will appear, as shown in the image below. </w:t>
      </w:r>
      <w:r>
        <w:rPr>
          <w:lang w:val="en-GB"/>
        </w:rPr>
        <w:t>The table had been automatically selected</w:t>
      </w:r>
      <w:r>
        <w:rPr>
          <w:lang w:val="en-GB"/>
        </w:rPr>
        <w:t>. Only the output worksheet had been selected to be the existing worksheet.</w:t>
      </w:r>
    </w:p>
    <w:p w14:paraId="0000003E">
      <w:pPr>
        <w:jc w:val="center"/>
        <w:rPr>
          <w:lang w:val="en-GB"/>
        </w:rPr>
      </w:pPr>
      <w:r>
        <w:rPr>
          <w:lang w:val="en-GB"/>
        </w:rPr>
        <w:drawing xmlns:mc="http://schemas.openxmlformats.org/markup-compatibility/2006">
          <wp:inline distT="0" distB="0" distL="0" distR="0">
            <wp:extent cx="4179111" cy="2861734"/>
            <wp:effectExtent l="0" t="0" r="0" b="0"/>
            <wp:docPr id="2088018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56882" name="Picture 1"/>
                    <pic:cNvPicPr/>
                  </pic:nvPicPr>
                  <pic:blipFill>
                    <a:blip r:embed="rId61"/>
                    <a:srcRect/>
                    <a:stretch>
                      <a:fillRect/>
                    </a:stretch>
                  </pic:blipFill>
                  <pic:spPr>
                    <a:xfrm>
                      <a:off x="0" y="0"/>
                      <a:ext cx="4179111" cy="2861734"/>
                    </a:xfrm>
                    <a:prstGeom prst="rect">
                      <a:avLst/>
                    </a:prstGeom>
                  </pic:spPr>
                </pic:pic>
              </a:graphicData>
            </a:graphic>
          </wp:inline>
        </w:drawing>
      </w:r>
    </w:p>
    <w:p w14:paraId="0000003F">
      <w:pPr>
        <w:rPr>
          <w:lang w:val="en-GB"/>
        </w:rPr>
      </w:pPr>
      <w:r>
        <w:rPr>
          <w:lang w:val="en-GB"/>
        </w:rPr>
        <w:t>After the OK button is pressed, the Pivot table is produced without any contents. However, the variables can be chosen from the right selection bar</w:t>
      </w:r>
      <w:r>
        <w:rPr>
          <w:lang w:val="en-GB"/>
        </w:rPr>
        <w:t>, as shown below</w:t>
      </w:r>
      <w:r>
        <w:rPr>
          <w:lang w:val="en-GB"/>
        </w:rPr>
        <w:t>.</w:t>
      </w:r>
    </w:p>
    <w:p w14:paraId="00000040">
      <w:pPr>
        <w:jc w:val="center"/>
        <w:rPr>
          <w:lang w:val="en-GB"/>
        </w:rPr>
      </w:pPr>
      <w:r>
        <w:rPr>
          <w:lang w:val="en-GB"/>
        </w:rPr>
        <w:drawing xmlns:mc="http://schemas.openxmlformats.org/markup-compatibility/2006">
          <wp:inline distT="0" distB="0" distL="0" distR="0">
            <wp:extent cx="5067178" cy="3217333"/>
            <wp:effectExtent l="0" t="0" r="0" b="0"/>
            <wp:docPr id="2088018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050837" name="Picture 1"/>
                    <pic:cNvPicPr/>
                  </pic:nvPicPr>
                  <pic:blipFill>
                    <a:blip r:embed="rId62"/>
                    <a:srcRect/>
                    <a:stretch>
                      <a:fillRect/>
                    </a:stretch>
                  </pic:blipFill>
                  <pic:spPr>
                    <a:xfrm>
                      <a:off x="0" y="0"/>
                      <a:ext cx="5067178" cy="3217333"/>
                    </a:xfrm>
                    <a:prstGeom prst="rect">
                      <a:avLst/>
                    </a:prstGeom>
                  </pic:spPr>
                </pic:pic>
              </a:graphicData>
            </a:graphic>
          </wp:inline>
        </w:drawing>
      </w:r>
    </w:p>
    <w:p w14:paraId="00000041">
      <w:pPr>
        <w:rPr>
          <w:lang w:val="en-GB"/>
        </w:rPr>
      </w:pPr>
      <w:r>
        <w:rPr>
          <w:lang w:val="en-GB"/>
        </w:rPr>
        <w:t>After making the selection, the pivot table is automatically updated in real time.</w:t>
      </w:r>
      <w:r>
        <w:rPr>
          <w:lang w:val="en-GB"/>
        </w:rPr>
        <w:t xml:space="preserve"> The appropriate mix of variables are chosen to produce the desired </w:t>
      </w:r>
      <w:r>
        <w:rPr>
          <w:lang w:val="en-GB"/>
        </w:rPr>
        <w:t>pivot table as shown below.</w:t>
      </w:r>
    </w:p>
    <w:p w14:paraId="00000042">
      <w:pPr>
        <w:jc w:val="center"/>
        <w:rPr>
          <w:lang w:val="en-GB"/>
        </w:rPr>
      </w:pPr>
      <w:r>
        <w:rPr>
          <w:lang w:val="en-GB"/>
        </w:rPr>
        <w:drawing xmlns:mc="http://schemas.openxmlformats.org/markup-compatibility/2006">
          <wp:inline distT="0" distB="0" distL="0" distR="0">
            <wp:extent cx="5366988" cy="4191000"/>
            <wp:effectExtent l="0" t="0" r="0" b="0"/>
            <wp:docPr id="2088018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685754" name="Picture 1"/>
                    <pic:cNvPicPr/>
                  </pic:nvPicPr>
                  <pic:blipFill>
                    <a:blip r:embed="rId63"/>
                    <a:srcRect/>
                    <a:stretch>
                      <a:fillRect/>
                    </a:stretch>
                  </pic:blipFill>
                  <pic:spPr>
                    <a:xfrm>
                      <a:off x="0" y="0"/>
                      <a:ext cx="5366988" cy="4191000"/>
                    </a:xfrm>
                    <a:prstGeom prst="rect">
                      <a:avLst/>
                    </a:prstGeom>
                  </pic:spPr>
                </pic:pic>
              </a:graphicData>
            </a:graphic>
          </wp:inline>
        </w:drawing>
      </w:r>
    </w:p>
    <w:p w14:paraId="00000043">
      <w:pPr>
        <w:pStyle w:val="Heading2"/>
        <w:rPr>
          <w:rFonts w:eastAsiaTheme="minorHAnsi"/>
          <w:lang w:val="en-GB"/>
        </w:rPr>
      </w:pPr>
      <w:bookmarkStart w:id="4" w:name="_Toc153753845"/>
      <w:r>
        <w:rPr>
          <w:rFonts w:eastAsiaTheme="minorHAnsi"/>
          <w:lang w:val="en-GB"/>
        </w:rPr>
        <w:t>Couple of Charts Constructed in Excel</w:t>
      </w:r>
      <w:bookmarkEnd w:id="4"/>
    </w:p>
    <w:p w14:paraId="00000044">
      <w:pPr>
        <w:rPr>
          <w:lang w:val="en-GB"/>
        </w:rPr>
      </w:pPr>
      <w:r>
        <w:rPr>
          <w:lang w:val="en-GB"/>
        </w:rPr>
        <w:t xml:space="preserve">Charts are an effective tool to </w:t>
      </w:r>
      <w:r>
        <w:rPr>
          <w:lang w:val="en-GB"/>
        </w:rPr>
        <w:t>illustrate the findings of the data analysis</w:t>
      </w:r>
      <w:r>
        <w:rPr>
          <w:lang w:val="en-GB"/>
        </w:rPr>
        <w:t xml:space="preserve"> </w:t>
      </w:r>
      <w:r>
        <w:rPr>
          <w:rFonts w:eastAsia="Times New Roman"/>
        </w:rPr>
        <w:t xml:space="preserve">(Edjabou </w:t>
      </w:r>
      <w:r>
        <w:rPr>
          <w:rFonts w:eastAsia="Times New Roman"/>
          <w:i/>
          <w:iCs/>
        </w:rPr>
        <w:t>et al.</w:t>
      </w:r>
      <w:r>
        <w:rPr>
          <w:rFonts w:eastAsia="Times New Roman"/>
        </w:rPr>
        <w:t>, 2017)</w:t>
      </w:r>
      <w:r>
        <w:rPr>
          <w:lang w:val="en-GB"/>
        </w:rPr>
        <w:t xml:space="preserve">. </w:t>
      </w:r>
      <w:r>
        <w:rPr>
          <w:lang w:val="en-GB"/>
        </w:rPr>
        <w:t xml:space="preserve">Firstly, </w:t>
      </w:r>
      <w:r>
        <w:rPr>
          <w:lang w:val="en-GB"/>
        </w:rPr>
        <w:t xml:space="preserve">using </w:t>
      </w:r>
      <w:r>
        <w:rPr>
          <w:lang w:val="en-GB"/>
        </w:rPr>
        <w:t>the</w:t>
      </w:r>
      <w:r>
        <w:rPr>
          <w:lang w:val="en-GB"/>
        </w:rPr>
        <w:t xml:space="preserve"> pivot table, </w:t>
      </w:r>
      <w:r>
        <w:rPr>
          <w:lang w:val="en-GB"/>
        </w:rPr>
        <w:t xml:space="preserve">a bar chart can be constructed. </w:t>
      </w:r>
      <w:r>
        <w:rPr>
          <w:lang w:val="en-GB"/>
        </w:rPr>
        <w:t xml:space="preserve">Thus, entire pivot table must be selected and the bar chart option from the </w:t>
      </w:r>
      <w:r>
        <w:rPr>
          <w:lang w:val="en-GB"/>
        </w:rPr>
        <w:t>Insert chart tab must be selected, as shown below.</w:t>
      </w:r>
    </w:p>
    <w:p w14:paraId="00000045">
      <w:pPr>
        <w:spacing w:line="240" w:lineRule="auto"/>
        <w:rPr>
          <w:lang w:val="en-GB"/>
        </w:rPr>
      </w:pPr>
      <w:r>
        <w:rPr>
          <w:lang w:val="en-GB"/>
        </w:rPr>
        <w:drawing xmlns:mc="http://schemas.openxmlformats.org/markup-compatibility/2006">
          <wp:inline distT="0" distB="0" distL="0" distR="0">
            <wp:extent cx="5943600" cy="3225800"/>
            <wp:effectExtent l="0" t="0" r="0" b="0"/>
            <wp:docPr id="2088018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768554" name="Picture 1"/>
                    <pic:cNvPicPr/>
                  </pic:nvPicPr>
                  <pic:blipFill>
                    <a:blip r:embed="rId64"/>
                    <a:srcRect/>
                    <a:stretch>
                      <a:fillRect/>
                    </a:stretch>
                  </pic:blipFill>
                  <pic:spPr>
                    <a:xfrm>
                      <a:off x="0" y="0"/>
                      <a:ext cx="5943600" cy="3225800"/>
                    </a:xfrm>
                    <a:prstGeom prst="rect">
                      <a:avLst/>
                    </a:prstGeom>
                  </pic:spPr>
                </pic:pic>
              </a:graphicData>
            </a:graphic>
          </wp:inline>
        </w:drawing>
      </w:r>
    </w:p>
    <w:p w14:paraId="00000046">
      <w:pPr>
        <w:rPr>
          <w:lang w:val="en-GB"/>
        </w:rPr>
      </w:pPr>
      <w:r>
        <w:rPr>
          <w:lang w:val="en-GB"/>
        </w:rPr>
        <w:t xml:space="preserve">The appropriate bar chart of the pivot table shall be created automatically. </w:t>
      </w:r>
      <w:r>
        <w:rPr>
          <w:lang w:val="en-GB"/>
        </w:rPr>
        <w:t>Any changes in the pivot table would be updated in the chart, also, any changes in the chart would result in changes in the pivot table.</w:t>
      </w:r>
    </w:p>
    <w:p w14:paraId="00000047">
      <w:pPr>
        <w:rPr>
          <w:lang w:val="en-GB"/>
        </w:rPr>
      </w:pPr>
      <w:r>
        <w:rPr>
          <w:lang w:val="en-GB"/>
        </w:rPr>
        <w:drawing xmlns:mc="http://schemas.openxmlformats.org/markup-compatibility/2006">
          <wp:inline distT="0" distB="0" distL="0" distR="0">
            <wp:extent cx="5943600" cy="2576195"/>
            <wp:effectExtent l="0" t="0" r="0" b="0"/>
            <wp:docPr id="2088018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70881" name="Picture 1"/>
                    <pic:cNvPicPr/>
                  </pic:nvPicPr>
                  <pic:blipFill>
                    <a:blip r:embed="rId65"/>
                    <a:srcRect/>
                    <a:stretch>
                      <a:fillRect/>
                    </a:stretch>
                  </pic:blipFill>
                  <pic:spPr>
                    <a:xfrm>
                      <a:off x="0" y="0"/>
                      <a:ext cx="5943600" cy="2576195"/>
                    </a:xfrm>
                    <a:prstGeom prst="rect">
                      <a:avLst/>
                    </a:prstGeom>
                  </pic:spPr>
                </pic:pic>
              </a:graphicData>
            </a:graphic>
          </wp:inline>
        </w:drawing>
      </w:r>
    </w:p>
    <w:p w14:paraId="00000048">
      <w:pPr>
        <w:rPr>
          <w:lang w:val="en-GB"/>
        </w:rPr>
      </w:pPr>
      <w:r>
        <w:rPr>
          <w:lang w:val="en-GB"/>
        </w:rPr>
        <w:t xml:space="preserve">Secondly, </w:t>
      </w:r>
      <w:r>
        <w:rPr>
          <w:lang w:val="en-GB"/>
        </w:rPr>
        <w:t xml:space="preserve">another chart can be constructed </w:t>
      </w:r>
      <w:r>
        <w:rPr>
          <w:lang w:val="en-GB"/>
        </w:rPr>
        <w:t xml:space="preserve">using a pie chart. </w:t>
      </w:r>
      <w:r>
        <w:rPr>
          <w:lang w:val="en-GB"/>
        </w:rPr>
        <w:t xml:space="preserve">This shall be </w:t>
      </w:r>
      <w:r>
        <w:rPr>
          <w:lang w:val="en-GB"/>
        </w:rPr>
        <w:t xml:space="preserve">done by </w:t>
      </w:r>
      <w:r>
        <w:rPr>
          <w:lang w:val="en-GB"/>
        </w:rPr>
        <w:t xml:space="preserve">implementing the </w:t>
      </w:r>
      <w:r>
        <w:rPr>
          <w:lang w:val="en-GB"/>
        </w:rPr>
        <w:t>countif</w:t>
      </w:r>
      <w:r>
        <w:rPr>
          <w:lang w:val="en-GB"/>
        </w:rPr>
        <w:t xml:space="preserve"> function to </w:t>
      </w:r>
      <w:r>
        <w:rPr>
          <w:lang w:val="en-GB"/>
        </w:rPr>
        <w:t xml:space="preserve">count the hotel reservation having standard and high average prices. </w:t>
      </w:r>
      <w:r>
        <w:rPr>
          <w:lang w:val="en-GB"/>
        </w:rPr>
        <w:t xml:space="preserve">A </w:t>
      </w:r>
      <w:r>
        <w:rPr>
          <w:lang w:val="en-GB"/>
        </w:rPr>
        <w:t>pie chart</w:t>
      </w:r>
      <w:r>
        <w:rPr>
          <w:lang w:val="en-GB"/>
        </w:rPr>
        <w:t xml:space="preserve"> shall be constructed afterwards. The </w:t>
      </w:r>
      <w:r>
        <w:rPr>
          <w:lang w:val="en-GB"/>
        </w:rPr>
        <w:t>countif</w:t>
      </w:r>
      <w:r>
        <w:rPr>
          <w:lang w:val="en-GB"/>
        </w:rPr>
        <w:t xml:space="preserve"> formula had been </w:t>
      </w:r>
      <w:r>
        <w:rPr>
          <w:lang w:val="en-GB"/>
        </w:rPr>
        <w:t>applied over the IF function column as shown belo</w:t>
      </w:r>
      <w:r>
        <w:rPr>
          <w:lang w:val="en-GB"/>
        </w:rPr>
        <w:t>w.</w:t>
      </w:r>
    </w:p>
    <w:p w14:paraId="00000049">
      <w:pPr>
        <w:jc w:val="center"/>
        <w:rPr>
          <w:lang w:val="en-GB"/>
        </w:rPr>
      </w:pPr>
      <w:r>
        <w:rPr>
          <w:lang w:val="en-GB"/>
        </w:rPr>
        <w:drawing xmlns:mc="http://schemas.openxmlformats.org/markup-compatibility/2006">
          <wp:inline distT="0" distB="0" distL="0" distR="0">
            <wp:extent cx="4778154" cy="1562235"/>
            <wp:effectExtent l="0" t="0" r="0" b="0"/>
            <wp:docPr id="2088018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092158" name="Picture 1"/>
                    <pic:cNvPicPr/>
                  </pic:nvPicPr>
                  <pic:blipFill>
                    <a:blip r:embed="rId66"/>
                    <a:srcRect/>
                    <a:stretch>
                      <a:fillRect/>
                    </a:stretch>
                  </pic:blipFill>
                  <pic:spPr>
                    <a:xfrm>
                      <a:off x="0" y="0"/>
                      <a:ext cx="4778154" cy="1562235"/>
                    </a:xfrm>
                    <a:prstGeom prst="rect">
                      <a:avLst/>
                    </a:prstGeom>
                  </pic:spPr>
                </pic:pic>
              </a:graphicData>
            </a:graphic>
          </wp:inline>
        </w:drawing>
      </w:r>
    </w:p>
    <w:p w14:paraId="0000004A">
      <w:pPr>
        <w:rPr>
          <w:lang w:val="en-GB"/>
        </w:rPr>
      </w:pPr>
      <w:r>
        <w:rPr>
          <w:lang w:val="en-GB"/>
        </w:rPr>
        <w:t xml:space="preserve">Then, the results of the </w:t>
      </w:r>
      <w:r>
        <w:rPr>
          <w:lang w:val="en-GB"/>
        </w:rPr>
        <w:t>countif</w:t>
      </w:r>
      <w:r>
        <w:rPr>
          <w:lang w:val="en-GB"/>
        </w:rPr>
        <w:t xml:space="preserve"> formula had been used to generate the pie chart, as shown below.</w:t>
      </w:r>
    </w:p>
    <w:p w14:paraId="0000004B">
      <w:pPr>
        <w:rPr>
          <w:lang w:val="en-GB"/>
        </w:rPr>
      </w:pPr>
      <w:r>
        <w:rPr>
          <w:lang w:val="en-GB"/>
        </w:rPr>
        <w:drawing xmlns:mc="http://schemas.openxmlformats.org/markup-compatibility/2006">
          <wp:inline distT="0" distB="0" distL="0" distR="0">
            <wp:extent cx="5943600" cy="4058920"/>
            <wp:effectExtent l="0" t="0" r="0" b="0"/>
            <wp:docPr id="2088018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018691" name="Picture 1"/>
                    <pic:cNvPicPr/>
                  </pic:nvPicPr>
                  <pic:blipFill>
                    <a:blip r:embed="rId67"/>
                    <a:srcRect/>
                    <a:stretch>
                      <a:fillRect/>
                    </a:stretch>
                  </pic:blipFill>
                  <pic:spPr>
                    <a:xfrm>
                      <a:off x="0" y="0"/>
                      <a:ext cx="5943600" cy="4058920"/>
                    </a:xfrm>
                    <a:prstGeom prst="rect">
                      <a:avLst/>
                    </a:prstGeom>
                  </pic:spPr>
                </pic:pic>
              </a:graphicData>
            </a:graphic>
          </wp:inline>
        </w:drawing>
      </w:r>
    </w:p>
    <w:p w14:paraId="0000004C">
      <w:pPr>
        <w:rPr>
          <w:lang w:val="en-GB"/>
        </w:rPr>
      </w:pPr>
      <w:r>
        <w:rPr>
          <w:lang w:val="en-GB"/>
        </w:rPr>
        <w:t>Then, a</w:t>
      </w:r>
      <w:r>
        <w:rPr>
          <w:lang w:val="en-GB"/>
        </w:rPr>
        <w:t>n un</w:t>
      </w:r>
      <w:r>
        <w:rPr>
          <w:lang w:val="en-GB"/>
        </w:rPr>
        <w:t xml:space="preserve">labelled </w:t>
      </w:r>
      <w:r>
        <w:rPr>
          <w:lang w:val="en-GB"/>
        </w:rPr>
        <w:t xml:space="preserve">chart would be formed. In order to fully label it, the chart title had been changed and the labels had been added using the </w:t>
      </w:r>
      <w:r>
        <w:rPr>
          <w:lang w:val="en-GB"/>
        </w:rPr>
        <w:t>plus sign beside the chart</w:t>
      </w:r>
      <w:r>
        <w:rPr>
          <w:lang w:val="en-GB"/>
        </w:rPr>
        <w:t xml:space="preserve">. After the changes, the following pie chart had been created to illustrate the percentage of the </w:t>
      </w:r>
      <w:r>
        <w:rPr>
          <w:lang w:val="en-GB"/>
        </w:rPr>
        <w:t>reservation with high prices.</w:t>
      </w:r>
    </w:p>
    <w:p w14:paraId="0000004D">
      <w:pPr>
        <w:jc w:val="center"/>
        <w:rPr>
          <w:lang w:val="en-GB"/>
        </w:rPr>
        <w:sectPr>
          <w:pgSz w:w="12240" w:h="15840"/>
          <w:pgMar w:top="1440" w:right="1440" w:bottom="1440" w:left="1440" w:header="720" w:footer="720" w:gutter="0"/>
          <w:pgNumType w:start="1"/>
          <w:cols w:space="720"/>
          <w:titlePg/>
        </w:sectPr>
      </w:pPr>
      <w:r>
        <w:rPr>
          <w:lang w:val="en-GB"/>
        </w:rPr>
        <w:drawing xmlns:mc="http://schemas.openxmlformats.org/markup-compatibility/2006">
          <wp:inline distT="0" distB="0" distL="0" distR="0">
            <wp:extent cx="3413760" cy="2853267"/>
            <wp:effectExtent l="0" t="0" r="0" b="0"/>
            <wp:docPr id="2088018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756986" name="Picture 1"/>
                    <pic:cNvPicPr/>
                  </pic:nvPicPr>
                  <pic:blipFill>
                    <a:blip r:embed="rId68"/>
                    <a:srcRect/>
                    <a:stretch>
                      <a:fillRect/>
                    </a:stretch>
                  </pic:blipFill>
                  <pic:spPr>
                    <a:xfrm>
                      <a:off x="0" y="0"/>
                      <a:ext cx="3413760" cy="2853267"/>
                    </a:xfrm>
                    <a:prstGeom prst="rect">
                      <a:avLst/>
                    </a:prstGeom>
                  </pic:spPr>
                </pic:pic>
              </a:graphicData>
            </a:graphic>
          </wp:inline>
        </w:drawing>
      </w:r>
      <w:r>
        <w:rPr>
          <w:lang w:val="en-GB"/>
        </w:rPr>
        <w:t>
</w:t>
      </w:r>
    </w:p>
    <w:p w14:paraId="0000004E">
      <w:pPr>
        <w:pStyle w:val="Heading1"/>
        <w:rPr>
          <w:lang w:val="en-GB"/>
        </w:rPr>
      </w:pPr>
      <w:bookmarkStart w:id="5" w:name="_Toc153753846"/>
      <w:r>
        <w:rPr>
          <w:lang w:val="en-GB"/>
        </w:rPr>
        <w:t>Part 2</w:t>
      </w:r>
      <w:bookmarkEnd w:id="5"/>
    </w:p>
    <w:p w14:paraId="0000004F">
      <w:pPr>
        <w:pStyle w:val="ListParagraph"/>
        <w:numPr>
          <w:ilvl w:val="0"/>
          <w:numId w:val="2"/>
        </w:numPr>
        <w:rPr>
          <w:lang w:val="en-GB"/>
        </w:rPr>
      </w:pPr>
      <w:r>
        <w:rPr>
          <w:lang w:val="en-GB"/>
        </w:rPr>
        <w:t>The school has recently switched to SPSS to store and analyse data</w:t>
      </w:r>
      <w:r>
        <w:rPr>
          <w:lang w:val="en-GB"/>
        </w:rPr>
        <w:t xml:space="preserve">. Thus, in order to identify the number of </w:t>
      </w:r>
      <w:r>
        <w:rPr>
          <w:lang w:val="en-GB"/>
        </w:rPr>
        <w:t>students based on their gender</w:t>
      </w:r>
      <w:r>
        <w:rPr>
          <w:lang w:val="en-GB"/>
        </w:rPr>
        <w:t xml:space="preserve"> the following steps had been </w:t>
      </w:r>
      <w:r>
        <w:rPr>
          <w:lang w:val="en-GB"/>
        </w:rPr>
        <w:t xml:space="preserve">conducted </w:t>
      </w:r>
      <w:r>
        <w:rPr>
          <w:lang w:val="en-GB"/>
        </w:rPr>
        <w:t xml:space="preserve">in </w:t>
      </w:r>
      <w:r>
        <w:rPr>
          <w:lang w:val="en-GB"/>
        </w:rPr>
        <w:t xml:space="preserve">Excel and </w:t>
      </w:r>
      <w:r>
        <w:rPr>
          <w:lang w:val="en-GB"/>
        </w:rPr>
        <w:t>SPSS.</w:t>
      </w:r>
      <w:r>
        <w:rPr>
          <w:lang w:val="en-GB"/>
        </w:rPr>
        <w:t xml:space="preserve"> In Excel, the </w:t>
      </w:r>
      <w:r>
        <w:rPr>
          <w:lang w:val="en-GB"/>
        </w:rPr>
        <w:t>countif</w:t>
      </w:r>
      <w:r>
        <w:rPr>
          <w:lang w:val="en-GB"/>
        </w:rPr>
        <w:t xml:space="preserve"> function had been used to identify the number of students who are male and female</w:t>
      </w:r>
      <w:r>
        <w:rPr>
          <w:lang w:val="en-GB"/>
        </w:rPr>
        <w:t>, as shown in the image below</w:t>
      </w:r>
      <w:r>
        <w:rPr>
          <w:lang w:val="en-GB"/>
        </w:rPr>
        <w:t>.</w:t>
      </w:r>
    </w:p>
    <w:p w14:paraId="00000050">
      <w:pPr>
        <w:rPr>
          <w:lang w:val="en-GB"/>
        </w:rPr>
      </w:pPr>
      <w:r>
        <w:rPr>
          <w:lang w:val="en-GB"/>
        </w:rPr>
        <w:drawing xmlns:mc="http://schemas.openxmlformats.org/markup-compatibility/2006">
          <wp:inline distT="0" distB="0" distL="0" distR="0">
            <wp:extent cx="5943600" cy="3458210"/>
            <wp:effectExtent l="0" t="0" r="0" b="0"/>
            <wp:docPr id="2088018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221962" name="Picture 1"/>
                    <pic:cNvPicPr/>
                  </pic:nvPicPr>
                  <pic:blipFill>
                    <a:blip r:embed="rId69"/>
                    <a:srcRect/>
                    <a:stretch>
                      <a:fillRect/>
                    </a:stretch>
                  </pic:blipFill>
                  <pic:spPr>
                    <a:xfrm>
                      <a:off x="0" y="0"/>
                      <a:ext cx="5943600" cy="3458210"/>
                    </a:xfrm>
                    <a:prstGeom prst="rect">
                      <a:avLst/>
                    </a:prstGeom>
                  </pic:spPr>
                </pic:pic>
              </a:graphicData>
            </a:graphic>
          </wp:inline>
        </w:drawing>
      </w:r>
    </w:p>
    <w:p w14:paraId="00000051">
      <w:pPr>
        <w:rPr>
          <w:lang w:val="en-GB"/>
        </w:rPr>
      </w:pPr>
      <w:r>
        <w:rPr>
          <w:lang w:val="en-GB"/>
        </w:rPr>
        <w:drawing xmlns:mc="http://schemas.openxmlformats.org/markup-compatibility/2006">
          <wp:inline distT="0" distB="0" distL="0" distR="0">
            <wp:extent cx="5943600" cy="3604895"/>
            <wp:effectExtent l="0" t="0" r="0" b="0"/>
            <wp:docPr id="2088018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423423" name="Picture 1"/>
                    <pic:cNvPicPr/>
                  </pic:nvPicPr>
                  <pic:blipFill>
                    <a:blip r:embed="rId70"/>
                    <a:srcRect/>
                    <a:stretch>
                      <a:fillRect/>
                    </a:stretch>
                  </pic:blipFill>
                  <pic:spPr>
                    <a:xfrm>
                      <a:off x="0" y="0"/>
                      <a:ext cx="5943600" cy="3604895"/>
                    </a:xfrm>
                    <a:prstGeom prst="rect">
                      <a:avLst/>
                    </a:prstGeom>
                  </pic:spPr>
                </pic:pic>
              </a:graphicData>
            </a:graphic>
          </wp:inline>
        </w:drawing>
      </w:r>
    </w:p>
    <w:p w14:paraId="00000052">
      <w:pPr>
        <w:rPr>
          <w:lang w:val="en-GB"/>
        </w:rPr>
      </w:pPr>
      <w:r>
        <w:rPr>
          <w:lang w:val="en-GB"/>
        </w:rPr>
        <w:t xml:space="preserve">The number of students who are male </w:t>
      </w:r>
      <w:r>
        <w:rPr>
          <w:lang w:val="en-GB"/>
        </w:rPr>
        <w:t>had been</w:t>
      </w:r>
      <w:r>
        <w:rPr>
          <w:lang w:val="en-GB"/>
        </w:rPr>
        <w:t xml:space="preserve"> </w:t>
      </w:r>
      <w:r>
        <w:rPr>
          <w:lang w:val="en-GB"/>
        </w:rPr>
        <w:t>1,056</w:t>
      </w:r>
      <w:r>
        <w:rPr>
          <w:lang w:val="en-GB"/>
        </w:rPr>
        <w:t xml:space="preserve"> and the student who are female </w:t>
      </w:r>
      <w:r>
        <w:rPr>
          <w:lang w:val="en-GB"/>
        </w:rPr>
        <w:t>had been</w:t>
      </w:r>
      <w:r>
        <w:rPr>
          <w:lang w:val="en-GB"/>
        </w:rPr>
        <w:t xml:space="preserve"> </w:t>
      </w:r>
      <w:r>
        <w:rPr>
          <w:lang w:val="en-GB"/>
        </w:rPr>
        <w:t>1,077</w:t>
      </w:r>
      <w:r>
        <w:rPr>
          <w:lang w:val="en-GB"/>
        </w:rPr>
        <w:t>.</w:t>
      </w:r>
    </w:p>
    <w:p w14:paraId="00000053">
      <w:pPr>
        <w:pStyle w:val="ListParagraph"/>
        <w:numPr>
          <w:ilvl w:val="0"/>
          <w:numId w:val="2"/>
        </w:numPr>
        <w:rPr>
          <w:lang w:val="en-GB"/>
        </w:rPr>
      </w:pPr>
      <w:r>
        <w:rPr>
          <w:lang w:val="en-GB"/>
        </w:rPr>
        <w:t xml:space="preserve">In order to identify the </w:t>
      </w:r>
      <w:bookmarkStart w:id="6" w:name="_Hlk153729511"/>
      <w:r>
        <w:rPr>
          <w:lang w:val="en-GB"/>
        </w:rPr>
        <w:t xml:space="preserve">number of student who qualify </w:t>
      </w:r>
      <w:r>
        <w:rPr>
          <w:lang w:val="en-GB"/>
        </w:rPr>
        <w:t xml:space="preserve">for the reduced/free lunch </w:t>
      </w:r>
      <w:bookmarkEnd w:id="6"/>
      <w:r>
        <w:rPr>
          <w:lang w:val="en-GB"/>
        </w:rPr>
        <w:t xml:space="preserve">and who have not, the following step had been </w:t>
      </w:r>
      <w:r>
        <w:rPr>
          <w:lang w:val="en-GB"/>
        </w:rPr>
        <w:t xml:space="preserve">used. </w:t>
      </w:r>
      <w:r>
        <w:rPr>
          <w:lang w:val="en-GB"/>
        </w:rPr>
        <w:t xml:space="preserve">The </w:t>
      </w:r>
      <w:r>
        <w:rPr>
          <w:lang w:val="en-GB"/>
        </w:rPr>
        <w:t>countif</w:t>
      </w:r>
      <w:r>
        <w:rPr>
          <w:lang w:val="en-GB"/>
        </w:rPr>
        <w:t xml:space="preserve"> function in Excel had been used to identify the number of students who qualify and do not qualify for the free or reduced lunch at school.</w:t>
      </w:r>
    </w:p>
    <w:p w14:paraId="00000054">
      <w:pPr>
        <w:rPr>
          <w:lang w:val="en-GB"/>
        </w:rPr>
      </w:pPr>
      <w:r>
        <w:rPr>
          <w:lang w:val="en-GB"/>
        </w:rPr>
        <w:drawing xmlns:mc="http://schemas.openxmlformats.org/markup-compatibility/2006">
          <wp:inline distT="0" distB="0" distL="0" distR="0">
            <wp:extent cx="5943600" cy="2776855"/>
            <wp:effectExtent l="0" t="0" r="0" b="0"/>
            <wp:docPr id="2088018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517721" name="Picture 1"/>
                    <pic:cNvPicPr/>
                  </pic:nvPicPr>
                  <pic:blipFill>
                    <a:blip r:embed="rId71"/>
                    <a:srcRect/>
                    <a:stretch>
                      <a:fillRect/>
                    </a:stretch>
                  </pic:blipFill>
                  <pic:spPr>
                    <a:xfrm>
                      <a:off x="0" y="0"/>
                      <a:ext cx="5943600" cy="2776855"/>
                    </a:xfrm>
                    <a:prstGeom prst="rect">
                      <a:avLst/>
                    </a:prstGeom>
                  </pic:spPr>
                </pic:pic>
              </a:graphicData>
            </a:graphic>
          </wp:inline>
        </w:drawing>
      </w:r>
    </w:p>
    <w:p w14:paraId="00000055">
      <w:pPr>
        <w:rPr>
          <w:lang w:val="en-GB"/>
        </w:rPr>
      </w:pPr>
      <w:r>
        <w:rPr>
          <w:lang w:val="en-GB"/>
        </w:rPr>
        <w:drawing xmlns:mc="http://schemas.openxmlformats.org/markup-compatibility/2006">
          <wp:inline distT="0" distB="0" distL="0" distR="0">
            <wp:extent cx="5943600" cy="2943225"/>
            <wp:effectExtent l="0" t="0" r="0" b="0"/>
            <wp:docPr id="2088018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605116" name="Picture 1"/>
                    <pic:cNvPicPr/>
                  </pic:nvPicPr>
                  <pic:blipFill>
                    <a:blip r:embed="rId72"/>
                    <a:srcRect/>
                    <a:stretch>
                      <a:fillRect/>
                    </a:stretch>
                  </pic:blipFill>
                  <pic:spPr>
                    <a:xfrm>
                      <a:off x="0" y="0"/>
                      <a:ext cx="5943600" cy="2943225"/>
                    </a:xfrm>
                    <a:prstGeom prst="rect">
                      <a:avLst/>
                    </a:prstGeom>
                  </pic:spPr>
                </pic:pic>
              </a:graphicData>
            </a:graphic>
          </wp:inline>
        </w:drawing>
      </w:r>
    </w:p>
    <w:p w14:paraId="00000056">
      <w:pPr>
        <w:rPr>
          <w:lang w:val="en-GB"/>
        </w:rPr>
      </w:pPr>
      <w:r>
        <w:rPr>
          <w:lang w:val="en-GB"/>
        </w:rPr>
        <w:t xml:space="preserve">The number of student who qualify for the reduced/free lunch </w:t>
      </w:r>
      <w:r>
        <w:rPr>
          <w:lang w:val="en-GB"/>
        </w:rPr>
        <w:t xml:space="preserve">is </w:t>
      </w:r>
      <w:r>
        <w:rPr>
          <w:lang w:val="en-GB"/>
        </w:rPr>
        <w:t>918</w:t>
      </w:r>
      <w:r>
        <w:rPr>
          <w:lang w:val="en-GB"/>
        </w:rPr>
        <w:t xml:space="preserve"> and the number of student who did not qualify for the reduced/free lunch</w:t>
      </w:r>
      <w:r>
        <w:rPr>
          <w:lang w:val="en-GB"/>
        </w:rPr>
        <w:t xml:space="preserve"> is </w:t>
      </w:r>
      <w:r>
        <w:rPr>
          <w:lang w:val="en-GB"/>
        </w:rPr>
        <w:t>1,215</w:t>
      </w:r>
      <w:r>
        <w:rPr>
          <w:lang w:val="en-GB"/>
        </w:rPr>
        <w:t>.</w:t>
      </w:r>
    </w:p>
    <w:p w14:paraId="00000057">
      <w:pPr>
        <w:pStyle w:val="ListParagraph"/>
        <w:numPr>
          <w:ilvl w:val="0"/>
          <w:numId w:val="2"/>
        </w:numPr>
        <w:rPr>
          <w:lang w:val="en-GB"/>
        </w:rPr>
      </w:pPr>
      <w:r>
        <w:rPr>
          <w:lang w:val="en-GB"/>
        </w:rPr>
        <w:t xml:space="preserve">The mean of the students who had qualified for reduced/free lunch and who have not, the following step had been used. </w:t>
      </w:r>
      <w:r>
        <w:rPr>
          <w:lang w:val="en-GB"/>
        </w:rPr>
        <w:t>In order to identify the mean, firstly, the formula “</w:t>
      </w:r>
      <w:r>
        <w:rPr>
          <w:lang w:val="en-GB"/>
        </w:rPr>
        <w:t>=</w:t>
      </w:r>
      <w:r>
        <w:rPr>
          <w:lang w:val="en-GB"/>
        </w:rPr>
        <w:t xml:space="preserve"> AVERAGE </w:t>
      </w:r>
      <w:r>
        <w:rPr>
          <w:lang w:val="en-GB"/>
        </w:rPr>
        <w:t>(I2:I2134)</w:t>
      </w:r>
      <w:r>
        <w:rPr>
          <w:lang w:val="en-GB"/>
        </w:rPr>
        <w:t>” had been inserted. The mean value had then generated to be the following result.</w:t>
      </w:r>
    </w:p>
    <w:p w14:paraId="00000058">
      <w:pPr>
        <w:rPr>
          <w:lang w:val="en-GB"/>
        </w:rPr>
      </w:pPr>
      <w:r>
        <w:rPr>
          <w:lang w:val="en-GB"/>
        </w:rPr>
        <w:drawing xmlns:mc="http://schemas.openxmlformats.org/markup-compatibility/2006">
          <wp:inline distT="0" distB="0" distL="0" distR="0">
            <wp:extent cx="5943600" cy="2050415"/>
            <wp:effectExtent l="0" t="0" r="0" b="0"/>
            <wp:docPr id="2088018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029145" name="Picture 1"/>
                    <pic:cNvPicPr/>
                  </pic:nvPicPr>
                  <pic:blipFill>
                    <a:blip r:embed="rId73"/>
                    <a:srcRect/>
                    <a:stretch>
                      <a:fillRect/>
                    </a:stretch>
                  </pic:blipFill>
                  <pic:spPr>
                    <a:xfrm>
                      <a:off x="0" y="0"/>
                      <a:ext cx="5943600" cy="2050415"/>
                    </a:xfrm>
                    <a:prstGeom prst="rect">
                      <a:avLst/>
                    </a:prstGeom>
                  </pic:spPr>
                </pic:pic>
              </a:graphicData>
            </a:graphic>
          </wp:inline>
        </w:drawing>
      </w:r>
    </w:p>
    <w:p w14:paraId="00000059">
      <w:pPr>
        <w:rPr>
          <w:lang w:val="en-GB"/>
        </w:rPr>
      </w:pPr>
      <w:r>
        <w:rPr>
          <w:lang w:val="en-GB"/>
        </w:rPr>
        <w:t xml:space="preserve">The mean </w:t>
      </w:r>
      <w:r>
        <w:rPr>
          <w:lang w:val="en-GB"/>
        </w:rPr>
        <w:t>value of students who had qualified for the reduced/free lunch and students who did not qualify for the reduced/free lunch is</w:t>
      </w:r>
      <w:r>
        <w:rPr>
          <w:lang w:val="en-GB"/>
        </w:rPr>
        <w:t xml:space="preserve"> </w:t>
      </w:r>
      <w:r>
        <w:rPr>
          <w:lang w:val="en-GB"/>
        </w:rPr>
        <w:t>0.430379747</w:t>
      </w:r>
      <w:r>
        <w:rPr>
          <w:lang w:val="en-GB"/>
        </w:rPr>
        <w:t xml:space="preserve">, otherwise </w:t>
      </w:r>
      <w:r>
        <w:rPr>
          <w:lang w:val="en-GB"/>
        </w:rPr>
        <w:t>0 as an integer</w:t>
      </w:r>
      <w:r>
        <w:rPr>
          <w:lang w:val="en-GB"/>
        </w:rPr>
        <w:t>.</w:t>
      </w:r>
      <w:r>
        <w:rPr>
          <w:lang w:val="en-GB"/>
        </w:rPr>
        <w:t xml:space="preserve"> This means that the </w:t>
      </w:r>
      <w:r>
        <w:rPr>
          <w:lang w:val="en-GB"/>
        </w:rPr>
        <w:t xml:space="preserve">average </w:t>
      </w:r>
      <w:r>
        <w:rPr>
          <w:lang w:val="en-GB"/>
        </w:rPr>
        <w:t>number of students had not qualified for the free or reduced lunch at school.</w:t>
      </w:r>
    </w:p>
    <w:p w14:paraId="0000005A">
      <w:pPr>
        <w:rPr>
          <w:lang w:val="en-GB"/>
        </w:rPr>
      </w:pPr>
      <w:r>
        <w:rPr>
          <w:lang w:val="en-GB"/>
        </w:rPr>
        <w:t xml:space="preserve">The median of the students who had qualified for reduced/free lunch and who have not, the following step had been used. </w:t>
      </w:r>
      <w:r>
        <w:rPr>
          <w:lang w:val="en-GB"/>
        </w:rPr>
        <w:t>In order to identify the median, firstly, the formula “</w:t>
      </w:r>
      <w:r>
        <w:rPr>
          <w:lang w:val="en-GB"/>
        </w:rPr>
        <w:t>=</w:t>
      </w:r>
      <w:r>
        <w:rPr>
          <w:lang w:val="en-GB"/>
        </w:rPr>
        <w:t xml:space="preserve"> </w:t>
      </w:r>
      <w:r>
        <w:rPr>
          <w:lang w:val="en-GB"/>
        </w:rPr>
        <w:t>MEDIAN</w:t>
      </w:r>
      <w:r>
        <w:rPr>
          <w:lang w:val="en-GB"/>
        </w:rPr>
        <w:t xml:space="preserve"> </w:t>
      </w:r>
      <w:r>
        <w:rPr>
          <w:lang w:val="en-GB"/>
        </w:rPr>
        <w:t>(I2:I2134)</w:t>
      </w:r>
      <w:r>
        <w:rPr>
          <w:lang w:val="en-GB"/>
        </w:rPr>
        <w:t xml:space="preserve">” had been </w:t>
      </w:r>
      <w:r>
        <w:rPr>
          <w:lang w:val="en-GB"/>
        </w:rPr>
        <w:t xml:space="preserve">inserted. </w:t>
      </w:r>
      <w:r>
        <w:rPr>
          <w:lang w:val="en-GB"/>
        </w:rPr>
        <w:t xml:space="preserve">The median value had then generated to be </w:t>
      </w:r>
      <w:r>
        <w:rPr>
          <w:lang w:val="en-GB"/>
        </w:rPr>
        <w:t>the following result.</w:t>
      </w:r>
    </w:p>
    <w:p w14:paraId="0000005B">
      <w:pPr>
        <w:rPr>
          <w:lang w:val="en-GB"/>
        </w:rPr>
      </w:pPr>
      <w:r>
        <w:rPr>
          <w:lang w:val="en-GB"/>
        </w:rPr>
        <w:drawing xmlns:mc="http://schemas.openxmlformats.org/markup-compatibility/2006">
          <wp:inline distT="0" distB="0" distL="0" distR="0">
            <wp:extent cx="5943600" cy="2192020"/>
            <wp:effectExtent l="0" t="0" r="0" b="0"/>
            <wp:docPr id="2088018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709405" name="Picture 1"/>
                    <pic:cNvPicPr/>
                  </pic:nvPicPr>
                  <pic:blipFill>
                    <a:blip r:embed="rId74"/>
                    <a:srcRect/>
                    <a:stretch>
                      <a:fillRect/>
                    </a:stretch>
                  </pic:blipFill>
                  <pic:spPr>
                    <a:xfrm>
                      <a:off x="0" y="0"/>
                      <a:ext cx="5943600" cy="2192020"/>
                    </a:xfrm>
                    <a:prstGeom prst="rect">
                      <a:avLst/>
                    </a:prstGeom>
                  </pic:spPr>
                </pic:pic>
              </a:graphicData>
            </a:graphic>
          </wp:inline>
        </w:drawing>
      </w:r>
    </w:p>
    <w:p w14:paraId="0000005C">
      <w:pPr>
        <w:rPr>
          <w:lang w:val="en-GB"/>
        </w:rPr>
      </w:pPr>
      <w:r>
        <w:rPr>
          <w:lang w:val="en-GB"/>
        </w:rPr>
        <w:t>The median value of student</w:t>
      </w:r>
      <w:r>
        <w:rPr>
          <w:lang w:val="en-GB"/>
        </w:rPr>
        <w:t>s</w:t>
      </w:r>
      <w:r>
        <w:rPr>
          <w:lang w:val="en-GB"/>
        </w:rPr>
        <w:t xml:space="preserve"> who had qualified for the reduced/free lunch </w:t>
      </w:r>
      <w:r>
        <w:rPr>
          <w:lang w:val="en-GB"/>
        </w:rPr>
        <w:t>and</w:t>
      </w:r>
      <w:r>
        <w:rPr>
          <w:lang w:val="en-GB"/>
        </w:rPr>
        <w:t xml:space="preserve"> student</w:t>
      </w:r>
      <w:r>
        <w:rPr>
          <w:lang w:val="en-GB"/>
        </w:rPr>
        <w:t>s</w:t>
      </w:r>
      <w:r>
        <w:rPr>
          <w:lang w:val="en-GB"/>
        </w:rPr>
        <w:t xml:space="preserve"> who did not qualify for the reduced/free lunch is </w:t>
      </w:r>
      <w:r>
        <w:rPr>
          <w:lang w:val="en-GB"/>
        </w:rPr>
        <w:t>0</w:t>
      </w:r>
      <w:r>
        <w:rPr>
          <w:lang w:val="en-GB"/>
        </w:rPr>
        <w:t>.</w:t>
      </w:r>
      <w:r>
        <w:rPr>
          <w:lang w:val="en-GB"/>
        </w:rPr>
        <w:t xml:space="preserve"> This means that the average number of students had not qualified for the free or reduced lunch at school.</w:t>
      </w:r>
      <w:r>
        <w:rPr>
          <w:lang w:val="en-GB"/>
        </w:rPr>
        <w:t xml:space="preserve"> So, both the mean and median </w:t>
      </w:r>
      <w:r>
        <w:rPr>
          <w:lang w:val="en-GB"/>
        </w:rPr>
        <w:t xml:space="preserve">reflect that </w:t>
      </w:r>
      <w:r>
        <w:rPr>
          <w:lang w:val="en-GB"/>
        </w:rPr>
        <w:t>the average number of students had not qualified for the free or reduced lunch at school.</w:t>
      </w:r>
    </w:p>
    <w:p w14:paraId="0000005D">
      <w:pPr>
        <w:pStyle w:val="ListParagraph"/>
        <w:numPr>
          <w:ilvl w:val="0"/>
          <w:numId w:val="2"/>
        </w:numPr>
        <w:rPr>
          <w:lang w:val="en-GB"/>
        </w:rPr>
      </w:pPr>
      <w:r>
        <w:rPr>
          <w:lang w:val="en-GB"/>
        </w:rPr>
        <w:t xml:space="preserve">The </w:t>
      </w:r>
      <w:r>
        <w:rPr>
          <w:lang w:val="en-GB"/>
        </w:rPr>
        <w:t>clustering in SPSS involves a few specific steps.</w:t>
      </w:r>
      <w:r>
        <w:rPr>
          <w:lang w:val="en-GB"/>
        </w:rPr>
        <w:t xml:space="preserve"> The following steps must be </w:t>
      </w:r>
      <w:r>
        <w:rPr>
          <w:lang w:val="en-GB"/>
        </w:rPr>
        <w:t xml:space="preserve">taken to </w:t>
      </w:r>
      <w:r>
        <w:rPr>
          <w:lang w:val="en-GB"/>
        </w:rPr>
        <w:t xml:space="preserve">construct the </w:t>
      </w:r>
      <w:r>
        <w:rPr>
          <w:lang w:val="en-GB"/>
        </w:rPr>
        <w:t>clustering of the data.</w:t>
      </w:r>
      <w:r>
        <w:rPr>
          <w:lang w:val="en-GB"/>
        </w:rPr>
        <w:t xml:space="preserve"> </w:t>
      </w:r>
      <w:r>
        <w:rPr>
          <w:lang w:val="en-GB"/>
        </w:rPr>
        <w:t>In the first step, all the decimal values of the variables had been reduced down to</w:t>
      </w:r>
      <w:r>
        <w:rPr>
          <w:lang w:val="en-GB"/>
        </w:rPr>
        <w:t xml:space="preserve"> zero to minimise complicacy and </w:t>
      </w:r>
      <w:r>
        <w:rPr>
          <w:lang w:val="en-GB"/>
        </w:rPr>
        <w:t>improve the data aesthetics</w:t>
      </w:r>
      <w:r>
        <w:rPr>
          <w:lang w:val="en-GB"/>
        </w:rPr>
        <w:t xml:space="preserve"> </w:t>
      </w:r>
      <w:r>
        <w:rPr>
          <w:color w:val="000000"/>
          <w:lang w:val="en-GB"/>
        </w:rPr>
        <w:t>(Shanthi, 2019)</w:t>
      </w:r>
      <w:r>
        <w:rPr>
          <w:lang w:val="en-GB"/>
        </w:rPr>
        <w:t xml:space="preserve">. </w:t>
      </w:r>
      <w:r>
        <w:rPr>
          <w:lang w:val="en-GB"/>
        </w:rPr>
        <w:t xml:space="preserve">Then, the option of analyse had been clicked </w:t>
      </w:r>
      <w:r>
        <w:rPr>
          <w:lang w:val="en-GB"/>
        </w:rPr>
        <w:t xml:space="preserve">within the Task bar from which descriptive statistics </w:t>
      </w:r>
      <w:r>
        <w:rPr>
          <w:lang w:val="en-GB"/>
        </w:rPr>
        <w:t>had been selected.</w:t>
      </w:r>
    </w:p>
    <w:p w14:paraId="0000005E">
      <w:pPr>
        <w:jc w:val="center"/>
        <w:rPr>
          <w:lang w:val="en-GB"/>
        </w:rPr>
      </w:pPr>
      <w:r>
        <w:rPr>
          <w:lang w:val="en-GB"/>
        </w:rPr>
        <w:drawing xmlns:mc="http://schemas.openxmlformats.org/markup-compatibility/2006">
          <wp:inline distT="0" distB="0" distL="0" distR="0">
            <wp:extent cx="4305300" cy="3059393"/>
            <wp:effectExtent l="0" t="0" r="0" b="0"/>
            <wp:docPr id="2088018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635266" name="Picture 1"/>
                    <pic:cNvPicPr/>
                  </pic:nvPicPr>
                  <pic:blipFill>
                    <a:blip r:embed="rId75"/>
                    <a:srcRect/>
                    <a:stretch>
                      <a:fillRect/>
                    </a:stretch>
                  </pic:blipFill>
                  <pic:spPr>
                    <a:xfrm>
                      <a:off x="0" y="0"/>
                      <a:ext cx="4305300" cy="3059393"/>
                    </a:xfrm>
                    <a:prstGeom prst="rect">
                      <a:avLst/>
                    </a:prstGeom>
                  </pic:spPr>
                </pic:pic>
              </a:graphicData>
            </a:graphic>
          </wp:inline>
        </w:drawing>
      </w:r>
    </w:p>
    <w:p w14:paraId="0000005F">
      <w:pPr>
        <w:rPr>
          <w:lang w:val="en-GB"/>
        </w:rPr>
      </w:pPr>
      <w:r>
        <w:rPr>
          <w:lang w:val="en-GB"/>
        </w:rPr>
        <w:t xml:space="preserve">A command box </w:t>
      </w:r>
      <w:r>
        <w:rPr>
          <w:lang w:val="en-GB"/>
        </w:rPr>
        <w:t xml:space="preserve">had appeared where all the necessary variables had been selected </w:t>
      </w:r>
      <w:r>
        <w:rPr>
          <w:lang w:val="en-GB"/>
        </w:rPr>
        <w:t xml:space="preserve">using the </w:t>
      </w:r>
      <w:r>
        <w:rPr>
          <w:lang w:val="en-GB"/>
        </w:rPr>
        <w:t xml:space="preserve">turning </w:t>
      </w:r>
      <w:r>
        <w:rPr>
          <w:lang w:val="en-GB"/>
        </w:rPr>
        <w:t xml:space="preserve">arrow </w:t>
      </w:r>
      <w:r>
        <w:rPr>
          <w:lang w:val="en-GB"/>
        </w:rPr>
        <w:t xml:space="preserve">button. </w:t>
      </w:r>
      <w:r>
        <w:rPr>
          <w:lang w:val="en-GB"/>
        </w:rPr>
        <w:t xml:space="preserve">The standardised value as the variables had been </w:t>
      </w:r>
      <w:r>
        <w:rPr>
          <w:lang w:val="en-GB"/>
        </w:rPr>
        <w:t>saved as shown in the image below.</w:t>
      </w:r>
    </w:p>
    <w:p w14:paraId="00000060">
      <w:pPr>
        <w:jc w:val="center"/>
        <w:rPr>
          <w:lang w:val="en-GB"/>
        </w:rPr>
      </w:pPr>
      <w:r>
        <w:rPr>
          <w:lang w:val="en-GB"/>
        </w:rPr>
        <w:drawing xmlns:mc="http://schemas.openxmlformats.org/markup-compatibility/2006">
          <wp:inline distT="0" distB="0" distL="0" distR="0">
            <wp:extent cx="3124199" cy="1947942"/>
            <wp:effectExtent l="0" t="0" r="0" b="0"/>
            <wp:docPr id="2088018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573751" name="Picture 1"/>
                    <pic:cNvPicPr/>
                  </pic:nvPicPr>
                  <pic:blipFill>
                    <a:blip r:embed="rId76"/>
                    <a:srcRect/>
                    <a:stretch>
                      <a:fillRect/>
                    </a:stretch>
                  </pic:blipFill>
                  <pic:spPr>
                    <a:xfrm>
                      <a:off x="0" y="0"/>
                      <a:ext cx="3124199" cy="1947942"/>
                    </a:xfrm>
                    <a:prstGeom prst="rect">
                      <a:avLst/>
                    </a:prstGeom>
                  </pic:spPr>
                </pic:pic>
              </a:graphicData>
            </a:graphic>
          </wp:inline>
        </w:drawing>
      </w:r>
    </w:p>
    <w:p w14:paraId="00000061">
      <w:pPr>
        <w:rPr>
          <w:lang w:val="en-GB"/>
        </w:rPr>
      </w:pPr>
      <w:r>
        <w:rPr>
          <w:lang w:val="en-GB"/>
        </w:rPr>
        <w:t>After the selection of the variables and selection of the OK button, the descriptive</w:t>
      </w:r>
      <w:r>
        <w:rPr>
          <w:lang w:val="en-GB"/>
        </w:rPr>
        <w:t xml:space="preserve"> results had been </w:t>
      </w:r>
      <w:r>
        <w:rPr>
          <w:lang w:val="en-GB"/>
        </w:rPr>
        <w:t>provided, as shown in the image below.</w:t>
      </w:r>
    </w:p>
    <w:p w14:paraId="00000062">
      <w:pPr>
        <w:jc w:val="center"/>
        <w:rPr>
          <w:lang w:val="en-GB"/>
        </w:rPr>
      </w:pPr>
      <w:r>
        <w:rPr>
          <w:lang w:val="en-GB"/>
        </w:rPr>
        <w:drawing xmlns:mc="http://schemas.openxmlformats.org/markup-compatibility/2006">
          <wp:inline distT="0" distB="0" distL="0" distR="0">
            <wp:extent cx="3254022" cy="1318374"/>
            <wp:effectExtent l="0" t="0" r="0" b="0"/>
            <wp:docPr id="2088018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512611" name="Picture 1"/>
                    <pic:cNvPicPr/>
                  </pic:nvPicPr>
                  <pic:blipFill>
                    <a:blip r:embed="rId77"/>
                    <a:srcRect/>
                    <a:stretch>
                      <a:fillRect/>
                    </a:stretch>
                  </pic:blipFill>
                  <pic:spPr>
                    <a:xfrm>
                      <a:off x="0" y="0"/>
                      <a:ext cx="3254022" cy="1318374"/>
                    </a:xfrm>
                    <a:prstGeom prst="rect">
                      <a:avLst/>
                    </a:prstGeom>
                  </pic:spPr>
                </pic:pic>
              </a:graphicData>
            </a:graphic>
          </wp:inline>
        </w:drawing>
      </w:r>
    </w:p>
    <w:p w14:paraId="00000063">
      <w:pPr>
        <w:rPr>
          <w:lang w:val="en-GB"/>
        </w:rPr>
      </w:pPr>
      <w:r>
        <w:rPr>
          <w:lang w:val="en-GB"/>
        </w:rPr>
        <w:t>The analyse option had been selected from the task bar and the k-clustering from the classify option had been selected, as shown in the image below.</w:t>
      </w:r>
    </w:p>
    <w:p w14:paraId="00000064">
      <w:pPr>
        <w:jc w:val="center"/>
        <w:rPr>
          <w:lang w:val="en-GB"/>
        </w:rPr>
      </w:pPr>
      <w:r>
        <w:rPr>
          <w:lang w:val="en-GB"/>
        </w:rPr>
        <w:drawing xmlns:mc="http://schemas.openxmlformats.org/markup-compatibility/2006">
          <wp:inline distT="0" distB="0" distL="0" distR="0">
            <wp:extent cx="4130398" cy="2667231"/>
            <wp:effectExtent l="0" t="0" r="0" b="0"/>
            <wp:docPr id="2088018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232371" name="Picture 1"/>
                    <pic:cNvPicPr/>
                  </pic:nvPicPr>
                  <pic:blipFill>
                    <a:blip r:embed="rId78"/>
                    <a:srcRect/>
                    <a:stretch>
                      <a:fillRect/>
                    </a:stretch>
                  </pic:blipFill>
                  <pic:spPr>
                    <a:xfrm>
                      <a:off x="0" y="0"/>
                      <a:ext cx="4130398" cy="2667231"/>
                    </a:xfrm>
                    <a:prstGeom prst="rect">
                      <a:avLst/>
                    </a:prstGeom>
                  </pic:spPr>
                </pic:pic>
              </a:graphicData>
            </a:graphic>
          </wp:inline>
        </w:drawing>
      </w:r>
    </w:p>
    <w:p w14:paraId="00000065">
      <w:pPr>
        <w:rPr>
          <w:lang w:val="en-GB"/>
        </w:rPr>
      </w:pPr>
      <w:r>
        <w:rPr>
          <w:lang w:val="en-GB"/>
        </w:rPr>
        <w:t xml:space="preserve">A command box had appeared </w:t>
      </w:r>
      <w:r>
        <w:rPr>
          <w:lang w:val="en-GB"/>
        </w:rPr>
        <w:t xml:space="preserve">where the </w:t>
      </w:r>
      <w:r>
        <w:rPr>
          <w:lang w:val="en-GB"/>
        </w:rPr>
        <w:t xml:space="preserve">z-score variables </w:t>
      </w:r>
      <w:r>
        <w:rPr>
          <w:lang w:val="en-GB"/>
        </w:rPr>
        <w:t xml:space="preserve">had been chosen </w:t>
      </w:r>
      <w:r>
        <w:rPr>
          <w:lang w:val="en-GB"/>
        </w:rPr>
        <w:t xml:space="preserve">along with the option of iterate and clustering had been </w:t>
      </w:r>
      <w:r>
        <w:rPr>
          <w:lang w:val="en-GB"/>
        </w:rPr>
        <w:t>selected.</w:t>
      </w:r>
    </w:p>
    <w:p w14:paraId="00000066">
      <w:pPr>
        <w:jc w:val="center"/>
        <w:rPr>
          <w:lang w:val="en-GB"/>
        </w:rPr>
      </w:pPr>
      <w:r>
        <w:rPr>
          <w:lang w:val="en-GB"/>
        </w:rPr>
        <w:drawing xmlns:mc="http://schemas.openxmlformats.org/markup-compatibility/2006">
          <wp:inline distT="0" distB="0" distL="0" distR="0">
            <wp:extent cx="5799323" cy="2629128"/>
            <wp:effectExtent l="0" t="0" r="0" b="0"/>
            <wp:docPr id="2088018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603863" name="Picture 1"/>
                    <pic:cNvPicPr/>
                  </pic:nvPicPr>
                  <pic:blipFill>
                    <a:blip r:embed="rId79"/>
                    <a:srcRect/>
                    <a:stretch>
                      <a:fillRect/>
                    </a:stretch>
                  </pic:blipFill>
                  <pic:spPr>
                    <a:xfrm>
                      <a:off x="0" y="0"/>
                      <a:ext cx="5799323" cy="2629128"/>
                    </a:xfrm>
                    <a:prstGeom prst="rect">
                      <a:avLst/>
                    </a:prstGeom>
                  </pic:spPr>
                </pic:pic>
              </a:graphicData>
            </a:graphic>
          </wp:inline>
        </w:drawing>
      </w:r>
    </w:p>
    <w:p w14:paraId="00000067">
      <w:pPr>
        <w:rPr>
          <w:lang w:val="en-GB"/>
        </w:rPr>
      </w:pPr>
      <w:r>
        <w:rPr>
          <w:lang w:val="en-GB"/>
        </w:rPr>
        <w:t xml:space="preserve">The options tab must be clicked and all the variables and statistics must be chosen. </w:t>
      </w:r>
      <w:r>
        <w:rPr>
          <w:lang w:val="en-GB"/>
        </w:rPr>
        <w:t>The maximum number of iterations had been set to 10 and the K-means clustering had been selected to be cluster membership.</w:t>
      </w:r>
    </w:p>
    <w:p w14:paraId="00000068">
      <w:pPr>
        <w:jc w:val="center"/>
        <w:rPr>
          <w:lang w:val="en-GB"/>
        </w:rPr>
      </w:pPr>
      <w:r>
        <w:rPr>
          <w:lang w:val="en-GB"/>
        </w:rPr>
        <w:drawing xmlns:mc="http://schemas.openxmlformats.org/markup-compatibility/2006">
          <wp:inline distT="0" distB="0" distL="0" distR="0">
            <wp:extent cx="3596952" cy="2530059"/>
            <wp:effectExtent l="0" t="0" r="0" b="0"/>
            <wp:docPr id="2088018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756623" name="Picture 1"/>
                    <pic:cNvPicPr/>
                  </pic:nvPicPr>
                  <pic:blipFill>
                    <a:blip r:embed="rId80"/>
                    <a:srcRect/>
                    <a:stretch>
                      <a:fillRect/>
                    </a:stretch>
                  </pic:blipFill>
                  <pic:spPr>
                    <a:xfrm>
                      <a:off x="0" y="0"/>
                      <a:ext cx="3596952" cy="2530059"/>
                    </a:xfrm>
                    <a:prstGeom prst="rect">
                      <a:avLst/>
                    </a:prstGeom>
                  </pic:spPr>
                </pic:pic>
              </a:graphicData>
            </a:graphic>
          </wp:inline>
        </w:drawing>
      </w:r>
    </w:p>
    <w:p w14:paraId="00000069">
      <w:pPr>
        <w:rPr>
          <w:lang w:val="en-GB"/>
        </w:rPr>
      </w:pPr>
      <w:r>
        <w:rPr>
          <w:lang w:val="en-GB"/>
        </w:rPr>
        <w:t>After the selection of the variables and the method of testing, continue had been selected and OK had been pressed to yield in the output of clustering</w:t>
      </w:r>
      <w:r>
        <w:rPr>
          <w:lang w:val="en-GB"/>
        </w:rPr>
        <w:t xml:space="preserve"> </w:t>
      </w:r>
      <w:r>
        <w:rPr>
          <w:rFonts w:eastAsia="Times New Roman"/>
          <w:color w:val="000000"/>
        </w:rPr>
        <w:t>(</w:t>
      </w:r>
      <w:r>
        <w:rPr>
          <w:rFonts w:eastAsia="Times New Roman"/>
          <w:color w:val="000000"/>
        </w:rPr>
        <w:t>Čaplová</w:t>
      </w:r>
      <w:r>
        <w:rPr>
          <w:rFonts w:eastAsia="Times New Roman"/>
          <w:color w:val="000000"/>
        </w:rPr>
        <w:t xml:space="preserve"> and </w:t>
      </w:r>
      <w:r>
        <w:rPr>
          <w:rFonts w:eastAsia="Times New Roman"/>
          <w:color w:val="000000"/>
        </w:rPr>
        <w:t>Švábová</w:t>
      </w:r>
      <w:r>
        <w:rPr>
          <w:rFonts w:eastAsia="Times New Roman"/>
          <w:color w:val="000000"/>
        </w:rPr>
        <w:t>, 2020)</w:t>
      </w:r>
      <w:r>
        <w:rPr>
          <w:lang w:val="en-GB"/>
        </w:rPr>
        <w:t xml:space="preserve">. </w:t>
      </w:r>
      <w:r>
        <w:rPr>
          <w:lang w:val="en-GB"/>
        </w:rPr>
        <w:t>The output of the clustering steps had produced the following.</w:t>
      </w:r>
    </w:p>
    <w:p w14:paraId="0000006A">
      <w:pPr>
        <w:jc w:val="center"/>
        <w:rPr>
          <w:lang w:val="en-GB"/>
        </w:rPr>
      </w:pPr>
      <w:r>
        <w:rPr>
          <w:lang w:val="en-GB"/>
        </w:rPr>
        <w:drawing xmlns:mc="http://schemas.openxmlformats.org/markup-compatibility/2006">
          <wp:inline distT="0" distB="0" distL="0" distR="0">
            <wp:extent cx="2270957" cy="1539373"/>
            <wp:effectExtent l="0" t="0" r="0" b="0"/>
            <wp:docPr id="2088018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395875" name="Picture 1"/>
                    <pic:cNvPicPr/>
                  </pic:nvPicPr>
                  <pic:blipFill>
                    <a:blip r:embed="rId81"/>
                    <a:srcRect/>
                    <a:stretch>
                      <a:fillRect/>
                    </a:stretch>
                  </pic:blipFill>
                  <pic:spPr>
                    <a:xfrm>
                      <a:off x="0" y="0"/>
                      <a:ext cx="2270957" cy="1539373"/>
                    </a:xfrm>
                    <a:prstGeom prst="rect">
                      <a:avLst/>
                    </a:prstGeom>
                  </pic:spPr>
                </pic:pic>
              </a:graphicData>
            </a:graphic>
          </wp:inline>
        </w:drawing>
      </w:r>
      <w:r>
        <w:rPr>
          <w:lang w:val="en-GB"/>
        </w:rPr>
        <w:drawing xmlns:mc="http://schemas.openxmlformats.org/markup-compatibility/2006">
          <wp:inline distT="0" distB="0" distL="0" distR="0">
            <wp:extent cx="1966130" cy="2979678"/>
            <wp:effectExtent l="0" t="0" r="0" b="0"/>
            <wp:docPr id="2088018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8617" name="Picture 1"/>
                    <pic:cNvPicPr/>
                  </pic:nvPicPr>
                  <pic:blipFill>
                    <a:blip r:embed="rId82"/>
                    <a:srcRect/>
                    <a:stretch>
                      <a:fillRect/>
                    </a:stretch>
                  </pic:blipFill>
                  <pic:spPr>
                    <a:xfrm>
                      <a:off x="0" y="0"/>
                      <a:ext cx="1966130" cy="2979678"/>
                    </a:xfrm>
                    <a:prstGeom prst="rect">
                      <a:avLst/>
                    </a:prstGeom>
                  </pic:spPr>
                </pic:pic>
              </a:graphicData>
            </a:graphic>
          </wp:inline>
        </w:drawing>
      </w:r>
    </w:p>
    <w:p w14:paraId="0000006B">
      <w:pPr>
        <w:jc w:val="center"/>
        <w:rPr>
          <w:lang w:val="en-GB"/>
        </w:rPr>
      </w:pPr>
      <w:r>
        <w:rPr>
          <w:lang w:val="en-GB"/>
        </w:rPr>
        <w:drawing xmlns:mc="http://schemas.openxmlformats.org/markup-compatibility/2006">
          <wp:inline distT="0" distB="0" distL="0" distR="0">
            <wp:extent cx="1737511" cy="937341"/>
            <wp:effectExtent l="0" t="0" r="0" b="0"/>
            <wp:docPr id="2088018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480231" name="Picture 1"/>
                    <pic:cNvPicPr/>
                  </pic:nvPicPr>
                  <pic:blipFill>
                    <a:blip r:embed="rId83"/>
                    <a:srcRect/>
                    <a:stretch>
                      <a:fillRect/>
                    </a:stretch>
                  </pic:blipFill>
                  <pic:spPr>
                    <a:xfrm>
                      <a:off x="0" y="0"/>
                      <a:ext cx="1737511" cy="937341"/>
                    </a:xfrm>
                    <a:prstGeom prst="rect">
                      <a:avLst/>
                    </a:prstGeom>
                  </pic:spPr>
                </pic:pic>
              </a:graphicData>
            </a:graphic>
          </wp:inline>
        </w:drawing>
      </w:r>
    </w:p>
    <w:p w14:paraId="0000006C">
      <w:pPr>
        <w:jc w:val="center"/>
        <w:rPr>
          <w:lang w:val="en-GB"/>
        </w:rPr>
      </w:pPr>
      <w:r>
        <w:rPr>
          <w:lang w:val="en-GB"/>
        </w:rPr>
        <w:drawing xmlns:mc="http://schemas.openxmlformats.org/markup-compatibility/2006">
          <wp:inline distT="0" distB="0" distL="0" distR="0">
            <wp:extent cx="5105842" cy="3132091"/>
            <wp:effectExtent l="0" t="0" r="0" b="0"/>
            <wp:docPr id="2088018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198652" name="Picture 1"/>
                    <pic:cNvPicPr/>
                  </pic:nvPicPr>
                  <pic:blipFill>
                    <a:blip r:embed="rId84"/>
                    <a:srcRect/>
                    <a:stretch>
                      <a:fillRect/>
                    </a:stretch>
                  </pic:blipFill>
                  <pic:spPr>
                    <a:xfrm>
                      <a:off x="0" y="0"/>
                      <a:ext cx="5105842" cy="3132091"/>
                    </a:xfrm>
                    <a:prstGeom prst="rect">
                      <a:avLst/>
                    </a:prstGeom>
                  </pic:spPr>
                </pic:pic>
              </a:graphicData>
            </a:graphic>
          </wp:inline>
        </w:drawing>
      </w:r>
    </w:p>
    <w:p w14:paraId="0000006D">
      <w:pPr>
        <w:rPr>
          <w:lang w:val="en-GB"/>
        </w:rPr>
      </w:pPr>
      <w:r>
        <w:rPr>
          <w:lang w:val="en-GB"/>
        </w:rPr>
        <w:t xml:space="preserve">From the output of the clustering </w:t>
      </w:r>
      <w:r>
        <w:rPr>
          <w:lang w:val="en-GB"/>
        </w:rPr>
        <w:t xml:space="preserve">technique, it can be observed that </w:t>
      </w:r>
      <w:r>
        <w:rPr>
          <w:lang w:val="en-GB"/>
        </w:rPr>
        <w:t>the number of cases in cluster 1 had been 1,032, whilst in cluster 2, it had been 1,101</w:t>
      </w:r>
      <w:r>
        <w:rPr>
          <w:lang w:val="en-GB"/>
        </w:rPr>
        <w:t xml:space="preserve">. </w:t>
      </w:r>
      <w:r>
        <w:rPr>
          <w:lang w:val="en-GB"/>
        </w:rPr>
        <w:t>There had been valid 2,133 number of cases</w:t>
      </w:r>
      <w:r>
        <w:rPr>
          <w:lang w:val="en-GB"/>
        </w:rPr>
        <w:t xml:space="preserve">, with only 6 cases missing. </w:t>
      </w:r>
      <w:r>
        <w:rPr>
          <w:lang w:val="en-GB"/>
        </w:rPr>
        <w:t xml:space="preserve">The significance level </w:t>
      </w:r>
      <w:r>
        <w:rPr>
          <w:lang w:val="en-GB"/>
        </w:rPr>
        <w:t xml:space="preserve">of the ANOVA testing </w:t>
      </w:r>
      <w:r>
        <w:rPr>
          <w:lang w:val="en-GB"/>
        </w:rPr>
        <w:t xml:space="preserve">had revealed </w:t>
      </w:r>
      <w:r>
        <w:rPr>
          <w:lang w:val="en-GB"/>
        </w:rPr>
        <w:t xml:space="preserve">the </w:t>
      </w:r>
      <w:r>
        <w:rPr>
          <w:lang w:val="en-GB"/>
        </w:rPr>
        <w:t>analysis</w:t>
      </w:r>
      <w:r>
        <w:rPr>
          <w:lang w:val="en-GB"/>
        </w:rPr>
        <w:t xml:space="preserve"> had been </w:t>
      </w:r>
      <w:r>
        <w:rPr>
          <w:lang w:val="en-GB"/>
        </w:rPr>
        <w:t xml:space="preserve">statistically </w:t>
      </w:r>
      <w:r>
        <w:rPr>
          <w:lang w:val="en-GB"/>
        </w:rPr>
        <w:t xml:space="preserve">significant </w:t>
      </w:r>
      <w:r>
        <w:rPr>
          <w:lang w:val="en-GB"/>
        </w:rPr>
        <w:t xml:space="preserve">due to </w:t>
      </w:r>
      <w:r>
        <w:rPr>
          <w:lang w:val="en-GB"/>
        </w:rPr>
        <w:t xml:space="preserve">it being </w:t>
      </w:r>
      <w:r>
        <w:rPr>
          <w:lang w:val="en-GB"/>
        </w:rPr>
        <w:t xml:space="preserve">lower than </w:t>
      </w:r>
      <w:r>
        <w:rPr>
          <w:lang w:val="en-GB"/>
        </w:rPr>
        <w:t>0.50.</w:t>
      </w:r>
    </w:p>
    <w:p w14:paraId="0000006E">
      <w:pPr>
        <w:pStyle w:val="ListParagraph"/>
        <w:numPr>
          <w:ilvl w:val="0"/>
          <w:numId w:val="2"/>
        </w:numPr>
        <w:rPr>
          <w:lang w:val="en-GB"/>
        </w:rPr>
      </w:pPr>
      <w:r>
        <w:rPr>
          <w:lang w:val="en-GB"/>
        </w:rPr>
        <w:t xml:space="preserve">There are several data mining and text mining methods available in the market. However, for </w:t>
      </w:r>
      <w:r>
        <w:rPr>
          <w:lang w:val="en-GB"/>
        </w:rPr>
        <w:t xml:space="preserve">a contemporary </w:t>
      </w:r>
      <w:r>
        <w:rPr>
          <w:lang w:val="en-GB"/>
        </w:rPr>
        <w:t xml:space="preserve">business, </w:t>
      </w:r>
      <w:r>
        <w:rPr>
          <w:lang w:val="en-GB"/>
        </w:rPr>
        <w:t xml:space="preserve">the following </w:t>
      </w:r>
      <w:r>
        <w:rPr>
          <w:lang w:val="en-GB"/>
        </w:rPr>
        <w:t xml:space="preserve">5 most common </w:t>
      </w:r>
      <w:r>
        <w:rPr>
          <w:lang w:val="en-GB"/>
        </w:rPr>
        <w:t>data mining and text mining methods can be implemented.</w:t>
      </w:r>
    </w:p>
    <w:p w14:paraId="0000006F">
      <w:pPr>
        <w:pStyle w:val="ListParagraph"/>
        <w:numPr>
          <w:ilvl w:val="0"/>
          <w:numId w:val="3"/>
        </w:numPr>
        <w:rPr>
          <w:lang w:val="en-GB"/>
        </w:rPr>
      </w:pPr>
      <w:r>
        <w:rPr>
          <w:lang w:val="en-GB"/>
        </w:rPr>
        <w:t>Classification – it is a data mining technique</w:t>
      </w:r>
      <w:r>
        <w:rPr>
          <w:lang w:val="en-GB"/>
        </w:rPr>
        <w:t xml:space="preserve"> which allows to separate the data </w:t>
      </w:r>
      <w:r>
        <w:rPr>
          <w:lang w:val="en-GB"/>
        </w:rPr>
        <w:t>into predefined groups and classes. The classes are determined based on the values of number of attributes</w:t>
      </w:r>
      <w:r>
        <w:rPr>
          <w:lang w:val="en-GB"/>
        </w:rPr>
        <w:t xml:space="preserve"> </w:t>
      </w:r>
      <w:r>
        <w:rPr>
          <w:color w:val="000000"/>
          <w:lang w:val="en-GB"/>
        </w:rPr>
        <w:t>(Bhatia, 2019)</w:t>
      </w:r>
      <w:r>
        <w:rPr>
          <w:lang w:val="en-GB"/>
        </w:rPr>
        <w:t>.</w:t>
      </w:r>
      <w:r>
        <w:rPr>
          <w:lang w:val="en-GB"/>
        </w:rPr>
        <w:t xml:space="preserve"> Such technique is commonly used in MS Excel to </w:t>
      </w:r>
      <w:r>
        <w:rPr>
          <w:lang w:val="en-GB"/>
        </w:rPr>
        <w:t>separate</w:t>
      </w:r>
      <w:r>
        <w:rPr>
          <w:lang w:val="en-GB"/>
        </w:rPr>
        <w:t xml:space="preserve"> data from each other and organise them into different classes such as age, </w:t>
      </w:r>
      <w:r>
        <w:rPr>
          <w:lang w:val="en-GB"/>
        </w:rPr>
        <w:t>gender</w:t>
      </w:r>
      <w:r>
        <w:rPr>
          <w:lang w:val="en-GB"/>
        </w:rPr>
        <w:t>, etc.</w:t>
      </w:r>
    </w:p>
    <w:p w14:paraId="00000070">
      <w:pPr>
        <w:pStyle w:val="ListParagraph"/>
        <w:numPr>
          <w:ilvl w:val="0"/>
          <w:numId w:val="3"/>
        </w:numPr>
        <w:rPr>
          <w:lang w:val="en-GB"/>
        </w:rPr>
      </w:pPr>
      <w:r>
        <w:rPr>
          <w:lang w:val="en-GB"/>
        </w:rPr>
        <w:t>Regression – it is a data mining technique</w:t>
      </w:r>
      <w:r>
        <w:rPr>
          <w:lang w:val="en-GB"/>
        </w:rPr>
        <w:t xml:space="preserve"> which helps to identify the </w:t>
      </w:r>
      <w:r>
        <w:rPr>
          <w:lang w:val="en-GB"/>
        </w:rPr>
        <w:t xml:space="preserve">relationship and </w:t>
      </w:r>
      <w:r>
        <w:rPr>
          <w:lang w:val="en-GB"/>
        </w:rPr>
        <w:t xml:space="preserve">its strength </w:t>
      </w:r>
      <w:r>
        <w:rPr>
          <w:lang w:val="en-GB"/>
        </w:rPr>
        <w:t xml:space="preserve">between different variables. </w:t>
      </w:r>
      <w:r>
        <w:rPr>
          <w:lang w:val="en-GB"/>
        </w:rPr>
        <w:t xml:space="preserve">The regression analysis can be conducted using linear and quadratic </w:t>
      </w:r>
      <w:r>
        <w:rPr>
          <w:lang w:val="en-GB"/>
        </w:rPr>
        <w:t>regressions on the dataset</w:t>
      </w:r>
      <w:r>
        <w:rPr>
          <w:lang w:val="en-GB"/>
        </w:rPr>
        <w:t>.</w:t>
      </w:r>
      <w:r>
        <w:rPr>
          <w:lang w:val="en-GB"/>
        </w:rPr>
        <w:t xml:space="preserve"> This is often used in researches where </w:t>
      </w:r>
      <w:r>
        <w:rPr>
          <w:lang w:val="en-GB"/>
        </w:rPr>
        <w:t xml:space="preserve">correlation cannot be relied upon </w:t>
      </w:r>
      <w:r>
        <w:rPr>
          <w:lang w:val="en-GB"/>
        </w:rPr>
        <w:t>alone</w:t>
      </w:r>
      <w:r>
        <w:rPr>
          <w:lang w:val="en-GB"/>
        </w:rPr>
        <w:t xml:space="preserve"> </w:t>
      </w:r>
      <w:r>
        <w:rPr>
          <w:rFonts w:eastAsia="Times New Roman"/>
        </w:rPr>
        <w:t xml:space="preserve">(Yang </w:t>
      </w:r>
      <w:r>
        <w:rPr>
          <w:rFonts w:eastAsia="Times New Roman"/>
          <w:i/>
          <w:iCs/>
        </w:rPr>
        <w:t>et al.</w:t>
      </w:r>
      <w:r>
        <w:rPr>
          <w:rFonts w:eastAsia="Times New Roman"/>
        </w:rPr>
        <w:t>, 2020)</w:t>
      </w:r>
      <w:r>
        <w:rPr>
          <w:lang w:val="en-GB"/>
        </w:rPr>
        <w:t>.</w:t>
      </w:r>
      <w:r>
        <w:rPr>
          <w:lang w:val="en-GB"/>
        </w:rPr>
        <w:t xml:space="preserve"> Regression helps to provide reliable </w:t>
      </w:r>
      <w:r>
        <w:rPr>
          <w:lang w:val="en-GB"/>
        </w:rPr>
        <w:t>outcomes of the relationship between variables.</w:t>
      </w:r>
    </w:p>
    <w:p w14:paraId="00000071">
      <w:pPr>
        <w:pStyle w:val="ListParagraph"/>
        <w:numPr>
          <w:ilvl w:val="0"/>
          <w:numId w:val="3"/>
        </w:numPr>
        <w:rPr>
          <w:lang w:val="en-GB"/>
        </w:rPr>
      </w:pPr>
      <w:r>
        <w:rPr>
          <w:lang w:val="en-GB"/>
        </w:rPr>
        <w:t>Clustering - it is a data mining technique</w:t>
      </w:r>
      <w:r>
        <w:rPr>
          <w:lang w:val="en-GB"/>
        </w:rPr>
        <w:t xml:space="preserve"> which involves </w:t>
      </w:r>
      <w:r>
        <w:rPr>
          <w:lang w:val="en-GB"/>
        </w:rPr>
        <w:t>the</w:t>
      </w:r>
      <w:r>
        <w:rPr>
          <w:lang w:val="en-GB"/>
        </w:rPr>
        <w:t xml:space="preserve"> data to be grouped together into </w:t>
      </w:r>
      <w:r>
        <w:rPr>
          <w:lang w:val="en-GB"/>
        </w:rPr>
        <w:t>clusters based on their similarities.</w:t>
      </w:r>
      <w:r>
        <w:rPr>
          <w:lang w:val="en-GB"/>
        </w:rPr>
        <w:t xml:space="preserve"> The clustering </w:t>
      </w:r>
      <w:r>
        <w:rPr>
          <w:lang w:val="en-GB"/>
        </w:rPr>
        <w:t xml:space="preserve">identifies the groups </w:t>
      </w:r>
      <w:r>
        <w:rPr>
          <w:lang w:val="en-GB"/>
        </w:rPr>
        <w:t>within the dat</w:t>
      </w:r>
      <w:r>
        <w:rPr>
          <w:lang w:val="en-GB"/>
        </w:rPr>
        <w:t>a</w:t>
      </w:r>
      <w:r>
        <w:rPr>
          <w:lang w:val="en-GB"/>
        </w:rPr>
        <w:t xml:space="preserve">set and </w:t>
      </w:r>
      <w:r>
        <w:rPr>
          <w:lang w:val="en-GB"/>
        </w:rPr>
        <w:t xml:space="preserve">classifies them </w:t>
      </w:r>
      <w:r>
        <w:rPr>
          <w:lang w:val="en-GB"/>
        </w:rPr>
        <w:t xml:space="preserve">into established categories </w:t>
      </w:r>
      <w:r>
        <w:rPr>
          <w:lang w:val="en-GB"/>
        </w:rPr>
        <w:t>depending on the properties</w:t>
      </w:r>
      <w:r>
        <w:rPr>
          <w:lang w:val="en-GB"/>
        </w:rPr>
        <w:t>.</w:t>
      </w:r>
      <w:r>
        <w:rPr>
          <w:lang w:val="en-GB"/>
        </w:rPr>
        <w:t xml:space="preserve"> This is commonly used </w:t>
      </w:r>
      <w:r>
        <w:rPr>
          <w:lang w:val="en-GB"/>
        </w:rPr>
        <w:t>for easier data analysis for population demographics such as income</w:t>
      </w:r>
      <w:r>
        <w:rPr>
          <w:lang w:val="en-GB"/>
        </w:rPr>
        <w:t xml:space="preserve"> range, </w:t>
      </w:r>
      <w:r>
        <w:rPr>
          <w:lang w:val="en-GB"/>
        </w:rPr>
        <w:t>etc.</w:t>
      </w:r>
      <w:r>
        <w:rPr>
          <w:lang w:val="en-GB"/>
        </w:rPr>
        <w:t xml:space="preserve"> </w:t>
      </w:r>
      <w:r>
        <w:rPr>
          <w:color w:val="000000"/>
          <w:lang w:val="en-GB"/>
        </w:rPr>
        <w:t>(Osman, 2019)</w:t>
      </w:r>
      <w:r>
        <w:rPr>
          <w:lang w:val="en-GB"/>
        </w:rPr>
        <w:t>.</w:t>
      </w:r>
    </w:p>
    <w:p w14:paraId="00000072">
      <w:pPr>
        <w:pStyle w:val="ListParagraph"/>
        <w:numPr>
          <w:ilvl w:val="0"/>
          <w:numId w:val="3"/>
        </w:numPr>
        <w:rPr>
          <w:lang w:val="en-GB"/>
        </w:rPr>
      </w:pPr>
      <w:r>
        <w:rPr>
          <w:lang w:val="en-GB"/>
        </w:rPr>
        <w:t>Sentiment Analysis - it is a text mining technique</w:t>
      </w:r>
      <w:r>
        <w:rPr>
          <w:lang w:val="en-GB"/>
        </w:rPr>
        <w:t xml:space="preserve"> that identifies the </w:t>
      </w:r>
      <w:r>
        <w:rPr>
          <w:lang w:val="en-GB"/>
        </w:rPr>
        <w:t>feeling</w:t>
      </w:r>
      <w:r>
        <w:rPr>
          <w:lang w:val="en-GB"/>
        </w:rPr>
        <w:t xml:space="preserve"> and sentimental notion of the </w:t>
      </w:r>
      <w:r>
        <w:rPr>
          <w:lang w:val="en-GB"/>
        </w:rPr>
        <w:t xml:space="preserve">text by </w:t>
      </w:r>
      <w:r>
        <w:rPr>
          <w:lang w:val="en-GB"/>
        </w:rPr>
        <w:t>assessing the choice of terms used within the text</w:t>
      </w:r>
      <w:r>
        <w:rPr>
          <w:lang w:val="en-GB"/>
        </w:rPr>
        <w:t xml:space="preserve"> </w:t>
      </w:r>
      <w:r>
        <w:rPr>
          <w:rFonts w:eastAsia="Times New Roman"/>
        </w:rPr>
        <w:t xml:space="preserve">(Ferreira‐Mello </w:t>
      </w:r>
      <w:r>
        <w:rPr>
          <w:rFonts w:eastAsia="Times New Roman"/>
          <w:i/>
          <w:iCs/>
        </w:rPr>
        <w:t>et al.</w:t>
      </w:r>
      <w:r>
        <w:rPr>
          <w:rFonts w:eastAsia="Times New Roman"/>
        </w:rPr>
        <w:t>, 2019)</w:t>
      </w:r>
      <w:r>
        <w:rPr>
          <w:lang w:val="en-GB"/>
        </w:rPr>
        <w:t xml:space="preserve">. Such techniques are often used by the police </w:t>
      </w:r>
      <w:r>
        <w:rPr>
          <w:lang w:val="en-GB"/>
        </w:rPr>
        <w:t xml:space="preserve">and FEDs to identify any distress in the calls and voice </w:t>
      </w:r>
      <w:r>
        <w:rPr>
          <w:lang w:val="en-GB"/>
        </w:rPr>
        <w:t>of any captive or victi</w:t>
      </w:r>
      <w:r>
        <w:rPr>
          <w:lang w:val="en-GB"/>
        </w:rPr>
        <w:t>m</w:t>
      </w:r>
      <w:r>
        <w:rPr>
          <w:lang w:val="en-GB"/>
        </w:rPr>
        <w:t>.</w:t>
      </w:r>
    </w:p>
    <w:p w14:paraId="00000073">
      <w:pPr>
        <w:pStyle w:val="ListParagraph"/>
        <w:numPr>
          <w:ilvl w:val="0"/>
          <w:numId w:val="3"/>
        </w:numPr>
        <w:rPr>
          <w:lang w:val="en-GB"/>
        </w:rPr>
      </w:pPr>
      <w:r>
        <w:rPr>
          <w:lang w:val="en-GB"/>
        </w:rPr>
        <w:t>Text Extraction - it is a text mining technique</w:t>
      </w:r>
      <w:r>
        <w:rPr>
          <w:lang w:val="en-GB"/>
        </w:rPr>
        <w:t xml:space="preserve"> that </w:t>
      </w:r>
      <w:r>
        <w:rPr>
          <w:lang w:val="en-GB"/>
        </w:rPr>
        <w:t xml:space="preserve">helps to extract useful data </w:t>
      </w:r>
      <w:r>
        <w:rPr>
          <w:lang w:val="en-GB"/>
        </w:rPr>
        <w:t xml:space="preserve">such as keywords, addresses, email IDs, name, etc. </w:t>
      </w:r>
      <w:r>
        <w:rPr>
          <w:lang w:val="en-GB"/>
        </w:rPr>
        <w:t>f</w:t>
      </w:r>
      <w:r>
        <w:rPr>
          <w:lang w:val="en-GB"/>
        </w:rPr>
        <w:t>rom text</w:t>
      </w:r>
      <w:r>
        <w:rPr>
          <w:lang w:val="en-GB"/>
        </w:rPr>
        <w:t>. These techniques are commonly used for credit card information and can be used for making easier online payments</w:t>
      </w:r>
      <w:r>
        <w:rPr>
          <w:lang w:val="en-GB"/>
        </w:rPr>
        <w:t xml:space="preserve"> </w:t>
      </w:r>
      <w:r>
        <w:rPr>
          <w:rFonts w:eastAsia="Times New Roman"/>
        </w:rPr>
        <w:t xml:space="preserve">(Hassani </w:t>
      </w:r>
      <w:r>
        <w:rPr>
          <w:rFonts w:eastAsia="Times New Roman"/>
          <w:i/>
          <w:iCs/>
        </w:rPr>
        <w:t>et al.</w:t>
      </w:r>
      <w:r>
        <w:rPr>
          <w:rFonts w:eastAsia="Times New Roman"/>
        </w:rPr>
        <w:t>, 2020)</w:t>
      </w:r>
      <w:r>
        <w:rPr>
          <w:lang w:val="en-GB"/>
        </w:rPr>
        <w:t>.</w:t>
      </w:r>
    </w:p>
    <w:p w14:paraId="00000074">
      <w:pPr>
        <w:rPr>
          <w:lang w:val="en-GB"/>
        </w:rPr>
      </w:pPr>
      <w:r>
        <w:rPr>
          <w:lang w:val="en-GB"/>
        </w:rPr>
        <w:t>6.</w:t>
      </w:r>
      <w:r>
        <w:rPr>
          <w:lang w:val="en-GB"/>
        </w:rPr>
        <w:t xml:space="preserve">  </w:t>
      </w:r>
      <w:r>
        <w:rPr>
          <w:lang w:val="en-GB"/>
        </w:rPr>
        <w:t>Both the software Excel and SPSS are spreadsheet software which are used for statistical data</w:t>
      </w:r>
      <w:r>
        <w:rPr>
          <w:lang w:val="en-GB"/>
        </w:rPr>
        <w:t xml:space="preserve"> analysis</w:t>
      </w:r>
      <w:r>
        <w:rPr>
          <w:lang w:val="en-GB"/>
        </w:rPr>
        <w:t xml:space="preserve">. Both have </w:t>
      </w:r>
      <w:r>
        <w:rPr>
          <w:lang w:val="en-GB"/>
        </w:rPr>
        <w:t xml:space="preserve">versatile </w:t>
      </w:r>
      <w:r>
        <w:rPr>
          <w:lang w:val="en-GB"/>
        </w:rPr>
        <w:t xml:space="preserve">usage capabilities as well as </w:t>
      </w:r>
      <w:r>
        <w:rPr>
          <w:lang w:val="en-GB"/>
        </w:rPr>
        <w:t>drawbacks</w:t>
      </w:r>
      <w:r>
        <w:rPr>
          <w:lang w:val="en-GB"/>
        </w:rPr>
        <w:t xml:space="preserve"> </w:t>
      </w:r>
      <w:r>
        <w:rPr>
          <w:color w:val="000000"/>
          <w:lang w:val="en-GB"/>
        </w:rPr>
        <w:t>(Opie, 2019)</w:t>
      </w:r>
      <w:r>
        <w:rPr>
          <w:lang w:val="en-GB"/>
        </w:rPr>
        <w:t>.</w:t>
      </w:r>
      <w:r>
        <w:rPr>
          <w:lang w:val="en-GB"/>
        </w:rPr>
        <w:t xml:space="preserve"> </w:t>
      </w:r>
      <w:r>
        <w:rPr>
          <w:lang w:val="en-GB"/>
        </w:rPr>
        <w:t>The following table identifies the advantages and disadvantages of Excel.</w:t>
      </w:r>
    </w:p>
    <w:tbl>
      <w:tblPr>
        <w:tblStyle w:val="TableGrid"/>
        <w:tblW w:w="0" w:type="auto"/>
        <w:tblLook w:val="04A0"/>
      </w:tblPr>
      <w:tblGrid>
        <w:gridCol w:w="4675"/>
        <w:gridCol w:w="4675"/>
      </w:tblGrid>
      <w:tr>
        <w:trPr/>
        <w:tc>
          <w:tcPr>
            <w:cnfStyle w:val="101000000000"/>
            <w:tcW w:w="4675" w:type="dxa"/>
          </w:tcPr>
          <w:p w14:paraId="00000075">
            <w:pPr>
              <w:rPr>
                <w:lang w:val="en-GB"/>
              </w:rPr>
            </w:pPr>
            <w:bookmarkStart w:id="7" w:name="_Hlk153733548"/>
            <w:r>
              <w:rPr>
                <w:lang w:val="en-GB"/>
              </w:rPr>
              <w:t>Advantages</w:t>
            </w:r>
          </w:p>
        </w:tc>
        <w:tc>
          <w:tcPr>
            <w:cnfStyle w:val="100000000000"/>
            <w:tcW w:w="4675" w:type="dxa"/>
          </w:tcPr>
          <w:p w14:paraId="00000076">
            <w:pPr>
              <w:rPr>
                <w:lang w:val="en-GB"/>
              </w:rPr>
            </w:pPr>
            <w:r>
              <w:rPr>
                <w:lang w:val="en-GB"/>
              </w:rPr>
              <w:t>Disadvantages</w:t>
            </w:r>
          </w:p>
        </w:tc>
      </w:tr>
      <w:tr>
        <w:trPr/>
        <w:tc>
          <w:tcPr>
            <w:cnfStyle w:val="001000100000"/>
            <w:tcW w:w="4675" w:type="dxa"/>
          </w:tcPr>
          <w:p w14:paraId="00000077">
            <w:pPr>
              <w:pStyle w:val="ListParagraph"/>
              <w:numPr>
                <w:ilvl w:val="0"/>
                <w:numId w:val="5"/>
              </w:numPr>
              <w:rPr>
                <w:lang w:val="en-GB"/>
              </w:rPr>
            </w:pPr>
            <w:r>
              <w:rPr>
                <w:lang w:val="en-GB"/>
              </w:rPr>
              <w:t>The software is readily available in the Microsoft pack.</w:t>
            </w:r>
          </w:p>
          <w:p w14:paraId="00000078">
            <w:pPr>
              <w:pStyle w:val="ListParagraph"/>
              <w:numPr>
                <w:ilvl w:val="0"/>
                <w:numId w:val="5"/>
              </w:numPr>
              <w:rPr>
                <w:lang w:val="en-GB"/>
              </w:rPr>
            </w:pPr>
            <w:r>
              <w:rPr>
                <w:lang w:val="en-GB"/>
              </w:rPr>
              <w:t>It has numerous functions and data analytical tools which can be enhanced through Add-ons</w:t>
            </w:r>
            <w:r>
              <w:rPr>
                <w:lang w:val="en-GB"/>
              </w:rPr>
              <w:t xml:space="preserve"> </w:t>
            </w:r>
            <w:r>
              <w:rPr>
                <w:color w:val="000000"/>
                <w:lang w:val="en-GB"/>
              </w:rPr>
              <w:t>(</w:t>
            </w:r>
            <w:r>
              <w:rPr>
                <w:color w:val="000000"/>
                <w:lang w:val="en-GB"/>
              </w:rPr>
              <w:t>Cleff</w:t>
            </w:r>
            <w:r>
              <w:rPr>
                <w:color w:val="000000"/>
                <w:lang w:val="en-GB"/>
              </w:rPr>
              <w:t>, 2019)</w:t>
            </w:r>
            <w:r>
              <w:rPr>
                <w:lang w:val="en-GB"/>
              </w:rPr>
              <w:t>.</w:t>
            </w:r>
          </w:p>
          <w:p w14:paraId="00000079">
            <w:pPr>
              <w:pStyle w:val="ListParagraph"/>
              <w:numPr>
                <w:ilvl w:val="0"/>
                <w:numId w:val="5"/>
              </w:numPr>
              <w:rPr>
                <w:lang w:val="en-GB"/>
              </w:rPr>
            </w:pPr>
            <w:r>
              <w:rPr>
                <w:lang w:val="en-GB"/>
              </w:rPr>
              <w:t xml:space="preserve">It is highly user-friendly and </w:t>
            </w:r>
            <w:r>
              <w:rPr>
                <w:lang w:val="en-GB"/>
              </w:rPr>
              <w:t>simple to use.</w:t>
            </w:r>
          </w:p>
        </w:tc>
        <w:tc>
          <w:tcPr>
            <w:cnfStyle w:val="000000100000"/>
            <w:tcW w:w="4675" w:type="dxa"/>
          </w:tcPr>
          <w:p w14:paraId="0000007A">
            <w:pPr>
              <w:pStyle w:val="ListParagraph"/>
              <w:numPr>
                <w:ilvl w:val="0"/>
                <w:numId w:val="5"/>
              </w:numPr>
              <w:rPr>
                <w:lang w:val="en-GB"/>
              </w:rPr>
            </w:pPr>
            <w:r>
              <w:rPr>
                <w:lang w:val="en-GB"/>
              </w:rPr>
              <w:t>Functions and commands can get very complicated to give and understand.</w:t>
            </w:r>
          </w:p>
          <w:p w14:paraId="0000007B">
            <w:pPr>
              <w:pStyle w:val="ListParagraph"/>
              <w:numPr>
                <w:ilvl w:val="0"/>
                <w:numId w:val="5"/>
              </w:numPr>
              <w:rPr>
                <w:lang w:val="en-GB"/>
              </w:rPr>
            </w:pPr>
            <w:r>
              <w:rPr>
                <w:lang w:val="en-GB"/>
              </w:rPr>
              <w:t xml:space="preserve">Outputs are prone to give wrong answers when handling large amounts of data and </w:t>
            </w:r>
            <w:r>
              <w:rPr>
                <w:lang w:val="en-GB"/>
              </w:rPr>
              <w:t>the wrong output type i</w:t>
            </w:r>
            <w:r>
              <w:rPr>
                <w:lang w:val="en-GB"/>
              </w:rPr>
              <w:t>s selected</w:t>
            </w:r>
            <w:r>
              <w:rPr>
                <w:lang w:val="en-GB"/>
              </w:rPr>
              <w:t xml:space="preserve"> </w:t>
            </w:r>
            <w:r>
              <w:rPr>
                <w:color w:val="000000"/>
                <w:lang w:val="en-GB"/>
              </w:rPr>
              <w:t>(Guerrero, Guerrero and Rauscher, 2019)</w:t>
            </w:r>
            <w:r>
              <w:rPr>
                <w:lang w:val="en-GB"/>
              </w:rPr>
              <w:t>.</w:t>
            </w:r>
          </w:p>
          <w:p w14:paraId="0000007C">
            <w:pPr>
              <w:pStyle w:val="ListParagraph"/>
              <w:numPr>
                <w:ilvl w:val="0"/>
                <w:numId w:val="5"/>
              </w:numPr>
              <w:rPr>
                <w:lang w:val="en-GB"/>
              </w:rPr>
            </w:pPr>
            <w:r>
              <w:rPr>
                <w:lang w:val="en-GB"/>
              </w:rPr>
              <w:t xml:space="preserve">The software may hang or freeze due to the volume of data within the </w:t>
            </w:r>
            <w:r>
              <w:rPr>
                <w:lang w:val="en-GB"/>
              </w:rPr>
              <w:t>dataset.</w:t>
            </w:r>
          </w:p>
        </w:tc>
      </w:tr>
    </w:tbl>
    <w:p w14:paraId="0000007D">
      <w:pPr>
        <w:spacing w:before="240"/>
        <w:rPr>
          <w:lang w:val="en-GB"/>
        </w:rPr>
      </w:pPr>
      <w:bookmarkEnd w:id="7"/>
      <w:r>
        <w:rPr>
          <w:lang w:val="en-GB"/>
        </w:rPr>
        <w:t xml:space="preserve">It can be observed that Excel has significantly strong advantages. However, it is important to assess the pros and cons of SPSS. </w:t>
      </w:r>
      <w:r>
        <w:rPr>
          <w:lang w:val="en-GB"/>
        </w:rPr>
        <w:t xml:space="preserve">The following table identifies the advantages and disadvantages of </w:t>
      </w:r>
      <w:r>
        <w:rPr>
          <w:lang w:val="en-GB"/>
        </w:rPr>
        <w:t>SPSS</w:t>
      </w:r>
      <w:r>
        <w:rPr>
          <w:lang w:val="en-GB"/>
        </w:rPr>
        <w:t>.</w:t>
      </w:r>
    </w:p>
    <w:tbl>
      <w:tblPr>
        <w:tblStyle w:val="TableGrid"/>
        <w:tblW w:w="0" w:type="auto"/>
        <w:tblLook w:val="04A0"/>
      </w:tblPr>
      <w:tblGrid>
        <w:gridCol w:w="4675"/>
        <w:gridCol w:w="4675"/>
      </w:tblGrid>
      <w:tr>
        <w:trPr/>
        <w:tc>
          <w:tcPr>
            <w:cnfStyle w:val="101000000000"/>
            <w:tcW w:w="4675" w:type="dxa"/>
          </w:tcPr>
          <w:p w14:paraId="0000007E">
            <w:pPr>
              <w:rPr>
                <w:lang w:val="en-GB"/>
              </w:rPr>
            </w:pPr>
            <w:r>
              <w:rPr>
                <w:lang w:val="en-GB"/>
              </w:rPr>
              <w:t>Advantages</w:t>
            </w:r>
          </w:p>
        </w:tc>
        <w:tc>
          <w:tcPr>
            <w:cnfStyle w:val="100000000000"/>
            <w:tcW w:w="4675" w:type="dxa"/>
          </w:tcPr>
          <w:p w14:paraId="0000007F">
            <w:pPr>
              <w:rPr>
                <w:lang w:val="en-GB"/>
              </w:rPr>
            </w:pPr>
            <w:r>
              <w:rPr>
                <w:lang w:val="en-GB"/>
              </w:rPr>
              <w:t>Disadvantages</w:t>
            </w:r>
          </w:p>
        </w:tc>
      </w:tr>
      <w:tr>
        <w:trPr/>
        <w:tc>
          <w:tcPr>
            <w:cnfStyle w:val="001000100000"/>
            <w:tcW w:w="4675" w:type="dxa"/>
          </w:tcPr>
          <w:p w14:paraId="00000080">
            <w:pPr>
              <w:pStyle w:val="ListParagraph"/>
              <w:numPr>
                <w:ilvl w:val="0"/>
                <w:numId w:val="5"/>
              </w:numPr>
              <w:rPr>
                <w:lang w:val="en-GB"/>
              </w:rPr>
            </w:pPr>
            <w:r>
              <w:rPr>
                <w:lang w:val="en-GB"/>
              </w:rPr>
              <w:t>All the results of the analysis are provided in a separatee output sheet.</w:t>
            </w:r>
          </w:p>
          <w:p w14:paraId="00000081">
            <w:pPr>
              <w:pStyle w:val="ListParagraph"/>
              <w:numPr>
                <w:ilvl w:val="0"/>
                <w:numId w:val="5"/>
              </w:numPr>
              <w:rPr>
                <w:lang w:val="en-GB"/>
              </w:rPr>
            </w:pPr>
            <w:r>
              <w:rPr>
                <w:lang w:val="en-GB"/>
              </w:rPr>
              <w:t xml:space="preserve">It provides highly detailed outputs which are </w:t>
            </w:r>
            <w:r>
              <w:rPr>
                <w:lang w:val="en-GB"/>
              </w:rPr>
              <w:t xml:space="preserve">easier to interpret and </w:t>
            </w:r>
            <w:r>
              <w:rPr>
                <w:lang w:val="en-GB"/>
              </w:rPr>
              <w:t>assess.</w:t>
            </w:r>
          </w:p>
          <w:p w14:paraId="00000082">
            <w:pPr>
              <w:pStyle w:val="ListParagraph"/>
              <w:numPr>
                <w:ilvl w:val="0"/>
                <w:numId w:val="5"/>
              </w:numPr>
              <w:rPr>
                <w:lang w:val="en-GB"/>
              </w:rPr>
            </w:pPr>
            <w:r>
              <w:rPr>
                <w:lang w:val="en-GB"/>
              </w:rPr>
              <w:t>It involves numerous analytical tools.</w:t>
            </w:r>
          </w:p>
          <w:p w14:paraId="00000083">
            <w:pPr>
              <w:pStyle w:val="ListParagraph"/>
              <w:numPr>
                <w:ilvl w:val="0"/>
                <w:numId w:val="5"/>
              </w:numPr>
              <w:rPr>
                <w:lang w:val="en-GB"/>
              </w:rPr>
            </w:pPr>
            <w:r>
              <w:rPr>
                <w:lang w:val="en-GB"/>
              </w:rPr>
              <w:t xml:space="preserve">Data can be specified </w:t>
            </w:r>
            <w:r>
              <w:rPr>
                <w:lang w:val="en-GB"/>
              </w:rPr>
              <w:t>according to their nature, type, etc.</w:t>
            </w:r>
            <w:r>
              <w:rPr>
                <w:lang w:val="en-GB"/>
              </w:rPr>
              <w:t xml:space="preserve"> </w:t>
            </w:r>
            <w:r>
              <w:rPr>
                <w:color w:val="000000"/>
                <w:lang w:val="en-GB"/>
              </w:rPr>
              <w:t>(Pal, 2019)</w:t>
            </w:r>
            <w:r>
              <w:rPr>
                <w:lang w:val="en-GB"/>
              </w:rPr>
              <w:t>.</w:t>
            </w:r>
          </w:p>
        </w:tc>
        <w:tc>
          <w:tcPr>
            <w:cnfStyle w:val="000000100000"/>
            <w:tcW w:w="4675" w:type="dxa"/>
          </w:tcPr>
          <w:p w14:paraId="00000084">
            <w:pPr>
              <w:pStyle w:val="ListParagraph"/>
              <w:numPr>
                <w:ilvl w:val="0"/>
                <w:numId w:val="5"/>
              </w:numPr>
              <w:rPr>
                <w:lang w:val="en-GB"/>
              </w:rPr>
            </w:pPr>
            <w:r>
              <w:rPr>
                <w:lang w:val="en-GB"/>
              </w:rPr>
              <w:t>The original and full version of the SPSS is quite expensive for individual use.</w:t>
            </w:r>
          </w:p>
          <w:p w14:paraId="00000085">
            <w:pPr>
              <w:pStyle w:val="ListParagraph"/>
              <w:numPr>
                <w:ilvl w:val="0"/>
                <w:numId w:val="5"/>
              </w:numPr>
              <w:rPr>
                <w:lang w:val="en-GB"/>
              </w:rPr>
            </w:pPr>
            <w:r>
              <w:rPr>
                <w:lang w:val="en-GB"/>
              </w:rPr>
              <w:t xml:space="preserve">The free version has limited functions as well as limited </w:t>
            </w:r>
            <w:r>
              <w:rPr>
                <w:lang w:val="en-GB"/>
              </w:rPr>
              <w:t>usage validity</w:t>
            </w:r>
            <w:r>
              <w:rPr>
                <w:lang w:val="en-GB"/>
              </w:rPr>
              <w:t xml:space="preserve"> </w:t>
            </w:r>
            <w:r>
              <w:rPr>
                <w:rFonts w:eastAsia="Times New Roman"/>
                <w:color w:val="000000"/>
              </w:rPr>
              <w:t xml:space="preserve">(Rahman and </w:t>
            </w:r>
            <w:r>
              <w:rPr>
                <w:rFonts w:eastAsia="Times New Roman"/>
                <w:color w:val="000000"/>
              </w:rPr>
              <w:t>Muktadir</w:t>
            </w:r>
            <w:r>
              <w:rPr>
                <w:rFonts w:eastAsia="Times New Roman"/>
                <w:color w:val="000000"/>
              </w:rPr>
              <w:t>, 2021)</w:t>
            </w:r>
            <w:r>
              <w:rPr>
                <w:lang w:val="en-GB"/>
              </w:rPr>
              <w:t>.</w:t>
            </w:r>
          </w:p>
        </w:tc>
      </w:tr>
    </w:tbl>
    <w:p w14:paraId="00000086">
      <w:pPr>
        <w:rPr>
          <w:lang w:val="en-GB"/>
        </w:rPr>
      </w:pPr>
    </w:p>
    <w:p w14:paraId="00000087">
      <w:pPr>
        <w:rPr>
          <w:lang w:val="en-GB"/>
        </w:rPr>
      </w:pPr>
    </w:p>
    <w:p w14:paraId="00000088">
      <w:pPr>
        <w:rPr>
          <w:lang w:val="en-GB"/>
        </w:rPr>
      </w:pPr>
    </w:p>
    <w:p w14:paraId="00000089">
      <w:pPr>
        <w:pStyle w:val="Heading1"/>
        <w:rPr>
          <w:lang w:val="en-GB"/>
        </w:rPr>
      </w:pPr>
      <w:bookmarkStart w:id="8" w:name="_Toc153753847"/>
      <w:r>
        <w:rPr>
          <w:lang w:val="en-GB"/>
        </w:rPr>
        <w:t>Conclusion</w:t>
      </w:r>
      <w:bookmarkEnd w:id="8"/>
    </w:p>
    <w:p w14:paraId="0000008A">
      <w:pPr>
        <w:rPr>
          <w:lang w:val="en-GB"/>
        </w:rPr>
      </w:pPr>
      <w:r>
        <w:rPr>
          <w:lang w:val="en-GB"/>
        </w:rPr>
        <w:t xml:space="preserve">In today’s world the use of spreadsheet software has increased tremendously as they help to </w:t>
      </w:r>
      <w:r>
        <w:rPr>
          <w:lang w:val="en-GB"/>
        </w:rPr>
        <w:t>record data, analyse data, and illustrate the findings through appropriate charts and tables.</w:t>
      </w:r>
      <w:r>
        <w:rPr>
          <w:lang w:val="en-GB"/>
        </w:rPr>
        <w:t xml:space="preserve"> Furthermore, the concept of </w:t>
      </w:r>
      <w:r>
        <w:rPr>
          <w:lang w:val="en-GB"/>
        </w:rPr>
        <w:t xml:space="preserve">data mining </w:t>
      </w:r>
      <w:r>
        <w:rPr>
          <w:lang w:val="en-GB"/>
        </w:rPr>
        <w:t xml:space="preserve">has become commonly used and </w:t>
      </w:r>
      <w:r>
        <w:rPr>
          <w:lang w:val="en-GB"/>
        </w:rPr>
        <w:t xml:space="preserve">implemented to </w:t>
      </w:r>
      <w:r>
        <w:rPr>
          <w:lang w:val="en-GB"/>
        </w:rPr>
        <w:t xml:space="preserve">retrieve important insights of the </w:t>
      </w:r>
      <w:r>
        <w:rPr>
          <w:lang w:val="en-GB"/>
        </w:rPr>
        <w:t xml:space="preserve">events. </w:t>
      </w:r>
      <w:r>
        <w:rPr>
          <w:lang w:val="en-GB"/>
        </w:rPr>
        <w:t xml:space="preserve">Moreover, the report has explained and illustrated the step by step </w:t>
      </w:r>
      <w:r>
        <w:rPr>
          <w:lang w:val="en-GB"/>
        </w:rPr>
        <w:t xml:space="preserve">instructions of how spreadsheet software like Excel and SPSS can be used to </w:t>
      </w:r>
      <w:r>
        <w:rPr>
          <w:lang w:val="en-GB"/>
        </w:rPr>
        <w:t>sort, analysis</w:t>
      </w:r>
      <w:r>
        <w:rPr>
          <w:lang w:val="en-GB"/>
        </w:rPr>
        <w:t xml:space="preserve"> data</w:t>
      </w:r>
      <w:r>
        <w:rPr>
          <w:lang w:val="en-GB"/>
        </w:rPr>
        <w:t xml:space="preserve">, and </w:t>
      </w:r>
      <w:r>
        <w:rPr>
          <w:lang w:val="en-GB"/>
        </w:rPr>
        <w:t>illustrate the findings.</w:t>
      </w:r>
      <w:r>
        <w:rPr>
          <w:lang w:val="en-GB"/>
        </w:rPr>
        <w:t xml:space="preserve"> Furthermore, the </w:t>
      </w:r>
      <w:r>
        <w:rPr>
          <w:lang w:val="en-GB"/>
        </w:rPr>
        <w:t xml:space="preserve">various methods of text and </w:t>
      </w:r>
      <w:r>
        <w:rPr>
          <w:lang w:val="en-GB"/>
        </w:rPr>
        <w:t xml:space="preserve">data mining methods have been identified and examined </w:t>
      </w:r>
      <w:r>
        <w:rPr>
          <w:lang w:val="en-GB"/>
        </w:rPr>
        <w:t>fully. The disadvantages and advantages of the Excel and SPSS have been identified and discussed as well.</w:t>
      </w:r>
      <w:r>
        <w:rPr>
          <w:lang w:val="en-GB"/>
        </w:rPr>
        <w:t xml:space="preserve"> </w:t>
      </w:r>
      <w:r>
        <w:rPr>
          <w:lang w:val="en-GB"/>
        </w:rPr>
        <w:t xml:space="preserve">Theses have provided </w:t>
      </w:r>
      <w:r>
        <w:rPr>
          <w:lang w:val="en-GB"/>
        </w:rPr>
        <w:t xml:space="preserve">useful </w:t>
      </w:r>
      <w:r>
        <w:rPr>
          <w:lang w:val="en-GB"/>
        </w:rPr>
        <w:t>insight</w:t>
      </w:r>
      <w:r>
        <w:rPr>
          <w:lang w:val="en-GB"/>
        </w:rPr>
        <w:t>s</w:t>
      </w:r>
      <w:r>
        <w:rPr>
          <w:lang w:val="en-GB"/>
        </w:rPr>
        <w:t xml:space="preserve"> on the usefulness of the spreadsheet software for the contemporary </w:t>
      </w:r>
      <w:r>
        <w:rPr>
          <w:lang w:val="en-GB"/>
        </w:rPr>
        <w:t>businesses</w:t>
      </w:r>
      <w:r>
        <w:rPr>
          <w:lang w:val="en-GB"/>
        </w:rPr>
        <w:t xml:space="preserve">. Moreover, the </w:t>
      </w:r>
      <w:r>
        <w:rPr>
          <w:lang w:val="en-GB"/>
        </w:rPr>
        <w:t xml:space="preserve">application of the functions and command in each of the software have been </w:t>
      </w:r>
      <w:r>
        <w:rPr>
          <w:lang w:val="en-GB"/>
        </w:rPr>
        <w:t>illustrated and explained thoroughly.</w:t>
      </w:r>
    </w:p>
    <w:p w14:paraId="0000008B">
      <w:pPr>
        <w:spacing w:line="259" w:lineRule="auto"/>
        <w:jc w:val="left"/>
        <w:rPr>
          <w:lang w:val="en-GB"/>
        </w:rPr>
      </w:pPr>
      <w:r>
        <w:rPr>
          <w:lang w:val="en-GB"/>
        </w:rPr>
        <w:br w:type="page"/>
      </w:r>
    </w:p>
    <w:p w14:paraId="0000008C">
      <w:pPr>
        <w:pStyle w:val="Heading1"/>
        <w:rPr>
          <w:lang w:val="en-GB"/>
        </w:rPr>
      </w:pPr>
      <w:bookmarkStart w:id="9" w:name="_Toc153753848"/>
      <w:r>
        <w:rPr>
          <w:lang w:val="en-GB"/>
        </w:rPr>
        <w:t>Reference</w:t>
      </w:r>
      <w:bookmarkEnd w:id="9"/>
    </w:p>
    <w:p w14:paraId="0000008D">
      <w:pPr>
        <w:spacing w:line="276" w:lineRule="auto"/>
        <w:rPr>
          <w:rFonts w:eastAsia="Times New Roman"/>
          <w:sz w:val="22"/>
        </w:rPr>
      </w:pPr>
      <w:r>
        <w:rPr>
          <w:rFonts w:eastAsia="Times New Roman"/>
          <w:sz w:val="22"/>
          <w:szCs w:val="20"/>
        </w:rPr>
        <w:t xml:space="preserve">Bhatia, P. (2019) </w:t>
      </w:r>
      <w:r>
        <w:rPr>
          <w:rFonts w:eastAsia="Times New Roman"/>
          <w:i/>
          <w:iCs/>
          <w:sz w:val="22"/>
          <w:szCs w:val="20"/>
        </w:rPr>
        <w:t>Data mining and data warehousing: principles and practical techniques</w:t>
      </w:r>
      <w:r>
        <w:rPr>
          <w:rFonts w:eastAsia="Times New Roman"/>
          <w:sz w:val="22"/>
          <w:szCs w:val="20"/>
        </w:rPr>
        <w:t>. Cambridge University Press.</w:t>
      </w:r>
    </w:p>
    <w:p w14:paraId="0000008E">
      <w:pPr>
        <w:spacing w:line="276" w:lineRule="auto"/>
        <w:rPr>
          <w:rFonts w:eastAsia="Times New Roman"/>
          <w:sz w:val="22"/>
          <w:szCs w:val="20"/>
        </w:rPr>
      </w:pPr>
      <w:r>
        <w:rPr>
          <w:rFonts w:eastAsia="Times New Roman"/>
          <w:sz w:val="22"/>
          <w:szCs w:val="20"/>
        </w:rPr>
        <w:t>Čaplová</w:t>
      </w:r>
      <w:r>
        <w:rPr>
          <w:rFonts w:eastAsia="Times New Roman"/>
          <w:sz w:val="22"/>
          <w:szCs w:val="20"/>
        </w:rPr>
        <w:t xml:space="preserve">, Z. and </w:t>
      </w:r>
      <w:r>
        <w:rPr>
          <w:rFonts w:eastAsia="Times New Roman"/>
          <w:sz w:val="22"/>
          <w:szCs w:val="20"/>
        </w:rPr>
        <w:t>Švábová</w:t>
      </w:r>
      <w:r>
        <w:rPr>
          <w:rFonts w:eastAsia="Times New Roman"/>
          <w:sz w:val="22"/>
          <w:szCs w:val="20"/>
        </w:rPr>
        <w:t xml:space="preserve">, P. (2020) ‘IBM SPSS statistics’, in </w:t>
      </w:r>
      <w:r>
        <w:rPr>
          <w:rFonts w:eastAsia="Times New Roman"/>
          <w:i/>
          <w:iCs/>
          <w:sz w:val="22"/>
          <w:szCs w:val="20"/>
        </w:rPr>
        <w:t>Statistics and Probability in Forensic Anthropology</w:t>
      </w:r>
      <w:r>
        <w:rPr>
          <w:rFonts w:eastAsia="Times New Roman"/>
          <w:sz w:val="22"/>
          <w:szCs w:val="20"/>
        </w:rPr>
        <w:t>. Elsevier, pp. 343–352.</w:t>
      </w:r>
    </w:p>
    <w:p w14:paraId="0000008F">
      <w:pPr>
        <w:spacing w:line="276" w:lineRule="auto"/>
        <w:rPr>
          <w:rFonts w:eastAsia="Times New Roman"/>
          <w:sz w:val="22"/>
          <w:szCs w:val="20"/>
        </w:rPr>
      </w:pPr>
      <w:r>
        <w:rPr>
          <w:rFonts w:eastAsia="Times New Roman"/>
          <w:sz w:val="22"/>
          <w:szCs w:val="20"/>
        </w:rPr>
        <w:t>Cleff</w:t>
      </w:r>
      <w:r>
        <w:rPr>
          <w:rFonts w:eastAsia="Times New Roman"/>
          <w:sz w:val="22"/>
          <w:szCs w:val="20"/>
        </w:rPr>
        <w:t xml:space="preserve">, T. (2019) </w:t>
      </w:r>
      <w:r>
        <w:rPr>
          <w:rFonts w:eastAsia="Times New Roman"/>
          <w:i/>
          <w:iCs/>
          <w:sz w:val="22"/>
          <w:szCs w:val="20"/>
        </w:rPr>
        <w:t>Applied statistics and multivariate data analysis for business and economics: A modern approach using SPSS, Stata, and Excel</w:t>
      </w:r>
      <w:r>
        <w:rPr>
          <w:rFonts w:eastAsia="Times New Roman"/>
          <w:sz w:val="22"/>
          <w:szCs w:val="20"/>
        </w:rPr>
        <w:t>. Springer.</w:t>
      </w:r>
    </w:p>
    <w:p w14:paraId="00000090">
      <w:pPr>
        <w:spacing w:line="276" w:lineRule="auto"/>
        <w:rPr>
          <w:rFonts w:eastAsia="Times New Roman"/>
          <w:sz w:val="22"/>
          <w:szCs w:val="20"/>
        </w:rPr>
      </w:pPr>
      <w:r>
        <w:rPr>
          <w:rFonts w:eastAsia="Times New Roman"/>
          <w:sz w:val="22"/>
          <w:szCs w:val="20"/>
        </w:rPr>
        <w:t xml:space="preserve">Edjabou, M.E. </w:t>
      </w:r>
      <w:r>
        <w:rPr>
          <w:rFonts w:eastAsia="Times New Roman"/>
          <w:i/>
          <w:iCs/>
          <w:sz w:val="22"/>
          <w:szCs w:val="20"/>
        </w:rPr>
        <w:t>et al.</w:t>
      </w:r>
      <w:r>
        <w:rPr>
          <w:rFonts w:eastAsia="Times New Roman"/>
          <w:sz w:val="22"/>
          <w:szCs w:val="20"/>
        </w:rPr>
        <w:t xml:space="preserve"> (2017) ‘Statistical analysis of solid waste composition data: Arithmetic mean, standard deviation and correlation coefficients’, </w:t>
      </w:r>
      <w:r>
        <w:rPr>
          <w:rFonts w:eastAsia="Times New Roman"/>
          <w:i/>
          <w:iCs/>
          <w:sz w:val="22"/>
          <w:szCs w:val="20"/>
        </w:rPr>
        <w:t>Waste Management</w:t>
      </w:r>
      <w:r>
        <w:rPr>
          <w:rFonts w:eastAsia="Times New Roman"/>
          <w:sz w:val="22"/>
          <w:szCs w:val="20"/>
        </w:rPr>
        <w:t>, 69, pp. 13–23.</w:t>
      </w:r>
    </w:p>
    <w:p w14:paraId="00000091">
      <w:pPr>
        <w:spacing w:line="276" w:lineRule="auto"/>
        <w:rPr>
          <w:rFonts w:eastAsia="Times New Roman"/>
          <w:sz w:val="22"/>
          <w:szCs w:val="20"/>
        </w:rPr>
      </w:pPr>
      <w:r>
        <w:rPr>
          <w:rFonts w:eastAsia="Times New Roman"/>
          <w:sz w:val="22"/>
          <w:szCs w:val="20"/>
          <w:lang w:val="it-IT"/>
        </w:rPr>
        <w:t xml:space="preserve">Ferreira‐Mello, R. </w:t>
      </w:r>
      <w:r>
        <w:rPr>
          <w:rFonts w:eastAsia="Times New Roman"/>
          <w:i/>
          <w:iCs/>
          <w:sz w:val="22"/>
          <w:szCs w:val="20"/>
          <w:lang w:val="it-IT"/>
        </w:rPr>
        <w:t>et al.</w:t>
      </w:r>
      <w:r>
        <w:rPr>
          <w:rFonts w:eastAsia="Times New Roman"/>
          <w:sz w:val="22"/>
          <w:szCs w:val="20"/>
          <w:lang w:val="it-IT"/>
        </w:rPr>
        <w:t xml:space="preserve"> </w:t>
      </w:r>
      <w:r>
        <w:rPr>
          <w:rFonts w:eastAsia="Times New Roman"/>
          <w:sz w:val="22"/>
          <w:szCs w:val="20"/>
        </w:rPr>
        <w:t xml:space="preserve">(2019) ‘Text mining in education’, </w:t>
      </w:r>
      <w:r>
        <w:rPr>
          <w:rFonts w:eastAsia="Times New Roman"/>
          <w:i/>
          <w:iCs/>
          <w:sz w:val="22"/>
          <w:szCs w:val="20"/>
        </w:rPr>
        <w:t>Wiley Interdisciplinary Reviews: Data Mining and Knowledge Discovery</w:t>
      </w:r>
      <w:r>
        <w:rPr>
          <w:rFonts w:eastAsia="Times New Roman"/>
          <w:sz w:val="22"/>
          <w:szCs w:val="20"/>
        </w:rPr>
        <w:t>, 9(6), p. e1332.</w:t>
      </w:r>
    </w:p>
    <w:p w14:paraId="00000092">
      <w:pPr>
        <w:spacing w:line="276" w:lineRule="auto"/>
        <w:rPr>
          <w:rFonts w:eastAsia="Times New Roman"/>
          <w:sz w:val="22"/>
          <w:szCs w:val="20"/>
        </w:rPr>
      </w:pPr>
      <w:r>
        <w:rPr>
          <w:rFonts w:eastAsia="Times New Roman"/>
          <w:sz w:val="22"/>
          <w:szCs w:val="20"/>
        </w:rPr>
        <w:t xml:space="preserve">Guerrero, H., Guerrero, R. and Rauscher (2019) </w:t>
      </w:r>
      <w:r>
        <w:rPr>
          <w:rFonts w:eastAsia="Times New Roman"/>
          <w:i/>
          <w:iCs/>
          <w:sz w:val="22"/>
          <w:szCs w:val="20"/>
        </w:rPr>
        <w:t>Excel data analysis</w:t>
      </w:r>
      <w:r>
        <w:rPr>
          <w:rFonts w:eastAsia="Times New Roman"/>
          <w:sz w:val="22"/>
          <w:szCs w:val="20"/>
        </w:rPr>
        <w:t>. Springer.</w:t>
      </w:r>
    </w:p>
    <w:p w14:paraId="00000093">
      <w:pPr>
        <w:spacing w:line="276" w:lineRule="auto"/>
        <w:rPr>
          <w:rFonts w:eastAsia="Times New Roman"/>
          <w:sz w:val="22"/>
          <w:szCs w:val="20"/>
        </w:rPr>
      </w:pPr>
      <w:r>
        <w:rPr>
          <w:rFonts w:eastAsia="Times New Roman"/>
          <w:sz w:val="22"/>
          <w:szCs w:val="20"/>
        </w:rPr>
        <w:t xml:space="preserve">Hassani, H. </w:t>
      </w:r>
      <w:r>
        <w:rPr>
          <w:rFonts w:eastAsia="Times New Roman"/>
          <w:i/>
          <w:iCs/>
          <w:sz w:val="22"/>
          <w:szCs w:val="20"/>
        </w:rPr>
        <w:t>et al.</w:t>
      </w:r>
      <w:r>
        <w:rPr>
          <w:rFonts w:eastAsia="Times New Roman"/>
          <w:sz w:val="22"/>
          <w:szCs w:val="20"/>
        </w:rPr>
        <w:t xml:space="preserve"> (2020) ‘Text mining in big data analytics’, </w:t>
      </w:r>
      <w:r>
        <w:rPr>
          <w:rFonts w:eastAsia="Times New Roman"/>
          <w:i/>
          <w:iCs/>
          <w:sz w:val="22"/>
          <w:szCs w:val="20"/>
        </w:rPr>
        <w:t>Big Data and Cognitive Computing</w:t>
      </w:r>
      <w:r>
        <w:rPr>
          <w:rFonts w:eastAsia="Times New Roman"/>
          <w:sz w:val="22"/>
          <w:szCs w:val="20"/>
        </w:rPr>
        <w:t>, 4(1), p. 1.</w:t>
      </w:r>
    </w:p>
    <w:p w14:paraId="00000094">
      <w:pPr>
        <w:spacing w:line="276" w:lineRule="auto"/>
        <w:rPr>
          <w:rFonts w:eastAsia="Times New Roman"/>
          <w:sz w:val="22"/>
          <w:szCs w:val="20"/>
        </w:rPr>
      </w:pPr>
      <w:r>
        <w:rPr>
          <w:rFonts w:eastAsia="Times New Roman"/>
          <w:sz w:val="22"/>
          <w:szCs w:val="20"/>
        </w:rPr>
        <w:t>Opie, C. (2019) ‘Using excel/</w:t>
      </w:r>
      <w:r>
        <w:rPr>
          <w:rFonts w:eastAsia="Times New Roman"/>
          <w:sz w:val="22"/>
          <w:szCs w:val="20"/>
        </w:rPr>
        <w:t>spss</w:t>
      </w:r>
      <w:r>
        <w:rPr>
          <w:rFonts w:eastAsia="Times New Roman"/>
          <w:sz w:val="22"/>
          <w:szCs w:val="20"/>
        </w:rPr>
        <w:t xml:space="preserve"> in your research’, </w:t>
      </w:r>
      <w:r>
        <w:rPr>
          <w:rFonts w:eastAsia="Times New Roman"/>
          <w:i/>
          <w:iCs/>
          <w:sz w:val="22"/>
          <w:szCs w:val="20"/>
        </w:rPr>
        <w:t>Getting Started in Your Educational Research: Design, Data Production and Analysis</w:t>
      </w:r>
      <w:r>
        <w:rPr>
          <w:rFonts w:eastAsia="Times New Roman"/>
          <w:sz w:val="22"/>
          <w:szCs w:val="20"/>
        </w:rPr>
        <w:t>, 309.</w:t>
      </w:r>
    </w:p>
    <w:p w14:paraId="00000095">
      <w:pPr>
        <w:spacing w:line="276" w:lineRule="auto"/>
        <w:rPr>
          <w:rFonts w:eastAsia="Times New Roman"/>
          <w:sz w:val="22"/>
          <w:szCs w:val="20"/>
        </w:rPr>
      </w:pPr>
      <w:r>
        <w:rPr>
          <w:rFonts w:eastAsia="Times New Roman"/>
          <w:sz w:val="22"/>
          <w:szCs w:val="20"/>
        </w:rPr>
        <w:t>Osman, A.S. (2019) ‘Data mining techniques’.</w:t>
      </w:r>
    </w:p>
    <w:p w14:paraId="00000096">
      <w:pPr>
        <w:spacing w:line="276" w:lineRule="auto"/>
        <w:rPr>
          <w:rFonts w:eastAsia="Times New Roman"/>
          <w:sz w:val="22"/>
          <w:szCs w:val="20"/>
        </w:rPr>
      </w:pPr>
      <w:r>
        <w:rPr>
          <w:rFonts w:eastAsia="Times New Roman"/>
          <w:sz w:val="22"/>
          <w:szCs w:val="20"/>
        </w:rPr>
        <w:t xml:space="preserve">Pal, D. (2019) ‘What are the pros and cons of using SPSS?’, </w:t>
      </w:r>
      <w:r>
        <w:rPr>
          <w:rFonts w:eastAsia="Times New Roman"/>
          <w:i/>
          <w:iCs/>
          <w:sz w:val="22"/>
          <w:szCs w:val="20"/>
        </w:rPr>
        <w:t>Quora</w:t>
      </w:r>
      <w:r>
        <w:rPr>
          <w:rFonts w:eastAsia="Times New Roman"/>
          <w:sz w:val="22"/>
          <w:szCs w:val="20"/>
        </w:rPr>
        <w:t>. Available at: https://www.quora.com/What-are-the-pros-and-cons-of-using-SPSS (Accessed: 3 September 2022).</w:t>
      </w:r>
    </w:p>
    <w:p w14:paraId="00000097">
      <w:pPr>
        <w:spacing w:line="276" w:lineRule="auto"/>
        <w:rPr>
          <w:rFonts w:eastAsia="Times New Roman"/>
          <w:sz w:val="22"/>
          <w:szCs w:val="20"/>
        </w:rPr>
      </w:pPr>
      <w:r>
        <w:rPr>
          <w:rFonts w:eastAsia="Times New Roman"/>
          <w:sz w:val="22"/>
          <w:szCs w:val="20"/>
        </w:rPr>
        <w:t xml:space="preserve">Rahman, A. and </w:t>
      </w:r>
      <w:r>
        <w:rPr>
          <w:rFonts w:eastAsia="Times New Roman"/>
          <w:sz w:val="22"/>
          <w:szCs w:val="20"/>
        </w:rPr>
        <w:t>Muktadir</w:t>
      </w:r>
      <w:r>
        <w:rPr>
          <w:rFonts w:eastAsia="Times New Roman"/>
          <w:sz w:val="22"/>
          <w:szCs w:val="20"/>
        </w:rPr>
        <w:t xml:space="preserve">, M.G. (2021) ‘SPSS: An imperative quantitative data analysis tool for social science research’, </w:t>
      </w:r>
      <w:r>
        <w:rPr>
          <w:rFonts w:eastAsia="Times New Roman"/>
          <w:i/>
          <w:iCs/>
          <w:sz w:val="22"/>
          <w:szCs w:val="20"/>
        </w:rPr>
        <w:t>International Journal of Research and Innovation in Social Science</w:t>
      </w:r>
      <w:r>
        <w:rPr>
          <w:rFonts w:eastAsia="Times New Roman"/>
          <w:sz w:val="22"/>
          <w:szCs w:val="20"/>
        </w:rPr>
        <w:t>, 5(10), pp. 300–302.</w:t>
      </w:r>
    </w:p>
    <w:p w14:paraId="00000098">
      <w:pPr>
        <w:spacing w:line="276" w:lineRule="auto"/>
        <w:rPr>
          <w:rFonts w:eastAsia="Times New Roman"/>
          <w:sz w:val="22"/>
          <w:szCs w:val="20"/>
        </w:rPr>
      </w:pPr>
      <w:r>
        <w:rPr>
          <w:rFonts w:eastAsia="Times New Roman"/>
          <w:sz w:val="22"/>
          <w:szCs w:val="20"/>
        </w:rPr>
        <w:t>Schildkamp</w:t>
      </w:r>
      <w:r>
        <w:rPr>
          <w:rFonts w:eastAsia="Times New Roman"/>
          <w:sz w:val="22"/>
          <w:szCs w:val="20"/>
        </w:rPr>
        <w:t xml:space="preserve">, K. (2019) ‘Data-based decision-making for school improvement: Research insights and gaps’, </w:t>
      </w:r>
      <w:r>
        <w:rPr>
          <w:rFonts w:eastAsia="Times New Roman"/>
          <w:i/>
          <w:iCs/>
          <w:sz w:val="22"/>
          <w:szCs w:val="20"/>
        </w:rPr>
        <w:t>Educational research</w:t>
      </w:r>
      <w:r>
        <w:rPr>
          <w:rFonts w:eastAsia="Times New Roman"/>
          <w:sz w:val="22"/>
          <w:szCs w:val="20"/>
        </w:rPr>
        <w:t>, 61(3), pp. 257–273.</w:t>
      </w:r>
    </w:p>
    <w:p w14:paraId="00000099">
      <w:pPr>
        <w:spacing w:line="276" w:lineRule="auto"/>
        <w:rPr>
          <w:rFonts w:eastAsia="Times New Roman"/>
          <w:sz w:val="22"/>
          <w:szCs w:val="20"/>
        </w:rPr>
      </w:pPr>
      <w:r>
        <w:rPr>
          <w:rFonts w:eastAsia="Times New Roman"/>
          <w:sz w:val="22"/>
          <w:szCs w:val="20"/>
        </w:rPr>
        <w:t xml:space="preserve">Shanthi, R. (2019) </w:t>
      </w:r>
      <w:r>
        <w:rPr>
          <w:rFonts w:eastAsia="Times New Roman"/>
          <w:i/>
          <w:iCs/>
          <w:sz w:val="22"/>
          <w:szCs w:val="20"/>
        </w:rPr>
        <w:t>Multivariate data analysis: using SPSS and AMOS</w:t>
      </w:r>
      <w:r>
        <w:rPr>
          <w:rFonts w:eastAsia="Times New Roman"/>
          <w:sz w:val="22"/>
          <w:szCs w:val="20"/>
        </w:rPr>
        <w:t>. MJP Publisher.</w:t>
      </w:r>
    </w:p>
    <w:p w14:paraId="0000009A">
      <w:pPr>
        <w:spacing w:line="276" w:lineRule="auto"/>
        <w:rPr>
          <w:lang w:val="en-GB"/>
        </w:rPr>
      </w:pPr>
      <w:r>
        <w:rPr>
          <w:rFonts w:eastAsia="Times New Roman"/>
          <w:sz w:val="22"/>
          <w:szCs w:val="20"/>
        </w:rPr>
        <w:t xml:space="preserve">Yang, J. </w:t>
      </w:r>
      <w:r>
        <w:rPr>
          <w:rFonts w:eastAsia="Times New Roman"/>
          <w:i/>
          <w:iCs/>
          <w:sz w:val="22"/>
          <w:szCs w:val="20"/>
        </w:rPr>
        <w:t>et al.</w:t>
      </w:r>
      <w:r>
        <w:rPr>
          <w:rFonts w:eastAsia="Times New Roman"/>
          <w:sz w:val="22"/>
          <w:szCs w:val="20"/>
        </w:rPr>
        <w:t xml:space="preserve"> (2020) ‘Brief introduction of medical database and data mining technology in big data era’, </w:t>
      </w:r>
      <w:r>
        <w:rPr>
          <w:rFonts w:eastAsia="Times New Roman"/>
          <w:i/>
          <w:iCs/>
          <w:sz w:val="22"/>
          <w:szCs w:val="20"/>
        </w:rPr>
        <w:t>Journal of Evidence‐Based Medicine</w:t>
      </w:r>
      <w:r>
        <w:rPr>
          <w:rFonts w:eastAsia="Times New Roman"/>
          <w:sz w:val="22"/>
          <w:szCs w:val="20"/>
        </w:rPr>
        <w:t>, 13(1), pp. 57–69. </w:t>
      </w:r>
    </w:p>
    <w:sectPr>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Symbol">
    <w:panose1 w:val="05050102010706020507"/>
    <w:charset w:val="02"/>
    <w:family w:val="decorative"/>
    <w:pitch w:val="variable"/>
    <w:sig w:usb0="00000000" w:usb1="10000000" w:usb2="00000000" w:usb3="00000000" w:csb0="00000000"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decorative"/>
    <w:pitch w:val="variable"/>
    <w:sig w:usb0="00000000" w:usb1="10000000" w:usb2="00000000" w:usb3="00000000" w:csb0="00000000" w:csb1="00000000"/>
  </w:font>
  <w:font w:name="Calibri">
    <w:panose1 w:val="020f0502020204030204"/>
    <w:charset w:val="00"/>
    <w:family w:val="swiss"/>
    <w:pitch w:val="variable"/>
    <w:sig w:usb0="00000000"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4000207b" w:usb2="00000000"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9B">
    <w:pPr>
      <w:pStyle w:val="Footer"/>
      <w:jc w:val="center"/>
      <w:rPr/>
    </w:pPr>
    <w:r>
      <w:fldChar w:fldCharType="begin"/>
    </w:r>
    <w:r>
      <w:instrText xml:space="preserve"> PAGE   \* MERGEFORMAT </w:instrText>
    </w:r>
    <w:r>
      <w:fldChar w:fldCharType="separate"/>
    </w:r>
    <w:r>
      <w:t>2</w:t>
    </w:r>
    <w:r>
      <w:fldChar w:fldCharType="end"/>
    </w:r>
  </w:p>
  <w:p w14:paraId="0000009C">
    <w:pPr>
      <w:pStyle w:val="Footer"/>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9D">
    <w:pPr>
      <w:pStyle w:val="Footer"/>
      <w:jc w:val="center"/>
      <w:rPr/>
    </w:pPr>
    <w:r>
      <w:fldChar w:fldCharType="begin"/>
    </w:r>
    <w:r>
      <w:instrText xml:space="preserve"> PAGE   \* MERGEFORMAT </w:instrText>
    </w:r>
    <w:r>
      <w:fldChar w:fldCharType="separate"/>
    </w:r>
    <w:r>
      <w:t>2</w:t>
    </w:r>
    <w:r>
      <w:fldChar w:fldCharType="end"/>
    </w:r>
  </w:p>
  <w:p w14:paraId="0000009E">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900" w:hanging="360"/>
      </w:pPr>
    </w:lvl>
    <w:lvl w:ilvl="1" w:tentative="1">
      <w:start w:val="1"/>
      <w:numFmt w:val="lowerLetter"/>
      <w:lvlText w:val="%2."/>
      <w:lvlJc w:val="left"/>
      <w:pPr>
        <w:ind w:left="1620" w:hanging="360"/>
      </w:pPr>
    </w:lvl>
    <w:lvl w:ilvl="2" w:tentative="1">
      <w:start w:val="1"/>
      <w:numFmt w:val="lowerRoman"/>
      <w:lvlText w:val="%3."/>
      <w:lvlJc w:val="right"/>
      <w:pPr>
        <w:ind w:left="2340" w:hanging="180"/>
      </w:pPr>
    </w:lvl>
    <w:lvl w:ilvl="3" w:tentative="1">
      <w:start w:val="1"/>
      <w:numFmt w:val="decimal"/>
      <w:lvlText w:val="%4."/>
      <w:lvlJc w:val="left"/>
      <w:pPr>
        <w:ind w:left="3060" w:hanging="360"/>
      </w:pPr>
    </w:lvl>
    <w:lvl w:ilvl="4" w:tentative="1">
      <w:start w:val="1"/>
      <w:numFmt w:val="lowerLetter"/>
      <w:lvlText w:val="%5."/>
      <w:lvlJc w:val="left"/>
      <w:pPr>
        <w:ind w:left="3780" w:hanging="360"/>
      </w:pPr>
    </w:lvl>
    <w:lvl w:ilvl="5" w:tentative="1">
      <w:start w:val="1"/>
      <w:numFmt w:val="lowerRoman"/>
      <w:lvlText w:val="%6."/>
      <w:lvlJc w:val="right"/>
      <w:pPr>
        <w:ind w:left="4500" w:hanging="180"/>
      </w:pPr>
    </w:lvl>
    <w:lvl w:ilvl="6" w:tentative="1">
      <w:start w:val="1"/>
      <w:numFmt w:val="decimal"/>
      <w:lvlText w:val="%7."/>
      <w:lvlJc w:val="left"/>
      <w:pPr>
        <w:ind w:left="5220" w:hanging="360"/>
      </w:pPr>
    </w:lvl>
    <w:lvl w:ilvl="7" w:tentative="1">
      <w:start w:val="1"/>
      <w:numFmt w:val="lowerLetter"/>
      <w:lvlText w:val="%8."/>
      <w:lvlJc w:val="left"/>
      <w:pPr>
        <w:ind w:left="5940" w:hanging="360"/>
      </w:pPr>
    </w:lvl>
    <w:lvl w:ilvl="8" w:tentative="1">
      <w:start w:val="1"/>
      <w:numFmt w:val="lowerRoman"/>
      <w:lvlText w:val="%9."/>
      <w:lvlJc w:val="right"/>
      <w:pPr>
        <w:ind w:left="6660" w:hanging="180"/>
      </w:pPr>
    </w:lvl>
  </w:abstractNum>
  <w:abstractNum w:abstractNumId="1">
    <w:multiLevelType w:val="hybridMultilevel"/>
    <w:lvl w:ilvl="0" w:tentative="0">
      <w:start w:val="1"/>
      <w:numFmt w:val="decimal"/>
      <w:lvlText w:val="%1."/>
      <w:lvlJc w:val="left"/>
      <w:pPr>
        <w:ind w:left="360" w:hanging="360"/>
      </w:pPr>
      <w:rPr>
        <w:rFonts w:hint="default"/>
        <w:b/>
        <w:bCs/>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4">
    <w:multiLevelType w:val="hybridMultilevel"/>
    <w:lvl w:ilvl="0" w:tentative="0">
      <w:start w:val="1"/>
      <w:numFmt w:val="bullet"/>
      <w:lvlText w:val=""/>
      <w:lvlJc w:val="left"/>
      <w:pPr>
        <w:ind w:left="36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6"/>
  <w:removePersonalInformation/>
  <w:removeDateAndTime/>
  <w:proofState w:spelling="clean" w:grammar="clean"/>
  <w:revisionView w:inkAnnotations="0"/>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47A"/>
    <w:rsid w:val="000050C5"/>
    <w:rsid w:val="00007734"/>
    <w:rsid w:val="00007FD0"/>
    <w:rsid w:val="00014D4F"/>
    <w:rsid w:val="00017509"/>
    <w:rsid w:val="00027C77"/>
    <w:rsid w:val="0003214D"/>
    <w:rsid w:val="000345B7"/>
    <w:rsid w:val="00035834"/>
    <w:rsid w:val="00041B26"/>
    <w:rsid w:val="00056E29"/>
    <w:rsid w:val="000610DC"/>
    <w:rsid w:val="00072090"/>
    <w:rsid w:val="00076C31"/>
    <w:rsid w:val="00092A3F"/>
    <w:rsid w:val="00094682"/>
    <w:rsid w:val="00094853"/>
    <w:rsid w:val="000A0912"/>
    <w:rsid w:val="000A4660"/>
    <w:rsid w:val="000A7FDB"/>
    <w:rsid w:val="000B505B"/>
    <w:rsid w:val="000C18A7"/>
    <w:rsid w:val="000C36A9"/>
    <w:rsid w:val="000D17FB"/>
    <w:rsid w:val="000D2E22"/>
    <w:rsid w:val="000D5961"/>
    <w:rsid w:val="000E569A"/>
    <w:rsid w:val="000F6741"/>
    <w:rsid w:val="00102B1D"/>
    <w:rsid w:val="00110DC7"/>
    <w:rsid w:val="001111FC"/>
    <w:rsid w:val="00133025"/>
    <w:rsid w:val="00141AD1"/>
    <w:rsid w:val="00141C9C"/>
    <w:rsid w:val="00152EFD"/>
    <w:rsid w:val="001613C4"/>
    <w:rsid w:val="00174C66"/>
    <w:rsid w:val="00183A50"/>
    <w:rsid w:val="00190BFB"/>
    <w:rsid w:val="00194212"/>
    <w:rsid w:val="00194B67"/>
    <w:rsid w:val="00195DC8"/>
    <w:rsid w:val="001978D8"/>
    <w:rsid w:val="001A285E"/>
    <w:rsid w:val="001B3800"/>
    <w:rsid w:val="001B6B02"/>
    <w:rsid w:val="001D2774"/>
    <w:rsid w:val="001D39DA"/>
    <w:rsid w:val="001E1B0A"/>
    <w:rsid w:val="001E53B9"/>
    <w:rsid w:val="001E5A19"/>
    <w:rsid w:val="001E5F2B"/>
    <w:rsid w:val="001F063D"/>
    <w:rsid w:val="002037B4"/>
    <w:rsid w:val="00207CB4"/>
    <w:rsid w:val="00216B9F"/>
    <w:rsid w:val="00233930"/>
    <w:rsid w:val="00233B12"/>
    <w:rsid w:val="00233F70"/>
    <w:rsid w:val="00236365"/>
    <w:rsid w:val="002476D0"/>
    <w:rsid w:val="0026092E"/>
    <w:rsid w:val="00266E9B"/>
    <w:rsid w:val="002751BA"/>
    <w:rsid w:val="00276E09"/>
    <w:rsid w:val="00277F66"/>
    <w:rsid w:val="00287B90"/>
    <w:rsid w:val="002978C8"/>
    <w:rsid w:val="002A2BCB"/>
    <w:rsid w:val="002A631B"/>
    <w:rsid w:val="002B0AC1"/>
    <w:rsid w:val="002B22CA"/>
    <w:rsid w:val="002B2A42"/>
    <w:rsid w:val="002B6101"/>
    <w:rsid w:val="002B6385"/>
    <w:rsid w:val="002C05EE"/>
    <w:rsid w:val="002C19AA"/>
    <w:rsid w:val="002C2BF6"/>
    <w:rsid w:val="002C72EF"/>
    <w:rsid w:val="002D2000"/>
    <w:rsid w:val="002D7AA6"/>
    <w:rsid w:val="002D7D5B"/>
    <w:rsid w:val="002E4191"/>
    <w:rsid w:val="002F4A20"/>
    <w:rsid w:val="002F51D0"/>
    <w:rsid w:val="00305505"/>
    <w:rsid w:val="00314EA2"/>
    <w:rsid w:val="00317022"/>
    <w:rsid w:val="003245D3"/>
    <w:rsid w:val="00340285"/>
    <w:rsid w:val="0034310D"/>
    <w:rsid w:val="00350D55"/>
    <w:rsid w:val="00352E72"/>
    <w:rsid w:val="0038070D"/>
    <w:rsid w:val="00385703"/>
    <w:rsid w:val="003B0DFC"/>
    <w:rsid w:val="003B1DDF"/>
    <w:rsid w:val="003C1B65"/>
    <w:rsid w:val="003C2D37"/>
    <w:rsid w:val="003C62B5"/>
    <w:rsid w:val="003D0651"/>
    <w:rsid w:val="003D153F"/>
    <w:rsid w:val="003D3D99"/>
    <w:rsid w:val="003D53A7"/>
    <w:rsid w:val="003E2476"/>
    <w:rsid w:val="003F2CC0"/>
    <w:rsid w:val="003F4406"/>
    <w:rsid w:val="003F5A84"/>
    <w:rsid w:val="003F7931"/>
    <w:rsid w:val="004018A6"/>
    <w:rsid w:val="00402DB0"/>
    <w:rsid w:val="00403BDB"/>
    <w:rsid w:val="00403EA6"/>
    <w:rsid w:val="004163FD"/>
    <w:rsid w:val="00420195"/>
    <w:rsid w:val="00436EA9"/>
    <w:rsid w:val="00437622"/>
    <w:rsid w:val="004379F2"/>
    <w:rsid w:val="00441B45"/>
    <w:rsid w:val="004429CA"/>
    <w:rsid w:val="00446320"/>
    <w:rsid w:val="00454861"/>
    <w:rsid w:val="00462CC6"/>
    <w:rsid w:val="00464769"/>
    <w:rsid w:val="00465FAF"/>
    <w:rsid w:val="00470BBE"/>
    <w:rsid w:val="004757C9"/>
    <w:rsid w:val="00491E26"/>
    <w:rsid w:val="00494BFD"/>
    <w:rsid w:val="00495012"/>
    <w:rsid w:val="004A07A8"/>
    <w:rsid w:val="004A2D4A"/>
    <w:rsid w:val="004A7B2D"/>
    <w:rsid w:val="004B3E13"/>
    <w:rsid w:val="004B7ACD"/>
    <w:rsid w:val="004C2899"/>
    <w:rsid w:val="004C6C6F"/>
    <w:rsid w:val="004E3548"/>
    <w:rsid w:val="004F11DB"/>
    <w:rsid w:val="004F18B0"/>
    <w:rsid w:val="004F4ED6"/>
    <w:rsid w:val="004F7D67"/>
    <w:rsid w:val="005023E4"/>
    <w:rsid w:val="005203C9"/>
    <w:rsid w:val="005252B6"/>
    <w:rsid w:val="0052536A"/>
    <w:rsid w:val="005273F6"/>
    <w:rsid w:val="00531A40"/>
    <w:rsid w:val="005371C3"/>
    <w:rsid w:val="005432F2"/>
    <w:rsid w:val="00547403"/>
    <w:rsid w:val="00552293"/>
    <w:rsid w:val="005533E1"/>
    <w:rsid w:val="00555E36"/>
    <w:rsid w:val="005605C2"/>
    <w:rsid w:val="005618ED"/>
    <w:rsid w:val="00574FEB"/>
    <w:rsid w:val="00576772"/>
    <w:rsid w:val="00586C22"/>
    <w:rsid w:val="005959C4"/>
    <w:rsid w:val="005977A6"/>
    <w:rsid w:val="005B5144"/>
    <w:rsid w:val="005B519E"/>
    <w:rsid w:val="005C1233"/>
    <w:rsid w:val="005C1E9E"/>
    <w:rsid w:val="005C67D0"/>
    <w:rsid w:val="005D3463"/>
    <w:rsid w:val="005E4315"/>
    <w:rsid w:val="005E5ECF"/>
    <w:rsid w:val="005F6BEF"/>
    <w:rsid w:val="006122E9"/>
    <w:rsid w:val="00620762"/>
    <w:rsid w:val="00620B83"/>
    <w:rsid w:val="00621FB2"/>
    <w:rsid w:val="00626D17"/>
    <w:rsid w:val="00632A94"/>
    <w:rsid w:val="00651011"/>
    <w:rsid w:val="00654CEA"/>
    <w:rsid w:val="00655A0B"/>
    <w:rsid w:val="00656BEE"/>
    <w:rsid w:val="00662BC8"/>
    <w:rsid w:val="00662BCE"/>
    <w:rsid w:val="00667274"/>
    <w:rsid w:val="006707BE"/>
    <w:rsid w:val="00671117"/>
    <w:rsid w:val="00692155"/>
    <w:rsid w:val="00692C67"/>
    <w:rsid w:val="006B14E7"/>
    <w:rsid w:val="006B29AB"/>
    <w:rsid w:val="006C1FD1"/>
    <w:rsid w:val="006C41C7"/>
    <w:rsid w:val="006C5E1D"/>
    <w:rsid w:val="006C6BA2"/>
    <w:rsid w:val="006D1E9D"/>
    <w:rsid w:val="006D2C3A"/>
    <w:rsid w:val="006D2E68"/>
    <w:rsid w:val="006D4E75"/>
    <w:rsid w:val="006D53DE"/>
    <w:rsid w:val="006D5851"/>
    <w:rsid w:val="006D65C3"/>
    <w:rsid w:val="006D782F"/>
    <w:rsid w:val="006E11BC"/>
    <w:rsid w:val="006E1B5B"/>
    <w:rsid w:val="006E7113"/>
    <w:rsid w:val="006F5D0F"/>
    <w:rsid w:val="007020D0"/>
    <w:rsid w:val="00703147"/>
    <w:rsid w:val="00710B6E"/>
    <w:rsid w:val="00714668"/>
    <w:rsid w:val="007206F2"/>
    <w:rsid w:val="00725098"/>
    <w:rsid w:val="007259C3"/>
    <w:rsid w:val="00737D82"/>
    <w:rsid w:val="00737EBB"/>
    <w:rsid w:val="00741A32"/>
    <w:rsid w:val="00745C9D"/>
    <w:rsid w:val="00750608"/>
    <w:rsid w:val="00754134"/>
    <w:rsid w:val="00754E1D"/>
    <w:rsid w:val="00761774"/>
    <w:rsid w:val="00763CAD"/>
    <w:rsid w:val="007857E9"/>
    <w:rsid w:val="00785EA4"/>
    <w:rsid w:val="00790166"/>
    <w:rsid w:val="00791049"/>
    <w:rsid w:val="007A1006"/>
    <w:rsid w:val="007A658E"/>
    <w:rsid w:val="007B36BC"/>
    <w:rsid w:val="007C1AD8"/>
    <w:rsid w:val="007C4E6D"/>
    <w:rsid w:val="007C4EC3"/>
    <w:rsid w:val="007D31BD"/>
    <w:rsid w:val="007D7308"/>
    <w:rsid w:val="007F10B2"/>
    <w:rsid w:val="007F526B"/>
    <w:rsid w:val="007F56E9"/>
    <w:rsid w:val="007F63FC"/>
    <w:rsid w:val="007F6B83"/>
    <w:rsid w:val="00804125"/>
    <w:rsid w:val="00804473"/>
    <w:rsid w:val="00810A00"/>
    <w:rsid w:val="00810AAB"/>
    <w:rsid w:val="008127F8"/>
    <w:rsid w:val="00816052"/>
    <w:rsid w:val="00817266"/>
    <w:rsid w:val="0082295F"/>
    <w:rsid w:val="008236C0"/>
    <w:rsid w:val="0083243E"/>
    <w:rsid w:val="008332D5"/>
    <w:rsid w:val="00833F7B"/>
    <w:rsid w:val="008342D3"/>
    <w:rsid w:val="00843ADF"/>
    <w:rsid w:val="00851A4B"/>
    <w:rsid w:val="0086041A"/>
    <w:rsid w:val="00861724"/>
    <w:rsid w:val="00862DA6"/>
    <w:rsid w:val="00871E7B"/>
    <w:rsid w:val="00872789"/>
    <w:rsid w:val="00874387"/>
    <w:rsid w:val="00875159"/>
    <w:rsid w:val="008914F0"/>
    <w:rsid w:val="008A5388"/>
    <w:rsid w:val="008B27CF"/>
    <w:rsid w:val="008B70AE"/>
    <w:rsid w:val="008C6060"/>
    <w:rsid w:val="008D3EA1"/>
    <w:rsid w:val="008D44A0"/>
    <w:rsid w:val="008D7276"/>
    <w:rsid w:val="008D7588"/>
    <w:rsid w:val="008E7051"/>
    <w:rsid w:val="008F5355"/>
    <w:rsid w:val="009013D8"/>
    <w:rsid w:val="009058A9"/>
    <w:rsid w:val="009241FC"/>
    <w:rsid w:val="00925255"/>
    <w:rsid w:val="00931525"/>
    <w:rsid w:val="009347B4"/>
    <w:rsid w:val="00936994"/>
    <w:rsid w:val="00936B86"/>
    <w:rsid w:val="00942808"/>
    <w:rsid w:val="00943981"/>
    <w:rsid w:val="00944C28"/>
    <w:rsid w:val="009456D2"/>
    <w:rsid w:val="009625A2"/>
    <w:rsid w:val="00964723"/>
    <w:rsid w:val="00970E09"/>
    <w:rsid w:val="009726B1"/>
    <w:rsid w:val="00973BCF"/>
    <w:rsid w:val="00976DA5"/>
    <w:rsid w:val="0098692F"/>
    <w:rsid w:val="00992924"/>
    <w:rsid w:val="009A3979"/>
    <w:rsid w:val="009A7BCC"/>
    <w:rsid w:val="009A7D5B"/>
    <w:rsid w:val="009B1E96"/>
    <w:rsid w:val="009B3A45"/>
    <w:rsid w:val="009B543E"/>
    <w:rsid w:val="009B776D"/>
    <w:rsid w:val="009C1D56"/>
    <w:rsid w:val="009C3D0F"/>
    <w:rsid w:val="009D4943"/>
    <w:rsid w:val="009F0E37"/>
    <w:rsid w:val="009F4D7C"/>
    <w:rsid w:val="00A02538"/>
    <w:rsid w:val="00A10E24"/>
    <w:rsid w:val="00A20F18"/>
    <w:rsid w:val="00A21ACC"/>
    <w:rsid w:val="00A350CB"/>
    <w:rsid w:val="00A36D74"/>
    <w:rsid w:val="00A413CE"/>
    <w:rsid w:val="00A50D0B"/>
    <w:rsid w:val="00A52667"/>
    <w:rsid w:val="00A7028F"/>
    <w:rsid w:val="00A72BC2"/>
    <w:rsid w:val="00A77D58"/>
    <w:rsid w:val="00A86AA1"/>
    <w:rsid w:val="00A9042C"/>
    <w:rsid w:val="00A926B0"/>
    <w:rsid w:val="00AA77DB"/>
    <w:rsid w:val="00AC5117"/>
    <w:rsid w:val="00AD40E8"/>
    <w:rsid w:val="00AE3D62"/>
    <w:rsid w:val="00AF2525"/>
    <w:rsid w:val="00AF4209"/>
    <w:rsid w:val="00B014B4"/>
    <w:rsid w:val="00B01678"/>
    <w:rsid w:val="00B054C6"/>
    <w:rsid w:val="00B11D8F"/>
    <w:rsid w:val="00B14DDD"/>
    <w:rsid w:val="00B15EE3"/>
    <w:rsid w:val="00B244F8"/>
    <w:rsid w:val="00B2634A"/>
    <w:rsid w:val="00B30C57"/>
    <w:rsid w:val="00B32623"/>
    <w:rsid w:val="00B357C5"/>
    <w:rsid w:val="00B427D7"/>
    <w:rsid w:val="00B43AA6"/>
    <w:rsid w:val="00B45352"/>
    <w:rsid w:val="00B502E7"/>
    <w:rsid w:val="00B563FD"/>
    <w:rsid w:val="00B57A0B"/>
    <w:rsid w:val="00B7447A"/>
    <w:rsid w:val="00B82DAB"/>
    <w:rsid w:val="00BA39C8"/>
    <w:rsid w:val="00BA4A7B"/>
    <w:rsid w:val="00BA670B"/>
    <w:rsid w:val="00BB35F7"/>
    <w:rsid w:val="00BC4DDA"/>
    <w:rsid w:val="00BC7B2E"/>
    <w:rsid w:val="00BD2F70"/>
    <w:rsid w:val="00BD4A8E"/>
    <w:rsid w:val="00BD59A3"/>
    <w:rsid w:val="00BE0A6C"/>
    <w:rsid w:val="00BE5634"/>
    <w:rsid w:val="00BF2793"/>
    <w:rsid w:val="00BF3E3D"/>
    <w:rsid w:val="00BF4758"/>
    <w:rsid w:val="00C05A04"/>
    <w:rsid w:val="00C16DDC"/>
    <w:rsid w:val="00C328CF"/>
    <w:rsid w:val="00C34D08"/>
    <w:rsid w:val="00C35F7F"/>
    <w:rsid w:val="00C36187"/>
    <w:rsid w:val="00C41354"/>
    <w:rsid w:val="00C73AB0"/>
    <w:rsid w:val="00C74E76"/>
    <w:rsid w:val="00C7617C"/>
    <w:rsid w:val="00C82585"/>
    <w:rsid w:val="00C975BF"/>
    <w:rsid w:val="00CA0D98"/>
    <w:rsid w:val="00CA6329"/>
    <w:rsid w:val="00CC0EDE"/>
    <w:rsid w:val="00CC179D"/>
    <w:rsid w:val="00CE4485"/>
    <w:rsid w:val="00D075DF"/>
    <w:rsid w:val="00D16EAE"/>
    <w:rsid w:val="00D17D86"/>
    <w:rsid w:val="00D26A8F"/>
    <w:rsid w:val="00D36F9B"/>
    <w:rsid w:val="00D42AD1"/>
    <w:rsid w:val="00D44D20"/>
    <w:rsid w:val="00D51673"/>
    <w:rsid w:val="00D56D87"/>
    <w:rsid w:val="00D65694"/>
    <w:rsid w:val="00D70FF2"/>
    <w:rsid w:val="00D72F32"/>
    <w:rsid w:val="00D77057"/>
    <w:rsid w:val="00D90BDF"/>
    <w:rsid w:val="00DA1C03"/>
    <w:rsid w:val="00DA776C"/>
    <w:rsid w:val="00DB0ED0"/>
    <w:rsid w:val="00DB1632"/>
    <w:rsid w:val="00DB1D58"/>
    <w:rsid w:val="00DB3385"/>
    <w:rsid w:val="00DB5023"/>
    <w:rsid w:val="00DB5E3E"/>
    <w:rsid w:val="00DD1C6B"/>
    <w:rsid w:val="00DE2AF9"/>
    <w:rsid w:val="00E00C7F"/>
    <w:rsid w:val="00E01DED"/>
    <w:rsid w:val="00E04038"/>
    <w:rsid w:val="00E07709"/>
    <w:rsid w:val="00E1000F"/>
    <w:rsid w:val="00E12BFB"/>
    <w:rsid w:val="00E14331"/>
    <w:rsid w:val="00E2298E"/>
    <w:rsid w:val="00E277D9"/>
    <w:rsid w:val="00E3519E"/>
    <w:rsid w:val="00E41F19"/>
    <w:rsid w:val="00E4526B"/>
    <w:rsid w:val="00E46512"/>
    <w:rsid w:val="00E503AD"/>
    <w:rsid w:val="00E548D8"/>
    <w:rsid w:val="00E6375F"/>
    <w:rsid w:val="00E65282"/>
    <w:rsid w:val="00E81CA5"/>
    <w:rsid w:val="00E93D0B"/>
    <w:rsid w:val="00E967DD"/>
    <w:rsid w:val="00EA04C2"/>
    <w:rsid w:val="00EA7F83"/>
    <w:rsid w:val="00EB1348"/>
    <w:rsid w:val="00EB33C9"/>
    <w:rsid w:val="00EC78A3"/>
    <w:rsid w:val="00ED737D"/>
    <w:rsid w:val="00F01FB0"/>
    <w:rsid w:val="00F10951"/>
    <w:rsid w:val="00F21B07"/>
    <w:rsid w:val="00F30032"/>
    <w:rsid w:val="00F33E12"/>
    <w:rsid w:val="00F353B4"/>
    <w:rsid w:val="00F37D33"/>
    <w:rsid w:val="00F50760"/>
    <w:rsid w:val="00F52617"/>
    <w:rsid w:val="00F6260A"/>
    <w:rsid w:val="00F7095B"/>
    <w:rsid w:val="00F72573"/>
    <w:rsid w:val="00F80E3B"/>
    <w:rsid w:val="00F8340F"/>
    <w:rsid w:val="00F92882"/>
    <w:rsid w:val="00F960CC"/>
    <w:rsid w:val="00FC15E8"/>
    <w:rsid w:val="00FD2B43"/>
    <w:rsid w:val="00FD596C"/>
    <w:rsid w:val="00FE1481"/>
    <w:rsid w:val="00FE39D1"/>
    <w:rsid w:val="00FF689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7B538D"/>
  <w15:chartTrackingRefBased/>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160" w:line="259" w:lineRule="auto"/>
      </w:pPr>
    </w:pPrDefault>
  </w:docDefaults>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qFormat w:val="on"/>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on"/>
    <w:pPr>
      <w:keepNext w:val="on"/>
      <w:keepLines w:val="on"/>
      <w:spacing w:before="240" w:after="0" w:line="480" w:lineRule="auto"/>
      <w:jc w:val="center"/>
    </w:pPr>
    <w:rPr>
      <w:rFonts w:cstheme="majorBidi" w:eastAsiaTheme="majorEastAsia"/>
      <w:b/>
      <w:color w:val="203864" w:themeColor="accent1" w:themeShade="80"/>
      <w:sz w:val="32"/>
      <w:szCs w:val="32"/>
    </w:rPr>
  </w:style>
  <w:style w:type="paragraph" w:styleId="Heading2">
    <w:name w:val="Heading 2"/>
    <w:basedOn w:val="Normal"/>
    <w:next w:val="Normal"/>
    <w:link w:val="Heading2Char"/>
    <w:uiPriority w:val="9"/>
    <w:unhideWhenUsed w:val="on"/>
    <w:qFormat w:val="on"/>
    <w:pPr>
      <w:keepNext w:val="on"/>
      <w:keepLines w:val="on"/>
      <w:spacing w:before="40" w:after="0" w:line="480" w:lineRule="auto"/>
      <w:jc w:val="center"/>
    </w:pPr>
    <w:rPr>
      <w:rFonts w:cstheme="majorBidi" w:eastAsiaTheme="majorEastAsia"/>
      <w:b/>
      <w:color w:val="2f5395" w:themeColor="accent1" w:themeShade="bf"/>
      <w:sz w:val="28"/>
      <w:szCs w:val="26"/>
    </w:rPr>
  </w:style>
  <w:style w:type="paragraph" w:styleId="Heading3">
    <w:name w:val="Heading 3"/>
    <w:basedOn w:val="Normal"/>
    <w:next w:val="Normal"/>
    <w:link w:val="Heading3Char"/>
    <w:uiPriority w:val="9"/>
    <w:semiHidden w:val="on"/>
    <w:unhideWhenUsed w:val="on"/>
    <w:qFormat w:val="on"/>
    <w:pPr>
      <w:keepNext w:val="on"/>
      <w:keepLines w:val="on"/>
      <w:spacing w:before="40" w:after="0"/>
      <w:ind w:left="720"/>
    </w:pPr>
    <w:rPr>
      <w:rFonts w:cstheme="majorBidi" w:eastAsiaTheme="majorEastAsia"/>
      <w:b/>
      <w:color w:val="595959" w:themeColor="text1" w:themeTint="a6"/>
      <w:szCs w:val="24"/>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link w:val="NoSpacingChar"/>
    <w:uiPriority w:val="1"/>
    <w:qFormat w:val="on"/>
    <w:pPr>
      <w:spacing w:after="0" w:line="240" w:lineRule="auto"/>
    </w:pPr>
    <w:rPr>
      <w:rFonts w:eastAsiaTheme="minorEastAsia"/>
    </w:rPr>
  </w:style>
  <w:style w:type="character" w:customStyle="1" w:styleId="NoSpacingChar">
    <w:name w:val="No Spacing Char"/>
    <w:basedOn w:val="DefaultParagraphFont"/>
    <w:link w:val="NoSpacing"/>
    <w:uiPriority w:val="1"/>
    <w:rPr>
      <w:rFonts w:eastAsiaTheme="minorEastAsia"/>
    </w:rPr>
  </w:style>
  <w:style w:type="character" w:customStyle="1" w:styleId="Heading1Char">
    <w:name w:val="Heading 1 Char"/>
    <w:basedOn w:val="DefaultParagraphFont"/>
    <w:link w:val="Heading1"/>
    <w:uiPriority w:val="9"/>
    <w:rPr>
      <w:rFonts w:ascii="Times New Roman" w:cstheme="majorBidi" w:eastAsiaTheme="majorEastAsia" w:hAnsi="Times New Roman"/>
      <w:b/>
      <w:color w:val="203864" w:themeColor="accent1" w:themeShade="80"/>
      <w:sz w:val="32"/>
      <w:szCs w:val="32"/>
    </w:rPr>
  </w:style>
  <w:style w:type="character" w:customStyle="1" w:styleId="Heading2Char">
    <w:name w:val="Heading 2 Char"/>
    <w:basedOn w:val="DefaultParagraphFont"/>
    <w:link w:val="Heading2"/>
    <w:uiPriority w:val="9"/>
    <w:rPr>
      <w:rFonts w:ascii="Times New Roman" w:cstheme="majorBidi" w:eastAsiaTheme="majorEastAsia" w:hAnsi="Times New Roman"/>
      <w:b/>
      <w:color w:val="2f5395" w:themeColor="accent1" w:themeShade="bf"/>
      <w:sz w:val="28"/>
      <w:szCs w:val="26"/>
    </w:r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Arial" w:hAnsi="Arial"/>
      <w:sz w:val="24"/>
    </w:rPr>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Arial" w:hAnsi="Arial"/>
      <w:sz w:val="24"/>
    </w:rPr>
  </w:style>
  <w:style w:type="character" w:customStyle="1" w:styleId="Heading3Char">
    <w:name w:val="Heading 3 Char"/>
    <w:basedOn w:val="DefaultParagraphFont"/>
    <w:link w:val="Heading3"/>
    <w:uiPriority w:val="9"/>
    <w:semiHidden w:val="on"/>
    <w:rPr>
      <w:rFonts w:ascii="Times New Roman" w:cstheme="majorBidi" w:eastAsiaTheme="majorEastAsia" w:hAnsi="Times New Roman"/>
      <w:b/>
      <w:color w:val="595959" w:themeColor="text1" w:themeTint="a6"/>
      <w:sz w:val="24"/>
      <w:szCs w:val="24"/>
    </w:rPr>
  </w:style>
  <w:style w:type="paragraph" w:styleId="ListParagraph">
    <w:name w:val="List Paragraph"/>
    <w:basedOn w:val="Normal"/>
    <w:uiPriority w:val="34"/>
    <w:qFormat w:val="on"/>
    <w:pPr>
      <w:ind w:left="720"/>
      <w:contextualSpacing w:val="on"/>
    </w:pPr>
  </w:style>
  <w:style w:type="table" w:styleId="TableGrid">
    <w:name w:val="Table Grid"/>
    <w:basedOn w:val="NormalTable"/>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semiHidden w:val="on"/>
    <w:rPr>
      <w:color w:val="666666"/>
    </w:rPr>
  </w:style>
  <w:style w:type="paragraph" w:styleId="TOCHeading">
    <w:name w:val="TOC Heading"/>
    <w:basedOn w:val="Heading1"/>
    <w:next w:val="Normal"/>
    <w:uiPriority w:val="39"/>
    <w:unhideWhenUsed w:val="on"/>
    <w:qFormat w:val="on"/>
    <w:pPr>
      <w:spacing w:line="259" w:lineRule="auto"/>
      <w:jc w:val="left"/>
    </w:pPr>
    <w:rPr>
      <w:rFonts w:asciiTheme="majorHAnsi" w:hAnsiTheme="majorHAnsi"/>
      <w:b w:val="off"/>
      <w:color w:val="2f5395" w:themeColor="accent1" w:themeShade="bf"/>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40"/>
    </w:pPr>
  </w:style>
  <w:style w:type="character" w:styleId="Hyperlink">
    <w:name w:val="Hyperlink"/>
    <w:basedOn w:val="DefaultParagraphFont"/>
    <w:uiPriority w:val="99"/>
    <w:unhideWhenUsed w:val="on"/>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44334">
      <w:bodyDiv w:val="1"/>
      <w:marLeft w:val="0"/>
      <w:marRight w:val="0"/>
      <w:marTop w:val="0"/>
      <w:marBottom w:val="0"/>
      <w:divBdr>
        <w:top w:val="none" w:sz="0" w:space="0" w:color="auto"/>
        <w:left w:val="none" w:sz="0" w:space="0" w:color="auto"/>
        <w:bottom w:val="none" w:sz="0" w:space="0" w:color="auto"/>
        <w:right w:val="none" w:sz="0" w:space="0" w:color="auto"/>
      </w:divBdr>
    </w:div>
    <w:div w:id="327098796">
      <w:bodyDiv w:val="1"/>
      <w:marLeft w:val="0"/>
      <w:marRight w:val="0"/>
      <w:marTop w:val="0"/>
      <w:marBottom w:val="0"/>
      <w:divBdr>
        <w:top w:val="none" w:sz="0" w:space="0" w:color="auto"/>
        <w:left w:val="none" w:sz="0" w:space="0" w:color="auto"/>
        <w:bottom w:val="none" w:sz="0" w:space="0" w:color="auto"/>
        <w:right w:val="none" w:sz="0" w:space="0" w:color="auto"/>
      </w:divBdr>
    </w:div>
    <w:div w:id="348262660">
      <w:bodyDiv w:val="1"/>
      <w:marLeft w:val="0"/>
      <w:marRight w:val="0"/>
      <w:marTop w:val="0"/>
      <w:marBottom w:val="0"/>
      <w:divBdr>
        <w:top w:val="none" w:sz="0" w:space="0" w:color="auto"/>
        <w:left w:val="none" w:sz="0" w:space="0" w:color="auto"/>
        <w:bottom w:val="none" w:sz="0" w:space="0" w:color="auto"/>
        <w:right w:val="none" w:sz="0" w:space="0" w:color="auto"/>
      </w:divBdr>
    </w:div>
    <w:div w:id="498082121">
      <w:bodyDiv w:val="1"/>
      <w:marLeft w:val="0"/>
      <w:marRight w:val="0"/>
      <w:marTop w:val="0"/>
      <w:marBottom w:val="0"/>
      <w:divBdr>
        <w:top w:val="none" w:sz="0" w:space="0" w:color="auto"/>
        <w:left w:val="none" w:sz="0" w:space="0" w:color="auto"/>
        <w:bottom w:val="none" w:sz="0" w:space="0" w:color="auto"/>
        <w:right w:val="none" w:sz="0" w:space="0" w:color="auto"/>
      </w:divBdr>
    </w:div>
    <w:div w:id="951981116">
      <w:bodyDiv w:val="1"/>
      <w:marLeft w:val="0"/>
      <w:marRight w:val="0"/>
      <w:marTop w:val="0"/>
      <w:marBottom w:val="0"/>
      <w:divBdr>
        <w:top w:val="none" w:sz="0" w:space="0" w:color="auto"/>
        <w:left w:val="none" w:sz="0" w:space="0" w:color="auto"/>
        <w:bottom w:val="none" w:sz="0" w:space="0" w:color="auto"/>
        <w:right w:val="none" w:sz="0" w:space="0" w:color="auto"/>
      </w:divBdr>
    </w:div>
    <w:div w:id="975908930">
      <w:bodyDiv w:val="1"/>
      <w:marLeft w:val="0"/>
      <w:marRight w:val="0"/>
      <w:marTop w:val="0"/>
      <w:marBottom w:val="0"/>
      <w:divBdr>
        <w:top w:val="none" w:sz="0" w:space="0" w:color="auto"/>
        <w:left w:val="none" w:sz="0" w:space="0" w:color="auto"/>
        <w:bottom w:val="none" w:sz="0" w:space="0" w:color="auto"/>
        <w:right w:val="none" w:sz="0" w:space="0" w:color="auto"/>
      </w:divBdr>
    </w:div>
    <w:div w:id="1226448259">
      <w:bodyDiv w:val="1"/>
      <w:marLeft w:val="0"/>
      <w:marRight w:val="0"/>
      <w:marTop w:val="0"/>
      <w:marBottom w:val="0"/>
      <w:divBdr>
        <w:top w:val="none" w:sz="0" w:space="0" w:color="auto"/>
        <w:left w:val="none" w:sz="0" w:space="0" w:color="auto"/>
        <w:bottom w:val="none" w:sz="0" w:space="0" w:color="auto"/>
        <w:right w:val="none" w:sz="0" w:space="0" w:color="auto"/>
      </w:divBdr>
    </w:div>
    <w:div w:id="1292395514">
      <w:bodyDiv w:val="1"/>
      <w:marLeft w:val="0"/>
      <w:marRight w:val="0"/>
      <w:marTop w:val="0"/>
      <w:marBottom w:val="0"/>
      <w:divBdr>
        <w:top w:val="none" w:sz="0" w:space="0" w:color="auto"/>
        <w:left w:val="none" w:sz="0" w:space="0" w:color="auto"/>
        <w:bottom w:val="none" w:sz="0" w:space="0" w:color="auto"/>
        <w:right w:val="none" w:sz="0" w:space="0" w:color="auto"/>
      </w:divBdr>
    </w:div>
    <w:div w:id="1328552050">
      <w:bodyDiv w:val="1"/>
      <w:marLeft w:val="0"/>
      <w:marRight w:val="0"/>
      <w:marTop w:val="0"/>
      <w:marBottom w:val="0"/>
      <w:divBdr>
        <w:top w:val="none" w:sz="0" w:space="0" w:color="auto"/>
        <w:left w:val="none" w:sz="0" w:space="0" w:color="auto"/>
        <w:bottom w:val="none" w:sz="0" w:space="0" w:color="auto"/>
        <w:right w:val="none" w:sz="0" w:space="0" w:color="auto"/>
      </w:divBdr>
    </w:div>
    <w:div w:id="1376389219">
      <w:bodyDiv w:val="1"/>
      <w:marLeft w:val="0"/>
      <w:marRight w:val="0"/>
      <w:marTop w:val="0"/>
      <w:marBottom w:val="0"/>
      <w:divBdr>
        <w:top w:val="none" w:sz="0" w:space="0" w:color="auto"/>
        <w:left w:val="none" w:sz="0" w:space="0" w:color="auto"/>
        <w:bottom w:val="none" w:sz="0" w:space="0" w:color="auto"/>
        <w:right w:val="none" w:sz="0" w:space="0" w:color="auto"/>
      </w:divBdr>
    </w:div>
    <w:div w:id="1548106084">
      <w:bodyDiv w:val="1"/>
      <w:marLeft w:val="0"/>
      <w:marRight w:val="0"/>
      <w:marTop w:val="0"/>
      <w:marBottom w:val="0"/>
      <w:divBdr>
        <w:top w:val="none" w:sz="0" w:space="0" w:color="auto"/>
        <w:left w:val="none" w:sz="0" w:space="0" w:color="auto"/>
        <w:bottom w:val="none" w:sz="0" w:space="0" w:color="auto"/>
        <w:right w:val="none" w:sz="0" w:space="0" w:color="auto"/>
      </w:divBdr>
      <w:divsChild>
        <w:div w:id="1652053588">
          <w:marLeft w:val="0"/>
          <w:marRight w:val="0"/>
          <w:marTop w:val="0"/>
          <w:marBottom w:val="0"/>
          <w:divBdr>
            <w:top w:val="none" w:sz="0" w:space="0" w:color="auto"/>
            <w:left w:val="none" w:sz="0" w:space="0" w:color="auto"/>
            <w:bottom w:val="none" w:sz="0" w:space="0" w:color="auto"/>
            <w:right w:val="none" w:sz="0" w:space="0" w:color="auto"/>
          </w:divBdr>
        </w:div>
        <w:div w:id="2092118649">
          <w:marLeft w:val="0"/>
          <w:marRight w:val="0"/>
          <w:marTop w:val="0"/>
          <w:marBottom w:val="0"/>
          <w:divBdr>
            <w:top w:val="none" w:sz="0" w:space="0" w:color="auto"/>
            <w:left w:val="none" w:sz="0" w:space="0" w:color="auto"/>
            <w:bottom w:val="none" w:sz="0" w:space="0" w:color="auto"/>
            <w:right w:val="none" w:sz="0" w:space="0" w:color="auto"/>
          </w:divBdr>
        </w:div>
        <w:div w:id="1425299995">
          <w:marLeft w:val="0"/>
          <w:marRight w:val="0"/>
          <w:marTop w:val="0"/>
          <w:marBottom w:val="0"/>
          <w:divBdr>
            <w:top w:val="none" w:sz="0" w:space="0" w:color="auto"/>
            <w:left w:val="none" w:sz="0" w:space="0" w:color="auto"/>
            <w:bottom w:val="none" w:sz="0" w:space="0" w:color="auto"/>
            <w:right w:val="none" w:sz="0" w:space="0" w:color="auto"/>
          </w:divBdr>
        </w:div>
        <w:div w:id="1654867547">
          <w:marLeft w:val="0"/>
          <w:marRight w:val="0"/>
          <w:marTop w:val="0"/>
          <w:marBottom w:val="0"/>
          <w:divBdr>
            <w:top w:val="none" w:sz="0" w:space="0" w:color="auto"/>
            <w:left w:val="none" w:sz="0" w:space="0" w:color="auto"/>
            <w:bottom w:val="none" w:sz="0" w:space="0" w:color="auto"/>
            <w:right w:val="none" w:sz="0" w:space="0" w:color="auto"/>
          </w:divBdr>
        </w:div>
        <w:div w:id="465195871">
          <w:marLeft w:val="0"/>
          <w:marRight w:val="0"/>
          <w:marTop w:val="0"/>
          <w:marBottom w:val="0"/>
          <w:divBdr>
            <w:top w:val="none" w:sz="0" w:space="0" w:color="auto"/>
            <w:left w:val="none" w:sz="0" w:space="0" w:color="auto"/>
            <w:bottom w:val="none" w:sz="0" w:space="0" w:color="auto"/>
            <w:right w:val="none" w:sz="0" w:space="0" w:color="auto"/>
          </w:divBdr>
        </w:div>
        <w:div w:id="296689678">
          <w:marLeft w:val="0"/>
          <w:marRight w:val="0"/>
          <w:marTop w:val="0"/>
          <w:marBottom w:val="0"/>
          <w:divBdr>
            <w:top w:val="none" w:sz="0" w:space="0" w:color="auto"/>
            <w:left w:val="none" w:sz="0" w:space="0" w:color="auto"/>
            <w:bottom w:val="none" w:sz="0" w:space="0" w:color="auto"/>
            <w:right w:val="none" w:sz="0" w:space="0" w:color="auto"/>
          </w:divBdr>
        </w:div>
        <w:div w:id="1248541811">
          <w:marLeft w:val="0"/>
          <w:marRight w:val="0"/>
          <w:marTop w:val="0"/>
          <w:marBottom w:val="0"/>
          <w:divBdr>
            <w:top w:val="none" w:sz="0" w:space="0" w:color="auto"/>
            <w:left w:val="none" w:sz="0" w:space="0" w:color="auto"/>
            <w:bottom w:val="none" w:sz="0" w:space="0" w:color="auto"/>
            <w:right w:val="none" w:sz="0" w:space="0" w:color="auto"/>
          </w:divBdr>
        </w:div>
        <w:div w:id="864833390">
          <w:marLeft w:val="0"/>
          <w:marRight w:val="0"/>
          <w:marTop w:val="0"/>
          <w:marBottom w:val="0"/>
          <w:divBdr>
            <w:top w:val="none" w:sz="0" w:space="0" w:color="auto"/>
            <w:left w:val="none" w:sz="0" w:space="0" w:color="auto"/>
            <w:bottom w:val="none" w:sz="0" w:space="0" w:color="auto"/>
            <w:right w:val="none" w:sz="0" w:space="0" w:color="auto"/>
          </w:divBdr>
        </w:div>
        <w:div w:id="1132286772">
          <w:marLeft w:val="0"/>
          <w:marRight w:val="0"/>
          <w:marTop w:val="0"/>
          <w:marBottom w:val="0"/>
          <w:divBdr>
            <w:top w:val="none" w:sz="0" w:space="0" w:color="auto"/>
            <w:left w:val="none" w:sz="0" w:space="0" w:color="auto"/>
            <w:bottom w:val="none" w:sz="0" w:space="0" w:color="auto"/>
            <w:right w:val="none" w:sz="0" w:space="0" w:color="auto"/>
          </w:divBdr>
        </w:div>
        <w:div w:id="105778024">
          <w:marLeft w:val="0"/>
          <w:marRight w:val="0"/>
          <w:marTop w:val="0"/>
          <w:marBottom w:val="0"/>
          <w:divBdr>
            <w:top w:val="none" w:sz="0" w:space="0" w:color="auto"/>
            <w:left w:val="none" w:sz="0" w:space="0" w:color="auto"/>
            <w:bottom w:val="none" w:sz="0" w:space="0" w:color="auto"/>
            <w:right w:val="none" w:sz="0" w:space="0" w:color="auto"/>
          </w:divBdr>
        </w:div>
        <w:div w:id="492448862">
          <w:marLeft w:val="0"/>
          <w:marRight w:val="0"/>
          <w:marTop w:val="0"/>
          <w:marBottom w:val="0"/>
          <w:divBdr>
            <w:top w:val="none" w:sz="0" w:space="0" w:color="auto"/>
            <w:left w:val="none" w:sz="0" w:space="0" w:color="auto"/>
            <w:bottom w:val="none" w:sz="0" w:space="0" w:color="auto"/>
            <w:right w:val="none" w:sz="0" w:space="0" w:color="auto"/>
          </w:divBdr>
        </w:div>
        <w:div w:id="612786717">
          <w:marLeft w:val="0"/>
          <w:marRight w:val="0"/>
          <w:marTop w:val="0"/>
          <w:marBottom w:val="0"/>
          <w:divBdr>
            <w:top w:val="none" w:sz="0" w:space="0" w:color="auto"/>
            <w:left w:val="none" w:sz="0" w:space="0" w:color="auto"/>
            <w:bottom w:val="none" w:sz="0" w:space="0" w:color="auto"/>
            <w:right w:val="none" w:sz="0" w:space="0" w:color="auto"/>
          </w:divBdr>
        </w:div>
        <w:div w:id="505630999">
          <w:marLeft w:val="0"/>
          <w:marRight w:val="0"/>
          <w:marTop w:val="0"/>
          <w:marBottom w:val="0"/>
          <w:divBdr>
            <w:top w:val="none" w:sz="0" w:space="0" w:color="auto"/>
            <w:left w:val="none" w:sz="0" w:space="0" w:color="auto"/>
            <w:bottom w:val="none" w:sz="0" w:space="0" w:color="auto"/>
            <w:right w:val="none" w:sz="0" w:space="0" w:color="auto"/>
          </w:divBdr>
        </w:div>
        <w:div w:id="93596397">
          <w:marLeft w:val="0"/>
          <w:marRight w:val="0"/>
          <w:marTop w:val="0"/>
          <w:marBottom w:val="0"/>
          <w:divBdr>
            <w:top w:val="none" w:sz="0" w:space="0" w:color="auto"/>
            <w:left w:val="none" w:sz="0" w:space="0" w:color="auto"/>
            <w:bottom w:val="none" w:sz="0" w:space="0" w:color="auto"/>
            <w:right w:val="none" w:sz="0" w:space="0" w:color="auto"/>
          </w:divBdr>
        </w:div>
        <w:div w:id="1466699309">
          <w:marLeft w:val="0"/>
          <w:marRight w:val="0"/>
          <w:marTop w:val="0"/>
          <w:marBottom w:val="0"/>
          <w:divBdr>
            <w:top w:val="none" w:sz="0" w:space="0" w:color="auto"/>
            <w:left w:val="none" w:sz="0" w:space="0" w:color="auto"/>
            <w:bottom w:val="none" w:sz="0" w:space="0" w:color="auto"/>
            <w:right w:val="none" w:sz="0" w:space="0" w:color="auto"/>
          </w:divBdr>
        </w:div>
      </w:divsChild>
    </w:div>
    <w:div w:id="1548373626">
      <w:bodyDiv w:val="1"/>
      <w:marLeft w:val="0"/>
      <w:marRight w:val="0"/>
      <w:marTop w:val="0"/>
      <w:marBottom w:val="0"/>
      <w:divBdr>
        <w:top w:val="none" w:sz="0" w:space="0" w:color="auto"/>
        <w:left w:val="none" w:sz="0" w:space="0" w:color="auto"/>
        <w:bottom w:val="none" w:sz="0" w:space="0" w:color="auto"/>
        <w:right w:val="none" w:sz="0" w:space="0" w:color="auto"/>
      </w:divBdr>
    </w:div>
    <w:div w:id="1748304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45" Type="http://schemas.openxmlformats.org/officeDocument/2006/relationships/fontTable" Target="fontTable.xml"/><Relationship Id="rId47" Type="http://schemas.openxmlformats.org/officeDocument/2006/relationships/theme" Target="theme/theme1.xml"/><Relationship Id="rId48" Type="http://schemas.openxmlformats.org/officeDocument/2006/relationships/footer" Target="footer1.xml"/><Relationship Id="rId49" Type="http://schemas.openxmlformats.org/officeDocument/2006/relationships/footer" Target="footer2.xml"/><Relationship Id="rId50" Type="http://schemas.openxmlformats.org/officeDocument/2006/relationships/image" Target="media/image36.png"/><Relationship Id="rId51" Type="http://schemas.openxmlformats.org/officeDocument/2006/relationships/image" Target="media/image37.png"/><Relationship Id="rId52" Type="http://schemas.openxmlformats.org/officeDocument/2006/relationships/image" Target="media/image38.png"/><Relationship Id="rId53" Type="http://schemas.openxmlformats.org/officeDocument/2006/relationships/image" Target="media/image39.png"/><Relationship Id="rId54" Type="http://schemas.openxmlformats.org/officeDocument/2006/relationships/image" Target="media/image40.png"/><Relationship Id="rId55" Type="http://schemas.openxmlformats.org/officeDocument/2006/relationships/image" Target="media/image41.png"/><Relationship Id="rId56" Type="http://schemas.openxmlformats.org/officeDocument/2006/relationships/image" Target="media/image42.png"/><Relationship Id="rId57" Type="http://schemas.openxmlformats.org/officeDocument/2006/relationships/image" Target="media/image43.png"/><Relationship Id="rId58" Type="http://schemas.openxmlformats.org/officeDocument/2006/relationships/image" Target="media/image44.png"/><Relationship Id="rId59" Type="http://schemas.openxmlformats.org/officeDocument/2006/relationships/image" Target="media/image45.png"/><Relationship Id="rId6" Type="http://schemas.openxmlformats.org/officeDocument/2006/relationships/footnotes" Target="footnotes.xml"/><Relationship Id="rId60" Type="http://schemas.openxmlformats.org/officeDocument/2006/relationships/image" Target="media/image46.png"/><Relationship Id="rId61" Type="http://schemas.openxmlformats.org/officeDocument/2006/relationships/image" Target="media/image47.png"/><Relationship Id="rId62" Type="http://schemas.openxmlformats.org/officeDocument/2006/relationships/image" Target="media/image48.png"/><Relationship Id="rId63" Type="http://schemas.openxmlformats.org/officeDocument/2006/relationships/image" Target="media/image49.png"/><Relationship Id="rId64" Type="http://schemas.openxmlformats.org/officeDocument/2006/relationships/image" Target="media/image50.png"/><Relationship Id="rId65" Type="http://schemas.openxmlformats.org/officeDocument/2006/relationships/image" Target="media/image51.png"/><Relationship Id="rId66" Type="http://schemas.openxmlformats.org/officeDocument/2006/relationships/image" Target="media/image52.png"/><Relationship Id="rId67" Type="http://schemas.openxmlformats.org/officeDocument/2006/relationships/image" Target="media/image53.png"/><Relationship Id="rId68" Type="http://schemas.openxmlformats.org/officeDocument/2006/relationships/image" Target="media/image54.png"/><Relationship Id="rId69" Type="http://schemas.openxmlformats.org/officeDocument/2006/relationships/image" Target="media/image55.png"/><Relationship Id="rId7" Type="http://schemas.openxmlformats.org/officeDocument/2006/relationships/endnotes" Target="endnotes.xml"/><Relationship Id="rId70" Type="http://schemas.openxmlformats.org/officeDocument/2006/relationships/image" Target="media/image56.png"/><Relationship Id="rId71" Type="http://schemas.openxmlformats.org/officeDocument/2006/relationships/image" Target="media/image57.png"/><Relationship Id="rId72" Type="http://schemas.openxmlformats.org/officeDocument/2006/relationships/image" Target="media/image58.png"/><Relationship Id="rId73" Type="http://schemas.openxmlformats.org/officeDocument/2006/relationships/image" Target="media/image59.png"/><Relationship Id="rId74" Type="http://schemas.openxmlformats.org/officeDocument/2006/relationships/image" Target="media/image60.png"/><Relationship Id="rId75" Type="http://schemas.openxmlformats.org/officeDocument/2006/relationships/image" Target="media/image61.png"/><Relationship Id="rId76" Type="http://schemas.openxmlformats.org/officeDocument/2006/relationships/image" Target="media/image62.png"/><Relationship Id="rId77" Type="http://schemas.openxmlformats.org/officeDocument/2006/relationships/image" Target="media/image63.png"/><Relationship Id="rId78" Type="http://schemas.openxmlformats.org/officeDocument/2006/relationships/image" Target="media/image64.png"/><Relationship Id="rId79" Type="http://schemas.openxmlformats.org/officeDocument/2006/relationships/image" Target="media/image65.png"/><Relationship Id="rId80" Type="http://schemas.openxmlformats.org/officeDocument/2006/relationships/image" Target="media/image66.png"/><Relationship Id="rId81" Type="http://schemas.openxmlformats.org/officeDocument/2006/relationships/image" Target="media/image67.png"/><Relationship Id="rId82" Type="http://schemas.openxmlformats.org/officeDocument/2006/relationships/image" Target="media/image68.png"/><Relationship Id="rId83" Type="http://schemas.openxmlformats.org/officeDocument/2006/relationships/image" Target="media/image69.png"/><Relationship Id="rId84" Type="http://schemas.openxmlformats.org/officeDocument/2006/relationships/image" Target="media/image70.png"/><Relationship Id="rId1" Type="http://schemas.openxmlformats.org/officeDocument/2006/relationships/customXml" Target="../customXml/item1.xml"/><Relationship Id="rId5" Type="http://schemas.openxmlformats.org/officeDocument/2006/relationships/webSettings" Target="webSettings.xml"/><Relationship Id="rId46" Type="http://schemas.openxmlformats.org/officeDocument/2006/relationships/glossaryDocument" Target="glossary/document.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er2.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90B7693D-DADF-4A6D-9B70-358527A0E9B5}"/>
      </w:docPartPr>
      <w:docPartBody>
        <w:p w:rsidR="007252F2" w:rsidRDefault="00B87E85">
          <w:r w:rsidRPr="00183A3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E85"/>
    <w:rsid w:val="0048705B"/>
    <w:rsid w:val="007252F2"/>
    <w:rsid w:val="00B87E85"/>
    <w:rsid w:val="00DB376C"/>
    <w:rsid w:val="00DC51F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87E8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33E3A31-931E-47DA-A844-FB0A72EBCB48}">
  <we:reference id="wa104382081" version="1.55.1.0" store="en-US" storeType="OMEX"/>
  <we:alternateReferences>
    <we:reference id="wa104382081" version="1.55.1.0" store="" storeType="OMEX"/>
  </we:alternateReferences>
  <we:properties>
    <we:property name="MENDELEY_CITATIONS" value="[{&quot;citationID&quot;:&quot;MENDELEY_CITATION_f4f2b15a-ded9-4a94-bf99-85d2835c1fe3&quot;,&quot;properties&quot;:{&quot;noteIndex&quot;:0},&quot;isEdited&quot;:false,&quot;manualOverride&quot;:{&quot;isManuallyOverridden&quot;:false,&quot;citeprocText&quot;:&quot;(Schildkamp, 2019)&quot;,&quot;manualOverrideText&quot;:&quot;&quot;},&quot;citationTag&quot;:&quot;MENDELEY_CITATION_v3_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&quot;,&quot;citationItems&quot;:[{&quot;id&quot;:&quot;b71f28ee-e71d-3e2e-bdb8-df8d74438001&quot;,&quot;itemData&quot;:{&quot;type&quot;:&quot;article-journal&quot;,&quot;id&quot;:&quot;b71f28ee-e71d-3e2e-bdb8-df8d74438001&quot;,&quot;title&quot;:&quot;Data-based decision-making for school improvement: Research insights and gaps&quot;,&quot;author&quot;:[{&quot;family&quot;:&quot;Schildkamp&quot;,&quot;given&quot;:&quot;Kim&quot;,&quot;parse-names&quot;:false,&quot;dropping-particle&quot;:&quot;&quot;,&quot;non-dropping-particle&quot;:&quot;&quot;}],&quot;container-title&quot;:&quot;Educational research&quot;,&quot;ISSN&quot;:&quot;0013-1881&quot;,&quot;issued&quot;:{&quot;date-parts&quot;:[[2019]]},&quot;page&quot;:&quot;257-273&quot;,&quot;publisher&quot;:&quot;Taylor &amp; Francis&quot;,&quot;issue&quot;:&quot;3&quot;,&quot;volume&quot;:&quot;61&quot;,&quot;container-title-short&quot;:&quot;&quot;},&quot;isTemporary&quot;:false}]},{&quot;citationID&quot;:&quot;MENDELEY_CITATION_6b0144ec-b044-43e2-a6c7-fdf8585c3507&quot;,&quot;properties&quot;:{&quot;noteIndex&quot;:0},&quot;isEdited&quot;:false,&quot;manualOverride&quot;:{&quot;isManuallyOverridden&quot;:false,&quot;citeprocText&quot;:&quot;(Parthiban, 2022)&quot;,&quot;manualOverrideText&quot;:&quot;&quot;},&quot;citationTag&quot;:&quot;MENDELEY_CITATION_v3_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&quot;,&quot;citationItems&quot;:[{&quot;id&quot;:&quot;6896065e-cf47-381a-8e31-e555766639a7&quot;,&quot;itemData&quot;:{&quot;type&quot;:&quot;article-magazine&quot;,&quot;id&quot;:&quot;6896065e-cf47-381a-8e31-e555766639a7&quot;,&quot;title&quot;:&quot;Challenges in Data-driven Decision Making&quot;,&quot;author&quot;:[{&quot;family&quot;:&quot;Parthiban&quot;,&quot;given&quot;:&quot;Pradeep&quot;,&quot;parse-names&quot;:false,&quot;dropping-particle&quot;:&quot;&quot;,&quot;non-dropping-particle&quot;:&quot;&quot;}],&quot;container-title&quot;:&quot;Purple Slate&quot;,&quot;accessed&quot;:{&quot;date-parts&quot;:[[2023,2,8]]},&quot;URL&quot;:&quot;https://www.purpleslate.com/thoughts/challenges-in-data-driven-decision-making/&quot;,&quot;issued&quot;:{&quot;date-parts&quot;:[[2022,6,13]]},&quot;container-title-short&quot;:&quot;&quot;},&quot;isTemporary&quot;:false}]},{&quot;citationID&quot;:&quot;MENDELEY_CITATION_04bd6fbc-88cb-4194-9b33-0991604489b8&quot;,&quot;properties&quot;:{&quot;noteIndex&quot;:0},&quot;isEdited&quot;:false,&quot;manualOverride&quot;:{&quot;isManuallyOverridden&quot;:false,&quot;citeprocText&quot;:&quot;(Edjabou &lt;i&gt;et al.&lt;/i&gt;, 2017)&quot;,&quot;manualOverrideText&quot;:&quot;&quot;},&quot;citationTag&quot;:&quot;MENDELEY_CITATION_v3_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&quot;,&quot;citationItems&quot;:[{&quot;id&quot;:&quot;becd2f78-ba0a-3b49-b5ef-6bc92e6afdfe&quot;,&quot;itemData&quot;:{&quot;type&quot;:&quot;article-journal&quot;,&quot;id&quot;:&quot;becd2f78-ba0a-3b49-b5ef-6bc92e6afdfe&quot;,&quot;title&quot;:&quot;Statistical analysis of solid waste composition data: Arithmetic mean, standard deviation and correlation coefficients&quot;,&quot;author&quot;:[{&quot;family&quot;:&quot;Edjabou&quot;,&quot;given&quot;:&quot;Maklawe Essonanawe&quot;,&quot;parse-names&quot;:false,&quot;dropping-particle&quot;:&quot;&quot;,&quot;non-dropping-particle&quot;:&quot;&quot;},{&quot;family&quot;:&quot;Martín-Fernández&quot;,&quot;given&quot;:&quot;Josep Antoni&quot;,&quot;parse-names&quot;:false,&quot;dropping-particle&quot;:&quot;&quot;,&quot;non-dropping-particle&quot;:&quot;&quot;},{&quot;family&quot;:&quot;Scheutz&quot;,&quot;given&quot;:&quot;Charlotte&quot;,&quot;parse-names&quot;:false,&quot;dropping-particle&quot;:&quot;&quot;,&quot;non-dropping-particle&quot;:&quot;&quot;},{&quot;family&quot;:&quot;Astrup&quot;,&quot;given&quot;:&quot;Thomas Fruergaard&quot;,&quot;parse-names&quot;:false,&quot;dropping-particle&quot;:&quot;&quot;,&quot;non-dropping-particle&quot;:&quot;&quot;}],&quot;container-title&quot;:&quot;Waste Management&quot;,&quot;ISSN&quot;:&quot;0956-053X&quot;,&quot;issued&quot;:{&quot;date-parts&quot;:[[2017]]},&quot;page&quot;:&quot;13-23&quot;,&quot;publisher&quot;:&quot;Elsevier&quot;,&quot;volume&quot;:&quot;69&quot;,&quot;container-title-short&quot;:&quot;&quot;},&quot;isTemporary&quot;:false}]},{&quot;citationID&quot;:&quot;MENDELEY_CITATION_4e42f0aa-1cea-46ed-815c-c8eb5125ede0&quot;,&quot;properties&quot;:{&quot;noteIndex&quot;:0},&quot;isEdited&quot;:false,&quot;manualOverride&quot;:{&quot;isManuallyOverridden&quot;:false,&quot;citeprocText&quot;:&quot;(Shanthi, 2019)&quot;,&quot;manualOverrideText&quot;:&quot;&quot;},&quot;citationTag&quot;:&quot;MENDELEY_CITATION_v3_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&quot;,&quot;citationItems&quot;:[{&quot;id&quot;:&quot;c2b25fca-58ba-3f6f-9962-5510ca8e29a5&quot;,&quot;itemData&quot;:{&quot;type&quot;:&quot;book&quot;,&quot;id&quot;:&quot;c2b25fca-58ba-3f6f-9962-5510ca8e29a5&quot;,&quot;title&quot;:&quot;Multivariate data analysis: using SPSS and AMOS&quot;,&quot;author&quot;:[{&quot;family&quot;:&quot;Shanthi&quot;,&quot;given&quot;:&quot;R&quot;,&quot;parse-names&quot;:false,&quot;dropping-particle&quot;:&quot;&quot;,&quot;non-dropping-particle&quot;:&quot;&quot;}],&quot;issued&quot;:{&quot;date-parts&quot;:[[2019]]},&quot;publisher&quot;:&quot;MJP Publisher&quot;,&quot;container-title-short&quot;:&quot;&quot;},&quot;isTemporary&quot;:false}]},{&quot;citationID&quot;:&quot;MENDELEY_CITATION_a0922d5c-d111-43de-a3ce-39a0f8af7975&quot;,&quot;properties&quot;:{&quot;noteIndex&quot;:0},&quot;isEdited&quot;:false,&quot;manualOverride&quot;:{&quot;isManuallyOverridden&quot;:false,&quot;citeprocText&quot;:&quot;(Čaplová and Švábová, 2020)&quot;,&quot;manualOverrideText&quot;:&quot;&quot;},&quot;citationTag&quot;:&quot;MENDELEY_CITATION_v3_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&quot;,&quot;citationItems&quot;:[{&quot;id&quot;:&quot;d26265fb-ae0b-31b6-b8c0-301f84c9e5ab&quot;,&quot;itemData&quot;:{&quot;type&quot;:&quot;chapter&quot;,&quot;id&quot;:&quot;d26265fb-ae0b-31b6-b8c0-301f84c9e5ab&quot;,&quot;title&quot;:&quot;IBM SPSS statistics&quot;,&quot;author&quot;:[{&quot;family&quot;:&quot;Čaplová&quot;,&quot;given&quot;:&quot;Zuzana&quot;,&quot;parse-names&quot;:false,&quot;dropping-particle&quot;:&quot;&quot;,&quot;non-dropping-particle&quot;:&quot;&quot;},{&quot;family&quot;:&quot;Švábová&quot;,&quot;given&quot;:&quot;Petra&quot;,&quot;parse-names&quot;:false,&quot;dropping-particle&quot;:&quot;&quot;,&quot;non-dropping-particle&quot;:&quot;&quot;}],&quot;container-title&quot;:&quot;Statistics and Probability in Forensic Anthropology&quot;,&quot;issued&quot;:{&quot;date-parts&quot;:[[2020]]},&quot;page&quot;:&quot;343-352&quot;,&quot;publisher&quot;:&quot;Elsevier&quot;,&quot;container-title-short&quot;:&quot;&quot;},&quot;isTemporary&quot;:false}]},{&quot;citationID&quot;:&quot;MENDELEY_CITATION_739551b5-4d7b-4d6a-8bce-0dbca6b08ec0&quot;,&quot;properties&quot;:{&quot;noteIndex&quot;:0},&quot;isEdited&quot;:false,&quot;manualOverride&quot;:{&quot;isManuallyOverridden&quot;:false,&quot;citeprocText&quot;:&quot;(Bhatia, 2019)&quot;,&quot;manualOverrideText&quot;:&quot;&quot;},&quot;citationTag&quot;:&quot;MENDELEY_CITATION_v3_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&quot;,&quot;citationItems&quot;:[{&quot;id&quot;:&quot;4888cf97-a867-3198-8e02-85fb97e57027&quot;,&quot;itemData&quot;:{&quot;type&quot;:&quot;book&quot;,&quot;id&quot;:&quot;4888cf97-a867-3198-8e02-85fb97e57027&quot;,&quot;title&quot;:&quot;Data mining and data warehousing: principles and practical techniques&quot;,&quot;author&quot;:[{&quot;family&quot;:&quot;Bhatia&quot;,&quot;given&quot;:&quot;Parteek&quot;,&quot;parse-names&quot;:false,&quot;dropping-particle&quot;:&quot;&quot;,&quot;non-dropping-particle&quot;:&quot;&quot;}],&quot;ISBN&quot;:&quot;1108727743&quot;,&quot;issued&quot;:{&quot;date-parts&quot;:[[2019]]},&quot;publisher&quot;:&quot;Cambridge University Press&quot;,&quot;container-title-short&quot;:&quot;&quot;},&quot;isTemporary&quot;:false}]},{&quot;citationID&quot;:&quot;MENDELEY_CITATION_13ce2293-a8e0-47e7-aa70-c1eb9d2c9414&quot;,&quot;properties&quot;:{&quot;noteIndex&quot;:0},&quot;isEdited&quot;:false,&quot;manualOverride&quot;:{&quot;isManuallyOverridden&quot;:false,&quot;citeprocText&quot;:&quot;(Yang &lt;i&gt;et al.&lt;/i&gt;, 2020)&quot;,&quot;manualOverrideText&quot;:&quot;&quot;},&quot;citationTag&quot;:&quot;MENDELEY_CITATION_v3_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&quot;,&quot;citationItems&quot;:[{&quot;id&quot;:&quot;b84456e6-e936-3b50-91e5-2a83f91d5917&quot;,&quot;itemData&quot;:{&quot;type&quot;:&quot;article-journal&quot;,&quot;id&quot;:&quot;b84456e6-e936-3b50-91e5-2a83f91d5917&quot;,&quot;title&quot;:&quot;Brief introduction of medical database and data mining technology in big data era&quot;,&quot;author&quot;:[{&quot;family&quot;:&quot;Yang&quot;,&quot;given&quot;:&quot;Jin&quot;,&quot;parse-names&quot;:false,&quot;dropping-particle&quot;:&quot;&quot;,&quot;non-dropping-particle&quot;:&quot;&quot;},{&quot;family&quot;:&quot;Li&quot;,&quot;given&quot;:&quot;Yuanjie&quot;,&quot;parse-names&quot;:false,&quot;dropping-particle&quot;:&quot;&quot;,&quot;non-dropping-particle&quot;:&quot;&quot;},{&quot;family&quot;:&quot;Liu&quot;,&quot;given&quot;:&quot;Qingqing&quot;,&quot;parse-names&quot;:false,&quot;dropping-particle&quot;:&quot;&quot;,&quot;non-dropping-particle&quot;:&quot;&quot;},{&quot;family&quot;:&quot;Li&quot;,&quot;given&quot;:&quot;Li&quot;,&quot;parse-names&quot;:false,&quot;dropping-particle&quot;:&quot;&quot;,&quot;non-dropping-particle&quot;:&quot;&quot;},{&quot;family&quot;:&quot;Feng&quot;,&quot;given&quot;:&quot;Aozi&quot;,&quot;parse-names&quot;:false,&quot;dropping-particle&quot;:&quot;&quot;,&quot;non-dropping-particle&quot;:&quot;&quot;},{&quot;family&quot;:&quot;Wang&quot;,&quot;given&quot;:&quot;Tianyi&quot;,&quot;parse-names&quot;:false,&quot;dropping-particle&quot;:&quot;&quot;,&quot;non-dropping-particle&quot;:&quot;&quot;},{&quot;family&quot;:&quot;Zheng&quot;,&quot;given&quot;:&quot;Shuai&quot;,&quot;parse-names&quot;:false,&quot;dropping-particle&quot;:&quot;&quot;,&quot;non-dropping-particle&quot;:&quot;&quot;},{&quot;family&quot;:&quot;Xu&quot;,&quot;given&quot;:&quot;Anding&quot;,&quot;parse-names&quot;:false,&quot;dropping-particle&quot;:&quot;&quot;,&quot;non-dropping-particle&quot;:&quot;&quot;},{&quot;family&quot;:&quot;Lyu&quot;,&quot;given&quot;:&quot;Jun&quot;,&quot;parse-names&quot;:false,&quot;dropping-particle&quot;:&quot;&quot;,&quot;non-dropping-particle&quot;:&quot;&quot;}],&quot;container-title&quot;:&quot;Journal of Evidence‐Based Medicine&quot;,&quot;container-title-short&quot;:&quot;J Evid Based Med&quot;,&quot;ISSN&quot;:&quot;1756-5391&quot;,&quot;issued&quot;:{&quot;date-parts&quot;:[[2020]]},&quot;page&quot;:&quot;57-69&quot;,&quot;publisher&quot;:&quot;Wiley Online Library&quot;,&quot;issue&quot;:&quot;1&quot;,&quot;volume&quot;:&quot;13&quot;},&quot;isTemporary&quot;:false}]},{&quot;citationID&quot;:&quot;MENDELEY_CITATION_d469a4e3-6579-4221-a380-c730202356c1&quot;,&quot;properties&quot;:{&quot;noteIndex&quot;:0},&quot;isEdited&quot;:false,&quot;manualOverride&quot;:{&quot;isManuallyOverridden&quot;:false,&quot;citeprocText&quot;:&quot;(Osman, 2019)&quot;,&quot;manualOverrideText&quot;:&quot;&quot;},&quot;citationTag&quot;:&quot;MENDELEY_CITATION_v3_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&quot;,&quot;citationItems&quot;:[{&quot;id&quot;:&quot;b299ddee-557f-3416-aa39-7d894ae9d4db&quot;,&quot;itemData&quot;:{&quot;type&quot;:&quot;article-journal&quot;,&quot;id&quot;:&quot;b299ddee-557f-3416-aa39-7d894ae9d4db&quot;,&quot;title&quot;:&quot;Data mining techniques&quot;,&quot;author&quot;:[{&quot;family&quot;:&quot;Osman&quot;,&quot;given&quot;:&quot;Abdullahi Sidow&quot;,&quot;parse-names&quot;:false,&quot;dropping-particle&quot;:&quot;&quot;,&quot;non-dropping-particle&quot;:&quot;&quot;}],&quot;issued&quot;:{&quot;date-parts&quot;:[[2019]]},&quot;container-title-short&quot;:&quot;&quot;},&quot;isTemporary&quot;:false}]},{&quot;citationID&quot;:&quot;MENDELEY_CITATION_45624415-f81e-41d5-9a4c-5abf1a3959f5&quot;,&quot;properties&quot;:{&quot;noteIndex&quot;:0},&quot;isEdited&quot;:false,&quot;manualOverride&quot;:{&quot;isManuallyOverridden&quot;:false,&quot;citeprocText&quot;:&quot;(Ferreira‐Mello &lt;i&gt;et al.&lt;/i&gt;, 2019)&quot;,&quot;manualOverrideText&quot;:&quot;&quot;},&quot;citationTag&quot;:&quot;MENDELEY_CITATION_v3_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&quot;,&quot;citationItems&quot;:[{&quot;id&quot;:&quot;78fbdbfc-5cf4-3ca1-8000-7d44c3756e4c&quot;,&quot;itemData&quot;:{&quot;type&quot;:&quot;article-journal&quot;,&quot;id&quot;:&quot;78fbdbfc-5cf4-3ca1-8000-7d44c3756e4c&quot;,&quot;title&quot;:&quot;Text mining in education&quot;,&quot;author&quot;:[{&quot;family&quot;:&quot;Ferreira‐Mello&quot;,&quot;given&quot;:&quot;Rafael&quot;,&quot;parse-names&quot;:false,&quot;dropping-particle&quot;:&quot;&quot;,&quot;non-dropping-particle&quot;:&quot;&quot;},{&quot;family&quot;:&quot;André&quot;,&quot;given&quot;:&quot;Máverick&quot;,&quot;parse-names&quot;:false,&quot;dropping-particle&quot;:&quot;&quot;,&quot;non-dropping-particle&quot;:&quot;&quot;},{&quot;family&quot;:&quot;Pinheiro&quot;,&quot;given&quot;:&quot;Anderson&quot;,&quot;parse-names&quot;:false,&quot;dropping-particle&quot;:&quot;&quot;,&quot;non-dropping-particle&quot;:&quot;&quot;},{&quot;family&quot;:&quot;Costa&quot;,&quot;given&quot;:&quot;Evandro&quot;,&quot;parse-names&quot;:false,&quot;dropping-particle&quot;:&quot;&quot;,&quot;non-dropping-particle&quot;:&quot;&quot;},{&quot;family&quot;:&quot;Romero&quot;,&quot;given&quot;:&quot;Cristobal&quot;,&quot;parse-names&quot;:false,&quot;dropping-particle&quot;:&quot;&quot;,&quot;non-dropping-particle&quot;:&quot;&quot;}],&quot;container-title&quot;:&quot;Wiley Interdisciplinary Reviews: Data Mining and Knowledge Discovery&quot;,&quot;container-title-short&quot;:&quot;Wiley Interdiscip Rev Data Min Knowl Discov&quot;,&quot;ISSN&quot;:&quot;1942-4787&quot;,&quot;issued&quot;:{&quot;date-parts&quot;:[[2019]]},&quot;page&quot;:&quot;e1332&quot;,&quot;publisher&quot;:&quot;Wiley Online Library&quot;,&quot;issue&quot;:&quot;6&quot;,&quot;volume&quot;:&quot;9&quot;},&quot;isTemporary&quot;:false}]},{&quot;citationID&quot;:&quot;MENDELEY_CITATION_a0878cef-e665-4a51-bf26-22d77069a8a1&quot;,&quot;properties&quot;:{&quot;noteIndex&quot;:0},&quot;isEdited&quot;:false,&quot;manualOverride&quot;:{&quot;isManuallyOverridden&quot;:false,&quot;citeprocText&quot;:&quot;(Hassani &lt;i&gt;et al.&lt;/i&gt;, 2020)&quot;,&quot;manualOverrideText&quot;:&quot;&quot;},&quot;citationTag&quot;:&quot;MENDELEY_CITATION_v3_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&quot;,&quot;citationItems&quot;:[{&quot;id&quot;:&quot;7a35902b-805c-349b-8354-77f96eb82f53&quot;,&quot;itemData&quot;:{&quot;type&quot;:&quot;article-journal&quot;,&quot;id&quot;:&quot;7a35902b-805c-349b-8354-77f96eb82f53&quot;,&quot;title&quot;:&quot;Text mining in big data analytics&quot;,&quot;author&quot;:[{&quot;family&quot;:&quot;Hassani&quot;,&quot;given&quot;:&quot;Hossein&quot;,&quot;parse-names&quot;:false,&quot;dropping-particle&quot;:&quot;&quot;,&quot;non-dropping-particle&quot;:&quot;&quot;},{&quot;family&quot;:&quot;Beneki&quot;,&quot;given&quot;:&quot;Christina&quot;,&quot;parse-names&quot;:false,&quot;dropping-particle&quot;:&quot;&quot;,&quot;non-dropping-particle&quot;:&quot;&quot;},{&quot;family&quot;:&quot;Unger&quot;,&quot;given&quot;:&quot;Stephan&quot;,&quot;parse-names&quot;:false,&quot;dropping-particle&quot;:&quot;&quot;,&quot;non-dropping-particle&quot;:&quot;&quot;},{&quot;family&quot;:&quot;Mazinani&quot;,&quot;given&quot;:&quot;Maedeh Taj&quot;,&quot;parse-names&quot;:false,&quot;dropping-particle&quot;:&quot;&quot;,&quot;non-dropping-particle&quot;:&quot;&quot;},{&quot;family&quot;:&quot;Yeganegi&quot;,&quot;given&quot;:&quot;Mohammad Reza&quot;,&quot;parse-names&quot;:false,&quot;dropping-particle&quot;:&quot;&quot;,&quot;non-dropping-particle&quot;:&quot;&quot;}],&quot;container-title&quot;:&quot;Big Data and Cognitive Computing&quot;,&quot;ISSN&quot;:&quot;2504-2289&quot;,&quot;issued&quot;:{&quot;date-parts&quot;:[[2020]]},&quot;page&quot;:&quot;1&quot;,&quot;publisher&quot;:&quot;MDPI&quot;,&quot;issue&quot;:&quot;1&quot;,&quot;volume&quot;:&quot;4&quot;,&quot;container-title-short&quot;:&quot;&quot;},&quot;isTemporary&quot;:false}]},{&quot;citationID&quot;:&quot;MENDELEY_CITATION_b0bf8b9b-aa6d-4b65-85f6-1b5af9ff5c2c&quot;,&quot;properties&quot;:{&quot;noteIndex&quot;:0},&quot;isEdited&quot;:false,&quot;manualOverride&quot;:{&quot;isManuallyOverridden&quot;:false,&quot;citeprocText&quot;:&quot;(Opie, 2019)&quot;,&quot;manualOverrideText&quot;:&quot;&quot;},&quot;citationTag&quot;:&quot;MENDELEY_CITATION_v3_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&quot;,&quot;citationItems&quot;:[{&quot;id&quot;:&quot;fe9e506d-7dd2-32a5-9368-b6f586a19a63&quot;,&quot;itemData&quot;:{&quot;type&quot;:&quot;article-journal&quot;,&quot;id&quot;:&quot;fe9e506d-7dd2-32a5-9368-b6f586a19a63&quot;,&quot;title&quot;:&quot;Using excel/spss in your research&quot;,&quot;author&quot;:[{&quot;family&quot;:&quot;Opie&quot;,&quot;given&quot;:&quot;Clive&quot;,&quot;parse-names&quot;:false,&quot;dropping-particle&quot;:&quot;&quot;,&quot;non-dropping-particle&quot;:&quot;&quot;}],&quot;container-title&quot;:&quot;Getting Started in Your Educational Research: Design, Data Production and Analysis&quot;,&quot;issued&quot;:{&quot;date-parts&quot;:[[2019]]},&quot;publisher&quot;:&quot;SAGE&quot;,&quot;volume&quot;:&quot;309&quot;,&quot;container-title-short&quot;:&quot;&quot;},&quot;isTemporary&quot;:false}]},{&quot;citationID&quot;:&quot;MENDELEY_CITATION_db537209-b6df-4203-85f6-c2cfc100aaa1&quot;,&quot;properties&quot;:{&quot;noteIndex&quot;:0},&quot;isEdited&quot;:false,&quot;manualOverride&quot;:{&quot;isManuallyOverridden&quot;:false,&quot;citeprocText&quot;:&quot;(Cleff, 2019)&quot;,&quot;manualOverrideText&quot;:&quot;&quot;},&quot;citationTag&quot;:&quot;MENDELEY_CITATION_v3_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&quot;,&quot;citationItems&quot;:[{&quot;id&quot;:&quot;1b9dbb7e-b200-39fe-824d-b9c45e20a7da&quot;,&quot;itemData&quot;:{&quot;type&quot;:&quot;book&quot;,&quot;id&quot;:&quot;1b9dbb7e-b200-39fe-824d-b9c45e20a7da&quot;,&quot;title&quot;:&quot;Applied statistics and multivariate data analysis for business and economics: A modern approach using SPSS, Stata, and Excel&quot;,&quot;author&quot;:[{&quot;family&quot;:&quot;Cleff&quot;,&quot;given&quot;:&quot;Thomas&quot;,&quot;parse-names&quot;:false,&quot;dropping-particle&quot;:&quot;&quot;,&quot;non-dropping-particle&quot;:&quot;&quot;}],&quot;ISBN&quot;:&quot;303017767X&quot;,&quot;issued&quot;:{&quot;date-parts&quot;:[[2019]]},&quot;publisher&quot;:&quot;Springer&quot;,&quot;container-title-short&quot;:&quot;&quot;},&quot;isTemporary&quot;:false}]},{&quot;citationID&quot;:&quot;MENDELEY_CITATION_5a0e3cd6-d8ce-4e1e-b559-e4cdd0f7843d&quot;,&quot;properties&quot;:{&quot;noteIndex&quot;:0},&quot;isEdited&quot;:false,&quot;manualOverride&quot;:{&quot;isManuallyOverridden&quot;:false,&quot;citeprocText&quot;:&quot;(Guerrero, Guerrero and Rauscher, 2019)&quot;,&quot;manualOverrideText&quot;:&quot;&quot;},&quot;citationTag&quot;:&quot;MENDELEY_CITATION_v3_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&quot;,&quot;citationItems&quot;:[{&quot;id&quot;:&quot;4d82db0a-05f1-3c1d-8a38-9e8ccb739459&quot;,&quot;itemData&quot;:{&quot;type&quot;:&quot;book&quot;,&quot;id&quot;:&quot;4d82db0a-05f1-3c1d-8a38-9e8ccb739459&quot;,&quot;title&quot;:&quot;Excel data analysis&quot;,&quot;author&quot;:[{&quot;family&quot;:&quot;Guerrero&quot;,&quot;given&quot;:&quot;Hector&quot;,&quot;parse-names&quot;:false,&quot;dropping-particle&quot;:&quot;&quot;,&quot;non-dropping-particle&quot;:&quot;&quot;},{&quot;family&quot;:&quot;Guerrero&quot;,&quot;given&quot;:&quot;Rauscher&quot;,&quot;parse-names&quot;:false,&quot;dropping-particle&quot;:&quot;&quot;,&quot;non-dropping-particle&quot;:&quot;&quot;},{&quot;family&quot;:&quot;Rauscher&quot;,&quot;given&quot;:&quot;&quot;,&quot;parse-names&quot;:false,&quot;dropping-particle&quot;:&quot;&quot;,&quot;non-dropping-particle&quot;:&quot;&quot;}],&quot;ISBN&quot;:&quot;3030012786&quot;,&quot;issued&quot;:{&quot;date-parts&quot;:[[2019]]},&quot;publisher&quot;:&quot;Springer&quot;,&quot;container-title-short&quot;:&quot;&quot;},&quot;isTemporary&quot;:false}]},{&quot;citationID&quot;:&quot;MENDELEY_CITATION_42bec662-428f-459d-90a6-567ea8f1e0bd&quot;,&quot;properties&quot;:{&quot;noteIndex&quot;:0},&quot;isEdited&quot;:false,&quot;manualOverride&quot;:{&quot;isManuallyOverridden&quot;:false,&quot;citeprocText&quot;:&quot;(Pal, 2019)&quot;,&quot;manualOverrideText&quot;:&quot;&quot;},&quot;citationTag&quot;:&quot;MENDELEY_CITATION_v3_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&quot;,&quot;citationItems&quot;:[{&quot;id&quot;:&quot;f8400f2f-e29b-3c5f-a222-05961e724835&quot;,&quot;itemData&quot;:{&quot;type&quot;:&quot;article-magazine&quot;,&quot;id&quot;:&quot;f8400f2f-e29b-3c5f-a222-05961e724835&quot;,&quot;title&quot;:&quot;What are the pros and cons of using SPSS?&quot;,&quot;author&quot;:[{&quot;family&quot;:&quot;Pal&quot;,&quot;given&quot;:&quot;Devender&quot;,&quot;parse-names&quot;:false,&quot;dropping-particle&quot;:&quot;&quot;,&quot;non-dropping-particle&quot;:&quot;&quot;}],&quot;container-title&quot;:&quot;Quora&quot;,&quot;accessed&quot;:{&quot;date-parts&quot;:[[2022,9,3]]},&quot;URL&quot;:&quot;https://www.quora.com/What-are-the-pros-and-cons-of-using-SPSS&quot;,&quot;issued&quot;:{&quot;date-parts&quot;:[[2019]]},&quot;container-title-short&quot;:&quot;&quot;},&quot;isTemporary&quot;:false}]},{&quot;citationID&quot;:&quot;MENDELEY_CITATION_6a825b5f-a12e-401b-9aa9-2d3cb0e3185b&quot;,&quot;properties&quot;:{&quot;noteIndex&quot;:0},&quot;isEdited&quot;:false,&quot;manualOverride&quot;:{&quot;isManuallyOverridden&quot;:false,&quot;citeprocText&quot;:&quot;(Rahman and Muktadir, 2021)&quot;,&quot;manualOverrideText&quot;:&quot;&quot;},&quot;citationTag&quot;:&quot;MENDELEY_CITATION_v3_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&quot;,&quot;citationItems&quot;:[{&quot;id&quot;:&quot;452e8b53-7520-3294-b3ea-9e5b52e8b729&quot;,&quot;itemData&quot;:{&quot;type&quot;:&quot;article-journal&quot;,&quot;id&quot;:&quot;452e8b53-7520-3294-b3ea-9e5b52e8b729&quot;,&quot;title&quot;:&quot;SPSS: An imperative quantitative data analysis tool for social science research&quot;,&quot;author&quot;:[{&quot;family&quot;:&quot;Rahman&quot;,&quot;given&quot;:&quot;Arifa&quot;,&quot;parse-names&quot;:false,&quot;dropping-particle&quot;:&quot;&quot;,&quot;non-dropping-particle&quot;:&quot;&quot;},{&quot;family&quot;:&quot;Muktadir&quot;,&quot;given&quot;:&quot;Md Golam&quot;,&quot;parse-names&quot;:false,&quot;dropping-particle&quot;:&quot;&quot;,&quot;non-dropping-particle&quot;:&quot;&quot;}],&quot;container-title&quot;:&quot;International Journal of Research and Innovation in Social Science&quot;,&quot;issued&quot;:{&quot;date-parts&quot;:[[2021]]},&quot;page&quot;:&quot;300-302&quot;,&quot;issue&quot;:&quot;10&quot;,&quot;volume&quot;:&quot;5&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CEAC6-34DB-4AB0-80DC-B938F76E50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2810</Words>
  <Characters>16018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Author</cp:lastModifiedBy>
</cp:coreProperties>
</file>