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1CB420" w14:textId="47161010" w:rsidR="00DA29AF" w:rsidRDefault="00FB3BAA" w:rsidP="00FB3BAA">
      <w:pPr>
        <w:jc w:val="right"/>
        <w:rPr>
          <w:u w:val="single"/>
        </w:rPr>
      </w:pPr>
      <w:r>
        <w:rPr>
          <w:u w:val="single"/>
        </w:rPr>
        <w:t xml:space="preserve">Laura Evans: 1400299. </w:t>
      </w:r>
    </w:p>
    <w:p w14:paraId="347304F0" w14:textId="62A09685" w:rsidR="00FB3BAA" w:rsidRDefault="00FB3BAA" w:rsidP="00FB3BAA">
      <w:pPr>
        <w:jc w:val="right"/>
        <w:rPr>
          <w:u w:val="single"/>
        </w:rPr>
      </w:pPr>
      <w:r>
        <w:rPr>
          <w:u w:val="single"/>
        </w:rPr>
        <w:t>HPHI</w:t>
      </w:r>
      <w:r w:rsidR="00A2785E">
        <w:rPr>
          <w:u w:val="single"/>
        </w:rPr>
        <w:t>5</w:t>
      </w:r>
      <w:r>
        <w:rPr>
          <w:u w:val="single"/>
        </w:rPr>
        <w:t>013.</w:t>
      </w:r>
    </w:p>
    <w:p w14:paraId="6A421647" w14:textId="6089BE1A" w:rsidR="00FB3BAA" w:rsidRDefault="0051511D" w:rsidP="0051511D">
      <w:pPr>
        <w:jc w:val="right"/>
      </w:pPr>
      <w:r>
        <w:rPr>
          <w:u w:val="single"/>
        </w:rPr>
        <w:t xml:space="preserve">Text. </w:t>
      </w:r>
    </w:p>
    <w:p w14:paraId="1F4EDCBD" w14:textId="77777777" w:rsidR="0051511D" w:rsidRPr="0051511D" w:rsidRDefault="0051511D" w:rsidP="0051511D">
      <w:pPr>
        <w:jc w:val="right"/>
      </w:pPr>
    </w:p>
    <w:p w14:paraId="3F8D1B07" w14:textId="660ADAD8" w:rsidR="00A2785E" w:rsidRDefault="00A2785E" w:rsidP="00FB3BAA">
      <w:r>
        <w:t xml:space="preserve">The extract I will be discussing is from the Vision of </w:t>
      </w:r>
      <w:proofErr w:type="spellStart"/>
      <w:r>
        <w:t>Thurkill</w:t>
      </w:r>
      <w:proofErr w:type="spellEnd"/>
      <w:r>
        <w:t>, c. 1206. On the 27</w:t>
      </w:r>
      <w:r w:rsidRPr="00A2785E">
        <w:rPr>
          <w:vertAlign w:val="superscript"/>
        </w:rPr>
        <w:t>th</w:t>
      </w:r>
      <w:r>
        <w:t xml:space="preserve"> of October a peasant named </w:t>
      </w:r>
      <w:proofErr w:type="spellStart"/>
      <w:r>
        <w:t>Thrukill</w:t>
      </w:r>
      <w:proofErr w:type="spellEnd"/>
      <w:r>
        <w:t xml:space="preserve"> is struck with a mystery illness. He is rigid and motionless in his bed for two </w:t>
      </w:r>
      <w:r w:rsidR="00AC31F0">
        <w:t>days while his relatives watch over him.</w:t>
      </w:r>
      <w:r w:rsidR="00AC31F0">
        <w:rPr>
          <w:rStyle w:val="FootnoteReference"/>
        </w:rPr>
        <w:footnoteReference w:id="1"/>
      </w:r>
      <w:r w:rsidR="00102B77">
        <w:t xml:space="preserve"> Physically </w:t>
      </w:r>
      <w:proofErr w:type="spellStart"/>
      <w:r w:rsidR="00102B77">
        <w:t>Thrukill</w:t>
      </w:r>
      <w:proofErr w:type="spellEnd"/>
      <w:r w:rsidR="00102B77">
        <w:t xml:space="preserve"> is motionless however, his spirit is being taken on a journey by St Julian. Out of body experiences like this are not uncommon in the twelfth century. It would be wrong to search for fact or truth in these visions as the authors of the accounts believed the individual recounting the vision. Our definition of truth is different and certain tools such as repetitive themes in visions legitimised the visions for its audiences.</w:t>
      </w:r>
      <w:r w:rsidR="00102B77">
        <w:rPr>
          <w:rStyle w:val="FootnoteReference"/>
        </w:rPr>
        <w:footnoteReference w:id="2"/>
      </w:r>
      <w:r w:rsidR="00E907E2">
        <w:t>Visions of the Other World could be granted to any individual of any status, making the visions even more compelling to its audience because it targeted everyone and made them equal.</w:t>
      </w:r>
      <w:r w:rsidR="00E907E2">
        <w:rPr>
          <w:rStyle w:val="FootnoteReference"/>
        </w:rPr>
        <w:footnoteReference w:id="3"/>
      </w:r>
      <w:r w:rsidR="00A0797C">
        <w:t xml:space="preserve"> Everyone will have to face death and therefore the workings of hell was an interest of everyone. </w:t>
      </w:r>
    </w:p>
    <w:p w14:paraId="497A8595" w14:textId="09718641" w:rsidR="00A0797C" w:rsidRDefault="00A0797C" w:rsidP="00FB3BAA">
      <w:r>
        <w:tab/>
      </w:r>
      <w:r w:rsidR="0051511D">
        <w:t xml:space="preserve">At the beginning of the extract, </w:t>
      </w:r>
      <w:proofErr w:type="spellStart"/>
      <w:r w:rsidR="0051511D">
        <w:t>Thurkill</w:t>
      </w:r>
      <w:proofErr w:type="spellEnd"/>
      <w:r w:rsidR="0051511D">
        <w:t xml:space="preserve"> describes the appearance of spirits standing by the ‘North Wall’. Straight away this gives a sense of dimension to the space. By identifying the North and South we can imagine a space that could reside in our world and not just some are in the distant cosmos.</w:t>
      </w:r>
      <w:r w:rsidR="0051511D">
        <w:rPr>
          <w:rStyle w:val="FootnoteReference"/>
        </w:rPr>
        <w:footnoteReference w:id="4"/>
      </w:r>
      <w:r w:rsidR="0051511D">
        <w:t xml:space="preserve"> </w:t>
      </w:r>
      <w:r w:rsidR="00542C79">
        <w:t>The physicality of the world is further emphasised by sectioning off areas such as the purgatorial fire and the church. The areas weave into each other reinforcing the journey aspect of the vision, the spirit moving from one compartment to the next.</w:t>
      </w:r>
      <w:r w:rsidR="00542C79">
        <w:rPr>
          <w:rStyle w:val="FootnoteReference"/>
        </w:rPr>
        <w:footnoteReference w:id="5"/>
      </w:r>
      <w:r w:rsidR="009D3C42">
        <w:t xml:space="preserve"> The description of Mount Joy not only awes the reader but also gives them an image that they are familiar with, the view of an enormous mountain expands the area and gives it depth. </w:t>
      </w:r>
    </w:p>
    <w:p w14:paraId="63382036" w14:textId="135C41DB" w:rsidR="009D3C42" w:rsidRDefault="009D3C42" w:rsidP="00FB3BAA">
      <w:r>
        <w:tab/>
        <w:t>The bridge as a motif can be traced to as early as the late sixth century and functions as a metaphorical scale.</w:t>
      </w:r>
      <w:r>
        <w:rPr>
          <w:rStyle w:val="FootnoteReference"/>
        </w:rPr>
        <w:footnoteReference w:id="6"/>
      </w:r>
      <w:r>
        <w:t xml:space="preserve"> In </w:t>
      </w:r>
      <w:proofErr w:type="spellStart"/>
      <w:r>
        <w:t>Thurkill’s</w:t>
      </w:r>
      <w:proofErr w:type="spellEnd"/>
      <w:r>
        <w:t xml:space="preserve"> visions the bridge is covered with sharp thorns and stakes that spirits must walk across in order to reach the other side. The pace at which the spirit crossed the bridge was an indication of how severe the sins were, the just would cross “experiencing no delay or trouble crossing” while the unjust struggled and suffered more. </w:t>
      </w:r>
      <w:r w:rsidR="00722FD4">
        <w:t>Although the bridge motif  is used to punish those crossing, it can also be interpreted as a trial for the spirits who must suffer in order to reach the end and therefore become a higher self.</w:t>
      </w:r>
      <w:r w:rsidR="00722FD4">
        <w:rPr>
          <w:rStyle w:val="FootnoteReference"/>
        </w:rPr>
        <w:footnoteReference w:id="7"/>
      </w:r>
      <w:r w:rsidR="00722FD4">
        <w:t xml:space="preserve"> This is emphasised by the description of their relief at crossing, “when they reached the hall of the church, they gained a happy entrance and remembered little of their vehement tortures”. </w:t>
      </w:r>
    </w:p>
    <w:p w14:paraId="55572122" w14:textId="4B3849BF" w:rsidR="00FA674F" w:rsidRDefault="00FA674F" w:rsidP="00FB3BAA">
      <w:r>
        <w:tab/>
      </w:r>
      <w:proofErr w:type="spellStart"/>
      <w:r w:rsidR="007E788E">
        <w:t>Thrukills</w:t>
      </w:r>
      <w:proofErr w:type="spellEnd"/>
      <w:r w:rsidR="007E788E">
        <w:t xml:space="preserve"> vision heavily emphasises the degree in which the spirits have sinned. Not only does the bridge provide this function but also a large lake that followed the purgatorial fire. Instead of representing their sins through suffering crossing the bridge, the lake shows varying degrees of </w:t>
      </w:r>
      <w:r w:rsidR="007E788E">
        <w:lastRenderedPageBreak/>
        <w:t>purity.</w:t>
      </w:r>
      <w:r w:rsidR="007E788E">
        <w:rPr>
          <w:rStyle w:val="FootnoteReference"/>
        </w:rPr>
        <w:footnoteReference w:id="8"/>
      </w:r>
      <w:r w:rsidR="007E788E">
        <w:t xml:space="preserve"> The spirits are submerged differently depending on their purity with some being fully submerged, up to the middle or barley up to the soles of their feet. This motif is also found in a vision by an unnamed Wenlock monk.</w:t>
      </w:r>
      <w:r w:rsidR="007E788E">
        <w:rPr>
          <w:rStyle w:val="FootnoteReference"/>
        </w:rPr>
        <w:footnoteReference w:id="9"/>
      </w:r>
      <w:r w:rsidR="007E788E">
        <w:t xml:space="preserve"> Some spirits are marked with black and white spots that serve the same function. Those with whiter markings were positioned better than those with barely any white markings and according to </w:t>
      </w:r>
      <w:proofErr w:type="spellStart"/>
      <w:r w:rsidR="007E788E">
        <w:t>Thurkill</w:t>
      </w:r>
      <w:proofErr w:type="spellEnd"/>
      <w:r w:rsidR="007E788E">
        <w:t xml:space="preserve">, “appeared deformed in every part”. This same technique is mentioned in the visions of </w:t>
      </w:r>
      <w:proofErr w:type="spellStart"/>
      <w:r w:rsidR="007E788E">
        <w:t>Aisli</w:t>
      </w:r>
      <w:proofErr w:type="spellEnd"/>
      <w:r w:rsidR="007E788E">
        <w:t xml:space="preserve">, </w:t>
      </w:r>
      <w:proofErr w:type="spellStart"/>
      <w:r w:rsidR="007E788E">
        <w:t>recountered</w:t>
      </w:r>
      <w:proofErr w:type="spellEnd"/>
      <w:r w:rsidR="007E788E">
        <w:t xml:space="preserve"> by Prior Peter of Cornwall and suggests that certain individuals require more cleansing than others.</w:t>
      </w:r>
      <w:r w:rsidR="007E788E">
        <w:rPr>
          <w:rStyle w:val="FootnoteReference"/>
        </w:rPr>
        <w:footnoteReference w:id="10"/>
      </w:r>
      <w:r w:rsidR="007E788E">
        <w:t xml:space="preserve"> </w:t>
      </w:r>
    </w:p>
    <w:p w14:paraId="4971FB01" w14:textId="4F0DF59F" w:rsidR="007E788E" w:rsidRDefault="007E788E" w:rsidP="00FB3BAA">
      <w:r>
        <w:tab/>
        <w:t>This journey the individual takes can be interpreted as a spiritual pilgrimage. Pilgrimage was associated with death as the pilgrim was encouraged to distribute their earthly goods and to settle any disputes before starting their jou</w:t>
      </w:r>
      <w:r w:rsidR="00D452E7">
        <w:t>rney. Not only was this to lighten their material burdens but also their spiritual burdens.</w:t>
      </w:r>
      <w:r w:rsidR="00D452E7">
        <w:rPr>
          <w:rStyle w:val="FootnoteReference"/>
        </w:rPr>
        <w:footnoteReference w:id="11"/>
      </w:r>
      <w:r w:rsidR="00B11910">
        <w:t xml:space="preserve"> The function of a pilgrimage is </w:t>
      </w:r>
      <w:proofErr w:type="gramStart"/>
      <w:r w:rsidR="00B11910">
        <w:t>similar to</w:t>
      </w:r>
      <w:proofErr w:type="gramEnd"/>
      <w:r w:rsidR="00B11910">
        <w:t xml:space="preserve"> the journey the spirit makes through </w:t>
      </w:r>
      <w:r w:rsidR="00554189">
        <w:t>P</w:t>
      </w:r>
      <w:r w:rsidR="00B11910">
        <w:t xml:space="preserve">urgatory, both are purged through the trials of their journey and are closer to God at the end. Pilgrims are spiritually guided on their journeys and pray to the saints for protection where as in the vision as a saint physically guides the individual through </w:t>
      </w:r>
      <w:r w:rsidR="00554189">
        <w:t>P</w:t>
      </w:r>
      <w:r w:rsidR="00B11910">
        <w:t>urgatory.</w:t>
      </w:r>
      <w:r w:rsidR="00B11910">
        <w:rPr>
          <w:rStyle w:val="FootnoteReference"/>
        </w:rPr>
        <w:footnoteReference w:id="12"/>
      </w:r>
      <w:r w:rsidR="00B11910">
        <w:t xml:space="preserve"> This gives a personal feel to their journeys, St Julian is the patron saint of where </w:t>
      </w:r>
      <w:proofErr w:type="spellStart"/>
      <w:r w:rsidR="00B11910">
        <w:t>Thrukill</w:t>
      </w:r>
      <w:proofErr w:type="spellEnd"/>
      <w:r w:rsidR="00B11910">
        <w:t xml:space="preserve"> lived and would have had a greater significance to </w:t>
      </w:r>
      <w:proofErr w:type="spellStart"/>
      <w:r w:rsidR="00B11910">
        <w:t>Thrukill</w:t>
      </w:r>
      <w:proofErr w:type="spellEnd"/>
      <w:r w:rsidR="00B11910">
        <w:t xml:space="preserve"> in guiding him through </w:t>
      </w:r>
      <w:r w:rsidR="00554189">
        <w:t>P</w:t>
      </w:r>
      <w:r w:rsidR="00B11910">
        <w:t>urgatory.</w:t>
      </w:r>
      <w:r w:rsidR="00B11910">
        <w:rPr>
          <w:rStyle w:val="FootnoteReference"/>
        </w:rPr>
        <w:footnoteReference w:id="13"/>
      </w:r>
    </w:p>
    <w:p w14:paraId="7020AC1F" w14:textId="3078037E" w:rsidR="002638E7" w:rsidRDefault="002638E7" w:rsidP="00FB3BAA"/>
    <w:p w14:paraId="072AD7B6" w14:textId="11A219EA" w:rsidR="002638E7" w:rsidRDefault="002638E7">
      <w:r>
        <w:br w:type="page"/>
      </w:r>
    </w:p>
    <w:p w14:paraId="12C8F3B6" w14:textId="24093ACC" w:rsidR="002638E7" w:rsidRDefault="002638E7" w:rsidP="002638E7">
      <w:pPr>
        <w:jc w:val="right"/>
      </w:pPr>
      <w:r>
        <w:rPr>
          <w:u w:val="single"/>
        </w:rPr>
        <w:lastRenderedPageBreak/>
        <w:t xml:space="preserve">Theme: Resurrection. </w:t>
      </w:r>
    </w:p>
    <w:p w14:paraId="112177F5" w14:textId="4BCC1D7F" w:rsidR="002638E7" w:rsidRDefault="002638E7" w:rsidP="002638E7">
      <w:pPr>
        <w:jc w:val="right"/>
      </w:pPr>
    </w:p>
    <w:p w14:paraId="70946847" w14:textId="14177498" w:rsidR="002638E7" w:rsidRDefault="002638E7" w:rsidP="002638E7">
      <w:r>
        <w:t>The most common understanding of the resurrection is the rising of the dead at the Last Judgement.</w:t>
      </w:r>
      <w:r>
        <w:rPr>
          <w:rStyle w:val="FootnoteReference"/>
        </w:rPr>
        <w:footnoteReference w:id="14"/>
      </w:r>
      <w:r w:rsidR="00A15511">
        <w:t xml:space="preserve"> However, the specifics on the body rising has altered throughout time. The resurrections can also be defined as ‘the rising from the dead of a divine or human being who still retains his own personhood, or individuality, though the body may or may not be changed’.</w:t>
      </w:r>
      <w:r w:rsidR="00A15511">
        <w:rPr>
          <w:rStyle w:val="FootnoteReference"/>
        </w:rPr>
        <w:footnoteReference w:id="15"/>
      </w:r>
      <w:r w:rsidR="007E26E0">
        <w:t xml:space="preserve"> Arguable the most controversial belief in Christian theology. Its ambiguous beginnings have led many theologians and historians down many rabbit holes </w:t>
      </w:r>
      <w:proofErr w:type="gramStart"/>
      <w:r w:rsidR="007E26E0">
        <w:t>in an attempt to</w:t>
      </w:r>
      <w:proofErr w:type="gramEnd"/>
      <w:r w:rsidR="007E26E0">
        <w:t xml:space="preserve"> define and understand the process of resurrection. </w:t>
      </w:r>
    </w:p>
    <w:p w14:paraId="62E0A716" w14:textId="0BCA7CCB" w:rsidR="007E26E0" w:rsidRDefault="007E26E0" w:rsidP="002638E7">
      <w:r>
        <w:tab/>
        <w:t>The resurrection at the Last Judgement is closely linked to the resurrection of Christ, both spiritually and physically. It is believed that due to Christ’s resurrection on the third day after his Crucifixion, all believers will share a similar victory over “sin, death and the Devil”.</w:t>
      </w:r>
      <w:r>
        <w:rPr>
          <w:rStyle w:val="FootnoteReference"/>
        </w:rPr>
        <w:footnoteReference w:id="16"/>
      </w:r>
      <w:r w:rsidR="00CD4578">
        <w:t xml:space="preserve"> As Jesus was raised from the dead in physical person and then accepted into heaven with his physical body so will his believers.</w:t>
      </w:r>
      <w:r w:rsidR="00CD4578">
        <w:rPr>
          <w:rStyle w:val="FootnoteReference"/>
        </w:rPr>
        <w:footnoteReference w:id="17"/>
      </w:r>
      <w:r w:rsidR="00EF24A3">
        <w:t xml:space="preserve"> The Virgin Mary was given the same privilege. However, Jesus still had the wounds from the crucifixion and used them to prove he was indeed Jesus. If Jesus was resurrected with the wounds that caused his death, is this the same for his believers? Will warriors rise from the dead missing limbs or with visible wounds? Many twelfth century theologians heave debated the details of the resurrection and the importance of the materialism of the risen body. </w:t>
      </w:r>
      <w:proofErr w:type="spellStart"/>
      <w:r w:rsidR="00EF24A3">
        <w:t>Guibert</w:t>
      </w:r>
      <w:proofErr w:type="spellEnd"/>
      <w:r w:rsidR="00EF24A3">
        <w:t xml:space="preserve"> of </w:t>
      </w:r>
      <w:proofErr w:type="spellStart"/>
      <w:r w:rsidR="00EF24A3">
        <w:t>Nogent</w:t>
      </w:r>
      <w:proofErr w:type="spellEnd"/>
      <w:r w:rsidR="00EF24A3">
        <w:t xml:space="preserve"> disagreed with the cults associated tooth and foreskin of Jesus as they suggested that Christ did not raise from the grave complete.</w:t>
      </w:r>
      <w:r w:rsidR="00EF24A3">
        <w:rPr>
          <w:rStyle w:val="FootnoteReference"/>
        </w:rPr>
        <w:footnoteReference w:id="18"/>
      </w:r>
      <w:r w:rsidR="00EF24A3">
        <w:t xml:space="preserve"> </w:t>
      </w:r>
      <w:r w:rsidR="00837049">
        <w:t>Augustine tries in his work to summarise this conundrum, “rash to offer any descriptions… yet we cannot keep silence… I do not know… I have never seen it with my physical sight… I cannot say that I see now… do our best to conjecture”.</w:t>
      </w:r>
      <w:r w:rsidR="00837049">
        <w:rPr>
          <w:rStyle w:val="FootnoteReference"/>
        </w:rPr>
        <w:footnoteReference w:id="19"/>
      </w:r>
      <w:r w:rsidR="00837049">
        <w:t xml:space="preserve"> </w:t>
      </w:r>
      <w:r w:rsidR="00FC2686">
        <w:t xml:space="preserve">This shows that even on of the greatest medieval thinkers struggled to define the process of the resurrection. </w:t>
      </w:r>
    </w:p>
    <w:p w14:paraId="72222440" w14:textId="56375029" w:rsidR="00FC2686" w:rsidRDefault="00FC2686" w:rsidP="002638E7">
      <w:r>
        <w:tab/>
        <w:t>The resurrected body is similar but separate to the body recognised in life. Identity and individuality would still be present in the resurrection, all specific characteristics would be the same and the body changeless.</w:t>
      </w:r>
      <w:r>
        <w:rPr>
          <w:rStyle w:val="FootnoteReference"/>
        </w:rPr>
        <w:footnoteReference w:id="20"/>
      </w:r>
      <w:r>
        <w:t xml:space="preserve"> So this brings into question the everyday or natural functions of the body and whether they are performed or required after the resurrection. Augustine recognises that biological sex of an individual will be present in the resurrected body but that there will be no sex acts as “sexual intercourse can only take place between two mortal bodies”.</w:t>
      </w:r>
      <w:r>
        <w:rPr>
          <w:rStyle w:val="FootnoteReference"/>
        </w:rPr>
        <w:footnoteReference w:id="21"/>
      </w:r>
      <w:r w:rsidR="0044247D">
        <w:t xml:space="preserve"> The resurrected body is separate to the earthly body due to sin. This can manifest itself in hunger, thirst, sickness, death and decay. Earthly bodies are susceptible to this due to the original sin of Adam and Eve.</w:t>
      </w:r>
      <w:r w:rsidR="0044247D">
        <w:rPr>
          <w:rStyle w:val="FootnoteReference"/>
        </w:rPr>
        <w:footnoteReference w:id="22"/>
      </w:r>
      <w:r w:rsidR="0044247D">
        <w:t xml:space="preserve"> The sin which Jesus cleansed when Crucified. </w:t>
      </w:r>
      <w:proofErr w:type="spellStart"/>
      <w:r w:rsidR="0044247D">
        <w:t>Bonvesin</w:t>
      </w:r>
      <w:proofErr w:type="spellEnd"/>
      <w:r w:rsidR="0044247D">
        <w:t xml:space="preserve"> commented that the bodies physicality will be fully preserved in heaven.  That teeth, limbs and innards will still be present but frozen, and that the </w:t>
      </w:r>
      <w:r w:rsidR="0044247D">
        <w:lastRenderedPageBreak/>
        <w:t>resurrected body will be “glorified, hardened against physical change or decay, yet beautiful and burning with desire”.</w:t>
      </w:r>
      <w:r w:rsidR="0044247D">
        <w:rPr>
          <w:rStyle w:val="FootnoteReference"/>
        </w:rPr>
        <w:footnoteReference w:id="23"/>
      </w:r>
    </w:p>
    <w:p w14:paraId="230B0D63" w14:textId="2814612C" w:rsidR="00655BC1" w:rsidRDefault="00655BC1" w:rsidP="002638E7">
      <w:r>
        <w:tab/>
        <w:t>Christians believe that the glorified body will at the same time be continuous and discontinuous with the natural body.</w:t>
      </w:r>
      <w:r>
        <w:rPr>
          <w:rStyle w:val="FootnoteReference"/>
        </w:rPr>
        <w:footnoteReference w:id="24"/>
      </w:r>
      <w:r>
        <w:t xml:space="preserve"> </w:t>
      </w:r>
      <w:proofErr w:type="spellStart"/>
      <w:r w:rsidR="00B9593E">
        <w:t>Origien</w:t>
      </w:r>
      <w:proofErr w:type="spellEnd"/>
      <w:r w:rsidR="00B9593E">
        <w:t>, a biblical scholar and theologian in the third century, describes the process using a metaphor of a seed. A seed is still the same plant, but it goes through a change into its final form.</w:t>
      </w:r>
      <w:r w:rsidR="00B9593E">
        <w:rPr>
          <w:rStyle w:val="FootnoteReference"/>
        </w:rPr>
        <w:footnoteReference w:id="25"/>
      </w:r>
      <w:r w:rsidR="00B9593E">
        <w:t xml:space="preserve"> Theologians focused on distinguishing the mortal body from the resurrected body. Augustine refers to the teachings of Paul as an example of the flesh being inferior, “Flesh and blood shall not inherit the kingdom of heaven”.</w:t>
      </w:r>
      <w:r w:rsidR="00B9593E">
        <w:rPr>
          <w:rStyle w:val="FootnoteReference"/>
        </w:rPr>
        <w:footnoteReference w:id="26"/>
      </w:r>
      <w:r w:rsidR="00B9593E">
        <w:t xml:space="preserve">Terms like ‘flesh’ are often problematic as early sources use the words ‘flesh’, ‘soul’ or ‘body’ freely. The teaching, “The flesh will rise imperishable, the flesh will rise without blemish, without deformity, without mortality, without being a burden or weight”, can be interpreted to contradict Paul but we do not fully understand </w:t>
      </w:r>
      <w:r w:rsidR="004A20C8">
        <w:t>how ‘flesh’ would have been defined.</w:t>
      </w:r>
      <w:r w:rsidR="004A20C8">
        <w:rPr>
          <w:rStyle w:val="FootnoteReference"/>
        </w:rPr>
        <w:footnoteReference w:id="27"/>
      </w:r>
      <w:r w:rsidR="004A20C8">
        <w:t xml:space="preserve"> Flesh can be defines as tissue, muscle and skin but would it be used to encompass the entire body at this time? Regardless of speculations, Augustine reminds his readers that the resurrections </w:t>
      </w:r>
      <w:proofErr w:type="gramStart"/>
      <w:r w:rsidR="004A20C8">
        <w:t>is</w:t>
      </w:r>
      <w:proofErr w:type="gramEnd"/>
      <w:r w:rsidR="004A20C8">
        <w:t xml:space="preserve"> only possible through one major requirement, faith. He writes, “The God who was able to thrust you out in proper shape from the womb, himself wishes you… to believe that he can also bring you alive from the tomb”.</w:t>
      </w:r>
      <w:r w:rsidR="004A20C8">
        <w:rPr>
          <w:rStyle w:val="FootnoteReference"/>
        </w:rPr>
        <w:footnoteReference w:id="28"/>
      </w:r>
      <w:r w:rsidR="004A20C8">
        <w:t xml:space="preserve"> The resurrection poses questions that cannot be answered as the resurrection has yet to be experienced. We can only imagine the process through examples such as the resurrection of Christ, who states that the resurrection waits for those that have faith. </w:t>
      </w:r>
    </w:p>
    <w:p w14:paraId="30E0A529" w14:textId="352CD702" w:rsidR="00B53976" w:rsidRDefault="00B53976" w:rsidP="002638E7"/>
    <w:p w14:paraId="14413BA6" w14:textId="259A1391" w:rsidR="00B53976" w:rsidRDefault="00B53976">
      <w:r>
        <w:br w:type="page"/>
      </w:r>
    </w:p>
    <w:p w14:paraId="22ED675C" w14:textId="1F871224" w:rsidR="00B53976" w:rsidRDefault="00B53976" w:rsidP="00B53976">
      <w:pPr>
        <w:jc w:val="right"/>
      </w:pPr>
      <w:r>
        <w:rPr>
          <w:u w:val="single"/>
        </w:rPr>
        <w:lastRenderedPageBreak/>
        <w:t xml:space="preserve">Image. </w:t>
      </w:r>
    </w:p>
    <w:p w14:paraId="1BCFB4EA" w14:textId="16246836" w:rsidR="00B53976" w:rsidRDefault="00B53976" w:rsidP="00B53976">
      <w:pPr>
        <w:jc w:val="right"/>
      </w:pPr>
    </w:p>
    <w:p w14:paraId="7E804C8A" w14:textId="2E3D3B6C" w:rsidR="009F57F2" w:rsidRDefault="00CF1419">
      <w:r>
        <w:t>The theme of Death can be seen throughout all aspects of medieval life, from literature such as poems to giant murals painted on church walls. Death was ever present.</w:t>
      </w:r>
      <w:r w:rsidR="00133B3D">
        <w:t xml:space="preserve"> An example of this is the variety of iconography found in the Office of the Dead, </w:t>
      </w:r>
      <w:r w:rsidR="00BF4258">
        <w:t xml:space="preserve">where interactions between the living and the dead are riddled with theological and cultural symbolism. This essay will be focusing on the Legend of the Three Living and the Three Dead, specifically the miniature found in the </w:t>
      </w:r>
      <w:r w:rsidR="00BF4258">
        <w:rPr>
          <w:i/>
          <w:iCs/>
        </w:rPr>
        <w:t>De Lisle Psalter</w:t>
      </w:r>
      <w:r w:rsidR="00BF4258">
        <w:t>, c. 1308 – c. 1340.</w:t>
      </w:r>
      <w:r w:rsidR="00BF4258">
        <w:rPr>
          <w:rStyle w:val="FootnoteReference"/>
        </w:rPr>
        <w:footnoteReference w:id="29"/>
      </w:r>
      <w:r w:rsidR="00EA2B73">
        <w:t xml:space="preserve"> </w:t>
      </w:r>
    </w:p>
    <w:p w14:paraId="7E1D78D2" w14:textId="50DF8E57" w:rsidR="00C50CFE" w:rsidRDefault="00C50CFE">
      <w:r>
        <w:tab/>
      </w:r>
      <w:r w:rsidR="0062462D">
        <w:t>It is unclear where the legend originated from but there are several versions of the legend dating as far back as the 13th century, appearing in France, England and Italy.</w:t>
      </w:r>
      <w:r w:rsidR="0062462D">
        <w:rPr>
          <w:rStyle w:val="FootnoteReference"/>
        </w:rPr>
        <w:footnoteReference w:id="30"/>
      </w:r>
      <w:r w:rsidR="0062462D">
        <w:t xml:space="preserve"> </w:t>
      </w:r>
      <w:r w:rsidR="006744D2">
        <w:t xml:space="preserve">It is no surprise that the legend was popular in France as the </w:t>
      </w:r>
      <w:proofErr w:type="spellStart"/>
      <w:r w:rsidR="006744D2">
        <w:t>Danse</w:t>
      </w:r>
      <w:proofErr w:type="spellEnd"/>
      <w:r w:rsidR="006744D2">
        <w:t xml:space="preserve"> Macabre was heavily featured on French church walls and manuscripts. However, the </w:t>
      </w:r>
      <w:proofErr w:type="spellStart"/>
      <w:r w:rsidR="006744D2">
        <w:t>Danse</w:t>
      </w:r>
      <w:proofErr w:type="spellEnd"/>
      <w:r w:rsidR="006744D2">
        <w:t xml:space="preserve"> Macabre </w:t>
      </w:r>
      <w:r w:rsidR="00296889">
        <w:t>has remained stagnant in comparison to the Three Living which has shown huge variation throughout the centuries.</w:t>
      </w:r>
      <w:r w:rsidR="00296889">
        <w:rPr>
          <w:rStyle w:val="FootnoteReference"/>
        </w:rPr>
        <w:footnoteReference w:id="31"/>
      </w:r>
      <w:r w:rsidR="00296889">
        <w:t xml:space="preserve"> </w:t>
      </w:r>
      <w:r w:rsidR="005653B0">
        <w:t>The most basic version of the story follows as such: three young nobles are out hunting when they are interrupted by three  animated corpses, that warn them of their current sins and how this will affect their afterlife.</w:t>
      </w:r>
      <w:r w:rsidR="005653B0">
        <w:rPr>
          <w:rStyle w:val="FootnoteReference"/>
        </w:rPr>
        <w:footnoteReference w:id="32"/>
      </w:r>
      <w:r w:rsidR="005653B0">
        <w:t xml:space="preserve"> </w:t>
      </w:r>
      <w:r w:rsidR="00F147D1">
        <w:t>In the later 13</w:t>
      </w:r>
      <w:r w:rsidR="00F147D1" w:rsidRPr="00F147D1">
        <w:rPr>
          <w:vertAlign w:val="superscript"/>
        </w:rPr>
        <w:t>th</w:t>
      </w:r>
      <w:r w:rsidR="00F147D1">
        <w:t xml:space="preserve"> century there were ecclesiastical adaptations to the legend, with the Three Living were members of the </w:t>
      </w:r>
      <w:r w:rsidR="00864289">
        <w:t>C</w:t>
      </w:r>
      <w:r w:rsidR="00F147D1">
        <w:t>hurch such as the pope, a cardinal and a papal notary.</w:t>
      </w:r>
      <w:r w:rsidR="00F147D1">
        <w:rPr>
          <w:rStyle w:val="FootnoteReference"/>
        </w:rPr>
        <w:footnoteReference w:id="33"/>
      </w:r>
      <w:r w:rsidR="00F147D1">
        <w:t xml:space="preserve"> Perhaps the change in role of the Three Living is a comment on the inevitability of death and that no man, holy or sinful, can avoid it. </w:t>
      </w:r>
    </w:p>
    <w:p w14:paraId="742E5E89" w14:textId="291E2015" w:rsidR="004E24B9" w:rsidRDefault="00F147D1">
      <w:r>
        <w:tab/>
      </w:r>
      <w:r w:rsidR="004A3B68">
        <w:t xml:space="preserve">The miniature found in the </w:t>
      </w:r>
      <w:r w:rsidR="004A3B68">
        <w:rPr>
          <w:i/>
          <w:iCs/>
        </w:rPr>
        <w:t>Dei Lisle Psalter</w:t>
      </w:r>
      <w:r w:rsidR="004A3B68">
        <w:t xml:space="preserve"> follows the English theme of the noblemen on foot wearing regal crowns, the French variations depict the men all on horseback with less emphasis on their crowns.</w:t>
      </w:r>
      <w:r w:rsidR="004A3B68">
        <w:rPr>
          <w:rStyle w:val="FootnoteReference"/>
        </w:rPr>
        <w:footnoteReference w:id="34"/>
      </w:r>
      <w:r w:rsidR="004A3B68">
        <w:t xml:space="preserve"> </w:t>
      </w:r>
      <w:r w:rsidR="004E24B9">
        <w:t>Although they are not on horseback we are still able to deduce that they are in fact hunting as one of the nobleman has what appears to be a falcon with them. The activity of hunting may be used to symbolise the leisurely activities of nobles that lead to sinfulness. The living and the dead are separated into two different sections, explicitly distinguishing them from the beautiful</w:t>
      </w:r>
      <w:r w:rsidR="000A5AAC">
        <w:t xml:space="preserve">, rich appearance of the nobles and the rotting, decaying corpses. </w:t>
      </w:r>
      <w:r w:rsidR="004E24B9">
        <w:t xml:space="preserve">The separation of the two emphasises not only their differences but also highlights the aspect of reflection. </w:t>
      </w:r>
      <w:r w:rsidR="000A5AAC">
        <w:t xml:space="preserve">It appears the corpses are imitating the stances of the noblemen. This can be interpreted in various ways, first that the corpses are indeed the noblemen after death or that they represent the induvial sin of the noblemen. The corpses are in different stages of decay, the first is still being devoured by worms, the second is still wrapped in its death shroud while the last corpse is nothing but bones. This may be an indication of the severity of the noblemen’s sins and how much repentance is required of them. In Italian variations the living </w:t>
      </w:r>
      <w:proofErr w:type="gramStart"/>
      <w:r w:rsidR="000A5AAC">
        <w:t>encounter</w:t>
      </w:r>
      <w:proofErr w:type="gramEnd"/>
      <w:r w:rsidR="000A5AAC">
        <w:t xml:space="preserve"> the corpses in a gravesite and further emphasises the putrefaction of the body.</w:t>
      </w:r>
      <w:r w:rsidR="000A5AAC">
        <w:rPr>
          <w:rStyle w:val="FootnoteReference"/>
        </w:rPr>
        <w:footnoteReference w:id="35"/>
      </w:r>
      <w:r w:rsidR="000A5AAC">
        <w:t xml:space="preserve"> </w:t>
      </w:r>
    </w:p>
    <w:p w14:paraId="03C197FB" w14:textId="0A323D80" w:rsidR="00407322" w:rsidRPr="004E24B9" w:rsidRDefault="00407322">
      <w:r>
        <w:tab/>
        <w:t xml:space="preserve">The miniature acts as a reminder to the reader of their obligations to the dead. The legend is featured in the Office of the Dead as a reminder to the living that they have a responsibility to pray </w:t>
      </w:r>
      <w:r>
        <w:lastRenderedPageBreak/>
        <w:t>for the souls of the dead, especially their ancestors.</w:t>
      </w:r>
      <w:r>
        <w:rPr>
          <w:rStyle w:val="FootnoteReference"/>
        </w:rPr>
        <w:footnoteReference w:id="36"/>
      </w:r>
      <w:r>
        <w:t xml:space="preserve"> The Office of the Dead also functioned as a guide to the reader on how to </w:t>
      </w:r>
      <w:r w:rsidR="00795FD0">
        <w:t>prepare for death, what is a good death and what is required of them to repent for their sins. The legend was so influential that there are examples of patrons having their image amongst the three living, as is the case with a manuscript called the ‘Hours of Joanna I of Castile’.</w:t>
      </w:r>
      <w:r w:rsidR="00795FD0">
        <w:rPr>
          <w:rStyle w:val="FootnoteReference"/>
        </w:rPr>
        <w:footnoteReference w:id="37"/>
      </w:r>
      <w:r w:rsidR="00795FD0">
        <w:t xml:space="preserve"> </w:t>
      </w:r>
      <w:r w:rsidR="00B5581D">
        <w:t xml:space="preserve"> This may have been a display of her wealth but it can also be interpreted as a symbolism of her spiritual interaction with the dead, reinforcing the importance the dead had on the living and their interactions. </w:t>
      </w:r>
    </w:p>
    <w:p w14:paraId="777672F0" w14:textId="1DF7E226" w:rsidR="001B459C" w:rsidRDefault="001B459C">
      <w:pPr>
        <w:rPr>
          <w:b/>
          <w:bCs/>
        </w:rPr>
      </w:pPr>
    </w:p>
    <w:p w14:paraId="05F9BC03" w14:textId="77777777" w:rsidR="007B36DC" w:rsidRDefault="007B36DC">
      <w:pPr>
        <w:rPr>
          <w:u w:val="single"/>
        </w:rPr>
      </w:pPr>
      <w:r>
        <w:rPr>
          <w:u w:val="single"/>
        </w:rPr>
        <w:br w:type="page"/>
      </w:r>
    </w:p>
    <w:p w14:paraId="49AB8905" w14:textId="58AE7F4D" w:rsidR="00252B62" w:rsidRDefault="00252B62" w:rsidP="00252B62">
      <w:pPr>
        <w:jc w:val="right"/>
        <w:rPr>
          <w:u w:val="single"/>
        </w:rPr>
      </w:pPr>
      <w:r>
        <w:rPr>
          <w:u w:val="single"/>
        </w:rPr>
        <w:lastRenderedPageBreak/>
        <w:t>Journal.</w:t>
      </w:r>
    </w:p>
    <w:p w14:paraId="3956A05D" w14:textId="77777777" w:rsidR="007B36DC" w:rsidRPr="007B36DC" w:rsidRDefault="007B36DC" w:rsidP="007B36DC"/>
    <w:p w14:paraId="78A646D2" w14:textId="486E7DC4" w:rsidR="00252B62" w:rsidRDefault="000D6F63">
      <w:r>
        <w:t xml:space="preserve">This essay aims to analyse John Casey’s work on </w:t>
      </w:r>
      <w:r w:rsidR="00554189">
        <w:t>P</w:t>
      </w:r>
      <w:r>
        <w:t xml:space="preserve">urgatory, titled Rome’s Happiest Inspiration. </w:t>
      </w:r>
      <w:r w:rsidR="00F31FFE">
        <w:t xml:space="preserve">It is the ninth chapter in his book “After Lives: A Guide to Heaven, Hell, and Purgatory”. </w:t>
      </w:r>
      <w:r w:rsidR="004E7E99">
        <w:t xml:space="preserve">From reading the abstract it appears the chapter addresses the positives aspects associated with the </w:t>
      </w:r>
      <w:r w:rsidR="00864289">
        <w:t>C</w:t>
      </w:r>
      <w:r w:rsidR="004E7E99">
        <w:t>hurch and its teachings on Purgatory, “Purgatory had very little scriptural warrant, greatly increased the spiritual power of the Church, and was thought to give rise to many abuses. Yet (this chapter argues) it was one of the happiest inspirations, and a more human vision of the possibilities of salvation”.</w:t>
      </w:r>
      <w:r w:rsidR="004E7E99">
        <w:rPr>
          <w:rStyle w:val="FootnoteReference"/>
        </w:rPr>
        <w:footnoteReference w:id="38"/>
      </w:r>
      <w:r w:rsidR="00F92EFD">
        <w:t xml:space="preserve"> </w:t>
      </w:r>
      <w:r w:rsidR="002F67AF">
        <w:t xml:space="preserve">The chapter is divided into sub-headings: ‘A Cause of Scandal’, ‘Scripture’, ‘Unspeakable Pleasant Torments: St. Catherine of Genoa’ and ‘Dante: </w:t>
      </w:r>
      <w:proofErr w:type="spellStart"/>
      <w:r w:rsidR="002F67AF">
        <w:rPr>
          <w:i/>
          <w:iCs/>
        </w:rPr>
        <w:t>Purgatorio</w:t>
      </w:r>
      <w:proofErr w:type="spellEnd"/>
      <w:r w:rsidR="002F67AF">
        <w:t xml:space="preserve">’. </w:t>
      </w:r>
      <w:r w:rsidR="00B23A14">
        <w:t xml:space="preserve">This essay will discuss comments made in the chapter and how they correlate with popular belief and major historical events that may have an impact on the development of Purgatory. </w:t>
      </w:r>
    </w:p>
    <w:p w14:paraId="093FC48E" w14:textId="290E5C8B" w:rsidR="00B23A14" w:rsidRDefault="00B23A14" w:rsidP="002128C8">
      <w:r>
        <w:tab/>
        <w:t xml:space="preserve">“It was the liveliness of the belief in Purgatory that led to many of the greatest works of ecclesiastical architecture. One Oxford College, All Souls, was founded with specific purpose for praying for the souls of the English warriors who fell on the field of </w:t>
      </w:r>
      <w:proofErr w:type="spellStart"/>
      <w:r>
        <w:t>Agincout</w:t>
      </w:r>
      <w:proofErr w:type="spellEnd"/>
      <w:r>
        <w:t>”</w:t>
      </w:r>
      <w:r w:rsidR="001C6EFD">
        <w:t>.</w:t>
      </w:r>
      <w:r>
        <w:rPr>
          <w:rStyle w:val="FootnoteReference"/>
        </w:rPr>
        <w:footnoteReference w:id="39"/>
      </w:r>
      <w:r w:rsidR="001C6EFD">
        <w:t xml:space="preserve"> This statement is interesting not only for the architectural development due to the idea of Purgatory but why it was built, for prayers specifically to aid fallen warriors. </w:t>
      </w:r>
      <w:r w:rsidR="007B7BD4">
        <w:t xml:space="preserve">This raises the question of prayers </w:t>
      </w:r>
      <w:proofErr w:type="gramStart"/>
      <w:r w:rsidR="007B7BD4">
        <w:t>in regards to</w:t>
      </w:r>
      <w:proofErr w:type="gramEnd"/>
      <w:r w:rsidR="007B7BD4">
        <w:t xml:space="preserve"> soldiers who had fallen during the Crusades. Were facilities such as All Souls built to aid fallen Crusaders? Were prayers said for all warriors as their job required them to sin? </w:t>
      </w:r>
      <w:r w:rsidR="0085608B">
        <w:t xml:space="preserve">There is an example of a prayer focused on the salvation of fallen crusaders in St Gregory’s </w:t>
      </w:r>
      <w:proofErr w:type="spellStart"/>
      <w:r w:rsidR="0085608B">
        <w:t>Trental</w:t>
      </w:r>
      <w:proofErr w:type="spellEnd"/>
      <w:r w:rsidR="0085608B">
        <w:t>. “God, who are our redemption and have chosen to be born and suffer death in the Promised Land in preference to all other lands, liberate in your mercy the soul servant .N. from the hands of demons and that land from the hands of the pagans so that the nation who does not believe in you may be changed through virtue, and help all those who trust in you in consideration of their great piety towards you”.</w:t>
      </w:r>
      <w:r w:rsidR="0085608B">
        <w:rPr>
          <w:rStyle w:val="FootnoteReference"/>
        </w:rPr>
        <w:footnoteReference w:id="40"/>
      </w:r>
      <w:r w:rsidR="008E043A">
        <w:t xml:space="preserve"> </w:t>
      </w:r>
      <w:r w:rsidR="005E5E97">
        <w:t xml:space="preserve">This is interesting as it shows an anxiety in relations to the souls of the crusaders as well as the spiritual essence of the Holy Land. The prayer suggests that the crusaders and the Holy Land are linked in their purgatorial suffering and therefore, it can be suggested that prayers may aid the Holy Land as they do the crusaders. As Penny J. Cole states, “But it was William of Tyre who was perhaps the first to think specifically of the penitential ordeal of the crusading campaign as a </w:t>
      </w:r>
      <w:r w:rsidR="009B597F">
        <w:t>purgatorial experience on earth”.</w:t>
      </w:r>
      <w:r w:rsidR="009B597F">
        <w:rPr>
          <w:rStyle w:val="FootnoteReference"/>
        </w:rPr>
        <w:footnoteReference w:id="41"/>
      </w:r>
      <w:r w:rsidR="009B597F">
        <w:t xml:space="preserve"> </w:t>
      </w:r>
      <w:r w:rsidR="00633F73">
        <w:t xml:space="preserve">Crusaders and Purgatory are also intimately linked through indulgences. </w:t>
      </w:r>
      <w:r w:rsidR="00764F1E">
        <w:t xml:space="preserve">John Casey comments that the main issues taken up with Protestants is the selling of indulgences, “A commo Protestant ground for scandal was the belief that Rome’s promotion of purgatory had financial motives: “you may buy as many masses as will free your soul from Purgatory for 29,000 years, at the church of St John Lateran, on the feast of that saint; at Santa </w:t>
      </w:r>
      <w:proofErr w:type="spellStart"/>
      <w:r w:rsidR="00764F1E">
        <w:t>Bibiana</w:t>
      </w:r>
      <w:proofErr w:type="spellEnd"/>
      <w:r w:rsidR="00764F1E">
        <w:t>, on All Soul’s day, for 7,000 years; at a church near the basilica of St Paul and at another on the Quirinal Hill, for 10,000 and 3,000 years, and at a very reasonable rate”.</w:t>
      </w:r>
      <w:r w:rsidR="00764F1E">
        <w:rPr>
          <w:rStyle w:val="FootnoteReference"/>
        </w:rPr>
        <w:footnoteReference w:id="42"/>
      </w:r>
      <w:r w:rsidR="00764F1E">
        <w:t xml:space="preserve"> Indulgences were available to the public (those with enough coin) and not just for military gain. </w:t>
      </w:r>
    </w:p>
    <w:p w14:paraId="2701140B" w14:textId="72695D89" w:rsidR="00BE6093" w:rsidRDefault="00BE6093" w:rsidP="002128C8">
      <w:r>
        <w:tab/>
        <w:t xml:space="preserve">“[The papists] have paved a large causeway over this wide </w:t>
      </w:r>
      <w:proofErr w:type="gramStart"/>
      <w:r>
        <w:t>gulf, and</w:t>
      </w:r>
      <w:proofErr w:type="gramEnd"/>
      <w:r>
        <w:t xml:space="preserve"> have opened a very passage from a life of torments to one of eternal happiness. For by virtue of some prayers, oblations </w:t>
      </w:r>
      <w:r>
        <w:lastRenderedPageBreak/>
        <w:t>and indulgences, they have made the way broad to heaven and narrow to hell. A man that hath money in his pocket cannot be damned, and a camel may as soon pass through the eye of a needle as a poor man be saved”.</w:t>
      </w:r>
      <w:r>
        <w:rPr>
          <w:rStyle w:val="FootnoteReference"/>
        </w:rPr>
        <w:footnoteReference w:id="43"/>
      </w:r>
      <w:r>
        <w:t xml:space="preserve"> </w:t>
      </w:r>
      <w:r w:rsidR="002B35EC">
        <w:t>From this quote it is easy to see how it may be easy for the rich to gain salvation but it also offers a small light of hope for others. Through their prayers and perhaps an indulgence gained through pilgrimage, family members and loved ones could assist their dead in the afterlife</w:t>
      </w:r>
      <w:r w:rsidR="00AB5A3A">
        <w:t xml:space="preserve">. The topic of Purgatory has always been highly debated as it contradicts many of the teachings of the </w:t>
      </w:r>
      <w:r w:rsidR="00864289">
        <w:t>C</w:t>
      </w:r>
      <w:r w:rsidR="00AB5A3A">
        <w:t>hurch but also offers reassurance to those whose jobs may require them to sin, as Casey acknowledges. “It has always been a hard doctrine to swallow that a man who died with any unrepented sin should suffer for all eternity. Equally the idea that a last-minute repentance could cancel all the punishment due to the sins of a misspent life and admit instantly to paradise, troubled others”.</w:t>
      </w:r>
      <w:r w:rsidR="00AB5A3A">
        <w:rPr>
          <w:rStyle w:val="FootnoteReference"/>
        </w:rPr>
        <w:footnoteReference w:id="44"/>
      </w:r>
      <w:r w:rsidR="00AB5A3A">
        <w:t xml:space="preserve"> The idea that repentance was necessary for the afterlife </w:t>
      </w:r>
      <w:r w:rsidR="00116286">
        <w:t xml:space="preserve">in Purgatory was able to answer difficult questions regarding folk belief such as the stories and reports of revenants. Stories of bodies rising from the grave were prevalent, William of Newburgh in Yorkshire is a key source who wrote his </w:t>
      </w:r>
      <w:r w:rsidR="00116286">
        <w:rPr>
          <w:i/>
          <w:iCs/>
        </w:rPr>
        <w:t xml:space="preserve">Historia Rerum </w:t>
      </w:r>
      <w:proofErr w:type="spellStart"/>
      <w:r w:rsidR="00116286">
        <w:rPr>
          <w:i/>
          <w:iCs/>
        </w:rPr>
        <w:t>Anglicarum</w:t>
      </w:r>
      <w:proofErr w:type="spellEnd"/>
      <w:r w:rsidR="00116286">
        <w:rPr>
          <w:i/>
          <w:iCs/>
        </w:rPr>
        <w:t xml:space="preserve"> </w:t>
      </w:r>
      <w:r w:rsidR="00116286">
        <w:t>in the late twelfth century.</w:t>
      </w:r>
      <w:r w:rsidR="00116286">
        <w:rPr>
          <w:rStyle w:val="FootnoteReference"/>
        </w:rPr>
        <w:footnoteReference w:id="45"/>
      </w:r>
      <w:r w:rsidR="00116286">
        <w:t xml:space="preserve"> As visions of Purgatory were used as a warning to the living, stories of revenants were converted for the same purpose. “I am the wretch whom you long ago excommunicated unnamed, with many more, for unrighteous withholding of tithes but the common prayers of the </w:t>
      </w:r>
      <w:r w:rsidR="00864289">
        <w:t>C</w:t>
      </w:r>
      <w:r w:rsidR="00116286">
        <w:t>hurch and alms of the faithful have, by God’s grace, so helped me that I am permitted to ask for absolution”.</w:t>
      </w:r>
      <w:r w:rsidR="00116286">
        <w:rPr>
          <w:rStyle w:val="FootnoteReference"/>
        </w:rPr>
        <w:footnoteReference w:id="46"/>
      </w:r>
      <w:r w:rsidR="00A77D66">
        <w:t xml:space="preserve"> By redefining the revenant and providing a spiritual reason for the unsightly visions the </w:t>
      </w:r>
      <w:r w:rsidR="00864289">
        <w:t>C</w:t>
      </w:r>
      <w:r w:rsidR="00A77D66">
        <w:t xml:space="preserve">hurch were able to settle some anxiety regarding the supernatural and the chances for rest among the common people. </w:t>
      </w:r>
      <w:r w:rsidR="00A736E8">
        <w:t xml:space="preserve">Casey also uses Jacques Le Goff’s work in the chapter in regards to sudden deaths often associated with revenants, “Le Goff argues that purgatory was one of the main reasons for the dramatization of the moment of death, because repentance in </w:t>
      </w:r>
      <w:proofErr w:type="spellStart"/>
      <w:r w:rsidR="00A736E8">
        <w:rPr>
          <w:i/>
          <w:iCs/>
        </w:rPr>
        <w:t>articulo</w:t>
      </w:r>
      <w:proofErr w:type="spellEnd"/>
      <w:r w:rsidR="00A736E8">
        <w:rPr>
          <w:i/>
          <w:iCs/>
        </w:rPr>
        <w:t xml:space="preserve"> mortis </w:t>
      </w:r>
      <w:r w:rsidR="00A736E8">
        <w:t xml:space="preserve">could avoid the horror of final damnation through the lesser horror a period of </w:t>
      </w:r>
      <w:proofErr w:type="spellStart"/>
      <w:r w:rsidR="00A736E8">
        <w:t>postmortem</w:t>
      </w:r>
      <w:proofErr w:type="spellEnd"/>
      <w:r w:rsidR="00A736E8">
        <w:t xml:space="preserve"> purging :’Final contrition increasingly became the last resort for those who wished to take purgatory. Life’s final moment accordingly took a new intensity: even though it was long since too late for most sinners to hope for the direct admission to Heaven, there was still time to be saved by way of Purgatory”.</w:t>
      </w:r>
      <w:r w:rsidR="00A736E8">
        <w:rPr>
          <w:rStyle w:val="FootnoteReference"/>
        </w:rPr>
        <w:footnoteReference w:id="47"/>
      </w:r>
    </w:p>
    <w:p w14:paraId="7E2182B2" w14:textId="60DC9F40" w:rsidR="00A736E8" w:rsidRPr="00CC49F9" w:rsidRDefault="00A736E8" w:rsidP="002128C8">
      <w:r>
        <w:tab/>
      </w:r>
      <w:r w:rsidR="002668F3">
        <w:t xml:space="preserve">An aspect of Purgatory often overlooked is Christ’s involvement with not only </w:t>
      </w:r>
      <w:proofErr w:type="gramStart"/>
      <w:r w:rsidR="002668F3">
        <w:t>it</w:t>
      </w:r>
      <w:proofErr w:type="gramEnd"/>
      <w:r w:rsidR="002668F3">
        <w:t xml:space="preserve"> physicality but his teachings on salvation. Casey states clearly how the Church of Rome take it into their own hands in regard to easing the unforgiving aspects of salvation.</w:t>
      </w:r>
      <w:r w:rsidR="002668F3">
        <w:rPr>
          <w:rStyle w:val="FootnoteReference"/>
        </w:rPr>
        <w:footnoteReference w:id="48"/>
      </w:r>
      <w:r w:rsidR="002668F3">
        <w:t xml:space="preserve"> “The Protestant John Hartcliffe, writing in 1685, argued that Jesus fundamentally teaches that heaven and hell </w:t>
      </w:r>
      <w:r w:rsidR="00CC49F9">
        <w:t xml:space="preserve">are fixed for the two eternal states of good and bed men, and that if after this life they had any hopes of gaining the first, or escaping the second by the prayers or gifts of their surviving friends, this expectation ‘would in great measure frustrate the intent of Christ’s coming into the world, which was to teach men how in </w:t>
      </w:r>
      <w:r w:rsidR="00CC49F9">
        <w:rPr>
          <w:i/>
          <w:iCs/>
        </w:rPr>
        <w:t>this present life</w:t>
      </w:r>
      <w:r w:rsidR="00CC49F9">
        <w:t xml:space="preserve"> they must work out their salvation. how through patient continuance in well-doing they must here be brought to goodness and real virtue”.</w:t>
      </w:r>
      <w:r w:rsidR="00CC49F9">
        <w:rPr>
          <w:rStyle w:val="FootnoteReference"/>
        </w:rPr>
        <w:footnoteReference w:id="49"/>
      </w:r>
      <w:r w:rsidR="00CC49F9">
        <w:t xml:space="preserve"> Overall, Casey present a </w:t>
      </w:r>
      <w:proofErr w:type="spellStart"/>
      <w:r w:rsidR="00CC49F9">
        <w:t>well balanced</w:t>
      </w:r>
      <w:proofErr w:type="spellEnd"/>
      <w:r w:rsidR="00CC49F9">
        <w:t xml:space="preserve"> and detailed chapter in depth of all facets of Purgatory, and there are many, from the involvement of the cult of saints to the famous work of Dante in which he discusses every detail. But in regards to the title of the chapter, Casey has presented</w:t>
      </w:r>
      <w:bookmarkStart w:id="0" w:name="_GoBack"/>
      <w:bookmarkEnd w:id="0"/>
      <w:r w:rsidR="00CC49F9">
        <w:t xml:space="preserve"> a balanced argument </w:t>
      </w:r>
      <w:r w:rsidR="00D555E9">
        <w:t xml:space="preserve">using primary sources that give a </w:t>
      </w:r>
      <w:r w:rsidR="00D555E9">
        <w:lastRenderedPageBreak/>
        <w:t>unique insight to indulgences such as the price ranges associated with specific sins and the view point of protestants regarding the teachings of Christ and not just of Martin Luther.  However, it cannot be ignored that the power Purgatory granted the church may be the inspiration of the chapter, “For the Church, what a marvellous instrument of power! … Purgatory brought to the Church not only new spiritual power but also, to put it bluntly, considerable profit… Much of this profit went to the mendicant orders, ardent propagandists of the new doctrine. And finally, the “infernal” system of indulgences found powerful support in the idea of Purgatory”.</w:t>
      </w:r>
      <w:r w:rsidR="00D555E9">
        <w:rPr>
          <w:rStyle w:val="FootnoteReference"/>
        </w:rPr>
        <w:footnoteReference w:id="50"/>
      </w:r>
    </w:p>
    <w:p w14:paraId="2C11CBA1" w14:textId="41BDAB2B" w:rsidR="00A736E8" w:rsidRPr="00A736E8" w:rsidRDefault="00A736E8" w:rsidP="002128C8">
      <w:r>
        <w:tab/>
      </w:r>
    </w:p>
    <w:p w14:paraId="34B60E45" w14:textId="474E2C9B" w:rsidR="00A736E8" w:rsidRPr="00116286" w:rsidRDefault="00A736E8" w:rsidP="002128C8">
      <w:r>
        <w:tab/>
      </w:r>
    </w:p>
    <w:p w14:paraId="2AB3FDCD" w14:textId="6D25DFC9" w:rsidR="00155C8E" w:rsidRPr="002F67AF" w:rsidRDefault="00155C8E">
      <w:r>
        <w:tab/>
      </w:r>
    </w:p>
    <w:p w14:paraId="6A92945D" w14:textId="77777777" w:rsidR="000D6F63" w:rsidRDefault="000D6F63">
      <w:pPr>
        <w:rPr>
          <w:b/>
          <w:bCs/>
        </w:rPr>
      </w:pPr>
      <w:r>
        <w:rPr>
          <w:b/>
          <w:bCs/>
        </w:rPr>
        <w:br w:type="page"/>
      </w:r>
    </w:p>
    <w:p w14:paraId="55A171CB" w14:textId="74332EAD" w:rsidR="009F57F2" w:rsidRDefault="009F57F2" w:rsidP="00FB3BAA">
      <w:r>
        <w:rPr>
          <w:b/>
          <w:bCs/>
        </w:rPr>
        <w:lastRenderedPageBreak/>
        <w:t xml:space="preserve">Bibliography. </w:t>
      </w:r>
    </w:p>
    <w:p w14:paraId="35330E41" w14:textId="5A516398" w:rsidR="00B57DD7" w:rsidRDefault="00B57DD7" w:rsidP="00112E65">
      <w:pPr>
        <w:pStyle w:val="ListParagraph"/>
        <w:numPr>
          <w:ilvl w:val="0"/>
          <w:numId w:val="1"/>
        </w:numPr>
      </w:pPr>
      <w:proofErr w:type="spellStart"/>
      <w:r>
        <w:t>Bovon</w:t>
      </w:r>
      <w:proofErr w:type="spellEnd"/>
      <w:r>
        <w:t xml:space="preserve">, F. ‘Soul’s Comeback: Immortality and Resurrection in Early Christianity’, </w:t>
      </w:r>
      <w:r>
        <w:rPr>
          <w:i/>
          <w:iCs/>
        </w:rPr>
        <w:t xml:space="preserve">The Harvard Theological Review, </w:t>
      </w:r>
      <w:r>
        <w:t>103(4) (2010), pp. 387-406.</w:t>
      </w:r>
    </w:p>
    <w:p w14:paraId="7F669236" w14:textId="04EDE088" w:rsidR="00307C0D" w:rsidRDefault="00307C0D" w:rsidP="00112E65">
      <w:pPr>
        <w:pStyle w:val="ListParagraph"/>
        <w:numPr>
          <w:ilvl w:val="0"/>
          <w:numId w:val="1"/>
        </w:numPr>
      </w:pPr>
      <w:r>
        <w:t xml:space="preserve">Briggs, S. J. </w:t>
      </w:r>
      <w:r>
        <w:rPr>
          <w:i/>
          <w:iCs/>
        </w:rPr>
        <w:t xml:space="preserve">The Three Living and the Three Dead. </w:t>
      </w:r>
      <w:r>
        <w:t xml:space="preserve">2014 </w:t>
      </w:r>
      <w:hyperlink r:id="rId7" w:history="1">
        <w:r w:rsidRPr="003F6A10">
          <w:rPr>
            <w:rStyle w:val="Hyperlink"/>
          </w:rPr>
          <w:t>https://blogs.bl.uk/digitisedmanuscripts/2014/01/the-three-living-and-the-three-dead.html</w:t>
        </w:r>
      </w:hyperlink>
      <w:r>
        <w:t xml:space="preserve"> [Accessed 7</w:t>
      </w:r>
      <w:r w:rsidRPr="00307C0D">
        <w:rPr>
          <w:vertAlign w:val="superscript"/>
        </w:rPr>
        <w:t>th</w:t>
      </w:r>
      <w:r>
        <w:t xml:space="preserve"> December 2019].</w:t>
      </w:r>
    </w:p>
    <w:p w14:paraId="4FA8645D" w14:textId="79DC82CD" w:rsidR="00B57DD7" w:rsidRDefault="00B57DD7" w:rsidP="00112E65">
      <w:pPr>
        <w:pStyle w:val="ListParagraph"/>
        <w:numPr>
          <w:ilvl w:val="0"/>
          <w:numId w:val="1"/>
        </w:numPr>
      </w:pPr>
      <w:r>
        <w:t xml:space="preserve">Bynum, C. ‘Death and Resurrection in the Middle Ages: Some Modern Implications’, </w:t>
      </w:r>
      <w:r>
        <w:rPr>
          <w:i/>
          <w:iCs/>
        </w:rPr>
        <w:t xml:space="preserve">Proceedings of the American Philosophical Society, </w:t>
      </w:r>
      <w:r>
        <w:t xml:space="preserve">142(4) (1998), pp. 589-596. </w:t>
      </w:r>
    </w:p>
    <w:p w14:paraId="1B92EACF" w14:textId="5A216283" w:rsidR="00B57DD7" w:rsidRDefault="00B57DD7" w:rsidP="00112E65">
      <w:pPr>
        <w:pStyle w:val="ListParagraph"/>
        <w:numPr>
          <w:ilvl w:val="0"/>
          <w:numId w:val="1"/>
        </w:numPr>
      </w:pPr>
      <w:r>
        <w:t xml:space="preserve">Bynum, C. ‘Material Continuity, Personal Survival, and the Resurrection of the Body: A Scholastic Discussion in its Medieval and Modern Contexts’, </w:t>
      </w:r>
      <w:r>
        <w:rPr>
          <w:i/>
          <w:iCs/>
        </w:rPr>
        <w:t xml:space="preserve">History of Religions, </w:t>
      </w:r>
      <w:r>
        <w:t xml:space="preserve">30(1) (1990), pp. 51-85. </w:t>
      </w:r>
    </w:p>
    <w:p w14:paraId="31D20D7F" w14:textId="54A45E78" w:rsidR="0005337D" w:rsidRDefault="0005337D" w:rsidP="0005337D">
      <w:pPr>
        <w:pStyle w:val="ListParagraph"/>
        <w:numPr>
          <w:ilvl w:val="0"/>
          <w:numId w:val="1"/>
        </w:numPr>
      </w:pPr>
      <w:r>
        <w:t xml:space="preserve">Casey, J. </w:t>
      </w:r>
      <w:r>
        <w:rPr>
          <w:i/>
          <w:iCs/>
        </w:rPr>
        <w:t xml:space="preserve">Afterlives: A Guide to Heaven, Hell and Purgatory </w:t>
      </w:r>
      <w:r>
        <w:t xml:space="preserve">(Oxford: Oxford University Press, 2009), Chapter 9 – ‘Rome’s Happiest Inspiration?’. </w:t>
      </w:r>
    </w:p>
    <w:p w14:paraId="5C5EFFA0" w14:textId="0CADF6B4" w:rsidR="00252B62" w:rsidRDefault="00252B62" w:rsidP="00112E65">
      <w:pPr>
        <w:pStyle w:val="ListParagraph"/>
        <w:numPr>
          <w:ilvl w:val="0"/>
          <w:numId w:val="1"/>
        </w:numPr>
      </w:pPr>
      <w:r>
        <w:t xml:space="preserve">Clark, K. ‘Purgatory, Punishment, and the Discourse of Holy Widowhood in the High and Later Middle Ages’, </w:t>
      </w:r>
      <w:r>
        <w:rPr>
          <w:i/>
          <w:iCs/>
        </w:rPr>
        <w:t xml:space="preserve">Journal of the History of Sexuality, </w:t>
      </w:r>
      <w:r>
        <w:t xml:space="preserve">16(2) (2007), pp. 169-203. </w:t>
      </w:r>
    </w:p>
    <w:p w14:paraId="738FA31F" w14:textId="138D6AA3" w:rsidR="00252B62" w:rsidRDefault="00252B62" w:rsidP="00112E65">
      <w:pPr>
        <w:pStyle w:val="ListParagraph"/>
        <w:numPr>
          <w:ilvl w:val="0"/>
          <w:numId w:val="1"/>
        </w:numPr>
      </w:pPr>
      <w:r>
        <w:t xml:space="preserve">Cole, Penny J. ‘Purgatory and Crusade in St Gregory’s </w:t>
      </w:r>
      <w:proofErr w:type="spellStart"/>
      <w:r>
        <w:t>Trental</w:t>
      </w:r>
      <w:proofErr w:type="spellEnd"/>
      <w:r>
        <w:t xml:space="preserve">’, </w:t>
      </w:r>
      <w:r>
        <w:rPr>
          <w:i/>
          <w:iCs/>
        </w:rPr>
        <w:t xml:space="preserve">The International History Review, </w:t>
      </w:r>
      <w:r>
        <w:t xml:space="preserve">17(4) (1995), pp. 713-725. </w:t>
      </w:r>
    </w:p>
    <w:p w14:paraId="35D807BB" w14:textId="4F9AF474" w:rsidR="00112E65" w:rsidRDefault="00112E65" w:rsidP="00112E65">
      <w:pPr>
        <w:pStyle w:val="ListParagraph"/>
        <w:numPr>
          <w:ilvl w:val="0"/>
          <w:numId w:val="1"/>
        </w:numPr>
      </w:pPr>
      <w:proofErr w:type="spellStart"/>
      <w:r>
        <w:t>Dinzelbacher</w:t>
      </w:r>
      <w:proofErr w:type="spellEnd"/>
      <w:r>
        <w:t xml:space="preserve">, P. ‘The Way to the Otherworld in Medieval Literature and Art’, </w:t>
      </w:r>
      <w:r>
        <w:rPr>
          <w:i/>
          <w:iCs/>
        </w:rPr>
        <w:t xml:space="preserve">Folklore, </w:t>
      </w:r>
      <w:r>
        <w:t>97(1) (1986), pp. 70-87.</w:t>
      </w:r>
    </w:p>
    <w:p w14:paraId="06A0D472" w14:textId="65C04459" w:rsidR="00B57DD7" w:rsidRDefault="00B57DD7" w:rsidP="00112E65">
      <w:pPr>
        <w:pStyle w:val="ListParagraph"/>
        <w:numPr>
          <w:ilvl w:val="0"/>
          <w:numId w:val="1"/>
        </w:numPr>
      </w:pPr>
      <w:r>
        <w:t xml:space="preserve">Encyclopaedia Britannica, </w:t>
      </w:r>
      <w:r>
        <w:rPr>
          <w:i/>
          <w:iCs/>
        </w:rPr>
        <w:t xml:space="preserve">Resurrection. </w:t>
      </w:r>
      <w:r>
        <w:t xml:space="preserve">2019, </w:t>
      </w:r>
      <w:hyperlink r:id="rId8" w:history="1">
        <w:r w:rsidRPr="003F6A10">
          <w:rPr>
            <w:rStyle w:val="Hyperlink"/>
          </w:rPr>
          <w:t>https://www.britannica.com/topic/resurrection-religion</w:t>
        </w:r>
      </w:hyperlink>
      <w:r>
        <w:t>. [Accessed 23</w:t>
      </w:r>
      <w:r w:rsidRPr="00B57DD7">
        <w:rPr>
          <w:vertAlign w:val="superscript"/>
        </w:rPr>
        <w:t>rd</w:t>
      </w:r>
      <w:r>
        <w:t xml:space="preserve"> January 2019]. </w:t>
      </w:r>
    </w:p>
    <w:p w14:paraId="3FCA59D7" w14:textId="4E6D8202" w:rsidR="0005337D" w:rsidRDefault="00112E65" w:rsidP="0005337D">
      <w:pPr>
        <w:pStyle w:val="ListParagraph"/>
        <w:numPr>
          <w:ilvl w:val="0"/>
          <w:numId w:val="1"/>
        </w:numPr>
      </w:pPr>
      <w:proofErr w:type="spellStart"/>
      <w:r>
        <w:t>Gurevixh</w:t>
      </w:r>
      <w:proofErr w:type="spellEnd"/>
      <w:r>
        <w:t xml:space="preserve">, A. </w:t>
      </w:r>
      <w:proofErr w:type="spellStart"/>
      <w:r>
        <w:t>Shukman</w:t>
      </w:r>
      <w:proofErr w:type="spellEnd"/>
      <w:r>
        <w:t xml:space="preserve">, A. ‘Oral and Written Cultures of the Middle Ages: Two “Peasants Visions” of the Late Twelfth Centuries’, </w:t>
      </w:r>
      <w:r>
        <w:rPr>
          <w:i/>
          <w:iCs/>
        </w:rPr>
        <w:t xml:space="preserve">Ne Literary History, </w:t>
      </w:r>
      <w:r>
        <w:t xml:space="preserve">15(1) (1984), pp. 51-66. </w:t>
      </w:r>
    </w:p>
    <w:p w14:paraId="7C331510" w14:textId="5CB45E90" w:rsidR="00307C0D" w:rsidRDefault="00307C0D" w:rsidP="00112E65">
      <w:pPr>
        <w:pStyle w:val="ListParagraph"/>
        <w:numPr>
          <w:ilvl w:val="0"/>
          <w:numId w:val="1"/>
        </w:numPr>
      </w:pPr>
      <w:r>
        <w:t xml:space="preserve">Kinch, A. ‘Image, Ideology, and Form: The Middle English “Three Dead Kings” in its Iconographic Context’, </w:t>
      </w:r>
      <w:r>
        <w:rPr>
          <w:i/>
          <w:iCs/>
        </w:rPr>
        <w:t xml:space="preserve">The Chaucer Review, </w:t>
      </w:r>
      <w:r>
        <w:t>43(1) (2008), pp. 48-81.</w:t>
      </w:r>
    </w:p>
    <w:p w14:paraId="4DDDCC74" w14:textId="1C0AEB24" w:rsidR="00112E65" w:rsidRDefault="00112E65" w:rsidP="00112E65">
      <w:pPr>
        <w:pStyle w:val="ListParagraph"/>
        <w:numPr>
          <w:ilvl w:val="0"/>
          <w:numId w:val="1"/>
        </w:numPr>
      </w:pPr>
      <w:r>
        <w:t xml:space="preserve">McGinn, B. ‘Visions and Visualizations in the Here and Hereafter’, </w:t>
      </w:r>
      <w:r>
        <w:rPr>
          <w:i/>
          <w:iCs/>
        </w:rPr>
        <w:t xml:space="preserve">The Harvard Theological Review, </w:t>
      </w:r>
      <w:r>
        <w:t xml:space="preserve">98(3) (2005), pp. 227-246. </w:t>
      </w:r>
    </w:p>
    <w:p w14:paraId="69EB91A0" w14:textId="3340BCFE" w:rsidR="00B57DD7" w:rsidRDefault="00B57DD7" w:rsidP="00112E65">
      <w:pPr>
        <w:pStyle w:val="ListParagraph"/>
        <w:numPr>
          <w:ilvl w:val="0"/>
          <w:numId w:val="1"/>
        </w:numPr>
      </w:pPr>
      <w:r>
        <w:t xml:space="preserve">Miles, M. ‘Sex and the City (of God): Is Sex Forfeited or Fulfilled in Augustine’s Resurrection of the Body?’, </w:t>
      </w:r>
      <w:r>
        <w:rPr>
          <w:i/>
          <w:iCs/>
        </w:rPr>
        <w:t xml:space="preserve">Journal of the American Academy of Religion, </w:t>
      </w:r>
      <w:r>
        <w:t xml:space="preserve">73(2) (2005), pp. </w:t>
      </w:r>
      <w:r w:rsidR="008C4CC8">
        <w:t xml:space="preserve">307-327. </w:t>
      </w:r>
    </w:p>
    <w:p w14:paraId="559F2494" w14:textId="6CC162AD" w:rsidR="00252B62" w:rsidRDefault="00252B62" w:rsidP="00112E65">
      <w:pPr>
        <w:pStyle w:val="ListParagraph"/>
        <w:numPr>
          <w:ilvl w:val="0"/>
          <w:numId w:val="1"/>
        </w:numPr>
      </w:pPr>
      <w:r>
        <w:t xml:space="preserve">Newman, Barbara. ‘Hildegard of </w:t>
      </w:r>
      <w:proofErr w:type="spellStart"/>
      <w:r>
        <w:t>Bingen</w:t>
      </w:r>
      <w:proofErr w:type="spellEnd"/>
      <w:r>
        <w:t xml:space="preserve"> and the “Birth of Purgatory”’, </w:t>
      </w:r>
      <w:r>
        <w:rPr>
          <w:i/>
          <w:iCs/>
        </w:rPr>
        <w:t xml:space="preserve">Mystics Quarterly, </w:t>
      </w:r>
      <w:r>
        <w:t>19(3) (1993), pp. 90-97.</w:t>
      </w:r>
    </w:p>
    <w:p w14:paraId="10111EA4" w14:textId="15229F65" w:rsidR="008C4CC8" w:rsidRDefault="008C4CC8" w:rsidP="00112E65">
      <w:pPr>
        <w:pStyle w:val="ListParagraph"/>
        <w:numPr>
          <w:ilvl w:val="0"/>
          <w:numId w:val="1"/>
        </w:numPr>
      </w:pPr>
      <w:r>
        <w:t xml:space="preserve">Oxford Dictionary. </w:t>
      </w:r>
      <w:hyperlink r:id="rId9" w:history="1">
        <w:r w:rsidRPr="003F6A10">
          <w:rPr>
            <w:rStyle w:val="Hyperlink"/>
          </w:rPr>
          <w:t>https://www.britannica.com/topic/resurrection-religion</w:t>
        </w:r>
      </w:hyperlink>
      <w:r>
        <w:t>. [Accessed 23</w:t>
      </w:r>
      <w:r w:rsidRPr="008C4CC8">
        <w:rPr>
          <w:vertAlign w:val="superscript"/>
        </w:rPr>
        <w:t>rd</w:t>
      </w:r>
      <w:r>
        <w:t xml:space="preserve"> January 2019]. </w:t>
      </w:r>
    </w:p>
    <w:p w14:paraId="69C9C3BB" w14:textId="48BF0D14" w:rsidR="00112E65" w:rsidRDefault="00112E65" w:rsidP="00112E65">
      <w:pPr>
        <w:pStyle w:val="ListParagraph"/>
        <w:numPr>
          <w:ilvl w:val="0"/>
          <w:numId w:val="1"/>
        </w:numPr>
      </w:pPr>
      <w:r>
        <w:t xml:space="preserve">Schmidt, P. ‘The Visions of </w:t>
      </w:r>
      <w:proofErr w:type="spellStart"/>
      <w:r>
        <w:t>Thrukill</w:t>
      </w:r>
      <w:proofErr w:type="spellEnd"/>
      <w:r>
        <w:t xml:space="preserve">’, </w:t>
      </w:r>
      <w:r>
        <w:rPr>
          <w:i/>
          <w:iCs/>
        </w:rPr>
        <w:t xml:space="preserve">Journal of the Warburg and </w:t>
      </w:r>
      <w:proofErr w:type="spellStart"/>
      <w:r>
        <w:rPr>
          <w:i/>
          <w:iCs/>
        </w:rPr>
        <w:t>Courtauld</w:t>
      </w:r>
      <w:proofErr w:type="spellEnd"/>
      <w:r>
        <w:rPr>
          <w:i/>
          <w:iCs/>
        </w:rPr>
        <w:t xml:space="preserve"> Institutes, </w:t>
      </w:r>
      <w:r>
        <w:t xml:space="preserve">41 (1978), pp. 50-64. </w:t>
      </w:r>
    </w:p>
    <w:p w14:paraId="64659241" w14:textId="3AA5E96A" w:rsidR="00112E65" w:rsidRDefault="00112E65" w:rsidP="00112E65">
      <w:pPr>
        <w:pStyle w:val="ListParagraph"/>
        <w:numPr>
          <w:ilvl w:val="0"/>
          <w:numId w:val="1"/>
        </w:numPr>
      </w:pPr>
      <w:r>
        <w:t xml:space="preserve">Watkins, C. ‘Sin, Penance and Purgatory in the Anglo-Norman Realm: The Evidence of Visions and Ghost Stories’, </w:t>
      </w:r>
      <w:r>
        <w:rPr>
          <w:i/>
          <w:iCs/>
        </w:rPr>
        <w:t xml:space="preserve">Past &amp; Present, </w:t>
      </w:r>
      <w:r>
        <w:t xml:space="preserve">175 (2002), pp. 3-33. </w:t>
      </w:r>
    </w:p>
    <w:p w14:paraId="09F85D87" w14:textId="7036CC67" w:rsidR="00112E65" w:rsidRPr="009F57F2" w:rsidRDefault="00112E65" w:rsidP="00112E65">
      <w:pPr>
        <w:pStyle w:val="ListParagraph"/>
        <w:numPr>
          <w:ilvl w:val="0"/>
          <w:numId w:val="1"/>
        </w:numPr>
      </w:pPr>
      <w:r>
        <w:t xml:space="preserve">Zaleski, C. ‘St. Patrick’s Purgatory: Pilgrimage Motifs in a Medieval Otherworld Visions’, </w:t>
      </w:r>
      <w:r>
        <w:rPr>
          <w:i/>
          <w:iCs/>
        </w:rPr>
        <w:t xml:space="preserve">Journal of the History of Ideas, </w:t>
      </w:r>
      <w:r>
        <w:t xml:space="preserve">46(4) (1985), pp. 467-485. </w:t>
      </w:r>
    </w:p>
    <w:sectPr w:rsidR="00112E65" w:rsidRPr="009F57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D9241" w14:textId="77777777" w:rsidR="00B9788B" w:rsidRDefault="00B9788B" w:rsidP="00AC31F0">
      <w:pPr>
        <w:spacing w:after="0" w:line="240" w:lineRule="auto"/>
      </w:pPr>
      <w:r>
        <w:separator/>
      </w:r>
    </w:p>
  </w:endnote>
  <w:endnote w:type="continuationSeparator" w:id="0">
    <w:p w14:paraId="0269C479" w14:textId="77777777" w:rsidR="00B9788B" w:rsidRDefault="00B9788B" w:rsidP="00AC3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092E9" w14:textId="77777777" w:rsidR="00B9788B" w:rsidRDefault="00B9788B" w:rsidP="00AC31F0">
      <w:pPr>
        <w:spacing w:after="0" w:line="240" w:lineRule="auto"/>
      </w:pPr>
      <w:r>
        <w:separator/>
      </w:r>
    </w:p>
  </w:footnote>
  <w:footnote w:type="continuationSeparator" w:id="0">
    <w:p w14:paraId="48DD9F3B" w14:textId="77777777" w:rsidR="00B9788B" w:rsidRDefault="00B9788B" w:rsidP="00AC31F0">
      <w:pPr>
        <w:spacing w:after="0" w:line="240" w:lineRule="auto"/>
      </w:pPr>
      <w:r>
        <w:continuationSeparator/>
      </w:r>
    </w:p>
  </w:footnote>
  <w:footnote w:id="1">
    <w:p w14:paraId="3DD22096" w14:textId="4138E7BE" w:rsidR="006744D2" w:rsidRPr="00AC31F0" w:rsidRDefault="006744D2">
      <w:pPr>
        <w:pStyle w:val="FootnoteText"/>
      </w:pPr>
      <w:r>
        <w:rPr>
          <w:rStyle w:val="FootnoteReference"/>
        </w:rPr>
        <w:footnoteRef/>
      </w:r>
      <w:r>
        <w:t xml:space="preserve"> Paul Gerhard Schmidt, ‘The Visions of </w:t>
      </w:r>
      <w:proofErr w:type="spellStart"/>
      <w:r>
        <w:t>Thrukill</w:t>
      </w:r>
      <w:proofErr w:type="spellEnd"/>
      <w:r>
        <w:t xml:space="preserve">’, </w:t>
      </w:r>
      <w:r>
        <w:rPr>
          <w:i/>
          <w:iCs/>
        </w:rPr>
        <w:t xml:space="preserve">Journal of the Warburg and </w:t>
      </w:r>
      <w:proofErr w:type="spellStart"/>
      <w:r>
        <w:rPr>
          <w:i/>
          <w:iCs/>
        </w:rPr>
        <w:t>Courtauld</w:t>
      </w:r>
      <w:proofErr w:type="spellEnd"/>
      <w:r>
        <w:rPr>
          <w:i/>
          <w:iCs/>
        </w:rPr>
        <w:t xml:space="preserve"> Institutes, </w:t>
      </w:r>
      <w:r>
        <w:t xml:space="preserve">41 (1978), 50-64 (p. 52). </w:t>
      </w:r>
    </w:p>
  </w:footnote>
  <w:footnote w:id="2">
    <w:p w14:paraId="68D459AA" w14:textId="0913727B" w:rsidR="006744D2" w:rsidRPr="00102B77" w:rsidRDefault="006744D2">
      <w:pPr>
        <w:pStyle w:val="FootnoteText"/>
      </w:pPr>
      <w:r>
        <w:rPr>
          <w:rStyle w:val="FootnoteReference"/>
        </w:rPr>
        <w:footnoteRef/>
      </w:r>
      <w:r>
        <w:t xml:space="preserve"> Aaron J. </w:t>
      </w:r>
      <w:proofErr w:type="spellStart"/>
      <w:r>
        <w:t>Gurevich</w:t>
      </w:r>
      <w:proofErr w:type="spellEnd"/>
      <w:r>
        <w:t xml:space="preserve">, Ann </w:t>
      </w:r>
      <w:proofErr w:type="spellStart"/>
      <w:r>
        <w:t>Shukman</w:t>
      </w:r>
      <w:proofErr w:type="spellEnd"/>
      <w:r>
        <w:t xml:space="preserve">. ‘Oral and Written Culture of the Middle Ages: Two ‘Peasant Visions’ of the Late Twelfth-Early Thirteenth Centuries’, </w:t>
      </w:r>
      <w:r>
        <w:rPr>
          <w:i/>
          <w:iCs/>
        </w:rPr>
        <w:t xml:space="preserve">Ne Literary History, </w:t>
      </w:r>
      <w:r>
        <w:t xml:space="preserve">15(1) (1984) 51-66 (p. 52). </w:t>
      </w:r>
    </w:p>
  </w:footnote>
  <w:footnote w:id="3">
    <w:p w14:paraId="3DA7DC92" w14:textId="7B026DFC" w:rsidR="006744D2" w:rsidRDefault="006744D2">
      <w:pPr>
        <w:pStyle w:val="FootnoteText"/>
      </w:pPr>
      <w:r>
        <w:rPr>
          <w:rStyle w:val="FootnoteReference"/>
        </w:rPr>
        <w:footnoteRef/>
      </w:r>
      <w:r>
        <w:t xml:space="preserve"> Paul Gerhard Schmidt, ‘The Visions of’, p. 50.</w:t>
      </w:r>
    </w:p>
  </w:footnote>
  <w:footnote w:id="4">
    <w:p w14:paraId="22B8F95C" w14:textId="227B121A" w:rsidR="006744D2" w:rsidRPr="0051511D" w:rsidRDefault="006744D2">
      <w:pPr>
        <w:pStyle w:val="FootnoteText"/>
      </w:pPr>
      <w:r>
        <w:rPr>
          <w:rStyle w:val="FootnoteReference"/>
        </w:rPr>
        <w:footnoteRef/>
      </w:r>
      <w:r>
        <w:t xml:space="preserve"> Peter </w:t>
      </w:r>
      <w:proofErr w:type="spellStart"/>
      <w:r>
        <w:t>Dinzelbacher</w:t>
      </w:r>
      <w:proofErr w:type="spellEnd"/>
      <w:r>
        <w:t xml:space="preserve">, ‘The Way to the Other World in Medieval Literature and Art’, </w:t>
      </w:r>
      <w:r>
        <w:rPr>
          <w:i/>
          <w:iCs/>
        </w:rPr>
        <w:t xml:space="preserve">Folklore, </w:t>
      </w:r>
      <w:r>
        <w:t xml:space="preserve">97(1) (1986) 70-87 (p. 70). </w:t>
      </w:r>
    </w:p>
  </w:footnote>
  <w:footnote w:id="5">
    <w:p w14:paraId="19AD0986" w14:textId="23A1068F" w:rsidR="006744D2" w:rsidRDefault="006744D2">
      <w:pPr>
        <w:pStyle w:val="FootnoteText"/>
      </w:pPr>
      <w:r>
        <w:rPr>
          <w:rStyle w:val="FootnoteReference"/>
        </w:rPr>
        <w:footnoteRef/>
      </w:r>
      <w:r>
        <w:t xml:space="preserve"> Peter </w:t>
      </w:r>
      <w:proofErr w:type="spellStart"/>
      <w:r>
        <w:t>Dinzelbacher</w:t>
      </w:r>
      <w:proofErr w:type="spellEnd"/>
      <w:r>
        <w:t>, ‘The Way to’, p. 70.</w:t>
      </w:r>
    </w:p>
  </w:footnote>
  <w:footnote w:id="6">
    <w:p w14:paraId="1ED8E78D" w14:textId="22FE7B2A" w:rsidR="006744D2" w:rsidRDefault="006744D2">
      <w:pPr>
        <w:pStyle w:val="FootnoteText"/>
      </w:pPr>
      <w:r>
        <w:rPr>
          <w:rStyle w:val="FootnoteReference"/>
        </w:rPr>
        <w:footnoteRef/>
      </w:r>
      <w:r>
        <w:t xml:space="preserve"> Ibid, p. 76.</w:t>
      </w:r>
    </w:p>
  </w:footnote>
  <w:footnote w:id="7">
    <w:p w14:paraId="01068011" w14:textId="33A99E05" w:rsidR="006744D2" w:rsidRDefault="006744D2">
      <w:pPr>
        <w:pStyle w:val="FootnoteText"/>
      </w:pPr>
      <w:r>
        <w:rPr>
          <w:rStyle w:val="FootnoteReference"/>
        </w:rPr>
        <w:footnoteRef/>
      </w:r>
      <w:r>
        <w:t xml:space="preserve"> Ibid, p. 77. </w:t>
      </w:r>
    </w:p>
  </w:footnote>
  <w:footnote w:id="8">
    <w:p w14:paraId="04D35C9E" w14:textId="15220F92" w:rsidR="006744D2" w:rsidRDefault="006744D2">
      <w:pPr>
        <w:pStyle w:val="FootnoteText"/>
      </w:pPr>
      <w:r>
        <w:rPr>
          <w:rStyle w:val="FootnoteReference"/>
        </w:rPr>
        <w:footnoteRef/>
      </w:r>
      <w:r>
        <w:t xml:space="preserve"> Ibid, p. 76. </w:t>
      </w:r>
    </w:p>
  </w:footnote>
  <w:footnote w:id="9">
    <w:p w14:paraId="741F817E" w14:textId="724A7664" w:rsidR="006744D2" w:rsidRDefault="006744D2">
      <w:pPr>
        <w:pStyle w:val="FootnoteText"/>
      </w:pPr>
      <w:r>
        <w:rPr>
          <w:rStyle w:val="FootnoteReference"/>
        </w:rPr>
        <w:footnoteRef/>
      </w:r>
      <w:r>
        <w:t xml:space="preserve"> Ibid. </w:t>
      </w:r>
    </w:p>
  </w:footnote>
  <w:footnote w:id="10">
    <w:p w14:paraId="4DCD5316" w14:textId="7E4BCC31" w:rsidR="006744D2" w:rsidRPr="007E788E" w:rsidRDefault="006744D2">
      <w:pPr>
        <w:pStyle w:val="FootnoteText"/>
      </w:pPr>
      <w:r>
        <w:rPr>
          <w:rStyle w:val="FootnoteReference"/>
        </w:rPr>
        <w:footnoteRef/>
      </w:r>
      <w:r>
        <w:t xml:space="preserve"> C. S. Watkins. ‘Sin, Penance and Purgatory in the Anglo-Norman Realm: The Evidence of Visions and Ghost Stories’, </w:t>
      </w:r>
      <w:r>
        <w:rPr>
          <w:i/>
          <w:iCs/>
        </w:rPr>
        <w:t xml:space="preserve">Past &amp; Present, </w:t>
      </w:r>
      <w:r>
        <w:t xml:space="preserve">175(2002) 3-33 (p. 16). </w:t>
      </w:r>
    </w:p>
  </w:footnote>
  <w:footnote w:id="11">
    <w:p w14:paraId="0964807B" w14:textId="1B174309" w:rsidR="006744D2" w:rsidRPr="00D452E7" w:rsidRDefault="006744D2">
      <w:pPr>
        <w:pStyle w:val="FootnoteText"/>
      </w:pPr>
      <w:r>
        <w:rPr>
          <w:rStyle w:val="FootnoteReference"/>
        </w:rPr>
        <w:footnoteRef/>
      </w:r>
      <w:r>
        <w:t xml:space="preserve"> Carol G. Zaleski. ‘St. Patrick’s Purgatory: Pilgrimage Motifs in a Medieval Otherworld Visions’, </w:t>
      </w:r>
      <w:r>
        <w:rPr>
          <w:i/>
          <w:iCs/>
        </w:rPr>
        <w:t xml:space="preserve">Journal of the History of Ideas, </w:t>
      </w:r>
      <w:r>
        <w:t xml:space="preserve">46(4) (1985) 467-485 (p. 482). </w:t>
      </w:r>
    </w:p>
  </w:footnote>
  <w:footnote w:id="12">
    <w:p w14:paraId="343E9F84" w14:textId="2927D043" w:rsidR="006744D2" w:rsidRDefault="006744D2">
      <w:pPr>
        <w:pStyle w:val="FootnoteText"/>
      </w:pPr>
      <w:r>
        <w:rPr>
          <w:rStyle w:val="FootnoteReference"/>
        </w:rPr>
        <w:footnoteRef/>
      </w:r>
      <w:r>
        <w:t xml:space="preserve"> Peter </w:t>
      </w:r>
      <w:proofErr w:type="spellStart"/>
      <w:r>
        <w:t>Dinzelbacher</w:t>
      </w:r>
      <w:proofErr w:type="spellEnd"/>
      <w:r>
        <w:t xml:space="preserve">, ‘The Ways to’, p. 74. </w:t>
      </w:r>
    </w:p>
  </w:footnote>
  <w:footnote w:id="13">
    <w:p w14:paraId="783CDC9C" w14:textId="5AC89A05" w:rsidR="006744D2" w:rsidRPr="00B11910" w:rsidRDefault="006744D2">
      <w:pPr>
        <w:pStyle w:val="FootnoteText"/>
      </w:pPr>
      <w:r>
        <w:rPr>
          <w:rStyle w:val="FootnoteReference"/>
        </w:rPr>
        <w:footnoteRef/>
      </w:r>
      <w:r>
        <w:t xml:space="preserve"> Bernard McGinn. ‘Visions and Visualizations in the Here and Hereafter’, </w:t>
      </w:r>
      <w:r>
        <w:rPr>
          <w:i/>
          <w:iCs/>
        </w:rPr>
        <w:t xml:space="preserve">The Harvard Theological Review, </w:t>
      </w:r>
      <w:r>
        <w:t xml:space="preserve">98(3) (2005) 227-246 (p.57). </w:t>
      </w:r>
    </w:p>
  </w:footnote>
  <w:footnote w:id="14">
    <w:p w14:paraId="515D117D" w14:textId="0EDC0FF2" w:rsidR="006744D2" w:rsidRPr="002638E7" w:rsidRDefault="006744D2">
      <w:pPr>
        <w:pStyle w:val="FootnoteText"/>
      </w:pPr>
      <w:r>
        <w:rPr>
          <w:rStyle w:val="FootnoteReference"/>
        </w:rPr>
        <w:footnoteRef/>
      </w:r>
      <w:r>
        <w:t xml:space="preserve"> </w:t>
      </w:r>
      <w:r>
        <w:rPr>
          <w:i/>
          <w:iCs/>
        </w:rPr>
        <w:t xml:space="preserve">Oxford Dictionary, </w:t>
      </w:r>
      <w:hyperlink r:id="rId1" w:history="1">
        <w:r w:rsidRPr="003F6A10">
          <w:rPr>
            <w:rStyle w:val="Hyperlink"/>
            <w:i/>
            <w:iCs/>
          </w:rPr>
          <w:t>https://www.britannica.com/topic/resurrection-religion</w:t>
        </w:r>
      </w:hyperlink>
      <w:r>
        <w:rPr>
          <w:i/>
          <w:iCs/>
        </w:rPr>
        <w:t xml:space="preserve">. </w:t>
      </w:r>
    </w:p>
  </w:footnote>
  <w:footnote w:id="15">
    <w:p w14:paraId="0B2495D2" w14:textId="7C7722B5" w:rsidR="006744D2" w:rsidRPr="00A15511" w:rsidRDefault="006744D2">
      <w:pPr>
        <w:pStyle w:val="FootnoteText"/>
      </w:pPr>
      <w:r>
        <w:rPr>
          <w:rStyle w:val="FootnoteReference"/>
        </w:rPr>
        <w:footnoteRef/>
      </w:r>
      <w:r>
        <w:t xml:space="preserve"> Encyclopaedia Britannica, </w:t>
      </w:r>
      <w:r>
        <w:rPr>
          <w:i/>
          <w:iCs/>
        </w:rPr>
        <w:t xml:space="preserve">Resurrection, </w:t>
      </w:r>
      <w:r>
        <w:t xml:space="preserve">2019. </w:t>
      </w:r>
      <w:hyperlink r:id="rId2" w:history="1">
        <w:r w:rsidRPr="003F6A10">
          <w:rPr>
            <w:rStyle w:val="Hyperlink"/>
          </w:rPr>
          <w:t>https://www.britannica.com/topic/resurrection-religion</w:t>
        </w:r>
      </w:hyperlink>
      <w:r>
        <w:t>. [Accessed 23</w:t>
      </w:r>
      <w:r w:rsidRPr="00A15511">
        <w:rPr>
          <w:vertAlign w:val="superscript"/>
        </w:rPr>
        <w:t>rd</w:t>
      </w:r>
      <w:r>
        <w:t xml:space="preserve"> January 2019].  </w:t>
      </w:r>
    </w:p>
  </w:footnote>
  <w:footnote w:id="16">
    <w:p w14:paraId="2B12B3AB" w14:textId="4312D750" w:rsidR="006744D2" w:rsidRDefault="006744D2">
      <w:pPr>
        <w:pStyle w:val="FootnoteText"/>
      </w:pPr>
      <w:r>
        <w:rPr>
          <w:rStyle w:val="FootnoteReference"/>
        </w:rPr>
        <w:footnoteRef/>
      </w:r>
      <w:r>
        <w:t xml:space="preserve"> Encyclopaedia Britannica. </w:t>
      </w:r>
    </w:p>
  </w:footnote>
  <w:footnote w:id="17">
    <w:p w14:paraId="6839A16D" w14:textId="2EF3CA92" w:rsidR="006744D2" w:rsidRPr="00CD4578" w:rsidRDefault="006744D2">
      <w:pPr>
        <w:pStyle w:val="FootnoteText"/>
      </w:pPr>
      <w:r>
        <w:rPr>
          <w:rStyle w:val="FootnoteReference"/>
        </w:rPr>
        <w:footnoteRef/>
      </w:r>
      <w:r>
        <w:t xml:space="preserve"> Francois </w:t>
      </w:r>
      <w:proofErr w:type="spellStart"/>
      <w:r>
        <w:t>Bovon</w:t>
      </w:r>
      <w:proofErr w:type="spellEnd"/>
      <w:r>
        <w:t xml:space="preserve">, ‘The Soul’s Comeback: Immortality and Resurrection in Early Christianity’, </w:t>
      </w:r>
      <w:r>
        <w:rPr>
          <w:i/>
          <w:iCs/>
        </w:rPr>
        <w:t xml:space="preserve">The Harvard Theological Review, </w:t>
      </w:r>
      <w:r>
        <w:t>103(4) (2010), pp. 387-406 (p. 389).</w:t>
      </w:r>
    </w:p>
  </w:footnote>
  <w:footnote w:id="18">
    <w:p w14:paraId="2FBC9C1C" w14:textId="291995E6" w:rsidR="006744D2" w:rsidRPr="00EF24A3" w:rsidRDefault="006744D2">
      <w:pPr>
        <w:pStyle w:val="FootnoteText"/>
      </w:pPr>
      <w:r>
        <w:rPr>
          <w:rStyle w:val="FootnoteReference"/>
        </w:rPr>
        <w:footnoteRef/>
      </w:r>
      <w:r>
        <w:t xml:space="preserve"> Caroline Walker Bynum, ‘Material Continuity, Personal Survival, and the Resurrection of the Body: A Scholastic Discussion in its Medieval and Modern Context’, </w:t>
      </w:r>
      <w:r>
        <w:rPr>
          <w:i/>
          <w:iCs/>
        </w:rPr>
        <w:t xml:space="preserve">History of Religions, </w:t>
      </w:r>
      <w:r>
        <w:t>30(1) (1990), pp. 51-85 (p. 55).</w:t>
      </w:r>
    </w:p>
  </w:footnote>
  <w:footnote w:id="19">
    <w:p w14:paraId="44290FE2" w14:textId="7324EC44" w:rsidR="006744D2" w:rsidRPr="00837049" w:rsidRDefault="006744D2">
      <w:pPr>
        <w:pStyle w:val="FootnoteText"/>
      </w:pPr>
      <w:r>
        <w:rPr>
          <w:rStyle w:val="FootnoteReference"/>
        </w:rPr>
        <w:footnoteRef/>
      </w:r>
      <w:r>
        <w:t xml:space="preserve"> Margaret R. Miles, ‘Sex and the City (of God0: Is Sex Forfeited or Fulfilled in Augustine’s Resurrection of the Body?’, </w:t>
      </w:r>
      <w:r>
        <w:rPr>
          <w:i/>
          <w:iCs/>
        </w:rPr>
        <w:t xml:space="preserve">Journal of the American Academy of Religion, </w:t>
      </w:r>
      <w:r>
        <w:t xml:space="preserve">73(2) (2005), pp. 307-327 (p. 315). </w:t>
      </w:r>
    </w:p>
  </w:footnote>
  <w:footnote w:id="20">
    <w:p w14:paraId="1CB71767" w14:textId="2A49A76F" w:rsidR="006744D2" w:rsidRPr="00FC2686" w:rsidRDefault="006744D2">
      <w:pPr>
        <w:pStyle w:val="FootnoteText"/>
      </w:pPr>
      <w:r>
        <w:rPr>
          <w:rStyle w:val="FootnoteReference"/>
        </w:rPr>
        <w:footnoteRef/>
      </w:r>
      <w:r>
        <w:t xml:space="preserve"> Caroline Walker Bynum, ‘Death and the Resurrection in the Middle Ages: Some Modern Implications’, </w:t>
      </w:r>
      <w:r>
        <w:rPr>
          <w:i/>
          <w:iCs/>
        </w:rPr>
        <w:t xml:space="preserve">Proceedings of the American Philosophical Society, </w:t>
      </w:r>
      <w:r>
        <w:t xml:space="preserve">14(4) (1998), pp. 589-596 (p. 594). </w:t>
      </w:r>
    </w:p>
  </w:footnote>
  <w:footnote w:id="21">
    <w:p w14:paraId="6670C905" w14:textId="3B986BA5" w:rsidR="006744D2" w:rsidRDefault="006744D2">
      <w:pPr>
        <w:pStyle w:val="FootnoteText"/>
      </w:pPr>
      <w:r>
        <w:rPr>
          <w:rStyle w:val="FootnoteReference"/>
        </w:rPr>
        <w:footnoteRef/>
      </w:r>
      <w:r>
        <w:t xml:space="preserve"> Margaret R. Miles, ‘Sex and the’, p. 309. </w:t>
      </w:r>
    </w:p>
  </w:footnote>
  <w:footnote w:id="22">
    <w:p w14:paraId="508129A8" w14:textId="7F22D5B0" w:rsidR="006744D2" w:rsidRDefault="006744D2">
      <w:pPr>
        <w:pStyle w:val="FootnoteText"/>
      </w:pPr>
      <w:r>
        <w:rPr>
          <w:rStyle w:val="FootnoteReference"/>
        </w:rPr>
        <w:footnoteRef/>
      </w:r>
      <w:r>
        <w:t xml:space="preserve"> Miles, p. 321. </w:t>
      </w:r>
    </w:p>
  </w:footnote>
  <w:footnote w:id="23">
    <w:p w14:paraId="151D7DFD" w14:textId="50ABB9C4" w:rsidR="006744D2" w:rsidRDefault="006744D2">
      <w:pPr>
        <w:pStyle w:val="FootnoteText"/>
      </w:pPr>
      <w:r>
        <w:rPr>
          <w:rStyle w:val="FootnoteReference"/>
        </w:rPr>
        <w:footnoteRef/>
      </w:r>
      <w:r>
        <w:t xml:space="preserve"> Caroline Walker Bynum, ‘Death and Resurrection, p. 595. </w:t>
      </w:r>
    </w:p>
  </w:footnote>
  <w:footnote w:id="24">
    <w:p w14:paraId="48039157" w14:textId="48DBE0FE" w:rsidR="006744D2" w:rsidRDefault="006744D2">
      <w:pPr>
        <w:pStyle w:val="FootnoteText"/>
      </w:pPr>
      <w:r>
        <w:rPr>
          <w:rStyle w:val="FootnoteReference"/>
        </w:rPr>
        <w:footnoteRef/>
      </w:r>
      <w:r>
        <w:t xml:space="preserve"> Francois </w:t>
      </w:r>
      <w:proofErr w:type="spellStart"/>
      <w:r>
        <w:t>Bovon</w:t>
      </w:r>
      <w:proofErr w:type="spellEnd"/>
      <w:r>
        <w:t xml:space="preserve">, ‘The Soul’s Comeback’, p. 389. </w:t>
      </w:r>
    </w:p>
  </w:footnote>
  <w:footnote w:id="25">
    <w:p w14:paraId="3E9C4E54" w14:textId="22A18DCB" w:rsidR="006744D2" w:rsidRDefault="006744D2">
      <w:pPr>
        <w:pStyle w:val="FootnoteText"/>
      </w:pPr>
      <w:r>
        <w:rPr>
          <w:rStyle w:val="FootnoteReference"/>
        </w:rPr>
        <w:footnoteRef/>
      </w:r>
      <w:r>
        <w:t xml:space="preserve"> Ibid, p. 392. </w:t>
      </w:r>
    </w:p>
  </w:footnote>
  <w:footnote w:id="26">
    <w:p w14:paraId="21AB696B" w14:textId="3097490B" w:rsidR="006744D2" w:rsidRDefault="006744D2">
      <w:pPr>
        <w:pStyle w:val="FootnoteText"/>
      </w:pPr>
      <w:r>
        <w:rPr>
          <w:rStyle w:val="FootnoteReference"/>
        </w:rPr>
        <w:footnoteRef/>
      </w:r>
      <w:r>
        <w:t xml:space="preserve"> Miles, p. 315. </w:t>
      </w:r>
    </w:p>
  </w:footnote>
  <w:footnote w:id="27">
    <w:p w14:paraId="7D164A2F" w14:textId="7D25FE9B" w:rsidR="006744D2" w:rsidRDefault="006744D2">
      <w:pPr>
        <w:pStyle w:val="FootnoteText"/>
      </w:pPr>
      <w:r>
        <w:rPr>
          <w:rStyle w:val="FootnoteReference"/>
        </w:rPr>
        <w:footnoteRef/>
      </w:r>
      <w:r>
        <w:t xml:space="preserve"> Ibid, p. 321. </w:t>
      </w:r>
    </w:p>
  </w:footnote>
  <w:footnote w:id="28">
    <w:p w14:paraId="3D44FDC1" w14:textId="0E199057" w:rsidR="006744D2" w:rsidRDefault="006744D2">
      <w:pPr>
        <w:pStyle w:val="FootnoteText"/>
      </w:pPr>
      <w:r>
        <w:rPr>
          <w:rStyle w:val="FootnoteReference"/>
        </w:rPr>
        <w:footnoteRef/>
      </w:r>
      <w:r>
        <w:t xml:space="preserve"> Ibid, p. 318.</w:t>
      </w:r>
    </w:p>
  </w:footnote>
  <w:footnote w:id="29">
    <w:p w14:paraId="5F4B19DF" w14:textId="6709D18D" w:rsidR="006744D2" w:rsidRPr="004C68A8" w:rsidRDefault="006744D2">
      <w:pPr>
        <w:pStyle w:val="FootnoteText"/>
      </w:pPr>
      <w:r>
        <w:rPr>
          <w:rStyle w:val="FootnoteReference"/>
        </w:rPr>
        <w:footnoteRef/>
      </w:r>
      <w:r>
        <w:t xml:space="preserve"> Sarah J. Briggs, </w:t>
      </w:r>
      <w:r>
        <w:rPr>
          <w:i/>
          <w:iCs/>
        </w:rPr>
        <w:t xml:space="preserve">The Three Living and the Three Dead, </w:t>
      </w:r>
      <w:r>
        <w:t xml:space="preserve">2014, </w:t>
      </w:r>
      <w:hyperlink r:id="rId3" w:history="1">
        <w:r w:rsidRPr="003F6A10">
          <w:rPr>
            <w:rStyle w:val="Hyperlink"/>
          </w:rPr>
          <w:t>https://blogs.bl.uk/digitisedmanuscripts/2014/01/the-three-living-and-the-three-dead.html</w:t>
        </w:r>
      </w:hyperlink>
      <w:r>
        <w:t xml:space="preserve"> [Accessed 7</w:t>
      </w:r>
      <w:r w:rsidRPr="004C68A8">
        <w:rPr>
          <w:vertAlign w:val="superscript"/>
        </w:rPr>
        <w:t>th</w:t>
      </w:r>
      <w:r>
        <w:t xml:space="preserve"> December 2019]. </w:t>
      </w:r>
    </w:p>
  </w:footnote>
  <w:footnote w:id="30">
    <w:p w14:paraId="28912B9E" w14:textId="421E9179" w:rsidR="006744D2" w:rsidRDefault="006744D2">
      <w:pPr>
        <w:pStyle w:val="FootnoteText"/>
      </w:pPr>
      <w:r>
        <w:rPr>
          <w:rStyle w:val="FootnoteReference"/>
        </w:rPr>
        <w:footnoteRef/>
      </w:r>
      <w:r>
        <w:t xml:space="preserve"> Sarah J. Briggs, 2014.</w:t>
      </w:r>
    </w:p>
  </w:footnote>
  <w:footnote w:id="31">
    <w:p w14:paraId="0D8A43DE" w14:textId="6381F988" w:rsidR="00296889" w:rsidRPr="00296889" w:rsidRDefault="00296889">
      <w:pPr>
        <w:pStyle w:val="FootnoteText"/>
      </w:pPr>
      <w:r>
        <w:rPr>
          <w:rStyle w:val="FootnoteReference"/>
        </w:rPr>
        <w:footnoteRef/>
      </w:r>
      <w:r>
        <w:t xml:space="preserve"> A. Kinch, ‘Image, Ideology, and Form: The Middle English “Three Dead Kings” in its Iconographic Context”, </w:t>
      </w:r>
      <w:r>
        <w:rPr>
          <w:i/>
          <w:iCs/>
        </w:rPr>
        <w:t>The Chaucer Review</w:t>
      </w:r>
      <w:r>
        <w:t>, 43(1) (2008), 48-81 (p. 51).</w:t>
      </w:r>
    </w:p>
  </w:footnote>
  <w:footnote w:id="32">
    <w:p w14:paraId="4BF25228" w14:textId="54B21746" w:rsidR="005653B0" w:rsidRDefault="005653B0">
      <w:pPr>
        <w:pStyle w:val="FootnoteText"/>
      </w:pPr>
      <w:r>
        <w:rPr>
          <w:rStyle w:val="FootnoteReference"/>
        </w:rPr>
        <w:footnoteRef/>
      </w:r>
      <w:r>
        <w:t xml:space="preserve"> Sarah J. Briggs, 2014. </w:t>
      </w:r>
    </w:p>
  </w:footnote>
  <w:footnote w:id="33">
    <w:p w14:paraId="0D2EBEF0" w14:textId="3E7EA7FF" w:rsidR="00F147D1" w:rsidRDefault="00F147D1">
      <w:pPr>
        <w:pStyle w:val="FootnoteText"/>
      </w:pPr>
      <w:r>
        <w:rPr>
          <w:rStyle w:val="FootnoteReference"/>
        </w:rPr>
        <w:footnoteRef/>
      </w:r>
      <w:r>
        <w:t xml:space="preserve"> A. Kinch, ‘Image, Ideology, and Form’, p. 55. </w:t>
      </w:r>
    </w:p>
  </w:footnote>
  <w:footnote w:id="34">
    <w:p w14:paraId="4E103CC0" w14:textId="51401A37" w:rsidR="004A3B68" w:rsidRDefault="004A3B68">
      <w:pPr>
        <w:pStyle w:val="FootnoteText"/>
      </w:pPr>
      <w:r>
        <w:rPr>
          <w:rStyle w:val="FootnoteReference"/>
        </w:rPr>
        <w:footnoteRef/>
      </w:r>
      <w:r>
        <w:t xml:space="preserve"> Ibid, p. 59.</w:t>
      </w:r>
    </w:p>
  </w:footnote>
  <w:footnote w:id="35">
    <w:p w14:paraId="4F5AAE8B" w14:textId="415D1ABB" w:rsidR="000A5AAC" w:rsidRDefault="000A5AAC">
      <w:pPr>
        <w:pStyle w:val="FootnoteText"/>
      </w:pPr>
      <w:r>
        <w:rPr>
          <w:rStyle w:val="FootnoteReference"/>
        </w:rPr>
        <w:footnoteRef/>
      </w:r>
      <w:r>
        <w:t xml:space="preserve"> Ibid. </w:t>
      </w:r>
    </w:p>
  </w:footnote>
  <w:footnote w:id="36">
    <w:p w14:paraId="07860436" w14:textId="0AB4D9A6" w:rsidR="00407322" w:rsidRDefault="00407322">
      <w:pPr>
        <w:pStyle w:val="FootnoteText"/>
      </w:pPr>
      <w:r>
        <w:rPr>
          <w:rStyle w:val="FootnoteReference"/>
        </w:rPr>
        <w:footnoteRef/>
      </w:r>
      <w:r>
        <w:t xml:space="preserve"> Ibid, p. 52. </w:t>
      </w:r>
    </w:p>
  </w:footnote>
  <w:footnote w:id="37">
    <w:p w14:paraId="31813025" w14:textId="04056291" w:rsidR="00795FD0" w:rsidRDefault="00795FD0">
      <w:pPr>
        <w:pStyle w:val="FootnoteText"/>
      </w:pPr>
      <w:r>
        <w:rPr>
          <w:rStyle w:val="FootnoteReference"/>
        </w:rPr>
        <w:footnoteRef/>
      </w:r>
      <w:r>
        <w:t xml:space="preserve"> Sarah J. Briggs, 2014.</w:t>
      </w:r>
    </w:p>
  </w:footnote>
  <w:footnote w:id="38">
    <w:p w14:paraId="29E90F13" w14:textId="2313A480" w:rsidR="004E7E99" w:rsidRPr="00F92EFD" w:rsidRDefault="004E7E99">
      <w:pPr>
        <w:pStyle w:val="FootnoteText"/>
      </w:pPr>
      <w:r>
        <w:rPr>
          <w:rStyle w:val="FootnoteReference"/>
        </w:rPr>
        <w:footnoteRef/>
      </w:r>
      <w:r>
        <w:t xml:space="preserve"> </w:t>
      </w:r>
      <w:r w:rsidR="00F92EFD">
        <w:t xml:space="preserve">J. Casey, </w:t>
      </w:r>
      <w:r w:rsidR="00F92EFD">
        <w:rPr>
          <w:i/>
          <w:iCs/>
        </w:rPr>
        <w:t xml:space="preserve">Afterlives: A Guide to Heaven, Hell and Purgatory </w:t>
      </w:r>
      <w:r w:rsidR="00F92EFD">
        <w:t>(Oxford: Oxford University Press, 2009), Chapter 9 – ‘Rome’s Happiest Inspiration?’.</w:t>
      </w:r>
    </w:p>
  </w:footnote>
  <w:footnote w:id="39">
    <w:p w14:paraId="2DA6FE1A" w14:textId="5D1759BB" w:rsidR="00B23A14" w:rsidRPr="001C6EFD" w:rsidRDefault="00B23A14">
      <w:pPr>
        <w:pStyle w:val="FootnoteText"/>
      </w:pPr>
      <w:r>
        <w:rPr>
          <w:rStyle w:val="FootnoteReference"/>
        </w:rPr>
        <w:footnoteRef/>
      </w:r>
      <w:r>
        <w:t xml:space="preserve"> </w:t>
      </w:r>
      <w:r w:rsidR="001C6EFD">
        <w:t xml:space="preserve">J. Casey, </w:t>
      </w:r>
      <w:r w:rsidR="001C6EFD">
        <w:rPr>
          <w:i/>
          <w:iCs/>
        </w:rPr>
        <w:t>Afterlives: A Guide</w:t>
      </w:r>
      <w:r w:rsidR="001C6EFD">
        <w:t xml:space="preserve">. </w:t>
      </w:r>
    </w:p>
  </w:footnote>
  <w:footnote w:id="40">
    <w:p w14:paraId="4B135FB1" w14:textId="7257D916" w:rsidR="0085608B" w:rsidRPr="008E043A" w:rsidRDefault="0085608B">
      <w:pPr>
        <w:pStyle w:val="FootnoteText"/>
      </w:pPr>
      <w:r>
        <w:rPr>
          <w:rStyle w:val="FootnoteReference"/>
        </w:rPr>
        <w:footnoteRef/>
      </w:r>
      <w:r>
        <w:t xml:space="preserve"> </w:t>
      </w:r>
      <w:proofErr w:type="spellStart"/>
      <w:r w:rsidR="008E043A">
        <w:t>Peny</w:t>
      </w:r>
      <w:proofErr w:type="spellEnd"/>
      <w:r w:rsidR="008E043A">
        <w:t xml:space="preserve"> J. Cole, ‘Purgatory and Crusade in St Gregory’s </w:t>
      </w:r>
      <w:proofErr w:type="spellStart"/>
      <w:r w:rsidR="008E043A">
        <w:t>Trental</w:t>
      </w:r>
      <w:proofErr w:type="spellEnd"/>
      <w:r w:rsidR="008E043A">
        <w:t xml:space="preserve">’, </w:t>
      </w:r>
      <w:r w:rsidR="008E043A">
        <w:rPr>
          <w:i/>
          <w:iCs/>
        </w:rPr>
        <w:t>The International History Review</w:t>
      </w:r>
      <w:r w:rsidR="008E043A">
        <w:t>, 17(4) (1995), 713-725 (p. 714).</w:t>
      </w:r>
    </w:p>
  </w:footnote>
  <w:footnote w:id="41">
    <w:p w14:paraId="6618B54C" w14:textId="2FBD58FC" w:rsidR="009B597F" w:rsidRDefault="009B597F">
      <w:pPr>
        <w:pStyle w:val="FootnoteText"/>
      </w:pPr>
      <w:r>
        <w:rPr>
          <w:rStyle w:val="FootnoteReference"/>
        </w:rPr>
        <w:footnoteRef/>
      </w:r>
      <w:r>
        <w:t xml:space="preserve"> Penny J. Cole, ‘Purgatory and Crusade’, p. 717. </w:t>
      </w:r>
    </w:p>
  </w:footnote>
  <w:footnote w:id="42">
    <w:p w14:paraId="37C101D5" w14:textId="54562878" w:rsidR="00764F1E" w:rsidRPr="00764F1E" w:rsidRDefault="00764F1E">
      <w:pPr>
        <w:pStyle w:val="FootnoteText"/>
      </w:pPr>
      <w:r>
        <w:rPr>
          <w:rStyle w:val="FootnoteReference"/>
        </w:rPr>
        <w:footnoteRef/>
      </w:r>
      <w:r>
        <w:t xml:space="preserve"> J. Casey, </w:t>
      </w:r>
      <w:r>
        <w:rPr>
          <w:i/>
          <w:iCs/>
        </w:rPr>
        <w:t xml:space="preserve">Afterlives: A Guide. </w:t>
      </w:r>
    </w:p>
  </w:footnote>
  <w:footnote w:id="43">
    <w:p w14:paraId="0ED69295" w14:textId="3EEB07DB" w:rsidR="00BE6093" w:rsidRPr="00BE6093" w:rsidRDefault="00BE6093">
      <w:pPr>
        <w:pStyle w:val="FootnoteText"/>
      </w:pPr>
      <w:r>
        <w:rPr>
          <w:rStyle w:val="FootnoteReference"/>
        </w:rPr>
        <w:footnoteRef/>
      </w:r>
      <w:r>
        <w:t xml:space="preserve"> J. Casey, </w:t>
      </w:r>
      <w:r>
        <w:rPr>
          <w:i/>
          <w:iCs/>
        </w:rPr>
        <w:t xml:space="preserve">Afterlives: A Guide. </w:t>
      </w:r>
    </w:p>
  </w:footnote>
  <w:footnote w:id="44">
    <w:p w14:paraId="1B7E306A" w14:textId="480D4CAB" w:rsidR="00AB5A3A" w:rsidRDefault="00AB5A3A">
      <w:pPr>
        <w:pStyle w:val="FootnoteText"/>
      </w:pPr>
      <w:r>
        <w:rPr>
          <w:rStyle w:val="FootnoteReference"/>
        </w:rPr>
        <w:footnoteRef/>
      </w:r>
      <w:r>
        <w:t xml:space="preserve"> Ibid. </w:t>
      </w:r>
    </w:p>
  </w:footnote>
  <w:footnote w:id="45">
    <w:p w14:paraId="6D7A5324" w14:textId="27B5CBFE" w:rsidR="00116286" w:rsidRPr="00116286" w:rsidRDefault="00116286">
      <w:pPr>
        <w:pStyle w:val="FootnoteText"/>
      </w:pPr>
      <w:r>
        <w:rPr>
          <w:rStyle w:val="FootnoteReference"/>
        </w:rPr>
        <w:footnoteRef/>
      </w:r>
      <w:r>
        <w:t xml:space="preserve"> C. S. Watkins, ‘Sin, Penance and Purgatory in the Anglo-Norman Realm: The Evidence of Visions and Ghost Stories’, </w:t>
      </w:r>
      <w:r>
        <w:rPr>
          <w:i/>
          <w:iCs/>
        </w:rPr>
        <w:t>Past &amp; Present</w:t>
      </w:r>
      <w:r>
        <w:t xml:space="preserve">, 175 (2002), 3-33 (p. 22). </w:t>
      </w:r>
    </w:p>
  </w:footnote>
  <w:footnote w:id="46">
    <w:p w14:paraId="6808178F" w14:textId="5B27D826" w:rsidR="00116286" w:rsidRDefault="00116286">
      <w:pPr>
        <w:pStyle w:val="FootnoteText"/>
      </w:pPr>
      <w:r>
        <w:rPr>
          <w:rStyle w:val="FootnoteReference"/>
        </w:rPr>
        <w:footnoteRef/>
      </w:r>
      <w:r>
        <w:t xml:space="preserve"> C. S. Watkins, ‘Sin, Penance and’</w:t>
      </w:r>
      <w:r w:rsidR="00A77D66">
        <w:t xml:space="preserve">, p. 24. </w:t>
      </w:r>
    </w:p>
  </w:footnote>
  <w:footnote w:id="47">
    <w:p w14:paraId="7A9333CF" w14:textId="5E2590B8" w:rsidR="00A736E8" w:rsidRPr="00A736E8" w:rsidRDefault="00A736E8">
      <w:pPr>
        <w:pStyle w:val="FootnoteText"/>
      </w:pPr>
      <w:r>
        <w:rPr>
          <w:rStyle w:val="FootnoteReference"/>
        </w:rPr>
        <w:footnoteRef/>
      </w:r>
      <w:r>
        <w:t xml:space="preserve"> J. Casey, </w:t>
      </w:r>
      <w:r>
        <w:rPr>
          <w:i/>
          <w:iCs/>
        </w:rPr>
        <w:t xml:space="preserve">Afterlives: A Guide. </w:t>
      </w:r>
    </w:p>
  </w:footnote>
  <w:footnote w:id="48">
    <w:p w14:paraId="6F9768C7" w14:textId="3553D885" w:rsidR="002668F3" w:rsidRDefault="002668F3">
      <w:pPr>
        <w:pStyle w:val="FootnoteText"/>
      </w:pPr>
      <w:r>
        <w:rPr>
          <w:rStyle w:val="FootnoteReference"/>
        </w:rPr>
        <w:footnoteRef/>
      </w:r>
      <w:r>
        <w:t xml:space="preserve"> Ibid. </w:t>
      </w:r>
    </w:p>
  </w:footnote>
  <w:footnote w:id="49">
    <w:p w14:paraId="219C48AE" w14:textId="15DC59DE" w:rsidR="00CC49F9" w:rsidRDefault="00CC49F9">
      <w:pPr>
        <w:pStyle w:val="FootnoteText"/>
      </w:pPr>
      <w:r>
        <w:rPr>
          <w:rStyle w:val="FootnoteReference"/>
        </w:rPr>
        <w:footnoteRef/>
      </w:r>
      <w:r>
        <w:t xml:space="preserve"> Ibid. </w:t>
      </w:r>
    </w:p>
  </w:footnote>
  <w:footnote w:id="50">
    <w:p w14:paraId="0AD64A7F" w14:textId="3D64844E" w:rsidR="00D555E9" w:rsidRDefault="00D555E9">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F0EAB"/>
    <w:multiLevelType w:val="hybridMultilevel"/>
    <w:tmpl w:val="D2023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AA"/>
    <w:rsid w:val="0003489C"/>
    <w:rsid w:val="0005337D"/>
    <w:rsid w:val="000A5AAC"/>
    <w:rsid w:val="000D6F63"/>
    <w:rsid w:val="00102B77"/>
    <w:rsid w:val="00112E65"/>
    <w:rsid w:val="00116286"/>
    <w:rsid w:val="00133B3D"/>
    <w:rsid w:val="00155C8E"/>
    <w:rsid w:val="001B459C"/>
    <w:rsid w:val="001C6EFD"/>
    <w:rsid w:val="001E035D"/>
    <w:rsid w:val="002128C8"/>
    <w:rsid w:val="00252B62"/>
    <w:rsid w:val="002638E7"/>
    <w:rsid w:val="002668F3"/>
    <w:rsid w:val="00296889"/>
    <w:rsid w:val="002B35EC"/>
    <w:rsid w:val="002F67AF"/>
    <w:rsid w:val="00307C0D"/>
    <w:rsid w:val="00407322"/>
    <w:rsid w:val="004414A1"/>
    <w:rsid w:val="0044247D"/>
    <w:rsid w:val="004A20C8"/>
    <w:rsid w:val="004A3B68"/>
    <w:rsid w:val="004C68A8"/>
    <w:rsid w:val="004E24B9"/>
    <w:rsid w:val="004E7E99"/>
    <w:rsid w:val="0051511D"/>
    <w:rsid w:val="00542C79"/>
    <w:rsid w:val="00554189"/>
    <w:rsid w:val="005653B0"/>
    <w:rsid w:val="005E5E97"/>
    <w:rsid w:val="0062462D"/>
    <w:rsid w:val="00633F73"/>
    <w:rsid w:val="00655BC1"/>
    <w:rsid w:val="006744D2"/>
    <w:rsid w:val="00717D24"/>
    <w:rsid w:val="00722FD4"/>
    <w:rsid w:val="007332C9"/>
    <w:rsid w:val="00764F1E"/>
    <w:rsid w:val="00795FD0"/>
    <w:rsid w:val="007B36DC"/>
    <w:rsid w:val="007B7BD4"/>
    <w:rsid w:val="007E26E0"/>
    <w:rsid w:val="007E788E"/>
    <w:rsid w:val="00837049"/>
    <w:rsid w:val="0085608B"/>
    <w:rsid w:val="00864289"/>
    <w:rsid w:val="008C4CC8"/>
    <w:rsid w:val="008E043A"/>
    <w:rsid w:val="00911F7C"/>
    <w:rsid w:val="00946EAE"/>
    <w:rsid w:val="009B597F"/>
    <w:rsid w:val="009D3C42"/>
    <w:rsid w:val="009F57F2"/>
    <w:rsid w:val="00A0797C"/>
    <w:rsid w:val="00A15511"/>
    <w:rsid w:val="00A2785E"/>
    <w:rsid w:val="00A736E8"/>
    <w:rsid w:val="00A77D66"/>
    <w:rsid w:val="00AB5A3A"/>
    <w:rsid w:val="00AC31F0"/>
    <w:rsid w:val="00AD7CCA"/>
    <w:rsid w:val="00B11910"/>
    <w:rsid w:val="00B23A14"/>
    <w:rsid w:val="00B53976"/>
    <w:rsid w:val="00B5581D"/>
    <w:rsid w:val="00B57DD7"/>
    <w:rsid w:val="00B9593E"/>
    <w:rsid w:val="00B9788B"/>
    <w:rsid w:val="00BE6093"/>
    <w:rsid w:val="00BF4258"/>
    <w:rsid w:val="00C50CFE"/>
    <w:rsid w:val="00C80DAC"/>
    <w:rsid w:val="00CC49F9"/>
    <w:rsid w:val="00CD4578"/>
    <w:rsid w:val="00CF1419"/>
    <w:rsid w:val="00D452E7"/>
    <w:rsid w:val="00D555E9"/>
    <w:rsid w:val="00DA29AF"/>
    <w:rsid w:val="00E81B98"/>
    <w:rsid w:val="00E907E2"/>
    <w:rsid w:val="00EA2B73"/>
    <w:rsid w:val="00EF24A3"/>
    <w:rsid w:val="00F147D1"/>
    <w:rsid w:val="00F31FFE"/>
    <w:rsid w:val="00F92EFD"/>
    <w:rsid w:val="00FA674F"/>
    <w:rsid w:val="00FB3BAA"/>
    <w:rsid w:val="00FC2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51537"/>
  <w15:chartTrackingRefBased/>
  <w15:docId w15:val="{706674BE-0203-4F0B-BCD9-FF8CD3694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C31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31F0"/>
    <w:rPr>
      <w:sz w:val="20"/>
      <w:szCs w:val="20"/>
    </w:rPr>
  </w:style>
  <w:style w:type="character" w:styleId="FootnoteReference">
    <w:name w:val="footnote reference"/>
    <w:basedOn w:val="DefaultParagraphFont"/>
    <w:uiPriority w:val="99"/>
    <w:semiHidden/>
    <w:unhideWhenUsed/>
    <w:rsid w:val="00AC31F0"/>
    <w:rPr>
      <w:vertAlign w:val="superscript"/>
    </w:rPr>
  </w:style>
  <w:style w:type="paragraph" w:styleId="ListParagraph">
    <w:name w:val="List Paragraph"/>
    <w:basedOn w:val="Normal"/>
    <w:uiPriority w:val="34"/>
    <w:qFormat/>
    <w:rsid w:val="00112E65"/>
    <w:pPr>
      <w:ind w:left="720"/>
      <w:contextualSpacing/>
    </w:pPr>
  </w:style>
  <w:style w:type="character" w:styleId="Hyperlink">
    <w:name w:val="Hyperlink"/>
    <w:basedOn w:val="DefaultParagraphFont"/>
    <w:uiPriority w:val="99"/>
    <w:unhideWhenUsed/>
    <w:rsid w:val="002638E7"/>
    <w:rPr>
      <w:color w:val="0563C1" w:themeColor="hyperlink"/>
      <w:u w:val="single"/>
    </w:rPr>
  </w:style>
  <w:style w:type="character" w:styleId="UnresolvedMention">
    <w:name w:val="Unresolved Mention"/>
    <w:basedOn w:val="DefaultParagraphFont"/>
    <w:uiPriority w:val="99"/>
    <w:semiHidden/>
    <w:unhideWhenUsed/>
    <w:rsid w:val="00263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opic/resurrection-religion" TargetMode="External"/><Relationship Id="rId3" Type="http://schemas.openxmlformats.org/officeDocument/2006/relationships/settings" Target="settings.xml"/><Relationship Id="rId7" Type="http://schemas.openxmlformats.org/officeDocument/2006/relationships/hyperlink" Target="https://blogs.bl.uk/digitisedmanuscripts/2014/01/the-three-living-and-the-three-dead.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tannica.com/topic/resurrection-religio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logs.bl.uk/digitisedmanuscripts/2014/01/the-three-living-and-the-three-dead.html" TargetMode="External"/><Relationship Id="rId2" Type="http://schemas.openxmlformats.org/officeDocument/2006/relationships/hyperlink" Target="https://www.britannica.com/topic/resurrection-religion" TargetMode="External"/><Relationship Id="rId1" Type="http://schemas.openxmlformats.org/officeDocument/2006/relationships/hyperlink" Target="https://www.britannica.com/topic/resurrection-relig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17854</TotalTime>
  <Pages>10</Pages>
  <Words>3543</Words>
  <Characters>20200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46</cp:revision>
  <dcterms:created xsi:type="dcterms:W3CDTF">2019-11-19T11:48:00Z</dcterms:created>
  <dcterms:modified xsi:type="dcterms:W3CDTF">2019-12-19T22:37:00Z</dcterms:modified>
</cp:coreProperties>
</file>