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4F687E" w14:textId="77777777" w:rsidR="00C45F66" w:rsidRPr="000A2657" w:rsidRDefault="00C45F66">
      <w:pPr>
        <w:jc w:val="center"/>
        <w:rPr>
          <w:b/>
          <w:bCs/>
          <w:sz w:val="32"/>
          <w:szCs w:val="22"/>
          <w:lang w:val="en-IN"/>
        </w:rPr>
      </w:pPr>
    </w:p>
    <w:p w14:paraId="2A688556" w14:textId="77777777" w:rsidR="00C45F66" w:rsidRPr="000A2657" w:rsidRDefault="00C45F66">
      <w:pPr>
        <w:jc w:val="center"/>
        <w:rPr>
          <w:b/>
          <w:bCs/>
          <w:sz w:val="32"/>
          <w:szCs w:val="22"/>
          <w:lang w:val="en-IN"/>
        </w:rPr>
      </w:pPr>
    </w:p>
    <w:p w14:paraId="06D00CBC" w14:textId="77777777" w:rsidR="00C45F66" w:rsidRPr="000A2657" w:rsidRDefault="00C45F66">
      <w:pPr>
        <w:jc w:val="center"/>
        <w:rPr>
          <w:b/>
          <w:bCs/>
          <w:sz w:val="32"/>
          <w:szCs w:val="22"/>
          <w:lang w:val="en-IN"/>
        </w:rPr>
      </w:pPr>
    </w:p>
    <w:p w14:paraId="76854FA0" w14:textId="77777777" w:rsidR="00C45F66" w:rsidRPr="000A2657" w:rsidRDefault="00C45F66">
      <w:pPr>
        <w:jc w:val="center"/>
        <w:rPr>
          <w:b/>
          <w:bCs/>
          <w:sz w:val="32"/>
          <w:szCs w:val="22"/>
          <w:lang w:val="en-IN"/>
        </w:rPr>
      </w:pPr>
    </w:p>
    <w:p w14:paraId="734CAA54" w14:textId="77777777" w:rsidR="00C45F66" w:rsidRPr="000A2657" w:rsidRDefault="00C45F66">
      <w:pPr>
        <w:jc w:val="center"/>
        <w:rPr>
          <w:b/>
          <w:bCs/>
          <w:sz w:val="32"/>
          <w:szCs w:val="22"/>
          <w:lang w:val="en-IN"/>
        </w:rPr>
      </w:pPr>
    </w:p>
    <w:p w14:paraId="5F2F466F" w14:textId="77777777" w:rsidR="00C45F66" w:rsidRPr="000A2657" w:rsidRDefault="00C45F66">
      <w:pPr>
        <w:jc w:val="center"/>
        <w:rPr>
          <w:b/>
          <w:bCs/>
          <w:sz w:val="32"/>
          <w:szCs w:val="22"/>
          <w:lang w:val="en-IN"/>
        </w:rPr>
      </w:pPr>
    </w:p>
    <w:p w14:paraId="33ADFC26" w14:textId="77777777" w:rsidR="00C45F66" w:rsidRPr="000A2657" w:rsidRDefault="00C45F66">
      <w:pPr>
        <w:jc w:val="center"/>
        <w:rPr>
          <w:b/>
          <w:bCs/>
          <w:sz w:val="32"/>
          <w:szCs w:val="22"/>
          <w:lang w:val="en-IN"/>
        </w:rPr>
      </w:pPr>
    </w:p>
    <w:p w14:paraId="34AEFFE4" w14:textId="77777777" w:rsidR="00C45F66" w:rsidRPr="000A2657" w:rsidRDefault="00F149B8">
      <w:pPr>
        <w:jc w:val="center"/>
        <w:rPr>
          <w:b/>
          <w:bCs/>
          <w:sz w:val="32"/>
          <w:szCs w:val="22"/>
          <w:lang w:val="en-IN"/>
        </w:rPr>
      </w:pPr>
      <w:r w:rsidRPr="000A2657">
        <w:rPr>
          <w:b/>
          <w:bCs/>
          <w:sz w:val="32"/>
          <w:szCs w:val="22"/>
        </w:rPr>
        <w:t>Mo</w:t>
      </w:r>
      <w:r w:rsidRPr="000A2657">
        <w:rPr>
          <w:b/>
          <w:bCs/>
          <w:sz w:val="32"/>
          <w:szCs w:val="22"/>
          <w:lang w:val="en-GB"/>
        </w:rPr>
        <w:t xml:space="preserve">dule </w:t>
      </w:r>
      <w:proofErr w:type="gramStart"/>
      <w:r w:rsidRPr="000A2657">
        <w:rPr>
          <w:b/>
          <w:bCs/>
          <w:sz w:val="32"/>
          <w:szCs w:val="22"/>
          <w:lang w:val="en-GB"/>
        </w:rPr>
        <w:t>name :</w:t>
      </w:r>
      <w:proofErr w:type="gramEnd"/>
      <w:r w:rsidRPr="000A2657">
        <w:rPr>
          <w:b/>
          <w:bCs/>
          <w:sz w:val="32"/>
          <w:szCs w:val="22"/>
          <w:lang w:val="en-GB"/>
        </w:rPr>
        <w:t xml:space="preserve"> Health care system organisation and leadership </w:t>
      </w:r>
    </w:p>
    <w:p w14:paraId="389BAF9C" w14:textId="77777777" w:rsidR="00C45F66" w:rsidRPr="000A2657" w:rsidRDefault="00F149B8">
      <w:pPr>
        <w:jc w:val="center"/>
        <w:rPr>
          <w:b/>
          <w:bCs/>
          <w:sz w:val="32"/>
          <w:szCs w:val="22"/>
          <w:lang w:val="en-IN"/>
        </w:rPr>
      </w:pPr>
      <w:r w:rsidRPr="000A2657">
        <w:rPr>
          <w:b/>
          <w:bCs/>
          <w:sz w:val="32"/>
          <w:szCs w:val="22"/>
          <w:lang w:val="en-GB"/>
        </w:rPr>
        <w:t xml:space="preserve"> Module </w:t>
      </w:r>
      <w:proofErr w:type="gramStart"/>
      <w:r w:rsidRPr="000A2657">
        <w:rPr>
          <w:b/>
          <w:bCs/>
          <w:sz w:val="32"/>
          <w:szCs w:val="22"/>
          <w:lang w:val="en-GB"/>
        </w:rPr>
        <w:t>code:LCHS</w:t>
      </w:r>
      <w:proofErr w:type="gramEnd"/>
      <w:r w:rsidRPr="000A2657">
        <w:rPr>
          <w:b/>
          <w:bCs/>
          <w:sz w:val="32"/>
          <w:szCs w:val="22"/>
          <w:lang w:val="en-GB"/>
        </w:rPr>
        <w:t>7002</w:t>
      </w:r>
    </w:p>
    <w:p w14:paraId="47ACCF16" w14:textId="77777777" w:rsidR="00C45F66" w:rsidRPr="000A2657" w:rsidRDefault="00C45F66">
      <w:pPr>
        <w:jc w:val="center"/>
        <w:rPr>
          <w:b/>
          <w:bCs/>
          <w:sz w:val="32"/>
          <w:szCs w:val="22"/>
          <w:lang w:val="en-IN"/>
        </w:rPr>
      </w:pPr>
    </w:p>
    <w:p w14:paraId="4B91498C" w14:textId="77777777" w:rsidR="00C45F66" w:rsidRPr="000A2657" w:rsidRDefault="00F149B8">
      <w:pPr>
        <w:jc w:val="center"/>
        <w:rPr>
          <w:b/>
          <w:bCs/>
          <w:sz w:val="32"/>
          <w:szCs w:val="22"/>
          <w:lang w:val="en-IN"/>
        </w:rPr>
      </w:pPr>
      <w:r w:rsidRPr="000A2657">
        <w:rPr>
          <w:b/>
          <w:bCs/>
          <w:sz w:val="32"/>
          <w:szCs w:val="22"/>
          <w:lang w:val="en-GB"/>
        </w:rPr>
        <w:t>Assignment title</w:t>
      </w:r>
      <w:r w:rsidRPr="000A2657">
        <w:rPr>
          <w:b/>
          <w:bCs/>
          <w:sz w:val="32"/>
          <w:szCs w:val="22"/>
        </w:rPr>
        <w:t>: Case Study Analysis Report - Comparative report on COVID-19 leadership Responses</w:t>
      </w:r>
    </w:p>
    <w:p w14:paraId="1FBF4F6F" w14:textId="77777777" w:rsidR="00C45F66" w:rsidRPr="000A2657" w:rsidRDefault="00C45F66">
      <w:pPr>
        <w:jc w:val="center"/>
        <w:rPr>
          <w:b/>
          <w:bCs/>
          <w:sz w:val="32"/>
          <w:szCs w:val="22"/>
          <w:lang w:val="en-IN"/>
        </w:rPr>
      </w:pPr>
    </w:p>
    <w:p w14:paraId="09572B6C" w14:textId="77777777" w:rsidR="00C45F66" w:rsidRPr="000A2657" w:rsidRDefault="00F149B8">
      <w:pPr>
        <w:jc w:val="center"/>
        <w:rPr>
          <w:b/>
          <w:bCs/>
          <w:sz w:val="32"/>
          <w:szCs w:val="22"/>
          <w:lang w:val="en-IN"/>
        </w:rPr>
      </w:pPr>
      <w:r w:rsidRPr="000A2657">
        <w:rPr>
          <w:b/>
          <w:bCs/>
          <w:sz w:val="32"/>
          <w:szCs w:val="22"/>
        </w:rPr>
        <w:t xml:space="preserve">Student </w:t>
      </w:r>
      <w:proofErr w:type="gramStart"/>
      <w:r w:rsidRPr="000A2657">
        <w:rPr>
          <w:b/>
          <w:bCs/>
          <w:sz w:val="32"/>
          <w:szCs w:val="22"/>
          <w:lang w:val="en-GB"/>
        </w:rPr>
        <w:t>Name :</w:t>
      </w:r>
      <w:proofErr w:type="gramEnd"/>
      <w:r w:rsidRPr="000A2657">
        <w:rPr>
          <w:b/>
          <w:bCs/>
          <w:sz w:val="32"/>
          <w:szCs w:val="22"/>
          <w:lang w:val="en-GB"/>
        </w:rPr>
        <w:t xml:space="preserve"> Neha Mahendrabhai Makwana </w:t>
      </w:r>
    </w:p>
    <w:p w14:paraId="70297665" w14:textId="77777777" w:rsidR="00C45F66" w:rsidRPr="000A2657" w:rsidRDefault="00F149B8">
      <w:pPr>
        <w:jc w:val="center"/>
        <w:rPr>
          <w:b/>
          <w:bCs/>
          <w:sz w:val="32"/>
          <w:szCs w:val="22"/>
          <w:lang w:val="en-IN"/>
        </w:rPr>
      </w:pPr>
      <w:r w:rsidRPr="000A2657">
        <w:rPr>
          <w:b/>
          <w:bCs/>
          <w:sz w:val="32"/>
          <w:szCs w:val="22"/>
          <w:lang w:val="en-GB"/>
        </w:rPr>
        <w:t xml:space="preserve">Student </w:t>
      </w:r>
      <w:r w:rsidRPr="000A2657">
        <w:rPr>
          <w:b/>
          <w:bCs/>
          <w:sz w:val="32"/>
          <w:szCs w:val="22"/>
        </w:rPr>
        <w:t>ID</w:t>
      </w:r>
      <w:r w:rsidRPr="000A2657">
        <w:rPr>
          <w:b/>
          <w:bCs/>
          <w:sz w:val="32"/>
          <w:szCs w:val="22"/>
          <w:lang w:val="en-GB"/>
        </w:rPr>
        <w:t xml:space="preserve">: </w:t>
      </w:r>
      <w:r w:rsidRPr="000A2657">
        <w:rPr>
          <w:b/>
          <w:bCs/>
          <w:sz w:val="32"/>
          <w:szCs w:val="22"/>
          <w:lang w:val="en-GB"/>
        </w:rPr>
        <w:t>2436892</w:t>
      </w:r>
    </w:p>
    <w:p w14:paraId="01AFE852" w14:textId="77777777" w:rsidR="00C45F66" w:rsidRPr="000A2657" w:rsidRDefault="00F149B8">
      <w:pPr>
        <w:jc w:val="center"/>
        <w:rPr>
          <w:b/>
          <w:bCs/>
          <w:sz w:val="32"/>
          <w:szCs w:val="22"/>
          <w:lang w:val="en-IN"/>
        </w:rPr>
      </w:pPr>
      <w:r w:rsidRPr="000A2657">
        <w:rPr>
          <w:b/>
          <w:bCs/>
          <w:sz w:val="32"/>
          <w:szCs w:val="22"/>
          <w:lang w:val="en-GB"/>
        </w:rPr>
        <w:t>Lecturer name: Shepherd Ziko</w:t>
      </w:r>
    </w:p>
    <w:p w14:paraId="54704D5B" w14:textId="77777777" w:rsidR="00C45F66" w:rsidRPr="000A2657" w:rsidRDefault="00F149B8">
      <w:pPr>
        <w:rPr>
          <w:b/>
          <w:bCs/>
          <w:sz w:val="32"/>
          <w:szCs w:val="22"/>
          <w:lang w:val="en-IN"/>
        </w:rPr>
      </w:pPr>
      <w:r w:rsidRPr="000A2657">
        <w:rPr>
          <w:b/>
          <w:bCs/>
          <w:sz w:val="32"/>
          <w:szCs w:val="22"/>
          <w:lang w:val="en-IN"/>
        </w:rPr>
        <w:br w:type="page"/>
      </w:r>
    </w:p>
    <w:p w14:paraId="73548568" w14:textId="77777777" w:rsidR="00C45F66" w:rsidRPr="000A2657" w:rsidRDefault="00F149B8">
      <w:pPr>
        <w:jc w:val="center"/>
        <w:rPr>
          <w:b/>
          <w:bCs/>
          <w:sz w:val="32"/>
          <w:szCs w:val="22"/>
          <w:lang w:val="en-IN"/>
        </w:rPr>
      </w:pPr>
      <w:r w:rsidRPr="000A2657">
        <w:rPr>
          <w:b/>
          <w:bCs/>
          <w:sz w:val="32"/>
          <w:szCs w:val="22"/>
          <w:lang w:val="en-IN"/>
        </w:rPr>
        <w:lastRenderedPageBreak/>
        <w:t>Executive Summary</w:t>
      </w:r>
    </w:p>
    <w:p w14:paraId="0C8EE676" w14:textId="77777777" w:rsidR="00C45F66" w:rsidRPr="000A2657" w:rsidRDefault="00F149B8">
      <w:pPr>
        <w:rPr>
          <w:lang w:val="en-IN"/>
        </w:rPr>
      </w:pPr>
      <w:r w:rsidRPr="000A2657">
        <w:rPr>
          <w:lang w:val="en-IN"/>
        </w:rPr>
        <w:t xml:space="preserve">This report has explored the responses of the Spanish, South Korean, and Canadian countries to the COVID-19 pandemic through the analysis of health systems and the leadership strategies. The decentralised SNS in Spain provided flexibility (with a combination of functional and situational leadership theory) in the actions of regions but with disproportional results because of the lack of coordination, but following the leadership of the country, the successful outcomes in the vaccination efforts were noted. </w:t>
      </w:r>
      <w:r w:rsidRPr="000A2657">
        <w:rPr>
          <w:lang w:val="en-IN"/>
        </w:rPr>
        <w:t>The system in South Korea was centralised, technologically orientated, allowing the country to test, trace, and treat within the country in a short period of time, which was facilitated by Relationship Leadership Theory that the people trusted. The federated structure in Canada was based on collaboration between the federal and provincial government, which had different responses, delayed early vaccination, and capacity, but eventually high coverage under the Relationship Leadership Theory and Five-Level Le</w:t>
      </w:r>
      <w:r w:rsidRPr="000A2657">
        <w:rPr>
          <w:lang w:val="en-IN"/>
        </w:rPr>
        <w:t>adership Model. Generally, the analysis revealed that the structure of a system and leadership style influenced the outcomes of crises, where coordinated governance and adaptive leadership have to be highlighted.</w:t>
      </w:r>
    </w:p>
    <w:p w14:paraId="612C041F" w14:textId="77777777" w:rsidR="00C45F66" w:rsidRPr="000A2657" w:rsidRDefault="00F149B8">
      <w:pPr>
        <w:rPr>
          <w:lang w:val="en-IN"/>
        </w:rPr>
      </w:pPr>
      <w:r w:rsidRPr="000A2657">
        <w:rPr>
          <w:lang w:val="en-IN"/>
        </w:rPr>
        <w:br w:type="page"/>
      </w:r>
    </w:p>
    <w:p w14:paraId="70A70F7F" w14:textId="77777777" w:rsidR="00C45F66" w:rsidRPr="000A2657" w:rsidRDefault="00F149B8">
      <w:pPr>
        <w:spacing w:line="240" w:lineRule="auto"/>
        <w:jc w:val="center"/>
        <w:rPr>
          <w:rFonts w:eastAsia="SimSun" w:cs="Times New Roman"/>
          <w:b/>
          <w:bCs/>
          <w:sz w:val="28"/>
          <w:szCs w:val="28"/>
          <w:lang w:val="en-IN"/>
        </w:rPr>
      </w:pPr>
      <w:r w:rsidRPr="000A2657">
        <w:rPr>
          <w:rFonts w:eastAsia="SimSun" w:cs="Times New Roman"/>
          <w:b/>
          <w:bCs/>
          <w:sz w:val="28"/>
          <w:szCs w:val="28"/>
          <w:lang w:val="en-IN"/>
        </w:rPr>
        <w:lastRenderedPageBreak/>
        <w:t>Table of Contents</w:t>
      </w:r>
    </w:p>
    <w:p w14:paraId="540A6D1A" w14:textId="77777777" w:rsidR="00C45F66" w:rsidRPr="000A2657" w:rsidRDefault="00C45F66">
      <w:pPr>
        <w:spacing w:line="240" w:lineRule="auto"/>
        <w:jc w:val="center"/>
        <w:rPr>
          <w:rFonts w:eastAsia="SimSun" w:cs="Times New Roman"/>
          <w:b/>
          <w:bCs/>
          <w:sz w:val="28"/>
          <w:szCs w:val="28"/>
          <w:lang w:val="en-IN"/>
        </w:rPr>
      </w:pPr>
    </w:p>
    <w:p w14:paraId="2F0862ED" w14:textId="77777777" w:rsidR="00C45F66" w:rsidRPr="000A2657" w:rsidRDefault="00F149B8">
      <w:pPr>
        <w:pStyle w:val="TOC1"/>
        <w:tabs>
          <w:tab w:val="right" w:leader="dot" w:pos="8306"/>
        </w:tabs>
      </w:pPr>
      <w:r w:rsidRPr="000A2657">
        <w:rPr>
          <w:rFonts w:cs="Times New Roman"/>
          <w:szCs w:val="24"/>
        </w:rPr>
        <w:fldChar w:fldCharType="begin"/>
      </w:r>
      <w:r w:rsidRPr="000A2657">
        <w:rPr>
          <w:rFonts w:cs="Times New Roman"/>
          <w:szCs w:val="24"/>
        </w:rPr>
        <w:instrText xml:space="preserve">TOC \o "1-3" \h \u </w:instrText>
      </w:r>
      <w:r w:rsidRPr="000A2657">
        <w:rPr>
          <w:rFonts w:cs="Times New Roman"/>
          <w:szCs w:val="24"/>
        </w:rPr>
        <w:fldChar w:fldCharType="separate"/>
      </w:r>
      <w:hyperlink w:anchor="_Toc6911" w:history="1">
        <w:r w:rsidRPr="000A2657">
          <w:rPr>
            <w:lang w:val="en-IN"/>
          </w:rPr>
          <w:t>Introduction</w:t>
        </w:r>
        <w:r w:rsidRPr="000A2657">
          <w:tab/>
        </w:r>
        <w:r w:rsidRPr="000A2657">
          <w:fldChar w:fldCharType="begin"/>
        </w:r>
        <w:r w:rsidRPr="000A2657">
          <w:instrText xml:space="preserve"> PAGEREF _Toc6911 \h </w:instrText>
        </w:r>
        <w:r w:rsidRPr="000A2657">
          <w:fldChar w:fldCharType="separate"/>
        </w:r>
        <w:r w:rsidRPr="000A2657">
          <w:t>4</w:t>
        </w:r>
        <w:r w:rsidRPr="000A2657">
          <w:fldChar w:fldCharType="end"/>
        </w:r>
      </w:hyperlink>
    </w:p>
    <w:p w14:paraId="6FC7E7D3" w14:textId="77777777" w:rsidR="00C45F66" w:rsidRPr="000A2657" w:rsidRDefault="00F149B8">
      <w:pPr>
        <w:pStyle w:val="TOC1"/>
        <w:tabs>
          <w:tab w:val="right" w:leader="dot" w:pos="8306"/>
        </w:tabs>
      </w:pPr>
      <w:hyperlink w:anchor="_Toc12588" w:history="1">
        <w:r w:rsidRPr="000A2657">
          <w:t>Critical Analysis of each country’s typology and systems approach for the COVID 19 Pandemic</w:t>
        </w:r>
        <w:r w:rsidRPr="000A2657">
          <w:tab/>
        </w:r>
        <w:r w:rsidRPr="000A2657">
          <w:fldChar w:fldCharType="begin"/>
        </w:r>
        <w:r w:rsidRPr="000A2657">
          <w:instrText xml:space="preserve"> PAGEREF _Toc12588 \h </w:instrText>
        </w:r>
        <w:r w:rsidRPr="000A2657">
          <w:fldChar w:fldCharType="separate"/>
        </w:r>
        <w:r w:rsidRPr="000A2657">
          <w:t>4</w:t>
        </w:r>
        <w:r w:rsidRPr="000A2657">
          <w:fldChar w:fldCharType="end"/>
        </w:r>
      </w:hyperlink>
    </w:p>
    <w:p w14:paraId="63157FAA" w14:textId="77777777" w:rsidR="00C45F66" w:rsidRPr="000A2657" w:rsidRDefault="00F149B8">
      <w:pPr>
        <w:pStyle w:val="TOC2"/>
        <w:tabs>
          <w:tab w:val="right" w:leader="dot" w:pos="8306"/>
        </w:tabs>
        <w:ind w:left="480"/>
      </w:pPr>
      <w:hyperlink w:anchor="_Toc13404" w:history="1">
        <w:r w:rsidRPr="000A2657">
          <w:t>2.1 Spain</w:t>
        </w:r>
        <w:r w:rsidRPr="000A2657">
          <w:tab/>
        </w:r>
        <w:r w:rsidRPr="000A2657">
          <w:fldChar w:fldCharType="begin"/>
        </w:r>
        <w:r w:rsidRPr="000A2657">
          <w:instrText xml:space="preserve"> PAGEREF _Toc13404 \h </w:instrText>
        </w:r>
        <w:r w:rsidRPr="000A2657">
          <w:fldChar w:fldCharType="separate"/>
        </w:r>
        <w:r w:rsidRPr="000A2657">
          <w:t>4</w:t>
        </w:r>
        <w:r w:rsidRPr="000A2657">
          <w:fldChar w:fldCharType="end"/>
        </w:r>
      </w:hyperlink>
    </w:p>
    <w:p w14:paraId="4ACF79E5" w14:textId="77777777" w:rsidR="00C45F66" w:rsidRPr="000A2657" w:rsidRDefault="00F149B8">
      <w:pPr>
        <w:pStyle w:val="TOC3"/>
        <w:tabs>
          <w:tab w:val="right" w:leader="dot" w:pos="8306"/>
        </w:tabs>
        <w:ind w:left="960"/>
      </w:pPr>
      <w:hyperlink w:anchor="_Toc18071" w:history="1">
        <w:r w:rsidRPr="000A2657">
          <w:rPr>
            <w:lang w:val="en-IN"/>
          </w:rPr>
          <w:t xml:space="preserve">2.1.1. </w:t>
        </w:r>
        <w:r w:rsidRPr="000A2657">
          <w:t>Design of the Health System</w:t>
        </w:r>
        <w:r w:rsidRPr="000A2657">
          <w:tab/>
        </w:r>
        <w:r w:rsidRPr="000A2657">
          <w:fldChar w:fldCharType="begin"/>
        </w:r>
        <w:r w:rsidRPr="000A2657">
          <w:instrText xml:space="preserve"> PAGEREF _Toc18071 \h </w:instrText>
        </w:r>
        <w:r w:rsidRPr="000A2657">
          <w:fldChar w:fldCharType="separate"/>
        </w:r>
        <w:r w:rsidRPr="000A2657">
          <w:t>4</w:t>
        </w:r>
        <w:r w:rsidRPr="000A2657">
          <w:fldChar w:fldCharType="end"/>
        </w:r>
      </w:hyperlink>
    </w:p>
    <w:p w14:paraId="14841791" w14:textId="77777777" w:rsidR="00C45F66" w:rsidRPr="000A2657" w:rsidRDefault="00F149B8">
      <w:pPr>
        <w:pStyle w:val="TOC3"/>
        <w:tabs>
          <w:tab w:val="right" w:leader="dot" w:pos="8306"/>
        </w:tabs>
        <w:ind w:left="960"/>
      </w:pPr>
      <w:hyperlink w:anchor="_Toc13745" w:history="1">
        <w:r w:rsidRPr="000A2657">
          <w:rPr>
            <w:lang w:val="en-IN"/>
          </w:rPr>
          <w:t xml:space="preserve">2.1.2. </w:t>
        </w:r>
        <w:r w:rsidRPr="000A2657">
          <w:t>COVID-19 Critical Analysis Response</w:t>
        </w:r>
        <w:r w:rsidRPr="000A2657">
          <w:tab/>
        </w:r>
        <w:r w:rsidRPr="000A2657">
          <w:fldChar w:fldCharType="begin"/>
        </w:r>
        <w:r w:rsidRPr="000A2657">
          <w:instrText xml:space="preserve"> PAGEREF _Toc13745 \h </w:instrText>
        </w:r>
        <w:r w:rsidRPr="000A2657">
          <w:fldChar w:fldCharType="separate"/>
        </w:r>
        <w:r w:rsidRPr="000A2657">
          <w:t>5</w:t>
        </w:r>
        <w:r w:rsidRPr="000A2657">
          <w:fldChar w:fldCharType="end"/>
        </w:r>
      </w:hyperlink>
    </w:p>
    <w:p w14:paraId="2A88D332" w14:textId="77777777" w:rsidR="00C45F66" w:rsidRPr="000A2657" w:rsidRDefault="00F149B8">
      <w:pPr>
        <w:pStyle w:val="TOC3"/>
        <w:tabs>
          <w:tab w:val="right" w:leader="dot" w:pos="8306"/>
        </w:tabs>
        <w:ind w:left="960"/>
      </w:pPr>
      <w:hyperlink w:anchor="_Toc19316" w:history="1">
        <w:r w:rsidRPr="000A2657">
          <w:rPr>
            <w:lang w:val="en-IN"/>
          </w:rPr>
          <w:t>2.1.3. Advantages and Disadvantages:</w:t>
        </w:r>
        <w:r w:rsidRPr="000A2657">
          <w:tab/>
        </w:r>
        <w:r w:rsidRPr="000A2657">
          <w:fldChar w:fldCharType="begin"/>
        </w:r>
        <w:r w:rsidRPr="000A2657">
          <w:instrText xml:space="preserve"> PAGEREF _Toc19316 \h </w:instrText>
        </w:r>
        <w:r w:rsidRPr="000A2657">
          <w:fldChar w:fldCharType="separate"/>
        </w:r>
        <w:r w:rsidRPr="000A2657">
          <w:t>5</w:t>
        </w:r>
        <w:r w:rsidRPr="000A2657">
          <w:fldChar w:fldCharType="end"/>
        </w:r>
      </w:hyperlink>
    </w:p>
    <w:p w14:paraId="5E1ADD82" w14:textId="77777777" w:rsidR="00C45F66" w:rsidRPr="000A2657" w:rsidRDefault="00F149B8">
      <w:pPr>
        <w:pStyle w:val="TOC2"/>
        <w:tabs>
          <w:tab w:val="right" w:leader="dot" w:pos="8306"/>
        </w:tabs>
        <w:ind w:left="480"/>
      </w:pPr>
      <w:hyperlink w:anchor="_Toc9127" w:history="1">
        <w:r w:rsidRPr="000A2657">
          <w:t>2.2 South Korea</w:t>
        </w:r>
        <w:r w:rsidRPr="000A2657">
          <w:tab/>
        </w:r>
        <w:r w:rsidRPr="000A2657">
          <w:fldChar w:fldCharType="begin"/>
        </w:r>
        <w:r w:rsidRPr="000A2657">
          <w:instrText xml:space="preserve"> PAGEREF _Toc9127 \h </w:instrText>
        </w:r>
        <w:r w:rsidRPr="000A2657">
          <w:fldChar w:fldCharType="separate"/>
        </w:r>
        <w:r w:rsidRPr="000A2657">
          <w:t>6</w:t>
        </w:r>
        <w:r w:rsidRPr="000A2657">
          <w:fldChar w:fldCharType="end"/>
        </w:r>
      </w:hyperlink>
    </w:p>
    <w:p w14:paraId="47B0B4D8" w14:textId="77777777" w:rsidR="00C45F66" w:rsidRPr="000A2657" w:rsidRDefault="00F149B8">
      <w:pPr>
        <w:pStyle w:val="TOC3"/>
        <w:tabs>
          <w:tab w:val="right" w:leader="dot" w:pos="8306"/>
        </w:tabs>
        <w:ind w:left="960"/>
      </w:pPr>
      <w:hyperlink w:anchor="_Toc18054" w:history="1">
        <w:r w:rsidRPr="000A2657">
          <w:rPr>
            <w:lang w:val="en-IN"/>
          </w:rPr>
          <w:t xml:space="preserve">2.2.1. </w:t>
        </w:r>
        <w:r w:rsidRPr="000A2657">
          <w:t>Design of the Health System</w:t>
        </w:r>
        <w:r w:rsidRPr="000A2657">
          <w:tab/>
        </w:r>
        <w:r w:rsidRPr="000A2657">
          <w:fldChar w:fldCharType="begin"/>
        </w:r>
        <w:r w:rsidRPr="000A2657">
          <w:instrText xml:space="preserve"> PAGEREF _Toc18054 \h </w:instrText>
        </w:r>
        <w:r w:rsidRPr="000A2657">
          <w:fldChar w:fldCharType="separate"/>
        </w:r>
        <w:r w:rsidRPr="000A2657">
          <w:t>6</w:t>
        </w:r>
        <w:r w:rsidRPr="000A2657">
          <w:fldChar w:fldCharType="end"/>
        </w:r>
      </w:hyperlink>
    </w:p>
    <w:p w14:paraId="61169C88" w14:textId="77777777" w:rsidR="00C45F66" w:rsidRPr="000A2657" w:rsidRDefault="00F149B8">
      <w:pPr>
        <w:pStyle w:val="TOC3"/>
        <w:tabs>
          <w:tab w:val="right" w:leader="dot" w:pos="8306"/>
        </w:tabs>
        <w:ind w:left="960"/>
      </w:pPr>
      <w:hyperlink w:anchor="_Toc13232" w:history="1">
        <w:r w:rsidRPr="000A2657">
          <w:rPr>
            <w:lang w:val="en-IN"/>
          </w:rPr>
          <w:t xml:space="preserve">2.2.2. </w:t>
        </w:r>
        <w:r w:rsidRPr="000A2657">
          <w:t>Critical Analysis Response to COVID-19</w:t>
        </w:r>
        <w:r w:rsidRPr="000A2657">
          <w:tab/>
        </w:r>
        <w:r w:rsidRPr="000A2657">
          <w:fldChar w:fldCharType="begin"/>
        </w:r>
        <w:r w:rsidRPr="000A2657">
          <w:instrText xml:space="preserve"> PAGEREF _Toc13232 \h </w:instrText>
        </w:r>
        <w:r w:rsidRPr="000A2657">
          <w:fldChar w:fldCharType="separate"/>
        </w:r>
        <w:r w:rsidRPr="000A2657">
          <w:t>6</w:t>
        </w:r>
        <w:r w:rsidRPr="000A2657">
          <w:fldChar w:fldCharType="end"/>
        </w:r>
      </w:hyperlink>
    </w:p>
    <w:p w14:paraId="3B7FF3FC" w14:textId="77777777" w:rsidR="00C45F66" w:rsidRPr="000A2657" w:rsidRDefault="00F149B8">
      <w:pPr>
        <w:pStyle w:val="TOC3"/>
        <w:tabs>
          <w:tab w:val="right" w:leader="dot" w:pos="8306"/>
        </w:tabs>
        <w:ind w:left="960"/>
      </w:pPr>
      <w:hyperlink w:anchor="_Toc8782" w:history="1">
        <w:r w:rsidRPr="000A2657">
          <w:rPr>
            <w:lang w:val="en-IN"/>
          </w:rPr>
          <w:t>2.2.3. Adavantages and Drawbacks</w:t>
        </w:r>
        <w:r w:rsidRPr="000A2657">
          <w:tab/>
        </w:r>
        <w:r w:rsidRPr="000A2657">
          <w:fldChar w:fldCharType="begin"/>
        </w:r>
        <w:r w:rsidRPr="000A2657">
          <w:instrText xml:space="preserve"> PAGEREF _Toc8782 \h </w:instrText>
        </w:r>
        <w:r w:rsidRPr="000A2657">
          <w:fldChar w:fldCharType="separate"/>
        </w:r>
        <w:r w:rsidRPr="000A2657">
          <w:t>7</w:t>
        </w:r>
        <w:r w:rsidRPr="000A2657">
          <w:fldChar w:fldCharType="end"/>
        </w:r>
      </w:hyperlink>
    </w:p>
    <w:p w14:paraId="36BFD793" w14:textId="77777777" w:rsidR="00C45F66" w:rsidRPr="000A2657" w:rsidRDefault="00F149B8">
      <w:pPr>
        <w:pStyle w:val="TOC2"/>
        <w:tabs>
          <w:tab w:val="right" w:leader="dot" w:pos="8306"/>
        </w:tabs>
        <w:ind w:left="480"/>
      </w:pPr>
      <w:hyperlink w:anchor="_Toc19924" w:history="1">
        <w:r w:rsidRPr="000A2657">
          <w:t>2.3 Canada</w:t>
        </w:r>
        <w:r w:rsidRPr="000A2657">
          <w:tab/>
        </w:r>
        <w:r w:rsidRPr="000A2657">
          <w:fldChar w:fldCharType="begin"/>
        </w:r>
        <w:r w:rsidRPr="000A2657">
          <w:instrText xml:space="preserve"> PAGEREF _Toc19924 \h </w:instrText>
        </w:r>
        <w:r w:rsidRPr="000A2657">
          <w:fldChar w:fldCharType="separate"/>
        </w:r>
        <w:r w:rsidRPr="000A2657">
          <w:t>8</w:t>
        </w:r>
        <w:r w:rsidRPr="000A2657">
          <w:fldChar w:fldCharType="end"/>
        </w:r>
      </w:hyperlink>
    </w:p>
    <w:p w14:paraId="78BDF1C0" w14:textId="77777777" w:rsidR="00C45F66" w:rsidRPr="000A2657" w:rsidRDefault="00F149B8">
      <w:pPr>
        <w:pStyle w:val="TOC3"/>
        <w:tabs>
          <w:tab w:val="right" w:leader="dot" w:pos="8306"/>
        </w:tabs>
        <w:ind w:left="960"/>
      </w:pPr>
      <w:hyperlink w:anchor="_Toc22546" w:history="1">
        <w:r w:rsidRPr="000A2657">
          <w:rPr>
            <w:lang w:val="en-IN"/>
          </w:rPr>
          <w:t xml:space="preserve">2.3.1. Design of the </w:t>
        </w:r>
        <w:r w:rsidRPr="000A2657">
          <w:t>Health System Organisation</w:t>
        </w:r>
        <w:r w:rsidRPr="000A2657">
          <w:tab/>
        </w:r>
        <w:r w:rsidRPr="000A2657">
          <w:fldChar w:fldCharType="begin"/>
        </w:r>
        <w:r w:rsidRPr="000A2657">
          <w:instrText xml:space="preserve"> PAGEREF _Toc22546 \h </w:instrText>
        </w:r>
        <w:r w:rsidRPr="000A2657">
          <w:fldChar w:fldCharType="separate"/>
        </w:r>
        <w:r w:rsidRPr="000A2657">
          <w:t>8</w:t>
        </w:r>
        <w:r w:rsidRPr="000A2657">
          <w:fldChar w:fldCharType="end"/>
        </w:r>
      </w:hyperlink>
    </w:p>
    <w:p w14:paraId="29F03A4D" w14:textId="77777777" w:rsidR="00C45F66" w:rsidRPr="000A2657" w:rsidRDefault="00F149B8">
      <w:pPr>
        <w:pStyle w:val="TOC3"/>
        <w:tabs>
          <w:tab w:val="right" w:leader="dot" w:pos="8306"/>
        </w:tabs>
        <w:ind w:left="960"/>
      </w:pPr>
      <w:hyperlink w:anchor="_Toc31256" w:history="1">
        <w:r w:rsidRPr="000A2657">
          <w:rPr>
            <w:lang w:val="en-IN"/>
          </w:rPr>
          <w:t xml:space="preserve">2.3.2. </w:t>
        </w:r>
        <w:r w:rsidRPr="000A2657">
          <w:t>Critical Analysis Response to COVID-19</w:t>
        </w:r>
        <w:r w:rsidRPr="000A2657">
          <w:tab/>
        </w:r>
        <w:r w:rsidRPr="000A2657">
          <w:fldChar w:fldCharType="begin"/>
        </w:r>
        <w:r w:rsidRPr="000A2657">
          <w:instrText xml:space="preserve"> PAGEREF _Toc31256 \h </w:instrText>
        </w:r>
        <w:r w:rsidRPr="000A2657">
          <w:fldChar w:fldCharType="separate"/>
        </w:r>
        <w:r w:rsidRPr="000A2657">
          <w:t>8</w:t>
        </w:r>
        <w:r w:rsidRPr="000A2657">
          <w:fldChar w:fldCharType="end"/>
        </w:r>
      </w:hyperlink>
    </w:p>
    <w:p w14:paraId="7FF97702" w14:textId="77777777" w:rsidR="00C45F66" w:rsidRPr="000A2657" w:rsidRDefault="00F149B8">
      <w:pPr>
        <w:pStyle w:val="TOC3"/>
        <w:tabs>
          <w:tab w:val="right" w:leader="dot" w:pos="8306"/>
        </w:tabs>
        <w:ind w:left="960"/>
      </w:pPr>
      <w:hyperlink w:anchor="_Toc23607" w:history="1">
        <w:r w:rsidRPr="000A2657">
          <w:rPr>
            <w:lang w:val="en-IN"/>
          </w:rPr>
          <w:t>2.3.3. Advantages and Issues</w:t>
        </w:r>
        <w:r w:rsidRPr="000A2657">
          <w:tab/>
        </w:r>
        <w:r w:rsidRPr="000A2657">
          <w:fldChar w:fldCharType="begin"/>
        </w:r>
        <w:r w:rsidRPr="000A2657">
          <w:instrText xml:space="preserve"> PAGEREF _Toc23607 \h </w:instrText>
        </w:r>
        <w:r w:rsidRPr="000A2657">
          <w:fldChar w:fldCharType="separate"/>
        </w:r>
        <w:r w:rsidRPr="000A2657">
          <w:t>9</w:t>
        </w:r>
        <w:r w:rsidRPr="000A2657">
          <w:fldChar w:fldCharType="end"/>
        </w:r>
      </w:hyperlink>
    </w:p>
    <w:p w14:paraId="20577C2B" w14:textId="77777777" w:rsidR="00C45F66" w:rsidRPr="000A2657" w:rsidRDefault="00F149B8">
      <w:pPr>
        <w:pStyle w:val="TOC2"/>
        <w:tabs>
          <w:tab w:val="right" w:leader="dot" w:pos="8306"/>
        </w:tabs>
        <w:ind w:left="480"/>
      </w:pPr>
      <w:hyperlink w:anchor="_Toc32247" w:history="1">
        <w:r w:rsidRPr="000A2657">
          <w:t>2.4 Comparative Reflections</w:t>
        </w:r>
        <w:r w:rsidRPr="000A2657">
          <w:tab/>
        </w:r>
        <w:r w:rsidRPr="000A2657">
          <w:fldChar w:fldCharType="begin"/>
        </w:r>
        <w:r w:rsidRPr="000A2657">
          <w:instrText xml:space="preserve"> PAGEREF _Toc32247 \h </w:instrText>
        </w:r>
        <w:r w:rsidRPr="000A2657">
          <w:fldChar w:fldCharType="separate"/>
        </w:r>
        <w:r w:rsidRPr="000A2657">
          <w:t>10</w:t>
        </w:r>
        <w:r w:rsidRPr="000A2657">
          <w:fldChar w:fldCharType="end"/>
        </w:r>
      </w:hyperlink>
    </w:p>
    <w:p w14:paraId="57433B96" w14:textId="77777777" w:rsidR="00C45F66" w:rsidRPr="000A2657" w:rsidRDefault="00F149B8">
      <w:pPr>
        <w:pStyle w:val="TOC1"/>
        <w:tabs>
          <w:tab w:val="right" w:leader="dot" w:pos="8306"/>
        </w:tabs>
      </w:pPr>
      <w:hyperlink w:anchor="_Toc7755" w:history="1">
        <w:r w:rsidRPr="000A2657">
          <w:rPr>
            <w:lang w:val="en-IN"/>
          </w:rPr>
          <w:t>Critical Analysis of the Leadership Styles taken in each Country</w:t>
        </w:r>
        <w:r w:rsidRPr="000A2657">
          <w:tab/>
        </w:r>
        <w:r w:rsidRPr="000A2657">
          <w:fldChar w:fldCharType="begin"/>
        </w:r>
        <w:r w:rsidRPr="000A2657">
          <w:instrText xml:space="preserve"> PAGEREF _Toc7755 \h </w:instrText>
        </w:r>
        <w:r w:rsidRPr="000A2657">
          <w:fldChar w:fldCharType="separate"/>
        </w:r>
        <w:r w:rsidRPr="000A2657">
          <w:t>10</w:t>
        </w:r>
        <w:r w:rsidRPr="000A2657">
          <w:fldChar w:fldCharType="end"/>
        </w:r>
      </w:hyperlink>
    </w:p>
    <w:p w14:paraId="4951CBA6" w14:textId="77777777" w:rsidR="00C45F66" w:rsidRPr="000A2657" w:rsidRDefault="00F149B8">
      <w:pPr>
        <w:pStyle w:val="TOC2"/>
        <w:tabs>
          <w:tab w:val="right" w:leader="dot" w:pos="8306"/>
        </w:tabs>
        <w:ind w:left="480"/>
      </w:pPr>
      <w:hyperlink w:anchor="_Toc21187" w:history="1">
        <w:r w:rsidRPr="000A2657">
          <w:rPr>
            <w:lang w:val="en-IN"/>
          </w:rPr>
          <w:t>3.1 Spanish leadership styles (Salvador Illa)</w:t>
        </w:r>
        <w:r w:rsidRPr="000A2657">
          <w:tab/>
        </w:r>
        <w:r w:rsidRPr="000A2657">
          <w:fldChar w:fldCharType="begin"/>
        </w:r>
        <w:r w:rsidRPr="000A2657">
          <w:instrText xml:space="preserve"> PAGEREF _Toc21187 \h </w:instrText>
        </w:r>
        <w:r w:rsidRPr="000A2657">
          <w:fldChar w:fldCharType="separate"/>
        </w:r>
        <w:r w:rsidRPr="000A2657">
          <w:t>10</w:t>
        </w:r>
        <w:r w:rsidRPr="000A2657">
          <w:fldChar w:fldCharType="end"/>
        </w:r>
      </w:hyperlink>
    </w:p>
    <w:p w14:paraId="61FE7732" w14:textId="77777777" w:rsidR="00C45F66" w:rsidRPr="000A2657" w:rsidRDefault="00F149B8">
      <w:pPr>
        <w:pStyle w:val="TOC2"/>
        <w:tabs>
          <w:tab w:val="right" w:leader="dot" w:pos="8306"/>
        </w:tabs>
        <w:ind w:left="480"/>
      </w:pPr>
      <w:hyperlink w:anchor="_Toc17006" w:history="1">
        <w:r w:rsidRPr="000A2657">
          <w:rPr>
            <w:lang w:val="en-IN"/>
          </w:rPr>
          <w:t>3.2 South Korean style of leadership (Chung Sye-kyun)</w:t>
        </w:r>
        <w:r w:rsidRPr="000A2657">
          <w:tab/>
        </w:r>
        <w:r w:rsidRPr="000A2657">
          <w:fldChar w:fldCharType="begin"/>
        </w:r>
        <w:r w:rsidRPr="000A2657">
          <w:instrText xml:space="preserve"> PAGEREF _Toc17006 \h </w:instrText>
        </w:r>
        <w:r w:rsidRPr="000A2657">
          <w:fldChar w:fldCharType="separate"/>
        </w:r>
        <w:r w:rsidRPr="000A2657">
          <w:t>13</w:t>
        </w:r>
        <w:r w:rsidRPr="000A2657">
          <w:fldChar w:fldCharType="end"/>
        </w:r>
      </w:hyperlink>
    </w:p>
    <w:p w14:paraId="7A2F9579" w14:textId="77777777" w:rsidR="00C45F66" w:rsidRPr="000A2657" w:rsidRDefault="00F149B8">
      <w:pPr>
        <w:pStyle w:val="TOC2"/>
        <w:tabs>
          <w:tab w:val="right" w:leader="dot" w:pos="8306"/>
        </w:tabs>
        <w:ind w:left="480"/>
      </w:pPr>
      <w:hyperlink w:anchor="_Toc9192" w:history="1">
        <w:r w:rsidRPr="000A2657">
          <w:rPr>
            <w:lang w:val="en-IN"/>
          </w:rPr>
          <w:t>3.3 The Canadian leadership style (Justin Trudeau and provincial leaders)</w:t>
        </w:r>
        <w:r w:rsidRPr="000A2657">
          <w:tab/>
        </w:r>
        <w:r w:rsidRPr="000A2657">
          <w:fldChar w:fldCharType="begin"/>
        </w:r>
        <w:r w:rsidRPr="000A2657">
          <w:instrText xml:space="preserve"> PAGEREF _Toc9192 \h </w:instrText>
        </w:r>
        <w:r w:rsidRPr="000A2657">
          <w:fldChar w:fldCharType="separate"/>
        </w:r>
        <w:r w:rsidRPr="000A2657">
          <w:t>14</w:t>
        </w:r>
        <w:r w:rsidRPr="000A2657">
          <w:fldChar w:fldCharType="end"/>
        </w:r>
      </w:hyperlink>
    </w:p>
    <w:p w14:paraId="0E863AC5" w14:textId="77777777" w:rsidR="00C45F66" w:rsidRPr="000A2657" w:rsidRDefault="00F149B8">
      <w:pPr>
        <w:pStyle w:val="TOC1"/>
        <w:tabs>
          <w:tab w:val="right" w:leader="dot" w:pos="8306"/>
        </w:tabs>
      </w:pPr>
      <w:hyperlink w:anchor="_Toc9981" w:history="1">
        <w:r w:rsidRPr="000A2657">
          <w:rPr>
            <w:lang w:val="en-IN"/>
          </w:rPr>
          <w:t>Conclusion</w:t>
        </w:r>
        <w:r w:rsidRPr="000A2657">
          <w:tab/>
        </w:r>
        <w:r w:rsidRPr="000A2657">
          <w:fldChar w:fldCharType="begin"/>
        </w:r>
        <w:r w:rsidRPr="000A2657">
          <w:instrText xml:space="preserve"> PAGEREF _Toc9981 \h </w:instrText>
        </w:r>
        <w:r w:rsidRPr="000A2657">
          <w:fldChar w:fldCharType="separate"/>
        </w:r>
        <w:r w:rsidRPr="000A2657">
          <w:t>16</w:t>
        </w:r>
        <w:r w:rsidRPr="000A2657">
          <w:fldChar w:fldCharType="end"/>
        </w:r>
      </w:hyperlink>
    </w:p>
    <w:p w14:paraId="4E895C20" w14:textId="77777777" w:rsidR="00C45F66" w:rsidRPr="000A2657" w:rsidRDefault="00F149B8">
      <w:pPr>
        <w:pStyle w:val="TOC1"/>
        <w:tabs>
          <w:tab w:val="right" w:leader="dot" w:pos="8306"/>
        </w:tabs>
      </w:pPr>
      <w:hyperlink w:anchor="_Toc15459" w:history="1">
        <w:r w:rsidRPr="000A2657">
          <w:rPr>
            <w:lang w:val="en-IN"/>
          </w:rPr>
          <w:t>References</w:t>
        </w:r>
        <w:r w:rsidRPr="000A2657">
          <w:tab/>
        </w:r>
        <w:r w:rsidRPr="000A2657">
          <w:fldChar w:fldCharType="begin"/>
        </w:r>
        <w:r w:rsidRPr="000A2657">
          <w:instrText xml:space="preserve"> PAGEREF _Toc15459 \h </w:instrText>
        </w:r>
        <w:r w:rsidRPr="000A2657">
          <w:fldChar w:fldCharType="separate"/>
        </w:r>
        <w:r w:rsidRPr="000A2657">
          <w:t>17</w:t>
        </w:r>
        <w:r w:rsidRPr="000A2657">
          <w:fldChar w:fldCharType="end"/>
        </w:r>
      </w:hyperlink>
    </w:p>
    <w:p w14:paraId="06A0192F" w14:textId="77777777" w:rsidR="00C45F66" w:rsidRPr="000A2657" w:rsidRDefault="00F149B8">
      <w:pPr>
        <w:rPr>
          <w:rFonts w:cs="Times New Roman"/>
          <w:szCs w:val="24"/>
        </w:rPr>
      </w:pPr>
      <w:r w:rsidRPr="000A2657">
        <w:rPr>
          <w:rFonts w:cs="Times New Roman"/>
          <w:szCs w:val="24"/>
        </w:rPr>
        <w:fldChar w:fldCharType="end"/>
      </w:r>
    </w:p>
    <w:p w14:paraId="46F2E695" w14:textId="77777777" w:rsidR="00C45F66" w:rsidRPr="000A2657" w:rsidRDefault="00C45F66"/>
    <w:p w14:paraId="6F84B90B" w14:textId="77777777" w:rsidR="00C45F66" w:rsidRPr="000A2657" w:rsidRDefault="00F149B8">
      <w:pPr>
        <w:rPr>
          <w:lang w:val="en-IN"/>
        </w:rPr>
      </w:pPr>
      <w:r w:rsidRPr="000A2657">
        <w:rPr>
          <w:lang w:val="en-IN"/>
        </w:rPr>
        <w:br w:type="page"/>
      </w:r>
    </w:p>
    <w:p w14:paraId="51BBCFCF" w14:textId="77777777" w:rsidR="00C45F66" w:rsidRPr="000A2657" w:rsidRDefault="00F149B8">
      <w:pPr>
        <w:pStyle w:val="Heading1"/>
        <w:rPr>
          <w:lang w:val="en-IN"/>
        </w:rPr>
      </w:pPr>
      <w:bookmarkStart w:id="0" w:name="_Toc6911"/>
      <w:r w:rsidRPr="000A2657">
        <w:rPr>
          <w:lang w:val="en-IN"/>
        </w:rPr>
        <w:lastRenderedPageBreak/>
        <w:t>Introduction</w:t>
      </w:r>
      <w:bookmarkEnd w:id="0"/>
    </w:p>
    <w:p w14:paraId="2D2018EF" w14:textId="77777777" w:rsidR="00C45F66" w:rsidRPr="000A2657" w:rsidRDefault="00F149B8">
      <w:r w:rsidRPr="000A2657">
        <w:t xml:space="preserve">The COVID-19 </w:t>
      </w:r>
      <w:r w:rsidRPr="000A2657">
        <w:rPr>
          <w:lang w:val="en-IN"/>
        </w:rPr>
        <w:t>pan</w:t>
      </w:r>
      <w:r w:rsidRPr="000A2657">
        <w:t>demic has been a significant difficulty in the world. Responsibility to countries was dependent on their healthcare systems, governance and leadership. This report is a comparative report on Spain, South Korea and Canada</w:t>
      </w:r>
      <w:r w:rsidRPr="000A2657">
        <w:rPr>
          <w:lang w:val="en-IN"/>
        </w:rPr>
        <w:t xml:space="preserve"> (</w:t>
      </w:r>
      <w:r w:rsidRPr="000A2657">
        <w:rPr>
          <w:rFonts w:eastAsia="Arial" w:cs="Arial"/>
          <w:szCs w:val="22"/>
          <w:lang w:eastAsia="en-US"/>
        </w:rPr>
        <w:t>Haldane</w:t>
      </w:r>
      <w:r w:rsidRPr="000A2657">
        <w:rPr>
          <w:rFonts w:eastAsia="Arial" w:cs="Arial"/>
          <w:szCs w:val="22"/>
          <w:lang w:val="en-IN" w:eastAsia="en-US"/>
        </w:rPr>
        <w:t xml:space="preserve"> </w:t>
      </w:r>
      <w:r w:rsidRPr="000A2657">
        <w:rPr>
          <w:rFonts w:eastAsia="Arial" w:cs="Arial"/>
          <w:i/>
          <w:iCs/>
          <w:szCs w:val="22"/>
          <w:lang w:val="en-IN" w:eastAsia="en-US"/>
        </w:rPr>
        <w:t xml:space="preserve">et al. </w:t>
      </w:r>
      <w:r w:rsidRPr="000A2657">
        <w:rPr>
          <w:rFonts w:eastAsia="Arial" w:cs="Arial"/>
          <w:szCs w:val="22"/>
          <w:lang w:val="en-IN" w:eastAsia="en-US"/>
        </w:rPr>
        <w:t>2021</w:t>
      </w:r>
      <w:r w:rsidRPr="000A2657">
        <w:rPr>
          <w:lang w:val="en-IN"/>
        </w:rPr>
        <w:t>)</w:t>
      </w:r>
      <w:r w:rsidRPr="000A2657">
        <w:t>. It discusses the role of their healthcare systems in the response to the pandemic. The system in Spain is de</w:t>
      </w:r>
      <w:r w:rsidRPr="000A2657">
        <w:rPr>
          <w:lang w:val="en-IN"/>
        </w:rPr>
        <w:t>-</w:t>
      </w:r>
      <w:proofErr w:type="spellStart"/>
      <w:r w:rsidRPr="000A2657">
        <w:t>centralised</w:t>
      </w:r>
      <w:proofErr w:type="spellEnd"/>
      <w:r w:rsidRPr="000A2657">
        <w:t xml:space="preserve">. Korea is a technology-based and </w:t>
      </w:r>
      <w:proofErr w:type="spellStart"/>
      <w:r w:rsidRPr="000A2657">
        <w:t>centralised</w:t>
      </w:r>
      <w:proofErr w:type="spellEnd"/>
      <w:r w:rsidRPr="000A2657">
        <w:t xml:space="preserve"> system. Canada is dependent on provincial health authorities. </w:t>
      </w:r>
      <w:proofErr w:type="spellStart"/>
      <w:r w:rsidRPr="000A2657">
        <w:t>Centralisation</w:t>
      </w:r>
      <w:proofErr w:type="spellEnd"/>
      <w:r w:rsidRPr="000A2657">
        <w:t xml:space="preserve"> implies that decisions</w:t>
      </w:r>
      <w:r w:rsidRPr="000A2657">
        <w:t xml:space="preserve"> are made at a greater level</w:t>
      </w:r>
      <w:r w:rsidRPr="000A2657">
        <w:rPr>
          <w:lang w:val="en-IN"/>
        </w:rPr>
        <w:t xml:space="preserve"> and D</w:t>
      </w:r>
      <w:proofErr w:type="spellStart"/>
      <w:r w:rsidRPr="000A2657">
        <w:t>ecentralisation</w:t>
      </w:r>
      <w:proofErr w:type="spellEnd"/>
      <w:r w:rsidRPr="000A2657">
        <w:t xml:space="preserve"> diffuses decisions geographically</w:t>
      </w:r>
      <w:r w:rsidRPr="000A2657">
        <w:rPr>
          <w:lang w:val="en-IN"/>
        </w:rPr>
        <w:t xml:space="preserve"> (</w:t>
      </w:r>
      <w:r w:rsidRPr="000A2657">
        <w:rPr>
          <w:rFonts w:eastAsia="Arial" w:cs="Arial"/>
          <w:szCs w:val="22"/>
          <w:lang w:eastAsia="en-US"/>
        </w:rPr>
        <w:t>Goel</w:t>
      </w:r>
      <w:r w:rsidRPr="000A2657">
        <w:rPr>
          <w:rFonts w:eastAsia="Arial" w:cs="Arial"/>
          <w:szCs w:val="22"/>
          <w:lang w:val="en-IN" w:eastAsia="en-US"/>
        </w:rPr>
        <w:t xml:space="preserve"> </w:t>
      </w:r>
      <w:r w:rsidRPr="000A2657">
        <w:rPr>
          <w:rFonts w:eastAsia="Arial" w:cs="Arial"/>
          <w:szCs w:val="22"/>
          <w:lang w:eastAsia="en-US"/>
        </w:rPr>
        <w:t>and Rahulamathavan, 2024</w:t>
      </w:r>
      <w:r w:rsidRPr="000A2657">
        <w:rPr>
          <w:lang w:val="en-IN"/>
        </w:rPr>
        <w:t>)</w:t>
      </w:r>
      <w:r w:rsidRPr="000A2657">
        <w:t xml:space="preserve">. There are some implications of both strategies on resource consumption, velocity, and civic compliance. The leadership approaches of the major leaders in each nation are also examined in the report. Their styles were between authoritative and participative. Policy implementation, trust by the people and crisis management were influenced by leadership. The knowledge of healthcare </w:t>
      </w:r>
      <w:proofErr w:type="spellStart"/>
      <w:r w:rsidRPr="000A2657">
        <w:t>organisation</w:t>
      </w:r>
      <w:proofErr w:type="spellEnd"/>
      <w:r w:rsidRPr="000A2657">
        <w:t xml:space="preserve"> </w:t>
      </w:r>
      <w:r w:rsidRPr="000A2657">
        <w:t>and leadership shows how nations dealt with the pandemic successfully.</w:t>
      </w:r>
    </w:p>
    <w:p w14:paraId="43694F68" w14:textId="77777777" w:rsidR="00C45F66" w:rsidRPr="000A2657" w:rsidRDefault="00F149B8">
      <w:pPr>
        <w:pStyle w:val="Heading1"/>
      </w:pPr>
      <w:bookmarkStart w:id="1" w:name="_Toc12588"/>
      <w:r w:rsidRPr="000A2657">
        <w:t>Critical Analysis of each country’s typology and systems approach for the COVID 19 Pandemic</w:t>
      </w:r>
      <w:bookmarkEnd w:id="1"/>
    </w:p>
    <w:p w14:paraId="3A1826AB" w14:textId="77777777" w:rsidR="00C45F66" w:rsidRPr="000A2657" w:rsidRDefault="00F149B8">
      <w:pPr>
        <w:pStyle w:val="Heading2"/>
      </w:pPr>
      <w:bookmarkStart w:id="2" w:name="_Toc13404"/>
      <w:r w:rsidRPr="000A2657">
        <w:t>2.1 Spain</w:t>
      </w:r>
      <w:bookmarkEnd w:id="2"/>
    </w:p>
    <w:p w14:paraId="4B903873" w14:textId="77777777" w:rsidR="00C45F66" w:rsidRPr="000A2657" w:rsidRDefault="00F149B8">
      <w:pPr>
        <w:pStyle w:val="Heading3"/>
      </w:pPr>
      <w:bookmarkStart w:id="3" w:name="_Toc18071"/>
      <w:r w:rsidRPr="000A2657">
        <w:rPr>
          <w:lang w:val="en-IN"/>
        </w:rPr>
        <w:t xml:space="preserve">2.1.1. </w:t>
      </w:r>
      <w:r w:rsidRPr="000A2657">
        <w:t>Design of the Health System</w:t>
      </w:r>
      <w:bookmarkEnd w:id="3"/>
    </w:p>
    <w:p w14:paraId="76D274CE" w14:textId="77777777" w:rsidR="00C45F66" w:rsidRPr="000A2657" w:rsidRDefault="00F149B8">
      <w:r w:rsidRPr="000A2657">
        <w:t xml:space="preserve">The Sistema Nacional de Salud (SNS) is the health system in Spain which is inherently </w:t>
      </w:r>
      <w:proofErr w:type="spellStart"/>
      <w:r w:rsidRPr="000A2657">
        <w:t>decentralised</w:t>
      </w:r>
      <w:proofErr w:type="spellEnd"/>
      <w:r w:rsidRPr="000A2657">
        <w:t>. The health care has also been devolved to its 17 regional governments who deal with planning, allocating funds and service provision</w:t>
      </w:r>
      <w:r w:rsidRPr="000A2657">
        <w:rPr>
          <w:lang w:val="en-IN"/>
        </w:rPr>
        <w:t xml:space="preserve"> (</w:t>
      </w:r>
      <w:r w:rsidRPr="000A2657">
        <w:rPr>
          <w:rFonts w:eastAsia="Arial" w:cs="Arial"/>
          <w:szCs w:val="22"/>
          <w:lang w:eastAsia="en-US"/>
        </w:rPr>
        <w:t>sanidad.gob.es, 2025</w:t>
      </w:r>
      <w:r w:rsidRPr="000A2657">
        <w:rPr>
          <w:lang w:val="en-IN"/>
        </w:rPr>
        <w:t>)</w:t>
      </w:r>
      <w:r w:rsidRPr="000A2657">
        <w:t>. The central government is only a coordinator and overseer but is otherwise not directly involved. The SNS has almost universal coverage, which is publicly funded by taxes, and the services are delivered free of charge.</w:t>
      </w:r>
      <w:r w:rsidRPr="000A2657">
        <w:rPr>
          <w:lang w:val="en-IN"/>
        </w:rPr>
        <w:t xml:space="preserve"> </w:t>
      </w:r>
      <w:r w:rsidRPr="000A2657">
        <w:t>In the year 2021, health spending was approximately 10.7</w:t>
      </w:r>
      <w:r w:rsidRPr="000A2657">
        <w:rPr>
          <w:lang w:val="en-IN"/>
        </w:rPr>
        <w:t>%</w:t>
      </w:r>
      <w:r w:rsidRPr="000A2657">
        <w:t xml:space="preserve"> of GDP, and the amount spent on health was approximately 71.6</w:t>
      </w:r>
      <w:r w:rsidRPr="000A2657">
        <w:rPr>
          <w:lang w:val="en-IN"/>
        </w:rPr>
        <w:t>%</w:t>
      </w:r>
      <w:r w:rsidRPr="000A2657">
        <w:t xml:space="preserve"> </w:t>
      </w:r>
      <w:r w:rsidRPr="000A2657">
        <w:t>funded by the government</w:t>
      </w:r>
      <w:r w:rsidRPr="000A2657">
        <w:rPr>
          <w:lang w:val="en-IN"/>
        </w:rPr>
        <w:t xml:space="preserve"> (oced.org, 2025)</w:t>
      </w:r>
      <w:r w:rsidRPr="000A2657">
        <w:t>.</w:t>
      </w:r>
    </w:p>
    <w:p w14:paraId="02D80BA9" w14:textId="77777777" w:rsidR="00C45F66" w:rsidRPr="000A2657" w:rsidRDefault="00C45F66"/>
    <w:p w14:paraId="3543F995" w14:textId="77777777" w:rsidR="00C45F66" w:rsidRPr="000A2657" w:rsidRDefault="00F149B8">
      <w:pPr>
        <w:pStyle w:val="Heading3"/>
      </w:pPr>
      <w:bookmarkStart w:id="4" w:name="_Toc13745"/>
      <w:r w:rsidRPr="000A2657">
        <w:rPr>
          <w:lang w:val="en-IN"/>
        </w:rPr>
        <w:lastRenderedPageBreak/>
        <w:t xml:space="preserve">2.1.2. </w:t>
      </w:r>
      <w:r w:rsidRPr="000A2657">
        <w:t>COVID-19 Critical Analysis Response</w:t>
      </w:r>
      <w:bookmarkEnd w:id="4"/>
    </w:p>
    <w:p w14:paraId="0BCAA2E6" w14:textId="77777777" w:rsidR="00C45F66" w:rsidRPr="000A2657" w:rsidRDefault="00F149B8">
      <w:r w:rsidRPr="000A2657">
        <w:t>There are approximately 776 hospitals available in Spain, including 468 publicly owned ones (approximately 60). The nation has close to 155,000 hospital beds, out of them 126,000 (82.52) are with the SNS</w:t>
      </w:r>
      <w:r w:rsidRPr="000A2657">
        <w:rPr>
          <w:lang w:val="en-IN"/>
        </w:rPr>
        <w:t xml:space="preserve"> (</w:t>
      </w:r>
      <w:r w:rsidRPr="000A2657">
        <w:rPr>
          <w:rFonts w:eastAsia="Arial" w:cs="Arial"/>
          <w:szCs w:val="22"/>
          <w:lang w:eastAsia="en-US"/>
        </w:rPr>
        <w:t>sanidad.gob.es, 2025</w:t>
      </w:r>
      <w:r w:rsidRPr="000A2657">
        <w:rPr>
          <w:lang w:val="en-IN"/>
        </w:rPr>
        <w:t>)</w:t>
      </w:r>
      <w:r w:rsidRPr="000A2657">
        <w:t>. The bed density is low, with 2.93-3.0 beds per 1000 people, compared to the average of about 4.23-4.3 in the OECD. The distribution of physicians is higher than the average, whereas the availability of nurses is moderate.</w:t>
      </w:r>
    </w:p>
    <w:p w14:paraId="77D80CE5" w14:textId="77777777" w:rsidR="00C45F66" w:rsidRPr="000A2657" w:rsidRDefault="00F149B8">
      <w:r w:rsidRPr="000A2657">
        <w:t xml:space="preserve">In the COVID-19, the different responses across regions were based on </w:t>
      </w:r>
      <w:proofErr w:type="spellStart"/>
      <w:r w:rsidRPr="000A2657">
        <w:t>decentralisation</w:t>
      </w:r>
      <w:proofErr w:type="spellEnd"/>
      <w:r w:rsidRPr="000A2657">
        <w:t>. Such regions as Catalonia and the Basque Country initiated rapid testing, local tracing units, and adapted hospital capacity prematurely</w:t>
      </w:r>
      <w:r w:rsidRPr="000A2657">
        <w:rPr>
          <w:lang w:val="en-IN"/>
        </w:rPr>
        <w:t xml:space="preserve"> (</w:t>
      </w:r>
      <w:r w:rsidRPr="000A2657">
        <w:rPr>
          <w:rFonts w:eastAsia="Arial" w:cs="Arial"/>
          <w:szCs w:val="22"/>
          <w:lang w:eastAsia="en-US"/>
        </w:rPr>
        <w:t>pmc.ncbi.nlm.nih.gov, 2025</w:t>
      </w:r>
      <w:r w:rsidRPr="000A2657">
        <w:rPr>
          <w:lang w:val="en-IN"/>
        </w:rPr>
        <w:t>)</w:t>
      </w:r>
      <w:r w:rsidRPr="000A2657">
        <w:t>. This flexibility made it possible to have specific interventions and effective local decision-making. Inequality was however brought about by disparities in administrative capacity that was created. In some areas, there were a shortage of PPE, ventilators and ICU beds, whereas others had unused capacity</w:t>
      </w:r>
      <w:r w:rsidRPr="000A2657">
        <w:rPr>
          <w:lang w:val="en-IN"/>
        </w:rPr>
        <w:t xml:space="preserve"> (</w:t>
      </w:r>
      <w:r w:rsidRPr="000A2657">
        <w:rPr>
          <w:rFonts w:eastAsia="Arial" w:cs="Arial"/>
          <w:szCs w:val="22"/>
          <w:lang w:eastAsia="en-US"/>
        </w:rPr>
        <w:t>Winkelmann</w:t>
      </w:r>
      <w:r w:rsidRPr="000A2657">
        <w:rPr>
          <w:rFonts w:eastAsia="Arial" w:cs="Arial"/>
          <w:szCs w:val="22"/>
          <w:lang w:val="en-IN" w:eastAsia="en-US"/>
        </w:rPr>
        <w:t xml:space="preserve"> </w:t>
      </w:r>
      <w:r w:rsidRPr="000A2657">
        <w:rPr>
          <w:rFonts w:eastAsia="Arial" w:cs="Arial"/>
          <w:i/>
          <w:iCs/>
          <w:szCs w:val="22"/>
          <w:lang w:val="en-IN" w:eastAsia="en-US"/>
        </w:rPr>
        <w:t xml:space="preserve">et al. </w:t>
      </w:r>
      <w:r w:rsidRPr="000A2657">
        <w:rPr>
          <w:rFonts w:eastAsia="Arial" w:cs="Arial"/>
          <w:szCs w:val="22"/>
          <w:lang w:val="en-IN" w:eastAsia="en-US"/>
        </w:rPr>
        <w:t>202</w:t>
      </w:r>
      <w:r w:rsidRPr="000A2657">
        <w:rPr>
          <w:rFonts w:eastAsia="Arial" w:cs="Arial"/>
          <w:szCs w:val="22"/>
          <w:lang w:val="en-IN" w:eastAsia="en-US"/>
        </w:rPr>
        <w:t>2</w:t>
      </w:r>
      <w:r w:rsidRPr="000A2657">
        <w:rPr>
          <w:lang w:val="en-IN"/>
        </w:rPr>
        <w:t>)</w:t>
      </w:r>
      <w:r w:rsidRPr="000A2657">
        <w:t>. There was low national coordination that retarded the channeling of vital resources.</w:t>
      </w:r>
    </w:p>
    <w:p w14:paraId="3673A800" w14:textId="77777777" w:rsidR="00C45F66" w:rsidRPr="000A2657" w:rsidRDefault="00F149B8">
      <w:r w:rsidRPr="000A2657">
        <w:t>The mortality rate varied drastically across geographical areas, as it showed the differences in preparedness and availability of resources</w:t>
      </w:r>
      <w:r w:rsidRPr="000A2657">
        <w:rPr>
          <w:lang w:val="en-IN"/>
        </w:rPr>
        <w:t xml:space="preserve"> (</w:t>
      </w:r>
      <w:r w:rsidRPr="000A2657">
        <w:rPr>
          <w:rFonts w:eastAsia="Arial" w:cs="Arial"/>
          <w:szCs w:val="22"/>
          <w:lang w:eastAsia="en-US"/>
        </w:rPr>
        <w:t>Zhao</w:t>
      </w:r>
      <w:r w:rsidRPr="000A2657">
        <w:rPr>
          <w:rFonts w:eastAsia="Arial" w:cs="Arial"/>
          <w:szCs w:val="22"/>
          <w:lang w:val="en-IN" w:eastAsia="en-US"/>
        </w:rPr>
        <w:t xml:space="preserve"> </w:t>
      </w:r>
      <w:r w:rsidRPr="000A2657">
        <w:rPr>
          <w:rFonts w:eastAsia="Arial" w:cs="Arial"/>
          <w:i/>
          <w:iCs/>
          <w:szCs w:val="22"/>
          <w:lang w:val="en-IN" w:eastAsia="en-US"/>
        </w:rPr>
        <w:t xml:space="preserve">et al. </w:t>
      </w:r>
      <w:r w:rsidRPr="000A2657">
        <w:rPr>
          <w:rFonts w:eastAsia="Arial" w:cs="Arial"/>
          <w:szCs w:val="22"/>
          <w:lang w:val="en-IN" w:eastAsia="en-US"/>
        </w:rPr>
        <w:t>2024</w:t>
      </w:r>
      <w:r w:rsidRPr="000A2657">
        <w:rPr>
          <w:lang w:val="en-IN"/>
        </w:rPr>
        <w:t>)</w:t>
      </w:r>
      <w:r w:rsidRPr="000A2657">
        <w:t>. The situation of non-COVID care became worse because elective surgery and specialist appointments had been delayed and the waiting lists were longer than ever, driving some patients to the private sector.</w:t>
      </w:r>
      <w:r w:rsidRPr="000A2657">
        <w:rPr>
          <w:lang w:val="en-IN"/>
        </w:rPr>
        <w:t xml:space="preserve"> </w:t>
      </w:r>
      <w:r w:rsidRPr="000A2657">
        <w:t>The first wave was interfered by the central government through the state of alarm</w:t>
      </w:r>
      <w:r w:rsidRPr="000A2657">
        <w:rPr>
          <w:lang w:val="en-IN"/>
        </w:rPr>
        <w:t xml:space="preserve"> (</w:t>
      </w:r>
      <w:r w:rsidRPr="000A2657">
        <w:rPr>
          <w:rFonts w:eastAsia="Arial" w:cs="Arial"/>
          <w:szCs w:val="22"/>
          <w:lang w:eastAsia="en-US"/>
        </w:rPr>
        <w:t>european-union.europa.eu, 2025</w:t>
      </w:r>
      <w:r w:rsidRPr="000A2657">
        <w:rPr>
          <w:lang w:val="en-IN"/>
        </w:rPr>
        <w:t>)</w:t>
      </w:r>
      <w:r w:rsidRPr="000A2657">
        <w:t>. It temporarily consolidated the control of the regional health authorities and coordinated the national purchasing of PPE and ventilators. Although useful, these measure</w:t>
      </w:r>
      <w:r w:rsidRPr="000A2657">
        <w:t>s were not systemic, but reactive.</w:t>
      </w:r>
    </w:p>
    <w:p w14:paraId="0E00D6C1" w14:textId="77777777" w:rsidR="00C45F66" w:rsidRPr="000A2657" w:rsidRDefault="00F149B8">
      <w:pPr>
        <w:pStyle w:val="Heading3"/>
        <w:rPr>
          <w:lang w:val="en-IN"/>
        </w:rPr>
      </w:pPr>
      <w:bookmarkStart w:id="5" w:name="_Toc19316"/>
      <w:r w:rsidRPr="000A2657">
        <w:rPr>
          <w:lang w:val="en-IN"/>
        </w:rPr>
        <w:t>2.1.3. Advantages and Disadvantages:</w:t>
      </w:r>
      <w:bookmarkEnd w:id="5"/>
    </w:p>
    <w:p w14:paraId="513B59EB" w14:textId="77777777" w:rsidR="00C45F66" w:rsidRPr="000A2657" w:rsidRDefault="00F149B8">
      <w:pPr>
        <w:rPr>
          <w:lang w:val="en-IN"/>
        </w:rPr>
      </w:pPr>
      <w:r w:rsidRPr="000A2657">
        <w:t xml:space="preserve">The </w:t>
      </w:r>
      <w:proofErr w:type="spellStart"/>
      <w:r w:rsidRPr="000A2657">
        <w:t>decentralised</w:t>
      </w:r>
      <w:proofErr w:type="spellEnd"/>
      <w:r w:rsidRPr="000A2657">
        <w:t xml:space="preserve"> structure of Spain had both strong and weak sides. The local health authorities would have the opportunity to respond to local epidemics and distribute resources in line with local demands</w:t>
      </w:r>
      <w:r w:rsidRPr="000A2657">
        <w:rPr>
          <w:lang w:val="en-IN"/>
        </w:rPr>
        <w:t xml:space="preserve"> (</w:t>
      </w:r>
      <w:r w:rsidRPr="000A2657">
        <w:rPr>
          <w:rFonts w:eastAsia="Arial" w:cs="Arial"/>
          <w:szCs w:val="22"/>
          <w:lang w:eastAsia="en-US"/>
        </w:rPr>
        <w:t>forumfed.org, 2025</w:t>
      </w:r>
      <w:r w:rsidRPr="000A2657">
        <w:rPr>
          <w:lang w:val="en-IN"/>
        </w:rPr>
        <w:t>)</w:t>
      </w:r>
      <w:r w:rsidRPr="000A2657">
        <w:t xml:space="preserve">. Spain has a </w:t>
      </w:r>
      <w:proofErr w:type="spellStart"/>
      <w:r w:rsidRPr="000A2657">
        <w:t>decentralised</w:t>
      </w:r>
      <w:proofErr w:type="spellEnd"/>
      <w:r w:rsidRPr="000A2657">
        <w:t xml:space="preserve"> approach to innovation, which encourages local and public innovations but is incapable of coordinating and responding to crises. There is no permanent national system by which resources can be shared and this constrains efficiency in times of extensive </w:t>
      </w:r>
      <w:r w:rsidRPr="000A2657">
        <w:lastRenderedPageBreak/>
        <w:t>emergenc</w:t>
      </w:r>
      <w:r w:rsidRPr="000A2657">
        <w:t>ies. In general, the mixed rule of Spain created good responses at the local level but with displeasing results in different regions.</w:t>
      </w:r>
      <w:r w:rsidRPr="000A2657">
        <w:rPr>
          <w:lang w:val="en-IN"/>
        </w:rPr>
        <w:t xml:space="preserve"> </w:t>
      </w:r>
    </w:p>
    <w:p w14:paraId="6CF561DD" w14:textId="77777777" w:rsidR="00C45F66" w:rsidRPr="000A2657" w:rsidRDefault="00F149B8">
      <w:pPr>
        <w:rPr>
          <w:lang w:val="en-IN"/>
        </w:rPr>
      </w:pPr>
      <w:r w:rsidRPr="000A2657">
        <w:t>The fragmentation however caused disparities and problems with coordination between regions</w:t>
      </w:r>
      <w:r w:rsidRPr="000A2657">
        <w:rPr>
          <w:lang w:val="en-IN"/>
        </w:rPr>
        <w:t xml:space="preserve"> (</w:t>
      </w:r>
      <w:r w:rsidRPr="000A2657">
        <w:rPr>
          <w:rFonts w:eastAsia="Arial" w:cs="Arial"/>
          <w:szCs w:val="22"/>
          <w:lang w:eastAsia="en-US"/>
        </w:rPr>
        <w:t>portal.cor.europa.eu, 2025</w:t>
      </w:r>
      <w:r w:rsidRPr="000A2657">
        <w:rPr>
          <w:lang w:val="en-IN"/>
        </w:rPr>
        <w:t>)</w:t>
      </w:r>
      <w:r w:rsidRPr="000A2657">
        <w:t>. In the initial months of the pandemic, strains on hospitals, inequalities in the stocking and the staffing of hospitals, and challenges in the redistribution of resources demonstrated the shortcomings of the structures. The absence of a powerful central mechanism impeded the efforts to redistribute equipment, including ventilators and personal protective equipment</w:t>
      </w:r>
      <w:r w:rsidRPr="000A2657">
        <w:rPr>
          <w:lang w:val="en-IN"/>
        </w:rPr>
        <w:t xml:space="preserve"> (</w:t>
      </w:r>
      <w:r w:rsidRPr="000A2657">
        <w:rPr>
          <w:rFonts w:eastAsia="Arial" w:cs="Arial"/>
          <w:szCs w:val="22"/>
          <w:lang w:eastAsia="en-US"/>
        </w:rPr>
        <w:t>World Health Organization, 2022</w:t>
      </w:r>
      <w:r w:rsidRPr="000A2657">
        <w:rPr>
          <w:lang w:val="en-IN"/>
        </w:rPr>
        <w:t>)</w:t>
      </w:r>
      <w:r w:rsidRPr="000A2657">
        <w:t xml:space="preserve">. In spite of this, Spain had a high level of baseline of universal coverage and </w:t>
      </w:r>
      <w:r w:rsidRPr="000A2657">
        <w:t>established hospital networks allowing it a significant capacity, yet the quality of response was significantly lower in some regions as compared to others.</w:t>
      </w:r>
    </w:p>
    <w:p w14:paraId="1CB83ECB" w14:textId="77777777" w:rsidR="00C45F66" w:rsidRPr="000A2657" w:rsidRDefault="00F149B8">
      <w:pPr>
        <w:pStyle w:val="Heading2"/>
      </w:pPr>
      <w:bookmarkStart w:id="6" w:name="_Toc9127"/>
      <w:r w:rsidRPr="000A2657">
        <w:t>2.2 South Korea</w:t>
      </w:r>
      <w:bookmarkEnd w:id="6"/>
    </w:p>
    <w:p w14:paraId="634DAD9D" w14:textId="77777777" w:rsidR="00C45F66" w:rsidRPr="000A2657" w:rsidRDefault="00F149B8">
      <w:pPr>
        <w:pStyle w:val="Heading3"/>
      </w:pPr>
      <w:bookmarkStart w:id="7" w:name="_Toc18054"/>
      <w:r w:rsidRPr="000A2657">
        <w:rPr>
          <w:lang w:val="en-IN"/>
        </w:rPr>
        <w:t xml:space="preserve">2.2.1. </w:t>
      </w:r>
      <w:r w:rsidRPr="000A2657">
        <w:t>Design of the Health System</w:t>
      </w:r>
      <w:bookmarkEnd w:id="7"/>
    </w:p>
    <w:p w14:paraId="360A3EE5" w14:textId="77777777" w:rsidR="00C45F66" w:rsidRPr="000A2657" w:rsidRDefault="00F149B8">
      <w:r w:rsidRPr="000A2657">
        <w:t xml:space="preserve">South Korea has a nationally </w:t>
      </w:r>
      <w:proofErr w:type="spellStart"/>
      <w:r w:rsidRPr="000A2657">
        <w:t>co-ordinated</w:t>
      </w:r>
      <w:proofErr w:type="spellEnd"/>
      <w:r w:rsidRPr="000A2657">
        <w:t xml:space="preserve"> system of health that is </w:t>
      </w:r>
      <w:proofErr w:type="spellStart"/>
      <w:r w:rsidRPr="000A2657">
        <w:t>centralised</w:t>
      </w:r>
      <w:proofErr w:type="spellEnd"/>
      <w:r w:rsidRPr="000A2657">
        <w:t xml:space="preserve"> and universal and is referred to as National Health Insurance Service</w:t>
      </w:r>
      <w:r w:rsidRPr="000A2657">
        <w:rPr>
          <w:lang w:val="en-IN"/>
        </w:rPr>
        <w:t xml:space="preserve"> (</w:t>
      </w:r>
      <w:r w:rsidRPr="000A2657">
        <w:rPr>
          <w:rFonts w:eastAsia="Arial" w:cs="Arial"/>
          <w:szCs w:val="22"/>
          <w:lang w:eastAsia="en-US"/>
        </w:rPr>
        <w:t>k-guide.kr, 2025</w:t>
      </w:r>
      <w:r w:rsidRPr="000A2657">
        <w:rPr>
          <w:lang w:val="en-IN"/>
        </w:rPr>
        <w:t>)</w:t>
      </w:r>
      <w:r w:rsidRPr="000A2657">
        <w:t>. Approximately 97</w:t>
      </w:r>
      <w:r w:rsidRPr="000A2657">
        <w:rPr>
          <w:lang w:val="en-IN"/>
        </w:rPr>
        <w:t>%</w:t>
      </w:r>
      <w:r w:rsidRPr="000A2657">
        <w:t xml:space="preserve"> of the population is covered by the NHIS. The rest of the population is a subject of publicly financed Medical Aid program. The providers of the health services are predominantly the private providers, yet the entire system should be involved in the NHIS and adhere to benefits packages and prices that are centrally determined.</w:t>
      </w:r>
      <w:r w:rsidRPr="000A2657">
        <w:rPr>
          <w:lang w:val="en-IN"/>
        </w:rPr>
        <w:t xml:space="preserve"> </w:t>
      </w:r>
      <w:r w:rsidRPr="000A2657">
        <w:t>South Korea had approxima</w:t>
      </w:r>
      <w:r w:rsidRPr="000A2657">
        <w:t>tely 12.3 hospitals bed per 1</w:t>
      </w:r>
      <w:r w:rsidRPr="000A2657">
        <w:rPr>
          <w:lang w:val="en-IN"/>
        </w:rPr>
        <w:t>,</w:t>
      </w:r>
      <w:r w:rsidRPr="000A2657">
        <w:t>000 people in 2018, which is approximately twice the OECD average</w:t>
      </w:r>
      <w:r w:rsidRPr="000A2657">
        <w:rPr>
          <w:lang w:val="en-IN"/>
        </w:rPr>
        <w:t xml:space="preserve"> (</w:t>
      </w:r>
      <w:r w:rsidRPr="000A2657">
        <w:rPr>
          <w:rFonts w:eastAsia="Arial" w:cs="Arial"/>
          <w:szCs w:val="22"/>
          <w:lang w:eastAsia="en-US"/>
        </w:rPr>
        <w:t>mohw.go.kr, 2025</w:t>
      </w:r>
      <w:r w:rsidRPr="000A2657">
        <w:rPr>
          <w:lang w:val="en-IN"/>
        </w:rPr>
        <w:t>)</w:t>
      </w:r>
      <w:r w:rsidRPr="000A2657">
        <w:t>.</w:t>
      </w:r>
    </w:p>
    <w:p w14:paraId="421BAF62" w14:textId="77777777" w:rsidR="00C45F66" w:rsidRPr="000A2657" w:rsidRDefault="00F149B8">
      <w:pPr>
        <w:pStyle w:val="Heading3"/>
      </w:pPr>
      <w:bookmarkStart w:id="8" w:name="_Toc13232"/>
      <w:r w:rsidRPr="000A2657">
        <w:rPr>
          <w:lang w:val="en-IN"/>
        </w:rPr>
        <w:t xml:space="preserve">2.2.2. </w:t>
      </w:r>
      <w:r w:rsidRPr="000A2657">
        <w:t>Critical Analysis Response to COVID-19</w:t>
      </w:r>
      <w:bookmarkEnd w:id="8"/>
    </w:p>
    <w:p w14:paraId="3B24146D" w14:textId="77777777" w:rsidR="00C45F66" w:rsidRPr="000A2657" w:rsidRDefault="00F149B8">
      <w:r w:rsidRPr="000A2657">
        <w:t xml:space="preserve">The health system in South Korea is </w:t>
      </w:r>
      <w:proofErr w:type="spellStart"/>
      <w:r w:rsidRPr="000A2657">
        <w:t>centralised</w:t>
      </w:r>
      <w:proofErr w:type="spellEnd"/>
      <w:r w:rsidRPr="000A2657">
        <w:t xml:space="preserve"> through the National Health Insurance Service (NHIS) and that includes approximately 97</w:t>
      </w:r>
      <w:r w:rsidRPr="000A2657">
        <w:rPr>
          <w:lang w:val="en-IN"/>
        </w:rPr>
        <w:t>%</w:t>
      </w:r>
      <w:r w:rsidRPr="000A2657">
        <w:t xml:space="preserve"> of the people</w:t>
      </w:r>
      <w:r w:rsidRPr="000A2657">
        <w:rPr>
          <w:lang w:val="en-IN"/>
        </w:rPr>
        <w:t xml:space="preserve"> (</w:t>
      </w:r>
      <w:r w:rsidRPr="000A2657">
        <w:rPr>
          <w:rFonts w:eastAsia="Arial" w:cs="Arial"/>
          <w:szCs w:val="22"/>
          <w:lang w:eastAsia="en-US"/>
        </w:rPr>
        <w:t>nhis.or.kr, 2025</w:t>
      </w:r>
      <w:r w:rsidRPr="000A2657">
        <w:rPr>
          <w:lang w:val="en-IN"/>
        </w:rPr>
        <w:t>)</w:t>
      </w:r>
      <w:r w:rsidRPr="000A2657">
        <w:t xml:space="preserve">. The Korea Disease Control and Prevention Agency (KDCA) </w:t>
      </w:r>
      <w:proofErr w:type="gramStart"/>
      <w:r w:rsidRPr="000A2657">
        <w:t>is</w:t>
      </w:r>
      <w:proofErr w:type="gramEnd"/>
      <w:r w:rsidRPr="000A2657">
        <w:t xml:space="preserve"> the authoritative body of public health management in the country. The healthcare delivery is characterized by the presence of the private hospitals that are represented by Samsung Medical Center and Seoul National University Hospital and work within the same regulatory framework</w:t>
      </w:r>
      <w:r w:rsidRPr="000A2657">
        <w:rPr>
          <w:lang w:val="en-IN"/>
        </w:rPr>
        <w:t xml:space="preserve"> (</w:t>
      </w:r>
      <w:r w:rsidRPr="000A2657">
        <w:rPr>
          <w:rFonts w:eastAsia="Arial" w:cs="Arial"/>
          <w:szCs w:val="22"/>
          <w:lang w:eastAsia="en-US"/>
        </w:rPr>
        <w:t>snuh.org, 2025</w:t>
      </w:r>
      <w:r w:rsidRPr="000A2657">
        <w:rPr>
          <w:lang w:val="en-IN"/>
        </w:rPr>
        <w:t>)</w:t>
      </w:r>
      <w:r w:rsidRPr="000A2657">
        <w:t>.</w:t>
      </w:r>
      <w:r w:rsidRPr="000A2657">
        <w:rPr>
          <w:lang w:val="en-IN"/>
        </w:rPr>
        <w:t xml:space="preserve"> </w:t>
      </w:r>
      <w:r w:rsidRPr="000A2657">
        <w:t>The base of resource</w:t>
      </w:r>
      <w:r w:rsidRPr="000A2657">
        <w:t>s in South Korea is extremely high with the country having approximately 12.6 hospital beds per 1</w:t>
      </w:r>
      <w:r w:rsidRPr="000A2657">
        <w:rPr>
          <w:lang w:val="en-IN"/>
        </w:rPr>
        <w:t>,</w:t>
      </w:r>
      <w:r w:rsidRPr="000A2657">
        <w:t xml:space="preserve">000 population and this </w:t>
      </w:r>
      <w:r w:rsidRPr="000A2657">
        <w:lastRenderedPageBreak/>
        <w:t>is one of the highest in the OECD countries and is way above OECD average of about 4-5</w:t>
      </w:r>
      <w:r w:rsidRPr="000A2657">
        <w:rPr>
          <w:lang w:val="en-IN"/>
        </w:rPr>
        <w:t xml:space="preserve"> (</w:t>
      </w:r>
      <w:r w:rsidRPr="000A2657">
        <w:rPr>
          <w:rFonts w:eastAsia="Arial" w:cs="Arial"/>
          <w:szCs w:val="22"/>
          <w:lang w:eastAsia="en-US"/>
        </w:rPr>
        <w:t>koreabiomed.com, 2025</w:t>
      </w:r>
      <w:r w:rsidRPr="000A2657">
        <w:rPr>
          <w:lang w:val="en-IN"/>
        </w:rPr>
        <w:t>)</w:t>
      </w:r>
      <w:r w:rsidRPr="000A2657">
        <w:t>. This bed capacity, along with a well-developed system of diagnostics, made the system more resilient in the case of COVID-19.</w:t>
      </w:r>
      <w:r w:rsidRPr="000A2657">
        <w:rPr>
          <w:lang w:val="en-IN"/>
        </w:rPr>
        <w:t xml:space="preserve"> </w:t>
      </w:r>
      <w:r w:rsidRPr="000A2657">
        <w:t>A fast response strategy called Test, Trace, Treat was implemented by the central government</w:t>
      </w:r>
      <w:r w:rsidRPr="000A2657">
        <w:rPr>
          <w:lang w:val="en-IN"/>
        </w:rPr>
        <w:t xml:space="preserve"> (</w:t>
      </w:r>
      <w:r w:rsidRPr="000A2657">
        <w:rPr>
          <w:rFonts w:eastAsia="Arial" w:cs="Arial"/>
          <w:szCs w:val="22"/>
          <w:lang w:eastAsia="en-US"/>
        </w:rPr>
        <w:t>bbc.com, 2020</w:t>
      </w:r>
      <w:r w:rsidRPr="000A2657">
        <w:rPr>
          <w:lang w:val="en-IN"/>
        </w:rPr>
        <w:t>)</w:t>
      </w:r>
      <w:r w:rsidRPr="000A2657">
        <w:t xml:space="preserve">. It uniformed testing protocols, isolation </w:t>
      </w:r>
      <w:r w:rsidRPr="000A2657">
        <w:t xml:space="preserve">and treatment in each region. KDCA arranged national laboratories, local testing </w:t>
      </w:r>
      <w:proofErr w:type="spellStart"/>
      <w:r w:rsidRPr="000A2657">
        <w:t>centres</w:t>
      </w:r>
      <w:proofErr w:type="spellEnd"/>
      <w:r w:rsidRPr="000A2657">
        <w:t xml:space="preserve"> and real time surveillance systems. To provide equal access to treatment, NHIS covered the expenses of COVID-19 treatment. The </w:t>
      </w:r>
      <w:proofErr w:type="spellStart"/>
      <w:r w:rsidRPr="000A2657">
        <w:t>centralised</w:t>
      </w:r>
      <w:proofErr w:type="spellEnd"/>
      <w:r w:rsidRPr="000A2657">
        <w:t xml:space="preserve"> guidance and </w:t>
      </w:r>
      <w:proofErr w:type="spellStart"/>
      <w:r w:rsidRPr="000A2657">
        <w:t>mobilisation</w:t>
      </w:r>
      <w:proofErr w:type="spellEnd"/>
      <w:r w:rsidRPr="000A2657">
        <w:t xml:space="preserve"> of resources saw the further expansion of ICU units and isolation wards in hospitals in a matter of days.</w:t>
      </w:r>
      <w:r w:rsidRPr="000A2657">
        <w:rPr>
          <w:lang w:val="en-IN"/>
        </w:rPr>
        <w:t xml:space="preserve"> </w:t>
      </w:r>
      <w:r w:rsidRPr="000A2657">
        <w:t>These measures allowed the early containment and reduced the mortality rates compared to most of the Western countries</w:t>
      </w:r>
      <w:r w:rsidRPr="000A2657">
        <w:rPr>
          <w:lang w:val="en-IN"/>
        </w:rPr>
        <w:t xml:space="preserve"> (</w:t>
      </w:r>
      <w:r w:rsidRPr="000A2657">
        <w:rPr>
          <w:rFonts w:eastAsia="Arial" w:cs="Arial"/>
          <w:szCs w:val="22"/>
          <w:lang w:eastAsia="en-US"/>
        </w:rPr>
        <w:t>Coccia, 2023</w:t>
      </w:r>
      <w:r w:rsidRPr="000A2657">
        <w:rPr>
          <w:lang w:val="en-IN"/>
        </w:rPr>
        <w:t>)</w:t>
      </w:r>
      <w:r w:rsidRPr="000A2657">
        <w:t>. Nationwide online</w:t>
      </w:r>
      <w:r w:rsidRPr="000A2657">
        <w:t>-based contact tracing and entry logs based on QR codes quickened the detection of outbreaks. Yet, these approaches generated privacy and surveillance concerns among people.</w:t>
      </w:r>
    </w:p>
    <w:p w14:paraId="72305A8F" w14:textId="77777777" w:rsidR="00C45F66" w:rsidRPr="000A2657" w:rsidRDefault="00F149B8">
      <w:pPr>
        <w:pStyle w:val="Heading3"/>
        <w:rPr>
          <w:lang w:val="en-IN"/>
        </w:rPr>
      </w:pPr>
      <w:bookmarkStart w:id="9" w:name="_Toc8782"/>
      <w:r w:rsidRPr="000A2657">
        <w:rPr>
          <w:lang w:val="en-IN"/>
        </w:rPr>
        <w:t xml:space="preserve">2.2.3. </w:t>
      </w:r>
      <w:proofErr w:type="spellStart"/>
      <w:r w:rsidRPr="000A2657">
        <w:rPr>
          <w:lang w:val="en-IN"/>
        </w:rPr>
        <w:t>Adavantages</w:t>
      </w:r>
      <w:proofErr w:type="spellEnd"/>
      <w:r w:rsidRPr="000A2657">
        <w:rPr>
          <w:lang w:val="en-IN"/>
        </w:rPr>
        <w:t xml:space="preserve"> and Drawbacks</w:t>
      </w:r>
      <w:bookmarkEnd w:id="9"/>
    </w:p>
    <w:p w14:paraId="440F0C4C" w14:textId="77777777" w:rsidR="00C45F66" w:rsidRPr="000A2657" w:rsidRDefault="00F149B8">
      <w:pPr>
        <w:rPr>
          <w:lang w:val="en-IN"/>
        </w:rPr>
      </w:pPr>
      <w:r w:rsidRPr="000A2657">
        <w:t xml:space="preserve">The </w:t>
      </w:r>
      <w:proofErr w:type="spellStart"/>
      <w:r w:rsidRPr="000A2657">
        <w:t>centralised</w:t>
      </w:r>
      <w:proofErr w:type="spellEnd"/>
      <w:r w:rsidRPr="000A2657">
        <w:t xml:space="preserve"> system of South Korea was a huge strength in the face of COVID-19. The government put in place a Testing, Tracing and Treatment strategy which was supported with good infrastructure such as diagnostic labs and screening centers</w:t>
      </w:r>
      <w:r w:rsidRPr="000A2657">
        <w:rPr>
          <w:lang w:val="en-IN"/>
        </w:rPr>
        <w:t xml:space="preserve"> (</w:t>
      </w:r>
      <w:r w:rsidRPr="000A2657">
        <w:rPr>
          <w:rFonts w:eastAsia="Arial" w:cs="Arial"/>
          <w:szCs w:val="22"/>
          <w:lang w:eastAsia="en-US"/>
        </w:rPr>
        <w:t>Chen</w:t>
      </w:r>
      <w:r w:rsidRPr="000A2657">
        <w:rPr>
          <w:rFonts w:eastAsia="Arial" w:cs="Arial"/>
          <w:szCs w:val="22"/>
          <w:lang w:val="en-IN" w:eastAsia="en-US"/>
        </w:rPr>
        <w:t xml:space="preserve"> </w:t>
      </w:r>
      <w:r w:rsidRPr="000A2657">
        <w:rPr>
          <w:rFonts w:eastAsia="Arial" w:cs="Arial"/>
          <w:i/>
          <w:iCs/>
          <w:szCs w:val="22"/>
          <w:lang w:val="en-IN" w:eastAsia="en-US"/>
        </w:rPr>
        <w:t xml:space="preserve">et al. </w:t>
      </w:r>
      <w:r w:rsidRPr="000A2657">
        <w:rPr>
          <w:rFonts w:eastAsia="Arial" w:cs="Arial"/>
          <w:szCs w:val="22"/>
          <w:lang w:val="en-IN" w:eastAsia="en-US"/>
        </w:rPr>
        <w:t>2021</w:t>
      </w:r>
      <w:r w:rsidRPr="000A2657">
        <w:rPr>
          <w:lang w:val="en-IN"/>
        </w:rPr>
        <w:t>)</w:t>
      </w:r>
      <w:r w:rsidRPr="000A2657">
        <w:t>. The financial issues were eliminated because the government presented no out-of-pocket payments in the treatment of COVID-19. High capacity of hospitals implied that the nation had the ability to react to the surge without overstraining the system. Tec</w:t>
      </w:r>
      <w:r w:rsidRPr="000A2657">
        <w:t>hnology was used to coordinate contact tracing, quarantining, and treatment throughout the country</w:t>
      </w:r>
      <w:r w:rsidRPr="000A2657">
        <w:rPr>
          <w:lang w:val="en-IN"/>
        </w:rPr>
        <w:t xml:space="preserve"> (</w:t>
      </w:r>
      <w:r w:rsidRPr="000A2657">
        <w:rPr>
          <w:rFonts w:eastAsia="Arial" w:cs="Arial"/>
          <w:szCs w:val="22"/>
          <w:lang w:eastAsia="en-US"/>
        </w:rPr>
        <w:t>Yoo</w:t>
      </w:r>
      <w:r w:rsidRPr="000A2657">
        <w:rPr>
          <w:rFonts w:eastAsia="Arial" w:cs="Arial"/>
          <w:szCs w:val="22"/>
          <w:lang w:val="en-IN" w:eastAsia="en-US"/>
        </w:rPr>
        <w:t xml:space="preserve"> </w:t>
      </w:r>
      <w:r w:rsidRPr="000A2657">
        <w:rPr>
          <w:rFonts w:eastAsia="Arial" w:cs="Arial"/>
          <w:i/>
          <w:iCs/>
          <w:szCs w:val="22"/>
          <w:lang w:val="en-IN" w:eastAsia="en-US"/>
        </w:rPr>
        <w:t xml:space="preserve">et al. </w:t>
      </w:r>
      <w:r w:rsidRPr="000A2657">
        <w:rPr>
          <w:rFonts w:eastAsia="Arial" w:cs="Arial"/>
          <w:szCs w:val="22"/>
          <w:lang w:val="en-IN" w:eastAsia="en-US"/>
        </w:rPr>
        <w:t>2021</w:t>
      </w:r>
      <w:r w:rsidRPr="000A2657">
        <w:rPr>
          <w:lang w:val="en-IN"/>
        </w:rPr>
        <w:t>)</w:t>
      </w:r>
      <w:r w:rsidRPr="000A2657">
        <w:t xml:space="preserve">. Comprehensively, rapid and equal response was possible through the integrated national system of South Korea, high hospital capacity and </w:t>
      </w:r>
      <w:proofErr w:type="spellStart"/>
      <w:r w:rsidRPr="000A2657">
        <w:t>centralised</w:t>
      </w:r>
      <w:proofErr w:type="spellEnd"/>
      <w:r w:rsidRPr="000A2657">
        <w:t xml:space="preserve"> coordination. However, the struggle of the central control and flexibility on the community level is a challenge that is still developing.</w:t>
      </w:r>
      <w:r w:rsidRPr="000A2657">
        <w:rPr>
          <w:lang w:val="en-IN"/>
        </w:rPr>
        <w:t xml:space="preserve"> </w:t>
      </w:r>
    </w:p>
    <w:p w14:paraId="10578C44" w14:textId="77777777" w:rsidR="00C45F66" w:rsidRPr="000A2657" w:rsidRDefault="00F149B8">
      <w:r w:rsidRPr="000A2657">
        <w:t xml:space="preserve">There were certain structural disadvantages such as the underutilization of primary care and the overuse of hospitals. The high dependency on hospital-based care would overload the tertiary </w:t>
      </w:r>
      <w:proofErr w:type="spellStart"/>
      <w:r w:rsidRPr="000A2657">
        <w:t>centres</w:t>
      </w:r>
      <w:proofErr w:type="spellEnd"/>
      <w:r w:rsidRPr="000A2657">
        <w:t xml:space="preserve"> at times</w:t>
      </w:r>
      <w:r w:rsidRPr="000A2657">
        <w:rPr>
          <w:lang w:val="en-IN"/>
        </w:rPr>
        <w:t xml:space="preserve"> (</w:t>
      </w:r>
      <w:r w:rsidRPr="000A2657">
        <w:rPr>
          <w:rFonts w:eastAsia="Arial" w:cs="Arial"/>
          <w:szCs w:val="22"/>
          <w:lang w:eastAsia="en-US"/>
        </w:rPr>
        <w:t>Lim</w:t>
      </w:r>
      <w:r w:rsidRPr="000A2657">
        <w:rPr>
          <w:rFonts w:eastAsia="Arial" w:cs="Arial"/>
          <w:szCs w:val="22"/>
          <w:lang w:val="en-IN" w:eastAsia="en-US"/>
        </w:rPr>
        <w:t xml:space="preserve"> </w:t>
      </w:r>
      <w:r w:rsidRPr="000A2657">
        <w:rPr>
          <w:rFonts w:eastAsia="Arial" w:cs="Arial"/>
          <w:i/>
          <w:iCs/>
          <w:szCs w:val="22"/>
          <w:lang w:val="en-IN" w:eastAsia="en-US"/>
        </w:rPr>
        <w:t xml:space="preserve">et al. </w:t>
      </w:r>
      <w:r w:rsidRPr="000A2657">
        <w:rPr>
          <w:rFonts w:eastAsia="Arial" w:cs="Arial"/>
          <w:szCs w:val="22"/>
          <w:lang w:val="en-IN" w:eastAsia="en-US"/>
        </w:rPr>
        <w:t>2021</w:t>
      </w:r>
      <w:r w:rsidRPr="000A2657">
        <w:rPr>
          <w:lang w:val="en-IN"/>
        </w:rPr>
        <w:t>)</w:t>
      </w:r>
      <w:r w:rsidRPr="000A2657">
        <w:t xml:space="preserve">. Primary care clinics were playing few roles in early detection or home-based management. The </w:t>
      </w:r>
      <w:proofErr w:type="spellStart"/>
      <w:r w:rsidRPr="000A2657">
        <w:t>centralised</w:t>
      </w:r>
      <w:proofErr w:type="spellEnd"/>
      <w:r w:rsidRPr="000A2657">
        <w:t xml:space="preserve"> restrictions were sometimes inflexible to the rural areas that had few cases</w:t>
      </w:r>
      <w:r w:rsidRPr="000A2657">
        <w:rPr>
          <w:lang w:val="en-IN"/>
        </w:rPr>
        <w:t xml:space="preserve"> (</w:t>
      </w:r>
      <w:r w:rsidRPr="000A2657">
        <w:rPr>
          <w:rFonts w:eastAsia="Arial" w:cs="Arial"/>
          <w:szCs w:val="22"/>
          <w:lang w:eastAsia="en-US"/>
        </w:rPr>
        <w:t>koreabiomed.com, 2025</w:t>
      </w:r>
      <w:r w:rsidRPr="000A2657">
        <w:rPr>
          <w:lang w:val="en-IN"/>
        </w:rPr>
        <w:t>)</w:t>
      </w:r>
      <w:r w:rsidRPr="000A2657">
        <w:t>.</w:t>
      </w:r>
      <w:r w:rsidRPr="000A2657">
        <w:rPr>
          <w:lang w:val="en-IN"/>
        </w:rPr>
        <w:t xml:space="preserve"> </w:t>
      </w:r>
      <w:r w:rsidRPr="000A2657">
        <w:t xml:space="preserve">This notwithstanding, </w:t>
      </w:r>
      <w:proofErr w:type="spellStart"/>
      <w:r w:rsidRPr="000A2657">
        <w:t>centralisation</w:t>
      </w:r>
      <w:proofErr w:type="spellEnd"/>
      <w:r w:rsidRPr="000A2657">
        <w:t xml:space="preserve"> made it possible to </w:t>
      </w:r>
      <w:r w:rsidRPr="000A2657">
        <w:lastRenderedPageBreak/>
        <w:t>implement policies throughout the country in a short period of time, equal accessibility, and mobilization of resources efficiently.</w:t>
      </w:r>
    </w:p>
    <w:p w14:paraId="09ACB937" w14:textId="77777777" w:rsidR="00C45F66" w:rsidRPr="000A2657" w:rsidRDefault="00C45F66"/>
    <w:p w14:paraId="424A2269" w14:textId="77777777" w:rsidR="00C45F66" w:rsidRPr="000A2657" w:rsidRDefault="00F149B8">
      <w:pPr>
        <w:pStyle w:val="Heading2"/>
      </w:pPr>
      <w:bookmarkStart w:id="10" w:name="_Toc19924"/>
      <w:r w:rsidRPr="000A2657">
        <w:t>2.3 Canada</w:t>
      </w:r>
      <w:bookmarkEnd w:id="10"/>
    </w:p>
    <w:p w14:paraId="3116EF29" w14:textId="77777777" w:rsidR="00C45F66" w:rsidRPr="000A2657" w:rsidRDefault="00F149B8">
      <w:pPr>
        <w:pStyle w:val="Heading3"/>
      </w:pPr>
      <w:bookmarkStart w:id="11" w:name="_Toc22546"/>
      <w:r w:rsidRPr="000A2657">
        <w:rPr>
          <w:lang w:val="en-IN"/>
        </w:rPr>
        <w:t xml:space="preserve">2.3.1. Design of the </w:t>
      </w:r>
      <w:r w:rsidRPr="000A2657">
        <w:t xml:space="preserve">Health System </w:t>
      </w:r>
      <w:proofErr w:type="spellStart"/>
      <w:r w:rsidRPr="000A2657">
        <w:t>Organisation</w:t>
      </w:r>
      <w:bookmarkEnd w:id="11"/>
      <w:proofErr w:type="spellEnd"/>
    </w:p>
    <w:p w14:paraId="57E1C9A4" w14:textId="77777777" w:rsidR="00C45F66" w:rsidRPr="000A2657" w:rsidRDefault="00F149B8">
      <w:r w:rsidRPr="000A2657">
        <w:t xml:space="preserve">The health system of Canada is </w:t>
      </w:r>
      <w:proofErr w:type="spellStart"/>
      <w:r w:rsidRPr="000A2657">
        <w:t>decentralised</w:t>
      </w:r>
      <w:proofErr w:type="spellEnd"/>
      <w:r w:rsidRPr="000A2657">
        <w:t xml:space="preserve"> and regionally structured. Health care is the responsibility of 10 provinces and 3 territories</w:t>
      </w:r>
      <w:r w:rsidRPr="000A2657">
        <w:rPr>
          <w:lang w:val="en-IN"/>
        </w:rPr>
        <w:t xml:space="preserve"> (</w:t>
      </w:r>
      <w:r w:rsidRPr="000A2657">
        <w:rPr>
          <w:rFonts w:eastAsia="Arial" w:cs="Arial"/>
          <w:szCs w:val="22"/>
          <w:lang w:eastAsia="en-US"/>
        </w:rPr>
        <w:t>commonwealthfund.org, 2020</w:t>
      </w:r>
      <w:r w:rsidRPr="000A2657">
        <w:rPr>
          <w:lang w:val="en-IN"/>
        </w:rPr>
        <w:t>)</w:t>
      </w:r>
      <w:r w:rsidRPr="000A2657">
        <w:t>. Both of them offer their own health care services, public health programs, hospitals, and long-term care. Services can be provided at provincial levels either through regional health authorities or health and social service centers. Separate public health authorities may be in charge of public health activities including disease surveillance, testing and contact tracing</w:t>
      </w:r>
      <w:r w:rsidRPr="000A2657">
        <w:rPr>
          <w:lang w:val="en-IN"/>
        </w:rPr>
        <w:t xml:space="preserve"> </w:t>
      </w:r>
      <w:r w:rsidRPr="000A2657">
        <w:rPr>
          <w:lang w:val="en-IN"/>
        </w:rPr>
        <w:t>(</w:t>
      </w:r>
      <w:r w:rsidRPr="000A2657">
        <w:rPr>
          <w:rFonts w:eastAsia="Arial" w:cs="Arial"/>
          <w:szCs w:val="22"/>
          <w:lang w:eastAsia="en-US"/>
        </w:rPr>
        <w:t>Hossain</w:t>
      </w:r>
      <w:r w:rsidRPr="000A2657">
        <w:rPr>
          <w:rFonts w:eastAsia="Arial" w:cs="Arial"/>
          <w:szCs w:val="22"/>
          <w:lang w:val="en-IN" w:eastAsia="en-US"/>
        </w:rPr>
        <w:t xml:space="preserve"> </w:t>
      </w:r>
      <w:r w:rsidRPr="000A2657">
        <w:rPr>
          <w:rFonts w:eastAsia="Arial" w:cs="Arial"/>
          <w:i/>
          <w:iCs/>
          <w:szCs w:val="22"/>
          <w:lang w:val="en-IN" w:eastAsia="en-US"/>
        </w:rPr>
        <w:t xml:space="preserve">et al. </w:t>
      </w:r>
      <w:r w:rsidRPr="000A2657">
        <w:rPr>
          <w:rFonts w:eastAsia="Arial" w:cs="Arial"/>
          <w:szCs w:val="22"/>
          <w:lang w:val="en-IN" w:eastAsia="en-US"/>
        </w:rPr>
        <w:t>2022</w:t>
      </w:r>
      <w:r w:rsidRPr="000A2657">
        <w:rPr>
          <w:lang w:val="en-IN"/>
        </w:rPr>
        <w:t>)</w:t>
      </w:r>
      <w:r w:rsidRPr="000A2657">
        <w:t>.</w:t>
      </w:r>
      <w:r w:rsidRPr="000A2657">
        <w:rPr>
          <w:lang w:val="en-IN"/>
        </w:rPr>
        <w:t xml:space="preserve"> </w:t>
      </w:r>
      <w:r w:rsidRPr="000A2657">
        <w:t>Canada has a low number of hospital beds and physicians in comparison to most other high-income countries, particularly acute care.</w:t>
      </w:r>
    </w:p>
    <w:p w14:paraId="0C0178F0" w14:textId="77777777" w:rsidR="00C45F66" w:rsidRPr="000A2657" w:rsidRDefault="00F149B8">
      <w:pPr>
        <w:pStyle w:val="Heading3"/>
      </w:pPr>
      <w:bookmarkStart w:id="12" w:name="_Toc31256"/>
      <w:r w:rsidRPr="000A2657">
        <w:rPr>
          <w:lang w:val="en-IN"/>
        </w:rPr>
        <w:t xml:space="preserve">2.3.2. </w:t>
      </w:r>
      <w:r w:rsidRPr="000A2657">
        <w:t>Critical Analysis Response to COVID-19</w:t>
      </w:r>
      <w:bookmarkEnd w:id="12"/>
    </w:p>
    <w:p w14:paraId="2F89594B" w14:textId="77777777" w:rsidR="00C45F66" w:rsidRPr="000A2657" w:rsidRDefault="00F149B8">
      <w:r w:rsidRPr="000A2657">
        <w:t>Provincial and territorial governments had been at the forefront of responses during COVID-19, with them making decisions about containment, mitigation, expansion of hospital capacity, and public health</w:t>
      </w:r>
      <w:r w:rsidRPr="000A2657">
        <w:rPr>
          <w:lang w:val="en-IN"/>
        </w:rPr>
        <w:t xml:space="preserve"> (</w:t>
      </w:r>
      <w:r w:rsidRPr="000A2657">
        <w:rPr>
          <w:rFonts w:eastAsia="Arial" w:cs="Arial"/>
          <w:szCs w:val="22"/>
          <w:lang w:eastAsia="en-US"/>
        </w:rPr>
        <w:t>Cameron-Blake</w:t>
      </w:r>
      <w:r w:rsidRPr="000A2657">
        <w:rPr>
          <w:rFonts w:eastAsia="Arial" w:cs="Arial"/>
          <w:szCs w:val="22"/>
          <w:lang w:val="en-IN" w:eastAsia="en-US"/>
        </w:rPr>
        <w:t xml:space="preserve"> </w:t>
      </w:r>
      <w:r w:rsidRPr="000A2657">
        <w:rPr>
          <w:rFonts w:eastAsia="Arial" w:cs="Arial"/>
          <w:i/>
          <w:iCs/>
          <w:szCs w:val="22"/>
          <w:lang w:val="en-IN" w:eastAsia="en-US"/>
        </w:rPr>
        <w:t xml:space="preserve">et al. </w:t>
      </w:r>
      <w:r w:rsidRPr="000A2657">
        <w:rPr>
          <w:rFonts w:eastAsia="Arial" w:cs="Arial"/>
          <w:szCs w:val="22"/>
          <w:lang w:val="en-IN" w:eastAsia="en-US"/>
        </w:rPr>
        <w:t>2021</w:t>
      </w:r>
      <w:r w:rsidRPr="000A2657">
        <w:rPr>
          <w:lang w:val="en-IN"/>
        </w:rPr>
        <w:t>)</w:t>
      </w:r>
      <w:r w:rsidRPr="000A2657">
        <w:t xml:space="preserve">. Flexibility gave provinces an opportunity to implement approaches according to population and epidemiological issues. Nevertheless, the </w:t>
      </w:r>
      <w:proofErr w:type="spellStart"/>
      <w:r w:rsidRPr="000A2657">
        <w:t>decentralisation</w:t>
      </w:r>
      <w:proofErr w:type="spellEnd"/>
      <w:r w:rsidRPr="000A2657">
        <w:t xml:space="preserve"> also gave rise to coordination problems. The administration of public health and clinical care was frequently segregated, and in some cases, it hindered the testing, resource mobilization, and vaccination implementations. Hospitals increased ICU capacity, turned wards into critical care, and virtual care in order to spread the </w:t>
      </w:r>
      <w:r w:rsidRPr="000A2657">
        <w:t>transmission</w:t>
      </w:r>
      <w:r w:rsidRPr="000A2657">
        <w:rPr>
          <w:lang w:val="en-IN"/>
        </w:rPr>
        <w:t xml:space="preserve"> (</w:t>
      </w:r>
      <w:proofErr w:type="spellStart"/>
      <w:r w:rsidRPr="000A2657">
        <w:rPr>
          <w:rFonts w:eastAsia="Arial" w:cs="Arial"/>
          <w:szCs w:val="22"/>
          <w:lang w:eastAsia="en-US"/>
        </w:rPr>
        <w:t>Sitammagari</w:t>
      </w:r>
      <w:proofErr w:type="spellEnd"/>
      <w:r w:rsidRPr="000A2657">
        <w:rPr>
          <w:rFonts w:eastAsia="Arial" w:cs="Arial"/>
          <w:szCs w:val="22"/>
          <w:lang w:val="en-IN" w:eastAsia="en-US"/>
        </w:rPr>
        <w:t xml:space="preserve"> </w:t>
      </w:r>
      <w:r w:rsidRPr="000A2657">
        <w:rPr>
          <w:rFonts w:eastAsia="Arial" w:cs="Arial"/>
          <w:i/>
          <w:iCs/>
          <w:szCs w:val="22"/>
          <w:lang w:val="en-IN" w:eastAsia="en-US"/>
        </w:rPr>
        <w:t xml:space="preserve">et al. </w:t>
      </w:r>
      <w:r w:rsidRPr="000A2657">
        <w:rPr>
          <w:rFonts w:eastAsia="Arial" w:cs="Arial"/>
          <w:szCs w:val="22"/>
          <w:lang w:val="en-IN" w:eastAsia="en-US"/>
        </w:rPr>
        <w:t>2021</w:t>
      </w:r>
      <w:r w:rsidRPr="000A2657">
        <w:rPr>
          <w:lang w:val="en-IN"/>
        </w:rPr>
        <w:t>)</w:t>
      </w:r>
      <w:r w:rsidRPr="000A2657">
        <w:t>. In certain provinces, efficiency in responding was curtailed by structural constraints, including reduced available pre-existing hospital capacity and disjointed governance.</w:t>
      </w:r>
    </w:p>
    <w:p w14:paraId="43335E60" w14:textId="77777777" w:rsidR="00C45F66" w:rsidRPr="000A2657" w:rsidRDefault="00F149B8">
      <w:r w:rsidRPr="000A2657">
        <w:t xml:space="preserve">The Canadian healthcare system is </w:t>
      </w:r>
      <w:proofErr w:type="spellStart"/>
      <w:r w:rsidRPr="000A2657">
        <w:t>decentralised</w:t>
      </w:r>
      <w:proofErr w:type="spellEnd"/>
      <w:r w:rsidRPr="000A2657">
        <w:t xml:space="preserve"> and provinces and territories are in control of service provision</w:t>
      </w:r>
      <w:r w:rsidRPr="000A2657">
        <w:rPr>
          <w:lang w:val="en-IN"/>
        </w:rPr>
        <w:t xml:space="preserve"> (</w:t>
      </w:r>
      <w:r w:rsidRPr="000A2657">
        <w:rPr>
          <w:rFonts w:eastAsia="Arial" w:cs="Arial"/>
          <w:szCs w:val="22"/>
          <w:lang w:eastAsia="en-US"/>
        </w:rPr>
        <w:t>Marchildon</w:t>
      </w:r>
      <w:r w:rsidRPr="000A2657">
        <w:rPr>
          <w:rFonts w:eastAsia="Arial" w:cs="Arial"/>
          <w:szCs w:val="22"/>
          <w:lang w:val="en-IN" w:eastAsia="en-US"/>
        </w:rPr>
        <w:t xml:space="preserve"> </w:t>
      </w:r>
      <w:r w:rsidRPr="000A2657">
        <w:rPr>
          <w:rFonts w:eastAsia="Arial" w:cs="Arial"/>
          <w:i/>
          <w:iCs/>
          <w:szCs w:val="22"/>
          <w:lang w:val="en-IN" w:eastAsia="en-US"/>
        </w:rPr>
        <w:t xml:space="preserve">et al. </w:t>
      </w:r>
      <w:r w:rsidRPr="000A2657">
        <w:rPr>
          <w:rFonts w:eastAsia="Arial" w:cs="Arial"/>
          <w:szCs w:val="22"/>
          <w:lang w:val="en-IN" w:eastAsia="en-US"/>
        </w:rPr>
        <w:t>2021</w:t>
      </w:r>
      <w:r w:rsidRPr="000A2657">
        <w:rPr>
          <w:lang w:val="en-IN"/>
        </w:rPr>
        <w:t>)</w:t>
      </w:r>
      <w:r w:rsidRPr="000A2657">
        <w:t xml:space="preserve">. By the authorities, there are hospitals, primary care networks, and regional public health </w:t>
      </w:r>
      <w:proofErr w:type="spellStart"/>
      <w:r w:rsidRPr="000A2657">
        <w:t>programme</w:t>
      </w:r>
      <w:proofErr w:type="spellEnd"/>
      <w:r w:rsidRPr="000A2657">
        <w:t xml:space="preserve"> operated by the authorities like Alberta Health Services (AHS), Ontario Health, and Island Health </w:t>
      </w:r>
      <w:r w:rsidRPr="000A2657">
        <w:lastRenderedPageBreak/>
        <w:t>(British Columbia). The Canada Health Act provides funding to provinces and defines national principles to the federal government that does not regulate the operations.</w:t>
      </w:r>
      <w:r w:rsidRPr="000A2657">
        <w:rPr>
          <w:lang w:val="en-IN"/>
        </w:rPr>
        <w:t xml:space="preserve"> </w:t>
      </w:r>
      <w:r w:rsidRPr="000A2657">
        <w:t>Hospital capacity is relatively low in</w:t>
      </w:r>
      <w:r w:rsidRPr="000A2657">
        <w:t xml:space="preserve"> Canada; approximately 2.5-2.55 beds per 1</w:t>
      </w:r>
      <w:r w:rsidRPr="000A2657">
        <w:rPr>
          <w:lang w:val="en-IN"/>
        </w:rPr>
        <w:t>.</w:t>
      </w:r>
      <w:r w:rsidRPr="000A2657">
        <w:t>000 individuals, very low compared to the OECD average of 4.2</w:t>
      </w:r>
      <w:r w:rsidRPr="000A2657">
        <w:rPr>
          <w:lang w:val="en-IN"/>
        </w:rPr>
        <w:t xml:space="preserve"> (</w:t>
      </w:r>
      <w:r w:rsidRPr="000A2657">
        <w:rPr>
          <w:rFonts w:eastAsia="Arial" w:cs="Arial"/>
          <w:szCs w:val="22"/>
          <w:lang w:eastAsia="en-US"/>
        </w:rPr>
        <w:t>data.worldbank.org, 2025</w:t>
      </w:r>
      <w:r w:rsidRPr="000A2657">
        <w:rPr>
          <w:lang w:val="en-IN"/>
        </w:rPr>
        <w:t>)</w:t>
      </w:r>
      <w:r w:rsidRPr="000A2657">
        <w:t>. There is also a low level of diagnostic infrastructure with the number of MRI and CT scanners per capita being lower than those of the peer countries.</w:t>
      </w:r>
    </w:p>
    <w:p w14:paraId="24B85155" w14:textId="77777777" w:rsidR="00C45F66" w:rsidRPr="000A2657" w:rsidRDefault="00F149B8">
      <w:r w:rsidRPr="000A2657">
        <w:t xml:space="preserve">The provincial response was </w:t>
      </w:r>
      <w:proofErr w:type="spellStart"/>
      <w:r w:rsidRPr="000A2657">
        <w:t>customised</w:t>
      </w:r>
      <w:proofErr w:type="spellEnd"/>
      <w:r w:rsidRPr="000A2657">
        <w:t xml:space="preserve"> through </w:t>
      </w:r>
      <w:proofErr w:type="spellStart"/>
      <w:r w:rsidRPr="000A2657">
        <w:t>decentralisation</w:t>
      </w:r>
      <w:proofErr w:type="spellEnd"/>
      <w:r w:rsidRPr="000A2657">
        <w:t xml:space="preserve"> during the COVID-19</w:t>
      </w:r>
      <w:r w:rsidRPr="000A2657">
        <w:rPr>
          <w:lang w:val="en-IN"/>
        </w:rPr>
        <w:t xml:space="preserve"> (</w:t>
      </w:r>
      <w:r w:rsidRPr="000A2657">
        <w:rPr>
          <w:rFonts w:eastAsia="Arial" w:cs="Arial"/>
          <w:szCs w:val="22"/>
          <w:lang w:eastAsia="en-US"/>
        </w:rPr>
        <w:t>Haldane</w:t>
      </w:r>
      <w:r w:rsidRPr="000A2657">
        <w:rPr>
          <w:rFonts w:eastAsia="Arial" w:cs="Arial"/>
          <w:szCs w:val="22"/>
          <w:lang w:val="en-IN" w:eastAsia="en-US"/>
        </w:rPr>
        <w:t xml:space="preserve"> </w:t>
      </w:r>
      <w:r w:rsidRPr="000A2657">
        <w:rPr>
          <w:rFonts w:eastAsia="Arial" w:cs="Arial"/>
          <w:i/>
          <w:iCs/>
          <w:szCs w:val="22"/>
          <w:lang w:val="en-IN" w:eastAsia="en-US"/>
        </w:rPr>
        <w:t xml:space="preserve">et al. </w:t>
      </w:r>
      <w:r w:rsidRPr="000A2657">
        <w:rPr>
          <w:rFonts w:eastAsia="Arial" w:cs="Arial"/>
          <w:szCs w:val="22"/>
          <w:lang w:val="en-IN" w:eastAsia="en-US"/>
        </w:rPr>
        <w:t>2021</w:t>
      </w:r>
      <w:r w:rsidRPr="000A2657">
        <w:rPr>
          <w:lang w:val="en-IN"/>
        </w:rPr>
        <w:t>)</w:t>
      </w:r>
      <w:r w:rsidRPr="000A2657">
        <w:t>. British Columbia was the first province to introduce early community surveillance, Ontario and Quebec were increasing the hospital wards and ICU. Telemedicine and remote monitoring were embraced in provinces on mild cases. Such flexibility facilitated locally tailored interventions according to local demographics, and local trends in infections.</w:t>
      </w:r>
      <w:r w:rsidRPr="000A2657">
        <w:rPr>
          <w:lang w:val="en-IN"/>
        </w:rPr>
        <w:t xml:space="preserve"> </w:t>
      </w:r>
      <w:r w:rsidRPr="000A2657">
        <w:t xml:space="preserve">Federal vaccines were given out in the provinces, causing unequal rates of </w:t>
      </w:r>
      <w:r w:rsidRPr="000A2657">
        <w:rPr>
          <w:lang w:val="en-IN"/>
        </w:rPr>
        <w:t>roll-out</w:t>
      </w:r>
      <w:r w:rsidRPr="000A2657">
        <w:t xml:space="preserve"> a</w:t>
      </w:r>
      <w:r w:rsidRPr="000A2657">
        <w:t>nd eligibility criteria</w:t>
      </w:r>
      <w:r w:rsidRPr="000A2657">
        <w:rPr>
          <w:lang w:val="en-IN"/>
        </w:rPr>
        <w:t xml:space="preserve"> (</w:t>
      </w:r>
      <w:proofErr w:type="spellStart"/>
      <w:r w:rsidRPr="000A2657">
        <w:rPr>
          <w:rFonts w:eastAsia="Arial" w:cs="Arial"/>
          <w:szCs w:val="22"/>
          <w:lang w:eastAsia="en-US"/>
        </w:rPr>
        <w:t>Kholina</w:t>
      </w:r>
      <w:proofErr w:type="spellEnd"/>
      <w:r w:rsidRPr="000A2657">
        <w:rPr>
          <w:rFonts w:eastAsia="Arial" w:cs="Arial"/>
          <w:szCs w:val="22"/>
          <w:lang w:val="en-IN" w:eastAsia="en-US"/>
        </w:rPr>
        <w:t xml:space="preserve"> </w:t>
      </w:r>
      <w:r w:rsidRPr="000A2657">
        <w:rPr>
          <w:rFonts w:eastAsia="Arial" w:cs="Arial"/>
          <w:i/>
          <w:iCs/>
          <w:szCs w:val="22"/>
          <w:lang w:val="en-IN" w:eastAsia="en-US"/>
        </w:rPr>
        <w:t xml:space="preserve">et al. </w:t>
      </w:r>
      <w:r w:rsidRPr="000A2657">
        <w:rPr>
          <w:rFonts w:eastAsia="Arial" w:cs="Arial"/>
          <w:szCs w:val="22"/>
          <w:lang w:val="en-IN" w:eastAsia="en-US"/>
        </w:rPr>
        <w:t>2022</w:t>
      </w:r>
      <w:r w:rsidRPr="000A2657">
        <w:rPr>
          <w:lang w:val="en-IN"/>
        </w:rPr>
        <w:t>)</w:t>
      </w:r>
      <w:r w:rsidRPr="000A2657">
        <w:t>. There were varying health outcomes that were based on capacity and policy options. Other provinces were extremely controlling, whereas others had some of the highest mortality rates in the long-term care around the globe.</w:t>
      </w:r>
    </w:p>
    <w:p w14:paraId="4E14F628" w14:textId="77777777" w:rsidR="00C45F66" w:rsidRPr="000A2657" w:rsidRDefault="00F149B8">
      <w:pPr>
        <w:pStyle w:val="Heading3"/>
        <w:rPr>
          <w:lang w:val="en-IN"/>
        </w:rPr>
      </w:pPr>
      <w:bookmarkStart w:id="13" w:name="_Toc23607"/>
      <w:r w:rsidRPr="000A2657">
        <w:rPr>
          <w:lang w:val="en-IN"/>
        </w:rPr>
        <w:t>2.3.3. Advantages and Issues</w:t>
      </w:r>
      <w:bookmarkEnd w:id="13"/>
    </w:p>
    <w:p w14:paraId="153432ED" w14:textId="77777777" w:rsidR="00C45F66" w:rsidRPr="000A2657" w:rsidRDefault="00F149B8">
      <w:r w:rsidRPr="000A2657">
        <w:t xml:space="preserve">The </w:t>
      </w:r>
      <w:proofErr w:type="spellStart"/>
      <w:r w:rsidRPr="000A2657">
        <w:t>decentralised</w:t>
      </w:r>
      <w:proofErr w:type="spellEnd"/>
      <w:r w:rsidRPr="000A2657">
        <w:t xml:space="preserve"> system in Canada encourages local flexibility, innovation and autonomy</w:t>
      </w:r>
      <w:r w:rsidRPr="000A2657">
        <w:rPr>
          <w:lang w:val="en-IN"/>
        </w:rPr>
        <w:t xml:space="preserve"> (</w:t>
      </w:r>
      <w:proofErr w:type="spellStart"/>
      <w:r w:rsidRPr="000A2657">
        <w:rPr>
          <w:rFonts w:eastAsia="Arial" w:cs="Arial"/>
          <w:szCs w:val="22"/>
          <w:lang w:eastAsia="en-US"/>
        </w:rPr>
        <w:t>Youvan</w:t>
      </w:r>
      <w:proofErr w:type="spellEnd"/>
      <w:r w:rsidRPr="000A2657">
        <w:rPr>
          <w:rFonts w:eastAsia="Arial" w:cs="Arial"/>
          <w:szCs w:val="22"/>
          <w:lang w:eastAsia="en-US"/>
        </w:rPr>
        <w:t>, 2024</w:t>
      </w:r>
      <w:r w:rsidRPr="000A2657">
        <w:rPr>
          <w:lang w:val="en-IN"/>
        </w:rPr>
        <w:t>)</w:t>
      </w:r>
      <w:r w:rsidRPr="000A2657">
        <w:t xml:space="preserve">. </w:t>
      </w:r>
      <w:r w:rsidRPr="000A2657">
        <w:rPr>
          <w:lang w:val="en-IN"/>
        </w:rPr>
        <w:t xml:space="preserve">However, </w:t>
      </w:r>
      <w:r w:rsidRPr="000A2657">
        <w:t xml:space="preserve">there was little capacity at the bottom and poor national co-ordination to achieve fair access and </w:t>
      </w:r>
      <w:proofErr w:type="spellStart"/>
      <w:r w:rsidRPr="000A2657">
        <w:t>standardisation</w:t>
      </w:r>
      <w:proofErr w:type="spellEnd"/>
      <w:r w:rsidRPr="000A2657">
        <w:t>. The pandemic demonstrated the necessity of greater integration between the federal and provincial level, in particular data systems, long-term care, and emergency preparedness.</w:t>
      </w:r>
    </w:p>
    <w:p w14:paraId="0E927223" w14:textId="77777777" w:rsidR="00C45F66" w:rsidRPr="000A2657" w:rsidRDefault="00F149B8">
      <w:proofErr w:type="spellStart"/>
      <w:r w:rsidRPr="000A2657">
        <w:t>Decentralisation</w:t>
      </w:r>
      <w:proofErr w:type="spellEnd"/>
      <w:r w:rsidRPr="000A2657">
        <w:t xml:space="preserve"> </w:t>
      </w:r>
      <w:r w:rsidRPr="000A2657">
        <w:rPr>
          <w:lang w:val="en-IN"/>
        </w:rPr>
        <w:t xml:space="preserve">also </w:t>
      </w:r>
      <w:r w:rsidRPr="000A2657">
        <w:t>brought about fragmentation as well. The fact that hospitals had very few beds meant that most provinces faced the risk of overflow</w:t>
      </w:r>
      <w:r w:rsidRPr="000A2657">
        <w:rPr>
          <w:lang w:val="en-IN"/>
        </w:rPr>
        <w:t xml:space="preserve"> (</w:t>
      </w:r>
      <w:r w:rsidRPr="000A2657">
        <w:rPr>
          <w:rFonts w:eastAsia="Arial" w:cs="Arial"/>
          <w:szCs w:val="22"/>
          <w:lang w:eastAsia="en-US"/>
        </w:rPr>
        <w:t>Greer</w:t>
      </w:r>
      <w:r w:rsidRPr="000A2657">
        <w:rPr>
          <w:rFonts w:eastAsia="Arial" w:cs="Arial"/>
          <w:szCs w:val="22"/>
          <w:lang w:val="en-IN" w:eastAsia="en-US"/>
        </w:rPr>
        <w:t xml:space="preserve"> </w:t>
      </w:r>
      <w:r w:rsidRPr="000A2657">
        <w:rPr>
          <w:rFonts w:eastAsia="Arial" w:cs="Arial"/>
          <w:i/>
          <w:iCs/>
          <w:szCs w:val="22"/>
          <w:lang w:val="en-IN" w:eastAsia="en-US"/>
        </w:rPr>
        <w:t xml:space="preserve">et al. </w:t>
      </w:r>
      <w:r w:rsidRPr="000A2657">
        <w:rPr>
          <w:rFonts w:eastAsia="Arial" w:cs="Arial"/>
          <w:szCs w:val="22"/>
          <w:lang w:val="en-IN" w:eastAsia="en-US"/>
        </w:rPr>
        <w:t>2021</w:t>
      </w:r>
      <w:r w:rsidRPr="000A2657">
        <w:rPr>
          <w:lang w:val="en-IN"/>
        </w:rPr>
        <w:t>)</w:t>
      </w:r>
      <w:r w:rsidRPr="000A2657">
        <w:t>. There were severe outbreaks in long-term care facilities which are mostly privately run but regulated on a provincial basis, particularly in Ontario and Quebec. Absence of a national data system hindered the information exchange between the provinces. Early acquisition of PPE was disjointed with provinces competing on supplies.</w:t>
      </w:r>
    </w:p>
    <w:p w14:paraId="2331597F" w14:textId="77777777" w:rsidR="00C45F66" w:rsidRPr="000A2657" w:rsidRDefault="00F149B8">
      <w:pPr>
        <w:pStyle w:val="Heading2"/>
      </w:pPr>
      <w:bookmarkStart w:id="14" w:name="_Toc32247"/>
      <w:r w:rsidRPr="000A2657">
        <w:t>2.4 Comparative Reflections</w:t>
      </w:r>
      <w:bookmarkEnd w:id="14"/>
    </w:p>
    <w:p w14:paraId="37431A21" w14:textId="77777777" w:rsidR="00C45F66" w:rsidRPr="000A2657" w:rsidRDefault="00F149B8">
      <w:r w:rsidRPr="000A2657">
        <w:rPr>
          <w:lang w:val="en-IN"/>
        </w:rPr>
        <w:t xml:space="preserve">In context of </w:t>
      </w:r>
      <w:proofErr w:type="spellStart"/>
      <w:r w:rsidRPr="000A2657">
        <w:t>Centralisation</w:t>
      </w:r>
      <w:proofErr w:type="spellEnd"/>
      <w:r w:rsidRPr="000A2657">
        <w:t xml:space="preserve"> vs </w:t>
      </w:r>
      <w:proofErr w:type="spellStart"/>
      <w:r w:rsidRPr="000A2657">
        <w:t>Decentralisation</w:t>
      </w:r>
      <w:proofErr w:type="spellEnd"/>
      <w:r w:rsidRPr="000A2657">
        <w:rPr>
          <w:lang w:val="en-IN"/>
        </w:rPr>
        <w:t>,</w:t>
      </w:r>
      <w:r w:rsidRPr="000A2657">
        <w:t xml:space="preserve"> South Korea had a </w:t>
      </w:r>
      <w:proofErr w:type="spellStart"/>
      <w:r w:rsidRPr="000A2657">
        <w:t>centralised</w:t>
      </w:r>
      <w:proofErr w:type="spellEnd"/>
      <w:r w:rsidRPr="000A2657">
        <w:t xml:space="preserve"> system which enabled quick national alignment, equality and uniformity of policy</w:t>
      </w:r>
      <w:r w:rsidRPr="000A2657">
        <w:rPr>
          <w:lang w:val="en-IN"/>
        </w:rPr>
        <w:t xml:space="preserve"> (</w:t>
      </w:r>
      <w:r w:rsidRPr="000A2657">
        <w:rPr>
          <w:rFonts w:eastAsia="Arial" w:cs="Arial"/>
          <w:szCs w:val="22"/>
          <w:lang w:eastAsia="en-US"/>
        </w:rPr>
        <w:t xml:space="preserve">Feiger, </w:t>
      </w:r>
      <w:r w:rsidRPr="000A2657">
        <w:rPr>
          <w:rFonts w:eastAsia="Arial" w:cs="Arial"/>
          <w:szCs w:val="22"/>
          <w:lang w:eastAsia="en-US"/>
        </w:rPr>
        <w:lastRenderedPageBreak/>
        <w:t>2024</w:t>
      </w:r>
      <w:r w:rsidRPr="000A2657">
        <w:rPr>
          <w:lang w:val="en-IN"/>
        </w:rPr>
        <w:t>)</w:t>
      </w:r>
      <w:r w:rsidRPr="000A2657">
        <w:t xml:space="preserve">. Both </w:t>
      </w:r>
      <w:proofErr w:type="spellStart"/>
      <w:r w:rsidRPr="000A2657">
        <w:t>decentralised</w:t>
      </w:r>
      <w:proofErr w:type="spellEnd"/>
      <w:r w:rsidRPr="000A2657">
        <w:t xml:space="preserve"> Spain and Canada became flexible yet disintegrated, had unequal regional reactions and failed to coordinate.</w:t>
      </w:r>
    </w:p>
    <w:p w14:paraId="244E3849" w14:textId="77777777" w:rsidR="00C45F66" w:rsidRPr="000A2657" w:rsidRDefault="00F149B8">
      <w:r w:rsidRPr="000A2657">
        <w:rPr>
          <w:lang w:val="en-IN"/>
        </w:rPr>
        <w:t xml:space="preserve">In the context of </w:t>
      </w:r>
      <w:r w:rsidRPr="000A2657">
        <w:t>Capacity and Infrastructure</w:t>
      </w:r>
      <w:r w:rsidRPr="000A2657">
        <w:rPr>
          <w:lang w:val="en-IN"/>
        </w:rPr>
        <w:t>,</w:t>
      </w:r>
      <w:r w:rsidRPr="000A2657">
        <w:t xml:space="preserve"> </w:t>
      </w:r>
      <w:r w:rsidRPr="000A2657">
        <w:rPr>
          <w:lang w:val="en-IN"/>
        </w:rPr>
        <w:t>t</w:t>
      </w:r>
      <w:r w:rsidRPr="000A2657">
        <w:t>he great endowment with hospital beds and universal coverage was resilient in South Korea</w:t>
      </w:r>
      <w:r w:rsidRPr="000A2657">
        <w:rPr>
          <w:lang w:val="en-IN"/>
        </w:rPr>
        <w:t xml:space="preserve"> (</w:t>
      </w:r>
      <w:r w:rsidRPr="000A2657">
        <w:rPr>
          <w:rFonts w:eastAsia="Arial" w:cs="Arial"/>
          <w:szCs w:val="22"/>
          <w:lang w:eastAsia="en-US"/>
        </w:rPr>
        <w:t>weforum.org, 2025</w:t>
      </w:r>
      <w:r w:rsidRPr="000A2657">
        <w:rPr>
          <w:lang w:val="en-IN"/>
        </w:rPr>
        <w:t>)</w:t>
      </w:r>
      <w:r w:rsidRPr="000A2657">
        <w:t xml:space="preserve">. The universal system and the infrastructure that already existed was an advantage to </w:t>
      </w:r>
      <w:proofErr w:type="gramStart"/>
      <w:r w:rsidRPr="000A2657">
        <w:t>Spain,</w:t>
      </w:r>
      <w:proofErr w:type="gramEnd"/>
      <w:r w:rsidRPr="000A2657">
        <w:t xml:space="preserve"> however, the problem of uneven regional control hindered the maximum utilization of resources. The lower baseline hospital bed and the lack of unified public health and clinical integration were the constraints to expansion of ICU capacity and transitioning to virtual care in Ca</w:t>
      </w:r>
      <w:r w:rsidRPr="000A2657">
        <w:t>nada, available to the provinces.</w:t>
      </w:r>
    </w:p>
    <w:p w14:paraId="67D20941" w14:textId="77777777" w:rsidR="00C45F66" w:rsidRPr="000A2657" w:rsidRDefault="00F149B8">
      <w:pPr>
        <w:rPr>
          <w:lang w:val="en-IN"/>
        </w:rPr>
      </w:pPr>
      <w:r w:rsidRPr="000A2657">
        <w:rPr>
          <w:lang w:val="en-IN"/>
        </w:rPr>
        <w:t xml:space="preserve">In the case of </w:t>
      </w:r>
      <w:r w:rsidRPr="000A2657">
        <w:t>Public Health Integration</w:t>
      </w:r>
      <w:r w:rsidRPr="000A2657">
        <w:rPr>
          <w:lang w:val="en-IN"/>
        </w:rPr>
        <w:t>,</w:t>
      </w:r>
      <w:r w:rsidRPr="000A2657">
        <w:t xml:space="preserve"> South Korea combined both measures of public health and clinical care in an effective way, which allowed it to test, trace, and treat effectively</w:t>
      </w:r>
      <w:r w:rsidRPr="000A2657">
        <w:rPr>
          <w:lang w:val="en-IN"/>
        </w:rPr>
        <w:t xml:space="preserve"> (</w:t>
      </w:r>
      <w:r w:rsidRPr="000A2657">
        <w:rPr>
          <w:rFonts w:eastAsia="Arial" w:cs="Arial"/>
          <w:szCs w:val="22"/>
          <w:lang w:eastAsia="en-US"/>
        </w:rPr>
        <w:t>annalsofglobalhealth.org, 2025</w:t>
      </w:r>
      <w:r w:rsidRPr="000A2657">
        <w:rPr>
          <w:lang w:val="en-IN"/>
        </w:rPr>
        <w:t>)</w:t>
      </w:r>
      <w:r w:rsidRPr="000A2657">
        <w:t>. The division of clinical care and public health in Canada slowed down coordination. Regional autonomy of Spain also led to variation in integration of public health in the various regions.</w:t>
      </w:r>
    </w:p>
    <w:p w14:paraId="7FBA006A" w14:textId="77777777" w:rsidR="00C45F66" w:rsidRPr="000A2657" w:rsidRDefault="00F149B8">
      <w:pPr>
        <w:pStyle w:val="Heading1"/>
        <w:rPr>
          <w:lang w:val="en-IN"/>
        </w:rPr>
      </w:pPr>
      <w:bookmarkStart w:id="15" w:name="_Toc7755"/>
      <w:r w:rsidRPr="000A2657">
        <w:rPr>
          <w:lang w:val="en-IN"/>
        </w:rPr>
        <w:t>Critical Analysis of the Leadership Styles taken in each Country</w:t>
      </w:r>
      <w:bookmarkEnd w:id="15"/>
    </w:p>
    <w:p w14:paraId="1DAEE1BD" w14:textId="77777777" w:rsidR="00C45F66" w:rsidRPr="000A2657" w:rsidRDefault="00F149B8">
      <w:pPr>
        <w:pStyle w:val="Heading2"/>
        <w:rPr>
          <w:lang w:val="en-IN"/>
        </w:rPr>
      </w:pPr>
      <w:bookmarkStart w:id="16" w:name="_Toc21187"/>
      <w:r w:rsidRPr="000A2657">
        <w:rPr>
          <w:lang w:val="en-IN"/>
        </w:rPr>
        <w:t>3.1 Spanish leadership styles (Salvador Illa)</w:t>
      </w:r>
      <w:bookmarkEnd w:id="16"/>
    </w:p>
    <w:p w14:paraId="5916D39E" w14:textId="77777777" w:rsidR="00C45F66" w:rsidRPr="000A2657" w:rsidRDefault="00F149B8">
      <w:pPr>
        <w:rPr>
          <w:lang w:val="en-IN"/>
        </w:rPr>
      </w:pPr>
      <w:r w:rsidRPr="000A2657">
        <w:rPr>
          <w:lang w:val="en-IN"/>
        </w:rPr>
        <w:t>Salvador Illa acted as the minister of health of Spain at the initial stages of the pandemic (</w:t>
      </w:r>
      <w:r w:rsidRPr="000A2657">
        <w:rPr>
          <w:rFonts w:eastAsia="Arial" w:cs="Arial"/>
          <w:szCs w:val="22"/>
          <w:lang w:eastAsia="en-US"/>
        </w:rPr>
        <w:t>aljazeera.com, 2024</w:t>
      </w:r>
      <w:r w:rsidRPr="000A2657">
        <w:rPr>
          <w:lang w:val="en-IN"/>
        </w:rPr>
        <w:t>). His initial utterances to the populace were meant to assure and prepare the system. He explained that the system was ready, and the officials would watch developments on the day-to-day basis with open communication (</w:t>
      </w:r>
      <w:r w:rsidRPr="000A2657">
        <w:rPr>
          <w:rFonts w:eastAsia="Arial" w:cs="Arial"/>
          <w:szCs w:val="22"/>
          <w:lang w:eastAsia="en-US"/>
        </w:rPr>
        <w:t>theguardian.com, 2025</w:t>
      </w:r>
      <w:r w:rsidRPr="000A2657">
        <w:rPr>
          <w:lang w:val="en-IN"/>
        </w:rPr>
        <w:t>). That comment was subsequently viewed by numerous commentators as hopeful and even untimely considering the soaring pace of cases. The attitude of Illa in the early years of her leadership was comparable to bureaucracy and management (</w:t>
      </w:r>
      <w:r w:rsidRPr="000A2657">
        <w:rPr>
          <w:rFonts w:eastAsia="Arial" w:cs="Arial"/>
          <w:szCs w:val="22"/>
          <w:lang w:eastAsia="en-US"/>
        </w:rPr>
        <w:t>aljazeera.com, 2</w:t>
      </w:r>
      <w:r w:rsidRPr="000A2657">
        <w:rPr>
          <w:rFonts w:eastAsia="Arial" w:cs="Arial"/>
          <w:szCs w:val="22"/>
          <w:lang w:eastAsia="en-US"/>
        </w:rPr>
        <w:t>024</w:t>
      </w:r>
      <w:r w:rsidRPr="000A2657">
        <w:rPr>
          <w:lang w:val="en-IN"/>
        </w:rPr>
        <w:t>). He used the available institutional structures and official means of handling risk. The goal of this style is to be stable and calm. The benefit is that it portrays order and adopts formal procedures to organize mobilization of services (</w:t>
      </w:r>
      <w:r w:rsidRPr="000A2657">
        <w:rPr>
          <w:rFonts w:eastAsia="Arial" w:cs="Arial"/>
          <w:szCs w:val="22"/>
          <w:lang w:eastAsia="en-US"/>
        </w:rPr>
        <w:t>euronews.com, 2025</w:t>
      </w:r>
      <w:r w:rsidRPr="000A2657">
        <w:rPr>
          <w:lang w:val="en-IN"/>
        </w:rPr>
        <w:t>). The downside is that it may seem sluggish or responsive when a new crisis needs implementation or radical outcomes that are visible and swift.</w:t>
      </w:r>
    </w:p>
    <w:p w14:paraId="5BC14AEF" w14:textId="77777777" w:rsidR="00C45F66" w:rsidRPr="000A2657" w:rsidRDefault="00F149B8">
      <w:pPr>
        <w:rPr>
          <w:lang w:val="en-IN"/>
        </w:rPr>
      </w:pPr>
      <w:r w:rsidRPr="000A2657">
        <w:rPr>
          <w:lang w:val="en-IN"/>
        </w:rPr>
        <w:t xml:space="preserve">In the light of the </w:t>
      </w:r>
      <w:r w:rsidRPr="000A2657">
        <w:rPr>
          <w:b/>
          <w:bCs/>
          <w:lang w:val="en-IN"/>
        </w:rPr>
        <w:t xml:space="preserve">situational leadership </w:t>
      </w:r>
      <w:proofErr w:type="gramStart"/>
      <w:r w:rsidRPr="000A2657">
        <w:rPr>
          <w:b/>
          <w:bCs/>
          <w:lang w:val="en-IN"/>
        </w:rPr>
        <w:t>theory</w:t>
      </w:r>
      <w:r w:rsidRPr="000A2657">
        <w:rPr>
          <w:lang w:val="en-IN"/>
        </w:rPr>
        <w:t>,  Illa</w:t>
      </w:r>
      <w:proofErr w:type="gramEnd"/>
      <w:r w:rsidRPr="000A2657">
        <w:rPr>
          <w:lang w:val="en-IN"/>
        </w:rPr>
        <w:t xml:space="preserve"> shifted between auditory and delegative leadership styles (</w:t>
      </w:r>
      <w:r w:rsidRPr="000A2657">
        <w:rPr>
          <w:rFonts w:eastAsia="Arial" w:cs="Arial"/>
          <w:szCs w:val="22"/>
          <w:lang w:eastAsia="en-US"/>
        </w:rPr>
        <w:t>pmc.ncbi.nlm.nih.gov, 2025</w:t>
      </w:r>
      <w:r w:rsidRPr="000A2657">
        <w:rPr>
          <w:lang w:val="en-IN"/>
        </w:rPr>
        <w:t xml:space="preserve">). The health governance in </w:t>
      </w:r>
      <w:r w:rsidRPr="000A2657">
        <w:rPr>
          <w:lang w:val="en-IN"/>
        </w:rPr>
        <w:lastRenderedPageBreak/>
        <w:t>Spain is predominantly decentralised. Public health and hospitals are operated by the regional health authorities. The main ministry still had the coordination role. Illa practised episodic central control e.g. by means of national emergency measures and temporary central procurement of supplies (</w:t>
      </w:r>
      <w:r w:rsidRPr="000A2657">
        <w:rPr>
          <w:rFonts w:eastAsia="Arial" w:cs="Arial"/>
          <w:szCs w:val="22"/>
          <w:lang w:eastAsia="en-US"/>
        </w:rPr>
        <w:t>catalangovernment.eu, 2025</w:t>
      </w:r>
      <w:r w:rsidRPr="000A2657">
        <w:rPr>
          <w:lang w:val="en-IN"/>
        </w:rPr>
        <w:t xml:space="preserve">). With such episodic centralisation, </w:t>
      </w:r>
      <w:r w:rsidRPr="000A2657">
        <w:rPr>
          <w:lang w:val="en-IN"/>
        </w:rPr>
        <w:t>it was demonstrated that national leadership is able to draw resources and standards swiftly when legal authority is activated.</w:t>
      </w:r>
    </w:p>
    <w:p w14:paraId="21649A4D" w14:textId="77777777" w:rsidR="00C45F66" w:rsidRPr="000A2657" w:rsidRDefault="00F149B8">
      <w:pPr>
        <w:rPr>
          <w:lang w:val="en-IN"/>
        </w:rPr>
      </w:pPr>
      <w:r w:rsidRPr="000A2657">
        <w:rPr>
          <w:lang w:val="en-IN"/>
        </w:rPr>
        <w:t xml:space="preserve">Another requirement is brought out in the </w:t>
      </w:r>
      <w:r w:rsidRPr="000A2657">
        <w:rPr>
          <w:b/>
          <w:bCs/>
          <w:lang w:val="en-IN"/>
        </w:rPr>
        <w:t xml:space="preserve">Functional Leadership Theory </w:t>
      </w:r>
      <w:r w:rsidRPr="000A2657">
        <w:rPr>
          <w:lang w:val="en-IN"/>
        </w:rPr>
        <w:t>where the performance of key important leadership functions is rather than the personal vision or charisma. Functional leaders are concerned with planning, coordinating, and distributing resources and completed tasks to keep the systems operational (</w:t>
      </w:r>
      <w:proofErr w:type="spellStart"/>
      <w:r w:rsidRPr="000A2657">
        <w:rPr>
          <w:rFonts w:eastAsia="Arial" w:cs="Arial"/>
          <w:szCs w:val="22"/>
          <w:lang w:eastAsia="en-US"/>
        </w:rPr>
        <w:t>Eseryel</w:t>
      </w:r>
      <w:proofErr w:type="spellEnd"/>
      <w:r w:rsidRPr="000A2657">
        <w:rPr>
          <w:rFonts w:eastAsia="Arial" w:cs="Arial"/>
          <w:szCs w:val="22"/>
          <w:lang w:val="en-IN" w:eastAsia="en-US"/>
        </w:rPr>
        <w:t xml:space="preserve"> </w:t>
      </w:r>
      <w:r w:rsidRPr="000A2657">
        <w:rPr>
          <w:rFonts w:eastAsia="Arial" w:cs="Arial"/>
          <w:i/>
          <w:iCs/>
          <w:szCs w:val="22"/>
          <w:lang w:val="en-IN" w:eastAsia="en-US"/>
        </w:rPr>
        <w:t xml:space="preserve">et al. </w:t>
      </w:r>
      <w:r w:rsidRPr="000A2657">
        <w:rPr>
          <w:rFonts w:eastAsia="Arial" w:cs="Arial"/>
          <w:szCs w:val="22"/>
          <w:lang w:val="en-IN" w:eastAsia="en-US"/>
        </w:rPr>
        <w:t>2021</w:t>
      </w:r>
      <w:r w:rsidRPr="000A2657">
        <w:rPr>
          <w:lang w:val="en-IN"/>
        </w:rPr>
        <w:t xml:space="preserve">). In Spain, the initial phases of the pandemic showed vulnerabilities in the implementation of these main functions, especially with regard to coordination and the decision-making process at the national and regional levels in a timely manner. These functional gaps led to the feeling that the leadership of the country was slow in perceiving the extent of the threat and it thus responded reactively instead of proactively (Preman </w:t>
      </w:r>
      <w:r w:rsidRPr="000A2657">
        <w:rPr>
          <w:i/>
          <w:iCs/>
          <w:lang w:val="en-IN"/>
        </w:rPr>
        <w:t xml:space="preserve">et al. </w:t>
      </w:r>
      <w:r w:rsidRPr="000A2657">
        <w:rPr>
          <w:lang w:val="en-IN"/>
        </w:rPr>
        <w:t>2023</w:t>
      </w:r>
      <w:r w:rsidRPr="000A2657">
        <w:rPr>
          <w:lang w:val="en-IN"/>
        </w:rPr>
        <w:t>). This strategy could have minimised the level of confidence of the</w:t>
      </w:r>
      <w:r w:rsidRPr="000A2657">
        <w:rPr>
          <w:lang w:val="en-IN"/>
        </w:rPr>
        <w:t xml:space="preserve"> people in different areas where the number of people in need of guidance and resources was also delayed. </w:t>
      </w:r>
    </w:p>
    <w:p w14:paraId="2B804FE5" w14:textId="77777777" w:rsidR="00C45F66" w:rsidRPr="000A2657" w:rsidRDefault="00F149B8">
      <w:pPr>
        <w:jc w:val="center"/>
      </w:pPr>
      <w:r w:rsidRPr="000A2657">
        <w:rPr>
          <w:noProof/>
        </w:rPr>
        <w:drawing>
          <wp:inline distT="0" distB="0" distL="0" distR="0" wp14:anchorId="4FE820BB" wp14:editId="173C9641">
            <wp:extent cx="5285740" cy="2342515"/>
            <wp:effectExtent l="0" t="0" r="2540" b="4445"/>
            <wp:docPr id="1026"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5" cstate="print"/>
                    <a:srcRect/>
                    <a:stretch/>
                  </pic:blipFill>
                  <pic:spPr>
                    <a:xfrm>
                      <a:off x="0" y="0"/>
                      <a:ext cx="5285740" cy="2342515"/>
                    </a:xfrm>
                    <a:prstGeom prst="rect">
                      <a:avLst/>
                    </a:prstGeom>
                    <a:ln>
                      <a:noFill/>
                    </a:ln>
                  </pic:spPr>
                </pic:pic>
              </a:graphicData>
            </a:graphic>
          </wp:inline>
        </w:drawing>
      </w:r>
    </w:p>
    <w:p w14:paraId="7485C873" w14:textId="77777777" w:rsidR="00C45F66" w:rsidRPr="000A2657" w:rsidRDefault="00F149B8">
      <w:pPr>
        <w:jc w:val="center"/>
        <w:rPr>
          <w:b/>
          <w:bCs/>
          <w:lang w:val="en-IN"/>
        </w:rPr>
      </w:pPr>
      <w:r w:rsidRPr="000A2657">
        <w:rPr>
          <w:b/>
          <w:bCs/>
          <w:lang w:val="en-IN"/>
        </w:rPr>
        <w:t>Figure 1: Components of Functional Leadership Theory</w:t>
      </w:r>
    </w:p>
    <w:p w14:paraId="4B67CFD3" w14:textId="77777777" w:rsidR="00C45F66" w:rsidRPr="000A2657" w:rsidRDefault="00F149B8">
      <w:pPr>
        <w:jc w:val="center"/>
        <w:rPr>
          <w:lang w:val="en-IN"/>
        </w:rPr>
      </w:pPr>
      <w:r w:rsidRPr="000A2657">
        <w:rPr>
          <w:lang w:val="en-IN"/>
        </w:rPr>
        <w:t xml:space="preserve">(Source: </w:t>
      </w:r>
      <w:proofErr w:type="spellStart"/>
      <w:r w:rsidRPr="000A2657">
        <w:rPr>
          <w:rFonts w:eastAsia="Arial" w:cs="Arial"/>
          <w:szCs w:val="22"/>
          <w:lang w:eastAsia="en-US"/>
        </w:rPr>
        <w:t>Eseryel</w:t>
      </w:r>
      <w:proofErr w:type="spellEnd"/>
      <w:r w:rsidRPr="000A2657">
        <w:rPr>
          <w:rFonts w:eastAsia="Arial" w:cs="Arial"/>
          <w:szCs w:val="22"/>
          <w:lang w:val="en-IN" w:eastAsia="en-US"/>
        </w:rPr>
        <w:t xml:space="preserve"> </w:t>
      </w:r>
      <w:r w:rsidRPr="000A2657">
        <w:rPr>
          <w:rFonts w:eastAsia="Arial" w:cs="Arial"/>
          <w:i/>
          <w:iCs/>
          <w:szCs w:val="22"/>
          <w:lang w:val="en-IN" w:eastAsia="en-US"/>
        </w:rPr>
        <w:t xml:space="preserve">et al. </w:t>
      </w:r>
      <w:r w:rsidRPr="000A2657">
        <w:rPr>
          <w:rFonts w:eastAsia="Arial" w:cs="Arial"/>
          <w:szCs w:val="22"/>
          <w:lang w:val="en-IN" w:eastAsia="en-US"/>
        </w:rPr>
        <w:t>2021</w:t>
      </w:r>
      <w:r w:rsidRPr="000A2657">
        <w:rPr>
          <w:lang w:val="en-IN"/>
        </w:rPr>
        <w:t>)</w:t>
      </w:r>
    </w:p>
    <w:p w14:paraId="689CA8CB" w14:textId="77777777" w:rsidR="00C45F66" w:rsidRPr="000A2657" w:rsidRDefault="00F149B8">
      <w:pPr>
        <w:rPr>
          <w:lang w:val="en-IN"/>
        </w:rPr>
      </w:pPr>
      <w:r w:rsidRPr="000A2657">
        <w:rPr>
          <w:lang w:val="en-IN"/>
        </w:rPr>
        <w:t xml:space="preserve">Nevertheless, with the increase in functional leadership practices, the results got better (Bor and Wanyoike, 2021). The experience of vaccine implementation in Spain shows that proper distribution of tasks, logistics, and organizing procedures can offset previous failures. Mass application was based on standardised procedures, well defined </w:t>
      </w:r>
      <w:r w:rsidRPr="000A2657">
        <w:rPr>
          <w:lang w:val="en-IN"/>
        </w:rPr>
        <w:lastRenderedPageBreak/>
        <w:t>lines of accountability and regular check-ups, which resulted in high vaccination rates and coverage. As a result, Spain increased its position to one of the leading European countries in terms of the overall vaccination (</w:t>
      </w:r>
      <w:proofErr w:type="spellStart"/>
      <w:r w:rsidRPr="000A2657">
        <w:rPr>
          <w:lang w:val="en-IN"/>
        </w:rPr>
        <w:t>Baissas</w:t>
      </w:r>
      <w:proofErr w:type="spellEnd"/>
      <w:r w:rsidRPr="000A2657">
        <w:rPr>
          <w:lang w:val="en-IN"/>
        </w:rPr>
        <w:t xml:space="preserve"> et al., 2021).</w:t>
      </w:r>
    </w:p>
    <w:p w14:paraId="5D045719" w14:textId="77777777" w:rsidR="00C45F66" w:rsidRPr="000A2657" w:rsidRDefault="00F149B8">
      <w:pPr>
        <w:rPr>
          <w:lang w:val="en-IN"/>
        </w:rPr>
      </w:pPr>
      <w:r w:rsidRPr="000A2657">
        <w:rPr>
          <w:lang w:val="en-IN"/>
        </w:rPr>
        <w:t xml:space="preserve">The experience proves that the managerial leadership style coupled with bureaucratic leadership, which are consistent with the Functional Leadership Theory, allows efficient logistics on a large scope in the case of efficient large-scale logistics and effective public institutions and the commitment of the politicians. The strategy has had a mixed response in different regions. The capacity to test and hospital surge responses of regional health services including </w:t>
      </w:r>
      <w:proofErr w:type="spellStart"/>
      <w:r w:rsidRPr="000A2657">
        <w:rPr>
          <w:lang w:val="en-IN"/>
        </w:rPr>
        <w:t>Servei</w:t>
      </w:r>
      <w:proofErr w:type="spellEnd"/>
      <w:r w:rsidRPr="000A2657">
        <w:rPr>
          <w:lang w:val="en-IN"/>
        </w:rPr>
        <w:t xml:space="preserve"> Catalan de Salut and Servicio Madrileño de Salud (</w:t>
      </w:r>
      <w:proofErr w:type="spellStart"/>
      <w:proofErr w:type="gramStart"/>
      <w:r w:rsidRPr="000A2657">
        <w:rPr>
          <w:lang w:val="en-IN"/>
        </w:rPr>
        <w:t>comunidad.madrid</w:t>
      </w:r>
      <w:proofErr w:type="spellEnd"/>
      <w:proofErr w:type="gramEnd"/>
      <w:r w:rsidRPr="000A2657">
        <w:rPr>
          <w:lang w:val="en-IN"/>
        </w:rPr>
        <w:t xml:space="preserve">, 2025) were mobilised. In the meantime, procurement of PPE and vaccines was done at the national level through the centralized Ministry of Health. Shortages were minimised where functional coordination occurred in time (Morales-Contreras </w:t>
      </w:r>
      <w:r w:rsidRPr="000A2657">
        <w:rPr>
          <w:i/>
          <w:iCs/>
          <w:lang w:val="en-IN"/>
        </w:rPr>
        <w:t>et al.</w:t>
      </w:r>
      <w:r w:rsidRPr="000A2657">
        <w:rPr>
          <w:lang w:val="en-IN"/>
        </w:rPr>
        <w:t xml:space="preserve"> 2021). In contrast, the lack of strong coordination in the region resulted in differences in the capacity of ICUs and the availability of personal protective equipment, which underscores the ro</w:t>
      </w:r>
      <w:r w:rsidRPr="000A2657">
        <w:rPr>
          <w:lang w:val="en-IN"/>
        </w:rPr>
        <w:t>le of coordinated functional leadership across levels of governance.</w:t>
      </w:r>
    </w:p>
    <w:p w14:paraId="0A8E54BE" w14:textId="77777777" w:rsidR="00C45F66" w:rsidRPr="000A2657" w:rsidRDefault="00F149B8">
      <w:pPr>
        <w:pStyle w:val="Heading2"/>
        <w:rPr>
          <w:lang w:val="en-IN"/>
        </w:rPr>
      </w:pPr>
      <w:bookmarkStart w:id="17" w:name="_Toc17006"/>
      <w:r w:rsidRPr="000A2657">
        <w:rPr>
          <w:lang w:val="en-IN"/>
        </w:rPr>
        <w:t>3.2 South Korean style of leadership (Chung Sye-</w:t>
      </w:r>
      <w:proofErr w:type="spellStart"/>
      <w:r w:rsidRPr="000A2657">
        <w:rPr>
          <w:lang w:val="en-IN"/>
        </w:rPr>
        <w:t>kyun</w:t>
      </w:r>
      <w:proofErr w:type="spellEnd"/>
      <w:r w:rsidRPr="000A2657">
        <w:rPr>
          <w:lang w:val="en-IN"/>
        </w:rPr>
        <w:t>)</w:t>
      </w:r>
      <w:bookmarkEnd w:id="17"/>
    </w:p>
    <w:p w14:paraId="1155BDC4" w14:textId="77777777" w:rsidR="00C45F66" w:rsidRPr="000A2657" w:rsidRDefault="00F149B8">
      <w:pPr>
        <w:rPr>
          <w:lang w:val="en-IN"/>
        </w:rPr>
      </w:pPr>
      <w:r w:rsidRPr="000A2657">
        <w:rPr>
          <w:lang w:val="en-IN"/>
        </w:rPr>
        <w:t xml:space="preserve">The response was mainly government led under the supervision of the Prime Minister Chung Sye </w:t>
      </w:r>
      <w:proofErr w:type="spellStart"/>
      <w:r w:rsidRPr="000A2657">
        <w:rPr>
          <w:lang w:val="en-IN"/>
        </w:rPr>
        <w:t>kyun</w:t>
      </w:r>
      <w:proofErr w:type="spellEnd"/>
      <w:r w:rsidRPr="000A2657">
        <w:rPr>
          <w:lang w:val="en-IN"/>
        </w:rPr>
        <w:t xml:space="preserve"> and the leadership of the public health in Korea in cooperation with the KDCA and the NHIS (</w:t>
      </w:r>
      <w:r w:rsidRPr="000A2657">
        <w:rPr>
          <w:rFonts w:eastAsia="Arial" w:cs="Arial"/>
          <w:szCs w:val="22"/>
          <w:lang w:eastAsia="en-US"/>
        </w:rPr>
        <w:t>Mao, 2024</w:t>
      </w:r>
      <w:r w:rsidRPr="000A2657">
        <w:rPr>
          <w:lang w:val="en-IN"/>
        </w:rPr>
        <w:t xml:space="preserve">). Chung stressed on openness in policy, respect to citizen volunteerism and transparency. Instead, he presented transparency and openness as the main principles and gave the credit to them allowing traveling without blanket lockdowns. </w:t>
      </w:r>
    </w:p>
    <w:p w14:paraId="215DB949" w14:textId="77777777" w:rsidR="00C45F66" w:rsidRPr="000A2657" w:rsidRDefault="00F149B8">
      <w:pPr>
        <w:rPr>
          <w:lang w:val="en-IN"/>
        </w:rPr>
      </w:pPr>
      <w:r w:rsidRPr="000A2657">
        <w:rPr>
          <w:lang w:val="en-IN"/>
        </w:rPr>
        <w:t xml:space="preserve">The best theory is the </w:t>
      </w:r>
      <w:r w:rsidRPr="000A2657">
        <w:rPr>
          <w:b/>
          <w:bCs/>
          <w:lang w:val="en-IN"/>
        </w:rPr>
        <w:t>Relationship Leadership Theory</w:t>
      </w:r>
      <w:r w:rsidRPr="000A2657">
        <w:rPr>
          <w:lang w:val="en-IN"/>
        </w:rPr>
        <w:t xml:space="preserve"> since the response to the pandemic in Korea was based on collaboration, trust, and shared responsibility among various actors (Dugan, 2024). Leadership used to be a social process whereby the national authorities, health institutions and local governments were involved in strong relation between organisations instead of depending on top-down only. The strategy of test, trace and treat was nationally arranged and based on the open communication and commitment between the minist</w:t>
      </w:r>
      <w:r w:rsidRPr="000A2657">
        <w:rPr>
          <w:lang w:val="en-IN"/>
        </w:rPr>
        <w:t xml:space="preserve">ries, private hospitals, laboratories and municipalities. Distributed leadership was practiced in institutions like the KDCA, local public health centres and large hospitals, such as Samsung Medical </w:t>
      </w:r>
      <w:proofErr w:type="spellStart"/>
      <w:r w:rsidRPr="000A2657">
        <w:rPr>
          <w:lang w:val="en-IN"/>
        </w:rPr>
        <w:t>Center</w:t>
      </w:r>
      <w:proofErr w:type="spellEnd"/>
      <w:r w:rsidRPr="000A2657">
        <w:rPr>
          <w:lang w:val="en-IN"/>
        </w:rPr>
        <w:t xml:space="preserve"> and Seoul National </w:t>
      </w:r>
      <w:r w:rsidRPr="000A2657">
        <w:rPr>
          <w:lang w:val="en-IN"/>
        </w:rPr>
        <w:lastRenderedPageBreak/>
        <w:t>University Hospital, by means of professional networks and cooperative decision-making (Hong, 2024). These networked relationships facilitated quick coordination, sharing of knowledge and trust that helped in the quick response of a large number of actors in the crisis.</w:t>
      </w:r>
    </w:p>
    <w:p w14:paraId="2399D806" w14:textId="77777777" w:rsidR="00C45F66" w:rsidRPr="000A2657" w:rsidRDefault="00C45F66">
      <w:pPr>
        <w:rPr>
          <w:lang w:val="en-IN"/>
        </w:rPr>
      </w:pPr>
    </w:p>
    <w:p w14:paraId="600121FD" w14:textId="77777777" w:rsidR="00C45F66" w:rsidRPr="000A2657" w:rsidRDefault="00F149B8">
      <w:pPr>
        <w:rPr>
          <w:lang w:val="en-IN"/>
        </w:rPr>
      </w:pPr>
      <w:r w:rsidRPr="000A2657">
        <w:rPr>
          <w:lang w:val="en-IN"/>
        </w:rPr>
        <w:t>The benefits were overwhelming and apparent. The NHIS enabled testing and treatment to be scaled up at the national level rapidly due to centralised command and single payer coverage (</w:t>
      </w:r>
      <w:r w:rsidRPr="000A2657">
        <w:rPr>
          <w:rFonts w:eastAsia="Arial" w:cs="Arial"/>
          <w:szCs w:val="22"/>
          <w:lang w:eastAsia="en-US"/>
        </w:rPr>
        <w:t>nhis.or.kr, 2025</w:t>
      </w:r>
      <w:r w:rsidRPr="000A2657">
        <w:rPr>
          <w:lang w:val="en-IN"/>
        </w:rPr>
        <w:t xml:space="preserve">). The hospital bed density in Korea was extremely high, about 12-13 beds per 1,000 residents, at the beginning of the pandemic, which alleviated the overcrowding effect and facilitated isolation and triage in hospitals. Fast technology was used to facilitate contact tracing and real time monitoring. These characteristics </w:t>
      </w:r>
      <w:proofErr w:type="spellStart"/>
      <w:r w:rsidRPr="000A2657">
        <w:rPr>
          <w:lang w:val="en-IN"/>
        </w:rPr>
        <w:t>favored</w:t>
      </w:r>
      <w:proofErr w:type="spellEnd"/>
      <w:r w:rsidRPr="000A2657">
        <w:rPr>
          <w:lang w:val="en-IN"/>
        </w:rPr>
        <w:t xml:space="preserve"> early control and minimal mortality during first waves. </w:t>
      </w:r>
    </w:p>
    <w:p w14:paraId="2681CF83" w14:textId="77777777" w:rsidR="00C45F66" w:rsidRPr="000A2657" w:rsidRDefault="00F149B8">
      <w:pPr>
        <w:rPr>
          <w:lang w:val="en-IN"/>
        </w:rPr>
      </w:pPr>
      <w:r w:rsidRPr="000A2657">
        <w:rPr>
          <w:lang w:val="en-IN"/>
        </w:rPr>
        <w:t>The leadership risk perspective there was a trade off in the strategy (</w:t>
      </w:r>
      <w:r w:rsidRPr="000A2657">
        <w:rPr>
          <w:rFonts w:eastAsia="Arial" w:cs="Arial"/>
          <w:szCs w:val="22"/>
          <w:lang w:eastAsia="en-US"/>
        </w:rPr>
        <w:t>Burkhard</w:t>
      </w:r>
      <w:r w:rsidRPr="000A2657">
        <w:rPr>
          <w:rFonts w:eastAsia="Arial" w:cs="Arial"/>
          <w:szCs w:val="22"/>
          <w:lang w:val="en-IN" w:eastAsia="en-US"/>
        </w:rPr>
        <w:t xml:space="preserve"> </w:t>
      </w:r>
      <w:r w:rsidRPr="000A2657">
        <w:rPr>
          <w:rFonts w:eastAsia="Arial" w:cs="Arial"/>
          <w:i/>
          <w:iCs/>
          <w:szCs w:val="22"/>
          <w:lang w:val="en-IN" w:eastAsia="en-US"/>
        </w:rPr>
        <w:t xml:space="preserve">et al. </w:t>
      </w:r>
      <w:r w:rsidRPr="000A2657">
        <w:rPr>
          <w:rFonts w:eastAsia="Arial" w:cs="Arial"/>
          <w:szCs w:val="22"/>
          <w:lang w:val="en-IN" w:eastAsia="en-US"/>
        </w:rPr>
        <w:t>2023</w:t>
      </w:r>
      <w:r w:rsidRPr="000A2657">
        <w:rPr>
          <w:lang w:val="en-IN"/>
        </w:rPr>
        <w:t>). The vigorous central position to the contact tracing and the use of digital data was a source of concern of privacy. That caused tension with civil liberties activists and had to be continuously vindicated to the people. The isolation and treatment methods that relied on hospitals also meant that the workforce was subjected to high stress and the system was hospital centric as opposed to community centric (</w:t>
      </w:r>
      <w:r w:rsidRPr="000A2657">
        <w:rPr>
          <w:rFonts w:eastAsia="Arial" w:cs="Arial"/>
          <w:szCs w:val="22"/>
          <w:lang w:eastAsia="en-US"/>
        </w:rPr>
        <w:t>oecd.org, 2025</w:t>
      </w:r>
      <w:r w:rsidRPr="000A2657">
        <w:rPr>
          <w:lang w:val="en-IN"/>
        </w:rPr>
        <w:t xml:space="preserve">). The ethical and operational tensions have to be dealt with by </w:t>
      </w:r>
      <w:r w:rsidRPr="000A2657">
        <w:rPr>
          <w:lang w:val="en-IN"/>
        </w:rPr>
        <w:t>such leadership that is concerned with fast centralized action.</w:t>
      </w:r>
    </w:p>
    <w:p w14:paraId="5D029DF1" w14:textId="77777777" w:rsidR="00C45F66" w:rsidRPr="000A2657" w:rsidRDefault="00F149B8">
      <w:pPr>
        <w:rPr>
          <w:lang w:val="en-IN"/>
        </w:rPr>
      </w:pPr>
      <w:r w:rsidRPr="000A2657">
        <w:rPr>
          <w:lang w:val="en-IN"/>
        </w:rPr>
        <w:t>Open communication helped to build trust in the population and voluntary compliance in Korea (oecd.org, 2025) in accordance with the Relationship Leadership Theory, according to which leadership is a process that is established through the interaction of people, their trust, and common sense. Leaders affected behaviour by fostering good relations between institutions and the people so that they were not dependent on the authority but instead they were all responsible. Relational strategy facilitated the hig</w:t>
      </w:r>
      <w:r w:rsidRPr="000A2657">
        <w:rPr>
          <w:lang w:val="en-IN"/>
        </w:rPr>
        <w:t xml:space="preserve">h compliance rate, rather than through coercion, by enhancing social legitimacy and commitment (Jan </w:t>
      </w:r>
      <w:r w:rsidRPr="000A2657">
        <w:rPr>
          <w:i/>
          <w:iCs/>
          <w:lang w:val="en-IN"/>
        </w:rPr>
        <w:t xml:space="preserve">et al. </w:t>
      </w:r>
      <w:r w:rsidRPr="000A2657">
        <w:rPr>
          <w:lang w:val="en-IN"/>
        </w:rPr>
        <w:t>2022</w:t>
      </w:r>
      <w:r w:rsidRPr="000A2657">
        <w:rPr>
          <w:lang w:val="en-IN"/>
        </w:rPr>
        <w:t>). Nevertheless, it is weak due to its long-term conversation and openness to build and sustain trust.</w:t>
      </w:r>
    </w:p>
    <w:p w14:paraId="48722016" w14:textId="77777777" w:rsidR="00C45F66" w:rsidRPr="000A2657" w:rsidRDefault="00F149B8">
      <w:pPr>
        <w:rPr>
          <w:lang w:val="en-IN"/>
        </w:rPr>
      </w:pPr>
      <w:r w:rsidRPr="000A2657">
        <w:rPr>
          <w:lang w:val="en-IN"/>
        </w:rPr>
        <w:t xml:space="preserve">Here, </w:t>
      </w:r>
      <w:r w:rsidRPr="000A2657">
        <w:rPr>
          <w:rFonts w:eastAsia="Arial" w:cs="Arial"/>
          <w:b/>
          <w:bCs/>
          <w:szCs w:val="22"/>
          <w:lang w:eastAsia="en-US"/>
        </w:rPr>
        <w:t>Relationship Leadership Theory</w:t>
      </w:r>
      <w:r w:rsidRPr="000A2657">
        <w:rPr>
          <w:rFonts w:eastAsia="Arial" w:cs="Arial"/>
          <w:b/>
          <w:bCs/>
          <w:szCs w:val="22"/>
          <w:lang w:val="en-IN" w:eastAsia="en-US"/>
        </w:rPr>
        <w:t xml:space="preserve"> </w:t>
      </w:r>
      <w:r w:rsidRPr="000A2657">
        <w:rPr>
          <w:lang w:val="en-IN"/>
        </w:rPr>
        <w:t>resulted in rapid testing tracing and treatment and good early health (</w:t>
      </w:r>
      <w:r w:rsidRPr="000A2657">
        <w:rPr>
          <w:rFonts w:eastAsia="Arial" w:cs="Arial"/>
          <w:szCs w:val="22"/>
          <w:lang w:eastAsia="en-US"/>
        </w:rPr>
        <w:t>Ha</w:t>
      </w:r>
      <w:r w:rsidRPr="000A2657">
        <w:rPr>
          <w:rFonts w:eastAsia="Arial" w:cs="Arial"/>
          <w:szCs w:val="22"/>
          <w:lang w:val="en-IN" w:eastAsia="en-US"/>
        </w:rPr>
        <w:t xml:space="preserve"> </w:t>
      </w:r>
      <w:r w:rsidRPr="000A2657">
        <w:rPr>
          <w:rFonts w:eastAsia="Arial" w:cs="Arial"/>
          <w:szCs w:val="22"/>
          <w:lang w:eastAsia="en-US"/>
        </w:rPr>
        <w:t>and Moon, 2023</w:t>
      </w:r>
      <w:r w:rsidRPr="000A2657">
        <w:rPr>
          <w:lang w:val="en-IN"/>
        </w:rPr>
        <w:t>). They needed to address the issue of privacy and enhance the primary and community care to decrease the load on the hospitals to be resilient.</w:t>
      </w:r>
    </w:p>
    <w:p w14:paraId="5D45B74B" w14:textId="77777777" w:rsidR="00C45F66" w:rsidRPr="000A2657" w:rsidRDefault="00F149B8">
      <w:pPr>
        <w:pStyle w:val="Heading2"/>
        <w:rPr>
          <w:lang w:val="en-IN"/>
        </w:rPr>
      </w:pPr>
      <w:bookmarkStart w:id="18" w:name="_Toc9192"/>
      <w:r w:rsidRPr="000A2657">
        <w:rPr>
          <w:lang w:val="en-IN"/>
        </w:rPr>
        <w:lastRenderedPageBreak/>
        <w:t>3.3 The Canadian leadership style (Justin Trudeau and provincial leaders)</w:t>
      </w:r>
      <w:bookmarkEnd w:id="18"/>
    </w:p>
    <w:p w14:paraId="5695A724" w14:textId="77777777" w:rsidR="00C45F66" w:rsidRPr="000A2657" w:rsidRDefault="00F149B8">
      <w:pPr>
        <w:rPr>
          <w:lang w:val="en-IN"/>
        </w:rPr>
      </w:pPr>
      <w:r w:rsidRPr="000A2657">
        <w:rPr>
          <w:lang w:val="en-IN"/>
        </w:rPr>
        <w:t>Canada needed federal leadership and effective provincial action. Prime Minister Justin Trudeau was forced to exercise a unifying role between provinces and territories (</w:t>
      </w:r>
      <w:r w:rsidRPr="000A2657">
        <w:rPr>
          <w:rFonts w:eastAsia="Arial" w:cs="Arial"/>
          <w:szCs w:val="22"/>
          <w:lang w:eastAsia="en-US"/>
        </w:rPr>
        <w:t>parl.ca, 2025</w:t>
      </w:r>
      <w:r w:rsidRPr="000A2657">
        <w:rPr>
          <w:lang w:val="en-IN"/>
        </w:rPr>
        <w:t xml:space="preserve">). The health delivery was controlled by provincial politics. The federal involvement was on vaccine acquisition, national guidelines and budget. The initial rollout of the vaccine was condemned as a slow one, but eventually achieved high coverage as a result of the coordinated procurement and supply. Reuters was able to capture this early frustration and the slow roll out narrative. </w:t>
      </w:r>
    </w:p>
    <w:p w14:paraId="4639E353" w14:textId="77777777" w:rsidR="00C45F66" w:rsidRPr="000A2657" w:rsidRDefault="00F149B8">
      <w:pPr>
        <w:rPr>
          <w:lang w:val="en-IN"/>
        </w:rPr>
      </w:pPr>
      <w:r w:rsidRPr="000A2657">
        <w:rPr>
          <w:lang w:val="en-IN"/>
        </w:rPr>
        <w:t xml:space="preserve">The Canadian response can be explained through Leadership theory as being cooperative and federative and according to the </w:t>
      </w:r>
      <w:r w:rsidRPr="000A2657">
        <w:rPr>
          <w:b/>
          <w:bCs/>
          <w:lang w:val="en-IN"/>
        </w:rPr>
        <w:t xml:space="preserve">Relationship Leadership Theory and Five-Level Leadership Model </w:t>
      </w:r>
      <w:r w:rsidRPr="000A2657">
        <w:rPr>
          <w:lang w:val="en-IN"/>
        </w:rPr>
        <w:t xml:space="preserve">(Haji </w:t>
      </w:r>
      <w:r w:rsidRPr="000A2657">
        <w:rPr>
          <w:i/>
          <w:iCs/>
          <w:lang w:val="en-IN"/>
        </w:rPr>
        <w:t xml:space="preserve">et al. </w:t>
      </w:r>
      <w:r w:rsidRPr="000A2657">
        <w:rPr>
          <w:lang w:val="en-IN"/>
        </w:rPr>
        <w:t>2023</w:t>
      </w:r>
      <w:r w:rsidRPr="000A2657">
        <w:rPr>
          <w:lang w:val="en-IN"/>
        </w:rPr>
        <w:t>). The leadership at the federal level had a focus on trust, cooperation and negotiated coordination between Ottawa and the provinces instead of coercive control (parl.ca, 2025). Problem-solving and resource support through relationships allowed federal authorities to influence provincial action. Aspects of Level Five leadership were manifested in professional will to obtain vaccines and financial resources and with a sense of h</w:t>
      </w:r>
      <w:r w:rsidRPr="000A2657">
        <w:rPr>
          <w:lang w:val="en-IN"/>
        </w:rPr>
        <w:t>umility, provincial autonomy and best-practice exchange across jurisdictions.</w:t>
      </w:r>
    </w:p>
    <w:p w14:paraId="35D2B96D" w14:textId="77777777" w:rsidR="00C45F66" w:rsidRPr="000A2657" w:rsidRDefault="00F149B8">
      <w:pPr>
        <w:rPr>
          <w:lang w:val="en-IN"/>
        </w:rPr>
      </w:pPr>
      <w:r w:rsidRPr="000A2657">
        <w:rPr>
          <w:lang w:val="en-IN"/>
        </w:rPr>
        <w:t>The upsides of Relationship Leadership Theory are a support of regional freedom and the ability of local adaptation. The provincial leaders like Ontario Health executives, Alberta Hospital and Island Health implemented localized needs (canada.ca, 2025). This enabled low-case burden provinces to evade excessive restrictions and enabled local innovative practices like the rapid uptake of telemedicine.</w:t>
      </w:r>
    </w:p>
    <w:p w14:paraId="70204F01" w14:textId="77777777" w:rsidR="00C45F66" w:rsidRPr="000A2657" w:rsidRDefault="00F149B8">
      <w:pPr>
        <w:rPr>
          <w:lang w:val="en-IN"/>
        </w:rPr>
      </w:pPr>
      <w:r w:rsidRPr="000A2657">
        <w:rPr>
          <w:lang w:val="en-IN"/>
        </w:rPr>
        <w:t>The drawbacks are evident during crisis. During times of necessity to act on a national scale swiftly, a federative facilitative style may slug the decisions (</w:t>
      </w:r>
      <w:r w:rsidRPr="000A2657">
        <w:rPr>
          <w:rFonts w:eastAsia="Arial" w:cs="Arial"/>
          <w:szCs w:val="22"/>
          <w:lang w:eastAsia="en-US"/>
        </w:rPr>
        <w:t>timesofindia.indiatimes.com, 2025</w:t>
      </w:r>
      <w:r w:rsidRPr="000A2657">
        <w:rPr>
          <w:lang w:val="en-IN"/>
        </w:rPr>
        <w:t>). This was evidenced by fragmented procurement and a preliminary competition on PPE and supplies. The hospital bed capacity in Canada was low approximately 2.5 to 2.6 beds per 1,000 population that diminished the room of surge capacity (</w:t>
      </w:r>
      <w:r w:rsidRPr="000A2657">
        <w:rPr>
          <w:rFonts w:eastAsia="Arial" w:cs="Arial"/>
          <w:szCs w:val="22"/>
          <w:lang w:eastAsia="en-US"/>
        </w:rPr>
        <w:t>statista.com, 2025</w:t>
      </w:r>
      <w:r w:rsidRPr="000A2657">
        <w:rPr>
          <w:lang w:val="en-IN"/>
        </w:rPr>
        <w:t>). The existence of that structural constraint ensured that the process of federal provincial coordination was increasingly important in a timely manner.</w:t>
      </w:r>
    </w:p>
    <w:p w14:paraId="2283D359" w14:textId="77777777" w:rsidR="00C45F66" w:rsidRPr="000A2657" w:rsidRDefault="00F149B8">
      <w:pPr>
        <w:rPr>
          <w:lang w:val="en-IN"/>
        </w:rPr>
      </w:pPr>
      <w:r w:rsidRPr="000A2657">
        <w:rPr>
          <w:lang w:val="en-IN"/>
        </w:rPr>
        <w:t xml:space="preserve">The early weaknesses were later rectified by federal leadership under </w:t>
      </w:r>
      <w:r w:rsidRPr="000A2657">
        <w:rPr>
          <w:lang w:val="en-IN"/>
        </w:rPr>
        <w:t xml:space="preserve">Five-Level Leadership Model </w:t>
      </w:r>
      <w:r w:rsidRPr="000A2657">
        <w:rPr>
          <w:lang w:val="en-IN"/>
        </w:rPr>
        <w:t>(</w:t>
      </w:r>
      <w:r w:rsidRPr="000A2657">
        <w:rPr>
          <w:rFonts w:eastAsia="Arial" w:cs="Arial"/>
          <w:szCs w:val="22"/>
          <w:lang w:eastAsia="en-US"/>
        </w:rPr>
        <w:t>Flood</w:t>
      </w:r>
      <w:r w:rsidRPr="000A2657">
        <w:rPr>
          <w:rFonts w:eastAsia="Arial" w:cs="Arial"/>
          <w:szCs w:val="22"/>
          <w:lang w:val="en-IN" w:eastAsia="en-US"/>
        </w:rPr>
        <w:t xml:space="preserve"> </w:t>
      </w:r>
      <w:r w:rsidRPr="000A2657">
        <w:rPr>
          <w:rFonts w:eastAsia="Arial" w:cs="Arial"/>
          <w:i/>
          <w:iCs/>
          <w:szCs w:val="22"/>
          <w:lang w:val="en-IN" w:eastAsia="en-US"/>
        </w:rPr>
        <w:t xml:space="preserve">et al. </w:t>
      </w:r>
      <w:r w:rsidRPr="000A2657">
        <w:rPr>
          <w:rFonts w:eastAsia="Arial" w:cs="Arial"/>
          <w:szCs w:val="22"/>
          <w:lang w:val="en-IN" w:eastAsia="en-US"/>
        </w:rPr>
        <w:t>2023</w:t>
      </w:r>
      <w:r w:rsidRPr="000A2657">
        <w:rPr>
          <w:lang w:val="en-IN"/>
        </w:rPr>
        <w:t xml:space="preserve">). Federal procurement acquired massive quantities of vaccines and negotiated booster doses. The speed of provincial roll-out was variable </w:t>
      </w:r>
      <w:r w:rsidRPr="000A2657">
        <w:rPr>
          <w:lang w:val="en-IN"/>
        </w:rPr>
        <w:lastRenderedPageBreak/>
        <w:t xml:space="preserve">but the total reach increased significantly after the improvement of supplies and transportation. The hybrid model of leadership brought ultimate success to the vaccination but showed vulnerabilities in national data systems, long-term care quality and surge capacity. </w:t>
      </w:r>
    </w:p>
    <w:p w14:paraId="364FCC15" w14:textId="77777777" w:rsidR="00C45F66" w:rsidRPr="000A2657" w:rsidRDefault="00C45F66">
      <w:pPr>
        <w:rPr>
          <w:lang w:val="en-IN"/>
        </w:rPr>
      </w:pPr>
    </w:p>
    <w:p w14:paraId="2E5517CC" w14:textId="77777777" w:rsidR="00C45F66" w:rsidRPr="000A2657" w:rsidRDefault="00F149B8">
      <w:pPr>
        <w:jc w:val="center"/>
      </w:pPr>
      <w:r w:rsidRPr="000A2657">
        <w:rPr>
          <w:noProof/>
        </w:rPr>
        <w:drawing>
          <wp:inline distT="0" distB="0" distL="0" distR="0" wp14:anchorId="0A5CF9CF" wp14:editId="2BE82489">
            <wp:extent cx="5269230" cy="2520315"/>
            <wp:effectExtent l="0" t="0" r="3810" b="9525"/>
            <wp:docPr id="102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cstate="print"/>
                    <a:srcRect/>
                    <a:stretch/>
                  </pic:blipFill>
                  <pic:spPr>
                    <a:xfrm>
                      <a:off x="0" y="0"/>
                      <a:ext cx="5269230" cy="2520315"/>
                    </a:xfrm>
                    <a:prstGeom prst="rect">
                      <a:avLst/>
                    </a:prstGeom>
                    <a:ln>
                      <a:noFill/>
                    </a:ln>
                  </pic:spPr>
                </pic:pic>
              </a:graphicData>
            </a:graphic>
          </wp:inline>
        </w:drawing>
      </w:r>
    </w:p>
    <w:p w14:paraId="117EC29B" w14:textId="77777777" w:rsidR="00C45F66" w:rsidRPr="000A2657" w:rsidRDefault="00F149B8">
      <w:pPr>
        <w:jc w:val="center"/>
        <w:rPr>
          <w:b/>
          <w:bCs/>
          <w:lang w:val="en-IN"/>
        </w:rPr>
      </w:pPr>
      <w:r w:rsidRPr="000A2657">
        <w:rPr>
          <w:b/>
          <w:bCs/>
          <w:lang w:val="en-IN"/>
        </w:rPr>
        <w:t xml:space="preserve">Figure 2: Five-Level Leadership Model </w:t>
      </w:r>
    </w:p>
    <w:p w14:paraId="46FC7173" w14:textId="77777777" w:rsidR="00C45F66" w:rsidRPr="000A2657" w:rsidRDefault="00F149B8">
      <w:pPr>
        <w:jc w:val="center"/>
        <w:rPr>
          <w:lang w:val="en-IN"/>
        </w:rPr>
      </w:pPr>
      <w:r w:rsidRPr="000A2657">
        <w:rPr>
          <w:lang w:val="en-IN"/>
        </w:rPr>
        <w:t xml:space="preserve">(Source: </w:t>
      </w:r>
      <w:r w:rsidRPr="000A2657">
        <w:rPr>
          <w:lang w:val="en-IN"/>
        </w:rPr>
        <w:t xml:space="preserve">Haji </w:t>
      </w:r>
      <w:r w:rsidRPr="000A2657">
        <w:rPr>
          <w:i/>
          <w:iCs/>
          <w:lang w:val="en-IN"/>
        </w:rPr>
        <w:t xml:space="preserve">et al. </w:t>
      </w:r>
      <w:r w:rsidRPr="000A2657">
        <w:rPr>
          <w:lang w:val="en-IN"/>
        </w:rPr>
        <w:t>2023</w:t>
      </w:r>
      <w:r w:rsidRPr="000A2657">
        <w:rPr>
          <w:lang w:val="en-IN"/>
        </w:rPr>
        <w:t>)</w:t>
      </w:r>
    </w:p>
    <w:p w14:paraId="5D992B02" w14:textId="77777777" w:rsidR="00C45F66" w:rsidRPr="000A2657" w:rsidRDefault="00F149B8">
      <w:pPr>
        <w:rPr>
          <w:lang w:val="en-IN"/>
        </w:rPr>
      </w:pPr>
      <w:r w:rsidRPr="000A2657">
        <w:rPr>
          <w:lang w:val="en-IN"/>
        </w:rPr>
        <w:t xml:space="preserve">The </w:t>
      </w:r>
      <w:r w:rsidRPr="000A2657">
        <w:rPr>
          <w:b/>
          <w:bCs/>
          <w:lang w:val="en-IN"/>
        </w:rPr>
        <w:t xml:space="preserve">Five-Level Leadership Model </w:t>
      </w:r>
      <w:r w:rsidRPr="000A2657">
        <w:rPr>
          <w:lang w:val="en-IN"/>
        </w:rPr>
        <w:t>provides the shortcomings of normal governance methods in a federative crisis (</w:t>
      </w:r>
      <w:proofErr w:type="spellStart"/>
      <w:r w:rsidRPr="000A2657">
        <w:rPr>
          <w:lang w:val="en-IN"/>
        </w:rPr>
        <w:t>Ashkanasy</w:t>
      </w:r>
      <w:proofErr w:type="spellEnd"/>
      <w:r w:rsidRPr="000A2657">
        <w:rPr>
          <w:lang w:val="en-IN"/>
        </w:rPr>
        <w:t xml:space="preserve"> and Kromah, 2025). Whereas regular management is based on the transfer of funds and the use of incentives, the circumstances of pandemics required more than procedural interactions of leaders. A proper reaction needed the presence of professional will at the federal level in order to be decisive, in addition to individual humility to acknowledge the provincial jurisdiction in the delivery of healthcare (Ray </w:t>
      </w:r>
      <w:r w:rsidRPr="000A2657">
        <w:rPr>
          <w:i/>
          <w:iCs/>
          <w:lang w:val="en-IN"/>
        </w:rPr>
        <w:t xml:space="preserve">et al. </w:t>
      </w:r>
      <w:r w:rsidRPr="000A2657">
        <w:rPr>
          <w:lang w:val="en-IN"/>
        </w:rPr>
        <w:t>2021)</w:t>
      </w:r>
      <w:r w:rsidRPr="000A2657">
        <w:rPr>
          <w:lang w:val="en-IN"/>
        </w:rPr>
        <w:t>. The failure of the federal government to standardise on its own long term care policies or hospital placement is an example of how top-level leadership requires influence, collaboration and credibility, but not authority alone</w:t>
      </w:r>
      <w:r w:rsidRPr="000A2657">
        <w:rPr>
          <w:lang w:val="en-IN"/>
        </w:rPr>
        <w:t>.</w:t>
      </w:r>
    </w:p>
    <w:p w14:paraId="5813CA96" w14:textId="77777777" w:rsidR="00C45F66" w:rsidRPr="000A2657" w:rsidRDefault="00F149B8">
      <w:pPr>
        <w:rPr>
          <w:lang w:val="en-IN"/>
        </w:rPr>
      </w:pPr>
      <w:r w:rsidRPr="000A2657">
        <w:rPr>
          <w:lang w:val="en-IN"/>
        </w:rPr>
        <w:t>However, local flexibility and creativity is the advantage. Its drawback is that it will bring a slower national response in emergencies (</w:t>
      </w:r>
      <w:r w:rsidRPr="000A2657">
        <w:rPr>
          <w:rFonts w:eastAsia="Arial" w:cs="Arial"/>
          <w:szCs w:val="22"/>
          <w:lang w:eastAsia="en-US"/>
        </w:rPr>
        <w:t>Gillies</w:t>
      </w:r>
      <w:r w:rsidRPr="000A2657">
        <w:rPr>
          <w:rFonts w:eastAsia="Arial" w:cs="Arial"/>
          <w:szCs w:val="22"/>
          <w:lang w:val="en-IN" w:eastAsia="en-US"/>
        </w:rPr>
        <w:t xml:space="preserve"> </w:t>
      </w:r>
      <w:r w:rsidRPr="000A2657">
        <w:rPr>
          <w:rFonts w:eastAsia="Arial" w:cs="Arial"/>
          <w:i/>
          <w:iCs/>
          <w:szCs w:val="22"/>
          <w:lang w:val="en-IN" w:eastAsia="en-US"/>
        </w:rPr>
        <w:t xml:space="preserve">et al. </w:t>
      </w:r>
      <w:r w:rsidRPr="000A2657">
        <w:rPr>
          <w:rFonts w:eastAsia="Arial" w:cs="Arial"/>
          <w:szCs w:val="22"/>
          <w:lang w:val="en-IN" w:eastAsia="en-US"/>
        </w:rPr>
        <w:t>2023</w:t>
      </w:r>
      <w:r w:rsidRPr="000A2657">
        <w:rPr>
          <w:lang w:val="en-IN"/>
        </w:rPr>
        <w:t>). The lesson of the policy is that the above theoretical models should have in place national sharing procurement and standard mechanisms of data sharing so that the facilitative leadership of the federal government can more quickly and decisively step in when needed.</w:t>
      </w:r>
    </w:p>
    <w:p w14:paraId="0A4FB4B0" w14:textId="77777777" w:rsidR="00C45F66" w:rsidRPr="000A2657" w:rsidRDefault="00F149B8">
      <w:pPr>
        <w:pStyle w:val="Heading1"/>
        <w:rPr>
          <w:lang w:val="en-IN"/>
        </w:rPr>
      </w:pPr>
      <w:bookmarkStart w:id="19" w:name="_Toc9981"/>
      <w:r w:rsidRPr="000A2657">
        <w:rPr>
          <w:lang w:val="en-IN"/>
        </w:rPr>
        <w:lastRenderedPageBreak/>
        <w:t>Conclusion</w:t>
      </w:r>
      <w:bookmarkEnd w:id="19"/>
    </w:p>
    <w:p w14:paraId="2ED36F66" w14:textId="77777777" w:rsidR="00C45F66" w:rsidRPr="000A2657" w:rsidRDefault="00F149B8">
      <w:pPr>
        <w:rPr>
          <w:lang w:val="en-IN"/>
        </w:rPr>
      </w:pPr>
      <w:r w:rsidRPr="000A2657">
        <w:rPr>
          <w:lang w:val="en-IN"/>
        </w:rPr>
        <w:t xml:space="preserve">The comparative analysis indicates that the structure of the health system and the leadership styles played a significant role in the COVID-19 response of the countries. The situational leadership with functional leadership approach and the decentralised structure in Spain had an </w:t>
      </w:r>
      <w:proofErr w:type="gramStart"/>
      <w:r w:rsidRPr="000A2657">
        <w:rPr>
          <w:lang w:val="en-IN"/>
        </w:rPr>
        <w:t>uneven initial results</w:t>
      </w:r>
      <w:proofErr w:type="gramEnd"/>
      <w:r w:rsidRPr="000A2657">
        <w:rPr>
          <w:lang w:val="en-IN"/>
        </w:rPr>
        <w:t xml:space="preserve"> but have since performed excellently in vaccination. The centralised system and </w:t>
      </w:r>
      <w:r w:rsidRPr="000A2657">
        <w:rPr>
          <w:lang w:val="en-IN"/>
        </w:rPr>
        <w:t xml:space="preserve">Relationship Leadership Theory </w:t>
      </w:r>
      <w:r w:rsidRPr="000A2657">
        <w:rPr>
          <w:lang w:val="en-IN"/>
        </w:rPr>
        <w:t xml:space="preserve">allowed the country to quickly test, trace, and treat, which led to excellent initial control in South Korea. The federated system and the </w:t>
      </w:r>
      <w:r w:rsidRPr="000A2657">
        <w:rPr>
          <w:lang w:val="en-IN"/>
        </w:rPr>
        <w:t xml:space="preserve">Relationship Leadership Theory along with Five-Level Leadership Model </w:t>
      </w:r>
      <w:r w:rsidRPr="000A2657">
        <w:rPr>
          <w:lang w:val="en-IN"/>
        </w:rPr>
        <w:t xml:space="preserve">leadership in Canada gave the country an equal measure of autonomy at the regional level and coordination at the national level, which culminated in inconsistent, but eventually effective vaccination outcomes. These instances show that in order to govern the pandemic effectively, communication has to be effective, flexible </w:t>
      </w:r>
      <w:r w:rsidRPr="000A2657">
        <w:rPr>
          <w:lang w:val="en-IN"/>
        </w:rPr>
        <w:t>coordination has to be in place and leadership has to be flexible to incorporate central authority and local action to achieve resilience and equity.</w:t>
      </w:r>
    </w:p>
    <w:p w14:paraId="00655D06" w14:textId="77777777" w:rsidR="00C45F66" w:rsidRPr="000A2657" w:rsidRDefault="00F149B8">
      <w:pPr>
        <w:rPr>
          <w:lang w:val="en-IN"/>
        </w:rPr>
      </w:pPr>
      <w:r w:rsidRPr="000A2657">
        <w:rPr>
          <w:lang w:val="en-IN"/>
        </w:rPr>
        <w:br w:type="page"/>
      </w:r>
    </w:p>
    <w:p w14:paraId="4BAE4ECD" w14:textId="77777777" w:rsidR="00C45F66" w:rsidRPr="000A2657" w:rsidRDefault="00F149B8">
      <w:pPr>
        <w:pStyle w:val="Heading1"/>
        <w:rPr>
          <w:lang w:val="en-IN"/>
        </w:rPr>
      </w:pPr>
      <w:bookmarkStart w:id="20" w:name="_Toc15459"/>
      <w:r w:rsidRPr="000A2657">
        <w:rPr>
          <w:lang w:val="en-IN"/>
        </w:rPr>
        <w:lastRenderedPageBreak/>
        <w:t>References</w:t>
      </w:r>
      <w:bookmarkEnd w:id="20"/>
    </w:p>
    <w:p w14:paraId="7911DAF9" w14:textId="77777777" w:rsidR="00C45F66" w:rsidRPr="000A2657" w:rsidRDefault="00F149B8">
      <w:pPr>
        <w:rPr>
          <w:rFonts w:cs="Times New Roman"/>
        </w:rPr>
      </w:pPr>
      <w:r w:rsidRPr="000A2657">
        <w:rPr>
          <w:rFonts w:eastAsia="Arial" w:cs="Times New Roman"/>
          <w:kern w:val="2"/>
          <w:szCs w:val="22"/>
        </w:rPr>
        <w:t xml:space="preserve">aljazeera.com, 2024 [Online] Available at </w:t>
      </w:r>
      <w:hyperlink r:id="rId7" w:history="1">
        <w:r w:rsidRPr="000A2657">
          <w:rPr>
            <w:rStyle w:val="Hyperlink"/>
            <w:rFonts w:cs="Times New Roman"/>
            <w:color w:val="auto"/>
          </w:rPr>
          <w:t>https://www.aljazeera.com/news/2024/8/8/socialist-salvador-illa-elected-leader-of-spains-catalonia</w:t>
        </w:r>
      </w:hyperlink>
      <w:r w:rsidRPr="000A2657">
        <w:rPr>
          <w:rFonts w:eastAsia="Arial" w:cs="Times New Roman"/>
          <w:kern w:val="2"/>
          <w:szCs w:val="22"/>
        </w:rPr>
        <w:t xml:space="preserve"> [Accessed on December 10, 2025]</w:t>
      </w:r>
    </w:p>
    <w:p w14:paraId="3D0A7C24" w14:textId="77777777" w:rsidR="00C45F66" w:rsidRPr="000A2657" w:rsidRDefault="00F149B8">
      <w:pPr>
        <w:tabs>
          <w:tab w:val="left" w:pos="6213"/>
        </w:tabs>
        <w:rPr>
          <w:rFonts w:cs="Times New Roman"/>
        </w:rPr>
      </w:pPr>
      <w:r w:rsidRPr="000A2657">
        <w:rPr>
          <w:rFonts w:eastAsia="Arial" w:cs="Times New Roman"/>
          <w:kern w:val="2"/>
          <w:szCs w:val="22"/>
        </w:rPr>
        <w:t xml:space="preserve">annalsofglobalhealth.org, 2025 [Online] Available at </w:t>
      </w:r>
      <w:hyperlink r:id="rId8" w:history="1">
        <w:r w:rsidRPr="000A2657">
          <w:rPr>
            <w:rStyle w:val="Hyperlink"/>
            <w:rFonts w:cs="Times New Roman"/>
            <w:color w:val="auto"/>
          </w:rPr>
          <w:t>https://annalsofglobalhealth.org/articles/10.5334/aogh.2993</w:t>
        </w:r>
      </w:hyperlink>
      <w:r w:rsidRPr="000A2657">
        <w:rPr>
          <w:rFonts w:eastAsia="Arial" w:cs="Times New Roman"/>
          <w:kern w:val="2"/>
          <w:szCs w:val="22"/>
        </w:rPr>
        <w:t xml:space="preserve"> </w:t>
      </w:r>
      <w:r w:rsidRPr="000A2657">
        <w:rPr>
          <w:rFonts w:eastAsia="Arial" w:cs="Times New Roman"/>
          <w:kern w:val="2"/>
          <w:szCs w:val="22"/>
        </w:rPr>
        <w:tab/>
        <w:t>[Accessed on December 10, 2025]</w:t>
      </w:r>
    </w:p>
    <w:p w14:paraId="56494A51" w14:textId="77777777" w:rsidR="00C45F66" w:rsidRPr="000A2657" w:rsidRDefault="00F149B8">
      <w:proofErr w:type="spellStart"/>
      <w:r w:rsidRPr="000A2657">
        <w:rPr>
          <w:rFonts w:eastAsia="Arial" w:cs="Arial"/>
          <w:kern w:val="2"/>
          <w:szCs w:val="22"/>
        </w:rPr>
        <w:t>Ashkanasy</w:t>
      </w:r>
      <w:proofErr w:type="spellEnd"/>
      <w:r w:rsidRPr="000A2657">
        <w:rPr>
          <w:rFonts w:eastAsia="Arial" w:cs="Arial"/>
          <w:kern w:val="2"/>
          <w:szCs w:val="22"/>
        </w:rPr>
        <w:t>, N.M. and Kromah, M.D., 2025. A Five-Level Model of Positive Organizational Behavior and Emotions. In </w:t>
      </w:r>
      <w:r w:rsidRPr="000A2657">
        <w:rPr>
          <w:rFonts w:eastAsia="Arial" w:cs="Arial"/>
          <w:i/>
          <w:iCs/>
          <w:kern w:val="2"/>
          <w:szCs w:val="22"/>
        </w:rPr>
        <w:t xml:space="preserve">Advancing Positive Organizational </w:t>
      </w:r>
      <w:proofErr w:type="spellStart"/>
      <w:r w:rsidRPr="000A2657">
        <w:rPr>
          <w:rFonts w:eastAsia="Arial" w:cs="Arial"/>
          <w:i/>
          <w:iCs/>
          <w:kern w:val="2"/>
          <w:szCs w:val="22"/>
        </w:rPr>
        <w:t>Behaviour</w:t>
      </w:r>
      <w:proofErr w:type="spellEnd"/>
      <w:r w:rsidRPr="000A2657">
        <w:rPr>
          <w:rFonts w:eastAsia="Arial" w:cs="Arial"/>
          <w:kern w:val="2"/>
          <w:szCs w:val="22"/>
        </w:rPr>
        <w:t xml:space="preserve"> (pp. 85-100). Routledge. </w:t>
      </w:r>
      <w:hyperlink r:id="rId9" w:history="1">
        <w:r w:rsidRPr="000A2657">
          <w:rPr>
            <w:rStyle w:val="Hyperlink"/>
            <w:color w:val="auto"/>
          </w:rPr>
          <w:t>https://www.taylorfrancis.com/chapters/edit/10.4324/9781032619385-6/five-level-model-positive-organizational-behavior-emotions-neal-ashkanasy-momo-kromah</w:t>
        </w:r>
      </w:hyperlink>
    </w:p>
    <w:p w14:paraId="54B4EC14" w14:textId="77777777" w:rsidR="00C45F66" w:rsidRPr="000A2657" w:rsidRDefault="00F149B8">
      <w:pPr>
        <w:rPr>
          <w:rFonts w:cs="Times New Roman"/>
        </w:rPr>
      </w:pPr>
      <w:proofErr w:type="spellStart"/>
      <w:r w:rsidRPr="000A2657">
        <w:rPr>
          <w:rFonts w:eastAsia="Arial" w:cs="Times New Roman"/>
          <w:kern w:val="2"/>
          <w:szCs w:val="22"/>
        </w:rPr>
        <w:t>Baïssas</w:t>
      </w:r>
      <w:proofErr w:type="spellEnd"/>
      <w:r w:rsidRPr="000A2657">
        <w:rPr>
          <w:rFonts w:eastAsia="Arial" w:cs="Times New Roman"/>
          <w:kern w:val="2"/>
          <w:szCs w:val="22"/>
        </w:rPr>
        <w:t xml:space="preserve">, T., </w:t>
      </w:r>
      <w:proofErr w:type="spellStart"/>
      <w:r w:rsidRPr="000A2657">
        <w:rPr>
          <w:rFonts w:eastAsia="Arial" w:cs="Times New Roman"/>
          <w:kern w:val="2"/>
          <w:szCs w:val="22"/>
        </w:rPr>
        <w:t>Boisnard</w:t>
      </w:r>
      <w:proofErr w:type="spellEnd"/>
      <w:r w:rsidRPr="000A2657">
        <w:rPr>
          <w:rFonts w:eastAsia="Arial" w:cs="Times New Roman"/>
          <w:kern w:val="2"/>
          <w:szCs w:val="22"/>
        </w:rPr>
        <w:t xml:space="preserve">, F., Cuesta Esteve, I., Garcia Sánchez, M., Jones, C.E., </w:t>
      </w:r>
      <w:proofErr w:type="spellStart"/>
      <w:r w:rsidRPr="000A2657">
        <w:rPr>
          <w:rFonts w:eastAsia="Arial" w:cs="Times New Roman"/>
          <w:kern w:val="2"/>
          <w:szCs w:val="22"/>
        </w:rPr>
        <w:t>Rigoine</w:t>
      </w:r>
      <w:proofErr w:type="spellEnd"/>
      <w:r w:rsidRPr="000A2657">
        <w:rPr>
          <w:rFonts w:eastAsia="Arial" w:cs="Times New Roman"/>
          <w:kern w:val="2"/>
          <w:szCs w:val="22"/>
        </w:rPr>
        <w:t xml:space="preserve"> de </w:t>
      </w:r>
      <w:proofErr w:type="spellStart"/>
      <w:r w:rsidRPr="000A2657">
        <w:rPr>
          <w:rFonts w:eastAsia="Arial" w:cs="Times New Roman"/>
          <w:kern w:val="2"/>
          <w:szCs w:val="22"/>
        </w:rPr>
        <w:t>Fougerolles</w:t>
      </w:r>
      <w:proofErr w:type="spellEnd"/>
      <w:r w:rsidRPr="000A2657">
        <w:rPr>
          <w:rFonts w:eastAsia="Arial" w:cs="Times New Roman"/>
          <w:kern w:val="2"/>
          <w:szCs w:val="22"/>
        </w:rPr>
        <w:t xml:space="preserve">, T., Tan, L., </w:t>
      </w:r>
      <w:proofErr w:type="spellStart"/>
      <w:r w:rsidRPr="000A2657">
        <w:rPr>
          <w:rFonts w:eastAsia="Arial" w:cs="Times New Roman"/>
          <w:kern w:val="2"/>
          <w:szCs w:val="22"/>
        </w:rPr>
        <w:t>Vitoux</w:t>
      </w:r>
      <w:proofErr w:type="spellEnd"/>
      <w:r w:rsidRPr="000A2657">
        <w:rPr>
          <w:rFonts w:eastAsia="Arial" w:cs="Times New Roman"/>
          <w:kern w:val="2"/>
          <w:szCs w:val="22"/>
        </w:rPr>
        <w:t xml:space="preserve">, O. and Klein, C., 2021. Vaccination in pregnancy against pertussis and seasonal influenza: key learnings and components from high-performing vaccine </w:t>
      </w:r>
      <w:proofErr w:type="spellStart"/>
      <w:r w:rsidRPr="000A2657">
        <w:rPr>
          <w:rFonts w:eastAsia="Arial" w:cs="Times New Roman"/>
          <w:kern w:val="2"/>
          <w:szCs w:val="22"/>
        </w:rPr>
        <w:t>programmes</w:t>
      </w:r>
      <w:proofErr w:type="spellEnd"/>
      <w:r w:rsidRPr="000A2657">
        <w:rPr>
          <w:rFonts w:eastAsia="Arial" w:cs="Times New Roman"/>
          <w:kern w:val="2"/>
          <w:szCs w:val="22"/>
        </w:rPr>
        <w:t xml:space="preserve"> in three countries: the United Kingdom, the United States and Spain. </w:t>
      </w:r>
      <w:r w:rsidRPr="000A2657">
        <w:rPr>
          <w:rFonts w:eastAsia="Arial" w:cs="Times New Roman"/>
          <w:i/>
          <w:iCs/>
          <w:kern w:val="2"/>
          <w:szCs w:val="22"/>
        </w:rPr>
        <w:t>BMC Public Health</w:t>
      </w:r>
      <w:r w:rsidRPr="000A2657">
        <w:rPr>
          <w:rFonts w:eastAsia="Arial" w:cs="Times New Roman"/>
          <w:kern w:val="2"/>
          <w:szCs w:val="22"/>
        </w:rPr>
        <w:t>, </w:t>
      </w:r>
      <w:r w:rsidRPr="000A2657">
        <w:rPr>
          <w:rFonts w:eastAsia="Arial" w:cs="Times New Roman"/>
          <w:i/>
          <w:iCs/>
          <w:kern w:val="2"/>
          <w:szCs w:val="22"/>
        </w:rPr>
        <w:t>21</w:t>
      </w:r>
      <w:r w:rsidRPr="000A2657">
        <w:rPr>
          <w:rFonts w:eastAsia="Arial" w:cs="Times New Roman"/>
          <w:kern w:val="2"/>
          <w:szCs w:val="22"/>
        </w:rPr>
        <w:t>(1), p.2182. https://link.springer.com/content/pdf/10.1186/s12889-021-12198-2.pdf</w:t>
      </w:r>
    </w:p>
    <w:p w14:paraId="3BD18F43" w14:textId="77777777" w:rsidR="00C45F66" w:rsidRPr="000A2657" w:rsidRDefault="00F149B8">
      <w:pPr>
        <w:tabs>
          <w:tab w:val="left" w:pos="6213"/>
        </w:tabs>
        <w:rPr>
          <w:rFonts w:cs="Times New Roman"/>
        </w:rPr>
      </w:pPr>
      <w:r w:rsidRPr="000A2657">
        <w:rPr>
          <w:rFonts w:eastAsia="Arial" w:cs="Times New Roman"/>
          <w:kern w:val="2"/>
          <w:szCs w:val="22"/>
        </w:rPr>
        <w:t>Balogun, J.A., 2022. A Comparative Analysis of the Health System of Nigeria and Six Selected Nations Around the World. In </w:t>
      </w:r>
      <w:r w:rsidRPr="000A2657">
        <w:rPr>
          <w:rFonts w:eastAsia="Arial" w:cs="Times New Roman"/>
          <w:i/>
          <w:iCs/>
          <w:kern w:val="2"/>
          <w:szCs w:val="22"/>
        </w:rPr>
        <w:t>The Nigerian Healthcare System: Pathway to Universal and High-Quality Health Care</w:t>
      </w:r>
      <w:r w:rsidRPr="000A2657">
        <w:rPr>
          <w:rFonts w:eastAsia="Arial" w:cs="Times New Roman"/>
          <w:kern w:val="2"/>
          <w:szCs w:val="22"/>
        </w:rPr>
        <w:t xml:space="preserve"> (pp. 299-344). Cham: Springer International Publishing. </w:t>
      </w:r>
      <w:hyperlink r:id="rId10" w:history="1">
        <w:r w:rsidRPr="000A2657">
          <w:rPr>
            <w:rStyle w:val="Hyperlink"/>
            <w:rFonts w:cs="Times New Roman"/>
            <w:color w:val="auto"/>
          </w:rPr>
          <w:t>https://link.springer.com/chapter/10.1007/978-3-030-88863-3_10</w:t>
        </w:r>
      </w:hyperlink>
    </w:p>
    <w:p w14:paraId="7171C891" w14:textId="77777777" w:rsidR="00C45F66" w:rsidRPr="000A2657" w:rsidRDefault="00F149B8">
      <w:pPr>
        <w:rPr>
          <w:rFonts w:cs="Times New Roman"/>
        </w:rPr>
      </w:pPr>
      <w:r w:rsidRPr="000A2657">
        <w:rPr>
          <w:rFonts w:eastAsia="Arial" w:cs="Times New Roman"/>
          <w:kern w:val="2"/>
          <w:szCs w:val="22"/>
        </w:rPr>
        <w:t xml:space="preserve">bbc.com, 2020 [Online] Available at </w:t>
      </w:r>
      <w:hyperlink r:id="rId11" w:history="1">
        <w:r w:rsidRPr="000A2657">
          <w:rPr>
            <w:rStyle w:val="Hyperlink"/>
            <w:rFonts w:cs="Times New Roman"/>
            <w:color w:val="auto"/>
          </w:rPr>
          <w:t>https://www.bbc.com/news/world-asia-51836898</w:t>
        </w:r>
      </w:hyperlink>
      <w:r w:rsidRPr="000A2657">
        <w:rPr>
          <w:rFonts w:eastAsia="Arial" w:cs="Times New Roman"/>
          <w:kern w:val="2"/>
          <w:szCs w:val="22"/>
        </w:rPr>
        <w:t xml:space="preserve"> [Accessed on December 10, 2025]</w:t>
      </w:r>
    </w:p>
    <w:p w14:paraId="35284A9A" w14:textId="77777777" w:rsidR="00C45F66" w:rsidRPr="000A2657" w:rsidRDefault="00F149B8">
      <w:r w:rsidRPr="000A2657">
        <w:rPr>
          <w:rFonts w:eastAsia="Arial" w:cs="Arial"/>
          <w:kern w:val="2"/>
          <w:szCs w:val="22"/>
        </w:rPr>
        <w:t>Bor, R.J. and Wanyoike, R., 2021. Leadership Competency and Employee Performance: Empirical Evidence. </w:t>
      </w:r>
      <w:r w:rsidRPr="000A2657">
        <w:rPr>
          <w:rFonts w:eastAsia="Arial" w:cs="Arial"/>
          <w:i/>
          <w:iCs/>
          <w:kern w:val="2"/>
          <w:szCs w:val="22"/>
        </w:rPr>
        <w:t>International Journal of Latest Research in Humanities and Social Science</w:t>
      </w:r>
      <w:r w:rsidRPr="000A2657">
        <w:rPr>
          <w:rFonts w:eastAsia="Arial" w:cs="Arial"/>
          <w:kern w:val="2"/>
          <w:szCs w:val="22"/>
        </w:rPr>
        <w:t>, </w:t>
      </w:r>
      <w:r w:rsidRPr="000A2657">
        <w:rPr>
          <w:rFonts w:eastAsia="Arial" w:cs="Arial"/>
          <w:i/>
          <w:iCs/>
          <w:kern w:val="2"/>
          <w:szCs w:val="22"/>
        </w:rPr>
        <w:t>4</w:t>
      </w:r>
      <w:r w:rsidRPr="000A2657">
        <w:rPr>
          <w:rFonts w:eastAsia="Arial" w:cs="Arial"/>
          <w:kern w:val="2"/>
          <w:szCs w:val="22"/>
        </w:rPr>
        <w:t>(10), pp.46-48. http://www.ijlrhss.com/paper/volume-4-issue-10/7-HSS-1142.pdf</w:t>
      </w:r>
    </w:p>
    <w:p w14:paraId="65C2CD62" w14:textId="77777777" w:rsidR="00C45F66" w:rsidRPr="000A2657" w:rsidRDefault="00F149B8">
      <w:pPr>
        <w:rPr>
          <w:rFonts w:cs="Times New Roman"/>
        </w:rPr>
      </w:pPr>
      <w:r w:rsidRPr="000A2657">
        <w:rPr>
          <w:rFonts w:eastAsia="Arial" w:cs="Times New Roman"/>
          <w:kern w:val="2"/>
          <w:szCs w:val="22"/>
        </w:rPr>
        <w:t>Burkhard, B., Sirén, C., van Essen, M., Grichnik, D. and Shepherd, D.A., 2023. Nothing ventured, nothing gained: A meta-analysis of CEO overconfidence, strategic risk taking, and performance. </w:t>
      </w:r>
      <w:r w:rsidRPr="000A2657">
        <w:rPr>
          <w:rFonts w:eastAsia="Arial" w:cs="Times New Roman"/>
          <w:i/>
          <w:iCs/>
          <w:kern w:val="2"/>
          <w:szCs w:val="22"/>
        </w:rPr>
        <w:t>Journal of Management</w:t>
      </w:r>
      <w:r w:rsidRPr="000A2657">
        <w:rPr>
          <w:rFonts w:eastAsia="Arial" w:cs="Times New Roman"/>
          <w:kern w:val="2"/>
          <w:szCs w:val="22"/>
        </w:rPr>
        <w:t>, </w:t>
      </w:r>
      <w:r w:rsidRPr="000A2657">
        <w:rPr>
          <w:rFonts w:eastAsia="Arial" w:cs="Times New Roman"/>
          <w:i/>
          <w:iCs/>
          <w:kern w:val="2"/>
          <w:szCs w:val="22"/>
        </w:rPr>
        <w:t>49</w:t>
      </w:r>
      <w:r w:rsidRPr="000A2657">
        <w:rPr>
          <w:rFonts w:eastAsia="Arial" w:cs="Times New Roman"/>
          <w:kern w:val="2"/>
          <w:szCs w:val="22"/>
        </w:rPr>
        <w:t>(8), pp.2629-2666. https://journals.sagepub.com/doi/pdf/10.1177/01492063221110203</w:t>
      </w:r>
    </w:p>
    <w:p w14:paraId="7D4E27D4" w14:textId="77777777" w:rsidR="00C45F66" w:rsidRPr="000A2657" w:rsidRDefault="00F149B8">
      <w:pPr>
        <w:rPr>
          <w:rFonts w:cs="Times New Roman"/>
        </w:rPr>
      </w:pPr>
      <w:r w:rsidRPr="000A2657">
        <w:rPr>
          <w:rFonts w:eastAsia="Arial" w:cs="Times New Roman"/>
          <w:kern w:val="2"/>
          <w:szCs w:val="22"/>
        </w:rPr>
        <w:lastRenderedPageBreak/>
        <w:t>Cameron-Blake, E., Breton, C., Sim, P., Tatlow, H., Hale, T., Wood, A., Smith, J., Sawatsky, J., Parsons, Z. and Tyson, K., 2021. Variation in the Canadian provincial and territorial responses to COVID-19. </w:t>
      </w:r>
      <w:r w:rsidRPr="000A2657">
        <w:rPr>
          <w:rFonts w:eastAsia="Arial" w:cs="Times New Roman"/>
          <w:i/>
          <w:iCs/>
          <w:kern w:val="2"/>
          <w:szCs w:val="22"/>
        </w:rPr>
        <w:t>Blavatnik School of Government Working Paper Series</w:t>
      </w:r>
      <w:r w:rsidRPr="000A2657">
        <w:rPr>
          <w:rFonts w:eastAsia="Arial" w:cs="Times New Roman"/>
          <w:kern w:val="2"/>
          <w:szCs w:val="22"/>
        </w:rPr>
        <w:t>, </w:t>
      </w:r>
      <w:r w:rsidRPr="000A2657">
        <w:rPr>
          <w:rFonts w:eastAsia="Arial" w:cs="Times New Roman"/>
          <w:i/>
          <w:iCs/>
          <w:kern w:val="2"/>
          <w:szCs w:val="22"/>
        </w:rPr>
        <w:t>39</w:t>
      </w:r>
      <w:r w:rsidRPr="000A2657">
        <w:rPr>
          <w:rFonts w:eastAsia="Arial" w:cs="Times New Roman"/>
          <w:kern w:val="2"/>
          <w:szCs w:val="22"/>
        </w:rPr>
        <w:t xml:space="preserve">. </w:t>
      </w:r>
      <w:hyperlink r:id="rId12" w:history="1">
        <w:r w:rsidRPr="000A2657">
          <w:rPr>
            <w:rStyle w:val="Hyperlink"/>
            <w:rFonts w:cs="Times New Roman"/>
            <w:color w:val="auto"/>
          </w:rPr>
          <w:t>https://www.bsg.ox.ac.uk/sites/default/files/2021-03/BSG-WP-2021-039.pdf</w:t>
        </w:r>
      </w:hyperlink>
    </w:p>
    <w:p w14:paraId="3A5ADA31" w14:textId="77777777" w:rsidR="00C45F66" w:rsidRPr="000A2657" w:rsidRDefault="00F149B8">
      <w:pPr>
        <w:rPr>
          <w:rFonts w:cs="Times New Roman"/>
        </w:rPr>
      </w:pPr>
      <w:r w:rsidRPr="000A2657">
        <w:rPr>
          <w:rFonts w:eastAsia="Arial" w:cs="Times New Roman"/>
          <w:kern w:val="2"/>
          <w:szCs w:val="22"/>
        </w:rPr>
        <w:t xml:space="preserve">canada.ca, 2025 [Online] Available at </w:t>
      </w:r>
      <w:hyperlink r:id="rId13" w:history="1">
        <w:r w:rsidRPr="000A2657">
          <w:rPr>
            <w:rStyle w:val="Hyperlink"/>
            <w:rFonts w:cs="Times New Roman"/>
            <w:color w:val="auto"/>
          </w:rPr>
          <w:t>https://www.canada.ca/en/public-health/programs/consultation-help-modernize-development-preventive-health-care-guidelines/way-forward.html</w:t>
        </w:r>
      </w:hyperlink>
      <w:r w:rsidRPr="000A2657">
        <w:rPr>
          <w:rFonts w:eastAsia="Arial" w:cs="Times New Roman"/>
          <w:kern w:val="2"/>
          <w:szCs w:val="22"/>
        </w:rPr>
        <w:t xml:space="preserve"> [Accessed on December 10, 2025]</w:t>
      </w:r>
    </w:p>
    <w:p w14:paraId="4A714C1D" w14:textId="77777777" w:rsidR="00C45F66" w:rsidRPr="000A2657" w:rsidRDefault="00F149B8">
      <w:pPr>
        <w:rPr>
          <w:rFonts w:cs="Times New Roman"/>
        </w:rPr>
      </w:pPr>
      <w:r w:rsidRPr="000A2657">
        <w:rPr>
          <w:rFonts w:eastAsia="Arial" w:cs="Times New Roman"/>
          <w:kern w:val="2"/>
          <w:szCs w:val="22"/>
        </w:rPr>
        <w:t xml:space="preserve">catalangovernment.eu, 2025 [Online] Available at </w:t>
      </w:r>
      <w:hyperlink r:id="rId14" w:history="1">
        <w:r w:rsidRPr="000A2657">
          <w:rPr>
            <w:rStyle w:val="Hyperlink"/>
            <w:rFonts w:cs="Times New Roman"/>
            <w:color w:val="auto"/>
          </w:rPr>
          <w:t>https://catalangovernment.eu/catalangovernment/president/biography</w:t>
        </w:r>
      </w:hyperlink>
      <w:r w:rsidRPr="000A2657">
        <w:rPr>
          <w:rFonts w:eastAsia="Arial" w:cs="Times New Roman"/>
          <w:kern w:val="2"/>
          <w:szCs w:val="22"/>
        </w:rPr>
        <w:t xml:space="preserve"> [Accessed on December 10, 2025]</w:t>
      </w:r>
    </w:p>
    <w:p w14:paraId="7781C4DB" w14:textId="77777777" w:rsidR="00C45F66" w:rsidRPr="000A2657" w:rsidRDefault="00F149B8">
      <w:pPr>
        <w:rPr>
          <w:rFonts w:cs="Times New Roman"/>
        </w:rPr>
      </w:pPr>
      <w:r w:rsidRPr="000A2657">
        <w:rPr>
          <w:rFonts w:eastAsia="Arial" w:cs="Times New Roman"/>
          <w:kern w:val="2"/>
          <w:szCs w:val="22"/>
        </w:rPr>
        <w:t>Chen, H., Shi, L., Zhang, Y., Wang, X. and Sun, G., 2021. A cross-country core strategy comparison in China, Japan, Singapore and South Korea during the early COVID-19 pandemic. </w:t>
      </w:r>
      <w:r w:rsidRPr="000A2657">
        <w:rPr>
          <w:rFonts w:eastAsia="Arial" w:cs="Times New Roman"/>
          <w:i/>
          <w:iCs/>
          <w:kern w:val="2"/>
          <w:szCs w:val="22"/>
        </w:rPr>
        <w:t>Globalization and health</w:t>
      </w:r>
      <w:r w:rsidRPr="000A2657">
        <w:rPr>
          <w:rFonts w:eastAsia="Arial" w:cs="Times New Roman"/>
          <w:kern w:val="2"/>
          <w:szCs w:val="22"/>
        </w:rPr>
        <w:t>, </w:t>
      </w:r>
      <w:r w:rsidRPr="000A2657">
        <w:rPr>
          <w:rFonts w:eastAsia="Arial" w:cs="Times New Roman"/>
          <w:i/>
          <w:iCs/>
          <w:kern w:val="2"/>
          <w:szCs w:val="22"/>
        </w:rPr>
        <w:t>17</w:t>
      </w:r>
      <w:r w:rsidRPr="000A2657">
        <w:rPr>
          <w:rFonts w:eastAsia="Arial" w:cs="Times New Roman"/>
          <w:kern w:val="2"/>
          <w:szCs w:val="22"/>
        </w:rPr>
        <w:t xml:space="preserve">(1), p.22. </w:t>
      </w:r>
      <w:hyperlink r:id="rId15" w:history="1">
        <w:r w:rsidRPr="000A2657">
          <w:rPr>
            <w:rStyle w:val="Hyperlink"/>
            <w:rFonts w:cs="Times New Roman"/>
            <w:color w:val="auto"/>
          </w:rPr>
          <w:t>https://link.springer.com/content/pdf/10.1186/s12992-021-00672-w.pdf</w:t>
        </w:r>
      </w:hyperlink>
    </w:p>
    <w:p w14:paraId="4869FAF9" w14:textId="77777777" w:rsidR="00C45F66" w:rsidRPr="000A2657" w:rsidRDefault="00F149B8">
      <w:pPr>
        <w:rPr>
          <w:rFonts w:cs="Times New Roman"/>
        </w:rPr>
      </w:pPr>
      <w:r w:rsidRPr="000A2657">
        <w:rPr>
          <w:rFonts w:eastAsia="Arial" w:cs="Times New Roman"/>
          <w:kern w:val="2"/>
          <w:szCs w:val="22"/>
        </w:rPr>
        <w:t>Coccia, M., 2023. Effects of strict containment policies on COVID-19 pandemic crisis: lessons to cope with next pandemic impacts. </w:t>
      </w:r>
      <w:r w:rsidRPr="000A2657">
        <w:rPr>
          <w:rFonts w:eastAsia="Arial" w:cs="Times New Roman"/>
          <w:i/>
          <w:iCs/>
          <w:kern w:val="2"/>
          <w:szCs w:val="22"/>
        </w:rPr>
        <w:t>Environmental science and pollution research</w:t>
      </w:r>
      <w:r w:rsidRPr="000A2657">
        <w:rPr>
          <w:rFonts w:eastAsia="Arial" w:cs="Times New Roman"/>
          <w:kern w:val="2"/>
          <w:szCs w:val="22"/>
        </w:rPr>
        <w:t>, </w:t>
      </w:r>
      <w:r w:rsidRPr="000A2657">
        <w:rPr>
          <w:rFonts w:eastAsia="Arial" w:cs="Times New Roman"/>
          <w:i/>
          <w:iCs/>
          <w:kern w:val="2"/>
          <w:szCs w:val="22"/>
        </w:rPr>
        <w:t>30</w:t>
      </w:r>
      <w:r w:rsidRPr="000A2657">
        <w:rPr>
          <w:rFonts w:eastAsia="Arial" w:cs="Times New Roman"/>
          <w:kern w:val="2"/>
          <w:szCs w:val="22"/>
        </w:rPr>
        <w:t xml:space="preserve">(1), pp.2020-2028. </w:t>
      </w:r>
      <w:hyperlink r:id="rId16" w:history="1">
        <w:r w:rsidRPr="000A2657">
          <w:rPr>
            <w:rStyle w:val="Hyperlink"/>
            <w:rFonts w:cs="Times New Roman"/>
            <w:color w:val="auto"/>
          </w:rPr>
          <w:t>https://link.springer.com/content/pdf/10.1007/s11356-022-22024-w.pdf</w:t>
        </w:r>
      </w:hyperlink>
    </w:p>
    <w:p w14:paraId="24CDEE36" w14:textId="77777777" w:rsidR="00C45F66" w:rsidRPr="000A2657" w:rsidRDefault="00F149B8">
      <w:pPr>
        <w:rPr>
          <w:rFonts w:cs="Times New Roman"/>
        </w:rPr>
      </w:pPr>
      <w:r w:rsidRPr="000A2657">
        <w:rPr>
          <w:rFonts w:eastAsia="Arial" w:cs="Times New Roman"/>
          <w:kern w:val="2"/>
          <w:szCs w:val="22"/>
        </w:rPr>
        <w:t xml:space="preserve">commonwealthfund.org, 2020 [Online] Available at </w:t>
      </w:r>
      <w:hyperlink r:id="rId17" w:history="1">
        <w:r w:rsidRPr="000A2657">
          <w:rPr>
            <w:rStyle w:val="Hyperlink"/>
            <w:rFonts w:cs="Times New Roman"/>
            <w:color w:val="auto"/>
          </w:rPr>
          <w:t>https://www.commonwealthfund.org/international-health-policy-center/countries/canada</w:t>
        </w:r>
      </w:hyperlink>
      <w:r w:rsidRPr="000A2657">
        <w:rPr>
          <w:rFonts w:eastAsia="Arial" w:cs="Times New Roman"/>
          <w:kern w:val="2"/>
          <w:szCs w:val="22"/>
        </w:rPr>
        <w:t xml:space="preserve"> [Accessed on December 10, 2025]</w:t>
      </w:r>
    </w:p>
    <w:p w14:paraId="0B385999" w14:textId="77777777" w:rsidR="00C45F66" w:rsidRPr="000A2657" w:rsidRDefault="00F149B8">
      <w:pPr>
        <w:rPr>
          <w:rFonts w:cs="Times New Roman"/>
        </w:rPr>
      </w:pPr>
      <w:proofErr w:type="spellStart"/>
      <w:proofErr w:type="gramStart"/>
      <w:r w:rsidRPr="000A2657">
        <w:rPr>
          <w:rFonts w:eastAsia="Arial" w:cs="Times New Roman"/>
          <w:kern w:val="2"/>
          <w:szCs w:val="22"/>
        </w:rPr>
        <w:t>comunidad.madrid</w:t>
      </w:r>
      <w:proofErr w:type="spellEnd"/>
      <w:proofErr w:type="gramEnd"/>
      <w:r w:rsidRPr="000A2657">
        <w:rPr>
          <w:rFonts w:eastAsia="Arial" w:cs="Times New Roman"/>
          <w:kern w:val="2"/>
          <w:szCs w:val="22"/>
        </w:rPr>
        <w:t xml:space="preserve">, 2025 [Online] Available at </w:t>
      </w:r>
      <w:hyperlink r:id="rId18" w:history="1">
        <w:r w:rsidRPr="000A2657">
          <w:rPr>
            <w:rStyle w:val="Hyperlink"/>
            <w:rFonts w:cs="Times New Roman"/>
            <w:color w:val="auto"/>
          </w:rPr>
          <w:t>https://www.comunidad.madrid/servicios/salud</w:t>
        </w:r>
      </w:hyperlink>
      <w:r w:rsidRPr="000A2657">
        <w:rPr>
          <w:rFonts w:eastAsia="Arial" w:cs="Times New Roman"/>
          <w:kern w:val="2"/>
          <w:szCs w:val="22"/>
        </w:rPr>
        <w:t xml:space="preserve"> [Accessed on December 10, 2025]</w:t>
      </w:r>
    </w:p>
    <w:p w14:paraId="0BD1FD1B" w14:textId="77777777" w:rsidR="00C45F66" w:rsidRPr="000A2657" w:rsidRDefault="00F149B8">
      <w:pPr>
        <w:rPr>
          <w:rFonts w:cs="Times New Roman"/>
        </w:rPr>
      </w:pPr>
      <w:r w:rsidRPr="000A2657">
        <w:rPr>
          <w:rFonts w:eastAsia="Arial" w:cs="Times New Roman"/>
          <w:kern w:val="2"/>
          <w:szCs w:val="22"/>
        </w:rPr>
        <w:t xml:space="preserve">data.worldbank.org, 2025 [Online] Available at </w:t>
      </w:r>
      <w:hyperlink r:id="rId19" w:history="1">
        <w:r w:rsidRPr="000A2657">
          <w:rPr>
            <w:rStyle w:val="Hyperlink"/>
            <w:rFonts w:cs="Times New Roman"/>
            <w:color w:val="auto"/>
          </w:rPr>
          <w:t>https://data.worldbank.org/indicator/SH.MED.BEDS.ZS?locations=CA</w:t>
        </w:r>
      </w:hyperlink>
      <w:r w:rsidRPr="000A2657">
        <w:rPr>
          <w:rFonts w:eastAsia="Arial" w:cs="Times New Roman"/>
          <w:kern w:val="2"/>
          <w:szCs w:val="22"/>
        </w:rPr>
        <w:t xml:space="preserve"> [Accessed on December 10, 2025]</w:t>
      </w:r>
    </w:p>
    <w:p w14:paraId="11E7A2F8" w14:textId="77777777" w:rsidR="00C45F66" w:rsidRPr="000A2657" w:rsidRDefault="00F149B8">
      <w:r w:rsidRPr="000A2657">
        <w:rPr>
          <w:rFonts w:eastAsia="Arial" w:cs="Arial"/>
          <w:kern w:val="2"/>
          <w:szCs w:val="22"/>
        </w:rPr>
        <w:t>Dugan, J.P., 2024. </w:t>
      </w:r>
      <w:r w:rsidRPr="000A2657">
        <w:rPr>
          <w:rFonts w:eastAsia="Arial" w:cs="Arial"/>
          <w:i/>
          <w:iCs/>
          <w:kern w:val="2"/>
          <w:szCs w:val="22"/>
        </w:rPr>
        <w:t>Leadership theory: Cultivating critical perspectives</w:t>
      </w:r>
      <w:r w:rsidRPr="000A2657">
        <w:rPr>
          <w:rFonts w:eastAsia="Arial" w:cs="Arial"/>
          <w:kern w:val="2"/>
          <w:szCs w:val="22"/>
        </w:rPr>
        <w:t xml:space="preserve">. John Wiley &amp; Sons. </w:t>
      </w:r>
      <w:hyperlink r:id="rId20" w:history="1">
        <w:r w:rsidRPr="000A2657">
          <w:rPr>
            <w:rStyle w:val="Hyperlink"/>
            <w:color w:val="auto"/>
          </w:rPr>
          <w:t>https://books.google.com/books?hl=en&amp;lr=&amp;id=F-r3EAAAQBAJ&amp;oi=fnd&amp;pg=PA1&amp;dq=Relationship+Leadership+Theory+&amp;ots=FRjquDWaRv&amp;sig=3c2iP7rEe-mBAThvhaEp85OA7HA</w:t>
        </w:r>
      </w:hyperlink>
    </w:p>
    <w:p w14:paraId="7E63B35F" w14:textId="77777777" w:rsidR="00C45F66" w:rsidRPr="000A2657" w:rsidRDefault="00F149B8">
      <w:pPr>
        <w:rPr>
          <w:rFonts w:cs="Times New Roman"/>
        </w:rPr>
      </w:pPr>
      <w:r w:rsidRPr="000A2657">
        <w:rPr>
          <w:rFonts w:eastAsia="Arial" w:cs="Times New Roman"/>
          <w:kern w:val="2"/>
          <w:szCs w:val="22"/>
        </w:rPr>
        <w:t xml:space="preserve">Eaton, L., Bridgman, T. and Cummings, S., 2024. Advancing the democratization of work: A new intellectual history of transformational leadership </w:t>
      </w:r>
      <w:r w:rsidRPr="000A2657">
        <w:rPr>
          <w:rFonts w:eastAsia="Arial" w:cs="Times New Roman"/>
          <w:kern w:val="2"/>
          <w:szCs w:val="22"/>
        </w:rPr>
        <w:lastRenderedPageBreak/>
        <w:t>theory. </w:t>
      </w:r>
      <w:r w:rsidRPr="000A2657">
        <w:rPr>
          <w:rFonts w:eastAsia="Arial" w:cs="Times New Roman"/>
          <w:i/>
          <w:iCs/>
          <w:kern w:val="2"/>
          <w:szCs w:val="22"/>
        </w:rPr>
        <w:t>Leadership</w:t>
      </w:r>
      <w:r w:rsidRPr="000A2657">
        <w:rPr>
          <w:rFonts w:eastAsia="Arial" w:cs="Times New Roman"/>
          <w:kern w:val="2"/>
          <w:szCs w:val="22"/>
        </w:rPr>
        <w:t>, </w:t>
      </w:r>
      <w:r w:rsidRPr="000A2657">
        <w:rPr>
          <w:rFonts w:eastAsia="Arial" w:cs="Times New Roman"/>
          <w:i/>
          <w:iCs/>
          <w:kern w:val="2"/>
          <w:szCs w:val="22"/>
        </w:rPr>
        <w:t>20</w:t>
      </w:r>
      <w:r w:rsidRPr="000A2657">
        <w:rPr>
          <w:rFonts w:eastAsia="Arial" w:cs="Times New Roman"/>
          <w:kern w:val="2"/>
          <w:szCs w:val="22"/>
        </w:rPr>
        <w:t xml:space="preserve">(3), pp.125-143. </w:t>
      </w:r>
      <w:hyperlink r:id="rId21" w:history="1">
        <w:r w:rsidRPr="000A2657">
          <w:rPr>
            <w:rStyle w:val="Hyperlink"/>
            <w:rFonts w:cs="Times New Roman"/>
            <w:color w:val="auto"/>
          </w:rPr>
          <w:t>https://journals.sagepub.com/doi/pdf/10.1177/17427150241232705</w:t>
        </w:r>
      </w:hyperlink>
    </w:p>
    <w:p w14:paraId="51E534F4" w14:textId="77777777" w:rsidR="00C45F66" w:rsidRPr="000A2657" w:rsidRDefault="00F149B8">
      <w:proofErr w:type="spellStart"/>
      <w:r w:rsidRPr="000A2657">
        <w:rPr>
          <w:rFonts w:eastAsia="Arial" w:cs="Arial"/>
          <w:kern w:val="2"/>
          <w:szCs w:val="22"/>
        </w:rPr>
        <w:t>Eseryel</w:t>
      </w:r>
      <w:proofErr w:type="spellEnd"/>
      <w:r w:rsidRPr="000A2657">
        <w:rPr>
          <w:rFonts w:eastAsia="Arial" w:cs="Arial"/>
          <w:kern w:val="2"/>
          <w:szCs w:val="22"/>
        </w:rPr>
        <w:t>, U.Y., Crowston, K. and Heckman, R., 2021. Functional and visionary leadership in self-managing virtual teams. </w:t>
      </w:r>
      <w:r w:rsidRPr="000A2657">
        <w:rPr>
          <w:rFonts w:eastAsia="Arial" w:cs="Arial"/>
          <w:i/>
          <w:iCs/>
          <w:kern w:val="2"/>
          <w:szCs w:val="22"/>
        </w:rPr>
        <w:t>Group &amp; Organization Management</w:t>
      </w:r>
      <w:r w:rsidRPr="000A2657">
        <w:rPr>
          <w:rFonts w:eastAsia="Arial" w:cs="Arial"/>
          <w:kern w:val="2"/>
          <w:szCs w:val="22"/>
        </w:rPr>
        <w:t>, </w:t>
      </w:r>
      <w:r w:rsidRPr="000A2657">
        <w:rPr>
          <w:rFonts w:eastAsia="Arial" w:cs="Arial"/>
          <w:i/>
          <w:iCs/>
          <w:kern w:val="2"/>
          <w:szCs w:val="22"/>
        </w:rPr>
        <w:t>46</w:t>
      </w:r>
      <w:r w:rsidRPr="000A2657">
        <w:rPr>
          <w:rFonts w:eastAsia="Arial" w:cs="Arial"/>
          <w:kern w:val="2"/>
          <w:szCs w:val="22"/>
        </w:rPr>
        <w:t xml:space="preserve">(2), pp.424-460. </w:t>
      </w:r>
      <w:hyperlink r:id="rId22" w:history="1">
        <w:r w:rsidRPr="000A2657">
          <w:rPr>
            <w:rStyle w:val="Hyperlink"/>
            <w:color w:val="auto"/>
          </w:rPr>
          <w:t>https://journals.sagepub.com/doi/pdf/10.1177/1059601120955034</w:t>
        </w:r>
      </w:hyperlink>
    </w:p>
    <w:p w14:paraId="612D4EC7" w14:textId="77777777" w:rsidR="00C45F66" w:rsidRPr="000A2657" w:rsidRDefault="00F149B8">
      <w:pPr>
        <w:rPr>
          <w:rFonts w:cs="Times New Roman"/>
        </w:rPr>
      </w:pPr>
      <w:r w:rsidRPr="000A2657">
        <w:rPr>
          <w:rFonts w:eastAsia="Arial" w:cs="Times New Roman"/>
          <w:kern w:val="2"/>
          <w:szCs w:val="22"/>
        </w:rPr>
        <w:t xml:space="preserve">euronews.com, 2025 [Online] Available at </w:t>
      </w:r>
      <w:hyperlink r:id="rId23" w:history="1">
        <w:r w:rsidRPr="000A2657">
          <w:rPr>
            <w:rStyle w:val="Hyperlink"/>
            <w:rFonts w:cs="Times New Roman"/>
            <w:color w:val="auto"/>
          </w:rPr>
          <w:t>https://www.euronews.com/my-europe/2024/08/10/salvador-illa-sworn-in-as-new-catalonia-president-ending-decades-long-separatist-governmen</w:t>
        </w:r>
      </w:hyperlink>
      <w:r w:rsidRPr="000A2657">
        <w:rPr>
          <w:rFonts w:eastAsia="Arial" w:cs="Times New Roman"/>
          <w:kern w:val="2"/>
          <w:szCs w:val="22"/>
        </w:rPr>
        <w:t xml:space="preserve"> [Accessed on December 10, 2025]</w:t>
      </w:r>
    </w:p>
    <w:p w14:paraId="223415D7" w14:textId="77777777" w:rsidR="00C45F66" w:rsidRPr="000A2657" w:rsidRDefault="00F149B8">
      <w:pPr>
        <w:rPr>
          <w:rFonts w:cs="Times New Roman"/>
        </w:rPr>
      </w:pPr>
      <w:r w:rsidRPr="000A2657">
        <w:rPr>
          <w:rFonts w:eastAsia="Arial" w:cs="Times New Roman"/>
          <w:kern w:val="2"/>
          <w:szCs w:val="22"/>
        </w:rPr>
        <w:t xml:space="preserve">european-union.europa.eu, 2025 [Online] Available at </w:t>
      </w:r>
      <w:hyperlink r:id="rId24" w:history="1">
        <w:r w:rsidRPr="000A2657">
          <w:rPr>
            <w:rStyle w:val="Hyperlink"/>
            <w:rFonts w:cs="Times New Roman"/>
            <w:color w:val="auto"/>
          </w:rPr>
          <w:t>https://european-union.europa.eu/principles-countries-history/eu-countries/spain_en</w:t>
        </w:r>
      </w:hyperlink>
      <w:r w:rsidRPr="000A2657">
        <w:rPr>
          <w:rFonts w:eastAsia="Arial" w:cs="Times New Roman"/>
          <w:kern w:val="2"/>
          <w:szCs w:val="22"/>
        </w:rPr>
        <w:t xml:space="preserve"> [Accessed on December 10, 2025]</w:t>
      </w:r>
    </w:p>
    <w:p w14:paraId="4336A203" w14:textId="77777777" w:rsidR="00C45F66" w:rsidRPr="000A2657" w:rsidRDefault="00F149B8">
      <w:pPr>
        <w:rPr>
          <w:rFonts w:cs="Times New Roman"/>
        </w:rPr>
      </w:pPr>
      <w:r w:rsidRPr="000A2657">
        <w:rPr>
          <w:rFonts w:eastAsia="Arial" w:cs="Times New Roman"/>
          <w:kern w:val="2"/>
          <w:szCs w:val="22"/>
        </w:rPr>
        <w:t>Feiger, M., 2024. </w:t>
      </w:r>
      <w:r w:rsidRPr="000A2657">
        <w:rPr>
          <w:rFonts w:eastAsia="Arial" w:cs="Times New Roman"/>
          <w:i/>
          <w:iCs/>
          <w:kern w:val="2"/>
          <w:szCs w:val="22"/>
        </w:rPr>
        <w:t>Exploration of centralized and decentralized education systems around the world</w:t>
      </w:r>
      <w:r w:rsidRPr="000A2657">
        <w:rPr>
          <w:rFonts w:eastAsia="Arial" w:cs="Times New Roman"/>
          <w:kern w:val="2"/>
          <w:szCs w:val="22"/>
        </w:rPr>
        <w:t xml:space="preserve">. DePaul University. </w:t>
      </w:r>
      <w:hyperlink r:id="rId25" w:history="1">
        <w:r w:rsidRPr="000A2657">
          <w:rPr>
            <w:rStyle w:val="Hyperlink"/>
            <w:rFonts w:cs="Times New Roman"/>
            <w:color w:val="auto"/>
          </w:rPr>
          <w:t>https://search.proquest.com/openview/d389f225457a852bb0fa3b2abba35125/1.pdf?pq-origsite=gscholar&amp;cbl=18750&amp;diss=y</w:t>
        </w:r>
      </w:hyperlink>
    </w:p>
    <w:p w14:paraId="21F21CD1" w14:textId="77777777" w:rsidR="00C45F66" w:rsidRPr="000A2657" w:rsidRDefault="00F149B8">
      <w:pPr>
        <w:rPr>
          <w:rFonts w:cs="Times New Roman"/>
        </w:rPr>
      </w:pPr>
      <w:r w:rsidRPr="000A2657">
        <w:rPr>
          <w:rFonts w:eastAsia="Arial" w:cs="Times New Roman"/>
          <w:kern w:val="2"/>
          <w:szCs w:val="22"/>
        </w:rPr>
        <w:t>Flood, C.M., Thomas, B. and McGibbon, E., 2023, September. Canada’s primary care crisis: federal government response. In </w:t>
      </w:r>
      <w:r w:rsidRPr="000A2657">
        <w:rPr>
          <w:rFonts w:eastAsia="Arial" w:cs="Times New Roman"/>
          <w:i/>
          <w:iCs/>
          <w:kern w:val="2"/>
          <w:szCs w:val="22"/>
        </w:rPr>
        <w:t>Healthcare Management Forum</w:t>
      </w:r>
      <w:r w:rsidRPr="000A2657">
        <w:rPr>
          <w:rFonts w:eastAsia="Arial" w:cs="Times New Roman"/>
          <w:kern w:val="2"/>
          <w:szCs w:val="22"/>
        </w:rPr>
        <w:t xml:space="preserve"> (Vol. 36, No. 5, pp. 327-332). Sage CA: Los Angeles, CA: Sage Publications. </w:t>
      </w:r>
      <w:hyperlink r:id="rId26" w:history="1">
        <w:r w:rsidRPr="000A2657">
          <w:rPr>
            <w:rStyle w:val="Hyperlink"/>
            <w:rFonts w:cs="Times New Roman"/>
            <w:color w:val="auto"/>
          </w:rPr>
          <w:t>https://journals.sagepub.com/doi/pdf/10.1177/08404704231183863</w:t>
        </w:r>
      </w:hyperlink>
    </w:p>
    <w:p w14:paraId="60483B97" w14:textId="77777777" w:rsidR="00C45F66" w:rsidRPr="000A2657" w:rsidRDefault="00F149B8">
      <w:pPr>
        <w:rPr>
          <w:rFonts w:cs="Times New Roman"/>
        </w:rPr>
      </w:pPr>
      <w:r w:rsidRPr="000A2657">
        <w:rPr>
          <w:rFonts w:eastAsia="Arial" w:cs="Times New Roman"/>
          <w:kern w:val="2"/>
          <w:szCs w:val="22"/>
        </w:rPr>
        <w:t xml:space="preserve">forumfed.org, 2025 [Online] Available at </w:t>
      </w:r>
      <w:hyperlink r:id="rId27" w:history="1">
        <w:r w:rsidRPr="000A2657">
          <w:rPr>
            <w:rStyle w:val="Hyperlink"/>
            <w:rFonts w:cs="Times New Roman"/>
            <w:color w:val="auto"/>
          </w:rPr>
          <w:t>https://www.forumfed.org/pubs/occasional_papers/OCP4.pdf</w:t>
        </w:r>
      </w:hyperlink>
      <w:r w:rsidRPr="000A2657">
        <w:rPr>
          <w:rFonts w:eastAsia="Arial" w:cs="Times New Roman"/>
          <w:kern w:val="2"/>
          <w:szCs w:val="22"/>
        </w:rPr>
        <w:t xml:space="preserve"> [Accessed on December 10, 2025]</w:t>
      </w:r>
    </w:p>
    <w:p w14:paraId="4E22FC80" w14:textId="77777777" w:rsidR="00C45F66" w:rsidRPr="000A2657" w:rsidRDefault="00F149B8">
      <w:pPr>
        <w:rPr>
          <w:rFonts w:cs="Times New Roman"/>
        </w:rPr>
      </w:pPr>
      <w:r w:rsidRPr="000A2657">
        <w:rPr>
          <w:rFonts w:eastAsia="Arial" w:cs="Times New Roman"/>
          <w:kern w:val="2"/>
          <w:szCs w:val="22"/>
        </w:rPr>
        <w:t xml:space="preserve">Gillies, J., </w:t>
      </w:r>
      <w:proofErr w:type="spellStart"/>
      <w:r w:rsidRPr="000A2657">
        <w:rPr>
          <w:rFonts w:eastAsia="Arial" w:cs="Times New Roman"/>
          <w:kern w:val="2"/>
          <w:szCs w:val="22"/>
        </w:rPr>
        <w:t>Raynauld</w:t>
      </w:r>
      <w:proofErr w:type="spellEnd"/>
      <w:r w:rsidRPr="000A2657">
        <w:rPr>
          <w:rFonts w:eastAsia="Arial" w:cs="Times New Roman"/>
          <w:kern w:val="2"/>
          <w:szCs w:val="22"/>
        </w:rPr>
        <w:t>, V. and Wisniewski, A., 2023. Canada is no exception: The 2022 freedom convoy, political entanglement, and identity-driven protest. </w:t>
      </w:r>
      <w:r w:rsidRPr="000A2657">
        <w:rPr>
          <w:rFonts w:eastAsia="Arial" w:cs="Times New Roman"/>
          <w:i/>
          <w:iCs/>
          <w:kern w:val="2"/>
          <w:szCs w:val="22"/>
        </w:rPr>
        <w:t>American Behavioral Scientist</w:t>
      </w:r>
      <w:r w:rsidRPr="000A2657">
        <w:rPr>
          <w:rFonts w:eastAsia="Arial" w:cs="Times New Roman"/>
          <w:kern w:val="2"/>
          <w:szCs w:val="22"/>
        </w:rPr>
        <w:t>, p.00027642231166885. https://journals.sagepub.com/doi/pdf/10.1177/00027642231166885</w:t>
      </w:r>
    </w:p>
    <w:p w14:paraId="2F3DA2E0" w14:textId="77777777" w:rsidR="00C45F66" w:rsidRPr="000A2657" w:rsidRDefault="00F149B8">
      <w:pPr>
        <w:tabs>
          <w:tab w:val="left" w:pos="6213"/>
        </w:tabs>
        <w:rPr>
          <w:rFonts w:cs="Times New Roman"/>
          <w:lang w:val="en-IN"/>
        </w:rPr>
      </w:pPr>
      <w:r w:rsidRPr="000A2657">
        <w:rPr>
          <w:rFonts w:eastAsia="Arial" w:cs="Times New Roman"/>
          <w:kern w:val="2"/>
          <w:szCs w:val="22"/>
        </w:rPr>
        <w:t xml:space="preserve">Goel, A. and Rahulamathavan, Y., 2024. A comparative survey of </w:t>
      </w:r>
      <w:proofErr w:type="spellStart"/>
      <w:r w:rsidRPr="000A2657">
        <w:rPr>
          <w:rFonts w:eastAsia="Arial" w:cs="Times New Roman"/>
          <w:kern w:val="2"/>
          <w:szCs w:val="22"/>
        </w:rPr>
        <w:t>centralised</w:t>
      </w:r>
      <w:proofErr w:type="spellEnd"/>
      <w:r w:rsidRPr="000A2657">
        <w:rPr>
          <w:rFonts w:eastAsia="Arial" w:cs="Times New Roman"/>
          <w:kern w:val="2"/>
          <w:szCs w:val="22"/>
        </w:rPr>
        <w:t xml:space="preserve"> and </w:t>
      </w:r>
      <w:proofErr w:type="spellStart"/>
      <w:r w:rsidRPr="000A2657">
        <w:rPr>
          <w:rFonts w:eastAsia="Arial" w:cs="Times New Roman"/>
          <w:kern w:val="2"/>
          <w:szCs w:val="22"/>
        </w:rPr>
        <w:t>decentralised</w:t>
      </w:r>
      <w:proofErr w:type="spellEnd"/>
      <w:r w:rsidRPr="000A2657">
        <w:rPr>
          <w:rFonts w:eastAsia="Arial" w:cs="Times New Roman"/>
          <w:kern w:val="2"/>
          <w:szCs w:val="22"/>
        </w:rPr>
        <w:t xml:space="preserve"> identity management systems: </w:t>
      </w:r>
      <w:proofErr w:type="spellStart"/>
      <w:r w:rsidRPr="000A2657">
        <w:rPr>
          <w:rFonts w:eastAsia="Arial" w:cs="Times New Roman"/>
          <w:kern w:val="2"/>
          <w:szCs w:val="22"/>
        </w:rPr>
        <w:t>analysing</w:t>
      </w:r>
      <w:proofErr w:type="spellEnd"/>
      <w:r w:rsidRPr="000A2657">
        <w:rPr>
          <w:rFonts w:eastAsia="Arial" w:cs="Times New Roman"/>
          <w:kern w:val="2"/>
          <w:szCs w:val="22"/>
        </w:rPr>
        <w:t xml:space="preserve"> scalability, security, and feasibility. </w:t>
      </w:r>
      <w:r w:rsidRPr="000A2657">
        <w:rPr>
          <w:rFonts w:eastAsia="Arial" w:cs="Times New Roman"/>
          <w:i/>
          <w:iCs/>
          <w:kern w:val="2"/>
          <w:szCs w:val="22"/>
        </w:rPr>
        <w:t>Future Internet</w:t>
      </w:r>
      <w:r w:rsidRPr="000A2657">
        <w:rPr>
          <w:rFonts w:eastAsia="Arial" w:cs="Times New Roman"/>
          <w:kern w:val="2"/>
          <w:szCs w:val="22"/>
        </w:rPr>
        <w:t>, </w:t>
      </w:r>
      <w:r w:rsidRPr="000A2657">
        <w:rPr>
          <w:rFonts w:eastAsia="Arial" w:cs="Times New Roman"/>
          <w:i/>
          <w:iCs/>
          <w:kern w:val="2"/>
          <w:szCs w:val="22"/>
        </w:rPr>
        <w:t>17</w:t>
      </w:r>
      <w:r w:rsidRPr="000A2657">
        <w:rPr>
          <w:rFonts w:eastAsia="Arial" w:cs="Times New Roman"/>
          <w:kern w:val="2"/>
          <w:szCs w:val="22"/>
        </w:rPr>
        <w:t>(1), p.1. https://www.mdpi.com/1999-5903/17/1/1</w:t>
      </w:r>
    </w:p>
    <w:p w14:paraId="6A9E4630" w14:textId="77777777" w:rsidR="00C45F66" w:rsidRPr="000A2657" w:rsidRDefault="00F149B8">
      <w:pPr>
        <w:rPr>
          <w:rFonts w:cs="Times New Roman"/>
        </w:rPr>
      </w:pPr>
      <w:r w:rsidRPr="000A2657">
        <w:rPr>
          <w:rFonts w:eastAsia="Arial" w:cs="Times New Roman"/>
          <w:kern w:val="2"/>
          <w:szCs w:val="22"/>
        </w:rPr>
        <w:t xml:space="preserve">Greer, S.L., Falkenbach, M., Jarman, H., </w:t>
      </w:r>
      <w:proofErr w:type="spellStart"/>
      <w:r w:rsidRPr="000A2657">
        <w:rPr>
          <w:rFonts w:eastAsia="Arial" w:cs="Times New Roman"/>
          <w:kern w:val="2"/>
          <w:szCs w:val="22"/>
        </w:rPr>
        <w:t>Löblová</w:t>
      </w:r>
      <w:proofErr w:type="spellEnd"/>
      <w:r w:rsidRPr="000A2657">
        <w:rPr>
          <w:rFonts w:eastAsia="Arial" w:cs="Times New Roman"/>
          <w:kern w:val="2"/>
          <w:szCs w:val="22"/>
        </w:rPr>
        <w:t xml:space="preserve">, O., Rozenblum, S., Williams, N. and Wismar, M., 2021. </w:t>
      </w:r>
      <w:proofErr w:type="spellStart"/>
      <w:r w:rsidRPr="000A2657">
        <w:rPr>
          <w:rFonts w:eastAsia="Arial" w:cs="Times New Roman"/>
          <w:kern w:val="2"/>
          <w:szCs w:val="22"/>
        </w:rPr>
        <w:t>Centralisation</w:t>
      </w:r>
      <w:proofErr w:type="spellEnd"/>
      <w:r w:rsidRPr="000A2657">
        <w:rPr>
          <w:rFonts w:eastAsia="Arial" w:cs="Times New Roman"/>
          <w:kern w:val="2"/>
          <w:szCs w:val="22"/>
        </w:rPr>
        <w:t xml:space="preserve"> and </w:t>
      </w:r>
      <w:proofErr w:type="spellStart"/>
      <w:r w:rsidRPr="000A2657">
        <w:rPr>
          <w:rFonts w:eastAsia="Arial" w:cs="Times New Roman"/>
          <w:kern w:val="2"/>
          <w:szCs w:val="22"/>
        </w:rPr>
        <w:t>decentralisation</w:t>
      </w:r>
      <w:proofErr w:type="spellEnd"/>
      <w:r w:rsidRPr="000A2657">
        <w:rPr>
          <w:rFonts w:eastAsia="Arial" w:cs="Times New Roman"/>
          <w:kern w:val="2"/>
          <w:szCs w:val="22"/>
        </w:rPr>
        <w:t xml:space="preserve"> in a crisis: how credit and blame shape governance. </w:t>
      </w:r>
      <w:proofErr w:type="spellStart"/>
      <w:r w:rsidRPr="000A2657">
        <w:rPr>
          <w:rFonts w:eastAsia="Arial" w:cs="Times New Roman"/>
          <w:i/>
          <w:iCs/>
          <w:kern w:val="2"/>
          <w:szCs w:val="22"/>
        </w:rPr>
        <w:t>Eurohealth</w:t>
      </w:r>
      <w:proofErr w:type="spellEnd"/>
      <w:r w:rsidRPr="000A2657">
        <w:rPr>
          <w:rFonts w:eastAsia="Arial" w:cs="Times New Roman"/>
          <w:kern w:val="2"/>
          <w:szCs w:val="22"/>
        </w:rPr>
        <w:t>, </w:t>
      </w:r>
      <w:r w:rsidRPr="000A2657">
        <w:rPr>
          <w:rFonts w:eastAsia="Arial" w:cs="Times New Roman"/>
          <w:i/>
          <w:iCs/>
          <w:kern w:val="2"/>
          <w:szCs w:val="22"/>
        </w:rPr>
        <w:t>27</w:t>
      </w:r>
      <w:r w:rsidRPr="000A2657">
        <w:rPr>
          <w:rFonts w:eastAsia="Arial" w:cs="Times New Roman"/>
          <w:kern w:val="2"/>
          <w:szCs w:val="22"/>
        </w:rPr>
        <w:t>(1), pp.36-40. https://apps.who.int/iris/bitstream/handle/10665/344957/Eurohealth-27-1-2021-eng.pdf?sequence=1#page=38</w:t>
      </w:r>
    </w:p>
    <w:p w14:paraId="54F77EF8" w14:textId="77777777" w:rsidR="00C45F66" w:rsidRPr="000A2657" w:rsidRDefault="00F149B8">
      <w:pPr>
        <w:rPr>
          <w:rFonts w:cs="Times New Roman"/>
        </w:rPr>
      </w:pPr>
      <w:r w:rsidRPr="000A2657">
        <w:rPr>
          <w:rFonts w:eastAsia="Arial" w:cs="Times New Roman"/>
          <w:kern w:val="2"/>
          <w:szCs w:val="22"/>
        </w:rPr>
        <w:lastRenderedPageBreak/>
        <w:t>Ha, T.S. and Moon, K.K., 2023. Distributive justice, goal clarity, and organizational citizenship behavior: The moderating role of transactional and transformational leadership. </w:t>
      </w:r>
      <w:r w:rsidRPr="000A2657">
        <w:rPr>
          <w:rFonts w:eastAsia="Arial" w:cs="Times New Roman"/>
          <w:i/>
          <w:iCs/>
          <w:kern w:val="2"/>
          <w:szCs w:val="22"/>
        </w:rPr>
        <w:t>Sustainability</w:t>
      </w:r>
      <w:r w:rsidRPr="000A2657">
        <w:rPr>
          <w:rFonts w:eastAsia="Arial" w:cs="Times New Roman"/>
          <w:kern w:val="2"/>
          <w:szCs w:val="22"/>
        </w:rPr>
        <w:t>, </w:t>
      </w:r>
      <w:r w:rsidRPr="000A2657">
        <w:rPr>
          <w:rFonts w:eastAsia="Arial" w:cs="Times New Roman"/>
          <w:i/>
          <w:iCs/>
          <w:kern w:val="2"/>
          <w:szCs w:val="22"/>
        </w:rPr>
        <w:t>15</w:t>
      </w:r>
      <w:r w:rsidRPr="000A2657">
        <w:rPr>
          <w:rFonts w:eastAsia="Arial" w:cs="Times New Roman"/>
          <w:kern w:val="2"/>
          <w:szCs w:val="22"/>
        </w:rPr>
        <w:t xml:space="preserve">(9), p.7403. </w:t>
      </w:r>
      <w:hyperlink r:id="rId28" w:history="1">
        <w:r w:rsidRPr="000A2657">
          <w:rPr>
            <w:rStyle w:val="Hyperlink"/>
            <w:rFonts w:cs="Times New Roman"/>
            <w:color w:val="auto"/>
          </w:rPr>
          <w:t>https://www.mdpi.com/2071-1050/15/9/7403</w:t>
        </w:r>
      </w:hyperlink>
    </w:p>
    <w:p w14:paraId="35CEE0A3" w14:textId="77777777" w:rsidR="00C45F66" w:rsidRPr="000A2657" w:rsidRDefault="00F149B8">
      <w:r w:rsidRPr="000A2657">
        <w:rPr>
          <w:rFonts w:eastAsia="Arial" w:cs="Arial"/>
          <w:kern w:val="2"/>
          <w:szCs w:val="22"/>
        </w:rPr>
        <w:t xml:space="preserve">Haji, J., Zahed Babolan, A., </w:t>
      </w:r>
      <w:proofErr w:type="spellStart"/>
      <w:r w:rsidRPr="000A2657">
        <w:rPr>
          <w:rFonts w:eastAsia="Arial" w:cs="Arial"/>
          <w:kern w:val="2"/>
          <w:szCs w:val="22"/>
        </w:rPr>
        <w:t>Vafaeifar</w:t>
      </w:r>
      <w:proofErr w:type="spellEnd"/>
      <w:r w:rsidRPr="000A2657">
        <w:rPr>
          <w:rFonts w:eastAsia="Arial" w:cs="Arial"/>
          <w:kern w:val="2"/>
          <w:szCs w:val="22"/>
        </w:rPr>
        <w:t>, G. and Rahmani Barouji, P., 2023. Explaining the Mediating Role of Teacher Empowerment in the Relationship between Level Five Leadership and the Desire to Perform Extra-Role Behaviors</w:t>
      </w:r>
      <w:r w:rsidRPr="000A2657">
        <w:rPr>
          <w:rFonts w:eastAsia="Arial" w:cs="Symbol"/>
          <w:kern w:val="2"/>
          <w:szCs w:val="22"/>
        </w:rPr>
        <w:sym w:font="Symbol" w:char="0020"/>
      </w:r>
      <w:r w:rsidRPr="000A2657">
        <w:rPr>
          <w:rFonts w:eastAsia="Arial" w:cs="Arial"/>
          <w:kern w:val="2"/>
          <w:szCs w:val="22"/>
        </w:rPr>
        <w:t>. </w:t>
      </w:r>
      <w:r w:rsidRPr="000A2657">
        <w:rPr>
          <w:rFonts w:eastAsia="Arial" w:cs="Arial"/>
          <w:i/>
          <w:iCs/>
          <w:kern w:val="2"/>
          <w:szCs w:val="22"/>
        </w:rPr>
        <w:t>Journal of Research in Educational Systems</w:t>
      </w:r>
      <w:r w:rsidRPr="000A2657">
        <w:rPr>
          <w:rFonts w:eastAsia="Arial" w:cs="Arial"/>
          <w:kern w:val="2"/>
          <w:szCs w:val="22"/>
        </w:rPr>
        <w:t>, </w:t>
      </w:r>
      <w:r w:rsidRPr="000A2657">
        <w:rPr>
          <w:rFonts w:eastAsia="Arial" w:cs="Arial"/>
          <w:i/>
          <w:iCs/>
          <w:kern w:val="2"/>
          <w:szCs w:val="22"/>
        </w:rPr>
        <w:t>17</w:t>
      </w:r>
      <w:r w:rsidRPr="000A2657">
        <w:rPr>
          <w:rFonts w:eastAsia="Arial" w:cs="Arial"/>
          <w:kern w:val="2"/>
          <w:szCs w:val="22"/>
        </w:rPr>
        <w:t xml:space="preserve">(63), pp.19-33. </w:t>
      </w:r>
      <w:hyperlink r:id="rId29" w:history="1">
        <w:r w:rsidRPr="000A2657">
          <w:rPr>
            <w:rStyle w:val="Hyperlink"/>
            <w:color w:val="auto"/>
          </w:rPr>
          <w:t>https://www.jiera.ir/article_192984_7fc4ff4bf8ee47ffbbff9d12d8029d04.pdf</w:t>
        </w:r>
      </w:hyperlink>
    </w:p>
    <w:p w14:paraId="5C8CA04F" w14:textId="77777777" w:rsidR="00C45F66" w:rsidRPr="000A2657" w:rsidRDefault="00F149B8">
      <w:pPr>
        <w:tabs>
          <w:tab w:val="left" w:pos="6213"/>
        </w:tabs>
        <w:rPr>
          <w:rFonts w:cs="Times New Roman"/>
        </w:rPr>
      </w:pPr>
      <w:r w:rsidRPr="000A2657">
        <w:rPr>
          <w:rFonts w:eastAsia="Arial" w:cs="Times New Roman"/>
          <w:kern w:val="2"/>
          <w:szCs w:val="22"/>
        </w:rPr>
        <w:t>Haldane, V., De Foo, C., Abdalla, S.M., Jung, A.S., Tan, M., Wu, S., Chua, A., Verma, M., Shrestha, P., Singh, S. and Perez, T., 2021. Health systems resilience in managing the COVID-19 pandemic: lessons from 28 countries. </w:t>
      </w:r>
      <w:r w:rsidRPr="000A2657">
        <w:rPr>
          <w:rFonts w:eastAsia="Arial" w:cs="Times New Roman"/>
          <w:i/>
          <w:iCs/>
          <w:kern w:val="2"/>
          <w:szCs w:val="22"/>
        </w:rPr>
        <w:t>Nature medicine</w:t>
      </w:r>
      <w:r w:rsidRPr="000A2657">
        <w:rPr>
          <w:rFonts w:eastAsia="Arial" w:cs="Times New Roman"/>
          <w:kern w:val="2"/>
          <w:szCs w:val="22"/>
        </w:rPr>
        <w:t>, </w:t>
      </w:r>
      <w:r w:rsidRPr="000A2657">
        <w:rPr>
          <w:rFonts w:eastAsia="Arial" w:cs="Times New Roman"/>
          <w:i/>
          <w:iCs/>
          <w:kern w:val="2"/>
          <w:szCs w:val="22"/>
        </w:rPr>
        <w:t>27</w:t>
      </w:r>
      <w:r w:rsidRPr="000A2657">
        <w:rPr>
          <w:rFonts w:eastAsia="Arial" w:cs="Times New Roman"/>
          <w:kern w:val="2"/>
          <w:szCs w:val="22"/>
        </w:rPr>
        <w:t xml:space="preserve">(6), pp.964-980. </w:t>
      </w:r>
      <w:hyperlink r:id="rId30" w:history="1">
        <w:r w:rsidRPr="000A2657">
          <w:rPr>
            <w:rStyle w:val="Hyperlink"/>
            <w:rFonts w:cs="Times New Roman"/>
            <w:color w:val="auto"/>
          </w:rPr>
          <w:t>https://www.nature.com/articles/s41591-021-01381-y.pdf</w:t>
        </w:r>
      </w:hyperlink>
    </w:p>
    <w:p w14:paraId="19EEE166" w14:textId="77777777" w:rsidR="00C45F66" w:rsidRPr="000A2657" w:rsidRDefault="00F149B8">
      <w:pPr>
        <w:rPr>
          <w:rFonts w:cs="Times New Roman"/>
        </w:rPr>
      </w:pPr>
      <w:r w:rsidRPr="000A2657">
        <w:rPr>
          <w:rFonts w:eastAsia="Arial" w:cs="Times New Roman"/>
          <w:kern w:val="2"/>
          <w:szCs w:val="22"/>
        </w:rPr>
        <w:t>Hong, S.A., 2024. Toward better pandemic governance and preparedness: South Korea’s whole-of-nation approach to COVID-19. </w:t>
      </w:r>
      <w:r w:rsidRPr="000A2657">
        <w:rPr>
          <w:rFonts w:eastAsia="Arial" w:cs="Times New Roman"/>
          <w:i/>
          <w:iCs/>
          <w:kern w:val="2"/>
          <w:szCs w:val="22"/>
        </w:rPr>
        <w:t>BMC Public Health</w:t>
      </w:r>
      <w:r w:rsidRPr="000A2657">
        <w:rPr>
          <w:rFonts w:eastAsia="Arial" w:cs="Times New Roman"/>
          <w:kern w:val="2"/>
          <w:szCs w:val="22"/>
        </w:rPr>
        <w:t>, </w:t>
      </w:r>
      <w:r w:rsidRPr="000A2657">
        <w:rPr>
          <w:rFonts w:eastAsia="Arial" w:cs="Times New Roman"/>
          <w:i/>
          <w:iCs/>
          <w:kern w:val="2"/>
          <w:szCs w:val="22"/>
        </w:rPr>
        <w:t>24</w:t>
      </w:r>
      <w:r w:rsidRPr="000A2657">
        <w:rPr>
          <w:rFonts w:eastAsia="Arial" w:cs="Times New Roman"/>
          <w:kern w:val="2"/>
          <w:szCs w:val="22"/>
        </w:rPr>
        <w:t xml:space="preserve">(1), p.2126. </w:t>
      </w:r>
      <w:hyperlink r:id="rId31" w:history="1">
        <w:r w:rsidRPr="000A2657">
          <w:rPr>
            <w:rStyle w:val="Hyperlink"/>
            <w:rFonts w:cs="Times New Roman"/>
            <w:color w:val="auto"/>
          </w:rPr>
          <w:t>https://link.springer.com/content/pdf/10.1186/s12889-024-19655-8.pdf</w:t>
        </w:r>
      </w:hyperlink>
    </w:p>
    <w:p w14:paraId="7C49D2B4" w14:textId="77777777" w:rsidR="00C45F66" w:rsidRPr="000A2657" w:rsidRDefault="00F149B8">
      <w:pPr>
        <w:rPr>
          <w:rFonts w:cs="Times New Roman"/>
        </w:rPr>
      </w:pPr>
      <w:r w:rsidRPr="000A2657">
        <w:rPr>
          <w:rFonts w:eastAsia="Arial" w:cs="Times New Roman"/>
          <w:kern w:val="2"/>
          <w:szCs w:val="22"/>
        </w:rPr>
        <w:t xml:space="preserve">Hossain, A.D., </w:t>
      </w:r>
      <w:proofErr w:type="spellStart"/>
      <w:r w:rsidRPr="000A2657">
        <w:rPr>
          <w:rFonts w:eastAsia="Arial" w:cs="Times New Roman"/>
          <w:kern w:val="2"/>
          <w:szCs w:val="22"/>
        </w:rPr>
        <w:t>Jarolimova</w:t>
      </w:r>
      <w:proofErr w:type="spellEnd"/>
      <w:r w:rsidRPr="000A2657">
        <w:rPr>
          <w:rFonts w:eastAsia="Arial" w:cs="Times New Roman"/>
          <w:kern w:val="2"/>
          <w:szCs w:val="22"/>
        </w:rPr>
        <w:t xml:space="preserve">, J., </w:t>
      </w:r>
      <w:proofErr w:type="spellStart"/>
      <w:r w:rsidRPr="000A2657">
        <w:rPr>
          <w:rFonts w:eastAsia="Arial" w:cs="Times New Roman"/>
          <w:kern w:val="2"/>
          <w:szCs w:val="22"/>
        </w:rPr>
        <w:t>Elnaiem</w:t>
      </w:r>
      <w:proofErr w:type="spellEnd"/>
      <w:r w:rsidRPr="000A2657">
        <w:rPr>
          <w:rFonts w:eastAsia="Arial" w:cs="Times New Roman"/>
          <w:kern w:val="2"/>
          <w:szCs w:val="22"/>
        </w:rPr>
        <w:t>, A., Huang, C.X., Richterman, A. and Ivers, L.C., 2022. Effectiveness of contact tracing in the control of infectious diseases: a systematic review. </w:t>
      </w:r>
      <w:r w:rsidRPr="000A2657">
        <w:rPr>
          <w:rFonts w:eastAsia="Arial" w:cs="Times New Roman"/>
          <w:i/>
          <w:iCs/>
          <w:kern w:val="2"/>
          <w:szCs w:val="22"/>
        </w:rPr>
        <w:t>The Lancet Public Health</w:t>
      </w:r>
      <w:r w:rsidRPr="000A2657">
        <w:rPr>
          <w:rFonts w:eastAsia="Arial" w:cs="Times New Roman"/>
          <w:kern w:val="2"/>
          <w:szCs w:val="22"/>
        </w:rPr>
        <w:t>, </w:t>
      </w:r>
      <w:r w:rsidRPr="000A2657">
        <w:rPr>
          <w:rFonts w:eastAsia="Arial" w:cs="Times New Roman"/>
          <w:i/>
          <w:iCs/>
          <w:kern w:val="2"/>
          <w:szCs w:val="22"/>
        </w:rPr>
        <w:t>7</w:t>
      </w:r>
      <w:r w:rsidRPr="000A2657">
        <w:rPr>
          <w:rFonts w:eastAsia="Arial" w:cs="Times New Roman"/>
          <w:kern w:val="2"/>
          <w:szCs w:val="22"/>
        </w:rPr>
        <w:t xml:space="preserve">(3), </w:t>
      </w:r>
      <w:proofErr w:type="gramStart"/>
      <w:r w:rsidRPr="000A2657">
        <w:rPr>
          <w:rFonts w:eastAsia="Arial" w:cs="Times New Roman"/>
          <w:kern w:val="2"/>
          <w:szCs w:val="22"/>
        </w:rPr>
        <w:t>pp.e</w:t>
      </w:r>
      <w:proofErr w:type="gramEnd"/>
      <w:r w:rsidRPr="000A2657">
        <w:rPr>
          <w:rFonts w:eastAsia="Arial" w:cs="Times New Roman"/>
          <w:kern w:val="2"/>
          <w:szCs w:val="22"/>
        </w:rPr>
        <w:t xml:space="preserve">259-e273. </w:t>
      </w:r>
      <w:hyperlink r:id="rId32" w:history="1">
        <w:r w:rsidRPr="000A2657">
          <w:rPr>
            <w:rStyle w:val="Hyperlink"/>
            <w:rFonts w:cs="Times New Roman"/>
            <w:color w:val="auto"/>
          </w:rPr>
          <w:t>https://www.thelancet.com/pdfs/journals/lanpub/PIIS2468-2667(22)00001-9.pdf</w:t>
        </w:r>
      </w:hyperlink>
    </w:p>
    <w:p w14:paraId="37253CA0" w14:textId="77777777" w:rsidR="00C45F66" w:rsidRPr="000A2657" w:rsidRDefault="00F149B8">
      <w:r w:rsidRPr="000A2657">
        <w:rPr>
          <w:rFonts w:eastAsia="Arial" w:cs="Arial"/>
          <w:kern w:val="2"/>
          <w:szCs w:val="22"/>
        </w:rPr>
        <w:t xml:space="preserve">Jain, V., Gupta, S.S., Shankar, K.T. and </w:t>
      </w:r>
      <w:proofErr w:type="spellStart"/>
      <w:r w:rsidRPr="000A2657">
        <w:rPr>
          <w:rFonts w:eastAsia="Arial" w:cs="Arial"/>
          <w:kern w:val="2"/>
          <w:szCs w:val="22"/>
        </w:rPr>
        <w:t>Bagaria</w:t>
      </w:r>
      <w:proofErr w:type="spellEnd"/>
      <w:r w:rsidRPr="000A2657">
        <w:rPr>
          <w:rFonts w:eastAsia="Arial" w:cs="Arial"/>
          <w:kern w:val="2"/>
          <w:szCs w:val="22"/>
        </w:rPr>
        <w:t>, K.R., 2022. A study on leadership management, principles, theories, and educational management. </w:t>
      </w:r>
      <w:r w:rsidRPr="000A2657">
        <w:rPr>
          <w:rFonts w:eastAsia="Arial" w:cs="Arial"/>
          <w:i/>
          <w:iCs/>
          <w:kern w:val="2"/>
          <w:szCs w:val="22"/>
        </w:rPr>
        <w:t>World Journal of English Language</w:t>
      </w:r>
      <w:r w:rsidRPr="000A2657">
        <w:rPr>
          <w:rFonts w:eastAsia="Arial" w:cs="Arial"/>
          <w:kern w:val="2"/>
          <w:szCs w:val="22"/>
        </w:rPr>
        <w:t>, </w:t>
      </w:r>
      <w:r w:rsidRPr="000A2657">
        <w:rPr>
          <w:rFonts w:eastAsia="Arial" w:cs="Arial"/>
          <w:i/>
          <w:iCs/>
          <w:kern w:val="2"/>
          <w:szCs w:val="22"/>
        </w:rPr>
        <w:t>12</w:t>
      </w:r>
      <w:r w:rsidRPr="000A2657">
        <w:rPr>
          <w:rFonts w:eastAsia="Arial" w:cs="Arial"/>
          <w:kern w:val="2"/>
          <w:szCs w:val="22"/>
        </w:rPr>
        <w:t xml:space="preserve">(3), pp.203-211. </w:t>
      </w:r>
      <w:hyperlink r:id="rId33" w:history="1">
        <w:r w:rsidRPr="000A2657">
          <w:rPr>
            <w:rStyle w:val="Hyperlink"/>
            <w:color w:val="auto"/>
          </w:rPr>
          <w:t>https://www.researchgate.net/profile/Vipin-Jain-13/publication/359801092_A_Study_on_Leadership_Management_Principles_Theories_and_Educational_Management/links/6638cafd08aa54017ae039fc/A-Study-on-Leadership-Management-Principles-Theories-and-Educational-Management.pdf</w:t>
        </w:r>
      </w:hyperlink>
    </w:p>
    <w:p w14:paraId="2A939C12" w14:textId="77777777" w:rsidR="00C45F66" w:rsidRPr="000A2657" w:rsidRDefault="00F149B8">
      <w:pPr>
        <w:rPr>
          <w:rFonts w:cs="Times New Roman"/>
        </w:rPr>
      </w:pPr>
      <w:r w:rsidRPr="000A2657">
        <w:rPr>
          <w:rFonts w:eastAsia="Arial" w:cs="Times New Roman"/>
          <w:kern w:val="2"/>
          <w:szCs w:val="22"/>
        </w:rPr>
        <w:t xml:space="preserve">k-guide.kr, 2025 [Online] Available at </w:t>
      </w:r>
      <w:hyperlink r:id="rId34" w:history="1">
        <w:r w:rsidRPr="000A2657">
          <w:rPr>
            <w:rStyle w:val="Hyperlink"/>
            <w:rFonts w:cs="Times New Roman"/>
            <w:color w:val="auto"/>
          </w:rPr>
          <w:t>https://k-guide.kr/ENG/1179/contents.do</w:t>
        </w:r>
      </w:hyperlink>
      <w:r w:rsidRPr="000A2657">
        <w:rPr>
          <w:rFonts w:eastAsia="Arial" w:cs="Times New Roman"/>
          <w:kern w:val="2"/>
          <w:szCs w:val="22"/>
        </w:rPr>
        <w:t xml:space="preserve"> [Accessed on December 10, 2025]</w:t>
      </w:r>
    </w:p>
    <w:p w14:paraId="7BD71F20" w14:textId="77777777" w:rsidR="00C45F66" w:rsidRPr="000A2657" w:rsidRDefault="00F149B8">
      <w:pPr>
        <w:rPr>
          <w:rFonts w:cs="Times New Roman"/>
        </w:rPr>
      </w:pPr>
      <w:proofErr w:type="spellStart"/>
      <w:r w:rsidRPr="000A2657">
        <w:rPr>
          <w:rFonts w:eastAsia="Arial" w:cs="Times New Roman"/>
          <w:kern w:val="2"/>
          <w:szCs w:val="22"/>
        </w:rPr>
        <w:t>Kholina</w:t>
      </w:r>
      <w:proofErr w:type="spellEnd"/>
      <w:r w:rsidRPr="000A2657">
        <w:rPr>
          <w:rFonts w:eastAsia="Arial" w:cs="Times New Roman"/>
          <w:kern w:val="2"/>
          <w:szCs w:val="22"/>
        </w:rPr>
        <w:t>, K., Harmon, S.H. and Graham, J.E., 2022. An equitable vaccine delivery system: Lessons from the COVID-19 vaccine rollout in Canada. </w:t>
      </w:r>
      <w:proofErr w:type="spellStart"/>
      <w:r w:rsidRPr="000A2657">
        <w:rPr>
          <w:rFonts w:eastAsia="Arial" w:cs="Times New Roman"/>
          <w:i/>
          <w:iCs/>
          <w:kern w:val="2"/>
          <w:szCs w:val="22"/>
        </w:rPr>
        <w:t>PLoS</w:t>
      </w:r>
      <w:proofErr w:type="spellEnd"/>
      <w:r w:rsidRPr="000A2657">
        <w:rPr>
          <w:rFonts w:eastAsia="Arial" w:cs="Times New Roman"/>
          <w:i/>
          <w:iCs/>
          <w:kern w:val="2"/>
          <w:szCs w:val="22"/>
        </w:rPr>
        <w:t xml:space="preserve"> One</w:t>
      </w:r>
      <w:r w:rsidRPr="000A2657">
        <w:rPr>
          <w:rFonts w:eastAsia="Arial" w:cs="Times New Roman"/>
          <w:kern w:val="2"/>
          <w:szCs w:val="22"/>
        </w:rPr>
        <w:t>, </w:t>
      </w:r>
      <w:r w:rsidRPr="000A2657">
        <w:rPr>
          <w:rFonts w:eastAsia="Arial" w:cs="Times New Roman"/>
          <w:i/>
          <w:iCs/>
          <w:kern w:val="2"/>
          <w:szCs w:val="22"/>
        </w:rPr>
        <w:t>17</w:t>
      </w:r>
      <w:r w:rsidRPr="000A2657">
        <w:rPr>
          <w:rFonts w:eastAsia="Arial" w:cs="Times New Roman"/>
          <w:kern w:val="2"/>
          <w:szCs w:val="22"/>
        </w:rPr>
        <w:t>(12), p.e0279929. https://journals.plos.org/plosone/article/file?id=10.1371/journal.pone.0279929&amp;type=printable</w:t>
      </w:r>
    </w:p>
    <w:p w14:paraId="06D1FE7F" w14:textId="77777777" w:rsidR="00C45F66" w:rsidRPr="000A2657" w:rsidRDefault="00F149B8">
      <w:pPr>
        <w:rPr>
          <w:rFonts w:cs="Times New Roman"/>
        </w:rPr>
      </w:pPr>
      <w:r w:rsidRPr="000A2657">
        <w:rPr>
          <w:rFonts w:eastAsia="Arial" w:cs="Times New Roman"/>
          <w:kern w:val="2"/>
          <w:szCs w:val="22"/>
        </w:rPr>
        <w:lastRenderedPageBreak/>
        <w:t xml:space="preserve">koreabiomed.com, 2025 [Online] Available at </w:t>
      </w:r>
      <w:hyperlink r:id="rId35" w:history="1">
        <w:r w:rsidRPr="000A2657">
          <w:rPr>
            <w:rStyle w:val="Hyperlink"/>
            <w:rFonts w:cs="Times New Roman"/>
            <w:color w:val="auto"/>
          </w:rPr>
          <w:t>https://www.koreabiomed.com/news/articleView.html?idxno=28419</w:t>
        </w:r>
      </w:hyperlink>
      <w:r w:rsidRPr="000A2657">
        <w:rPr>
          <w:rFonts w:eastAsia="Arial" w:cs="Times New Roman"/>
          <w:kern w:val="2"/>
          <w:szCs w:val="22"/>
        </w:rPr>
        <w:t xml:space="preserve"> [Accessed on December 10, 2025]</w:t>
      </w:r>
    </w:p>
    <w:p w14:paraId="411D08F5" w14:textId="77777777" w:rsidR="00C45F66" w:rsidRPr="000A2657" w:rsidRDefault="00F149B8">
      <w:pPr>
        <w:rPr>
          <w:rFonts w:cs="Times New Roman"/>
        </w:rPr>
      </w:pPr>
      <w:r w:rsidRPr="000A2657">
        <w:rPr>
          <w:rFonts w:eastAsia="Arial" w:cs="Times New Roman"/>
          <w:kern w:val="2"/>
          <w:szCs w:val="22"/>
        </w:rPr>
        <w:t xml:space="preserve">Lim, B., </w:t>
      </w:r>
      <w:proofErr w:type="spellStart"/>
      <w:r w:rsidRPr="000A2657">
        <w:rPr>
          <w:rFonts w:eastAsia="Arial" w:cs="Times New Roman"/>
          <w:kern w:val="2"/>
          <w:szCs w:val="22"/>
        </w:rPr>
        <w:t>Kyoungseo</w:t>
      </w:r>
      <w:proofErr w:type="spellEnd"/>
      <w:r w:rsidRPr="000A2657">
        <w:rPr>
          <w:rFonts w:eastAsia="Arial" w:cs="Times New Roman"/>
          <w:kern w:val="2"/>
          <w:szCs w:val="22"/>
        </w:rPr>
        <w:t xml:space="preserve"> Hong, E., Mou, J. and Cheong, I., 2021. COVID-19 in Korea: Success based on past failure. </w:t>
      </w:r>
      <w:r w:rsidRPr="000A2657">
        <w:rPr>
          <w:rFonts w:eastAsia="Arial" w:cs="Times New Roman"/>
          <w:i/>
          <w:iCs/>
          <w:kern w:val="2"/>
          <w:szCs w:val="22"/>
        </w:rPr>
        <w:t>Asian Economic Papers</w:t>
      </w:r>
      <w:r w:rsidRPr="000A2657">
        <w:rPr>
          <w:rFonts w:eastAsia="Arial" w:cs="Times New Roman"/>
          <w:kern w:val="2"/>
          <w:szCs w:val="22"/>
        </w:rPr>
        <w:t>, </w:t>
      </w:r>
      <w:r w:rsidRPr="000A2657">
        <w:rPr>
          <w:rFonts w:eastAsia="Arial" w:cs="Times New Roman"/>
          <w:i/>
          <w:iCs/>
          <w:kern w:val="2"/>
          <w:szCs w:val="22"/>
        </w:rPr>
        <w:t>20</w:t>
      </w:r>
      <w:r w:rsidRPr="000A2657">
        <w:rPr>
          <w:rFonts w:eastAsia="Arial" w:cs="Times New Roman"/>
          <w:kern w:val="2"/>
          <w:szCs w:val="22"/>
        </w:rPr>
        <w:t xml:space="preserve">(2), pp.41-62. </w:t>
      </w:r>
      <w:hyperlink r:id="rId36" w:history="1">
        <w:r w:rsidRPr="000A2657">
          <w:rPr>
            <w:rStyle w:val="Hyperlink"/>
            <w:rFonts w:cs="Times New Roman"/>
            <w:color w:val="auto"/>
          </w:rPr>
          <w:t>https://direct.mit.edu/asep/article-pdf/20/2/41/1919451/asep_a_00803.pdf</w:t>
        </w:r>
      </w:hyperlink>
    </w:p>
    <w:p w14:paraId="11ED6909" w14:textId="77777777" w:rsidR="00C45F66" w:rsidRPr="000A2657" w:rsidRDefault="00F149B8">
      <w:pPr>
        <w:rPr>
          <w:rFonts w:cs="Times New Roman"/>
        </w:rPr>
      </w:pPr>
      <w:r w:rsidRPr="000A2657">
        <w:rPr>
          <w:rFonts w:eastAsia="Arial" w:cs="Times New Roman"/>
          <w:kern w:val="2"/>
          <w:szCs w:val="22"/>
        </w:rPr>
        <w:t>Mao, Y., 2024. Why do democracies respond differently to COVID-19? A comparison of the United States and South Korea. </w:t>
      </w:r>
      <w:r w:rsidRPr="000A2657">
        <w:rPr>
          <w:rFonts w:eastAsia="Arial" w:cs="Times New Roman"/>
          <w:i/>
          <w:iCs/>
          <w:kern w:val="2"/>
          <w:szCs w:val="22"/>
        </w:rPr>
        <w:t>Frontiers in Public Health</w:t>
      </w:r>
      <w:r w:rsidRPr="000A2657">
        <w:rPr>
          <w:rFonts w:eastAsia="Arial" w:cs="Times New Roman"/>
          <w:kern w:val="2"/>
          <w:szCs w:val="22"/>
        </w:rPr>
        <w:t>, </w:t>
      </w:r>
      <w:r w:rsidRPr="000A2657">
        <w:rPr>
          <w:rFonts w:eastAsia="Arial" w:cs="Times New Roman"/>
          <w:i/>
          <w:iCs/>
          <w:kern w:val="2"/>
          <w:szCs w:val="22"/>
        </w:rPr>
        <w:t>11</w:t>
      </w:r>
      <w:r w:rsidRPr="000A2657">
        <w:rPr>
          <w:rFonts w:eastAsia="Arial" w:cs="Times New Roman"/>
          <w:kern w:val="2"/>
          <w:szCs w:val="22"/>
        </w:rPr>
        <w:t xml:space="preserve">, p.1285552. </w:t>
      </w:r>
      <w:hyperlink r:id="rId37" w:history="1">
        <w:r w:rsidRPr="000A2657">
          <w:rPr>
            <w:rStyle w:val="Hyperlink"/>
            <w:rFonts w:cs="Times New Roman"/>
            <w:color w:val="auto"/>
          </w:rPr>
          <w:t>https://www.frontiersin.org/journals/public-health/articles/10.3389/fpubh.2023.1285552/pdf</w:t>
        </w:r>
      </w:hyperlink>
    </w:p>
    <w:p w14:paraId="5BE3436D" w14:textId="77777777" w:rsidR="00C45F66" w:rsidRPr="000A2657" w:rsidRDefault="00F149B8">
      <w:pPr>
        <w:rPr>
          <w:rFonts w:cs="Times New Roman"/>
        </w:rPr>
      </w:pPr>
      <w:r w:rsidRPr="000A2657">
        <w:rPr>
          <w:rFonts w:eastAsia="Arial" w:cs="Times New Roman"/>
          <w:kern w:val="2"/>
          <w:szCs w:val="22"/>
        </w:rPr>
        <w:t>Marchildon, G.P., Lavoie, J.G. and Harrold, H.J., 2021. Typology of Indigenous health system governance in Canada. </w:t>
      </w:r>
      <w:r w:rsidRPr="000A2657">
        <w:rPr>
          <w:rFonts w:eastAsia="Arial" w:cs="Times New Roman"/>
          <w:i/>
          <w:iCs/>
          <w:kern w:val="2"/>
          <w:szCs w:val="22"/>
        </w:rPr>
        <w:t>Canadian Public Administration</w:t>
      </w:r>
      <w:r w:rsidRPr="000A2657">
        <w:rPr>
          <w:rFonts w:eastAsia="Arial" w:cs="Times New Roman"/>
          <w:kern w:val="2"/>
          <w:szCs w:val="22"/>
        </w:rPr>
        <w:t>, </w:t>
      </w:r>
      <w:r w:rsidRPr="000A2657">
        <w:rPr>
          <w:rFonts w:eastAsia="Arial" w:cs="Times New Roman"/>
          <w:i/>
          <w:iCs/>
          <w:kern w:val="2"/>
          <w:szCs w:val="22"/>
        </w:rPr>
        <w:t>64</w:t>
      </w:r>
      <w:r w:rsidRPr="000A2657">
        <w:rPr>
          <w:rFonts w:eastAsia="Arial" w:cs="Times New Roman"/>
          <w:kern w:val="2"/>
          <w:szCs w:val="22"/>
        </w:rPr>
        <w:t xml:space="preserve">(4), pp.561-586. </w:t>
      </w:r>
      <w:hyperlink r:id="rId38" w:history="1">
        <w:r w:rsidRPr="000A2657">
          <w:rPr>
            <w:rStyle w:val="Hyperlink"/>
            <w:rFonts w:cs="Times New Roman"/>
            <w:color w:val="auto"/>
          </w:rPr>
          <w:t>https://onlinelibrary.wiley.com/doi/pdf/10.1111/capa.12441</w:t>
        </w:r>
      </w:hyperlink>
    </w:p>
    <w:p w14:paraId="389E9F8A" w14:textId="77777777" w:rsidR="00C45F66" w:rsidRPr="000A2657" w:rsidRDefault="00F149B8">
      <w:pPr>
        <w:rPr>
          <w:rFonts w:cs="Times New Roman"/>
        </w:rPr>
      </w:pPr>
      <w:r w:rsidRPr="000A2657">
        <w:rPr>
          <w:rFonts w:eastAsia="Arial" w:cs="Times New Roman"/>
          <w:kern w:val="2"/>
          <w:szCs w:val="22"/>
        </w:rPr>
        <w:t xml:space="preserve">mohw.go.kr, 2025 [Online] Available at </w:t>
      </w:r>
      <w:hyperlink r:id="rId39" w:history="1">
        <w:r w:rsidRPr="000A2657">
          <w:rPr>
            <w:rStyle w:val="Hyperlink"/>
            <w:rFonts w:cs="Times New Roman"/>
            <w:color w:val="auto"/>
          </w:rPr>
          <w:t>https://www.mohw.go.kr/board.es?mid=a20401000000&amp;bid=0032&amp;act=view&amp;list_no=350260&amp;tag=&amp;nPage=33</w:t>
        </w:r>
      </w:hyperlink>
      <w:r w:rsidRPr="000A2657">
        <w:rPr>
          <w:rFonts w:eastAsia="Arial" w:cs="Times New Roman"/>
          <w:kern w:val="2"/>
          <w:szCs w:val="22"/>
        </w:rPr>
        <w:t xml:space="preserve"> [Accessed on December 10, 2025]</w:t>
      </w:r>
    </w:p>
    <w:p w14:paraId="385B3D09" w14:textId="77777777" w:rsidR="00C45F66" w:rsidRPr="000A2657" w:rsidRDefault="00F149B8">
      <w:pPr>
        <w:rPr>
          <w:rFonts w:cs="Times New Roman"/>
        </w:rPr>
      </w:pPr>
      <w:r w:rsidRPr="000A2657">
        <w:rPr>
          <w:rFonts w:eastAsia="Arial" w:cs="Times New Roman"/>
          <w:kern w:val="2"/>
          <w:szCs w:val="22"/>
        </w:rPr>
        <w:t xml:space="preserve">Morales-Contreras, M.F., Leporati, M. and </w:t>
      </w:r>
      <w:proofErr w:type="spellStart"/>
      <w:r w:rsidRPr="000A2657">
        <w:rPr>
          <w:rFonts w:eastAsia="Arial" w:cs="Times New Roman"/>
          <w:kern w:val="2"/>
          <w:szCs w:val="22"/>
        </w:rPr>
        <w:t>Fratocchi</w:t>
      </w:r>
      <w:proofErr w:type="spellEnd"/>
      <w:r w:rsidRPr="000A2657">
        <w:rPr>
          <w:rFonts w:eastAsia="Arial" w:cs="Times New Roman"/>
          <w:kern w:val="2"/>
          <w:szCs w:val="22"/>
        </w:rPr>
        <w:t>, L., 2021. The impact of COVID-19 on supply decision-makers: the case of personal protective equipment in Spanish hospitals. </w:t>
      </w:r>
      <w:r w:rsidRPr="000A2657">
        <w:rPr>
          <w:rFonts w:eastAsia="Arial" w:cs="Times New Roman"/>
          <w:i/>
          <w:iCs/>
          <w:kern w:val="2"/>
          <w:szCs w:val="22"/>
        </w:rPr>
        <w:t>BMC health services research</w:t>
      </w:r>
      <w:r w:rsidRPr="000A2657">
        <w:rPr>
          <w:rFonts w:eastAsia="Arial" w:cs="Times New Roman"/>
          <w:kern w:val="2"/>
          <w:szCs w:val="22"/>
        </w:rPr>
        <w:t>, </w:t>
      </w:r>
      <w:r w:rsidRPr="000A2657">
        <w:rPr>
          <w:rFonts w:eastAsia="Arial" w:cs="Times New Roman"/>
          <w:i/>
          <w:iCs/>
          <w:kern w:val="2"/>
          <w:szCs w:val="22"/>
        </w:rPr>
        <w:t>21</w:t>
      </w:r>
      <w:r w:rsidRPr="000A2657">
        <w:rPr>
          <w:rFonts w:eastAsia="Arial" w:cs="Times New Roman"/>
          <w:kern w:val="2"/>
          <w:szCs w:val="22"/>
        </w:rPr>
        <w:t xml:space="preserve">(1), p.1170. </w:t>
      </w:r>
      <w:hyperlink r:id="rId40" w:history="1">
        <w:r w:rsidRPr="000A2657">
          <w:rPr>
            <w:rStyle w:val="Hyperlink"/>
            <w:rFonts w:cs="Times New Roman"/>
            <w:color w:val="auto"/>
          </w:rPr>
          <w:t>https://link.springer.com/content/pdf/10.1186/s12913-021-07202-9.pdf</w:t>
        </w:r>
      </w:hyperlink>
    </w:p>
    <w:p w14:paraId="1F415C30" w14:textId="77777777" w:rsidR="00C45F66" w:rsidRPr="000A2657" w:rsidRDefault="00F149B8">
      <w:pPr>
        <w:rPr>
          <w:rFonts w:cs="Times New Roman"/>
        </w:rPr>
      </w:pPr>
      <w:r w:rsidRPr="000A2657">
        <w:rPr>
          <w:rFonts w:eastAsia="Arial" w:cs="Times New Roman"/>
          <w:kern w:val="2"/>
          <w:szCs w:val="22"/>
        </w:rPr>
        <w:t xml:space="preserve">nhis.or.kr, 2025 [Online] Available at </w:t>
      </w:r>
      <w:hyperlink r:id="rId41" w:history="1">
        <w:r w:rsidRPr="000A2657">
          <w:rPr>
            <w:rStyle w:val="Hyperlink"/>
            <w:rFonts w:cs="Times New Roman"/>
            <w:color w:val="auto"/>
          </w:rPr>
          <w:t>http://www.nhis.or.kr/english/index.do</w:t>
        </w:r>
      </w:hyperlink>
      <w:r w:rsidRPr="000A2657">
        <w:rPr>
          <w:rFonts w:eastAsia="Arial" w:cs="Times New Roman"/>
          <w:kern w:val="2"/>
          <w:szCs w:val="22"/>
        </w:rPr>
        <w:t xml:space="preserve"> [Accessed on December 10, 2025]</w:t>
      </w:r>
    </w:p>
    <w:p w14:paraId="297A4FB7" w14:textId="77777777" w:rsidR="00C45F66" w:rsidRPr="000A2657" w:rsidRDefault="00F149B8">
      <w:pPr>
        <w:rPr>
          <w:rFonts w:cs="Times New Roman"/>
        </w:rPr>
      </w:pPr>
      <w:r w:rsidRPr="000A2657">
        <w:rPr>
          <w:rFonts w:eastAsia="Arial" w:cs="Times New Roman"/>
          <w:kern w:val="2"/>
          <w:szCs w:val="22"/>
        </w:rPr>
        <w:t xml:space="preserve">nhis.or.kr, 2025 [Online] Available at </w:t>
      </w:r>
      <w:hyperlink r:id="rId42" w:history="1">
        <w:r w:rsidRPr="000A2657">
          <w:rPr>
            <w:rStyle w:val="Hyperlink"/>
            <w:rFonts w:cs="Times New Roman"/>
            <w:color w:val="auto"/>
          </w:rPr>
          <w:t>https://www.nhis.or.kr/english/wbheaa03500m01.do?mode=download&amp;articleNo=10835244&amp;attachNo=345794</w:t>
        </w:r>
      </w:hyperlink>
      <w:r w:rsidRPr="000A2657">
        <w:rPr>
          <w:rFonts w:eastAsia="Arial" w:cs="Times New Roman"/>
          <w:kern w:val="2"/>
          <w:szCs w:val="22"/>
        </w:rPr>
        <w:t xml:space="preserve"> [Accessed on December 10, 2025]</w:t>
      </w:r>
    </w:p>
    <w:p w14:paraId="5450F4BF" w14:textId="77777777" w:rsidR="00C45F66" w:rsidRPr="000A2657" w:rsidRDefault="00F149B8">
      <w:pPr>
        <w:rPr>
          <w:rFonts w:cs="Times New Roman"/>
        </w:rPr>
      </w:pPr>
      <w:r w:rsidRPr="000A2657">
        <w:rPr>
          <w:rFonts w:eastAsia="Arial" w:cs="Times New Roman"/>
          <w:kern w:val="2"/>
          <w:szCs w:val="22"/>
        </w:rPr>
        <w:t xml:space="preserve">oecd.org, 2025 [Online] Available at </w:t>
      </w:r>
      <w:hyperlink r:id="rId43" w:history="1">
        <w:r w:rsidRPr="000A2657">
          <w:rPr>
            <w:rStyle w:val="Hyperlink"/>
            <w:rFonts w:cs="Times New Roman"/>
            <w:color w:val="auto"/>
          </w:rPr>
          <w:t>https://www.oecd.org/content/dam/oecd/en/publications/reports/2020/03/oecd-reviews-of-public-health-korea_335bc8ac/be2b7063-en.pdf</w:t>
        </w:r>
      </w:hyperlink>
      <w:r w:rsidRPr="000A2657">
        <w:rPr>
          <w:rFonts w:eastAsia="Arial" w:cs="Times New Roman"/>
          <w:kern w:val="2"/>
          <w:szCs w:val="22"/>
        </w:rPr>
        <w:t xml:space="preserve"> [Accessed on December 10, 2025]</w:t>
      </w:r>
    </w:p>
    <w:p w14:paraId="40CA385A" w14:textId="77777777" w:rsidR="00C45F66" w:rsidRPr="000A2657" w:rsidRDefault="00F149B8">
      <w:pPr>
        <w:rPr>
          <w:rFonts w:cs="Times New Roman"/>
        </w:rPr>
      </w:pPr>
      <w:r w:rsidRPr="000A2657">
        <w:rPr>
          <w:rFonts w:eastAsia="Arial" w:cs="Times New Roman"/>
          <w:kern w:val="2"/>
          <w:szCs w:val="22"/>
        </w:rPr>
        <w:t xml:space="preserve">parl.ca, 2025 [Online] Available at </w:t>
      </w:r>
      <w:hyperlink r:id="rId44" w:history="1">
        <w:r w:rsidRPr="000A2657">
          <w:rPr>
            <w:rStyle w:val="Hyperlink"/>
            <w:rFonts w:cs="Times New Roman"/>
            <w:color w:val="auto"/>
          </w:rPr>
          <w:t>https://www.parl.ca/documentviewer/en/44-1/DEDC/report-3/page-36</w:t>
        </w:r>
      </w:hyperlink>
      <w:r w:rsidRPr="000A2657">
        <w:rPr>
          <w:rFonts w:eastAsia="Arial" w:cs="Times New Roman"/>
          <w:kern w:val="2"/>
          <w:szCs w:val="22"/>
        </w:rPr>
        <w:t xml:space="preserve"> [Accessed on December 10, 2025]</w:t>
      </w:r>
    </w:p>
    <w:p w14:paraId="28E09CEE" w14:textId="77777777" w:rsidR="00C45F66" w:rsidRPr="000A2657" w:rsidRDefault="00F149B8">
      <w:r w:rsidRPr="000A2657">
        <w:rPr>
          <w:rFonts w:eastAsia="Arial" w:cs="Arial"/>
          <w:kern w:val="2"/>
          <w:szCs w:val="22"/>
        </w:rPr>
        <w:t>Pearman, J., Gerkin, E. and Carter, D.R., 2023. What is ‘</w:t>
      </w:r>
      <w:proofErr w:type="spellStart"/>
      <w:r w:rsidRPr="000A2657">
        <w:rPr>
          <w:rFonts w:eastAsia="Arial" w:cs="Arial"/>
          <w:kern w:val="2"/>
          <w:szCs w:val="22"/>
        </w:rPr>
        <w:t>Functional’About</w:t>
      </w:r>
      <w:proofErr w:type="spellEnd"/>
      <w:r w:rsidRPr="000A2657">
        <w:rPr>
          <w:rFonts w:eastAsia="Arial" w:cs="Arial"/>
          <w:kern w:val="2"/>
          <w:szCs w:val="22"/>
        </w:rPr>
        <w:t xml:space="preserve"> Distributed Leadership in </w:t>
      </w:r>
      <w:proofErr w:type="gramStart"/>
      <w:r w:rsidRPr="000A2657">
        <w:rPr>
          <w:rFonts w:eastAsia="Arial" w:cs="Arial"/>
          <w:kern w:val="2"/>
          <w:szCs w:val="22"/>
        </w:rPr>
        <w:t>Teams?.</w:t>
      </w:r>
      <w:proofErr w:type="gramEnd"/>
      <w:r w:rsidRPr="000A2657">
        <w:rPr>
          <w:rFonts w:eastAsia="Arial" w:cs="Arial"/>
          <w:kern w:val="2"/>
          <w:szCs w:val="22"/>
        </w:rPr>
        <w:t xml:space="preserve"> In </w:t>
      </w:r>
      <w:r w:rsidRPr="000A2657">
        <w:rPr>
          <w:rFonts w:eastAsia="Arial" w:cs="Arial"/>
          <w:i/>
          <w:iCs/>
          <w:kern w:val="2"/>
          <w:szCs w:val="22"/>
        </w:rPr>
        <w:t>The SAGE Handbook of Leadership</w:t>
      </w:r>
      <w:r w:rsidRPr="000A2657">
        <w:rPr>
          <w:rFonts w:eastAsia="Arial" w:cs="Arial"/>
          <w:kern w:val="2"/>
          <w:szCs w:val="22"/>
        </w:rPr>
        <w:t xml:space="preserve"> (pp. 72-82). SAGE Publications Ltd. </w:t>
      </w:r>
      <w:hyperlink r:id="rId45" w:anchor="page=107" w:history="1">
        <w:r w:rsidRPr="000A2657">
          <w:rPr>
            <w:rStyle w:val="Hyperlink"/>
            <w:color w:val="auto"/>
          </w:rPr>
          <w:t>https://www.torrossa.com/gs/resourceProxy?an=5542915&amp;publisher=FZ7200#page=107</w:t>
        </w:r>
      </w:hyperlink>
    </w:p>
    <w:p w14:paraId="4BF10DD5" w14:textId="77777777" w:rsidR="00C45F66" w:rsidRPr="000A2657" w:rsidRDefault="00F149B8">
      <w:pPr>
        <w:rPr>
          <w:rFonts w:cs="Times New Roman"/>
        </w:rPr>
      </w:pPr>
      <w:r w:rsidRPr="000A2657">
        <w:rPr>
          <w:rFonts w:eastAsia="Arial" w:cs="Times New Roman"/>
          <w:kern w:val="2"/>
          <w:szCs w:val="22"/>
        </w:rPr>
        <w:t xml:space="preserve">pmc.ncbi.nlm.nih.gov, 2025 [Online] Available at </w:t>
      </w:r>
      <w:hyperlink r:id="rId46" w:history="1">
        <w:r w:rsidRPr="000A2657">
          <w:rPr>
            <w:rStyle w:val="Hyperlink"/>
            <w:rFonts w:cs="Times New Roman"/>
            <w:color w:val="auto"/>
          </w:rPr>
          <w:t>https://pmc.ncbi.nlm.nih.gov/articles/PMC11532827/</w:t>
        </w:r>
      </w:hyperlink>
      <w:r w:rsidRPr="000A2657">
        <w:rPr>
          <w:rFonts w:eastAsia="Arial" w:cs="Times New Roman"/>
          <w:kern w:val="2"/>
          <w:szCs w:val="22"/>
        </w:rPr>
        <w:t xml:space="preserve"> [Accessed on December 10, 2025]</w:t>
      </w:r>
    </w:p>
    <w:p w14:paraId="79AC8722" w14:textId="77777777" w:rsidR="00C45F66" w:rsidRPr="000A2657" w:rsidRDefault="00F149B8">
      <w:pPr>
        <w:rPr>
          <w:rFonts w:cs="Times New Roman"/>
        </w:rPr>
      </w:pPr>
      <w:r w:rsidRPr="000A2657">
        <w:rPr>
          <w:rFonts w:eastAsia="Arial" w:cs="Times New Roman"/>
          <w:kern w:val="2"/>
          <w:szCs w:val="22"/>
        </w:rPr>
        <w:t xml:space="preserve">pmc.ncbi.nlm.nih.gov, 2025 [Online] Available at </w:t>
      </w:r>
      <w:hyperlink r:id="rId47" w:history="1">
        <w:r w:rsidRPr="000A2657">
          <w:rPr>
            <w:rStyle w:val="Hyperlink"/>
            <w:rFonts w:cs="Times New Roman"/>
            <w:color w:val="auto"/>
          </w:rPr>
          <w:t>https://pmc.ncbi.nlm.nih.gov/articles/PMC8325551/</w:t>
        </w:r>
      </w:hyperlink>
      <w:r w:rsidRPr="000A2657">
        <w:rPr>
          <w:rFonts w:eastAsia="Arial" w:cs="Times New Roman"/>
          <w:kern w:val="2"/>
          <w:szCs w:val="22"/>
        </w:rPr>
        <w:t xml:space="preserve"> [Accessed on December 10, 2025]</w:t>
      </w:r>
    </w:p>
    <w:p w14:paraId="6AC90CA0" w14:textId="77777777" w:rsidR="00C45F66" w:rsidRPr="000A2657" w:rsidRDefault="00F149B8">
      <w:pPr>
        <w:rPr>
          <w:rFonts w:cs="Times New Roman"/>
        </w:rPr>
      </w:pPr>
      <w:r w:rsidRPr="000A2657">
        <w:rPr>
          <w:rFonts w:eastAsia="Arial" w:cs="Times New Roman"/>
          <w:kern w:val="2"/>
          <w:szCs w:val="22"/>
        </w:rPr>
        <w:t xml:space="preserve">portal.cor.europa.eu, 2025 [Online] Available at </w:t>
      </w:r>
      <w:hyperlink r:id="rId48" w:history="1">
        <w:r w:rsidRPr="000A2657">
          <w:rPr>
            <w:rStyle w:val="Hyperlink"/>
            <w:rFonts w:cs="Times New Roman"/>
            <w:color w:val="auto"/>
          </w:rPr>
          <w:t>https://portal.cor.europa.eu/divisionpowers/Pages/Spain-Fiscal-Powers.aspx</w:t>
        </w:r>
      </w:hyperlink>
      <w:r w:rsidRPr="000A2657">
        <w:rPr>
          <w:rFonts w:eastAsia="Arial" w:cs="Times New Roman"/>
          <w:kern w:val="2"/>
          <w:szCs w:val="22"/>
        </w:rPr>
        <w:t xml:space="preserve"> [Accessed on December 10, 2025]</w:t>
      </w:r>
    </w:p>
    <w:p w14:paraId="3DF637E8" w14:textId="77777777" w:rsidR="00C45F66" w:rsidRPr="000A2657" w:rsidRDefault="00F149B8">
      <w:pPr>
        <w:rPr>
          <w:rFonts w:cs="Times New Roman"/>
        </w:rPr>
      </w:pPr>
      <w:r w:rsidRPr="000A2657">
        <w:rPr>
          <w:rFonts w:eastAsia="Arial" w:cs="Times New Roman"/>
          <w:kern w:val="2"/>
          <w:szCs w:val="22"/>
        </w:rPr>
        <w:t>Ray, J.C., Grimm, J. and Olive, A., 2021. The biodiversity crisis in Canada: failures and challenges of federal and sub-national strategic and legal frameworks. </w:t>
      </w:r>
      <w:r w:rsidRPr="000A2657">
        <w:rPr>
          <w:rFonts w:eastAsia="Arial" w:cs="Times New Roman"/>
          <w:i/>
          <w:iCs/>
          <w:kern w:val="2"/>
          <w:szCs w:val="22"/>
        </w:rPr>
        <w:t>Facets</w:t>
      </w:r>
      <w:r w:rsidRPr="000A2657">
        <w:rPr>
          <w:rFonts w:eastAsia="Arial" w:cs="Times New Roman"/>
          <w:kern w:val="2"/>
          <w:szCs w:val="22"/>
        </w:rPr>
        <w:t>, </w:t>
      </w:r>
      <w:r w:rsidRPr="000A2657">
        <w:rPr>
          <w:rFonts w:eastAsia="Arial" w:cs="Times New Roman"/>
          <w:i/>
          <w:iCs/>
          <w:kern w:val="2"/>
          <w:szCs w:val="22"/>
        </w:rPr>
        <w:t>6</w:t>
      </w:r>
      <w:r w:rsidRPr="000A2657">
        <w:rPr>
          <w:rFonts w:eastAsia="Arial" w:cs="Times New Roman"/>
          <w:kern w:val="2"/>
          <w:szCs w:val="22"/>
        </w:rPr>
        <w:t xml:space="preserve">(1), pp.1044-1068. </w:t>
      </w:r>
      <w:hyperlink r:id="rId49" w:history="1">
        <w:r w:rsidRPr="000A2657">
          <w:rPr>
            <w:rStyle w:val="Hyperlink"/>
            <w:rFonts w:cs="Times New Roman"/>
            <w:color w:val="auto"/>
          </w:rPr>
          <w:t>https://www.facetsjournal.com/doi/pdf/10.1139/facets-2020-0075?download=true</w:t>
        </w:r>
      </w:hyperlink>
    </w:p>
    <w:p w14:paraId="29CB9AC5" w14:textId="77777777" w:rsidR="00C45F66" w:rsidRPr="000A2657" w:rsidRDefault="00F149B8">
      <w:pPr>
        <w:rPr>
          <w:rFonts w:cs="Times New Roman"/>
        </w:rPr>
      </w:pPr>
      <w:r w:rsidRPr="000A2657">
        <w:rPr>
          <w:rFonts w:eastAsia="Arial" w:cs="Times New Roman"/>
          <w:kern w:val="2"/>
          <w:szCs w:val="22"/>
        </w:rPr>
        <w:t xml:space="preserve">sanidad.gob.es, 2025 [Online] Available at </w:t>
      </w:r>
      <w:hyperlink r:id="rId50" w:history="1">
        <w:r w:rsidRPr="000A2657">
          <w:rPr>
            <w:rStyle w:val="Hyperlink"/>
            <w:rFonts w:cs="Times New Roman"/>
            <w:color w:val="auto"/>
          </w:rPr>
          <w:t>https://www.sanidad.gob.es/organizacion/sns/home.htm</w:t>
        </w:r>
      </w:hyperlink>
      <w:r w:rsidRPr="000A2657">
        <w:rPr>
          <w:rFonts w:eastAsia="Arial" w:cs="Times New Roman"/>
          <w:kern w:val="2"/>
          <w:szCs w:val="22"/>
        </w:rPr>
        <w:t xml:space="preserve"> [Accessed on December 10, 2025]</w:t>
      </w:r>
    </w:p>
    <w:p w14:paraId="02FD4918" w14:textId="77777777" w:rsidR="00C45F66" w:rsidRPr="000A2657" w:rsidRDefault="00F149B8">
      <w:pPr>
        <w:rPr>
          <w:rFonts w:cs="Times New Roman"/>
        </w:rPr>
      </w:pPr>
      <w:proofErr w:type="spellStart"/>
      <w:r w:rsidRPr="000A2657">
        <w:rPr>
          <w:rFonts w:eastAsia="Arial" w:cs="Times New Roman"/>
          <w:kern w:val="2"/>
          <w:szCs w:val="22"/>
        </w:rPr>
        <w:t>Sitammagari</w:t>
      </w:r>
      <w:proofErr w:type="spellEnd"/>
      <w:r w:rsidRPr="000A2657">
        <w:rPr>
          <w:rFonts w:eastAsia="Arial" w:cs="Times New Roman"/>
          <w:kern w:val="2"/>
          <w:szCs w:val="22"/>
        </w:rPr>
        <w:t>, K., Murphy, S., Kowalkowski, M., Chou, S.H., Sullivan, M., Taylor, S., Kearns, J., Batchelor, T., Rivet, C., Hole, C. and Hinson, T., 2021. Insights from rapid deployment of a “virtual hospital” as standard care during the COVID-19 pandemic. </w:t>
      </w:r>
      <w:r w:rsidRPr="000A2657">
        <w:rPr>
          <w:rFonts w:eastAsia="Arial" w:cs="Times New Roman"/>
          <w:i/>
          <w:iCs/>
          <w:kern w:val="2"/>
          <w:szCs w:val="22"/>
        </w:rPr>
        <w:t>Annals of internal medicine</w:t>
      </w:r>
      <w:r w:rsidRPr="000A2657">
        <w:rPr>
          <w:rFonts w:eastAsia="Arial" w:cs="Times New Roman"/>
          <w:kern w:val="2"/>
          <w:szCs w:val="22"/>
        </w:rPr>
        <w:t>, </w:t>
      </w:r>
      <w:r w:rsidRPr="000A2657">
        <w:rPr>
          <w:rFonts w:eastAsia="Arial" w:cs="Times New Roman"/>
          <w:i/>
          <w:iCs/>
          <w:kern w:val="2"/>
          <w:szCs w:val="22"/>
        </w:rPr>
        <w:t>174</w:t>
      </w:r>
      <w:r w:rsidRPr="000A2657">
        <w:rPr>
          <w:rFonts w:eastAsia="Arial" w:cs="Times New Roman"/>
          <w:kern w:val="2"/>
          <w:szCs w:val="22"/>
        </w:rPr>
        <w:t xml:space="preserve">(2), pp.192-199. </w:t>
      </w:r>
      <w:hyperlink r:id="rId51" w:history="1">
        <w:r w:rsidRPr="000A2657">
          <w:rPr>
            <w:rStyle w:val="Hyperlink"/>
            <w:rFonts w:cs="Times New Roman"/>
            <w:color w:val="auto"/>
          </w:rPr>
          <w:t>https://www.acpjournals.org/doi/pdf/10.7326/M20-4076</w:t>
        </w:r>
      </w:hyperlink>
    </w:p>
    <w:p w14:paraId="49E9C2CF" w14:textId="77777777" w:rsidR="00C45F66" w:rsidRPr="000A2657" w:rsidRDefault="00F149B8">
      <w:pPr>
        <w:rPr>
          <w:rFonts w:cs="Times New Roman"/>
        </w:rPr>
      </w:pPr>
      <w:r w:rsidRPr="000A2657">
        <w:rPr>
          <w:rFonts w:eastAsia="Arial" w:cs="Times New Roman"/>
          <w:kern w:val="2"/>
          <w:szCs w:val="22"/>
        </w:rPr>
        <w:t xml:space="preserve">snuh.org, 2025 [Online] Available at </w:t>
      </w:r>
      <w:hyperlink r:id="rId52" w:history="1">
        <w:r w:rsidRPr="000A2657">
          <w:rPr>
            <w:rStyle w:val="Hyperlink"/>
            <w:rFonts w:cs="Times New Roman"/>
            <w:color w:val="auto"/>
          </w:rPr>
          <w:t>http://www.snuh.org/global/en/main.do</w:t>
        </w:r>
      </w:hyperlink>
      <w:r w:rsidRPr="000A2657">
        <w:rPr>
          <w:rFonts w:eastAsia="Arial" w:cs="Times New Roman"/>
          <w:kern w:val="2"/>
          <w:szCs w:val="22"/>
        </w:rPr>
        <w:t xml:space="preserve"> [Accessed on December 10, 2025]</w:t>
      </w:r>
    </w:p>
    <w:p w14:paraId="27E355AC" w14:textId="77777777" w:rsidR="00C45F66" w:rsidRPr="000A2657" w:rsidRDefault="00F149B8">
      <w:pPr>
        <w:rPr>
          <w:rFonts w:cs="Times New Roman"/>
        </w:rPr>
      </w:pPr>
      <w:r w:rsidRPr="000A2657">
        <w:rPr>
          <w:rFonts w:eastAsia="Arial" w:cs="Times New Roman"/>
          <w:kern w:val="2"/>
          <w:szCs w:val="22"/>
        </w:rPr>
        <w:t xml:space="preserve">statista.com, 2025 [Online] Available at </w:t>
      </w:r>
      <w:hyperlink r:id="rId53" w:history="1">
        <w:r w:rsidRPr="000A2657">
          <w:rPr>
            <w:rStyle w:val="Hyperlink"/>
            <w:rFonts w:cs="Times New Roman"/>
            <w:color w:val="auto"/>
          </w:rPr>
          <w:t>https://www.statista.com/statistics/831668/density-of-hospital-beds-canada/?srsltid=AfmBOopFP0JfS0Ot3zpKZYPVKTEI2oGWtS6YwTq5Myoicj6gObr7ALH8</w:t>
        </w:r>
      </w:hyperlink>
      <w:r w:rsidRPr="000A2657">
        <w:rPr>
          <w:rFonts w:eastAsia="Arial" w:cs="Times New Roman"/>
          <w:kern w:val="2"/>
          <w:szCs w:val="22"/>
        </w:rPr>
        <w:t xml:space="preserve"> [Accessed on December 10, 2025]</w:t>
      </w:r>
    </w:p>
    <w:p w14:paraId="575A6320" w14:textId="77777777" w:rsidR="00C45F66" w:rsidRPr="000A2657" w:rsidRDefault="00F149B8">
      <w:pPr>
        <w:rPr>
          <w:rFonts w:cs="Times New Roman"/>
        </w:rPr>
      </w:pPr>
      <w:r w:rsidRPr="000A2657">
        <w:rPr>
          <w:rFonts w:eastAsia="Arial" w:cs="Times New Roman"/>
          <w:kern w:val="2"/>
          <w:szCs w:val="22"/>
        </w:rPr>
        <w:t xml:space="preserve">theguardian.com, 2025 [Online] Available at </w:t>
      </w:r>
      <w:hyperlink r:id="rId54" w:history="1">
        <w:r w:rsidRPr="000A2657">
          <w:rPr>
            <w:rStyle w:val="Hyperlink"/>
            <w:rFonts w:cs="Times New Roman"/>
            <w:color w:val="auto"/>
          </w:rPr>
          <w:t>https://www.theguardian.com/world/2025/oct/16/catalonia-socialist-president-salvador-illa-tackling-inequality-separatist-far-right-coexistence-madrid</w:t>
        </w:r>
      </w:hyperlink>
      <w:r w:rsidRPr="000A2657">
        <w:rPr>
          <w:rFonts w:eastAsia="Arial" w:cs="Times New Roman"/>
          <w:kern w:val="2"/>
          <w:szCs w:val="22"/>
        </w:rPr>
        <w:t xml:space="preserve"> [Accessed on December 10, 2025]</w:t>
      </w:r>
    </w:p>
    <w:p w14:paraId="4199B2F1" w14:textId="77777777" w:rsidR="00C45F66" w:rsidRPr="000A2657" w:rsidRDefault="00F149B8">
      <w:pPr>
        <w:rPr>
          <w:rFonts w:cs="Times New Roman"/>
        </w:rPr>
      </w:pPr>
      <w:r w:rsidRPr="000A2657">
        <w:rPr>
          <w:rFonts w:eastAsia="Arial" w:cs="Times New Roman"/>
          <w:kern w:val="2"/>
          <w:szCs w:val="22"/>
        </w:rPr>
        <w:lastRenderedPageBreak/>
        <w:t xml:space="preserve">theguardian.com, 2025 [Online] Available at </w:t>
      </w:r>
      <w:hyperlink r:id="rId55" w:history="1">
        <w:r w:rsidRPr="000A2657">
          <w:rPr>
            <w:rStyle w:val="Hyperlink"/>
            <w:rFonts w:cs="Times New Roman"/>
            <w:color w:val="auto"/>
          </w:rPr>
          <w:t>https://www.theguardian.com/world/2017/jan/04/the-canada-experiment-is-this-the-worlds-first-postnational-country</w:t>
        </w:r>
      </w:hyperlink>
      <w:r w:rsidRPr="000A2657">
        <w:rPr>
          <w:rFonts w:eastAsia="Arial" w:cs="Times New Roman"/>
          <w:kern w:val="2"/>
          <w:szCs w:val="22"/>
        </w:rPr>
        <w:t xml:space="preserve"> [Accessed on December 10, 2025]</w:t>
      </w:r>
    </w:p>
    <w:p w14:paraId="4072AC1B" w14:textId="77777777" w:rsidR="00C45F66" w:rsidRPr="000A2657" w:rsidRDefault="00F149B8">
      <w:pPr>
        <w:rPr>
          <w:rFonts w:cs="Times New Roman"/>
        </w:rPr>
      </w:pPr>
      <w:r w:rsidRPr="000A2657">
        <w:rPr>
          <w:rFonts w:eastAsia="Arial" w:cs="Times New Roman"/>
          <w:kern w:val="2"/>
          <w:szCs w:val="22"/>
        </w:rPr>
        <w:t xml:space="preserve">thehindu.com, 2020 [Online] Available at </w:t>
      </w:r>
      <w:hyperlink r:id="rId56" w:history="1">
        <w:r w:rsidRPr="000A2657">
          <w:rPr>
            <w:rStyle w:val="Hyperlink"/>
            <w:rFonts w:cs="Times New Roman"/>
            <w:color w:val="auto"/>
          </w:rPr>
          <w:t>https://www.thehindu.com/opinion/op-ed/the-critical-role-of-decentralised-responses/article31782116.ece</w:t>
        </w:r>
      </w:hyperlink>
      <w:r w:rsidRPr="000A2657">
        <w:rPr>
          <w:rFonts w:eastAsia="Arial" w:cs="Times New Roman"/>
          <w:kern w:val="2"/>
          <w:szCs w:val="22"/>
        </w:rPr>
        <w:t xml:space="preserve"> [Accessed on December 10, 2025]</w:t>
      </w:r>
    </w:p>
    <w:p w14:paraId="0A415883" w14:textId="77777777" w:rsidR="00C45F66" w:rsidRPr="000A2657" w:rsidRDefault="00F149B8">
      <w:pPr>
        <w:rPr>
          <w:rFonts w:cs="Times New Roman"/>
        </w:rPr>
      </w:pPr>
      <w:r w:rsidRPr="000A2657">
        <w:rPr>
          <w:rFonts w:eastAsia="Arial" w:cs="Times New Roman"/>
          <w:kern w:val="2"/>
          <w:szCs w:val="22"/>
        </w:rPr>
        <w:t xml:space="preserve">timesofindia.indiatimes.com, 2025 [Online] Available at </w:t>
      </w:r>
      <w:hyperlink r:id="rId57" w:history="1">
        <w:r w:rsidRPr="000A2657">
          <w:rPr>
            <w:rStyle w:val="Hyperlink"/>
            <w:rFonts w:cs="Times New Roman"/>
            <w:color w:val="auto"/>
          </w:rPr>
          <w:t>https://timesofindia.indiatimes.com/india/we-cannot-abide-canada-pm-trudeau-accuses-india-of-covert-ops-coercion-threats-amid-row/articleshow/114228244.cms</w:t>
        </w:r>
      </w:hyperlink>
      <w:r w:rsidRPr="000A2657">
        <w:rPr>
          <w:rFonts w:eastAsia="Arial" w:cs="Times New Roman"/>
          <w:kern w:val="2"/>
          <w:szCs w:val="22"/>
        </w:rPr>
        <w:t xml:space="preserve"> [Accessed on December 10, 2025]</w:t>
      </w:r>
    </w:p>
    <w:p w14:paraId="07ED3EC2" w14:textId="77777777" w:rsidR="00C45F66" w:rsidRPr="000A2657" w:rsidRDefault="00F149B8">
      <w:pPr>
        <w:rPr>
          <w:rFonts w:cs="Times New Roman"/>
        </w:rPr>
      </w:pPr>
      <w:r w:rsidRPr="000A2657">
        <w:rPr>
          <w:rFonts w:eastAsia="Arial" w:cs="Times New Roman"/>
          <w:kern w:val="2"/>
          <w:szCs w:val="22"/>
        </w:rPr>
        <w:t xml:space="preserve">weforum.org, 2025 [Online] Available at </w:t>
      </w:r>
      <w:hyperlink r:id="rId58" w:history="1">
        <w:r w:rsidRPr="000A2657">
          <w:rPr>
            <w:rStyle w:val="Hyperlink"/>
            <w:rFonts w:cs="Times New Roman"/>
            <w:color w:val="auto"/>
          </w:rPr>
          <w:t>https://www3.weforum.org/docs/WEF_PHSSR_CAPRI_Korea_2024.pdf</w:t>
        </w:r>
      </w:hyperlink>
      <w:r w:rsidRPr="000A2657">
        <w:rPr>
          <w:rFonts w:eastAsia="Arial" w:cs="Times New Roman"/>
          <w:kern w:val="2"/>
          <w:szCs w:val="22"/>
        </w:rPr>
        <w:t xml:space="preserve"> [Accessed on December 10, 2025]</w:t>
      </w:r>
    </w:p>
    <w:p w14:paraId="338D4F8D" w14:textId="77777777" w:rsidR="00C45F66" w:rsidRPr="000A2657" w:rsidRDefault="00F149B8">
      <w:pPr>
        <w:rPr>
          <w:rFonts w:cs="Times New Roman"/>
        </w:rPr>
      </w:pPr>
      <w:r w:rsidRPr="000A2657">
        <w:rPr>
          <w:rFonts w:eastAsia="Arial" w:cs="Times New Roman"/>
          <w:kern w:val="2"/>
          <w:szCs w:val="22"/>
        </w:rPr>
        <w:t>Winkelmann, J., Webb, E., Williams, G.A., Hernández-Quevedo, C., Maier, C.B. and Panteli, D., 2022. European countries' responses in ensuring sufficient physical infrastructure and workforce capacity during the first COVID-19 wave. </w:t>
      </w:r>
      <w:r w:rsidRPr="000A2657">
        <w:rPr>
          <w:rFonts w:eastAsia="Arial" w:cs="Times New Roman"/>
          <w:i/>
          <w:iCs/>
          <w:kern w:val="2"/>
          <w:szCs w:val="22"/>
        </w:rPr>
        <w:t>Health Policy</w:t>
      </w:r>
      <w:r w:rsidRPr="000A2657">
        <w:rPr>
          <w:rFonts w:eastAsia="Arial" w:cs="Times New Roman"/>
          <w:kern w:val="2"/>
          <w:szCs w:val="22"/>
        </w:rPr>
        <w:t>, </w:t>
      </w:r>
      <w:r w:rsidRPr="000A2657">
        <w:rPr>
          <w:rFonts w:eastAsia="Arial" w:cs="Times New Roman"/>
          <w:i/>
          <w:iCs/>
          <w:kern w:val="2"/>
          <w:szCs w:val="22"/>
        </w:rPr>
        <w:t>126</w:t>
      </w:r>
      <w:r w:rsidRPr="000A2657">
        <w:rPr>
          <w:rFonts w:eastAsia="Arial" w:cs="Times New Roman"/>
          <w:kern w:val="2"/>
          <w:szCs w:val="22"/>
        </w:rPr>
        <w:t xml:space="preserve">(5), pp.362-372. </w:t>
      </w:r>
      <w:hyperlink r:id="rId59" w:history="1">
        <w:r w:rsidRPr="000A2657">
          <w:rPr>
            <w:rStyle w:val="Hyperlink"/>
            <w:rFonts w:cs="Times New Roman"/>
            <w:color w:val="auto"/>
          </w:rPr>
          <w:t>https://pmc.ncbi.nlm.nih.gov/articles/PMC9187509/pdf/main.pdf</w:t>
        </w:r>
      </w:hyperlink>
    </w:p>
    <w:p w14:paraId="4F319B1B" w14:textId="77777777" w:rsidR="00C45F66" w:rsidRPr="000A2657" w:rsidRDefault="00F149B8">
      <w:pPr>
        <w:rPr>
          <w:rFonts w:cs="Times New Roman"/>
        </w:rPr>
      </w:pPr>
      <w:r w:rsidRPr="000A2657">
        <w:rPr>
          <w:rFonts w:eastAsia="Arial" w:cs="Times New Roman"/>
          <w:kern w:val="2"/>
          <w:szCs w:val="22"/>
        </w:rPr>
        <w:t>World Health Organization, 2022. </w:t>
      </w:r>
      <w:r w:rsidRPr="000A2657">
        <w:rPr>
          <w:rFonts w:eastAsia="Arial" w:cs="Times New Roman"/>
          <w:i/>
          <w:iCs/>
          <w:kern w:val="2"/>
          <w:szCs w:val="22"/>
        </w:rPr>
        <w:t>Global analysis of healthcare waste in the context of COVID-19: status, impacts and recommendations</w:t>
      </w:r>
      <w:r w:rsidRPr="000A2657">
        <w:rPr>
          <w:rFonts w:eastAsia="Arial" w:cs="Times New Roman"/>
          <w:kern w:val="2"/>
          <w:szCs w:val="22"/>
        </w:rPr>
        <w:t>. World Health Organization. https://books.google.com/books?hl=en&amp;lr=&amp;id=TngOEQAAQBAJ&amp;oi=fnd&amp;pg=PR11&amp;dq=The+absence+of+a+powerful+central+mechanism+impeded+the+efforts+to+redistribute+equipment,+including+ventilators+and+personal+protective+equipment+in+spain&amp;ots=W3wUuwMlTX&amp;sig=8ksc93k88L9vrWNLs2q6vLDxVxQ</w:t>
      </w:r>
    </w:p>
    <w:p w14:paraId="3D182E34" w14:textId="77777777" w:rsidR="00C45F66" w:rsidRPr="000A2657" w:rsidRDefault="00F149B8">
      <w:pPr>
        <w:rPr>
          <w:rFonts w:cs="Times New Roman"/>
        </w:rPr>
      </w:pPr>
      <w:r w:rsidRPr="000A2657">
        <w:rPr>
          <w:rFonts w:eastAsia="Arial" w:cs="Times New Roman"/>
          <w:kern w:val="2"/>
          <w:szCs w:val="22"/>
        </w:rPr>
        <w:t>Yoo, K.J., Kwon, S., Choi, Y. and Bishai, D.M., 2021. Systematic assessment of South Korea’s capabilities to control COVID-19. </w:t>
      </w:r>
      <w:r w:rsidRPr="000A2657">
        <w:rPr>
          <w:rFonts w:eastAsia="Arial" w:cs="Times New Roman"/>
          <w:i/>
          <w:iCs/>
          <w:kern w:val="2"/>
          <w:szCs w:val="22"/>
        </w:rPr>
        <w:t>Health Policy</w:t>
      </w:r>
      <w:r w:rsidRPr="000A2657">
        <w:rPr>
          <w:rFonts w:eastAsia="Arial" w:cs="Times New Roman"/>
          <w:kern w:val="2"/>
          <w:szCs w:val="22"/>
        </w:rPr>
        <w:t>, </w:t>
      </w:r>
      <w:r w:rsidRPr="000A2657">
        <w:rPr>
          <w:rFonts w:eastAsia="Arial" w:cs="Times New Roman"/>
          <w:i/>
          <w:iCs/>
          <w:kern w:val="2"/>
          <w:szCs w:val="22"/>
        </w:rPr>
        <w:t>125</w:t>
      </w:r>
      <w:r w:rsidRPr="000A2657">
        <w:rPr>
          <w:rFonts w:eastAsia="Arial" w:cs="Times New Roman"/>
          <w:kern w:val="2"/>
          <w:szCs w:val="22"/>
        </w:rPr>
        <w:t xml:space="preserve">(5), pp.568-576. </w:t>
      </w:r>
      <w:hyperlink r:id="rId60" w:history="1">
        <w:r w:rsidRPr="000A2657">
          <w:rPr>
            <w:rStyle w:val="Hyperlink"/>
            <w:rFonts w:cs="Times New Roman"/>
            <w:color w:val="auto"/>
          </w:rPr>
          <w:t>https://pmc.ncbi.nlm.nih.gov/articles/PMC7927652/pdf/main.pdf</w:t>
        </w:r>
      </w:hyperlink>
    </w:p>
    <w:p w14:paraId="63B16119" w14:textId="77777777" w:rsidR="00C45F66" w:rsidRPr="000A2657" w:rsidRDefault="00F149B8">
      <w:pPr>
        <w:rPr>
          <w:rFonts w:cs="Times New Roman"/>
        </w:rPr>
      </w:pPr>
      <w:proofErr w:type="spellStart"/>
      <w:r w:rsidRPr="000A2657">
        <w:rPr>
          <w:rFonts w:eastAsia="Arial" w:cs="Times New Roman"/>
          <w:kern w:val="2"/>
          <w:szCs w:val="22"/>
        </w:rPr>
        <w:t>Youvan</w:t>
      </w:r>
      <w:proofErr w:type="spellEnd"/>
      <w:r w:rsidRPr="000A2657">
        <w:rPr>
          <w:rFonts w:eastAsia="Arial" w:cs="Times New Roman"/>
          <w:kern w:val="2"/>
          <w:szCs w:val="22"/>
        </w:rPr>
        <w:t xml:space="preserve">, D.C., 2024. Decentralization and Localism: A Path to Empowered Governance and Community Resilience. </w:t>
      </w:r>
      <w:hyperlink r:id="rId61" w:history="1">
        <w:r w:rsidRPr="000A2657">
          <w:rPr>
            <w:rStyle w:val="Hyperlink"/>
            <w:rFonts w:cs="Times New Roman"/>
            <w:color w:val="auto"/>
          </w:rPr>
          <w:t>https://www.researchgate.net/profile/Douglas-Youvan/publication/381805393_Decentralization_and_Localism_A_Path_to_Empowered_Governance_and_Community_Resilience/links/667fb6ec0a25e27fbc14eaab/Decentralization-and-Localism-A-Path-to-Empowered-Governance-and-Community-Resilience.pdf</w:t>
        </w:r>
      </w:hyperlink>
    </w:p>
    <w:p w14:paraId="26E6DE9D" w14:textId="77777777" w:rsidR="00C45F66" w:rsidRPr="000A2657" w:rsidRDefault="00F149B8">
      <w:pPr>
        <w:rPr>
          <w:rFonts w:cs="Times New Roman"/>
        </w:rPr>
      </w:pPr>
      <w:r w:rsidRPr="000A2657">
        <w:rPr>
          <w:rFonts w:eastAsia="Arial" w:cs="Times New Roman"/>
          <w:kern w:val="2"/>
          <w:szCs w:val="22"/>
        </w:rPr>
        <w:lastRenderedPageBreak/>
        <w:t xml:space="preserve">Zhao, Q., Li, S., Ye, T., Wu, Y., Gasparrini, A., Tong, S., Urban, A., Vicedo-Cabrera, A.M., Tobias, A., Armstrong, B. and </w:t>
      </w:r>
      <w:proofErr w:type="spellStart"/>
      <w:r w:rsidRPr="000A2657">
        <w:rPr>
          <w:rFonts w:eastAsia="Arial" w:cs="Times New Roman"/>
          <w:kern w:val="2"/>
          <w:szCs w:val="22"/>
        </w:rPr>
        <w:t>Royé</w:t>
      </w:r>
      <w:proofErr w:type="spellEnd"/>
      <w:r w:rsidRPr="000A2657">
        <w:rPr>
          <w:rFonts w:eastAsia="Arial" w:cs="Times New Roman"/>
          <w:kern w:val="2"/>
          <w:szCs w:val="22"/>
        </w:rPr>
        <w:t>, D., 2024. Global, regional, and national burden of heatwave-related mortality from 1990 to 2019: A three-stage modelling study. </w:t>
      </w:r>
      <w:proofErr w:type="spellStart"/>
      <w:r w:rsidRPr="000A2657">
        <w:rPr>
          <w:rFonts w:eastAsia="Arial" w:cs="Times New Roman"/>
          <w:i/>
          <w:iCs/>
          <w:kern w:val="2"/>
          <w:szCs w:val="22"/>
        </w:rPr>
        <w:t>PLoS</w:t>
      </w:r>
      <w:proofErr w:type="spellEnd"/>
      <w:r w:rsidRPr="000A2657">
        <w:rPr>
          <w:rFonts w:eastAsia="Arial" w:cs="Times New Roman"/>
          <w:i/>
          <w:iCs/>
          <w:kern w:val="2"/>
          <w:szCs w:val="22"/>
        </w:rPr>
        <w:t xml:space="preserve"> medicine</w:t>
      </w:r>
      <w:r w:rsidRPr="000A2657">
        <w:rPr>
          <w:rFonts w:eastAsia="Arial" w:cs="Times New Roman"/>
          <w:kern w:val="2"/>
          <w:szCs w:val="22"/>
        </w:rPr>
        <w:t>, </w:t>
      </w:r>
      <w:r w:rsidRPr="000A2657">
        <w:rPr>
          <w:rFonts w:eastAsia="Arial" w:cs="Times New Roman"/>
          <w:i/>
          <w:iCs/>
          <w:kern w:val="2"/>
          <w:szCs w:val="22"/>
        </w:rPr>
        <w:t>21</w:t>
      </w:r>
      <w:r w:rsidRPr="000A2657">
        <w:rPr>
          <w:rFonts w:eastAsia="Arial" w:cs="Times New Roman"/>
          <w:kern w:val="2"/>
          <w:szCs w:val="22"/>
        </w:rPr>
        <w:t xml:space="preserve">(5), p.e1004364. </w:t>
      </w:r>
      <w:hyperlink r:id="rId62" w:history="1">
        <w:r w:rsidRPr="000A2657">
          <w:rPr>
            <w:rStyle w:val="Hyperlink"/>
            <w:rFonts w:cs="Times New Roman"/>
            <w:color w:val="auto"/>
          </w:rPr>
          <w:t>https://journals.plos.org/plosmedicine/article?id=10.1371/journal.pmed.1004364&amp;trk=public_post_comment-text</w:t>
        </w:r>
      </w:hyperlink>
    </w:p>
    <w:p w14:paraId="01F70169" w14:textId="77777777" w:rsidR="00C45F66" w:rsidRPr="000A2657" w:rsidRDefault="00C45F66">
      <w:pPr>
        <w:rPr>
          <w:lang w:val="en-IN"/>
        </w:rPr>
      </w:pPr>
    </w:p>
    <w:p w14:paraId="7BFDBA7C" w14:textId="77777777" w:rsidR="00C45F66" w:rsidRPr="000A2657" w:rsidRDefault="00C45F66"/>
    <w:sectPr w:rsidR="00C45F66" w:rsidRPr="000A2657">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auto"/>
    <w:pitch w:val="default"/>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multiLevelType w:val="singleLevel"/>
    <w:tmpl w:val="FFFFFF7C"/>
    <w:lvl w:ilvl="0">
      <w:start w:val="1"/>
      <w:numFmt w:val="decimal"/>
      <w:pStyle w:val="ListNumber5"/>
      <w:lvlText w:val="%1."/>
      <w:lvlJc w:val="left"/>
      <w:pPr>
        <w:tabs>
          <w:tab w:val="left" w:pos="2040"/>
        </w:tabs>
        <w:ind w:leftChars="800" w:left="2040" w:hangingChars="200" w:hanging="360"/>
      </w:pPr>
    </w:lvl>
  </w:abstractNum>
  <w:abstractNum w:abstractNumId="1" w15:restartNumberingAfterBreak="0">
    <w:nsid w:val="00000001"/>
    <w:multiLevelType w:val="singleLevel"/>
    <w:tmpl w:val="FFFFFF7D"/>
    <w:lvl w:ilvl="0">
      <w:start w:val="1"/>
      <w:numFmt w:val="decimal"/>
      <w:pStyle w:val="ListNumber4"/>
      <w:lvlText w:val="%1."/>
      <w:lvlJc w:val="left"/>
      <w:pPr>
        <w:tabs>
          <w:tab w:val="left" w:pos="1620"/>
        </w:tabs>
        <w:ind w:leftChars="600" w:left="1620" w:hangingChars="200" w:hanging="360"/>
      </w:pPr>
    </w:lvl>
  </w:abstractNum>
  <w:abstractNum w:abstractNumId="2" w15:restartNumberingAfterBreak="0">
    <w:nsid w:val="00000002"/>
    <w:multiLevelType w:val="singleLevel"/>
    <w:tmpl w:val="FFFFFF7E"/>
    <w:lvl w:ilvl="0">
      <w:start w:val="1"/>
      <w:numFmt w:val="decimal"/>
      <w:pStyle w:val="ListNumber3"/>
      <w:lvlText w:val="%1."/>
      <w:lvlJc w:val="left"/>
      <w:pPr>
        <w:tabs>
          <w:tab w:val="left" w:pos="1200"/>
        </w:tabs>
        <w:ind w:leftChars="400" w:left="1200" w:hangingChars="200" w:hanging="360"/>
      </w:pPr>
    </w:lvl>
  </w:abstractNum>
  <w:abstractNum w:abstractNumId="3" w15:restartNumberingAfterBreak="0">
    <w:nsid w:val="00000003"/>
    <w:multiLevelType w:val="singleLevel"/>
    <w:tmpl w:val="FFFFFF7F"/>
    <w:lvl w:ilvl="0">
      <w:start w:val="1"/>
      <w:numFmt w:val="decimal"/>
      <w:pStyle w:val="ListNumber2"/>
      <w:lvlText w:val="%1."/>
      <w:lvlJc w:val="left"/>
      <w:pPr>
        <w:tabs>
          <w:tab w:val="left" w:pos="780"/>
        </w:tabs>
        <w:ind w:leftChars="200" w:left="780" w:hangingChars="200" w:hanging="360"/>
      </w:pPr>
    </w:lvl>
  </w:abstractNum>
  <w:abstractNum w:abstractNumId="4" w15:restartNumberingAfterBreak="0">
    <w:nsid w:val="00000004"/>
    <w:multiLevelType w:val="singleLevel"/>
    <w:tmpl w:val="FFFFFF80"/>
    <w:lvl w:ilvl="0">
      <w:start w:val="1"/>
      <w:numFmt w:val="bullet"/>
      <w:pStyle w:val="ListBullet5"/>
      <w:lvlText w:val=""/>
      <w:lvlJc w:val="left"/>
      <w:pPr>
        <w:tabs>
          <w:tab w:val="left" w:pos="2040"/>
        </w:tabs>
        <w:ind w:leftChars="800" w:left="2040" w:hangingChars="200" w:hanging="360"/>
      </w:pPr>
      <w:rPr>
        <w:rFonts w:ascii="Wingdings" w:hAnsi="Wingdings" w:hint="default"/>
      </w:rPr>
    </w:lvl>
  </w:abstractNum>
  <w:abstractNum w:abstractNumId="5" w15:restartNumberingAfterBreak="0">
    <w:nsid w:val="00000005"/>
    <w:multiLevelType w:val="singleLevel"/>
    <w:tmpl w:val="FFFFFF81"/>
    <w:lvl w:ilvl="0">
      <w:start w:val="1"/>
      <w:numFmt w:val="bullet"/>
      <w:pStyle w:val="ListBullet4"/>
      <w:lvlText w:val=""/>
      <w:lvlJc w:val="left"/>
      <w:pPr>
        <w:tabs>
          <w:tab w:val="left" w:pos="1620"/>
        </w:tabs>
        <w:ind w:leftChars="600" w:left="1620" w:hangingChars="200" w:hanging="360"/>
      </w:pPr>
      <w:rPr>
        <w:rFonts w:ascii="Wingdings" w:hAnsi="Wingdings" w:hint="default"/>
      </w:rPr>
    </w:lvl>
  </w:abstractNum>
  <w:abstractNum w:abstractNumId="6" w15:restartNumberingAfterBreak="0">
    <w:nsid w:val="00000006"/>
    <w:multiLevelType w:val="singleLevel"/>
    <w:tmpl w:val="FFFFFF82"/>
    <w:lvl w:ilvl="0">
      <w:start w:val="1"/>
      <w:numFmt w:val="bullet"/>
      <w:pStyle w:val="ListBullet3"/>
      <w:lvlText w:val=""/>
      <w:lvlJc w:val="left"/>
      <w:pPr>
        <w:tabs>
          <w:tab w:val="left" w:pos="1200"/>
        </w:tabs>
        <w:ind w:leftChars="400" w:left="1200" w:hangingChars="200" w:hanging="360"/>
      </w:pPr>
      <w:rPr>
        <w:rFonts w:ascii="Wingdings" w:hAnsi="Wingdings" w:hint="default"/>
      </w:rPr>
    </w:lvl>
  </w:abstractNum>
  <w:abstractNum w:abstractNumId="7" w15:restartNumberingAfterBreak="0">
    <w:nsid w:val="00000007"/>
    <w:multiLevelType w:val="singleLevel"/>
    <w:tmpl w:val="FFFFFF83"/>
    <w:lvl w:ilvl="0">
      <w:start w:val="1"/>
      <w:numFmt w:val="bullet"/>
      <w:pStyle w:val="ListBullet2"/>
      <w:lvlText w:val=""/>
      <w:lvlJc w:val="left"/>
      <w:pPr>
        <w:tabs>
          <w:tab w:val="left" w:pos="780"/>
        </w:tabs>
        <w:ind w:leftChars="200" w:left="780" w:hangingChars="200" w:hanging="360"/>
      </w:pPr>
      <w:rPr>
        <w:rFonts w:ascii="Wingdings" w:hAnsi="Wingdings" w:hint="default"/>
      </w:rPr>
    </w:lvl>
  </w:abstractNum>
  <w:abstractNum w:abstractNumId="8" w15:restartNumberingAfterBreak="0">
    <w:nsid w:val="00000008"/>
    <w:multiLevelType w:val="singleLevel"/>
    <w:tmpl w:val="FFFFFF88"/>
    <w:lvl w:ilvl="0">
      <w:start w:val="1"/>
      <w:numFmt w:val="decimal"/>
      <w:pStyle w:val="ListNumber"/>
      <w:lvlText w:val="%1."/>
      <w:lvlJc w:val="left"/>
      <w:pPr>
        <w:tabs>
          <w:tab w:val="left" w:pos="360"/>
        </w:tabs>
        <w:ind w:left="360" w:hangingChars="200" w:hanging="360"/>
      </w:pPr>
    </w:lvl>
  </w:abstractNum>
  <w:abstractNum w:abstractNumId="9" w15:restartNumberingAfterBreak="0">
    <w:nsid w:val="00000009"/>
    <w:multiLevelType w:val="singleLevel"/>
    <w:tmpl w:val="FFFFFF89"/>
    <w:lvl w:ilvl="0">
      <w:start w:val="1"/>
      <w:numFmt w:val="bullet"/>
      <w:pStyle w:val="ListBullet"/>
      <w:lvlText w:val=""/>
      <w:lvlJc w:val="left"/>
      <w:pPr>
        <w:tabs>
          <w:tab w:val="left" w:pos="360"/>
        </w:tabs>
        <w:ind w:left="360" w:hangingChars="200" w:hanging="360"/>
      </w:pPr>
      <w:rPr>
        <w:rFonts w:ascii="Wingdings" w:hAnsi="Wingdings" w:hint="default"/>
      </w:rPr>
    </w:lvl>
  </w:abstractNum>
  <w:num w:numId="1" w16cid:durableId="1221016542">
    <w:abstractNumId w:val="9"/>
  </w:num>
  <w:num w:numId="2" w16cid:durableId="19472627">
    <w:abstractNumId w:val="7"/>
  </w:num>
  <w:num w:numId="3" w16cid:durableId="522592170">
    <w:abstractNumId w:val="6"/>
  </w:num>
  <w:num w:numId="4" w16cid:durableId="1801920588">
    <w:abstractNumId w:val="5"/>
  </w:num>
  <w:num w:numId="5" w16cid:durableId="706566817">
    <w:abstractNumId w:val="4"/>
  </w:num>
  <w:num w:numId="6" w16cid:durableId="1930578229">
    <w:abstractNumId w:val="8"/>
  </w:num>
  <w:num w:numId="7" w16cid:durableId="1288782614">
    <w:abstractNumId w:val="3"/>
  </w:num>
  <w:num w:numId="8" w16cid:durableId="18706453">
    <w:abstractNumId w:val="2"/>
  </w:num>
  <w:num w:numId="9" w16cid:durableId="927153260">
    <w:abstractNumId w:val="1"/>
  </w:num>
  <w:num w:numId="10" w16cid:durableId="18848280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VerticalSpacing w:val="156"/>
  <w:characterSpacingControl w:val="doNotCompress"/>
  <w:compat>
    <w:spaceForUL/>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F66"/>
    <w:rsid w:val="000A2657"/>
    <w:rsid w:val="004D1470"/>
    <w:rsid w:val="00C45F66"/>
    <w:rsid w:val="00F149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BB90EA"/>
  <w15:docId w15:val="{46E543BA-D82C-4C8C-B814-6E516436B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rial" w:hAnsi="Aptos"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rFonts w:ascii="Times New Roman" w:eastAsia="DengXian" w:hAnsi="Times New Roman" w:cs="SimSun"/>
      <w:sz w:val="24"/>
      <w:lang w:val="en-US" w:eastAsia="zh-CN"/>
    </w:rPr>
  </w:style>
  <w:style w:type="paragraph" w:styleId="Heading1">
    <w:name w:val="heading 1"/>
    <w:basedOn w:val="Normal"/>
    <w:next w:val="Normal"/>
    <w:uiPriority w:val="9"/>
    <w:qFormat/>
    <w:pPr>
      <w:keepNext/>
      <w:keepLines/>
      <w:spacing w:before="340" w:after="330"/>
      <w:outlineLvl w:val="0"/>
    </w:pPr>
    <w:rPr>
      <w:b/>
      <w:bCs/>
      <w:kern w:val="44"/>
      <w:sz w:val="28"/>
      <w:szCs w:val="44"/>
    </w:rPr>
  </w:style>
  <w:style w:type="paragraph" w:styleId="Heading2">
    <w:name w:val="heading 2"/>
    <w:basedOn w:val="Normal"/>
    <w:next w:val="Normal"/>
    <w:uiPriority w:val="9"/>
    <w:unhideWhenUsed/>
    <w:qFormat/>
    <w:pPr>
      <w:keepNext/>
      <w:keepLines/>
      <w:spacing w:before="260" w:after="260"/>
      <w:outlineLvl w:val="1"/>
    </w:pPr>
    <w:rPr>
      <w:b/>
      <w:bCs/>
      <w:sz w:val="26"/>
      <w:szCs w:val="32"/>
    </w:rPr>
  </w:style>
  <w:style w:type="paragraph" w:styleId="Heading3">
    <w:name w:val="heading 3"/>
    <w:basedOn w:val="Normal"/>
    <w:next w:val="Normal"/>
    <w:uiPriority w:val="9"/>
    <w:unhideWhenUsed/>
    <w:qFormat/>
    <w:pPr>
      <w:keepNext/>
      <w:keepLines/>
      <w:spacing w:before="260" w:after="260"/>
      <w:outlineLvl w:val="2"/>
    </w:pPr>
    <w:rPr>
      <w:b/>
      <w:bCs/>
      <w:szCs w:val="32"/>
    </w:rPr>
  </w:style>
  <w:style w:type="paragraph" w:styleId="Heading4">
    <w:name w:val="heading 4"/>
    <w:basedOn w:val="Normal"/>
    <w:next w:val="Normal"/>
    <w:uiPriority w:val="9"/>
    <w:semiHidden/>
    <w:unhideWhenUsed/>
    <w:qFormat/>
    <w:pPr>
      <w:keepNext/>
      <w:keepLines/>
      <w:spacing w:before="280" w:after="290" w:line="376" w:lineRule="auto"/>
      <w:outlineLvl w:val="3"/>
    </w:pPr>
    <w:rPr>
      <w:b/>
      <w:bCs/>
      <w:sz w:val="28"/>
      <w:szCs w:val="28"/>
    </w:rPr>
  </w:style>
  <w:style w:type="paragraph" w:styleId="Heading5">
    <w:name w:val="heading 5"/>
    <w:basedOn w:val="Normal"/>
    <w:next w:val="Normal"/>
    <w:uiPriority w:val="9"/>
    <w:semiHidden/>
    <w:unhideWhenUsed/>
    <w:qFormat/>
    <w:pPr>
      <w:keepNext/>
      <w:keepLines/>
      <w:spacing w:before="280" w:after="290" w:line="376" w:lineRule="auto"/>
      <w:outlineLvl w:val="4"/>
    </w:pPr>
    <w:rPr>
      <w:b/>
      <w:bCs/>
      <w:sz w:val="28"/>
      <w:szCs w:val="28"/>
    </w:rPr>
  </w:style>
  <w:style w:type="paragraph" w:styleId="Heading6">
    <w:name w:val="heading 6"/>
    <w:basedOn w:val="Normal"/>
    <w:next w:val="Normal"/>
    <w:uiPriority w:val="9"/>
    <w:semiHidden/>
    <w:unhideWhenUsed/>
    <w:qFormat/>
    <w:pPr>
      <w:keepNext/>
      <w:keepLines/>
      <w:spacing w:before="240" w:after="64" w:line="320" w:lineRule="auto"/>
      <w:outlineLvl w:val="5"/>
    </w:pPr>
    <w:rPr>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szCs w:val="24"/>
    </w:rPr>
  </w:style>
  <w:style w:type="paragraph" w:styleId="Heading9">
    <w:name w:val="heading 9"/>
    <w:basedOn w:val="Normal"/>
    <w:next w:val="Normal"/>
    <w:qFormat/>
    <w:pPr>
      <w:keepNext/>
      <w:keepLines/>
      <w:spacing w:before="240" w:after="64" w:line="320" w:lineRule="auto"/>
      <w:outlineLvl w:val="8"/>
    </w:pPr>
    <w:rPr>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qFormat/>
    <w:rPr>
      <w:sz w:val="16"/>
      <w:szCs w:val="16"/>
    </w:rPr>
  </w:style>
  <w:style w:type="paragraph" w:styleId="BlockText">
    <w:name w:val="Block Text"/>
    <w:basedOn w:val="Normal"/>
    <w:qFormat/>
    <w:pPr>
      <w:spacing w:after="120"/>
      <w:ind w:leftChars="700" w:left="1440" w:rightChars="700" w:right="1440"/>
    </w:pPr>
  </w:style>
  <w:style w:type="paragraph" w:styleId="BodyText">
    <w:name w:val="Body Text"/>
    <w:basedOn w:val="Normal"/>
    <w:qFormat/>
    <w:pPr>
      <w:spacing w:after="120"/>
    </w:pPr>
  </w:style>
  <w:style w:type="paragraph" w:styleId="BodyText2">
    <w:name w:val="Body Text 2"/>
    <w:basedOn w:val="Normal"/>
    <w:qFormat/>
    <w:pPr>
      <w:spacing w:after="120" w:line="480" w:lineRule="auto"/>
    </w:pPr>
  </w:style>
  <w:style w:type="paragraph" w:styleId="BodyText3">
    <w:name w:val="Body Text 3"/>
    <w:basedOn w:val="Normal"/>
    <w:qFormat/>
    <w:pPr>
      <w:spacing w:after="120"/>
    </w:pPr>
    <w:rPr>
      <w:sz w:val="16"/>
      <w:szCs w:val="16"/>
    </w:rPr>
  </w:style>
  <w:style w:type="paragraph" w:styleId="BodyTextFirstIndent">
    <w:name w:val="Body Text First Indent"/>
    <w:basedOn w:val="BodyText"/>
    <w:qFormat/>
    <w:pPr>
      <w:ind w:firstLineChars="100" w:firstLine="420"/>
    </w:pPr>
  </w:style>
  <w:style w:type="paragraph" w:styleId="BodyTextIndent">
    <w:name w:val="Body Text Indent"/>
    <w:basedOn w:val="Normal"/>
    <w:qFormat/>
    <w:pPr>
      <w:spacing w:after="120"/>
      <w:ind w:leftChars="200" w:left="420"/>
    </w:pPr>
  </w:style>
  <w:style w:type="paragraph" w:styleId="BodyTextFirstIndent2">
    <w:name w:val="Body Text First Indent 2"/>
    <w:basedOn w:val="BodyTextIndent"/>
    <w:qFormat/>
    <w:pPr>
      <w:ind w:firstLineChars="200" w:firstLine="420"/>
    </w:pPr>
  </w:style>
  <w:style w:type="paragraph" w:styleId="BodyTextIndent2">
    <w:name w:val="Body Text Indent 2"/>
    <w:basedOn w:val="Normal"/>
    <w:qFormat/>
    <w:pPr>
      <w:spacing w:after="120" w:line="480" w:lineRule="auto"/>
      <w:ind w:leftChars="200" w:left="420"/>
    </w:pPr>
  </w:style>
  <w:style w:type="paragraph" w:styleId="BodyTextIndent3">
    <w:name w:val="Body Text Indent 3"/>
    <w:basedOn w:val="Normal"/>
    <w:qFormat/>
    <w:pPr>
      <w:spacing w:after="120"/>
      <w:ind w:leftChars="200" w:left="420"/>
    </w:pPr>
    <w:rPr>
      <w:sz w:val="16"/>
      <w:szCs w:val="16"/>
    </w:rPr>
  </w:style>
  <w:style w:type="paragraph" w:styleId="Caption">
    <w:name w:val="caption"/>
    <w:basedOn w:val="Normal"/>
    <w:next w:val="Normal"/>
    <w:qFormat/>
    <w:rPr>
      <w:rFonts w:ascii="Arial" w:eastAsia="SimHei" w:hAnsi="Arial" w:cs="Arial"/>
      <w:sz w:val="20"/>
    </w:rPr>
  </w:style>
  <w:style w:type="paragraph" w:styleId="Closing">
    <w:name w:val="Closing"/>
    <w:basedOn w:val="Normal"/>
    <w:qFormat/>
    <w:pPr>
      <w:ind w:leftChars="2100" w:left="100"/>
    </w:pPr>
  </w:style>
  <w:style w:type="character" w:styleId="CommentReference">
    <w:name w:val="annotation reference"/>
    <w:basedOn w:val="DefaultParagraphFont"/>
    <w:qFormat/>
    <w:rPr>
      <w:sz w:val="21"/>
      <w:szCs w:val="21"/>
    </w:rPr>
  </w:style>
  <w:style w:type="paragraph" w:styleId="CommentText">
    <w:name w:val="annotation text"/>
    <w:basedOn w:val="Normal"/>
    <w:qFormat/>
    <w:pPr>
      <w:jc w:val="left"/>
    </w:pPr>
  </w:style>
  <w:style w:type="paragraph" w:styleId="CommentSubject">
    <w:name w:val="annotation subject"/>
    <w:basedOn w:val="CommentText"/>
    <w:next w:val="CommentText"/>
    <w:qFormat/>
    <w:rPr>
      <w:b/>
      <w:bCs/>
    </w:rPr>
  </w:style>
  <w:style w:type="paragraph" w:styleId="Date">
    <w:name w:val="Date"/>
    <w:basedOn w:val="Normal"/>
    <w:next w:val="Normal"/>
    <w:qFormat/>
    <w:pPr>
      <w:ind w:leftChars="2500" w:left="100"/>
    </w:pPr>
  </w:style>
  <w:style w:type="paragraph" w:styleId="DocumentMap">
    <w:name w:val="Document Map"/>
    <w:basedOn w:val="Normal"/>
    <w:qFormat/>
    <w:pPr>
      <w:shd w:val="clear" w:color="auto" w:fill="000080"/>
    </w:pPr>
  </w:style>
  <w:style w:type="paragraph" w:styleId="E-mailSignature">
    <w:name w:val="E-mail Signature"/>
    <w:basedOn w:val="Normal"/>
    <w:qFormat/>
  </w:style>
  <w:style w:type="character" w:styleId="Emphasis">
    <w:name w:val="Emphasis"/>
    <w:basedOn w:val="DefaultParagraphFont"/>
    <w:qFormat/>
    <w:rPr>
      <w:i/>
      <w:iCs/>
    </w:rPr>
  </w:style>
  <w:style w:type="character" w:styleId="EndnoteReference">
    <w:name w:val="endnote reference"/>
    <w:basedOn w:val="DefaultParagraphFont"/>
    <w:qFormat/>
    <w:rPr>
      <w:vertAlign w:val="superscript"/>
    </w:rPr>
  </w:style>
  <w:style w:type="paragraph" w:styleId="EndnoteText">
    <w:name w:val="endnote text"/>
    <w:basedOn w:val="Normal"/>
    <w:qFormat/>
    <w:pPr>
      <w:snapToGrid w:val="0"/>
      <w:jc w:val="left"/>
    </w:pPr>
  </w:style>
  <w:style w:type="paragraph" w:styleId="EnvelopeAddress">
    <w:name w:val="envelope address"/>
    <w:basedOn w:val="Normal"/>
    <w:qFormat/>
    <w:pPr>
      <w:framePr w:w="7920" w:h="1980" w:hRule="exact" w:hSpace="180" w:wrap="auto" w:hAnchor="page" w:xAlign="center" w:yAlign="bottom"/>
      <w:snapToGrid w:val="0"/>
      <w:ind w:leftChars="1400" w:left="100"/>
    </w:pPr>
    <w:rPr>
      <w:rFonts w:ascii="Arial" w:hAnsi="Arial" w:cs="Arial"/>
      <w:szCs w:val="24"/>
    </w:rPr>
  </w:style>
  <w:style w:type="paragraph" w:styleId="EnvelopeReturn">
    <w:name w:val="envelope return"/>
    <w:basedOn w:val="Normal"/>
    <w:qFormat/>
    <w:pPr>
      <w:snapToGrid w:val="0"/>
    </w:pPr>
    <w:rPr>
      <w:rFonts w:ascii="Arial" w:hAnsi="Arial" w:cs="Arial"/>
    </w:rPr>
  </w:style>
  <w:style w:type="character" w:styleId="FollowedHyperlink">
    <w:name w:val="FollowedHyperlink"/>
    <w:qFormat/>
    <w:rPr>
      <w:color w:val="96607D"/>
      <w:u w:val="single"/>
    </w:rPr>
  </w:style>
  <w:style w:type="paragraph" w:styleId="Footer">
    <w:name w:val="footer"/>
    <w:basedOn w:val="Normal"/>
    <w:qFormat/>
    <w:pPr>
      <w:tabs>
        <w:tab w:val="center" w:pos="4153"/>
        <w:tab w:val="right" w:pos="8306"/>
      </w:tabs>
      <w:snapToGrid w:val="0"/>
      <w:jc w:val="left"/>
    </w:pPr>
    <w:rPr>
      <w:sz w:val="18"/>
      <w:szCs w:val="18"/>
    </w:rPr>
  </w:style>
  <w:style w:type="character" w:styleId="FootnoteReference">
    <w:name w:val="footnote reference"/>
    <w:basedOn w:val="DefaultParagraphFont"/>
    <w:qFormat/>
    <w:rPr>
      <w:vertAlign w:val="superscript"/>
    </w:rPr>
  </w:style>
  <w:style w:type="paragraph" w:styleId="FootnoteText">
    <w:name w:val="footnote text"/>
    <w:basedOn w:val="Normal"/>
    <w:qFormat/>
    <w:pPr>
      <w:snapToGrid w:val="0"/>
      <w:jc w:val="left"/>
    </w:pPr>
    <w:rPr>
      <w:sz w:val="18"/>
      <w:szCs w:val="18"/>
    </w:rPr>
  </w:style>
  <w:style w:type="paragraph" w:styleId="Header">
    <w:name w:val="header"/>
    <w:basedOn w:val="Normal"/>
    <w:qFormat/>
    <w:pPr>
      <w:tabs>
        <w:tab w:val="center" w:pos="4153"/>
        <w:tab w:val="right" w:pos="8306"/>
      </w:tabs>
      <w:snapToGrid w:val="0"/>
    </w:pPr>
    <w:rPr>
      <w:sz w:val="18"/>
      <w:szCs w:val="18"/>
    </w:rPr>
  </w:style>
  <w:style w:type="character" w:styleId="HTMLAcronym">
    <w:name w:val="HTML Acronym"/>
    <w:basedOn w:val="DefaultParagraphFont"/>
    <w:qFormat/>
  </w:style>
  <w:style w:type="paragraph" w:styleId="HTMLAddress">
    <w:name w:val="HTML Address"/>
    <w:basedOn w:val="Normal"/>
    <w:qFormat/>
    <w:rPr>
      <w:i/>
      <w:iCs/>
    </w:rPr>
  </w:style>
  <w:style w:type="character" w:styleId="HTMLCite">
    <w:name w:val="HTML Cite"/>
    <w:basedOn w:val="DefaultParagraphFont"/>
    <w:qFormat/>
    <w:rPr>
      <w:i/>
      <w:iCs/>
    </w:rPr>
  </w:style>
  <w:style w:type="character" w:styleId="HTMLCode">
    <w:name w:val="HTML Code"/>
    <w:basedOn w:val="DefaultParagraphFont"/>
    <w:qFormat/>
    <w:rPr>
      <w:rFonts w:ascii="Courier New" w:hAnsi="Courier New" w:cs="Courier New"/>
      <w:sz w:val="20"/>
      <w:szCs w:val="20"/>
    </w:rPr>
  </w:style>
  <w:style w:type="character" w:styleId="HTMLDefinition">
    <w:name w:val="HTML Definition"/>
    <w:basedOn w:val="DefaultParagraphFont"/>
    <w:qFormat/>
    <w:rPr>
      <w:i/>
      <w:iCs/>
    </w:rPr>
  </w:style>
  <w:style w:type="character" w:styleId="HTMLKeyboard">
    <w:name w:val="HTML Keyboard"/>
    <w:basedOn w:val="DefaultParagraphFont"/>
    <w:qFormat/>
    <w:rPr>
      <w:rFonts w:ascii="Courier New" w:hAnsi="Courier New" w:cs="Courier New"/>
      <w:sz w:val="20"/>
      <w:szCs w:val="20"/>
    </w:rPr>
  </w:style>
  <w:style w:type="paragraph" w:styleId="HTMLPreformatted">
    <w:name w:val="HTML Preformatted"/>
    <w:basedOn w:val="Normal"/>
    <w:qFormat/>
    <w:rPr>
      <w:rFonts w:ascii="Courier New" w:hAnsi="Courier New" w:cs="Courier New"/>
      <w:sz w:val="20"/>
    </w:rPr>
  </w:style>
  <w:style w:type="character" w:styleId="HTMLSample">
    <w:name w:val="HTML Sample"/>
    <w:basedOn w:val="DefaultParagraphFont"/>
    <w:qFormat/>
    <w:rPr>
      <w:rFonts w:ascii="Courier New" w:hAnsi="Courier New" w:cs="Courier New"/>
    </w:rPr>
  </w:style>
  <w:style w:type="character" w:styleId="HTMLTypewriter">
    <w:name w:val="HTML Typewriter"/>
    <w:basedOn w:val="DefaultParagraphFont"/>
    <w:qFormat/>
    <w:rPr>
      <w:rFonts w:ascii="Courier New" w:hAnsi="Courier New" w:cs="Courier New"/>
      <w:sz w:val="20"/>
      <w:szCs w:val="20"/>
    </w:rPr>
  </w:style>
  <w:style w:type="character" w:styleId="HTMLVariable">
    <w:name w:val="HTML Variable"/>
    <w:basedOn w:val="DefaultParagraphFont"/>
    <w:qFormat/>
    <w:rPr>
      <w:i/>
      <w:iCs/>
    </w:rPr>
  </w:style>
  <w:style w:type="character" w:styleId="Hyperlink">
    <w:name w:val="Hyperlink"/>
    <w:qFormat/>
    <w:rPr>
      <w:color w:val="467886"/>
      <w:u w:val="single"/>
    </w:rPr>
  </w:style>
  <w:style w:type="paragraph" w:styleId="Index1">
    <w:name w:val="index 1"/>
    <w:basedOn w:val="Normal"/>
    <w:next w:val="Normal"/>
    <w:qFormat/>
  </w:style>
  <w:style w:type="paragraph" w:styleId="Index2">
    <w:name w:val="index 2"/>
    <w:basedOn w:val="Normal"/>
    <w:next w:val="Normal"/>
    <w:qFormat/>
    <w:pPr>
      <w:ind w:leftChars="200" w:left="200"/>
    </w:pPr>
  </w:style>
  <w:style w:type="paragraph" w:styleId="Index3">
    <w:name w:val="index 3"/>
    <w:basedOn w:val="Normal"/>
    <w:next w:val="Normal"/>
    <w:qFormat/>
    <w:pPr>
      <w:ind w:leftChars="400" w:left="400"/>
    </w:pPr>
  </w:style>
  <w:style w:type="paragraph" w:styleId="Index4">
    <w:name w:val="index 4"/>
    <w:basedOn w:val="Normal"/>
    <w:next w:val="Normal"/>
    <w:qFormat/>
    <w:pPr>
      <w:ind w:leftChars="600" w:left="600"/>
    </w:pPr>
  </w:style>
  <w:style w:type="paragraph" w:styleId="Index5">
    <w:name w:val="index 5"/>
    <w:basedOn w:val="Normal"/>
    <w:next w:val="Normal"/>
    <w:qFormat/>
    <w:pPr>
      <w:ind w:leftChars="800" w:left="800"/>
    </w:pPr>
  </w:style>
  <w:style w:type="paragraph" w:styleId="Index6">
    <w:name w:val="index 6"/>
    <w:basedOn w:val="Normal"/>
    <w:next w:val="Normal"/>
    <w:qFormat/>
    <w:pPr>
      <w:ind w:leftChars="1000" w:left="1000"/>
    </w:pPr>
  </w:style>
  <w:style w:type="paragraph" w:styleId="Index7">
    <w:name w:val="index 7"/>
    <w:basedOn w:val="Normal"/>
    <w:next w:val="Normal"/>
    <w:qFormat/>
    <w:pPr>
      <w:ind w:leftChars="1200" w:left="1200"/>
    </w:pPr>
  </w:style>
  <w:style w:type="paragraph" w:styleId="Index8">
    <w:name w:val="index 8"/>
    <w:basedOn w:val="Normal"/>
    <w:next w:val="Normal"/>
    <w:qFormat/>
    <w:pPr>
      <w:ind w:leftChars="1400" w:left="1400"/>
    </w:pPr>
  </w:style>
  <w:style w:type="paragraph" w:styleId="Index9">
    <w:name w:val="index 9"/>
    <w:basedOn w:val="Normal"/>
    <w:next w:val="Normal"/>
    <w:qFormat/>
    <w:pPr>
      <w:ind w:leftChars="1600" w:left="1600"/>
    </w:pPr>
  </w:style>
  <w:style w:type="paragraph" w:styleId="IndexHeading">
    <w:name w:val="index heading"/>
    <w:basedOn w:val="Normal"/>
    <w:next w:val="Index1"/>
    <w:qFormat/>
    <w:rPr>
      <w:rFonts w:ascii="Arial" w:hAnsi="Arial" w:cs="Arial"/>
      <w:b/>
      <w:bCs/>
    </w:rPr>
  </w:style>
  <w:style w:type="character" w:styleId="LineNumber">
    <w:name w:val="line number"/>
    <w:basedOn w:val="DefaultParagraphFont"/>
    <w:qFormat/>
  </w:style>
  <w:style w:type="paragraph" w:styleId="List">
    <w:name w:val="List"/>
    <w:basedOn w:val="Normal"/>
    <w:qFormat/>
    <w:pPr>
      <w:ind w:left="200" w:hangingChars="200" w:hanging="200"/>
    </w:pPr>
  </w:style>
  <w:style w:type="paragraph" w:styleId="List2">
    <w:name w:val="List 2"/>
    <w:basedOn w:val="Normal"/>
    <w:qFormat/>
    <w:pPr>
      <w:ind w:leftChars="200" w:left="100" w:hangingChars="200" w:hanging="200"/>
    </w:pPr>
  </w:style>
  <w:style w:type="paragraph" w:styleId="List3">
    <w:name w:val="List 3"/>
    <w:basedOn w:val="Normal"/>
    <w:qFormat/>
    <w:pPr>
      <w:ind w:leftChars="400" w:left="100" w:hangingChars="200" w:hanging="200"/>
    </w:pPr>
  </w:style>
  <w:style w:type="paragraph" w:styleId="List4">
    <w:name w:val="List 4"/>
    <w:basedOn w:val="Normal"/>
    <w:qFormat/>
    <w:pPr>
      <w:ind w:leftChars="600" w:left="100" w:hangingChars="200" w:hanging="200"/>
    </w:pPr>
  </w:style>
  <w:style w:type="paragraph" w:styleId="List5">
    <w:name w:val="List 5"/>
    <w:basedOn w:val="Normal"/>
    <w:qFormat/>
    <w:pPr>
      <w:ind w:leftChars="800" w:left="100" w:hangingChars="200" w:hanging="200"/>
    </w:pPr>
  </w:style>
  <w:style w:type="paragraph" w:styleId="ListBullet">
    <w:name w:val="List Bullet"/>
    <w:basedOn w:val="Normal"/>
    <w:qFormat/>
    <w:pPr>
      <w:numPr>
        <w:numId w:val="1"/>
      </w:numPr>
    </w:pPr>
  </w:style>
  <w:style w:type="paragraph" w:styleId="ListBullet2">
    <w:name w:val="List Bullet 2"/>
    <w:basedOn w:val="Normal"/>
    <w:qFormat/>
    <w:pPr>
      <w:numPr>
        <w:numId w:val="2"/>
      </w:numPr>
    </w:pPr>
  </w:style>
  <w:style w:type="paragraph" w:styleId="ListBullet3">
    <w:name w:val="List Bullet 3"/>
    <w:basedOn w:val="Normal"/>
    <w:qFormat/>
    <w:pPr>
      <w:numPr>
        <w:numId w:val="3"/>
      </w:numPr>
    </w:pPr>
  </w:style>
  <w:style w:type="paragraph" w:styleId="ListBullet4">
    <w:name w:val="List Bullet 4"/>
    <w:basedOn w:val="Normal"/>
    <w:qFormat/>
    <w:pPr>
      <w:numPr>
        <w:numId w:val="4"/>
      </w:numPr>
    </w:pPr>
  </w:style>
  <w:style w:type="paragraph" w:styleId="ListBullet5">
    <w:name w:val="List Bullet 5"/>
    <w:basedOn w:val="Normal"/>
    <w:qFormat/>
    <w:pPr>
      <w:numPr>
        <w:numId w:val="5"/>
      </w:numPr>
    </w:pPr>
  </w:style>
  <w:style w:type="paragraph" w:styleId="ListContinue">
    <w:name w:val="List Continue"/>
    <w:basedOn w:val="Normal"/>
    <w:qFormat/>
    <w:pPr>
      <w:spacing w:after="120"/>
      <w:ind w:leftChars="200" w:left="420"/>
    </w:pPr>
  </w:style>
  <w:style w:type="paragraph" w:styleId="ListContinue2">
    <w:name w:val="List Continue 2"/>
    <w:basedOn w:val="Normal"/>
    <w:qFormat/>
    <w:pPr>
      <w:spacing w:after="120"/>
      <w:ind w:leftChars="400" w:left="840"/>
    </w:pPr>
  </w:style>
  <w:style w:type="paragraph" w:styleId="ListContinue3">
    <w:name w:val="List Continue 3"/>
    <w:basedOn w:val="Normal"/>
    <w:qFormat/>
    <w:pPr>
      <w:spacing w:after="120"/>
      <w:ind w:leftChars="600" w:left="1260"/>
    </w:pPr>
  </w:style>
  <w:style w:type="paragraph" w:styleId="ListContinue4">
    <w:name w:val="List Continue 4"/>
    <w:basedOn w:val="Normal"/>
    <w:qFormat/>
    <w:pPr>
      <w:spacing w:after="120"/>
      <w:ind w:leftChars="800" w:left="1680"/>
    </w:pPr>
  </w:style>
  <w:style w:type="paragraph" w:styleId="ListContinue5">
    <w:name w:val="List Continue 5"/>
    <w:basedOn w:val="Normal"/>
    <w:qFormat/>
    <w:pPr>
      <w:spacing w:after="120"/>
      <w:ind w:leftChars="1000" w:left="2100"/>
    </w:pPr>
  </w:style>
  <w:style w:type="paragraph" w:styleId="ListNumber">
    <w:name w:val="List Number"/>
    <w:basedOn w:val="Normal"/>
    <w:qFormat/>
    <w:pPr>
      <w:numPr>
        <w:numId w:val="6"/>
      </w:numPr>
    </w:pPr>
  </w:style>
  <w:style w:type="paragraph" w:styleId="ListNumber2">
    <w:name w:val="List Number 2"/>
    <w:basedOn w:val="Normal"/>
    <w:qFormat/>
    <w:pPr>
      <w:numPr>
        <w:numId w:val="7"/>
      </w:numPr>
    </w:pPr>
  </w:style>
  <w:style w:type="paragraph" w:styleId="ListNumber3">
    <w:name w:val="List Number 3"/>
    <w:basedOn w:val="Normal"/>
    <w:pPr>
      <w:numPr>
        <w:numId w:val="8"/>
      </w:numPr>
    </w:pPr>
  </w:style>
  <w:style w:type="paragraph" w:styleId="ListNumber4">
    <w:name w:val="List Number 4"/>
    <w:basedOn w:val="Normal"/>
    <w:qFormat/>
    <w:pPr>
      <w:numPr>
        <w:numId w:val="9"/>
      </w:numPr>
    </w:pPr>
  </w:style>
  <w:style w:type="paragraph" w:styleId="ListNumber5">
    <w:name w:val="List Number 5"/>
    <w:basedOn w:val="Normal"/>
    <w:qFormat/>
    <w:pPr>
      <w:numPr>
        <w:numId w:val="10"/>
      </w:numPr>
    </w:pPr>
  </w:style>
  <w:style w:type="paragraph" w:styleId="MacroText">
    <w:name w:val="macro"/>
    <w:qFormat/>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eastAsia="DengXian" w:hAnsi="Courier New" w:cs="Courier New"/>
      <w:kern w:val="2"/>
      <w:sz w:val="24"/>
      <w:szCs w:val="24"/>
      <w:lang w:val="en-US" w:eastAsia="zh-CN"/>
    </w:rPr>
  </w:style>
  <w:style w:type="paragraph" w:styleId="MessageHeader">
    <w:name w:val="Message Header"/>
    <w:basedOn w:val="Normal"/>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Arial" w:hAnsi="Arial" w:cs="Arial"/>
      <w:szCs w:val="24"/>
    </w:rPr>
  </w:style>
  <w:style w:type="paragraph" w:styleId="NormalWeb">
    <w:name w:val="Normal (Web)"/>
    <w:basedOn w:val="Normal"/>
    <w:qFormat/>
    <w:rPr>
      <w:szCs w:val="24"/>
    </w:rPr>
  </w:style>
  <w:style w:type="paragraph" w:styleId="NormalIndent">
    <w:name w:val="Normal Indent"/>
    <w:basedOn w:val="Normal"/>
    <w:qFormat/>
    <w:pPr>
      <w:ind w:firstLineChars="200" w:firstLine="420"/>
    </w:pPr>
  </w:style>
  <w:style w:type="paragraph" w:styleId="NoteHeading">
    <w:name w:val="Note Heading"/>
    <w:basedOn w:val="Normal"/>
    <w:next w:val="Normal"/>
    <w:qFormat/>
    <w:pPr>
      <w:jc w:val="center"/>
    </w:pPr>
  </w:style>
  <w:style w:type="character" w:styleId="PageNumber">
    <w:name w:val="page number"/>
    <w:basedOn w:val="DefaultParagraphFont"/>
    <w:qFormat/>
  </w:style>
  <w:style w:type="paragraph" w:styleId="PlainText">
    <w:name w:val="Plain Text"/>
    <w:basedOn w:val="Normal"/>
    <w:qFormat/>
    <w:rPr>
      <w:rFonts w:ascii="SimSun" w:hAnsi="Courier New" w:cs="Courier New"/>
      <w:szCs w:val="21"/>
    </w:rPr>
  </w:style>
  <w:style w:type="paragraph" w:styleId="Salutation">
    <w:name w:val="Salutation"/>
    <w:basedOn w:val="Normal"/>
    <w:next w:val="Normal"/>
    <w:qFormat/>
  </w:style>
  <w:style w:type="paragraph" w:styleId="Signature">
    <w:name w:val="Signature"/>
    <w:basedOn w:val="Normal"/>
    <w:qFormat/>
    <w:pPr>
      <w:ind w:leftChars="2100" w:left="100"/>
    </w:pPr>
  </w:style>
  <w:style w:type="character" w:styleId="Strong">
    <w:name w:val="Strong"/>
    <w:basedOn w:val="DefaultParagraphFont"/>
    <w:qFormat/>
    <w:rPr>
      <w:b/>
      <w:bCs/>
    </w:rPr>
  </w:style>
  <w:style w:type="paragraph" w:styleId="Subtitle">
    <w:name w:val="Subtitle"/>
    <w:basedOn w:val="Normal"/>
    <w:uiPriority w:val="11"/>
    <w:qFormat/>
    <w:pPr>
      <w:spacing w:before="240" w:after="60" w:line="312" w:lineRule="auto"/>
      <w:jc w:val="center"/>
      <w:outlineLvl w:val="1"/>
    </w:pPr>
    <w:rPr>
      <w:rFonts w:ascii="Arial" w:hAnsi="Arial" w:cs="Arial"/>
      <w:b/>
      <w:bCs/>
      <w:kern w:val="28"/>
      <w:sz w:val="32"/>
      <w:szCs w:val="32"/>
    </w:rPr>
  </w:style>
  <w:style w:type="table" w:styleId="Table3Deffects1">
    <w:name w:val="Table 3D effects 1"/>
    <w:basedOn w:val="TableNormal"/>
    <w:qFormat/>
    <w:pPr>
      <w:widowControl w:val="0"/>
      <w:jc w:val="both"/>
    </w:pPr>
    <w:tblPr>
      <w:shd w:val="solid" w:color="C0C0C0" w:fill="FFFFFF"/>
    </w:tblPr>
    <w:tcPr>
      <w:shd w:val="solid" w:color="C0C0C0" w:fill="FFFFFF"/>
    </w:tcPr>
    <w:tblStylePr w:type="firstRow">
      <w:rPr>
        <w:b/>
        <w:bCs/>
        <w:color w:val="800080"/>
      </w:rPr>
      <w:tblPr/>
      <w:tcPr>
        <w:tcBorders>
          <w:left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bottom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left w:val="nil"/>
          <w:right w:val="nil"/>
          <w:tl2br w:val="nil"/>
          <w:tr2bl w:val="nil"/>
        </w:tcBorders>
      </w:tcPr>
    </w:tblStylePr>
    <w:tblStylePr w:type="seCell">
      <w:tblPr/>
      <w:tcPr>
        <w:tcBorders>
          <w:top w:val="nil"/>
          <w:bottom w:val="nil"/>
          <w:tl2br w:val="nil"/>
          <w:tr2bl w:val="nil"/>
        </w:tcBorders>
      </w:tcPr>
    </w:tblStylePr>
    <w:tblStylePr w:type="swCell">
      <w:rPr>
        <w:color w:val="000080"/>
      </w:rPr>
      <w:tblPr/>
      <w:tcPr>
        <w:tcBorders>
          <w:top w:val="nil"/>
          <w:right w:val="nil"/>
          <w:tl2br w:val="nil"/>
          <w:tr2bl w:val="nil"/>
        </w:tcBorders>
      </w:tcPr>
    </w:tblStylePr>
  </w:style>
  <w:style w:type="table" w:styleId="Table3Deffects2">
    <w:name w:val="Table 3D effects 2"/>
    <w:basedOn w:val="TableNormal"/>
    <w:qFormat/>
    <w:pPr>
      <w:widowControl w:val="0"/>
      <w:jc w:val="both"/>
    </w:pPr>
    <w:tblPr>
      <w:tblStyleRowBandSize w:val="1"/>
      <w:shd w:val="solid" w:color="C0C0C0" w:fill="FFFFFF"/>
    </w:tblPr>
    <w:tcPr>
      <w:shd w:val="solid" w:color="C0C0C0" w:fill="FFFFFF"/>
    </w:tcPr>
    <w:tblStylePr w:type="firstRow">
      <w:rPr>
        <w:b/>
        <w:bCs/>
      </w:rPr>
      <w:tblPr/>
      <w:tcPr>
        <w:tcBorders>
          <w:tl2br w:val="nil"/>
          <w:tr2bl w:val="nil"/>
        </w:tcBorders>
      </w:tcPr>
    </w:tblStylePr>
    <w:tblStylePr w:type="firstCol">
      <w:tblPr/>
      <w:tcPr>
        <w:tcBorders>
          <w:top w:val="nil"/>
          <w:left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Horz">
      <w:tblPr/>
      <w:tcPr>
        <w:tcBorders>
          <w:top w:val="single" w:sz="6" w:space="0" w:color="808080"/>
          <w:left w:val="single" w:sz="6" w:space="0" w:color="FFFFFF"/>
          <w:tl2br w:val="nil"/>
          <w:tr2bl w:val="nil"/>
        </w:tcBorders>
      </w:tcPr>
    </w:tblStylePr>
    <w:tblStylePr w:type="swCell">
      <w:rPr>
        <w:b/>
        <w:bCs/>
      </w:rPr>
      <w:tblPr/>
      <w:tcPr>
        <w:tcBorders>
          <w:tl2br w:val="nil"/>
          <w:tr2bl w:val="nil"/>
        </w:tcBorders>
      </w:tcPr>
    </w:tblStylePr>
  </w:style>
  <w:style w:type="table" w:styleId="Table3Deffects3">
    <w:name w:val="Table 3D effects 3"/>
    <w:basedOn w:val="TableNormal"/>
    <w:qFormat/>
    <w:pPr>
      <w:widowControl w:val="0"/>
      <w:jc w:val="both"/>
    </w:pPr>
    <w:tblPr>
      <w:tblStyleRowBandSize w:val="1"/>
      <w:tblStyleColBandSize w:val="1"/>
    </w:tblPr>
    <w:tblStylePr w:type="firstRow">
      <w:rPr>
        <w:b/>
        <w:bCs/>
      </w:rPr>
      <w:tblPr/>
      <w:tcPr>
        <w:tcBorders>
          <w:tl2br w:val="nil"/>
          <w:tr2bl w:val="nil"/>
        </w:tcBorders>
      </w:tcPr>
    </w:tblStylePr>
    <w:tblStylePr w:type="firstCol">
      <w:tblPr/>
      <w:tcPr>
        <w:tcBorders>
          <w:top w:val="nil"/>
          <w:left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left w:val="single" w:sz="6" w:space="0" w:color="FFFFFF"/>
          <w:tl2br w:val="nil"/>
          <w:tr2bl w:val="nil"/>
        </w:tcBorders>
      </w:tcPr>
    </w:tblStylePr>
    <w:tblStylePr w:type="swCell">
      <w:rPr>
        <w:b/>
        <w:bCs/>
      </w:rPr>
      <w:tblPr/>
      <w:tcPr>
        <w:tcBorders>
          <w:tl2br w:val="nil"/>
          <w:tr2bl w:val="nil"/>
        </w:tcBorders>
      </w:tcPr>
    </w:tblStylePr>
  </w:style>
  <w:style w:type="table" w:styleId="TableClassic1">
    <w:name w:val="Table Classic 1"/>
    <w:basedOn w:val="TableNormal"/>
    <w:qFormat/>
    <w:pPr>
      <w:widowControl w:val="0"/>
      <w:jc w:val="both"/>
    </w:pPr>
    <w:tblPr>
      <w:tblBorders>
        <w:top w:val="single" w:sz="12" w:space="0" w:color="000000"/>
        <w:bottom w:val="single" w:sz="12" w:space="0" w:color="000000"/>
      </w:tblBorders>
    </w:tblPr>
    <w:tcPr>
      <w:shd w:val="clear" w:color="auto" w:fill="auto"/>
    </w:tcPr>
    <w:tblStylePr w:type="firstRow">
      <w:rPr>
        <w:i/>
        <w:iCs/>
      </w:rPr>
      <w:tblPr/>
      <w:tcPr>
        <w:tcBorders>
          <w:left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TableClassic2">
    <w:name w:val="Table Classic 2"/>
    <w:basedOn w:val="TableNormal"/>
    <w:qFormat/>
    <w:pPr>
      <w:widowControl w:val="0"/>
      <w:jc w:val="both"/>
    </w:pPr>
    <w:tblPr>
      <w:tblBorders>
        <w:top w:val="single" w:sz="12" w:space="0" w:color="000000"/>
        <w:bottom w:val="single" w:sz="12" w:space="0" w:color="000000"/>
      </w:tblBorders>
    </w:tblPr>
    <w:tcPr>
      <w:shd w:val="clear" w:color="auto" w:fill="auto"/>
    </w:tcPr>
    <w:tblStylePr w:type="firstRow">
      <w:rPr>
        <w:color w:val="FFFFFF"/>
      </w:rPr>
      <w:tblPr/>
      <w:tcPr>
        <w:tcBorders>
          <w:left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TableClassic3">
    <w:name w:val="Table Classic 3"/>
    <w:basedOn w:val="TableNormal"/>
    <w:qFormat/>
    <w:pPr>
      <w:widowControl w:val="0"/>
      <w:jc w:val="both"/>
    </w:pPr>
    <w:rPr>
      <w:color w:val="000080"/>
    </w:rPr>
    <w:tblPr>
      <w:tblBorders>
        <w:top w:val="single" w:sz="12" w:space="0" w:color="000000"/>
        <w:left w:val="single" w:sz="12" w:space="0" w:color="000000"/>
        <w:bottom w:val="single" w:sz="12" w:space="0" w:color="000000"/>
        <w:right w:val="single" w:sz="12" w:space="0" w:color="000000"/>
      </w:tblBorders>
      <w:shd w:val="solid" w:color="C0C0C0" w:fill="FFFFFF"/>
    </w:tblPr>
    <w:tcPr>
      <w:shd w:val="solid" w:color="C0C0C0" w:fill="FFFFFF"/>
    </w:tcPr>
    <w:tblStylePr w:type="firstRow">
      <w:rPr>
        <w:b/>
        <w:bCs/>
        <w:i/>
        <w:iCs/>
        <w:color w:val="FFFFFF"/>
      </w:rPr>
      <w:tblPr/>
      <w:tcPr>
        <w:tcBorders>
          <w:left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styleId="TableClassic4">
    <w:name w:val="Table Classic 4"/>
    <w:basedOn w:val="TableNormal"/>
    <w:qFormat/>
    <w:pPr>
      <w:widowControl w:val="0"/>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left w:val="single" w:sz="6" w:space="0" w:color="000000"/>
          <w:tl2br w:val="nil"/>
          <w:tr2bl w:val="nil"/>
        </w:tcBorders>
        <w:shd w:val="pct50" w:color="000080" w:fill="FFFFFF"/>
      </w:tcPr>
    </w:tblStylePr>
    <w:tblStylePr w:type="lastRow">
      <w:rPr>
        <w:color w:val="000080"/>
      </w:rPr>
      <w:tblPr/>
      <w:tcPr>
        <w:tcBorders>
          <w:left w:val="single" w:sz="6" w:space="0" w:color="00000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TableColorful1">
    <w:name w:val="Table Colorful 1"/>
    <w:basedOn w:val="TableNormal"/>
    <w:qFormat/>
    <w:pPr>
      <w:widowControl w:val="0"/>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shd w:val="solid" w:color="008080" w:fill="FFFFFF"/>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TableColorful2">
    <w:name w:val="Table Colorful 2"/>
    <w:basedOn w:val="TableNormal"/>
    <w:qFormat/>
    <w:pPr>
      <w:widowControl w:val="0"/>
      <w:jc w:val="both"/>
    </w:pPr>
    <w:tblPr>
      <w:tblBorders>
        <w:bottom w:val="single" w:sz="12" w:space="0" w:color="000000"/>
      </w:tblBorders>
      <w:shd w:val="pct20" w:color="FFFF00" w:fill="FFFFFF"/>
    </w:tblPr>
    <w:tcPr>
      <w:shd w:val="pct20" w:color="FFFF00" w:fill="FFFFFF"/>
    </w:tcPr>
    <w:tblStylePr w:type="firstRow">
      <w:rPr>
        <w:b/>
        <w:bCs/>
        <w:i/>
        <w:iCs/>
        <w:color w:val="FFFFFF"/>
      </w:rPr>
      <w:tblPr/>
      <w:tcPr>
        <w:tcBorders>
          <w:left w:val="single" w:sz="12" w:space="0" w:color="00000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TableColorful3">
    <w:name w:val="Table Colorful 3"/>
    <w:basedOn w:val="TableNormal"/>
    <w:qFormat/>
    <w:pPr>
      <w:widowControl w:val="0"/>
      <w:jc w:val="both"/>
    </w:pPr>
    <w:tblPr>
      <w:tblBorders>
        <w:top w:val="single" w:sz="18" w:space="0" w:color="000000"/>
        <w:left w:val="single" w:sz="18" w:space="0" w:color="000000"/>
        <w:bottom w:val="single" w:sz="18" w:space="0" w:color="000000"/>
        <w:right w:val="single" w:sz="18" w:space="0" w:color="000000"/>
        <w:insideH w:val="single" w:sz="6" w:space="0" w:color="C0C0C0"/>
      </w:tblBorders>
      <w:shd w:val="pct25" w:color="008080" w:fill="FFFFFF"/>
    </w:tblPr>
    <w:tcPr>
      <w:shd w:val="pct25" w:color="008080" w:fill="FFFFFF"/>
    </w:tcPr>
    <w:tblStylePr w:type="firstRow">
      <w:tblPr/>
      <w:tcPr>
        <w:tcBorders>
          <w:left w:val="single" w:sz="6" w:space="0" w:color="000000"/>
          <w:tl2br w:val="nil"/>
          <w:tr2bl w:val="nil"/>
        </w:tcBorders>
        <w:shd w:val="solid" w:color="008080" w:fill="FFFFFF"/>
      </w:tcPr>
    </w:tblStylePr>
    <w:tblStylePr w:type="firstCol">
      <w:tblPr/>
      <w:tcPr>
        <w:tcBorders>
          <w:bottom w:val="single" w:sz="36" w:space="0" w:color="000000"/>
          <w:right w:val="single" w:sz="6" w:space="0" w:color="00000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TableColumns1">
    <w:name w:val="Table Columns 1"/>
    <w:basedOn w:val="TableNormal"/>
    <w:qFormat/>
    <w:pPr>
      <w:widowControl w:val="0"/>
      <w:jc w:val="both"/>
    </w:pPr>
    <w:rPr>
      <w:b/>
      <w:bCs/>
    </w:rPr>
    <w:tblPr>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left w:val="double" w:sz="6" w:space="0" w:color="00000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Columns2">
    <w:name w:val="Table Columns 2"/>
    <w:basedOn w:val="TableNormal"/>
    <w:qFormat/>
    <w:pPr>
      <w:widowControl w:val="0"/>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Columns3">
    <w:name w:val="Table Columns 3"/>
    <w:basedOn w:val="TableNormal"/>
    <w:qFormat/>
    <w:pPr>
      <w:widowControl w:val="0"/>
      <w:jc w:val="both"/>
    </w:pPr>
    <w:rPr>
      <w:b/>
      <w:bCs/>
    </w:rPr>
    <w:tblPr>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sz="6" w:space="0" w:color="00008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TableColumns4">
    <w:name w:val="Table Columns 4"/>
    <w:basedOn w:val="TableNormal"/>
    <w:qFormat/>
    <w:pPr>
      <w:widowControl w:val="0"/>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qFormat/>
    <w:pPr>
      <w:widowControl w:val="0"/>
      <w:jc w:val="both"/>
    </w:pPr>
    <w:tblPr>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left w:val="single" w:sz="6" w:space="0" w:color="808080"/>
          <w:tl2br w:val="nil"/>
          <w:tr2bl w:val="nil"/>
        </w:tcBorders>
      </w:tcPr>
    </w:tblStylePr>
    <w:tblStylePr w:type="lastRow">
      <w:rPr>
        <w:b/>
        <w:bCs/>
      </w:rPr>
      <w:tblPr/>
      <w:tcPr>
        <w:tcBorders>
          <w:top w:val="single" w:sz="6" w:space="0" w:color="80808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qFormat/>
    <w:pPr>
      <w:widowControl w:val="0"/>
      <w:jc w:val="both"/>
    </w:pPr>
    <w:tblPr>
      <w:tblBorders>
        <w:insideH w:val="single" w:sz="18" w:space="0" w:color="FFFFFF"/>
        <w:insideV w:val="single" w:sz="18" w:space="0" w:color="FFFFFF"/>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TableElegant">
    <w:name w:val="Table Elegant"/>
    <w:basedOn w:val="TableNormal"/>
    <w:qFormat/>
    <w:pPr>
      <w:widowControl w:val="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styleId="TableGrid2">
    <w:name w:val="Table Grid 2"/>
    <w:basedOn w:val="TableNormal"/>
    <w:qFormat/>
    <w:pPr>
      <w:widowControl w:val="0"/>
      <w:jc w:val="both"/>
    </w:pPr>
    <w:tblPr>
      <w:tblBorders>
        <w:insideH w:val="single" w:sz="6" w:space="0" w:color="000000"/>
        <w:insideV w:val="single" w:sz="6" w:space="0" w:color="00000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TableGrid3">
    <w:name w:val="Table Grid 3"/>
    <w:basedOn w:val="TableNormal"/>
    <w:qFormat/>
    <w:pPr>
      <w:widowControl w:val="0"/>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left w:val="single" w:sz="6" w:space="0" w:color="00000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TableGrid4">
    <w:name w:val="Table Grid 4"/>
    <w:basedOn w:val="TableNormal"/>
    <w:qFormat/>
    <w:pPr>
      <w:widowControl w:val="0"/>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left w:val="single" w:sz="6" w:space="0" w:color="000000"/>
          <w:tl2br w:val="nil"/>
          <w:tr2bl w:val="nil"/>
        </w:tcBorders>
        <w:shd w:val="pct30" w:color="FFFF00" w:fill="FFFFFF"/>
      </w:tcPr>
    </w:tblStylePr>
    <w:tblStylePr w:type="lastRow">
      <w:rPr>
        <w:b/>
        <w:bCs/>
        <w:color w:val="auto"/>
      </w:rPr>
      <w:tblPr/>
      <w:tcPr>
        <w:tcBorders>
          <w:top w:val="single" w:sz="6" w:space="0" w:color="000000"/>
          <w:tl2br w:val="nil"/>
          <w:tr2bl w:val="nil"/>
        </w:tcBorders>
        <w:shd w:val="pct30" w:color="FFFF00" w:fill="FFFFFF"/>
      </w:tcPr>
    </w:tblStylePr>
    <w:tblStylePr w:type="lastCol">
      <w:rPr>
        <w:b/>
        <w:bCs/>
        <w:color w:val="auto"/>
      </w:rPr>
      <w:tblPr/>
      <w:tcPr>
        <w:tcBorders>
          <w:tl2br w:val="nil"/>
          <w:tr2bl w:val="nil"/>
        </w:tcBorders>
      </w:tcPr>
    </w:tblStylePr>
  </w:style>
  <w:style w:type="table" w:styleId="TableGrid5">
    <w:name w:val="Table Grid 5"/>
    <w:basedOn w:val="TableNormal"/>
    <w:qFormat/>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left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TableGrid6">
    <w:name w:val="Table Grid 6"/>
    <w:basedOn w:val="TableNormal"/>
    <w:qFormat/>
    <w:pPr>
      <w:widowControl w:val="0"/>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left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rPr>
        <w:b/>
        <w:bCs/>
      </w:rPr>
      <w:tblPr/>
      <w:tcPr>
        <w:tcBorders>
          <w:tl2br w:val="nil"/>
          <w:tr2bl w:val="nil"/>
        </w:tcBorders>
      </w:tcPr>
    </w:tblStylePr>
    <w:tblStylePr w:type="nwCell">
      <w:tblPr/>
      <w:tcPr>
        <w:tcBorders>
          <w:tl2br w:val="single" w:sz="6" w:space="0" w:color="000000"/>
          <w:tr2bl w:val="nil"/>
        </w:tcBorders>
      </w:tcPr>
    </w:tblStylePr>
  </w:style>
  <w:style w:type="table" w:styleId="TableGrid7">
    <w:name w:val="Table Grid 7"/>
    <w:basedOn w:val="TableNormal"/>
    <w:qFormat/>
    <w:pPr>
      <w:widowControl w:val="0"/>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left w:val="single" w:sz="12" w:space="0" w:color="000000"/>
          <w:tl2br w:val="nil"/>
          <w:tr2bl w:val="nil"/>
        </w:tcBorders>
      </w:tcPr>
    </w:tblStylePr>
    <w:tblStylePr w:type="lastRow">
      <w:rPr>
        <w:b w:val="0"/>
        <w:bCs w:val="0"/>
      </w:rPr>
      <w:tblPr/>
      <w:tcPr>
        <w:tcBorders>
          <w:top w:val="single" w:sz="6" w:space="0" w:color="00000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sz="6" w:space="0" w:color="000000"/>
          <w:tr2bl w:val="nil"/>
        </w:tcBorders>
      </w:tcPr>
    </w:tblStylePr>
  </w:style>
  <w:style w:type="table" w:styleId="TableGrid8">
    <w:name w:val="Table Grid 8"/>
    <w:basedOn w:val="TableNormal"/>
    <w:qFormat/>
    <w:pPr>
      <w:widowControl w:val="0"/>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TableList1">
    <w:name w:val="Table List 1"/>
    <w:basedOn w:val="TableNormal"/>
    <w:qFormat/>
    <w:pPr>
      <w:widowControl w:val="0"/>
      <w:jc w:val="both"/>
    </w:pPr>
    <w:tblPr>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left w:val="single" w:sz="6" w:space="0" w:color="000000"/>
          <w:tl2br w:val="nil"/>
          <w:tr2bl w:val="nil"/>
        </w:tcBorders>
        <w:shd w:val="solid" w:color="C0C0C0" w:fill="FFFFFF"/>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TableList2">
    <w:name w:val="Table List 2"/>
    <w:basedOn w:val="TableNormal"/>
    <w:qFormat/>
    <w:pPr>
      <w:widowControl w:val="0"/>
      <w:jc w:val="both"/>
    </w:pPr>
    <w:tblPr>
      <w:tblBorders>
        <w:bottom w:val="single" w:sz="12" w:space="0" w:color="808080"/>
      </w:tblBorders>
    </w:tblPr>
    <w:tblStylePr w:type="firstRow">
      <w:rPr>
        <w:b/>
        <w:bCs/>
        <w:color w:val="FFFFFF"/>
      </w:rPr>
      <w:tblPr/>
      <w:tcPr>
        <w:tcBorders>
          <w:left w:val="single" w:sz="6" w:space="0" w:color="000000"/>
          <w:tl2br w:val="nil"/>
          <w:tr2bl w:val="nil"/>
        </w:tcBorders>
        <w:shd w:val="pct75" w:color="008080" w:fill="008000"/>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TableList3">
    <w:name w:val="Table List 3"/>
    <w:basedOn w:val="TableNormal"/>
    <w:qFormat/>
    <w:pPr>
      <w:widowControl w:val="0"/>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left w:val="single" w:sz="12" w:space="0" w:color="000000"/>
          <w:tl2br w:val="nil"/>
          <w:tr2bl w:val="nil"/>
        </w:tcBorders>
      </w:tcPr>
    </w:tblStylePr>
    <w:tblStylePr w:type="lastRow">
      <w:tblPr/>
      <w:tcPr>
        <w:tcBorders>
          <w:top w:val="single" w:sz="12" w:space="0" w:color="000000"/>
          <w:tl2br w:val="nil"/>
          <w:tr2bl w:val="nil"/>
        </w:tcBorders>
      </w:tcPr>
    </w:tblStylePr>
    <w:tblStylePr w:type="swCell">
      <w:rPr>
        <w:i/>
        <w:iCs/>
        <w:color w:val="000080"/>
      </w:rPr>
      <w:tblPr/>
      <w:tcPr>
        <w:tcBorders>
          <w:tl2br w:val="nil"/>
          <w:tr2bl w:val="nil"/>
        </w:tcBorders>
      </w:tcPr>
    </w:tblStylePr>
  </w:style>
  <w:style w:type="table" w:styleId="TableList4">
    <w:name w:val="Table List 4"/>
    <w:basedOn w:val="TableNormal"/>
    <w:qFormat/>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left w:val="single" w:sz="12" w:space="0" w:color="000000"/>
          <w:tl2br w:val="nil"/>
          <w:tr2bl w:val="nil"/>
        </w:tcBorders>
        <w:shd w:val="solid" w:color="808080" w:fill="FFFFFF"/>
      </w:tcPr>
    </w:tblStylePr>
  </w:style>
  <w:style w:type="table" w:styleId="TableList5">
    <w:name w:val="Table List 5"/>
    <w:basedOn w:val="TableNormal"/>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left w:val="single" w:sz="12" w:space="0" w:color="000000"/>
          <w:tl2br w:val="nil"/>
          <w:tr2bl w:val="nil"/>
        </w:tcBorders>
      </w:tcPr>
    </w:tblStylePr>
    <w:tblStylePr w:type="firstCol">
      <w:rPr>
        <w:b/>
        <w:bCs/>
      </w:rPr>
      <w:tblPr/>
      <w:tcPr>
        <w:tcBorders>
          <w:tl2br w:val="nil"/>
          <w:tr2bl w:val="nil"/>
        </w:tcBorders>
      </w:tcPr>
    </w:tblStylePr>
  </w:style>
  <w:style w:type="table" w:styleId="TableList6">
    <w:name w:val="Table List 6"/>
    <w:basedOn w:val="TableNormal"/>
    <w:qFormat/>
    <w:pPr>
      <w:widowControl w:val="0"/>
      <w:jc w:val="both"/>
    </w:pPr>
    <w:tblPr>
      <w:tblBorders>
        <w:top w:val="single" w:sz="6" w:space="0" w:color="000000"/>
        <w:left w:val="single" w:sz="6" w:space="0" w:color="000000"/>
        <w:bottom w:val="single" w:sz="6" w:space="0" w:color="000000"/>
        <w:right w:val="single" w:sz="6" w:space="0" w:color="000000"/>
      </w:tblBorders>
      <w:shd w:val="pct50" w:color="000000" w:fill="FFFFFF"/>
    </w:tblPr>
    <w:tcPr>
      <w:shd w:val="pct50" w:color="000000" w:fill="FFFFFF"/>
    </w:tcPr>
    <w:tblStylePr w:type="firstRow">
      <w:rPr>
        <w:b/>
        <w:bCs/>
      </w:rPr>
      <w:tblPr/>
      <w:tcPr>
        <w:tcBorders>
          <w:left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tblStylePr w:type="nwCell">
      <w:tblPr/>
      <w:tcPr>
        <w:tcBorders>
          <w:tl2br w:val="single" w:sz="6" w:space="0" w:color="000000"/>
          <w:tr2bl w:val="nil"/>
        </w:tcBorders>
      </w:tcPr>
    </w:tblStylePr>
  </w:style>
  <w:style w:type="table" w:styleId="TableList7">
    <w:name w:val="Table List 7"/>
    <w:basedOn w:val="TableNormal"/>
    <w:qFormat/>
    <w:pPr>
      <w:widowControl w:val="0"/>
      <w:jc w:val="both"/>
    </w:pPr>
    <w:tblPr>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left w:val="single" w:sz="12" w:space="0" w:color="008000"/>
          <w:tl2br w:val="nil"/>
          <w:tr2bl w:val="nil"/>
        </w:tcBorders>
        <w:shd w:val="solid" w:color="C0C0C0" w:fill="FFFFFF"/>
      </w:tcPr>
    </w:tblStylePr>
    <w:tblStylePr w:type="lastRow">
      <w:rPr>
        <w:b/>
        <w:bCs/>
      </w:rPr>
      <w:tblPr/>
      <w:tcPr>
        <w:tcBorders>
          <w:top w:val="single" w:sz="12" w:space="0" w:color="008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TableList8">
    <w:name w:val="Table List 8"/>
    <w:basedOn w:val="TableNormal"/>
    <w:qFormat/>
    <w:pPr>
      <w:widowControl w:val="0"/>
      <w:jc w:val="both"/>
    </w:p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left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sz="6" w:space="0" w:color="auto"/>
          <w:tr2bl w:val="nil"/>
        </w:tcBorders>
      </w:tcPr>
    </w:tblStylePr>
  </w:style>
  <w:style w:type="paragraph" w:styleId="TableofAuthorities">
    <w:name w:val="table of authorities"/>
    <w:basedOn w:val="Normal"/>
    <w:next w:val="Normal"/>
    <w:qFormat/>
    <w:pPr>
      <w:ind w:leftChars="200" w:left="420"/>
    </w:pPr>
  </w:style>
  <w:style w:type="paragraph" w:styleId="TableofFigures">
    <w:name w:val="table of figures"/>
    <w:basedOn w:val="Normal"/>
    <w:next w:val="Normal"/>
    <w:qFormat/>
    <w:pPr>
      <w:ind w:leftChars="200" w:left="200" w:hangingChars="200" w:hanging="200"/>
    </w:pPr>
  </w:style>
  <w:style w:type="table" w:styleId="TableProfessional">
    <w:name w:val="Table Professional"/>
    <w:basedOn w:val="TableNormal"/>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TableSimple1">
    <w:name w:val="Table Simple 1"/>
    <w:basedOn w:val="TableNormal"/>
    <w:qFormat/>
    <w:pPr>
      <w:widowControl w:val="0"/>
      <w:jc w:val="both"/>
    </w:pPr>
    <w:tblPr>
      <w:tblBorders>
        <w:top w:val="single" w:sz="12" w:space="0" w:color="008000"/>
        <w:bottom w:val="single" w:sz="12" w:space="0" w:color="008000"/>
      </w:tblBorders>
    </w:tblPr>
    <w:tcPr>
      <w:shd w:val="clear" w:color="auto" w:fill="auto"/>
    </w:tcPr>
    <w:tblStylePr w:type="firstRow">
      <w:tblPr/>
      <w:tcPr>
        <w:tcBorders>
          <w:left w:val="single" w:sz="6" w:space="0" w:color="008000"/>
          <w:tl2br w:val="nil"/>
          <w:tr2bl w:val="nil"/>
        </w:tcBorders>
      </w:tcPr>
    </w:tblStylePr>
    <w:tblStylePr w:type="lastRow">
      <w:tblPr/>
      <w:tcPr>
        <w:tcBorders>
          <w:top w:val="single" w:sz="6" w:space="0" w:color="008000"/>
          <w:tl2br w:val="nil"/>
          <w:tr2bl w:val="nil"/>
        </w:tcBorders>
      </w:tcPr>
    </w:tblStylePr>
  </w:style>
  <w:style w:type="table" w:styleId="TableSimple2">
    <w:name w:val="Table Simple 2"/>
    <w:basedOn w:val="TableNormal"/>
    <w:qFormat/>
    <w:pPr>
      <w:widowControl w:val="0"/>
      <w:jc w:val="both"/>
    </w:pPr>
    <w:tblPr/>
    <w:tblStylePr w:type="firstRow">
      <w:rPr>
        <w:b/>
        <w:bCs/>
      </w:rPr>
      <w:tblPr/>
      <w:tcPr>
        <w:tcBorders>
          <w:left w:val="single" w:sz="12" w:space="0" w:color="000000"/>
          <w:tl2br w:val="nil"/>
          <w:tr2bl w:val="nil"/>
        </w:tcBorders>
      </w:tcPr>
    </w:tblStylePr>
    <w:tblStylePr w:type="lastRow">
      <w:rPr>
        <w:b/>
        <w:bCs/>
        <w:color w:val="auto"/>
      </w:rPr>
      <w:tblPr/>
      <w:tcPr>
        <w:tcBorders>
          <w:top w:val="single" w:sz="6" w:space="0" w:color="000000"/>
          <w:tl2br w:val="nil"/>
          <w:tr2bl w:val="nil"/>
        </w:tcBorders>
      </w:tcPr>
    </w:tblStylePr>
    <w:tblStylePr w:type="firstCol">
      <w:rPr>
        <w:b/>
        <w:bCs/>
      </w:rPr>
      <w:tblPr/>
      <w:tcPr>
        <w:tcBorders>
          <w:right w:val="single" w:sz="12" w:space="0" w:color="000000"/>
          <w:tl2br w:val="nil"/>
          <w:tr2bl w:val="nil"/>
        </w:tcBorders>
      </w:tcPr>
    </w:tblStylePr>
    <w:tblStylePr w:type="lastCol">
      <w:rPr>
        <w:b/>
        <w:bCs/>
      </w:rPr>
      <w:tblPr/>
      <w:tcPr>
        <w:tcBorders>
          <w:bottom w:val="single" w:sz="6" w:space="0" w:color="000000"/>
          <w:tl2br w:val="nil"/>
          <w:tr2bl w:val="nil"/>
        </w:tcBorders>
      </w:tcPr>
    </w:tblStylePr>
    <w:tblStylePr w:type="neCell">
      <w:rPr>
        <w:b/>
        <w:bCs/>
      </w:rPr>
      <w:tblPr/>
      <w:tcPr>
        <w:tcBorders>
          <w:bottom w:val="nil"/>
          <w:tl2br w:val="nil"/>
          <w:tr2bl w:val="nil"/>
        </w:tcBorders>
      </w:tcPr>
    </w:tblStylePr>
    <w:tblStylePr w:type="swCell">
      <w:rPr>
        <w:b/>
        <w:bCs/>
      </w:rPr>
      <w:tblPr/>
      <w:tcPr>
        <w:tcBorders>
          <w:top w:val="nil"/>
          <w:tl2br w:val="nil"/>
          <w:tr2bl w:val="nil"/>
        </w:tcBorders>
      </w:tcPr>
    </w:tblStylePr>
  </w:style>
  <w:style w:type="table" w:styleId="TableSimple3">
    <w:name w:val="Table Simple 3"/>
    <w:basedOn w:val="TableNormal"/>
    <w:qFormat/>
    <w:pPr>
      <w:widowControl w:val="0"/>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TableSubtle1">
    <w:name w:val="Table Subtle 1"/>
    <w:basedOn w:val="TableNormal"/>
    <w:qFormat/>
    <w:pPr>
      <w:widowControl w:val="0"/>
      <w:jc w:val="both"/>
    </w:pPr>
    <w:tblPr>
      <w:tblStyleRowBandSize w:val="1"/>
    </w:tblPr>
    <w:tblStylePr w:type="firstRow">
      <w:tblPr/>
      <w:tcPr>
        <w:tcBorders>
          <w:top w:val="single" w:sz="6" w:space="0" w:color="000000"/>
          <w:left w:val="single" w:sz="12" w:space="0" w:color="000000"/>
          <w:tl2br w:val="nil"/>
          <w:tr2bl w:val="nil"/>
        </w:tcBorders>
      </w:tcPr>
    </w:tblStylePr>
    <w:tblStylePr w:type="lastRow">
      <w:tblPr/>
      <w:tcPr>
        <w:tcBorders>
          <w:top w:val="single" w:sz="12" w:space="0" w:color="000000"/>
          <w:tl2br w:val="nil"/>
          <w:tr2bl w:val="nil"/>
        </w:tcBorders>
        <w:shd w:val="pct25" w:color="800080" w:fill="FFFFFF"/>
      </w:tcPr>
    </w:tblStylePr>
    <w:tblStylePr w:type="firstCol">
      <w:tblPr/>
      <w:tcPr>
        <w:tcBorders>
          <w:right w:val="single" w:sz="12" w:space="0" w:color="000000"/>
          <w:tl2br w:val="nil"/>
          <w:tr2bl w:val="nil"/>
        </w:tcBorders>
      </w:tcPr>
    </w:tblStylePr>
    <w:tblStylePr w:type="lastCol">
      <w:tblPr/>
      <w:tcPr>
        <w:tcBorders>
          <w:bottom w:val="single" w:sz="12" w:space="0" w:color="000000"/>
          <w:tl2br w:val="nil"/>
          <w:tr2bl w:val="nil"/>
        </w:tcBorders>
      </w:tcPr>
    </w:tblStylePr>
    <w:tblStylePr w:type="band1Horz">
      <w:tblPr/>
      <w:tcPr>
        <w:tcBorders>
          <w:left w:val="single" w:sz="6"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Subtle2">
    <w:name w:val="Table Subtle 2"/>
    <w:basedOn w:val="TableNormal"/>
    <w:qFormat/>
    <w:pPr>
      <w:widowControl w:val="0"/>
      <w:jc w:val="both"/>
    </w:pPr>
    <w:tblPr>
      <w:tblBorders>
        <w:left w:val="single" w:sz="6" w:space="0" w:color="000000"/>
        <w:right w:val="single" w:sz="6" w:space="0" w:color="000000"/>
      </w:tblBorders>
    </w:tblPr>
    <w:tblStylePr w:type="firstRow">
      <w:tblPr/>
      <w:tcPr>
        <w:tcBorders>
          <w:left w:val="single" w:sz="12" w:space="0" w:color="000000"/>
          <w:tl2br w:val="nil"/>
          <w:tr2bl w:val="nil"/>
        </w:tcBorders>
      </w:tcPr>
    </w:tblStylePr>
    <w:tblStylePr w:type="lastRow">
      <w:tblPr/>
      <w:tcPr>
        <w:tcBorders>
          <w:top w:val="single" w:sz="12" w:space="0" w:color="000000"/>
          <w:tl2br w:val="nil"/>
          <w:tr2bl w:val="nil"/>
        </w:tcBorders>
      </w:tcPr>
    </w:tblStylePr>
    <w:tblStylePr w:type="firstCol">
      <w:tblPr/>
      <w:tcPr>
        <w:tcBorders>
          <w:right w:val="single" w:sz="12" w:space="0" w:color="000000"/>
          <w:tl2br w:val="nil"/>
          <w:tr2bl w:val="nil"/>
        </w:tcBorders>
        <w:shd w:val="pct25" w:color="008000" w:fill="FFFFFF"/>
      </w:tcPr>
    </w:tblStylePr>
    <w:tblStylePr w:type="lastCol">
      <w:tblPr/>
      <w:tcPr>
        <w:tcBorders>
          <w:bottom w:val="single" w:sz="12"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Theme">
    <w:name w:val="Table Theme"/>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qFormat/>
    <w:pPr>
      <w:widowControl w:val="0"/>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TableWeb2">
    <w:name w:val="Table Web 2"/>
    <w:basedOn w:val="TableNormal"/>
    <w:qFormat/>
    <w:pPr>
      <w:widowControl w:val="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TableWeb3">
    <w:name w:val="Table Web 3"/>
    <w:basedOn w:val="TableNormal"/>
    <w:qFormat/>
    <w:pPr>
      <w:widowControl w:val="0"/>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paragraph" w:styleId="Title">
    <w:name w:val="Title"/>
    <w:basedOn w:val="Normal"/>
    <w:uiPriority w:val="10"/>
    <w:qFormat/>
    <w:pPr>
      <w:spacing w:before="240" w:after="60"/>
      <w:jc w:val="center"/>
      <w:outlineLvl w:val="0"/>
    </w:pPr>
    <w:rPr>
      <w:rFonts w:ascii="Arial" w:hAnsi="Arial" w:cs="Arial"/>
      <w:b/>
      <w:bCs/>
      <w:sz w:val="32"/>
      <w:szCs w:val="32"/>
    </w:rPr>
  </w:style>
  <w:style w:type="paragraph" w:styleId="TOAHeading">
    <w:name w:val="toa heading"/>
    <w:basedOn w:val="Normal"/>
    <w:next w:val="Normal"/>
    <w:qFormat/>
    <w:pPr>
      <w:spacing w:before="120"/>
    </w:pPr>
    <w:rPr>
      <w:rFonts w:ascii="Arial" w:hAnsi="Arial" w:cs="Arial"/>
      <w:szCs w:val="24"/>
    </w:rPr>
  </w:style>
  <w:style w:type="paragraph" w:styleId="TOC1">
    <w:name w:val="toc 1"/>
    <w:basedOn w:val="Normal"/>
    <w:next w:val="Normal"/>
    <w:qFormat/>
  </w:style>
  <w:style w:type="paragraph" w:styleId="TOC2">
    <w:name w:val="toc 2"/>
    <w:basedOn w:val="Normal"/>
    <w:next w:val="Normal"/>
    <w:qFormat/>
    <w:pPr>
      <w:ind w:leftChars="200" w:left="420"/>
    </w:pPr>
  </w:style>
  <w:style w:type="paragraph" w:styleId="TOC3">
    <w:name w:val="toc 3"/>
    <w:basedOn w:val="Normal"/>
    <w:next w:val="Normal"/>
    <w:qFormat/>
    <w:pPr>
      <w:ind w:leftChars="400" w:left="840"/>
    </w:pPr>
  </w:style>
  <w:style w:type="paragraph" w:styleId="TOC4">
    <w:name w:val="toc 4"/>
    <w:basedOn w:val="Normal"/>
    <w:next w:val="Normal"/>
    <w:qFormat/>
    <w:pPr>
      <w:ind w:leftChars="600" w:left="1260"/>
    </w:pPr>
  </w:style>
  <w:style w:type="paragraph" w:styleId="TOC5">
    <w:name w:val="toc 5"/>
    <w:basedOn w:val="Normal"/>
    <w:next w:val="Normal"/>
    <w:qFormat/>
    <w:pPr>
      <w:ind w:leftChars="800" w:left="1680"/>
    </w:pPr>
  </w:style>
  <w:style w:type="paragraph" w:styleId="TOC6">
    <w:name w:val="toc 6"/>
    <w:basedOn w:val="Normal"/>
    <w:next w:val="Normal"/>
    <w:qFormat/>
    <w:pPr>
      <w:ind w:leftChars="1000" w:left="2100"/>
    </w:pPr>
  </w:style>
  <w:style w:type="paragraph" w:styleId="TOC7">
    <w:name w:val="toc 7"/>
    <w:basedOn w:val="Normal"/>
    <w:next w:val="Normal"/>
    <w:qFormat/>
    <w:pPr>
      <w:ind w:leftChars="1200" w:left="2520"/>
    </w:pPr>
  </w:style>
  <w:style w:type="paragraph" w:styleId="TOC8">
    <w:name w:val="toc 8"/>
    <w:basedOn w:val="Normal"/>
    <w:next w:val="Normal"/>
    <w:qFormat/>
    <w:pPr>
      <w:ind w:leftChars="1400" w:left="2940"/>
    </w:pPr>
  </w:style>
  <w:style w:type="paragraph" w:styleId="TOC9">
    <w:name w:val="toc 9"/>
    <w:basedOn w:val="Normal"/>
    <w:next w:val="Normal"/>
    <w:qFormat/>
    <w:pPr>
      <w:ind w:leftChars="1600" w:left="3360"/>
    </w:pPr>
  </w:style>
  <w:style w:type="table" w:styleId="LightShading">
    <w:name w:val="Light Shading"/>
    <w:basedOn w:val="TableNormal"/>
    <w:uiPriority w:val="60"/>
    <w:qFormat/>
    <w:rPr>
      <w:color w:val="000000"/>
    </w:rPr>
    <w:tblPr>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single" w:sz="8" w:space="0" w:color="000000"/>
          <w:bottom w:val="nil"/>
          <w:right w:val="nil"/>
          <w:insideH w:val="nil"/>
          <w:insideV w:val="nil"/>
        </w:tcBorders>
      </w:tcPr>
    </w:tblStylePr>
    <w:tblStylePr w:type="lastRow">
      <w:pPr>
        <w:spacing w:before="0" w:after="0" w:line="240" w:lineRule="auto"/>
      </w:pPr>
      <w:rPr>
        <w:b/>
        <w:bCs/>
      </w:rPr>
      <w:tblPr/>
      <w:tcPr>
        <w:tcBorders>
          <w:top w:val="single" w:sz="8" w:space="0" w:color="000000"/>
          <w:left w:val="single" w:sz="8" w:space="0" w:color="00000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C0C0C0"/>
      </w:tcPr>
    </w:tblStylePr>
    <w:tblStylePr w:type="band1Horz">
      <w:tblPr/>
      <w:tcPr>
        <w:tcBorders>
          <w:bottom w:val="nil"/>
          <w:right w:val="nil"/>
          <w:insideH w:val="nil"/>
          <w:insideV w:val="nil"/>
        </w:tcBorders>
        <w:shd w:val="clear" w:color="auto" w:fill="C0C0C0"/>
      </w:tcPr>
    </w:tblStylePr>
  </w:style>
  <w:style w:type="table" w:styleId="LightShading-Accent1">
    <w:name w:val="Light Shading Accent 1"/>
    <w:basedOn w:val="TableNormal"/>
    <w:uiPriority w:val="60"/>
    <w:qFormat/>
    <w:rPr>
      <w:color w:val="365F91"/>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single" w:sz="8" w:space="0" w:color="4F81BD"/>
          <w:bottom w:val="nil"/>
          <w:right w:val="nil"/>
          <w:insideH w:val="nil"/>
          <w:insideV w:val="nil"/>
        </w:tcBorders>
      </w:tcPr>
    </w:tblStylePr>
    <w:tblStylePr w:type="lastRow">
      <w:pPr>
        <w:spacing w:before="0" w:after="0" w:line="240" w:lineRule="auto"/>
      </w:pPr>
      <w:rPr>
        <w:b/>
        <w:bCs/>
      </w:rPr>
      <w:tblPr/>
      <w:tcPr>
        <w:tcBorders>
          <w:top w:val="single" w:sz="8" w:space="0" w:color="4F81BD"/>
          <w:left w:val="single" w:sz="8" w:space="0" w:color="4F81BD"/>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3DFEE"/>
      </w:tcPr>
    </w:tblStylePr>
    <w:tblStylePr w:type="band1Horz">
      <w:tblPr/>
      <w:tcPr>
        <w:tcBorders>
          <w:bottom w:val="nil"/>
          <w:right w:val="nil"/>
          <w:insideH w:val="nil"/>
          <w:insideV w:val="nil"/>
        </w:tcBorders>
        <w:shd w:val="clear" w:color="auto" w:fill="D3DFEE"/>
      </w:tcPr>
    </w:tblStylePr>
  </w:style>
  <w:style w:type="table" w:styleId="LightShading-Accent2">
    <w:name w:val="Light Shading Accent 2"/>
    <w:basedOn w:val="TableNormal"/>
    <w:uiPriority w:val="60"/>
    <w:qFormat/>
    <w:rPr>
      <w:color w:val="943634"/>
    </w:rPr>
    <w:tblPr>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single" w:sz="8" w:space="0" w:color="C0504D"/>
          <w:bottom w:val="nil"/>
          <w:right w:val="nil"/>
          <w:insideH w:val="nil"/>
          <w:insideV w:val="nil"/>
        </w:tcBorders>
      </w:tcPr>
    </w:tblStylePr>
    <w:tblStylePr w:type="lastRow">
      <w:pPr>
        <w:spacing w:before="0" w:after="0" w:line="240" w:lineRule="auto"/>
      </w:pPr>
      <w:rPr>
        <w:b/>
        <w:bCs/>
      </w:rPr>
      <w:tblPr/>
      <w:tcPr>
        <w:tcBorders>
          <w:top w:val="single" w:sz="8" w:space="0" w:color="C0504D"/>
          <w:left w:val="single" w:sz="8" w:space="0" w:color="C0504D"/>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FD3D2"/>
      </w:tcPr>
    </w:tblStylePr>
    <w:tblStylePr w:type="band1Horz">
      <w:tblPr/>
      <w:tcPr>
        <w:tcBorders>
          <w:bottom w:val="nil"/>
          <w:right w:val="nil"/>
          <w:insideH w:val="nil"/>
          <w:insideV w:val="nil"/>
        </w:tcBorders>
        <w:shd w:val="clear" w:color="auto" w:fill="EFD3D2"/>
      </w:tcPr>
    </w:tblStylePr>
  </w:style>
  <w:style w:type="table" w:styleId="LightShading-Accent3">
    <w:name w:val="Light Shading Accent 3"/>
    <w:basedOn w:val="TableNormal"/>
    <w:uiPriority w:val="60"/>
    <w:qFormat/>
    <w:rPr>
      <w:color w:val="76923C"/>
    </w:rPr>
    <w:tblPr>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single" w:sz="8" w:space="0" w:color="9BBB59"/>
          <w:bottom w:val="nil"/>
          <w:right w:val="nil"/>
          <w:insideH w:val="nil"/>
          <w:insideV w:val="nil"/>
        </w:tcBorders>
      </w:tcPr>
    </w:tblStylePr>
    <w:tblStylePr w:type="lastRow">
      <w:pPr>
        <w:spacing w:before="0" w:after="0" w:line="240" w:lineRule="auto"/>
      </w:pPr>
      <w:rPr>
        <w:b/>
        <w:bCs/>
      </w:rPr>
      <w:tblPr/>
      <w:tcPr>
        <w:tcBorders>
          <w:top w:val="single" w:sz="8" w:space="0" w:color="9BBB59"/>
          <w:left w:val="single" w:sz="8" w:space="0" w:color="9BBB59"/>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6EED5"/>
      </w:tcPr>
    </w:tblStylePr>
    <w:tblStylePr w:type="band1Horz">
      <w:tblPr/>
      <w:tcPr>
        <w:tcBorders>
          <w:bottom w:val="nil"/>
          <w:right w:val="nil"/>
          <w:insideH w:val="nil"/>
          <w:insideV w:val="nil"/>
        </w:tcBorders>
        <w:shd w:val="clear" w:color="auto" w:fill="E6EED5"/>
      </w:tcPr>
    </w:tblStylePr>
  </w:style>
  <w:style w:type="table" w:styleId="LightShading-Accent4">
    <w:name w:val="Light Shading Accent 4"/>
    <w:basedOn w:val="TableNormal"/>
    <w:uiPriority w:val="60"/>
    <w:qFormat/>
    <w:rPr>
      <w:color w:val="5F497A"/>
    </w:rPr>
    <w:tblPr>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single" w:sz="8" w:space="0" w:color="8064A2"/>
          <w:bottom w:val="nil"/>
          <w:right w:val="nil"/>
          <w:insideH w:val="nil"/>
          <w:insideV w:val="nil"/>
        </w:tcBorders>
      </w:tcPr>
    </w:tblStylePr>
    <w:tblStylePr w:type="lastRow">
      <w:pPr>
        <w:spacing w:before="0" w:after="0" w:line="240" w:lineRule="auto"/>
      </w:pPr>
      <w:rPr>
        <w:b/>
        <w:bCs/>
      </w:rPr>
      <w:tblPr/>
      <w:tcPr>
        <w:tcBorders>
          <w:top w:val="single" w:sz="8" w:space="0" w:color="8064A2"/>
          <w:left w:val="single" w:sz="8" w:space="0" w:color="8064A2"/>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FD8E8"/>
      </w:tcPr>
    </w:tblStylePr>
    <w:tblStylePr w:type="band1Horz">
      <w:tblPr/>
      <w:tcPr>
        <w:tcBorders>
          <w:bottom w:val="nil"/>
          <w:right w:val="nil"/>
          <w:insideH w:val="nil"/>
          <w:insideV w:val="nil"/>
        </w:tcBorders>
        <w:shd w:val="clear" w:color="auto" w:fill="DFD8E8"/>
      </w:tcPr>
    </w:tblStylePr>
  </w:style>
  <w:style w:type="table" w:styleId="LightShading-Accent5">
    <w:name w:val="Light Shading Accent 5"/>
    <w:basedOn w:val="TableNormal"/>
    <w:uiPriority w:val="60"/>
    <w:qFormat/>
    <w:rPr>
      <w:color w:val="31849B"/>
    </w:rPr>
    <w:tblPr>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2EAF1"/>
      </w:tcPr>
    </w:tblStylePr>
    <w:tblStylePr w:type="band1Horz">
      <w:tblPr/>
      <w:tcPr>
        <w:tcBorders>
          <w:bottom w:val="nil"/>
          <w:right w:val="nil"/>
          <w:insideH w:val="nil"/>
          <w:insideV w:val="nil"/>
        </w:tcBorders>
        <w:shd w:val="clear" w:color="auto" w:fill="D2EAF1"/>
      </w:tcPr>
    </w:tblStylePr>
  </w:style>
  <w:style w:type="table" w:styleId="LightShading-Accent6">
    <w:name w:val="Light Shading Accent 6"/>
    <w:basedOn w:val="TableNormal"/>
    <w:uiPriority w:val="60"/>
    <w:qFormat/>
    <w:rPr>
      <w:color w:val="E36C0A"/>
    </w:rPr>
    <w:tblPr>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single" w:sz="8" w:space="0" w:color="F79646"/>
          <w:bottom w:val="nil"/>
          <w:right w:val="nil"/>
          <w:insideH w:val="nil"/>
          <w:insideV w:val="nil"/>
        </w:tcBorders>
      </w:tcPr>
    </w:tblStylePr>
    <w:tblStylePr w:type="lastRow">
      <w:pPr>
        <w:spacing w:before="0" w:after="0" w:line="240" w:lineRule="auto"/>
      </w:pPr>
      <w:rPr>
        <w:b/>
        <w:bCs/>
      </w:rPr>
      <w:tblPr/>
      <w:tcPr>
        <w:tcBorders>
          <w:top w:val="single" w:sz="8" w:space="0" w:color="F79646"/>
          <w:left w:val="single" w:sz="8" w:space="0" w:color="F79646"/>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FDE4D0"/>
      </w:tcPr>
    </w:tblStylePr>
    <w:tblStylePr w:type="band1Horz">
      <w:tblPr/>
      <w:tcPr>
        <w:tcBorders>
          <w:bottom w:val="nil"/>
          <w:right w:val="nil"/>
          <w:insideH w:val="nil"/>
          <w:insideV w:val="nil"/>
        </w:tcBorders>
        <w:shd w:val="clear" w:color="auto" w:fill="FDE4D0"/>
      </w:tcPr>
    </w:tblStylePr>
  </w:style>
  <w:style w:type="table" w:styleId="LightList">
    <w:name w:val="Light List"/>
    <w:basedOn w:val="TableNormal"/>
    <w:uiPriority w:val="61"/>
    <w:qFormat/>
    <w:tblPr>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qFormat/>
    <w:tblPr>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qFormat/>
    <w:tblPr>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qFormat/>
    <w:tblPr>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qFormat/>
    <w:tblPr>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qFormat/>
    <w:tblPr>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qFormat/>
    <w:tblPr>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Grid">
    <w:name w:val="Light Grid"/>
    <w:basedOn w:val="TableNormal"/>
    <w:uiPriority w:val="62"/>
    <w:qFormat/>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cs="Times New Roman"/>
        <w:b/>
        <w:bCs/>
      </w:rPr>
      <w:tblPr/>
      <w:tcPr>
        <w:tcBorders>
          <w:top w:val="single" w:sz="8" w:space="0" w:color="000000"/>
          <w:left w:val="single" w:sz="18" w:space="0" w:color="000000"/>
          <w:bottom w:val="single" w:sz="8" w:space="0" w:color="000000"/>
          <w:right w:val="single" w:sz="8" w:space="0" w:color="000000"/>
          <w:insideH w:val="nil"/>
          <w:insideV w:val="single" w:sz="8" w:space="0" w:color="auto"/>
        </w:tcBorders>
      </w:tcPr>
    </w:tblStylePr>
    <w:tblStylePr w:type="lastRow">
      <w:pPr>
        <w:spacing w:before="0" w:after="0" w:line="240" w:lineRule="auto"/>
      </w:pPr>
      <w:rPr>
        <w:rFonts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auto"/>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auto"/>
        </w:tcBorders>
      </w:tcPr>
    </w:tblStylePr>
  </w:style>
  <w:style w:type="table" w:styleId="LightGrid-Accent1">
    <w:name w:val="Light Grid Accent 1"/>
    <w:basedOn w:val="TableNormal"/>
    <w:uiPriority w:val="62"/>
    <w:qFormat/>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cs="Times New Roman"/>
        <w:b/>
        <w:bCs/>
      </w:rPr>
      <w:tblPr/>
      <w:tcPr>
        <w:tcBorders>
          <w:top w:val="single" w:sz="8" w:space="0" w:color="4F81BD"/>
          <w:left w:val="single" w:sz="18" w:space="0" w:color="4F81BD"/>
          <w:bottom w:val="single" w:sz="8" w:space="0" w:color="4F81BD"/>
          <w:right w:val="single" w:sz="8" w:space="0" w:color="4F81BD"/>
          <w:insideH w:val="nil"/>
          <w:insideV w:val="single" w:sz="8" w:space="0" w:color="auto"/>
        </w:tcBorders>
      </w:tcPr>
    </w:tblStylePr>
    <w:tblStylePr w:type="lastRow">
      <w:pPr>
        <w:spacing w:before="0" w:after="0" w:line="240" w:lineRule="auto"/>
      </w:pPr>
      <w:rPr>
        <w:rFont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table" w:styleId="LightGrid-Accent2">
    <w:name w:val="Light Grid Accent 2"/>
    <w:basedOn w:val="TableNormal"/>
    <w:uiPriority w:val="62"/>
    <w:qFormat/>
    <w:tblPr>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cs="Times New Roman"/>
        <w:b/>
        <w:bCs/>
      </w:rPr>
      <w:tblPr/>
      <w:tcPr>
        <w:tcBorders>
          <w:top w:val="single" w:sz="8" w:space="0" w:color="C0504D"/>
          <w:left w:val="single" w:sz="18" w:space="0" w:color="C0504D"/>
          <w:bottom w:val="single" w:sz="8" w:space="0" w:color="C0504D"/>
          <w:right w:val="single" w:sz="8" w:space="0" w:color="C0504D"/>
          <w:insideH w:val="nil"/>
          <w:insideV w:val="single" w:sz="8" w:space="0" w:color="auto"/>
        </w:tcBorders>
      </w:tcPr>
    </w:tblStylePr>
    <w:tblStylePr w:type="lastRow">
      <w:pPr>
        <w:spacing w:before="0" w:after="0" w:line="240" w:lineRule="auto"/>
      </w:pPr>
      <w:rPr>
        <w:rFonts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auto"/>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auto"/>
        </w:tcBorders>
      </w:tcPr>
    </w:tblStylePr>
  </w:style>
  <w:style w:type="table" w:styleId="LightGrid-Accent3">
    <w:name w:val="Light Grid Accent 3"/>
    <w:basedOn w:val="TableNormal"/>
    <w:uiPriority w:val="62"/>
    <w:qFormat/>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cs="Times New Roman"/>
        <w:b/>
        <w:bCs/>
      </w:rPr>
      <w:tblPr/>
      <w:tcPr>
        <w:tcBorders>
          <w:top w:val="single" w:sz="8" w:space="0" w:color="9BBB59"/>
          <w:left w:val="single" w:sz="18" w:space="0" w:color="9BBB59"/>
          <w:bottom w:val="single" w:sz="8" w:space="0" w:color="9BBB59"/>
          <w:right w:val="single" w:sz="8" w:space="0" w:color="9BBB59"/>
          <w:insideH w:val="nil"/>
          <w:insideV w:val="single" w:sz="8" w:space="0" w:color="auto"/>
        </w:tcBorders>
      </w:tcPr>
    </w:tblStylePr>
    <w:tblStylePr w:type="lastRow">
      <w:pPr>
        <w:spacing w:before="0" w:after="0" w:line="240" w:lineRule="auto"/>
      </w:pPr>
      <w:rPr>
        <w:rFonts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table" w:styleId="LightGrid-Accent4">
    <w:name w:val="Light Grid Accent 4"/>
    <w:basedOn w:val="TableNormal"/>
    <w:uiPriority w:val="62"/>
    <w:qFormat/>
    <w:tblPr>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cs="Times New Roman"/>
        <w:b/>
        <w:bCs/>
      </w:rPr>
      <w:tblPr/>
      <w:tcPr>
        <w:tcBorders>
          <w:top w:val="single" w:sz="8" w:space="0" w:color="8064A2"/>
          <w:left w:val="single" w:sz="18" w:space="0" w:color="8064A2"/>
          <w:bottom w:val="single" w:sz="8" w:space="0" w:color="8064A2"/>
          <w:right w:val="single" w:sz="8" w:space="0" w:color="8064A2"/>
          <w:insideH w:val="nil"/>
          <w:insideV w:val="single" w:sz="8" w:space="0" w:color="auto"/>
        </w:tcBorders>
      </w:tcPr>
    </w:tblStylePr>
    <w:tblStylePr w:type="lastRow">
      <w:pPr>
        <w:spacing w:before="0" w:after="0" w:line="240" w:lineRule="auto"/>
      </w:pPr>
      <w:rPr>
        <w:rFonts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auto"/>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auto"/>
        </w:tcBorders>
      </w:tcPr>
    </w:tblStylePr>
  </w:style>
  <w:style w:type="table" w:styleId="LightGrid-Accent5">
    <w:name w:val="Light Grid Accent 5"/>
    <w:basedOn w:val="TableNormal"/>
    <w:uiPriority w:val="62"/>
    <w:qFormat/>
    <w:tblPr>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cs="Times New Roman"/>
        <w:b/>
        <w:bCs/>
      </w:rPr>
      <w:tblPr/>
      <w:tcPr>
        <w:tcBorders>
          <w:top w:val="single" w:sz="8" w:space="0" w:color="4BACC6"/>
          <w:left w:val="single" w:sz="18" w:space="0" w:color="4BACC6"/>
          <w:bottom w:val="single" w:sz="8" w:space="0" w:color="4BACC6"/>
          <w:right w:val="single" w:sz="8" w:space="0" w:color="4BACC6"/>
          <w:insideH w:val="nil"/>
          <w:insideV w:val="single" w:sz="8" w:space="0" w:color="auto"/>
        </w:tcBorders>
      </w:tcPr>
    </w:tblStylePr>
    <w:tblStylePr w:type="lastRow">
      <w:pPr>
        <w:spacing w:before="0" w:after="0" w:line="240" w:lineRule="auto"/>
      </w:pPr>
      <w:rPr>
        <w:rFonts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auto"/>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auto"/>
        </w:tcBorders>
      </w:tcPr>
    </w:tblStylePr>
  </w:style>
  <w:style w:type="table" w:styleId="LightGrid-Accent6">
    <w:name w:val="Light Grid Accent 6"/>
    <w:basedOn w:val="TableNormal"/>
    <w:uiPriority w:val="62"/>
    <w:qFormat/>
    <w:tblPr>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cs="Times New Roman"/>
        <w:b/>
        <w:bCs/>
      </w:rPr>
      <w:tblPr/>
      <w:tcPr>
        <w:tcBorders>
          <w:top w:val="single" w:sz="8" w:space="0" w:color="F79646"/>
          <w:left w:val="single" w:sz="18" w:space="0" w:color="F79646"/>
          <w:bottom w:val="single" w:sz="8" w:space="0" w:color="F79646"/>
          <w:right w:val="single" w:sz="8" w:space="0" w:color="F79646"/>
          <w:insideH w:val="nil"/>
          <w:insideV w:val="single" w:sz="8" w:space="0" w:color="auto"/>
        </w:tcBorders>
      </w:tcPr>
    </w:tblStylePr>
    <w:tblStylePr w:type="lastRow">
      <w:pPr>
        <w:spacing w:before="0" w:after="0" w:line="240" w:lineRule="auto"/>
      </w:pPr>
      <w:rPr>
        <w:rFonts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auto"/>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auto"/>
        </w:tcBorders>
      </w:tcPr>
    </w:tblStylePr>
  </w:style>
  <w:style w:type="table" w:styleId="MediumShading1">
    <w:name w:val="Medium Shading 1"/>
    <w:basedOn w:val="TableNormal"/>
    <w:uiPriority w:val="63"/>
    <w:qFormat/>
    <w:tblPr>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qFormat/>
    <w:tblPr>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qFormat/>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qFormat/>
    <w:tblPr>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qFormat/>
    <w:tblPr>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qFormat/>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qFormat/>
    <w:tblPr>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000000"/>
      </w:tcPr>
    </w:tblStylePr>
    <w:tblStylePr w:type="lastCol">
      <w:rPr>
        <w:b/>
        <w:bCs/>
        <w:color w:val="FFFFFF"/>
      </w:rPr>
      <w:tblPr/>
      <w:tcPr>
        <w:tcBorders>
          <w:bottom w:val="nil"/>
          <w:right w:val="nil"/>
          <w:insideH w:val="nil"/>
          <w:insideV w:val="nil"/>
        </w:tcBorders>
        <w:shd w:val="clear" w:color="auto" w:fill="000000"/>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1">
    <w:name w:val="Medium Shading 2 Accent 1"/>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4F81BD"/>
      </w:tcPr>
    </w:tblStylePr>
    <w:tblStylePr w:type="lastCol">
      <w:rPr>
        <w:b/>
        <w:bCs/>
        <w:color w:val="FFFFFF"/>
      </w:rPr>
      <w:tblPr/>
      <w:tcPr>
        <w:tcBorders>
          <w:bottom w:val="nil"/>
          <w:right w:val="nil"/>
          <w:insideH w:val="nil"/>
          <w:insideV w:val="nil"/>
        </w:tcBorders>
        <w:shd w:val="clear" w:color="auto" w:fill="4F81B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2">
    <w:name w:val="Medium Shading 2 Accent 2"/>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C0504D"/>
      </w:tcPr>
    </w:tblStylePr>
    <w:tblStylePr w:type="lastCol">
      <w:rPr>
        <w:b/>
        <w:bCs/>
        <w:color w:val="FFFFFF"/>
      </w:rPr>
      <w:tblPr/>
      <w:tcPr>
        <w:tcBorders>
          <w:bottom w:val="nil"/>
          <w:right w:val="nil"/>
          <w:insideH w:val="nil"/>
          <w:insideV w:val="nil"/>
        </w:tcBorders>
        <w:shd w:val="clear" w:color="auto" w:fill="C0504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3">
    <w:name w:val="Medium Shading 2 Accent 3"/>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9BBB59"/>
      </w:tcPr>
    </w:tblStylePr>
    <w:tblStylePr w:type="lastCol">
      <w:rPr>
        <w:b/>
        <w:bCs/>
        <w:color w:val="FFFFFF"/>
      </w:rPr>
      <w:tblPr/>
      <w:tcPr>
        <w:tcBorders>
          <w:bottom w:val="nil"/>
          <w:right w:val="nil"/>
          <w:insideH w:val="nil"/>
          <w:insideV w:val="nil"/>
        </w:tcBorders>
        <w:shd w:val="clear" w:color="auto" w:fill="9BBB59"/>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4">
    <w:name w:val="Medium Shading 2 Accent 4"/>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8064A2"/>
      </w:tcPr>
    </w:tblStylePr>
    <w:tblStylePr w:type="lastCol">
      <w:rPr>
        <w:b/>
        <w:bCs/>
        <w:color w:val="FFFFFF"/>
      </w:rPr>
      <w:tblPr/>
      <w:tcPr>
        <w:tcBorders>
          <w:bottom w:val="nil"/>
          <w:right w:val="nil"/>
          <w:insideH w:val="nil"/>
          <w:insideV w:val="nil"/>
        </w:tcBorders>
        <w:shd w:val="clear" w:color="auto" w:fill="8064A2"/>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5">
    <w:name w:val="Medium Shading 2 Accent 5"/>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4BACC6"/>
      </w:tcPr>
    </w:tblStylePr>
    <w:tblStylePr w:type="lastCol">
      <w:rPr>
        <w:b/>
        <w:bCs/>
        <w:color w:val="FFFFFF"/>
      </w:rPr>
      <w:tblPr/>
      <w:tcPr>
        <w:tcBorders>
          <w:bottom w:val="nil"/>
          <w:right w:val="nil"/>
          <w:insideH w:val="nil"/>
          <w:insideV w:val="nil"/>
        </w:tcBorders>
        <w:shd w:val="clear" w:color="auto" w:fill="4BACC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6">
    <w:name w:val="Medium Shading 2 Accent 6"/>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F79646"/>
      </w:tcPr>
    </w:tblStylePr>
    <w:tblStylePr w:type="lastCol">
      <w:rPr>
        <w:b/>
        <w:bCs/>
        <w:color w:val="FFFFFF"/>
      </w:rPr>
      <w:tblPr/>
      <w:tcPr>
        <w:tcBorders>
          <w:bottom w:val="nil"/>
          <w:right w:val="nil"/>
          <w:insideH w:val="nil"/>
          <w:insideV w:val="nil"/>
        </w:tcBorders>
        <w:shd w:val="clear" w:color="auto" w:fill="F7964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List1">
    <w:name w:val="Medium List 1"/>
    <w:basedOn w:val="TableNormal"/>
    <w:uiPriority w:val="65"/>
    <w:qFormat/>
    <w:rPr>
      <w:color w:val="000000"/>
    </w:rPr>
    <w:tblPr>
      <w:tblBorders>
        <w:top w:val="single" w:sz="8" w:space="0" w:color="000000"/>
        <w:bottom w:val="single" w:sz="8" w:space="0" w:color="000000"/>
      </w:tblBorders>
    </w:tblPr>
    <w:tblStylePr w:type="firstRow">
      <w:rPr>
        <w:rFonts w:cs="Times New Roman"/>
      </w:rPr>
      <w:tblPr/>
      <w:tcPr>
        <w:tcBorders>
          <w:top w:val="nil"/>
          <w:left w:val="single" w:sz="8" w:space="0" w:color="000000"/>
        </w:tcBorders>
      </w:tcPr>
    </w:tblStylePr>
    <w:tblStylePr w:type="lastRow">
      <w:rPr>
        <w:b/>
        <w:bCs/>
        <w:color w:val="1F497D"/>
      </w:rPr>
      <w:tblPr/>
      <w:tcPr>
        <w:tcBorders>
          <w:top w:val="single" w:sz="8" w:space="0" w:color="000000"/>
          <w:left w:val="single" w:sz="8" w:space="0" w:color="000000"/>
        </w:tcBorders>
      </w:tcPr>
    </w:tblStylePr>
    <w:tblStylePr w:type="firstCol">
      <w:rPr>
        <w:b/>
        <w:bCs/>
      </w:rPr>
    </w:tblStylePr>
    <w:tblStylePr w:type="lastCol">
      <w:rPr>
        <w:b/>
        <w:bCs/>
      </w:rPr>
      <w:tblPr/>
      <w:tcPr>
        <w:tcBorders>
          <w:top w:val="single" w:sz="8" w:space="0" w:color="000000"/>
          <w:left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qFormat/>
    <w:rPr>
      <w:color w:val="000000"/>
    </w:rPr>
    <w:tblPr>
      <w:tblBorders>
        <w:top w:val="single" w:sz="8" w:space="0" w:color="4F81BD"/>
        <w:bottom w:val="single" w:sz="8" w:space="0" w:color="4F81BD"/>
      </w:tblBorders>
    </w:tblPr>
    <w:tblStylePr w:type="firstRow">
      <w:rPr>
        <w:rFonts w:cs="Times New Roman"/>
      </w:rPr>
      <w:tblPr/>
      <w:tcPr>
        <w:tcBorders>
          <w:top w:val="nil"/>
          <w:left w:val="single" w:sz="8" w:space="0" w:color="4F81BD"/>
        </w:tcBorders>
      </w:tcPr>
    </w:tblStylePr>
    <w:tblStylePr w:type="lastRow">
      <w:rPr>
        <w:b/>
        <w:bCs/>
        <w:color w:val="1F497D"/>
      </w:rPr>
      <w:tblPr/>
      <w:tcPr>
        <w:tcBorders>
          <w:top w:val="single" w:sz="8" w:space="0" w:color="4F81BD"/>
          <w:left w:val="single" w:sz="8" w:space="0" w:color="4F81BD"/>
        </w:tcBorders>
      </w:tcPr>
    </w:tblStylePr>
    <w:tblStylePr w:type="firstCol">
      <w:rPr>
        <w:b/>
        <w:bCs/>
      </w:rPr>
    </w:tblStylePr>
    <w:tblStylePr w:type="lastCol">
      <w:rPr>
        <w:b/>
        <w:bCs/>
      </w:rPr>
      <w:tblPr/>
      <w:tcPr>
        <w:tcBorders>
          <w:top w:val="single" w:sz="8" w:space="0" w:color="4F81BD"/>
          <w:left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Pr>
      <w:color w:val="000000"/>
    </w:rPr>
    <w:tblPr>
      <w:tblBorders>
        <w:top w:val="single" w:sz="8" w:space="0" w:color="C0504D"/>
        <w:bottom w:val="single" w:sz="8" w:space="0" w:color="C0504D"/>
      </w:tblBorders>
    </w:tblPr>
    <w:tblStylePr w:type="firstRow">
      <w:rPr>
        <w:rFonts w:cs="Times New Roman"/>
      </w:rPr>
      <w:tblPr/>
      <w:tcPr>
        <w:tcBorders>
          <w:top w:val="nil"/>
          <w:left w:val="single" w:sz="8" w:space="0" w:color="C0504D"/>
        </w:tcBorders>
      </w:tcPr>
    </w:tblStylePr>
    <w:tblStylePr w:type="lastRow">
      <w:rPr>
        <w:b/>
        <w:bCs/>
        <w:color w:val="1F497D"/>
      </w:rPr>
      <w:tblPr/>
      <w:tcPr>
        <w:tcBorders>
          <w:top w:val="single" w:sz="8" w:space="0" w:color="C0504D"/>
          <w:left w:val="single" w:sz="8" w:space="0" w:color="C0504D"/>
        </w:tcBorders>
      </w:tcPr>
    </w:tblStylePr>
    <w:tblStylePr w:type="firstCol">
      <w:rPr>
        <w:b/>
        <w:bCs/>
      </w:rPr>
    </w:tblStylePr>
    <w:tblStylePr w:type="lastCol">
      <w:rPr>
        <w:b/>
        <w:bCs/>
      </w:rPr>
      <w:tblPr/>
      <w:tcPr>
        <w:tcBorders>
          <w:top w:val="single" w:sz="8" w:space="0" w:color="C0504D"/>
          <w:left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Pr>
      <w:color w:val="000000"/>
    </w:rPr>
    <w:tblPr>
      <w:tblBorders>
        <w:top w:val="single" w:sz="8" w:space="0" w:color="9BBB59"/>
        <w:bottom w:val="single" w:sz="8" w:space="0" w:color="9BBB59"/>
      </w:tblBorders>
    </w:tblPr>
    <w:tblStylePr w:type="firstRow">
      <w:rPr>
        <w:rFonts w:cs="Times New Roman"/>
      </w:rPr>
      <w:tblPr/>
      <w:tcPr>
        <w:tcBorders>
          <w:top w:val="nil"/>
          <w:left w:val="single" w:sz="8" w:space="0" w:color="9BBB59"/>
        </w:tcBorders>
      </w:tcPr>
    </w:tblStylePr>
    <w:tblStylePr w:type="lastRow">
      <w:rPr>
        <w:b/>
        <w:bCs/>
        <w:color w:val="1F497D"/>
      </w:rPr>
      <w:tblPr/>
      <w:tcPr>
        <w:tcBorders>
          <w:top w:val="single" w:sz="8" w:space="0" w:color="9BBB59"/>
          <w:left w:val="single" w:sz="8" w:space="0" w:color="9BBB59"/>
        </w:tcBorders>
      </w:tcPr>
    </w:tblStylePr>
    <w:tblStylePr w:type="firstCol">
      <w:rPr>
        <w:b/>
        <w:bCs/>
      </w:rPr>
    </w:tblStylePr>
    <w:tblStylePr w:type="lastCol">
      <w:rPr>
        <w:b/>
        <w:bCs/>
      </w:rPr>
      <w:tblPr/>
      <w:tcPr>
        <w:tcBorders>
          <w:top w:val="single" w:sz="8" w:space="0" w:color="9BBB59"/>
          <w:left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qFormat/>
    <w:rPr>
      <w:color w:val="000000"/>
    </w:rPr>
    <w:tblPr>
      <w:tblBorders>
        <w:top w:val="single" w:sz="8" w:space="0" w:color="8064A2"/>
        <w:bottom w:val="single" w:sz="8" w:space="0" w:color="8064A2"/>
      </w:tblBorders>
    </w:tblPr>
    <w:tblStylePr w:type="firstRow">
      <w:rPr>
        <w:rFonts w:cs="Times New Roman"/>
      </w:rPr>
      <w:tblPr/>
      <w:tcPr>
        <w:tcBorders>
          <w:top w:val="nil"/>
          <w:left w:val="single" w:sz="8" w:space="0" w:color="8064A2"/>
        </w:tcBorders>
      </w:tcPr>
    </w:tblStylePr>
    <w:tblStylePr w:type="lastRow">
      <w:rPr>
        <w:b/>
        <w:bCs/>
        <w:color w:val="1F497D"/>
      </w:rPr>
      <w:tblPr/>
      <w:tcPr>
        <w:tcBorders>
          <w:top w:val="single" w:sz="8" w:space="0" w:color="8064A2"/>
          <w:left w:val="single" w:sz="8" w:space="0" w:color="8064A2"/>
        </w:tcBorders>
      </w:tcPr>
    </w:tblStylePr>
    <w:tblStylePr w:type="firstCol">
      <w:rPr>
        <w:b/>
        <w:bCs/>
      </w:rPr>
    </w:tblStylePr>
    <w:tblStylePr w:type="lastCol">
      <w:rPr>
        <w:b/>
        <w:bCs/>
      </w:rPr>
      <w:tblPr/>
      <w:tcPr>
        <w:tcBorders>
          <w:top w:val="single" w:sz="8" w:space="0" w:color="8064A2"/>
          <w:left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Pr>
      <w:color w:val="000000"/>
    </w:rPr>
    <w:tblPr>
      <w:tblBorders>
        <w:top w:val="single" w:sz="8" w:space="0" w:color="4BACC6"/>
        <w:bottom w:val="single" w:sz="8" w:space="0" w:color="4BACC6"/>
      </w:tblBorders>
    </w:tblPr>
    <w:tblStylePr w:type="firstRow">
      <w:rPr>
        <w:rFonts w:cs="Times New Roman"/>
      </w:rPr>
      <w:tblPr/>
      <w:tcPr>
        <w:tcBorders>
          <w:top w:val="nil"/>
          <w:left w:val="single" w:sz="8" w:space="0" w:color="4BACC6"/>
        </w:tcBorders>
      </w:tcPr>
    </w:tblStylePr>
    <w:tblStylePr w:type="lastRow">
      <w:rPr>
        <w:b/>
        <w:bCs/>
        <w:color w:val="1F497D"/>
      </w:rPr>
      <w:tblPr/>
      <w:tcPr>
        <w:tcBorders>
          <w:top w:val="single" w:sz="8" w:space="0" w:color="4BACC6"/>
          <w:left w:val="single" w:sz="8" w:space="0" w:color="4BACC6"/>
        </w:tcBorders>
      </w:tcPr>
    </w:tblStylePr>
    <w:tblStylePr w:type="firstCol">
      <w:rPr>
        <w:b/>
        <w:bCs/>
      </w:rPr>
    </w:tblStylePr>
    <w:tblStylePr w:type="lastCol">
      <w:rPr>
        <w:b/>
        <w:bCs/>
      </w:rPr>
      <w:tblPr/>
      <w:tcPr>
        <w:tcBorders>
          <w:top w:val="single" w:sz="8" w:space="0" w:color="4BACC6"/>
          <w:left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qFormat/>
    <w:rPr>
      <w:color w:val="000000"/>
    </w:rPr>
    <w:tblPr>
      <w:tblBorders>
        <w:top w:val="single" w:sz="8" w:space="0" w:color="F79646"/>
        <w:bottom w:val="single" w:sz="8" w:space="0" w:color="F79646"/>
      </w:tblBorders>
    </w:tblPr>
    <w:tblStylePr w:type="firstRow">
      <w:rPr>
        <w:rFonts w:cs="Times New Roman"/>
      </w:rPr>
      <w:tblPr/>
      <w:tcPr>
        <w:tcBorders>
          <w:top w:val="nil"/>
          <w:left w:val="single" w:sz="8" w:space="0" w:color="F79646"/>
        </w:tcBorders>
      </w:tcPr>
    </w:tblStylePr>
    <w:tblStylePr w:type="lastRow">
      <w:rPr>
        <w:b/>
        <w:bCs/>
        <w:color w:val="1F497D"/>
      </w:rPr>
      <w:tblPr/>
      <w:tcPr>
        <w:tcBorders>
          <w:top w:val="single" w:sz="8" w:space="0" w:color="F79646"/>
          <w:left w:val="single" w:sz="8" w:space="0" w:color="F79646"/>
        </w:tcBorders>
      </w:tcPr>
    </w:tblStylePr>
    <w:tblStylePr w:type="firstCol">
      <w:rPr>
        <w:b/>
        <w:bCs/>
      </w:rPr>
    </w:tblStylePr>
    <w:tblStylePr w:type="lastCol">
      <w:rPr>
        <w:b/>
        <w:bCs/>
      </w:rPr>
      <w:tblPr/>
      <w:tcPr>
        <w:tcBorders>
          <w:top w:val="single" w:sz="8" w:space="0" w:color="F79646"/>
          <w:left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qFormat/>
    <w:rPr>
      <w:rFonts w:ascii="SimSun" w:eastAsia="Courier New" w:hAnsi="SimSun"/>
      <w:color w:val="000000"/>
    </w:rPr>
    <w:tblPr>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single" w:sz="24" w:space="0" w:color="000000"/>
          <w:bottom w:val="nil"/>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nil"/>
          <w:bottom w:val="single" w:sz="8" w:space="0" w:color="000000"/>
          <w:right w:val="nil"/>
          <w:insideH w:val="nil"/>
          <w:insideV w:val="nil"/>
        </w:tcBorders>
        <w:shd w:val="clear" w:color="auto" w:fill="FFFFFF"/>
      </w:tcPr>
    </w:tblStylePr>
    <w:tblStylePr w:type="band1Vert">
      <w:tblPr/>
      <w:tcPr>
        <w:tcBorders>
          <w:bottom w:val="nil"/>
          <w:right w:val="nil"/>
          <w:insideH w:val="nil"/>
          <w:insideV w:val="nil"/>
        </w:tcBorders>
        <w:shd w:val="clear" w:color="auto" w:fill="C0C0C0"/>
      </w:tcPr>
    </w:tblStylePr>
    <w:tblStylePr w:type="band1Horz">
      <w:tblPr/>
      <w:tcPr>
        <w:tcBorders>
          <w:top w:val="nil"/>
          <w:left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qFormat/>
    <w:rPr>
      <w:rFonts w:ascii="SimSun" w:eastAsia="Courier New" w:hAnsi="SimSun"/>
      <w:color w:val="000000"/>
    </w:rPr>
    <w:tblPr>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single" w:sz="24" w:space="0" w:color="4F81BD"/>
          <w:bottom w:val="nil"/>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nil"/>
          <w:bottom w:val="single" w:sz="8" w:space="0" w:color="4F81BD"/>
          <w:right w:val="nil"/>
          <w:insideH w:val="nil"/>
          <w:insideV w:val="nil"/>
        </w:tcBorders>
        <w:shd w:val="clear" w:color="auto" w:fill="FFFFFF"/>
      </w:tcPr>
    </w:tblStylePr>
    <w:tblStylePr w:type="band1Vert">
      <w:tblPr/>
      <w:tcPr>
        <w:tcBorders>
          <w:bottom w:val="nil"/>
          <w:right w:val="nil"/>
          <w:insideH w:val="nil"/>
          <w:insideV w:val="nil"/>
        </w:tcBorders>
        <w:shd w:val="clear" w:color="auto" w:fill="D3DFEE"/>
      </w:tcPr>
    </w:tblStylePr>
    <w:tblStylePr w:type="band1Horz">
      <w:tblPr/>
      <w:tcPr>
        <w:tcBorders>
          <w:top w:val="nil"/>
          <w:left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qFormat/>
    <w:rPr>
      <w:rFonts w:ascii="SimSun" w:eastAsia="Courier New" w:hAnsi="SimSun"/>
      <w:color w:val="000000"/>
    </w:rPr>
    <w:tblPr>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single" w:sz="24" w:space="0" w:color="C0504D"/>
          <w:bottom w:val="nil"/>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nil"/>
          <w:bottom w:val="single" w:sz="8" w:space="0" w:color="C0504D"/>
          <w:right w:val="nil"/>
          <w:insideH w:val="nil"/>
          <w:insideV w:val="nil"/>
        </w:tcBorders>
        <w:shd w:val="clear" w:color="auto" w:fill="FFFFFF"/>
      </w:tcPr>
    </w:tblStylePr>
    <w:tblStylePr w:type="band1Vert">
      <w:tblPr/>
      <w:tcPr>
        <w:tcBorders>
          <w:bottom w:val="nil"/>
          <w:right w:val="nil"/>
          <w:insideH w:val="nil"/>
          <w:insideV w:val="nil"/>
        </w:tcBorders>
        <w:shd w:val="clear" w:color="auto" w:fill="EFD3D2"/>
      </w:tcPr>
    </w:tblStylePr>
    <w:tblStylePr w:type="band1Horz">
      <w:tblPr/>
      <w:tcPr>
        <w:tcBorders>
          <w:top w:val="nil"/>
          <w:left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qFormat/>
    <w:rPr>
      <w:rFonts w:ascii="SimSun" w:eastAsia="Courier New" w:hAnsi="SimSun"/>
      <w:color w:val="000000"/>
    </w:rPr>
    <w:tblPr>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single" w:sz="24" w:space="0" w:color="9BBB59"/>
          <w:bottom w:val="nil"/>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nil"/>
          <w:bottom w:val="single" w:sz="8" w:space="0" w:color="9BBB59"/>
          <w:right w:val="nil"/>
          <w:insideH w:val="nil"/>
          <w:insideV w:val="nil"/>
        </w:tcBorders>
        <w:shd w:val="clear" w:color="auto" w:fill="FFFFFF"/>
      </w:tcPr>
    </w:tblStylePr>
    <w:tblStylePr w:type="band1Vert">
      <w:tblPr/>
      <w:tcPr>
        <w:tcBorders>
          <w:bottom w:val="nil"/>
          <w:right w:val="nil"/>
          <w:insideH w:val="nil"/>
          <w:insideV w:val="nil"/>
        </w:tcBorders>
        <w:shd w:val="clear" w:color="auto" w:fill="E6EED5"/>
      </w:tcPr>
    </w:tblStylePr>
    <w:tblStylePr w:type="band1Horz">
      <w:tblPr/>
      <w:tcPr>
        <w:tcBorders>
          <w:top w:val="nil"/>
          <w:left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qFormat/>
    <w:rPr>
      <w:rFonts w:ascii="SimSun" w:eastAsia="Courier New" w:hAnsi="SimSun"/>
      <w:color w:val="000000"/>
    </w:rPr>
    <w:tblPr>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single" w:sz="24" w:space="0" w:color="8064A2"/>
          <w:bottom w:val="nil"/>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nil"/>
          <w:bottom w:val="single" w:sz="8" w:space="0" w:color="8064A2"/>
          <w:right w:val="nil"/>
          <w:insideH w:val="nil"/>
          <w:insideV w:val="nil"/>
        </w:tcBorders>
        <w:shd w:val="clear" w:color="auto" w:fill="FFFFFF"/>
      </w:tcPr>
    </w:tblStylePr>
    <w:tblStylePr w:type="band1Vert">
      <w:tblPr/>
      <w:tcPr>
        <w:tcBorders>
          <w:bottom w:val="nil"/>
          <w:right w:val="nil"/>
          <w:insideH w:val="nil"/>
          <w:insideV w:val="nil"/>
        </w:tcBorders>
        <w:shd w:val="clear" w:color="auto" w:fill="DFD8E8"/>
      </w:tcPr>
    </w:tblStylePr>
    <w:tblStylePr w:type="band1Horz">
      <w:tblPr/>
      <w:tcPr>
        <w:tcBorders>
          <w:top w:val="nil"/>
          <w:left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qFormat/>
    <w:rPr>
      <w:rFonts w:ascii="SimSun" w:eastAsia="Courier New" w:hAnsi="SimSun"/>
      <w:color w:val="000000"/>
    </w:rPr>
    <w:tblPr>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single" w:sz="24" w:space="0" w:color="4BACC6"/>
          <w:bottom w:val="nil"/>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nil"/>
          <w:bottom w:val="single" w:sz="8" w:space="0" w:color="4BACC6"/>
          <w:right w:val="nil"/>
          <w:insideH w:val="nil"/>
          <w:insideV w:val="nil"/>
        </w:tcBorders>
        <w:shd w:val="clear" w:color="auto" w:fill="FFFFFF"/>
      </w:tcPr>
    </w:tblStylePr>
    <w:tblStylePr w:type="band1Vert">
      <w:tblPr/>
      <w:tcPr>
        <w:tcBorders>
          <w:bottom w:val="nil"/>
          <w:right w:val="nil"/>
          <w:insideH w:val="nil"/>
          <w:insideV w:val="nil"/>
        </w:tcBorders>
        <w:shd w:val="clear" w:color="auto" w:fill="D2EAF1"/>
      </w:tcPr>
    </w:tblStylePr>
    <w:tblStylePr w:type="band1Horz">
      <w:tblPr/>
      <w:tcPr>
        <w:tcBorders>
          <w:top w:val="nil"/>
          <w:left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qFormat/>
    <w:rPr>
      <w:rFonts w:ascii="SimSun" w:eastAsia="Courier New" w:hAnsi="SimSun"/>
      <w:color w:val="000000"/>
    </w:rPr>
    <w:tblPr>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single" w:sz="24" w:space="0" w:color="F79646"/>
          <w:bottom w:val="nil"/>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nil"/>
          <w:bottom w:val="single" w:sz="8" w:space="0" w:color="F79646"/>
          <w:right w:val="nil"/>
          <w:insideH w:val="nil"/>
          <w:insideV w:val="nil"/>
        </w:tcBorders>
        <w:shd w:val="clear" w:color="auto" w:fill="FFFFFF"/>
      </w:tcPr>
    </w:tblStylePr>
    <w:tblStylePr w:type="band1Vert">
      <w:tblPr/>
      <w:tcPr>
        <w:tcBorders>
          <w:bottom w:val="nil"/>
          <w:right w:val="nil"/>
          <w:insideH w:val="nil"/>
          <w:insideV w:val="nil"/>
        </w:tcBorders>
        <w:shd w:val="clear" w:color="auto" w:fill="FDE4D0"/>
      </w:tcPr>
    </w:tblStylePr>
    <w:tblStylePr w:type="band1Horz">
      <w:tblPr/>
      <w:tcPr>
        <w:tcBorders>
          <w:top w:val="nil"/>
          <w:left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Grid1">
    <w:name w:val="Medium Grid 1"/>
    <w:basedOn w:val="TableNormal"/>
    <w:uiPriority w:val="67"/>
    <w:qFormat/>
    <w:tblPr>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shd w:val="clear" w:color="auto" w:fill="C0C0C0"/>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qFormat/>
    <w:tblP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shd w:val="clear" w:color="auto" w:fill="D3DFEE"/>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qFormat/>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shd w:val="clear" w:color="auto" w:fill="EFD3D2"/>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qFormat/>
    <w:tblPr>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shd w:val="clear" w:color="auto" w:fill="E6EED5"/>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qFormat/>
    <w:tblPr>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shd w:val="clear" w:color="auto" w:fill="DFD8E8"/>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qFormat/>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shd w:val="clear" w:color="auto" w:fill="D2EAF1"/>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qFormat/>
    <w:tblPr>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shd w:val="clear" w:color="auto" w:fill="FDE4D0"/>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qFormat/>
    <w:rPr>
      <w:rFonts w:ascii="SimSun" w:eastAsia="Courier New" w:hAnsi="SimSun"/>
      <w:color w:val="000000"/>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C0C0C0"/>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qFormat/>
    <w:rPr>
      <w:rFonts w:ascii="SimSun" w:eastAsia="Courier New" w:hAnsi="SimSun"/>
      <w:color w:val="000000"/>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shd w:val="clear" w:color="auto" w:fill="D3DFEE"/>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auto"/>
          <w:insideV w:val="single" w:sz="6" w:space="0" w:color="auto"/>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qFormat/>
    <w:rPr>
      <w:rFonts w:ascii="SimSun" w:eastAsia="Courier New" w:hAnsi="SimSun"/>
      <w:color w:val="000000"/>
    </w:rPr>
    <w:tblPr>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shd w:val="clear" w:color="auto" w:fill="EFD3D2"/>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auto"/>
          <w:insideV w:val="single" w:sz="6" w:space="0" w:color="auto"/>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qFormat/>
    <w:rPr>
      <w:rFonts w:ascii="SimSun" w:eastAsia="Courier New" w:hAnsi="SimSun"/>
      <w:color w:val="000000"/>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shd w:val="clear" w:color="auto" w:fill="E6EED5"/>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auto"/>
          <w:insideV w:val="single" w:sz="6" w:space="0" w:color="auto"/>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qFormat/>
    <w:rPr>
      <w:rFonts w:ascii="SimSun" w:eastAsia="Courier New" w:hAnsi="SimSun"/>
      <w:color w:val="000000"/>
    </w:rPr>
    <w:tblPr>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shd w:val="clear" w:color="auto" w:fill="DFD8E8"/>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auto"/>
          <w:insideV w:val="single" w:sz="6" w:space="0" w:color="auto"/>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qFormat/>
    <w:rPr>
      <w:rFonts w:ascii="SimSun" w:eastAsia="Courier New" w:hAnsi="SimSun"/>
      <w:color w:val="000000"/>
    </w:rPr>
    <w:tblPr>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shd w:val="clear" w:color="auto" w:fill="D2EAF1"/>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auto"/>
          <w:insideV w:val="single" w:sz="6" w:space="0" w:color="auto"/>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qFormat/>
    <w:rPr>
      <w:rFonts w:ascii="SimSun" w:eastAsia="Courier New" w:hAnsi="SimSun"/>
      <w:color w:val="000000"/>
    </w:rPr>
    <w:tblPr>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shd w:val="clear" w:color="auto" w:fill="FDE4D0"/>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auto"/>
          <w:insideV w:val="single" w:sz="6" w:space="0" w:color="auto"/>
        </w:tcBorders>
        <w:shd w:val="clear" w:color="auto" w:fill="FBCAA2"/>
      </w:tcPr>
    </w:tblStylePr>
    <w:tblStylePr w:type="nwCell">
      <w:tblPr/>
      <w:tcPr>
        <w:shd w:val="clear" w:color="auto" w:fill="FFFFFF"/>
      </w:tcPr>
    </w:tblStylePr>
  </w:style>
  <w:style w:type="table" w:styleId="MediumGrid3">
    <w:name w:val="Medium Grid 3"/>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C0C0C0"/>
    </w:tblPr>
    <w:tcPr>
      <w:shd w:val="clear" w:color="auto" w:fill="C0C0C0"/>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000000"/>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808080"/>
      </w:tcPr>
    </w:tblStylePr>
  </w:style>
  <w:style w:type="table" w:styleId="MediumGrid3-Accent1">
    <w:name w:val="Medium Grid 3 Accent 1"/>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D3DFEE"/>
    </w:tblPr>
    <w:tcPr>
      <w:shd w:val="clear" w:color="auto" w:fill="D3DFEE"/>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4F81BD"/>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A7BFDE"/>
      </w:tcPr>
    </w:tblStylePr>
  </w:style>
  <w:style w:type="table" w:styleId="MediumGrid3-Accent2">
    <w:name w:val="Medium Grid 3 Accent 2"/>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EFD3D2"/>
    </w:tblPr>
    <w:tcPr>
      <w:shd w:val="clear" w:color="auto" w:fill="EFD3D2"/>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C0504D"/>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DFA7A6"/>
      </w:tcPr>
    </w:tblStylePr>
  </w:style>
  <w:style w:type="table" w:styleId="MediumGrid3-Accent3">
    <w:name w:val="Medium Grid 3 Accent 3"/>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E6EED5"/>
    </w:tblPr>
    <w:tcPr>
      <w:shd w:val="clear" w:color="auto" w:fill="E6EED5"/>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9BBB59"/>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CDDDAC"/>
      </w:tcPr>
    </w:tblStylePr>
  </w:style>
  <w:style w:type="table" w:styleId="MediumGrid3-Accent4">
    <w:name w:val="Medium Grid 3 Accent 4"/>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DFD8E8"/>
    </w:tblPr>
    <w:tcPr>
      <w:shd w:val="clear" w:color="auto" w:fill="DFD8E8"/>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8064A2"/>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BFB1D0"/>
      </w:tcPr>
    </w:tblStylePr>
  </w:style>
  <w:style w:type="table" w:styleId="MediumGrid3-Accent5">
    <w:name w:val="Medium Grid 3 Accent 5"/>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D2EAF1"/>
    </w:tblPr>
    <w:tcPr>
      <w:shd w:val="clear" w:color="auto" w:fill="D2EAF1"/>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4BACC6"/>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A5D5E2"/>
      </w:tcPr>
    </w:tblStylePr>
  </w:style>
  <w:style w:type="table" w:styleId="MediumGrid3-Accent6">
    <w:name w:val="Medium Grid 3 Accent 6"/>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FDE4D0"/>
    </w:tblPr>
    <w:tcPr>
      <w:shd w:val="clear" w:color="auto" w:fill="FDE4D0"/>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F79646"/>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FBCAA2"/>
      </w:tcPr>
    </w:tblStylePr>
  </w:style>
  <w:style w:type="table" w:styleId="DarkList">
    <w:name w:val="Dark List"/>
    <w:basedOn w:val="TableNormal"/>
    <w:uiPriority w:val="70"/>
    <w:qFormat/>
    <w:rPr>
      <w:color w:val="FFFFFF"/>
    </w:rPr>
    <w:tblPr>
      <w:tblStyleRowBandSize w:val="1"/>
      <w:tblStyleColBandSize w:val="1"/>
      <w:shd w:val="clear" w:color="auto" w:fill="000000"/>
    </w:tblPr>
    <w:tcPr>
      <w:shd w:val="clear" w:color="auto" w:fill="000000"/>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nil"/>
          <w:bottom w:val="single" w:sz="18" w:space="0" w:color="FFFFFF"/>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qFormat/>
    <w:rPr>
      <w:color w:val="FFFFFF"/>
    </w:rPr>
    <w:tblPr>
      <w:tblStyleRowBandSize w:val="1"/>
      <w:tblStyleColBandSize w:val="1"/>
      <w:shd w:val="clear" w:color="auto" w:fill="4F81BD"/>
    </w:tblPr>
    <w:tcPr>
      <w:shd w:val="clear" w:color="auto" w:fill="4F81BD"/>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nil"/>
          <w:bottom w:val="single" w:sz="18" w:space="0" w:color="FFFFFF"/>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qFormat/>
    <w:rPr>
      <w:color w:val="FFFFFF"/>
    </w:rPr>
    <w:tblPr>
      <w:tblStyleRowBandSize w:val="1"/>
      <w:tblStyleColBandSize w:val="1"/>
      <w:shd w:val="clear" w:color="auto" w:fill="C0504D"/>
    </w:tblPr>
    <w:tcPr>
      <w:shd w:val="clear" w:color="auto" w:fill="C0504D"/>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nil"/>
          <w:bottom w:val="single" w:sz="18" w:space="0" w:color="FFFFFF"/>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qFormat/>
    <w:rPr>
      <w:color w:val="FFFFFF"/>
    </w:rPr>
    <w:tblPr>
      <w:tblStyleRowBandSize w:val="1"/>
      <w:tblStyleColBandSize w:val="1"/>
      <w:shd w:val="clear" w:color="auto" w:fill="9BBB59"/>
    </w:tblPr>
    <w:tcPr>
      <w:shd w:val="clear" w:color="auto" w:fill="9BBB59"/>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nil"/>
          <w:bottom w:val="single" w:sz="18" w:space="0" w:color="FFFFFF"/>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qFormat/>
    <w:rPr>
      <w:color w:val="FFFFFF"/>
    </w:rPr>
    <w:tblPr>
      <w:tblStyleRowBandSize w:val="1"/>
      <w:tblStyleColBandSize w:val="1"/>
      <w:shd w:val="clear" w:color="auto" w:fill="8064A2"/>
    </w:tblPr>
    <w:tcPr>
      <w:shd w:val="clear" w:color="auto" w:fill="8064A2"/>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nil"/>
          <w:bottom w:val="single" w:sz="18" w:space="0" w:color="FFFFFF"/>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qFormat/>
    <w:rPr>
      <w:color w:val="FFFFFF"/>
    </w:rPr>
    <w:tblPr>
      <w:tblStyleRowBandSize w:val="1"/>
      <w:tblStyleColBandSize w:val="1"/>
      <w:shd w:val="clear" w:color="auto" w:fill="4BACC6"/>
    </w:tblPr>
    <w:tcPr>
      <w:shd w:val="clear" w:color="auto" w:fill="4BACC6"/>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nil"/>
          <w:bottom w:val="single" w:sz="18" w:space="0" w:color="FFFFFF"/>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qFormat/>
    <w:rPr>
      <w:color w:val="FFFFFF"/>
    </w:rPr>
    <w:tblPr>
      <w:tblStyleRowBandSize w:val="1"/>
      <w:tblStyleColBandSize w:val="1"/>
      <w:shd w:val="clear" w:color="auto" w:fill="F79646"/>
    </w:tblPr>
    <w:tcPr>
      <w:shd w:val="clear" w:color="auto" w:fill="F79646"/>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nil"/>
          <w:bottom w:val="single" w:sz="18" w:space="0" w:color="FFFFFF"/>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ColorfulShading">
    <w:name w:val="Colorful Shading"/>
    <w:basedOn w:val="TableNormal"/>
    <w:uiPriority w:val="71"/>
    <w:qFormat/>
    <w:rPr>
      <w:color w:val="000000"/>
    </w:rPr>
    <w:tblPr>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shd w:val="clear" w:color="auto" w:fill="E6E6E6"/>
    </w:tblPr>
    <w:tcPr>
      <w:shd w:val="clear" w:color="auto" w:fill="E6E6E6"/>
    </w:tcPr>
    <w:tblStylePr w:type="firstRow">
      <w:rPr>
        <w:b/>
        <w:bCs/>
      </w:rPr>
      <w:tblPr/>
      <w:tcPr>
        <w:tcBorders>
          <w:top w:val="nil"/>
          <w:left w:val="single" w:sz="24" w:space="0" w:color="C0504D"/>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auto"/>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qFormat/>
    <w:rPr>
      <w:color w:val="000000"/>
    </w:rPr>
    <w:tblPr>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shd w:val="clear" w:color="auto" w:fill="EDF2F8"/>
    </w:tblPr>
    <w:tcPr>
      <w:shd w:val="clear" w:color="auto" w:fill="EDF2F8"/>
    </w:tcPr>
    <w:tblStylePr w:type="firstRow">
      <w:rPr>
        <w:b/>
        <w:bCs/>
      </w:rPr>
      <w:tblPr/>
      <w:tcPr>
        <w:tcBorders>
          <w:top w:val="nil"/>
          <w:left w:val="single" w:sz="24" w:space="0" w:color="C0504D"/>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auto"/>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qFormat/>
    <w:rPr>
      <w:color w:val="000000"/>
    </w:rPr>
    <w:tblPr>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shd w:val="clear" w:color="auto" w:fill="F8EDED"/>
    </w:tblPr>
    <w:tcPr>
      <w:shd w:val="clear" w:color="auto" w:fill="F8EDED"/>
    </w:tcPr>
    <w:tblStylePr w:type="firstRow">
      <w:rPr>
        <w:b/>
        <w:bCs/>
      </w:rPr>
      <w:tblPr/>
      <w:tcPr>
        <w:tcBorders>
          <w:top w:val="nil"/>
          <w:left w:val="single" w:sz="24" w:space="0" w:color="C0504D"/>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auto"/>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qFormat/>
    <w:rPr>
      <w:color w:val="000000"/>
    </w:rPr>
    <w:tblPr>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shd w:val="clear" w:color="auto" w:fill="F5F8EE"/>
    </w:tblPr>
    <w:tcPr>
      <w:shd w:val="clear" w:color="auto" w:fill="F5F8EE"/>
    </w:tcPr>
    <w:tblStylePr w:type="firstRow">
      <w:rPr>
        <w:b/>
        <w:bCs/>
      </w:rPr>
      <w:tblPr/>
      <w:tcPr>
        <w:tcBorders>
          <w:top w:val="nil"/>
          <w:left w:val="single" w:sz="24" w:space="0" w:color="8064A2"/>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auto"/>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qFormat/>
    <w:rPr>
      <w:color w:val="000000"/>
    </w:rPr>
    <w:tblPr>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shd w:val="clear" w:color="auto" w:fill="F2EFF6"/>
    </w:tblPr>
    <w:tcPr>
      <w:shd w:val="clear" w:color="auto" w:fill="F2EFF6"/>
    </w:tcPr>
    <w:tblStylePr w:type="firstRow">
      <w:rPr>
        <w:b/>
        <w:bCs/>
      </w:rPr>
      <w:tblPr/>
      <w:tcPr>
        <w:tcBorders>
          <w:top w:val="nil"/>
          <w:left w:val="single" w:sz="24" w:space="0" w:color="9BBB59"/>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auto"/>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qFormat/>
    <w:rPr>
      <w:color w:val="000000"/>
    </w:rPr>
    <w:tblPr>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shd w:val="clear" w:color="auto" w:fill="EDF6F9"/>
    </w:tblPr>
    <w:tcPr>
      <w:shd w:val="clear" w:color="auto" w:fill="EDF6F9"/>
    </w:tcPr>
    <w:tblStylePr w:type="firstRow">
      <w:rPr>
        <w:b/>
        <w:bCs/>
      </w:rPr>
      <w:tblPr/>
      <w:tcPr>
        <w:tcBorders>
          <w:top w:val="nil"/>
          <w:left w:val="single" w:sz="24" w:space="0" w:color="F79646"/>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auto"/>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qFormat/>
    <w:rPr>
      <w:color w:val="000000"/>
    </w:rPr>
    <w:tblPr>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shd w:val="clear" w:color="auto" w:fill="FEF4EC"/>
    </w:tblPr>
    <w:tcPr>
      <w:shd w:val="clear" w:color="auto" w:fill="FEF4EC"/>
    </w:tcPr>
    <w:tblStylePr w:type="firstRow">
      <w:rPr>
        <w:b/>
        <w:bCs/>
      </w:rPr>
      <w:tblPr/>
      <w:tcPr>
        <w:tcBorders>
          <w:top w:val="nil"/>
          <w:left w:val="single" w:sz="24" w:space="0" w:color="4BACC6"/>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auto"/>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ColorfulList">
    <w:name w:val="Colorful List"/>
    <w:basedOn w:val="TableNormal"/>
    <w:uiPriority w:val="72"/>
    <w:qFormat/>
    <w:rPr>
      <w:color w:val="000000"/>
    </w:rPr>
    <w:tblPr>
      <w:tblStyleRowBandSize w:val="1"/>
      <w:tblStyleColBandSize w:val="1"/>
      <w:shd w:val="clear" w:color="auto" w:fill="E6E6E6"/>
    </w:tblPr>
    <w:tcPr>
      <w:shd w:val="clear" w:color="auto" w:fill="E6E6E6"/>
    </w:tcPr>
    <w:tblStylePr w:type="firstRow">
      <w:rPr>
        <w:b/>
        <w:bCs/>
        <w:color w:val="FFFFFF"/>
      </w:rPr>
      <w:tblPr/>
      <w:tcPr>
        <w:tcBorders>
          <w:left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qFormat/>
    <w:rPr>
      <w:color w:val="000000"/>
    </w:rPr>
    <w:tblPr>
      <w:tblStyleRowBandSize w:val="1"/>
      <w:tblStyleColBandSize w:val="1"/>
      <w:shd w:val="clear" w:color="auto" w:fill="EDF2F8"/>
    </w:tblPr>
    <w:tcPr>
      <w:shd w:val="clear" w:color="auto" w:fill="EDF2F8"/>
    </w:tcPr>
    <w:tblStylePr w:type="firstRow">
      <w:rPr>
        <w:b/>
        <w:bCs/>
        <w:color w:val="FFFFFF"/>
      </w:rPr>
      <w:tblPr/>
      <w:tcPr>
        <w:tcBorders>
          <w:left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qFormat/>
    <w:rPr>
      <w:color w:val="000000"/>
    </w:rPr>
    <w:tblPr>
      <w:tblStyleRowBandSize w:val="1"/>
      <w:tblStyleColBandSize w:val="1"/>
      <w:shd w:val="clear" w:color="auto" w:fill="F8EDED"/>
    </w:tblPr>
    <w:tcPr>
      <w:shd w:val="clear" w:color="auto" w:fill="F8EDED"/>
    </w:tcPr>
    <w:tblStylePr w:type="firstRow">
      <w:rPr>
        <w:b/>
        <w:bCs/>
        <w:color w:val="FFFFFF"/>
      </w:rPr>
      <w:tblPr/>
      <w:tcPr>
        <w:tcBorders>
          <w:left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qFormat/>
    <w:rPr>
      <w:color w:val="000000"/>
    </w:rPr>
    <w:tblPr>
      <w:tblStyleRowBandSize w:val="1"/>
      <w:tblStyleColBandSize w:val="1"/>
      <w:shd w:val="clear" w:color="auto" w:fill="F5F8EE"/>
    </w:tblPr>
    <w:tcPr>
      <w:shd w:val="clear" w:color="auto" w:fill="F5F8EE"/>
    </w:tcPr>
    <w:tblStylePr w:type="firstRow">
      <w:rPr>
        <w:b/>
        <w:bCs/>
        <w:color w:val="FFFFFF"/>
      </w:rPr>
      <w:tblPr/>
      <w:tcPr>
        <w:tcBorders>
          <w:left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qFormat/>
    <w:rPr>
      <w:color w:val="000000"/>
    </w:rPr>
    <w:tblPr>
      <w:tblStyleRowBandSize w:val="1"/>
      <w:tblStyleColBandSize w:val="1"/>
      <w:shd w:val="clear" w:color="auto" w:fill="F2EFF6"/>
    </w:tblPr>
    <w:tcPr>
      <w:shd w:val="clear" w:color="auto" w:fill="F2EFF6"/>
    </w:tcPr>
    <w:tblStylePr w:type="firstRow">
      <w:rPr>
        <w:b/>
        <w:bCs/>
        <w:color w:val="FFFFFF"/>
      </w:rPr>
      <w:tblPr/>
      <w:tcPr>
        <w:tcBorders>
          <w:left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qFormat/>
    <w:rPr>
      <w:color w:val="000000"/>
    </w:rPr>
    <w:tblPr>
      <w:tblStyleRowBandSize w:val="1"/>
      <w:tblStyleColBandSize w:val="1"/>
      <w:shd w:val="clear" w:color="auto" w:fill="EDF6F9"/>
    </w:tblPr>
    <w:tcPr>
      <w:shd w:val="clear" w:color="auto" w:fill="EDF6F9"/>
    </w:tcPr>
    <w:tblStylePr w:type="firstRow">
      <w:rPr>
        <w:b/>
        <w:bCs/>
        <w:color w:val="FFFFFF"/>
      </w:rPr>
      <w:tblPr/>
      <w:tcPr>
        <w:tcBorders>
          <w:left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qFormat/>
    <w:rPr>
      <w:color w:val="000000"/>
    </w:rPr>
    <w:tblPr>
      <w:tblStyleRowBandSize w:val="1"/>
      <w:tblStyleColBandSize w:val="1"/>
      <w:shd w:val="clear" w:color="auto" w:fill="FEF4EC"/>
    </w:tblPr>
    <w:tcPr>
      <w:shd w:val="clear" w:color="auto" w:fill="FEF4EC"/>
    </w:tcPr>
    <w:tblStylePr w:type="firstRow">
      <w:rPr>
        <w:b/>
        <w:bCs/>
        <w:color w:val="FFFFFF"/>
      </w:rPr>
      <w:tblPr/>
      <w:tcPr>
        <w:tcBorders>
          <w:left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Grid">
    <w:name w:val="Colorful Grid"/>
    <w:basedOn w:val="TableNormal"/>
    <w:uiPriority w:val="73"/>
    <w:qFormat/>
    <w:rPr>
      <w:color w:val="000000"/>
    </w:rPr>
    <w:tblPr>
      <w:tblBorders>
        <w:insideH w:val="single" w:sz="4" w:space="0" w:color="FFFFFF"/>
      </w:tblBorders>
      <w:shd w:val="clear" w:color="auto" w:fill="CCCCCC"/>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qFormat/>
    <w:rPr>
      <w:color w:val="000000"/>
    </w:rPr>
    <w:tblPr>
      <w:tblBorders>
        <w:insideH w:val="single" w:sz="4" w:space="0" w:color="FFFFFF"/>
      </w:tblBorders>
      <w:shd w:val="clear" w:color="auto" w:fill="DBE5F1"/>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qFormat/>
    <w:rPr>
      <w:color w:val="000000"/>
    </w:rPr>
    <w:tblPr>
      <w:tblBorders>
        <w:insideH w:val="single" w:sz="4" w:space="0" w:color="FFFFFF"/>
      </w:tblBorders>
      <w:shd w:val="clear" w:color="auto" w:fill="F2DBDB"/>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qFormat/>
    <w:rPr>
      <w:color w:val="000000"/>
    </w:rPr>
    <w:tblPr>
      <w:tblBorders>
        <w:insideH w:val="single" w:sz="4" w:space="0" w:color="FFFFFF"/>
      </w:tblBorders>
      <w:shd w:val="clear" w:color="auto" w:fill="EAF1DD"/>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qFormat/>
    <w:rPr>
      <w:color w:val="000000"/>
    </w:rPr>
    <w:tblPr>
      <w:tblBorders>
        <w:insideH w:val="single" w:sz="4" w:space="0" w:color="FFFFFF"/>
      </w:tblBorders>
      <w:shd w:val="clear" w:color="auto" w:fill="E5DFEC"/>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qFormat/>
    <w:rPr>
      <w:color w:val="000000"/>
    </w:rPr>
    <w:tblPr>
      <w:tblBorders>
        <w:insideH w:val="single" w:sz="4" w:space="0" w:color="FFFFFF"/>
      </w:tblBorders>
      <w:shd w:val="clear" w:color="auto" w:fill="DAEEF3"/>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qFormat/>
    <w:rPr>
      <w:color w:val="000000"/>
    </w:rPr>
    <w:tblPr>
      <w:tblBorders>
        <w:insideH w:val="single" w:sz="4" w:space="0" w:color="FFFFFF"/>
      </w:tblBorders>
      <w:shd w:val="clear" w:color="auto" w:fill="FDE9D9"/>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paragraph" w:customStyle="1" w:styleId="WPSOffice1">
    <w:name w:val="WPSOffice手动目录 1"/>
    <w:qFormat/>
    <w:rPr>
      <w:rFonts w:cs="Aptos"/>
    </w:rPr>
  </w:style>
  <w:style w:type="paragraph" w:customStyle="1" w:styleId="WPSOffice2">
    <w:name w:val="WPSOffice手动目录 2"/>
    <w:qFormat/>
    <w:pPr>
      <w:ind w:leftChars="200" w:left="200"/>
    </w:pPr>
    <w:rPr>
      <w:rFonts w:cs="Aptos"/>
    </w:rPr>
  </w:style>
  <w:style w:type="paragraph" w:customStyle="1" w:styleId="WPSOffice3">
    <w:name w:val="WPSOffice手动目录 3"/>
    <w:qFormat/>
    <w:pPr>
      <w:ind w:leftChars="400" w:left="400"/>
    </w:pPr>
    <w:rPr>
      <w:rFonts w:cs="Apto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canada.ca/en/public-health/programs/consultation-help-modernize-development-preventive-health-care-guidelines/way-forward.html" TargetMode="External"/><Relationship Id="rId18" Type="http://schemas.openxmlformats.org/officeDocument/2006/relationships/hyperlink" Target="https://www.comunidad.madrid/servicios/salud" TargetMode="External"/><Relationship Id="rId26" Type="http://schemas.openxmlformats.org/officeDocument/2006/relationships/hyperlink" Target="https://journals.sagepub.com/doi/pdf/10.1177/08404704231183863" TargetMode="External"/><Relationship Id="rId39" Type="http://schemas.openxmlformats.org/officeDocument/2006/relationships/hyperlink" Target="https://www.mohw.go.kr/board.es?mid=a20401000000&amp;bid=0032&amp;act=view&amp;list_no=350260&amp;tag=&amp;nPage=33" TargetMode="External"/><Relationship Id="rId21" Type="http://schemas.openxmlformats.org/officeDocument/2006/relationships/hyperlink" Target="https://journals.sagepub.com/doi/pdf/10.1177/17427150241232705" TargetMode="External"/><Relationship Id="rId34" Type="http://schemas.openxmlformats.org/officeDocument/2006/relationships/hyperlink" Target="https://k-guide.kr/ENG/1179/contents.do" TargetMode="External"/><Relationship Id="rId42" Type="http://schemas.openxmlformats.org/officeDocument/2006/relationships/hyperlink" Target="https://www.nhis.or.kr/english/wbheaa03500m01.do?mode=download&amp;articleNo=10835244&amp;attachNo=345794" TargetMode="External"/><Relationship Id="rId47" Type="http://schemas.openxmlformats.org/officeDocument/2006/relationships/hyperlink" Target="https://pmc.ncbi.nlm.nih.gov/articles/PMC8325551/" TargetMode="External"/><Relationship Id="rId50" Type="http://schemas.openxmlformats.org/officeDocument/2006/relationships/hyperlink" Target="https://www.sanidad.gob.es/organizacion/sns/home.htm" TargetMode="External"/><Relationship Id="rId55" Type="http://schemas.openxmlformats.org/officeDocument/2006/relationships/hyperlink" Target="https://www.theguardian.com/world/2017/jan/04/the-canada-experiment-is-this-the-worlds-first-postnational-country" TargetMode="External"/><Relationship Id="rId63" Type="http://schemas.openxmlformats.org/officeDocument/2006/relationships/fontTable" Target="fontTable.xml"/><Relationship Id="rId7" Type="http://schemas.openxmlformats.org/officeDocument/2006/relationships/hyperlink" Target="https://www.aljazeera.com/news/2024/8/8/socialist-salvador-illa-elected-leader-of-spains-catalonia" TargetMode="External"/><Relationship Id="rId2" Type="http://schemas.openxmlformats.org/officeDocument/2006/relationships/styles" Target="styles.xml"/><Relationship Id="rId16" Type="http://schemas.openxmlformats.org/officeDocument/2006/relationships/hyperlink" Target="https://link.springer.com/content/pdf/10.1007/s11356-022-22024-w.pdf" TargetMode="External"/><Relationship Id="rId29" Type="http://schemas.openxmlformats.org/officeDocument/2006/relationships/hyperlink" Target="https://www.jiera.ir/article_192984_7fc4ff4bf8ee47ffbbff9d12d8029d04.pdf" TargetMode="External"/><Relationship Id="rId11" Type="http://schemas.openxmlformats.org/officeDocument/2006/relationships/hyperlink" Target="https://www.bbc.com/news/world-asia-51836898" TargetMode="External"/><Relationship Id="rId24" Type="http://schemas.openxmlformats.org/officeDocument/2006/relationships/hyperlink" Target="https://european-union.europa.eu/principles-countries-history/eu-countries/spain_en" TargetMode="External"/><Relationship Id="rId32" Type="http://schemas.openxmlformats.org/officeDocument/2006/relationships/hyperlink" Target="https://www.thelancet.com/pdfs/journals/lanpub/PIIS2468-2667(22)00001-9.pdf" TargetMode="External"/><Relationship Id="rId37" Type="http://schemas.openxmlformats.org/officeDocument/2006/relationships/hyperlink" Target="https://www.frontiersin.org/journals/public-health/articles/10.3389/fpubh.2023.1285552/pdf" TargetMode="External"/><Relationship Id="rId40" Type="http://schemas.openxmlformats.org/officeDocument/2006/relationships/hyperlink" Target="https://link.springer.com/content/pdf/10.1186/s12913-021-07202-9.pdf" TargetMode="External"/><Relationship Id="rId45" Type="http://schemas.openxmlformats.org/officeDocument/2006/relationships/hyperlink" Target="https://www.torrossa.com/gs/resourceProxy?an=5542915&amp;publisher=FZ7200" TargetMode="External"/><Relationship Id="rId53" Type="http://schemas.openxmlformats.org/officeDocument/2006/relationships/hyperlink" Target="https://www.statista.com/statistics/831668/density-of-hospital-beds-canada/?srsltid=AfmBOopFP0JfS0Ot3zpKZYPVKTEI2oGWtS6YwTq5Myoicj6gObr7ALH8" TargetMode="External"/><Relationship Id="rId58" Type="http://schemas.openxmlformats.org/officeDocument/2006/relationships/hyperlink" Target="https://www3.weforum.org/docs/WEF_PHSSR_CAPRI_Korea_2024.pdf" TargetMode="External"/><Relationship Id="rId5" Type="http://schemas.openxmlformats.org/officeDocument/2006/relationships/image" Target="media/image1.png"/><Relationship Id="rId61" Type="http://schemas.openxmlformats.org/officeDocument/2006/relationships/hyperlink" Target="https://www.researchgate.net/profile/Douglas-Youvan/publication/381805393_Decentralization_and_Localism_A_Path_to_Empowered_Governance_and_Community_Resilience/links/667fb6ec0a25e27fbc14eaab/Decentralization-and-Localism-A-Path-to-Empowered-Governance-and-Community-Resilience.pdf" TargetMode="External"/><Relationship Id="rId19" Type="http://schemas.openxmlformats.org/officeDocument/2006/relationships/hyperlink" Target="https://data.worldbank.org/indicator/SH.MED.BEDS.ZS?locations=CA" TargetMode="External"/><Relationship Id="rId14" Type="http://schemas.openxmlformats.org/officeDocument/2006/relationships/hyperlink" Target="https://catalangovernment.eu/catalangovernment/president/biography" TargetMode="External"/><Relationship Id="rId22" Type="http://schemas.openxmlformats.org/officeDocument/2006/relationships/hyperlink" Target="https://journals.sagepub.com/doi/pdf/10.1177/1059601120955034" TargetMode="External"/><Relationship Id="rId27" Type="http://schemas.openxmlformats.org/officeDocument/2006/relationships/hyperlink" Target="https://www.forumfed.org/pubs/occasional_papers/OCP4.pdf" TargetMode="External"/><Relationship Id="rId30" Type="http://schemas.openxmlformats.org/officeDocument/2006/relationships/hyperlink" Target="https://www.nature.com/articles/s41591-021-01381-y.pdf" TargetMode="External"/><Relationship Id="rId35" Type="http://schemas.openxmlformats.org/officeDocument/2006/relationships/hyperlink" Target="https://www.koreabiomed.com/news/articleView.html?idxno=28419" TargetMode="External"/><Relationship Id="rId43" Type="http://schemas.openxmlformats.org/officeDocument/2006/relationships/hyperlink" Target="https://www.oecd.org/content/dam/oecd/en/publications/reports/2020/03/oecd-reviews-of-public-health-korea_335bc8ac/be2b7063-en.pdf" TargetMode="External"/><Relationship Id="rId48" Type="http://schemas.openxmlformats.org/officeDocument/2006/relationships/hyperlink" Target="https://portal.cor.europa.eu/divisionpowers/Pages/Spain-Fiscal-Powers.aspx" TargetMode="External"/><Relationship Id="rId56" Type="http://schemas.openxmlformats.org/officeDocument/2006/relationships/hyperlink" Target="https://www.thehindu.com/opinion/op-ed/the-critical-role-of-decentralised-responses/article31782116.ece" TargetMode="External"/><Relationship Id="rId64" Type="http://schemas.openxmlformats.org/officeDocument/2006/relationships/theme" Target="theme/theme1.xml"/><Relationship Id="rId8" Type="http://schemas.openxmlformats.org/officeDocument/2006/relationships/hyperlink" Target="https://annalsofglobalhealth.org/articles/10.5334/aogh.2993" TargetMode="External"/><Relationship Id="rId51" Type="http://schemas.openxmlformats.org/officeDocument/2006/relationships/hyperlink" Target="https://www.acpjournals.org/doi/pdf/10.7326/M20-4076" TargetMode="External"/><Relationship Id="rId3" Type="http://schemas.openxmlformats.org/officeDocument/2006/relationships/settings" Target="settings.xml"/><Relationship Id="rId12" Type="http://schemas.openxmlformats.org/officeDocument/2006/relationships/hyperlink" Target="https://www.bsg.ox.ac.uk/sites/default/files/2021-03/BSG-WP-2021-039.pdf" TargetMode="External"/><Relationship Id="rId17" Type="http://schemas.openxmlformats.org/officeDocument/2006/relationships/hyperlink" Target="https://www.commonwealthfund.org/international-health-policy-center/countries/canada" TargetMode="External"/><Relationship Id="rId25" Type="http://schemas.openxmlformats.org/officeDocument/2006/relationships/hyperlink" Target="https://search.proquest.com/openview/d389f225457a852bb0fa3b2abba35125/1.pdf?pq-origsite=gscholar&amp;cbl=18750&amp;diss=y" TargetMode="External"/><Relationship Id="rId33" Type="http://schemas.openxmlformats.org/officeDocument/2006/relationships/hyperlink" Target="https://www.researchgate.net/profile/Vipin-Jain-13/publication/359801092_A_Study_on_Leadership_Management_Principles_Theories_and_Educational_Management/links/6638cafd08aa54017ae039fc/A-Study-on-Leadership-Management-Principles-Theories-and-Educational-Management.pdf" TargetMode="External"/><Relationship Id="rId38" Type="http://schemas.openxmlformats.org/officeDocument/2006/relationships/hyperlink" Target="https://onlinelibrary.wiley.com/doi/pdf/10.1111/capa.12441" TargetMode="External"/><Relationship Id="rId46" Type="http://schemas.openxmlformats.org/officeDocument/2006/relationships/hyperlink" Target="https://pmc.ncbi.nlm.nih.gov/articles/PMC11532827/" TargetMode="External"/><Relationship Id="rId59" Type="http://schemas.openxmlformats.org/officeDocument/2006/relationships/hyperlink" Target="https://pmc.ncbi.nlm.nih.gov/articles/PMC9187509/pdf/main.pdf" TargetMode="External"/><Relationship Id="rId20" Type="http://schemas.openxmlformats.org/officeDocument/2006/relationships/hyperlink" Target="https://books.google.com/books?hl=en&amp;lr=&amp;id=F-r3EAAAQBAJ&amp;oi=fnd&amp;pg=PA1&amp;dq=Relationship+Leadership+Theory+&amp;ots=FRjquDWaRv&amp;sig=3c2iP7rEe-mBAThvhaEp85OA7HA" TargetMode="External"/><Relationship Id="rId41" Type="http://schemas.openxmlformats.org/officeDocument/2006/relationships/hyperlink" Target="http://www.nhis.or.kr/english/index.do" TargetMode="External"/><Relationship Id="rId54" Type="http://schemas.openxmlformats.org/officeDocument/2006/relationships/hyperlink" Target="https://www.theguardian.com/world/2025/oct/16/catalonia-socialist-president-salvador-illa-tackling-inequality-separatist-far-right-coexistence-madrid" TargetMode="External"/><Relationship Id="rId62" Type="http://schemas.openxmlformats.org/officeDocument/2006/relationships/hyperlink" Target="https://journals.plos.org/plosmedicine/article?id=10.1371/journal.pmed.1004364&amp;trk=public_post_comment-text" TargetMode="Externa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hyperlink" Target="https://link.springer.com/content/pdf/10.1186/s12992-021-00672-w.pdf" TargetMode="External"/><Relationship Id="rId23" Type="http://schemas.openxmlformats.org/officeDocument/2006/relationships/hyperlink" Target="https://www.euronews.com/my-europe/2024/08/10/salvador-illa-sworn-in-as-new-catalonia-president-ending-decades-long-separatist-governmen" TargetMode="External"/><Relationship Id="rId28" Type="http://schemas.openxmlformats.org/officeDocument/2006/relationships/hyperlink" Target="https://www.mdpi.com/2071-1050/15/9/7403" TargetMode="External"/><Relationship Id="rId36" Type="http://schemas.openxmlformats.org/officeDocument/2006/relationships/hyperlink" Target="https://direct.mit.edu/asep/article-pdf/20/2/41/1919451/asep_a_00803.pdf" TargetMode="External"/><Relationship Id="rId49" Type="http://schemas.openxmlformats.org/officeDocument/2006/relationships/hyperlink" Target="https://www.facetsjournal.com/doi/pdf/10.1139/facets-2020-0075?download=true" TargetMode="External"/><Relationship Id="rId57" Type="http://schemas.openxmlformats.org/officeDocument/2006/relationships/hyperlink" Target="https://timesofindia.indiatimes.com/india/we-cannot-abide-canada-pm-trudeau-accuses-india-of-covert-ops-coercion-threats-amid-row/articleshow/114228244.cms" TargetMode="External"/><Relationship Id="rId10" Type="http://schemas.openxmlformats.org/officeDocument/2006/relationships/hyperlink" Target="https://link.springer.com/chapter/10.1007/978-3-030-88863-3_10" TargetMode="External"/><Relationship Id="rId31" Type="http://schemas.openxmlformats.org/officeDocument/2006/relationships/hyperlink" Target="https://link.springer.com/content/pdf/10.1186/s12889-024-19655-8.pdf" TargetMode="External"/><Relationship Id="rId44" Type="http://schemas.openxmlformats.org/officeDocument/2006/relationships/hyperlink" Target="https://www.parl.ca/documentviewer/en/44-1/DEDC/report-3/page-36" TargetMode="External"/><Relationship Id="rId52" Type="http://schemas.openxmlformats.org/officeDocument/2006/relationships/hyperlink" Target="http://www.snuh.org/global/en/main.do" TargetMode="External"/><Relationship Id="rId60" Type="http://schemas.openxmlformats.org/officeDocument/2006/relationships/hyperlink" Target="https://pmc.ncbi.nlm.nih.gov/articles/PMC7927652/pdf/main.pdf" TargetMode="External"/><Relationship Id="rId4" Type="http://schemas.openxmlformats.org/officeDocument/2006/relationships/webSettings" Target="webSettings.xml"/><Relationship Id="rId9" Type="http://schemas.openxmlformats.org/officeDocument/2006/relationships/hyperlink" Target="https://www.taylorfrancis.com/chapters/edit/10.4324/9781032619385-6/five-level-model-positive-organizational-behavior-emotions-neal-ashkanasy-momo-kroma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24</Pages>
  <Words>7889</Words>
  <Characters>44970</Characters>
  <Application>Microsoft Office Word</Application>
  <DocSecurity>0</DocSecurity>
  <Lines>374</Lines>
  <Paragraphs>105</Paragraphs>
  <ScaleCrop>false</ScaleCrop>
  <Company/>
  <LinksUpToDate>false</LinksUpToDate>
  <CharactersWithSpaces>52754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Baisali Bhattacharjee</dc:creator>
  <cp:lastModifiedBy>vishwalmakwana9999@outlook.com</cp:lastModifiedBy>
  <cp:revision>2</cp:revision>
  <dcterms:created xsi:type="dcterms:W3CDTF">2025-12-16T12:41:00Z</dcterms:created>
  <dcterms:modified xsi:type="dcterms:W3CDTF">2025-12-16T12:41:00Z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9b24818a51754701a4be1c7d8c9269d8</vt:lpwstr>
  </property>
</Properties>
</file>