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E1025" w14:textId="66E76DDA" w:rsidR="00CF360B" w:rsidRDefault="0093257F" w:rsidP="00E15B80">
      <w:pPr>
        <w:spacing w:line="360" w:lineRule="auto"/>
        <w:rPr>
          <w:rFonts w:ascii="Times New Roman" w:hAnsi="Times New Roman" w:cs="Times New Roman"/>
          <w:b/>
          <w:bCs/>
          <w:sz w:val="24"/>
          <w:szCs w:val="24"/>
        </w:rPr>
      </w:pPr>
      <w:r w:rsidRPr="0093257F">
        <w:rPr>
          <w:rFonts w:ascii="Times New Roman" w:hAnsi="Times New Roman" w:cs="Times New Roman"/>
          <w:b/>
          <w:bCs/>
          <w:noProof/>
          <w:sz w:val="24"/>
          <w:szCs w:val="24"/>
        </w:rPr>
        <w:drawing>
          <wp:inline distT="0" distB="0" distL="0" distR="0" wp14:anchorId="1AAA121F" wp14:editId="0985F567">
            <wp:extent cx="5543591" cy="6953301"/>
            <wp:effectExtent l="0" t="0" r="0" b="0"/>
            <wp:docPr id="32653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53006" name=""/>
                    <pic:cNvPicPr/>
                  </pic:nvPicPr>
                  <pic:blipFill>
                    <a:blip r:embed="rId7"/>
                    <a:stretch>
                      <a:fillRect/>
                    </a:stretch>
                  </pic:blipFill>
                  <pic:spPr>
                    <a:xfrm>
                      <a:off x="0" y="0"/>
                      <a:ext cx="5543591" cy="6953301"/>
                    </a:xfrm>
                    <a:prstGeom prst="rect">
                      <a:avLst/>
                    </a:prstGeom>
                  </pic:spPr>
                </pic:pic>
              </a:graphicData>
            </a:graphic>
          </wp:inline>
        </w:drawing>
      </w:r>
    </w:p>
    <w:p w14:paraId="1C2E23C9" w14:textId="77777777" w:rsidR="00352BD9" w:rsidRDefault="00352BD9" w:rsidP="00E15B80">
      <w:pPr>
        <w:spacing w:line="360" w:lineRule="auto"/>
        <w:rPr>
          <w:rFonts w:ascii="Times New Roman" w:hAnsi="Times New Roman" w:cs="Times New Roman"/>
          <w:b/>
          <w:bCs/>
          <w:sz w:val="24"/>
          <w:szCs w:val="24"/>
        </w:rPr>
      </w:pPr>
    </w:p>
    <w:p w14:paraId="07C87706" w14:textId="77777777" w:rsidR="00E15B80" w:rsidRDefault="00E15B80" w:rsidP="00E15B80">
      <w:pPr>
        <w:spacing w:line="360" w:lineRule="auto"/>
        <w:rPr>
          <w:rFonts w:ascii="Times New Roman" w:hAnsi="Times New Roman" w:cs="Times New Roman"/>
          <w:sz w:val="24"/>
          <w:szCs w:val="24"/>
        </w:rPr>
      </w:pPr>
      <w:r w:rsidRPr="009469C5">
        <w:rPr>
          <w:rFonts w:ascii="Times New Roman" w:hAnsi="Times New Roman" w:cs="Times New Roman" w:hint="eastAsia"/>
          <w:sz w:val="24"/>
          <w:szCs w:val="24"/>
        </w:rPr>
        <w:t>Course: DBA</w:t>
      </w:r>
    </w:p>
    <w:p w14:paraId="61B294EE" w14:textId="0EBC67B2" w:rsidR="004A4E90" w:rsidRPr="009469C5" w:rsidRDefault="004A4E90" w:rsidP="00E15B80">
      <w:pPr>
        <w:spacing w:line="360" w:lineRule="auto"/>
        <w:rPr>
          <w:rFonts w:ascii="Times New Roman" w:hAnsi="Times New Roman" w:cs="Times New Roman"/>
          <w:sz w:val="24"/>
          <w:szCs w:val="24"/>
        </w:rPr>
      </w:pPr>
      <w:r>
        <w:rPr>
          <w:rFonts w:ascii="Times New Roman" w:hAnsi="Times New Roman" w:cs="Times New Roman"/>
          <w:sz w:val="24"/>
          <w:szCs w:val="24"/>
        </w:rPr>
        <w:t>Module</w:t>
      </w:r>
      <w:r w:rsidRPr="009469C5">
        <w:rPr>
          <w:rFonts w:ascii="Times New Roman" w:hAnsi="Times New Roman" w:cs="Times New Roman" w:hint="eastAsia"/>
          <w:sz w:val="24"/>
          <w:szCs w:val="24"/>
        </w:rPr>
        <w:t>:</w:t>
      </w:r>
      <w:r>
        <w:rPr>
          <w:rFonts w:ascii="Times New Roman" w:hAnsi="Times New Roman" w:cs="Times New Roman"/>
          <w:sz w:val="24"/>
          <w:szCs w:val="24"/>
        </w:rPr>
        <w:t xml:space="preserve"> Critical Literature Review for Doctoral Research</w:t>
      </w:r>
    </w:p>
    <w:p w14:paraId="308AE272" w14:textId="720705C3"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Name: Wong</w:t>
      </w:r>
      <w:r w:rsidR="00790864">
        <w:rPr>
          <w:rFonts w:ascii="Times New Roman" w:hAnsi="Times New Roman" w:cs="Times New Roman"/>
          <w:sz w:val="24"/>
          <w:szCs w:val="24"/>
        </w:rPr>
        <w:t xml:space="preserve"> Hang Tak Dixon</w:t>
      </w:r>
    </w:p>
    <w:p w14:paraId="5B1DEAE8" w14:textId="77777777" w:rsidR="00E15B80" w:rsidRPr="00E15B80" w:rsidRDefault="00E15B80" w:rsidP="00E15B80">
      <w:pPr>
        <w:spacing w:line="360" w:lineRule="auto"/>
        <w:rPr>
          <w:rFonts w:ascii="Times New Roman" w:hAnsi="Times New Roman" w:cs="Times New Roman"/>
          <w:sz w:val="24"/>
          <w:szCs w:val="24"/>
        </w:rPr>
      </w:pPr>
      <w:r w:rsidRPr="00E15B80">
        <w:rPr>
          <w:rFonts w:ascii="Times New Roman" w:hAnsi="Times New Roman" w:cs="Times New Roman" w:hint="eastAsia"/>
          <w:sz w:val="24"/>
          <w:szCs w:val="24"/>
        </w:rPr>
        <w:t>ID Number: 2429599</w:t>
      </w:r>
    </w:p>
    <w:p w14:paraId="13C5D411" w14:textId="774E75EE" w:rsidR="00E15B80" w:rsidRPr="005B6CC0" w:rsidRDefault="00E15B80" w:rsidP="00E15B80">
      <w:pPr>
        <w:spacing w:line="360" w:lineRule="auto"/>
        <w:rPr>
          <w:rFonts w:ascii="Times New Roman" w:eastAsia="PMingLiU" w:hAnsi="Times New Roman" w:cs="Times New Roman"/>
          <w:sz w:val="24"/>
          <w:szCs w:val="24"/>
          <w:lang w:eastAsia="zh-TW"/>
        </w:rPr>
      </w:pPr>
      <w:r w:rsidRPr="005B6CC0">
        <w:rPr>
          <w:rFonts w:ascii="Times New Roman" w:hAnsi="Times New Roman" w:cs="Times New Roman" w:hint="eastAsia"/>
          <w:sz w:val="24"/>
          <w:szCs w:val="24"/>
        </w:rPr>
        <w:t xml:space="preserve">Total Word Count: </w:t>
      </w:r>
      <w:r w:rsidR="00B3288D">
        <w:rPr>
          <w:rFonts w:ascii="Times New Roman" w:hAnsi="Times New Roman" w:cs="Times New Roman"/>
          <w:sz w:val="24"/>
          <w:szCs w:val="24"/>
        </w:rPr>
        <w:t>8,</w:t>
      </w:r>
      <w:r w:rsidR="008D3759">
        <w:rPr>
          <w:rFonts w:ascii="Times New Roman" w:hAnsi="Times New Roman" w:cs="Times New Roman"/>
          <w:sz w:val="24"/>
          <w:szCs w:val="24"/>
        </w:rPr>
        <w:t>118</w:t>
      </w:r>
      <w:r w:rsidR="0008077B">
        <w:rPr>
          <w:rFonts w:ascii="Times New Roman" w:hAnsi="Times New Roman" w:cs="Times New Roman"/>
          <w:sz w:val="24"/>
          <w:szCs w:val="24"/>
        </w:rPr>
        <w:t xml:space="preserve"> (</w:t>
      </w:r>
      <w:r w:rsidR="0008077B" w:rsidRPr="00B3288D">
        <w:rPr>
          <w:rFonts w:ascii="Times New Roman" w:hAnsi="Times New Roman" w:cs="Times New Roman"/>
          <w:i/>
          <w:iCs/>
          <w:sz w:val="24"/>
          <w:szCs w:val="24"/>
        </w:rPr>
        <w:t>excluding</w:t>
      </w:r>
      <w:r w:rsidR="00B3288D" w:rsidRPr="00B3288D">
        <w:rPr>
          <w:rFonts w:ascii="Times New Roman" w:hAnsi="Times New Roman" w:cs="Times New Roman"/>
          <w:i/>
          <w:iCs/>
          <w:sz w:val="24"/>
          <w:szCs w:val="24"/>
        </w:rPr>
        <w:t xml:space="preserve"> </w:t>
      </w:r>
      <w:r w:rsidR="0008077B" w:rsidRPr="00B3288D">
        <w:rPr>
          <w:rFonts w:ascii="Times New Roman" w:hAnsi="Times New Roman" w:cs="Times New Roman"/>
          <w:i/>
          <w:iCs/>
          <w:sz w:val="24"/>
          <w:szCs w:val="24"/>
        </w:rPr>
        <w:t>Section 2.10 References</w:t>
      </w:r>
      <w:r w:rsidR="00B3288D" w:rsidRPr="00B3288D">
        <w:rPr>
          <w:rFonts w:ascii="Times New Roman" w:eastAsia="PMingLiU" w:hAnsi="Times New Roman" w:cs="Times New Roman"/>
          <w:i/>
          <w:iCs/>
          <w:sz w:val="24"/>
          <w:szCs w:val="24"/>
          <w:lang w:eastAsia="zh-TW"/>
        </w:rPr>
        <w:t xml:space="preserve"> already been counted in Section 3</w:t>
      </w:r>
      <w:r w:rsidR="0008077B" w:rsidRPr="00B3288D">
        <w:rPr>
          <w:rFonts w:ascii="Times New Roman" w:hAnsi="Times New Roman" w:cs="Times New Roman"/>
          <w:sz w:val="24"/>
          <w:szCs w:val="24"/>
        </w:rPr>
        <w:t>)</w:t>
      </w:r>
    </w:p>
    <w:p w14:paraId="48984681" w14:textId="77777777" w:rsidR="00FA0601" w:rsidRDefault="00FA0601" w:rsidP="00FA0601">
      <w:pPr>
        <w:spacing w:line="360" w:lineRule="auto"/>
        <w:rPr>
          <w:rFonts w:ascii="Times New Roman" w:eastAsia="PMingLiU" w:hAnsi="Times New Roman" w:cs="Times New Roman"/>
          <w:sz w:val="24"/>
          <w:szCs w:val="24"/>
          <w:lang w:eastAsia="zh-TW"/>
        </w:rPr>
      </w:pPr>
    </w:p>
    <w:p w14:paraId="5CD55476" w14:textId="57B62C8B" w:rsidR="00FA0601" w:rsidRPr="001402DF" w:rsidRDefault="00FA0601" w:rsidP="00FA0601">
      <w:pPr>
        <w:spacing w:line="360" w:lineRule="auto"/>
        <w:rPr>
          <w:rFonts w:ascii="Times New Roman" w:eastAsia="PMingLiU" w:hAnsi="Times New Roman" w:cs="Times New Roman"/>
          <w:b/>
          <w:bCs/>
          <w:sz w:val="24"/>
          <w:szCs w:val="24"/>
          <w:lang w:eastAsia="zh-TW"/>
        </w:rPr>
      </w:pPr>
      <w:r w:rsidRPr="001402DF">
        <w:rPr>
          <w:rFonts w:ascii="Times New Roman" w:eastAsia="PMingLiU" w:hAnsi="Times New Roman" w:cs="Times New Roman"/>
          <w:b/>
          <w:bCs/>
          <w:sz w:val="24"/>
          <w:szCs w:val="24"/>
          <w:lang w:eastAsia="zh-TW"/>
        </w:rPr>
        <w:t xml:space="preserve">1. </w:t>
      </w:r>
      <w:r w:rsidR="00B33EDD">
        <w:rPr>
          <w:rFonts w:ascii="Times New Roman" w:eastAsia="PMingLiU" w:hAnsi="Times New Roman" w:cs="Times New Roman"/>
          <w:b/>
          <w:bCs/>
          <w:sz w:val="24"/>
          <w:szCs w:val="24"/>
          <w:lang w:eastAsia="zh-TW"/>
        </w:rPr>
        <w:t>OVERALL ABSTRACT</w:t>
      </w:r>
      <w:r w:rsidR="00333425">
        <w:rPr>
          <w:rFonts w:ascii="Times New Roman" w:eastAsia="PMingLiU" w:hAnsi="Times New Roman" w:cs="Times New Roman"/>
          <w:b/>
          <w:bCs/>
          <w:sz w:val="24"/>
          <w:szCs w:val="24"/>
          <w:lang w:eastAsia="zh-TW"/>
        </w:rPr>
        <w:t xml:space="preserve"> (</w:t>
      </w:r>
      <w:r w:rsidR="0008077B">
        <w:rPr>
          <w:rFonts w:ascii="Times New Roman" w:eastAsia="PMingLiU" w:hAnsi="Times New Roman" w:cs="Times New Roman"/>
          <w:b/>
          <w:bCs/>
          <w:sz w:val="24"/>
          <w:szCs w:val="24"/>
          <w:lang w:eastAsia="zh-TW"/>
        </w:rPr>
        <w:t>9</w:t>
      </w:r>
      <w:r w:rsidR="00B60C54">
        <w:rPr>
          <w:rFonts w:ascii="Times New Roman" w:eastAsia="PMingLiU" w:hAnsi="Times New Roman" w:cs="Times New Roman"/>
          <w:b/>
          <w:bCs/>
          <w:sz w:val="24"/>
          <w:szCs w:val="24"/>
          <w:lang w:eastAsia="zh-TW"/>
        </w:rPr>
        <w:t>94</w:t>
      </w:r>
      <w:r w:rsidR="00333425">
        <w:rPr>
          <w:rFonts w:ascii="Times New Roman" w:eastAsia="PMingLiU" w:hAnsi="Times New Roman" w:cs="Times New Roman"/>
          <w:b/>
          <w:bCs/>
          <w:sz w:val="24"/>
          <w:szCs w:val="24"/>
          <w:lang w:eastAsia="zh-TW"/>
        </w:rPr>
        <w:t xml:space="preserve"> words)</w:t>
      </w:r>
    </w:p>
    <w:p w14:paraId="2A599F96" w14:textId="77777777" w:rsidR="00FA0601" w:rsidRPr="00FA0601" w:rsidRDefault="00FA0601" w:rsidP="00FA0601">
      <w:pPr>
        <w:spacing w:line="360" w:lineRule="auto"/>
        <w:rPr>
          <w:rFonts w:ascii="Times New Roman" w:eastAsia="PMingLiU" w:hAnsi="Times New Roman" w:cs="Times New Roman"/>
          <w:sz w:val="24"/>
          <w:szCs w:val="24"/>
          <w:lang w:eastAsia="zh-TW"/>
        </w:rPr>
      </w:pPr>
    </w:p>
    <w:p w14:paraId="4236D84C" w14:textId="1896C78F" w:rsidR="00FA0601" w:rsidRPr="00435B0B" w:rsidRDefault="003D33C5" w:rsidP="00FA0601">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 xml:space="preserve">1.1 </w:t>
      </w:r>
      <w:r w:rsidR="00FA0601" w:rsidRPr="00435B0B">
        <w:rPr>
          <w:rFonts w:ascii="Times New Roman" w:eastAsia="PMingLiU" w:hAnsi="Times New Roman" w:cs="Times New Roman"/>
          <w:b/>
          <w:bCs/>
          <w:sz w:val="24"/>
          <w:szCs w:val="24"/>
          <w:lang w:eastAsia="zh-TW"/>
        </w:rPr>
        <w:t>Title</w:t>
      </w:r>
    </w:p>
    <w:p w14:paraId="0EF78AA4" w14:textId="6D438FAA" w:rsidR="00FA0601" w:rsidRPr="00FA0601" w:rsidRDefault="00FA0601" w:rsidP="00FA0601">
      <w:pPr>
        <w:spacing w:line="360" w:lineRule="auto"/>
        <w:rPr>
          <w:rFonts w:ascii="Times New Roman" w:eastAsia="PMingLiU" w:hAnsi="Times New Roman" w:cs="Times New Roman"/>
          <w:sz w:val="24"/>
          <w:szCs w:val="24"/>
          <w:lang w:eastAsia="zh-TW"/>
        </w:rPr>
      </w:pPr>
      <w:r w:rsidRPr="00FA0601">
        <w:rPr>
          <w:rFonts w:ascii="Times New Roman" w:eastAsia="PMingLiU" w:hAnsi="Times New Roman" w:cs="Times New Roman"/>
          <w:sz w:val="24"/>
          <w:szCs w:val="24"/>
          <w:lang w:eastAsia="zh-TW"/>
        </w:rPr>
        <w:t>Evaluating the Effectiveness of the Hong Kong New Capital Investment Entrant Scheme</w:t>
      </w:r>
    </w:p>
    <w:p w14:paraId="498E6CA6" w14:textId="77777777" w:rsidR="00FA0601" w:rsidRPr="00FA0601" w:rsidRDefault="00FA0601" w:rsidP="00FA0601">
      <w:pPr>
        <w:spacing w:line="360" w:lineRule="auto"/>
        <w:rPr>
          <w:rFonts w:ascii="Times New Roman" w:eastAsia="PMingLiU" w:hAnsi="Times New Roman" w:cs="Times New Roman"/>
          <w:sz w:val="24"/>
          <w:szCs w:val="24"/>
          <w:lang w:eastAsia="zh-TW"/>
        </w:rPr>
      </w:pPr>
    </w:p>
    <w:p w14:paraId="6256A182" w14:textId="668DCB66" w:rsidR="00AA379A" w:rsidRPr="00AA379A" w:rsidRDefault="003D33C5" w:rsidP="00FA0601">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 xml:space="preserve">1.2 </w:t>
      </w:r>
      <w:r w:rsidR="00900CDD">
        <w:rPr>
          <w:rFonts w:ascii="Times New Roman" w:eastAsia="PMingLiU" w:hAnsi="Times New Roman" w:cs="Times New Roman"/>
          <w:b/>
          <w:bCs/>
          <w:sz w:val="24"/>
          <w:szCs w:val="24"/>
          <w:lang w:eastAsia="zh-TW"/>
        </w:rPr>
        <w:t xml:space="preserve">Research </w:t>
      </w:r>
      <w:r w:rsidR="00FA0601" w:rsidRPr="00435B0B">
        <w:rPr>
          <w:rFonts w:ascii="Times New Roman" w:eastAsia="PMingLiU" w:hAnsi="Times New Roman" w:cs="Times New Roman"/>
          <w:b/>
          <w:bCs/>
          <w:sz w:val="24"/>
          <w:szCs w:val="24"/>
          <w:lang w:eastAsia="zh-TW"/>
        </w:rPr>
        <w:t xml:space="preserve">Problem </w:t>
      </w:r>
      <w:r w:rsidR="00900CDD">
        <w:rPr>
          <w:rFonts w:ascii="Times New Roman" w:eastAsia="PMingLiU" w:hAnsi="Times New Roman" w:cs="Times New Roman"/>
          <w:b/>
          <w:bCs/>
          <w:sz w:val="24"/>
          <w:szCs w:val="24"/>
          <w:lang w:eastAsia="zh-TW"/>
        </w:rPr>
        <w:t>Statement</w:t>
      </w:r>
    </w:p>
    <w:p w14:paraId="102BEB43" w14:textId="24C2F716" w:rsidR="00AA379A" w:rsidRPr="00AA379A" w:rsidRDefault="00AA379A" w:rsidP="00FA0601">
      <w:pPr>
        <w:spacing w:line="360" w:lineRule="auto"/>
        <w:rPr>
          <w:rFonts w:ascii="Times New Roman" w:eastAsia="PMingLiU" w:hAnsi="Times New Roman" w:cs="Times New Roman"/>
          <w:sz w:val="24"/>
          <w:szCs w:val="24"/>
          <w:lang w:eastAsia="zh-TW"/>
        </w:rPr>
      </w:pPr>
      <w:r w:rsidRPr="00AA379A">
        <w:rPr>
          <w:rFonts w:ascii="Times New Roman" w:hAnsi="Times New Roman" w:cs="Times New Roman"/>
          <w:sz w:val="24"/>
          <w:szCs w:val="24"/>
        </w:rPr>
        <w:t>Hong Kong relaunched the New Capital Investment Entrant Scheme (New CIES) in December 2023, mandating a minimum HK$30 million investment in designated assets to attract high-net-worth individuals (HNWIs) and entrepreneurial talent. While this policy seeks to bolster Hong Kong’s economic resilience and global competitiveness amid growing economic and geopolitical pressures, there is limited empirical evidence on the scheme’s effectiveness, particularly its long-term impacts, suitability of investment thresholds, integration of Environmental, Social, and Governance (ESG) and Diversity, Equity, and Inclusion (DEI)</w:t>
      </w:r>
      <w:r>
        <w:rPr>
          <w:rFonts w:ascii="Times New Roman" w:hAnsi="Times New Roman" w:cs="Times New Roman"/>
          <w:sz w:val="24"/>
          <w:szCs w:val="24"/>
        </w:rPr>
        <w:t xml:space="preserve"> </w:t>
      </w:r>
      <w:r w:rsidRPr="00AA379A">
        <w:rPr>
          <w:rFonts w:ascii="Times New Roman" w:hAnsi="Times New Roman" w:cs="Times New Roman"/>
          <w:sz w:val="24"/>
          <w:szCs w:val="24"/>
        </w:rPr>
        <w:t>criteria, and its performance relative to peer programmes in Singapore and Dubai.</w:t>
      </w:r>
    </w:p>
    <w:p w14:paraId="64E142AE" w14:textId="77777777" w:rsidR="00FA0601" w:rsidRPr="00FA0601" w:rsidRDefault="00FA0601" w:rsidP="00FA0601">
      <w:pPr>
        <w:spacing w:line="360" w:lineRule="auto"/>
        <w:rPr>
          <w:rFonts w:ascii="Times New Roman" w:eastAsia="PMingLiU" w:hAnsi="Times New Roman" w:cs="Times New Roman"/>
          <w:sz w:val="24"/>
          <w:szCs w:val="24"/>
          <w:lang w:eastAsia="zh-TW"/>
        </w:rPr>
      </w:pPr>
    </w:p>
    <w:p w14:paraId="67FE480D" w14:textId="7C954DDF" w:rsidR="00FA0601" w:rsidRPr="00435B0B" w:rsidRDefault="003D33C5" w:rsidP="00FA0601">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 xml:space="preserve">1.3 </w:t>
      </w:r>
      <w:r w:rsidR="00FA0601" w:rsidRPr="00435B0B">
        <w:rPr>
          <w:rFonts w:ascii="Times New Roman" w:eastAsia="PMingLiU" w:hAnsi="Times New Roman" w:cs="Times New Roman"/>
          <w:b/>
          <w:bCs/>
          <w:sz w:val="24"/>
          <w:szCs w:val="24"/>
          <w:lang w:eastAsia="zh-TW"/>
        </w:rPr>
        <w:t>Research Purpose Statement</w:t>
      </w:r>
    </w:p>
    <w:p w14:paraId="518DAB81" w14:textId="77777777" w:rsidR="00955CE8" w:rsidRDefault="00061003" w:rsidP="00955CE8">
      <w:pPr>
        <w:spacing w:line="360" w:lineRule="auto"/>
        <w:rPr>
          <w:rFonts w:ascii="Times New Roman" w:hAnsi="Times New Roman" w:cs="Times New Roman"/>
          <w:sz w:val="24"/>
          <w:szCs w:val="24"/>
        </w:rPr>
      </w:pPr>
      <w:r w:rsidRPr="00061003">
        <w:rPr>
          <w:rFonts w:ascii="Times New Roman" w:hAnsi="Times New Roman" w:cs="Times New Roman"/>
          <w:sz w:val="24"/>
          <w:szCs w:val="24"/>
        </w:rPr>
        <w:t xml:space="preserve">This qualitative study critically evaluates the New CIES’s effectiveness in attracting business talent and stimulating economic growth in Hong Kong. The research benchmarks the New CIES against international best practices — especially Singapore’s Global Investor Programme (GIP) and Dubai’s Investment Visa — investigating stakeholder perspectives, </w:t>
      </w:r>
      <w:r w:rsidR="00955CE8" w:rsidRPr="00255964">
        <w:rPr>
          <w:rFonts w:ascii="Times New Roman" w:hAnsi="Times New Roman" w:cs="Times New Roman"/>
          <w:sz w:val="24"/>
          <w:szCs w:val="24"/>
        </w:rPr>
        <w:t>stakeholders</w:t>
      </w:r>
      <w:r w:rsidR="00955CE8">
        <w:rPr>
          <w:rFonts w:ascii="Times New Roman" w:hAnsi="Times New Roman" w:cs="Times New Roman"/>
          <w:sz w:val="24"/>
          <w:szCs w:val="24"/>
        </w:rPr>
        <w:t xml:space="preserve"> </w:t>
      </w:r>
      <w:r w:rsidR="00955CE8" w:rsidRPr="00255964">
        <w:rPr>
          <w:rFonts w:ascii="Times New Roman" w:hAnsi="Times New Roman" w:cs="Times New Roman"/>
          <w:sz w:val="24"/>
          <w:szCs w:val="24"/>
        </w:rPr>
        <w:t>—</w:t>
      </w:r>
      <w:r w:rsidR="00955CE8">
        <w:rPr>
          <w:rFonts w:ascii="Times New Roman" w:hAnsi="Times New Roman" w:cs="Times New Roman"/>
          <w:sz w:val="24"/>
          <w:szCs w:val="24"/>
        </w:rPr>
        <w:t xml:space="preserve"> </w:t>
      </w:r>
      <w:r w:rsidR="00955CE8" w:rsidRPr="00255964">
        <w:rPr>
          <w:rFonts w:ascii="Times New Roman" w:hAnsi="Times New Roman" w:cs="Times New Roman"/>
          <w:sz w:val="24"/>
          <w:szCs w:val="24"/>
        </w:rPr>
        <w:t>including applicants, financial advisors, and policymakers operating in Hong Kong</w:t>
      </w:r>
      <w:r w:rsidR="00955CE8">
        <w:rPr>
          <w:rFonts w:ascii="Times New Roman" w:hAnsi="Times New Roman" w:cs="Times New Roman"/>
          <w:sz w:val="24"/>
          <w:szCs w:val="24"/>
        </w:rPr>
        <w:t xml:space="preserve"> </w:t>
      </w:r>
      <w:r w:rsidR="00955CE8" w:rsidRPr="00255964">
        <w:rPr>
          <w:rFonts w:ascii="Times New Roman" w:hAnsi="Times New Roman" w:cs="Times New Roman"/>
          <w:sz w:val="24"/>
          <w:szCs w:val="24"/>
        </w:rPr>
        <w:t>—</w:t>
      </w:r>
      <w:r w:rsidR="00955CE8">
        <w:rPr>
          <w:rFonts w:ascii="Times New Roman" w:hAnsi="Times New Roman" w:cs="Times New Roman"/>
          <w:sz w:val="24"/>
          <w:szCs w:val="24"/>
        </w:rPr>
        <w:t xml:space="preserve"> </w:t>
      </w:r>
      <w:r w:rsidR="00955CE8" w:rsidRPr="00255964">
        <w:rPr>
          <w:rFonts w:ascii="Times New Roman" w:hAnsi="Times New Roman" w:cs="Times New Roman"/>
          <w:sz w:val="24"/>
          <w:szCs w:val="24"/>
        </w:rPr>
        <w:t>benchmarking the scheme against best practices in comparable jurisdictions. Conducting in-depth interviews and comparative case analysis, the research seeks to identify strengths, weaknesses, and opportunities for policy improvement specifically within the Hong Kong context.</w:t>
      </w:r>
    </w:p>
    <w:p w14:paraId="3D6F69FA" w14:textId="42F94F5A" w:rsidR="00061003" w:rsidRPr="00061003" w:rsidRDefault="00061003" w:rsidP="00FA0601">
      <w:pPr>
        <w:spacing w:line="360" w:lineRule="auto"/>
        <w:rPr>
          <w:rFonts w:ascii="Times New Roman" w:eastAsia="PMingLiU" w:hAnsi="Times New Roman" w:cs="Times New Roman"/>
          <w:sz w:val="24"/>
          <w:szCs w:val="24"/>
          <w:lang w:eastAsia="zh-TW"/>
        </w:rPr>
      </w:pPr>
    </w:p>
    <w:p w14:paraId="2409324F" w14:textId="249AFF10" w:rsidR="00FA0601" w:rsidRPr="00435B0B" w:rsidRDefault="003D33C5" w:rsidP="00FA0601">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 xml:space="preserve">1.4 </w:t>
      </w:r>
      <w:r w:rsidR="00FA0601" w:rsidRPr="00435B0B">
        <w:rPr>
          <w:rFonts w:ascii="Times New Roman" w:eastAsia="PMingLiU" w:hAnsi="Times New Roman" w:cs="Times New Roman"/>
          <w:b/>
          <w:bCs/>
          <w:sz w:val="24"/>
          <w:szCs w:val="24"/>
          <w:lang w:eastAsia="zh-TW"/>
        </w:rPr>
        <w:t>Participant Information</w:t>
      </w:r>
    </w:p>
    <w:p w14:paraId="14C43900" w14:textId="3741B123" w:rsidR="009E5956" w:rsidRDefault="009E5956" w:rsidP="00FA0601">
      <w:pPr>
        <w:spacing w:line="360" w:lineRule="auto"/>
        <w:rPr>
          <w:rFonts w:ascii="Times New Roman" w:hAnsi="Times New Roman" w:cs="Times New Roman"/>
          <w:sz w:val="24"/>
          <w:szCs w:val="24"/>
        </w:rPr>
      </w:pPr>
      <w:r w:rsidRPr="009E5956">
        <w:rPr>
          <w:rFonts w:ascii="Times New Roman" w:hAnsi="Times New Roman" w:cs="Times New Roman"/>
          <w:sz w:val="24"/>
          <w:szCs w:val="24"/>
        </w:rPr>
        <w:t>This study will purposively recruit 20–30 participants from three key stakeholder group</w:t>
      </w:r>
      <w:r w:rsidR="00C03912">
        <w:rPr>
          <w:rFonts w:ascii="Times New Roman" w:hAnsi="Times New Roman" w:cs="Times New Roman"/>
          <w:sz w:val="24"/>
          <w:szCs w:val="24"/>
        </w:rPr>
        <w:t>s</w:t>
      </w:r>
      <w:r w:rsidRPr="009E5956">
        <w:rPr>
          <w:rFonts w:ascii="Times New Roman" w:hAnsi="Times New Roman" w:cs="Times New Roman"/>
          <w:sz w:val="24"/>
          <w:szCs w:val="24"/>
        </w:rPr>
        <w:t>:</w:t>
      </w:r>
    </w:p>
    <w:p w14:paraId="1528EC49" w14:textId="68551E8E" w:rsidR="009E5956" w:rsidRDefault="009E5956" w:rsidP="009E5956">
      <w:pPr>
        <w:pStyle w:val="ListParagraph"/>
        <w:numPr>
          <w:ilvl w:val="0"/>
          <w:numId w:val="31"/>
        </w:numPr>
        <w:spacing w:line="360" w:lineRule="auto"/>
        <w:rPr>
          <w:rFonts w:ascii="Times New Roman" w:hAnsi="Times New Roman" w:cs="Times New Roman"/>
          <w:sz w:val="24"/>
          <w:szCs w:val="24"/>
        </w:rPr>
      </w:pPr>
      <w:r w:rsidRPr="009E5956">
        <w:rPr>
          <w:rFonts w:ascii="Times New Roman" w:hAnsi="Times New Roman" w:cs="Times New Roman"/>
          <w:sz w:val="24"/>
          <w:szCs w:val="24"/>
        </w:rPr>
        <w:t>Applicants</w:t>
      </w:r>
      <w:r>
        <w:rPr>
          <w:rFonts w:ascii="Times New Roman" w:hAnsi="Times New Roman" w:cs="Times New Roman"/>
          <w:sz w:val="24"/>
          <w:szCs w:val="24"/>
        </w:rPr>
        <w:t xml:space="preserve"> </w:t>
      </w:r>
      <w:r w:rsidRPr="009E5956">
        <w:rPr>
          <w:rFonts w:ascii="Times New Roman" w:hAnsi="Times New Roman" w:cs="Times New Roman"/>
          <w:sz w:val="24"/>
          <w:szCs w:val="24"/>
        </w:rPr>
        <w:t>—</w:t>
      </w:r>
      <w:r>
        <w:rPr>
          <w:rFonts w:ascii="Times New Roman" w:hAnsi="Times New Roman" w:cs="Times New Roman"/>
          <w:sz w:val="24"/>
          <w:szCs w:val="24"/>
        </w:rPr>
        <w:t xml:space="preserve"> </w:t>
      </w:r>
      <w:r w:rsidRPr="009E5956">
        <w:rPr>
          <w:rFonts w:ascii="Times New Roman" w:hAnsi="Times New Roman" w:cs="Times New Roman"/>
          <w:sz w:val="24"/>
          <w:szCs w:val="24"/>
        </w:rPr>
        <w:t>HNWI</w:t>
      </w:r>
      <w:r w:rsidR="008679C6">
        <w:rPr>
          <w:rFonts w:ascii="Times New Roman" w:hAnsi="Times New Roman" w:cs="Times New Roman"/>
          <w:sz w:val="24"/>
          <w:szCs w:val="24"/>
        </w:rPr>
        <w:t>s</w:t>
      </w:r>
      <w:r w:rsidRPr="009E5956">
        <w:rPr>
          <w:rFonts w:ascii="Times New Roman" w:hAnsi="Times New Roman" w:cs="Times New Roman"/>
          <w:sz w:val="24"/>
          <w:szCs w:val="24"/>
        </w:rPr>
        <w:t xml:space="preserve"> who have applied for or participated in the New CIES;</w:t>
      </w:r>
    </w:p>
    <w:p w14:paraId="0B2D9065" w14:textId="1BFF13A6" w:rsidR="009E5956" w:rsidRDefault="009E5956" w:rsidP="009E5956">
      <w:pPr>
        <w:pStyle w:val="ListParagraph"/>
        <w:numPr>
          <w:ilvl w:val="0"/>
          <w:numId w:val="31"/>
        </w:numPr>
        <w:spacing w:line="360" w:lineRule="auto"/>
        <w:rPr>
          <w:rFonts w:ascii="Times New Roman" w:hAnsi="Times New Roman" w:cs="Times New Roman"/>
          <w:sz w:val="24"/>
          <w:szCs w:val="24"/>
        </w:rPr>
      </w:pPr>
      <w:r w:rsidRPr="009E5956">
        <w:rPr>
          <w:rFonts w:ascii="Times New Roman" w:hAnsi="Times New Roman" w:cs="Times New Roman"/>
          <w:sz w:val="24"/>
          <w:szCs w:val="24"/>
        </w:rPr>
        <w:t>Financial Service Providers</w:t>
      </w:r>
      <w:r>
        <w:rPr>
          <w:rFonts w:ascii="Times New Roman" w:hAnsi="Times New Roman" w:cs="Times New Roman"/>
          <w:sz w:val="24"/>
          <w:szCs w:val="24"/>
        </w:rPr>
        <w:t xml:space="preserve"> </w:t>
      </w:r>
      <w:r w:rsidRPr="009E5956">
        <w:rPr>
          <w:rFonts w:ascii="Times New Roman" w:hAnsi="Times New Roman" w:cs="Times New Roman"/>
          <w:sz w:val="24"/>
          <w:szCs w:val="24"/>
        </w:rPr>
        <w:t>—</w:t>
      </w:r>
      <w:r>
        <w:rPr>
          <w:rFonts w:ascii="Times New Roman" w:hAnsi="Times New Roman" w:cs="Times New Roman"/>
          <w:sz w:val="24"/>
          <w:szCs w:val="24"/>
        </w:rPr>
        <w:t xml:space="preserve"> </w:t>
      </w:r>
      <w:r w:rsidRPr="009E5956">
        <w:rPr>
          <w:rFonts w:ascii="Times New Roman" w:hAnsi="Times New Roman" w:cs="Times New Roman"/>
          <w:sz w:val="24"/>
          <w:szCs w:val="24"/>
        </w:rPr>
        <w:t>advisors, consultants, and asset managers active in Hong Kong’s investment migration field</w:t>
      </w:r>
      <w:r>
        <w:rPr>
          <w:rFonts w:ascii="Times New Roman" w:hAnsi="Times New Roman" w:cs="Times New Roman"/>
          <w:sz w:val="24"/>
          <w:szCs w:val="24"/>
        </w:rPr>
        <w:t>; and</w:t>
      </w:r>
    </w:p>
    <w:p w14:paraId="481DB3D7" w14:textId="638DD020" w:rsidR="009E5956" w:rsidRPr="00496514" w:rsidRDefault="009E5956" w:rsidP="00FA0601">
      <w:pPr>
        <w:pStyle w:val="ListParagraph"/>
        <w:numPr>
          <w:ilvl w:val="0"/>
          <w:numId w:val="31"/>
        </w:numPr>
        <w:spacing w:line="360" w:lineRule="auto"/>
        <w:rPr>
          <w:rFonts w:ascii="Times New Roman" w:hAnsi="Times New Roman" w:cs="Times New Roman"/>
          <w:sz w:val="24"/>
          <w:szCs w:val="24"/>
        </w:rPr>
      </w:pPr>
      <w:r w:rsidRPr="009E5956">
        <w:rPr>
          <w:rFonts w:ascii="Times New Roman" w:hAnsi="Times New Roman" w:cs="Times New Roman"/>
          <w:sz w:val="24"/>
          <w:szCs w:val="24"/>
        </w:rPr>
        <w:t>Government and Policy Stakeholders</w:t>
      </w:r>
      <w:r>
        <w:rPr>
          <w:rFonts w:ascii="Times New Roman" w:hAnsi="Times New Roman" w:cs="Times New Roman"/>
          <w:sz w:val="24"/>
          <w:szCs w:val="24"/>
        </w:rPr>
        <w:t xml:space="preserve"> </w:t>
      </w:r>
      <w:r w:rsidRPr="009E5956">
        <w:rPr>
          <w:rFonts w:ascii="Times New Roman" w:hAnsi="Times New Roman" w:cs="Times New Roman"/>
          <w:sz w:val="24"/>
          <w:szCs w:val="24"/>
        </w:rPr>
        <w:t>—</w:t>
      </w:r>
      <w:r>
        <w:rPr>
          <w:rFonts w:ascii="Times New Roman" w:hAnsi="Times New Roman" w:cs="Times New Roman"/>
          <w:sz w:val="24"/>
          <w:szCs w:val="24"/>
        </w:rPr>
        <w:t xml:space="preserve"> </w:t>
      </w:r>
      <w:r w:rsidRPr="009E5956">
        <w:rPr>
          <w:rFonts w:ascii="Times New Roman" w:hAnsi="Times New Roman" w:cs="Times New Roman"/>
          <w:sz w:val="24"/>
          <w:szCs w:val="24"/>
        </w:rPr>
        <w:t>officials involved in the scheme’s design or implementation.</w:t>
      </w:r>
    </w:p>
    <w:p w14:paraId="660C3255" w14:textId="52765A2E" w:rsidR="009E5956" w:rsidRDefault="009E5956" w:rsidP="00FA0601">
      <w:pPr>
        <w:spacing w:line="360" w:lineRule="auto"/>
        <w:rPr>
          <w:rFonts w:ascii="Times New Roman" w:hAnsi="Times New Roman" w:cs="Times New Roman"/>
          <w:sz w:val="24"/>
          <w:szCs w:val="24"/>
        </w:rPr>
      </w:pPr>
      <w:r w:rsidRPr="009E5956">
        <w:rPr>
          <w:rFonts w:ascii="Times New Roman" w:hAnsi="Times New Roman" w:cs="Times New Roman"/>
          <w:sz w:val="24"/>
          <w:szCs w:val="24"/>
        </w:rPr>
        <w:t>Participants will be recruited using professional networks, direct referrals, LinkedIn outreach, and formal invitations to government contacts. This approach ensures diversity of backgrounds, while guaranteeing relevance to Hong Kong’s New CIES context. The rationale for targeting these groups is to triangulate perspectives: applicants offer authentic insight on the scheme’s strengths and barriers; service providers deliver operational viewpoints; and policymakers contribute institutional and regulatory context.</w:t>
      </w:r>
    </w:p>
    <w:p w14:paraId="6B616B11" w14:textId="5BD719F8" w:rsidR="002805F6" w:rsidRDefault="009E5956" w:rsidP="00FA0601">
      <w:pPr>
        <w:spacing w:line="360" w:lineRule="auto"/>
        <w:rPr>
          <w:rFonts w:ascii="Times New Roman" w:hAnsi="Times New Roman" w:cs="Times New Roman"/>
          <w:sz w:val="24"/>
          <w:szCs w:val="24"/>
        </w:rPr>
      </w:pPr>
      <w:r w:rsidRPr="009E5956">
        <w:rPr>
          <w:rFonts w:ascii="Times New Roman" w:hAnsi="Times New Roman" w:cs="Times New Roman"/>
          <w:sz w:val="24"/>
          <w:szCs w:val="24"/>
        </w:rPr>
        <w:t>The researcher’s professional experience and established connections in Hong Kong’s financial and investment migration sectors enhance access to high-quality participants and build trust. These strengths ensure a robust, context-appropriate sample, maximising both the credibility and depth of the qualitative findings. This concrete sampling plan demonstrates a clear and practical pathway for effective participant recruitment and data collection.</w:t>
      </w:r>
    </w:p>
    <w:p w14:paraId="699AD361" w14:textId="77777777" w:rsidR="009E5956" w:rsidRPr="009E5956" w:rsidRDefault="009E5956" w:rsidP="00FA0601">
      <w:pPr>
        <w:spacing w:line="360" w:lineRule="auto"/>
        <w:rPr>
          <w:rFonts w:ascii="Times New Roman" w:eastAsia="PMingLiU" w:hAnsi="Times New Roman" w:cs="Times New Roman"/>
          <w:sz w:val="24"/>
          <w:szCs w:val="24"/>
          <w:lang w:eastAsia="zh-TW"/>
        </w:rPr>
      </w:pPr>
    </w:p>
    <w:p w14:paraId="2C5730C8" w14:textId="33496543" w:rsidR="00E517C1" w:rsidRDefault="003D33C5" w:rsidP="00E517C1">
      <w:pPr>
        <w:spacing w:line="360" w:lineRule="auto"/>
        <w:rPr>
          <w:rFonts w:ascii="Times New Roman" w:hAnsi="Times New Roman" w:cs="Times New Roman"/>
          <w:sz w:val="24"/>
          <w:szCs w:val="24"/>
        </w:rPr>
      </w:pPr>
      <w:r>
        <w:rPr>
          <w:rFonts w:ascii="Times New Roman" w:eastAsia="PMingLiU" w:hAnsi="Times New Roman" w:cs="Times New Roman"/>
          <w:b/>
          <w:bCs/>
          <w:sz w:val="24"/>
          <w:szCs w:val="24"/>
          <w:lang w:eastAsia="zh-TW"/>
        </w:rPr>
        <w:t xml:space="preserve">1.5 </w:t>
      </w:r>
      <w:r w:rsidR="00FA0601" w:rsidRPr="00435B0B">
        <w:rPr>
          <w:rFonts w:ascii="Times New Roman" w:eastAsia="PMingLiU" w:hAnsi="Times New Roman" w:cs="Times New Roman"/>
          <w:b/>
          <w:bCs/>
          <w:sz w:val="24"/>
          <w:szCs w:val="24"/>
          <w:lang w:eastAsia="zh-TW"/>
        </w:rPr>
        <w:t>Study Design, Approach, and Methods</w:t>
      </w:r>
      <w:r w:rsidR="00496514" w:rsidRPr="00496514">
        <w:rPr>
          <w:rFonts w:ascii="Times New Roman" w:hAnsi="Times New Roman" w:cs="Times New Roman"/>
          <w:sz w:val="24"/>
          <w:szCs w:val="24"/>
        </w:rPr>
        <w:br/>
        <w:t>This research adopts a qualitative, evaluative case-study approach, focusing on the New CIES as the principal case. The New CIES is studied in depth, with explicit benchmarking against similar investment migration schemes in Singapore</w:t>
      </w:r>
      <w:r w:rsidR="00E24914">
        <w:rPr>
          <w:rFonts w:ascii="Times New Roman" w:hAnsi="Times New Roman" w:cs="Times New Roman"/>
          <w:sz w:val="24"/>
          <w:szCs w:val="24"/>
        </w:rPr>
        <w:t>’s GIP</w:t>
      </w:r>
      <w:r w:rsidR="00496514" w:rsidRPr="00496514">
        <w:rPr>
          <w:rFonts w:ascii="Times New Roman" w:hAnsi="Times New Roman" w:cs="Times New Roman"/>
          <w:sz w:val="24"/>
          <w:szCs w:val="24"/>
        </w:rPr>
        <w:t xml:space="preserve"> and Dubai</w:t>
      </w:r>
      <w:r w:rsidR="00E24914">
        <w:rPr>
          <w:rFonts w:ascii="Times New Roman" w:hAnsi="Times New Roman" w:cs="Times New Roman"/>
          <w:sz w:val="24"/>
          <w:szCs w:val="24"/>
        </w:rPr>
        <w:t xml:space="preserve">’s </w:t>
      </w:r>
      <w:r w:rsidR="00496514" w:rsidRPr="00496514">
        <w:rPr>
          <w:rFonts w:ascii="Times New Roman" w:hAnsi="Times New Roman" w:cs="Times New Roman"/>
          <w:sz w:val="24"/>
          <w:szCs w:val="24"/>
        </w:rPr>
        <w:t>Investment Visa Program to draw meaningful comparative insights. The case-study methodology suits the purpose of evaluating a contemporary, complex policy issue where context and stakeholder perceptions are highly significant.</w:t>
      </w:r>
      <w:r w:rsidR="00496514" w:rsidRPr="00496514">
        <w:rPr>
          <w:rFonts w:ascii="Times New Roman" w:hAnsi="Times New Roman" w:cs="Times New Roman"/>
          <w:sz w:val="24"/>
          <w:szCs w:val="24"/>
        </w:rPr>
        <w:br/>
      </w:r>
      <w:r w:rsidR="00496514" w:rsidRPr="00496514">
        <w:rPr>
          <w:rFonts w:ascii="Times New Roman" w:hAnsi="Times New Roman" w:cs="Times New Roman"/>
          <w:sz w:val="24"/>
          <w:szCs w:val="24"/>
        </w:rPr>
        <w:br/>
      </w:r>
      <w:r w:rsidR="00E517C1" w:rsidRPr="00E517C1">
        <w:rPr>
          <w:rFonts w:ascii="Times New Roman" w:hAnsi="Times New Roman" w:cs="Times New Roman"/>
          <w:sz w:val="24"/>
          <w:szCs w:val="24"/>
        </w:rPr>
        <w:t>Three core qualitative data collection methods are employed for triangulation in this study. First, semi-structured in-depth interviews are conducted either in-person or online with a purposively selected group of applicants, service providers, and policymakers. To ensure comprehensive and consistent coverage, a piloted interview guide is utilized, focusing on participants’ motivations, experiences, and comparative perspectives across the three chosen jurisdictions. Second, document analysis is systematically applied to official policy texts, application procedures, and other relevant documentation. Using a structured document analysis template, policy characteristics and their evolution over time are carefully examined and recorded. Third, observation is integrated into the research process: during the interviews, contextual and non-verbal cues are noted — always with the participant's consent</w:t>
      </w:r>
      <w:r w:rsidR="00E517C1">
        <w:rPr>
          <w:rFonts w:ascii="Times New Roman" w:hAnsi="Times New Roman" w:cs="Times New Roman"/>
          <w:sz w:val="24"/>
          <w:szCs w:val="24"/>
        </w:rPr>
        <w:t xml:space="preserve"> </w:t>
      </w:r>
      <w:r w:rsidR="00E517C1" w:rsidRPr="00E517C1">
        <w:rPr>
          <w:rFonts w:ascii="Times New Roman" w:hAnsi="Times New Roman" w:cs="Times New Roman"/>
          <w:sz w:val="24"/>
          <w:szCs w:val="24"/>
        </w:rPr>
        <w:t>—</w:t>
      </w:r>
      <w:r w:rsidR="00E517C1">
        <w:rPr>
          <w:rFonts w:ascii="Times New Roman" w:hAnsi="Times New Roman" w:cs="Times New Roman"/>
          <w:sz w:val="24"/>
          <w:szCs w:val="24"/>
        </w:rPr>
        <w:t xml:space="preserve"> </w:t>
      </w:r>
      <w:r w:rsidR="00E517C1" w:rsidRPr="00E517C1">
        <w:rPr>
          <w:rFonts w:ascii="Times New Roman" w:hAnsi="Times New Roman" w:cs="Times New Roman"/>
          <w:sz w:val="24"/>
          <w:szCs w:val="24"/>
        </w:rPr>
        <w:t>using an analytical observation sheet. This method enriches the overall analysis by providing additional depth and nuance to the qualitative findings.</w:t>
      </w:r>
    </w:p>
    <w:p w14:paraId="107C2499" w14:textId="77777777" w:rsidR="00E517C1" w:rsidRDefault="00E517C1" w:rsidP="00E517C1">
      <w:pPr>
        <w:spacing w:line="360" w:lineRule="auto"/>
      </w:pPr>
    </w:p>
    <w:p w14:paraId="60EDAA1E" w14:textId="3FF8A655" w:rsidR="00496514" w:rsidRDefault="00496514" w:rsidP="00E517C1">
      <w:pPr>
        <w:spacing w:line="360" w:lineRule="auto"/>
        <w:rPr>
          <w:rFonts w:ascii="Times New Roman" w:hAnsi="Times New Roman" w:cs="Times New Roman"/>
          <w:sz w:val="24"/>
          <w:szCs w:val="24"/>
        </w:rPr>
      </w:pPr>
      <w:r w:rsidRPr="00AC09C2">
        <w:rPr>
          <w:rFonts w:ascii="Times New Roman" w:hAnsi="Times New Roman" w:cs="Times New Roman"/>
          <w:sz w:val="24"/>
          <w:szCs w:val="24"/>
        </w:rPr>
        <w:t>Data will be analysed manually and, as needed, using qualitative analysis software (e.g., NVivo). The process follows iterative coding and re-coding: transcripts and documents are read and revisited multiple times, with codes and themes continually refined. Thematic synthesis will integrate findings from interviews, documents, and observations.</w:t>
      </w:r>
      <w:r w:rsidR="00E517C1">
        <w:rPr>
          <w:rFonts w:ascii="Times New Roman" w:hAnsi="Times New Roman" w:cs="Times New Roman"/>
          <w:sz w:val="24"/>
          <w:szCs w:val="24"/>
        </w:rPr>
        <w:t xml:space="preserve"> </w:t>
      </w:r>
      <w:r w:rsidRPr="00496514">
        <w:rPr>
          <w:rFonts w:ascii="Times New Roman" w:hAnsi="Times New Roman" w:cs="Times New Roman"/>
          <w:sz w:val="24"/>
          <w:szCs w:val="24"/>
        </w:rPr>
        <w:t>Triangulation across multiple sources ensures credibility, dependability, and transferability, aligning with best practices set out by Lincoln and Guba (1986). Analysis foregrounds rich description, audit trails, and stakeholder corroboration to enhance the trustworthiness and authenticity of results.</w:t>
      </w:r>
      <w:r w:rsidRPr="00496514">
        <w:rPr>
          <w:rFonts w:ascii="Times New Roman" w:hAnsi="Times New Roman" w:cs="Times New Roman"/>
          <w:sz w:val="24"/>
          <w:szCs w:val="24"/>
        </w:rPr>
        <w:br/>
      </w:r>
    </w:p>
    <w:p w14:paraId="7ABDF979" w14:textId="1C3282F1" w:rsidR="00BA48DA" w:rsidRPr="00496514" w:rsidRDefault="00496514" w:rsidP="00FA0601">
      <w:pPr>
        <w:spacing w:line="360" w:lineRule="auto"/>
        <w:rPr>
          <w:rFonts w:ascii="Times New Roman" w:hAnsi="Times New Roman" w:cs="Times New Roman"/>
          <w:sz w:val="24"/>
          <w:szCs w:val="24"/>
        </w:rPr>
      </w:pPr>
      <w:r w:rsidRPr="00496514">
        <w:rPr>
          <w:rFonts w:ascii="Times New Roman" w:hAnsi="Times New Roman" w:cs="Times New Roman"/>
          <w:sz w:val="24"/>
          <w:szCs w:val="24"/>
        </w:rPr>
        <w:t>In sum</w:t>
      </w:r>
      <w:r>
        <w:rPr>
          <w:rFonts w:ascii="Times New Roman" w:hAnsi="Times New Roman" w:cs="Times New Roman"/>
          <w:sz w:val="24"/>
          <w:szCs w:val="24"/>
        </w:rPr>
        <w:t>mary</w:t>
      </w:r>
      <w:r w:rsidRPr="00496514">
        <w:rPr>
          <w:rFonts w:ascii="Times New Roman" w:hAnsi="Times New Roman" w:cs="Times New Roman"/>
          <w:sz w:val="24"/>
          <w:szCs w:val="24"/>
        </w:rPr>
        <w:t xml:space="preserve">, this approach ensures a rigorous, in-depth qualitative evaluation of </w:t>
      </w:r>
      <w:r w:rsidR="00B037E9">
        <w:rPr>
          <w:rFonts w:ascii="Times New Roman" w:hAnsi="Times New Roman" w:cs="Times New Roman"/>
          <w:sz w:val="24"/>
          <w:szCs w:val="24"/>
        </w:rPr>
        <w:t>the</w:t>
      </w:r>
      <w:r w:rsidRPr="00496514">
        <w:rPr>
          <w:rFonts w:ascii="Times New Roman" w:hAnsi="Times New Roman" w:cs="Times New Roman"/>
          <w:sz w:val="24"/>
          <w:szCs w:val="24"/>
        </w:rPr>
        <w:t xml:space="preserve"> New CIES, drawing meaningful comparisons with leading regional schemes.</w:t>
      </w:r>
    </w:p>
    <w:p w14:paraId="356F8E28" w14:textId="77777777" w:rsidR="00496514" w:rsidRPr="00BA48DA" w:rsidRDefault="00496514" w:rsidP="00FA0601">
      <w:pPr>
        <w:spacing w:line="360" w:lineRule="auto"/>
        <w:rPr>
          <w:rFonts w:ascii="Times New Roman" w:eastAsia="PMingLiU" w:hAnsi="Times New Roman" w:cs="Times New Roman"/>
          <w:sz w:val="24"/>
          <w:szCs w:val="24"/>
          <w:lang w:eastAsia="zh-TW"/>
        </w:rPr>
      </w:pPr>
    </w:p>
    <w:p w14:paraId="1AE3BCA9" w14:textId="013AF281" w:rsidR="00FA0601" w:rsidRPr="00435B0B" w:rsidRDefault="003D33C5" w:rsidP="00FA0601">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 xml:space="preserve">1.6 </w:t>
      </w:r>
      <w:r w:rsidR="00FA0601" w:rsidRPr="00435B0B">
        <w:rPr>
          <w:rFonts w:ascii="Times New Roman" w:eastAsia="PMingLiU" w:hAnsi="Times New Roman" w:cs="Times New Roman"/>
          <w:b/>
          <w:bCs/>
          <w:sz w:val="24"/>
          <w:szCs w:val="24"/>
          <w:lang w:eastAsia="zh-TW"/>
        </w:rPr>
        <w:t>Significance of the Study</w:t>
      </w:r>
    </w:p>
    <w:p w14:paraId="7246BFF2" w14:textId="72B111ED" w:rsidR="0033280F" w:rsidRDefault="0051484F" w:rsidP="00FA0601">
      <w:pPr>
        <w:spacing w:line="360" w:lineRule="auto"/>
        <w:rPr>
          <w:rFonts w:ascii="Times New Roman" w:hAnsi="Times New Roman" w:cs="Times New Roman"/>
          <w:sz w:val="24"/>
          <w:szCs w:val="24"/>
        </w:rPr>
      </w:pPr>
      <w:r w:rsidRPr="0051484F">
        <w:rPr>
          <w:rFonts w:ascii="Times New Roman" w:hAnsi="Times New Roman" w:cs="Times New Roman"/>
          <w:sz w:val="24"/>
          <w:szCs w:val="24"/>
        </w:rPr>
        <w:t xml:space="preserve">This research advances the field of financial studies by exploring and theorizing threshold dynamics in migration policy frameworks across </w:t>
      </w:r>
      <w:r w:rsidR="00E911A1">
        <w:rPr>
          <w:rFonts w:ascii="Times New Roman" w:hAnsi="Times New Roman" w:cs="Times New Roman"/>
          <w:sz w:val="24"/>
          <w:szCs w:val="24"/>
        </w:rPr>
        <w:t>3</w:t>
      </w:r>
      <w:r w:rsidR="00285E33">
        <w:rPr>
          <w:rFonts w:ascii="Times New Roman" w:hAnsi="Times New Roman" w:cs="Times New Roman"/>
          <w:sz w:val="24"/>
          <w:szCs w:val="24"/>
        </w:rPr>
        <w:t xml:space="preserve"> </w:t>
      </w:r>
      <w:r w:rsidR="00D076CD">
        <w:rPr>
          <w:rFonts w:ascii="Times New Roman" w:hAnsi="Times New Roman" w:cs="Times New Roman"/>
          <w:sz w:val="24"/>
          <w:szCs w:val="24"/>
        </w:rPr>
        <w:t xml:space="preserve">leading </w:t>
      </w:r>
      <w:r w:rsidR="00285E33">
        <w:rPr>
          <w:rFonts w:ascii="Times New Roman" w:hAnsi="Times New Roman" w:cs="Times New Roman"/>
          <w:sz w:val="24"/>
          <w:szCs w:val="24"/>
        </w:rPr>
        <w:t>international</w:t>
      </w:r>
      <w:r w:rsidR="00E911A1">
        <w:rPr>
          <w:rFonts w:ascii="Times New Roman" w:hAnsi="Times New Roman" w:cs="Times New Roman"/>
          <w:sz w:val="24"/>
          <w:szCs w:val="24"/>
        </w:rPr>
        <w:t xml:space="preserve"> financial centr</w:t>
      </w:r>
      <w:r w:rsidR="00D076CD">
        <w:rPr>
          <w:rFonts w:ascii="Times New Roman" w:hAnsi="Times New Roman" w:cs="Times New Roman"/>
          <w:sz w:val="24"/>
          <w:szCs w:val="24"/>
        </w:rPr>
        <w:t>e</w:t>
      </w:r>
      <w:r w:rsidR="00E911A1">
        <w:rPr>
          <w:rFonts w:ascii="Times New Roman" w:hAnsi="Times New Roman" w:cs="Times New Roman"/>
          <w:sz w:val="24"/>
          <w:szCs w:val="24"/>
        </w:rPr>
        <w:t xml:space="preserve">s: </w:t>
      </w:r>
      <w:r w:rsidRPr="0051484F">
        <w:rPr>
          <w:rFonts w:ascii="Times New Roman" w:hAnsi="Times New Roman" w:cs="Times New Roman"/>
          <w:sz w:val="24"/>
          <w:szCs w:val="24"/>
        </w:rPr>
        <w:t>Hong Kong, Singapore, and Dubai. It addresses ongoing debates about the effectiveness of financial thresholds as proxies for human capital and the transferability of investment migration models between leading financial centres. By analysing the real-world impact and comparative rationale of policy thresholds, the study provides much-needed theoretical grounding, informing international policy discussions on talent attraction, financial regulation, and economic diversification within advanced global cities. The findings offer both academic and practical value to scholars and policymakers.</w:t>
      </w:r>
    </w:p>
    <w:p w14:paraId="2F219C44" w14:textId="77777777" w:rsidR="0051484F" w:rsidRPr="0051484F" w:rsidRDefault="0051484F" w:rsidP="00FA0601">
      <w:pPr>
        <w:spacing w:line="360" w:lineRule="auto"/>
        <w:rPr>
          <w:rFonts w:ascii="Times New Roman" w:eastAsia="PMingLiU" w:hAnsi="Times New Roman" w:cs="Times New Roman"/>
          <w:sz w:val="24"/>
          <w:szCs w:val="24"/>
          <w:lang w:eastAsia="zh-TW"/>
        </w:rPr>
      </w:pPr>
    </w:p>
    <w:p w14:paraId="26486375" w14:textId="5808EB58" w:rsidR="00FA0601" w:rsidRPr="00435B0B" w:rsidRDefault="003D33C5" w:rsidP="00FA0601">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 xml:space="preserve">1.7 </w:t>
      </w:r>
      <w:r w:rsidR="00FA0601" w:rsidRPr="00435B0B">
        <w:rPr>
          <w:rFonts w:ascii="Times New Roman" w:eastAsia="PMingLiU" w:hAnsi="Times New Roman" w:cs="Times New Roman"/>
          <w:b/>
          <w:bCs/>
          <w:sz w:val="24"/>
          <w:szCs w:val="24"/>
          <w:lang w:eastAsia="zh-TW"/>
        </w:rPr>
        <w:t>Limitations</w:t>
      </w:r>
    </w:p>
    <w:p w14:paraId="085FF579" w14:textId="444258FF" w:rsidR="0033280F" w:rsidRPr="00C16D1D" w:rsidRDefault="00C16D1D" w:rsidP="00FA0601">
      <w:pPr>
        <w:spacing w:line="360" w:lineRule="auto"/>
        <w:rPr>
          <w:rFonts w:ascii="Times New Roman" w:hAnsi="Times New Roman" w:cs="Times New Roman"/>
          <w:sz w:val="24"/>
          <w:szCs w:val="24"/>
        </w:rPr>
      </w:pPr>
      <w:r w:rsidRPr="00C16D1D">
        <w:rPr>
          <w:rFonts w:ascii="Times New Roman" w:hAnsi="Times New Roman" w:cs="Times New Roman"/>
          <w:sz w:val="24"/>
          <w:szCs w:val="24"/>
        </w:rPr>
        <w:t>The limitations of this research are primarily methodological, relating to the qualitative, exploratory nature of the inquiry. The purposeful selection and relatively small sample size may constrain representativeness; however, in line with qualitative standards, this study seeks information-rich cases rather than statistical generalisation. The goal is not to generalise findings but to offer in-depth, context-dependent insights</w:t>
      </w:r>
      <w:r w:rsidR="00A36AF0">
        <w:rPr>
          <w:rFonts w:ascii="Times New Roman" w:hAnsi="Times New Roman" w:cs="Times New Roman"/>
          <w:sz w:val="24"/>
          <w:szCs w:val="24"/>
        </w:rPr>
        <w:t xml:space="preserve"> </w:t>
      </w:r>
      <w:r w:rsidRPr="00C16D1D">
        <w:rPr>
          <w:rFonts w:ascii="Times New Roman" w:hAnsi="Times New Roman" w:cs="Times New Roman"/>
          <w:sz w:val="24"/>
          <w:szCs w:val="24"/>
        </w:rPr>
        <w:t>—</w:t>
      </w:r>
      <w:r w:rsidR="00A36AF0">
        <w:rPr>
          <w:rFonts w:ascii="Times New Roman" w:hAnsi="Times New Roman" w:cs="Times New Roman"/>
          <w:sz w:val="24"/>
          <w:szCs w:val="24"/>
        </w:rPr>
        <w:t xml:space="preserve"> </w:t>
      </w:r>
      <w:r w:rsidRPr="00C16D1D">
        <w:rPr>
          <w:rFonts w:ascii="Times New Roman" w:hAnsi="Times New Roman" w:cs="Times New Roman"/>
          <w:sz w:val="24"/>
          <w:szCs w:val="24"/>
        </w:rPr>
        <w:t>aligning with the study’s purpose of exploring stakeholder experiences and the effectiveness of migration policy frameworks within Hong Kong’s specific context.</w:t>
      </w:r>
      <w:r w:rsidRPr="00C16D1D">
        <w:rPr>
          <w:rFonts w:ascii="Times New Roman" w:hAnsi="Times New Roman" w:cs="Times New Roman"/>
          <w:sz w:val="24"/>
          <w:szCs w:val="24"/>
        </w:rPr>
        <w:br/>
        <w:t>Rather than a weakness, this lack of generalisability enhances the study’s transferability: readers can assess how the research insights may apply to similar settings based on “thick description” of the cases and context. The qualitative approach allows nuanced examination of experiences, motivations, and policy outcomes as they unfold in practice. Where limitations are identified (e.g., scope, sample diversity), these are addressed through triangulation across data sources and rigorous documentation of methods and analytic decisions. In this way, the study maintains credibility and dependability, openly acknowledging boundaries while maximising the value, depth, and relevance of its findings for scholarly and policy audiences.</w:t>
      </w:r>
    </w:p>
    <w:p w14:paraId="36B7A2F7" w14:textId="77777777" w:rsidR="00C16D1D" w:rsidRPr="0033280F" w:rsidRDefault="00C16D1D" w:rsidP="00FA0601">
      <w:pPr>
        <w:spacing w:line="360" w:lineRule="auto"/>
        <w:rPr>
          <w:rFonts w:ascii="Times New Roman" w:eastAsia="PMingLiU" w:hAnsi="Times New Roman" w:cs="Times New Roman"/>
          <w:sz w:val="24"/>
          <w:szCs w:val="24"/>
          <w:lang w:eastAsia="zh-TW"/>
        </w:rPr>
      </w:pPr>
    </w:p>
    <w:p w14:paraId="504F682C" w14:textId="02A0F129" w:rsidR="00FA0601" w:rsidRPr="00435B0B" w:rsidRDefault="003D33C5" w:rsidP="00FA0601">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 xml:space="preserve">1.8 </w:t>
      </w:r>
      <w:r w:rsidR="00FA0601" w:rsidRPr="00435B0B">
        <w:rPr>
          <w:rFonts w:ascii="Times New Roman" w:eastAsia="PMingLiU" w:hAnsi="Times New Roman" w:cs="Times New Roman"/>
          <w:b/>
          <w:bCs/>
          <w:sz w:val="24"/>
          <w:szCs w:val="24"/>
          <w:lang w:eastAsia="zh-TW"/>
        </w:rPr>
        <w:t>Keywords</w:t>
      </w:r>
    </w:p>
    <w:p w14:paraId="5BF39EC9" w14:textId="32CBA6DF" w:rsidR="00FA0601" w:rsidRPr="001022E0" w:rsidRDefault="00FA0601" w:rsidP="001022E0">
      <w:pPr>
        <w:pStyle w:val="ListParagraph"/>
        <w:numPr>
          <w:ilvl w:val="0"/>
          <w:numId w:val="22"/>
        </w:numPr>
        <w:spacing w:line="360" w:lineRule="auto"/>
        <w:rPr>
          <w:rFonts w:ascii="Times New Roman" w:eastAsia="PMingLiU" w:hAnsi="Times New Roman" w:cs="Times New Roman"/>
          <w:sz w:val="24"/>
          <w:szCs w:val="24"/>
          <w:lang w:eastAsia="zh-TW"/>
        </w:rPr>
      </w:pPr>
      <w:r w:rsidRPr="001022E0">
        <w:rPr>
          <w:rFonts w:ascii="Times New Roman" w:eastAsia="PMingLiU" w:hAnsi="Times New Roman" w:cs="Times New Roman"/>
          <w:sz w:val="24"/>
          <w:szCs w:val="24"/>
          <w:lang w:eastAsia="zh-TW"/>
        </w:rPr>
        <w:t>Investment migration</w:t>
      </w:r>
    </w:p>
    <w:p w14:paraId="4DC2CA59" w14:textId="120FC40E" w:rsidR="00FA0601" w:rsidRPr="001022E0" w:rsidRDefault="00FA0601" w:rsidP="001022E0">
      <w:pPr>
        <w:pStyle w:val="ListParagraph"/>
        <w:numPr>
          <w:ilvl w:val="0"/>
          <w:numId w:val="22"/>
        </w:numPr>
        <w:spacing w:line="360" w:lineRule="auto"/>
        <w:rPr>
          <w:rFonts w:ascii="Times New Roman" w:eastAsia="PMingLiU" w:hAnsi="Times New Roman" w:cs="Times New Roman"/>
          <w:sz w:val="24"/>
          <w:szCs w:val="24"/>
          <w:lang w:eastAsia="zh-TW"/>
        </w:rPr>
      </w:pPr>
      <w:r w:rsidRPr="001022E0">
        <w:rPr>
          <w:rFonts w:ascii="Times New Roman" w:eastAsia="PMingLiU" w:hAnsi="Times New Roman" w:cs="Times New Roman"/>
          <w:sz w:val="24"/>
          <w:szCs w:val="24"/>
          <w:lang w:eastAsia="zh-TW"/>
        </w:rPr>
        <w:t>Hong Kong</w:t>
      </w:r>
      <w:r w:rsidR="00961318">
        <w:rPr>
          <w:rFonts w:ascii="Times New Roman" w:eastAsia="PMingLiU" w:hAnsi="Times New Roman" w:cs="Times New Roman"/>
          <w:sz w:val="24"/>
          <w:szCs w:val="24"/>
          <w:lang w:eastAsia="zh-TW"/>
        </w:rPr>
        <w:t xml:space="preserve"> </w:t>
      </w:r>
      <w:r w:rsidR="0029777E">
        <w:rPr>
          <w:rFonts w:ascii="Times New Roman" w:eastAsia="PMingLiU" w:hAnsi="Times New Roman" w:cs="Times New Roman"/>
          <w:sz w:val="24"/>
          <w:szCs w:val="24"/>
          <w:lang w:eastAsia="zh-TW"/>
        </w:rPr>
        <w:t>New</w:t>
      </w:r>
      <w:r w:rsidR="005335D1">
        <w:rPr>
          <w:rFonts w:ascii="Times New Roman" w:eastAsia="PMingLiU" w:hAnsi="Times New Roman" w:cs="Times New Roman"/>
          <w:sz w:val="24"/>
          <w:szCs w:val="24"/>
          <w:lang w:eastAsia="zh-TW"/>
        </w:rPr>
        <w:t xml:space="preserve"> CIES</w:t>
      </w:r>
    </w:p>
    <w:p w14:paraId="6A14304B" w14:textId="45BFA5B2" w:rsidR="00FA0601" w:rsidRPr="001022E0" w:rsidRDefault="00FA0601" w:rsidP="001022E0">
      <w:pPr>
        <w:pStyle w:val="ListParagraph"/>
        <w:numPr>
          <w:ilvl w:val="0"/>
          <w:numId w:val="22"/>
        </w:numPr>
        <w:spacing w:line="360" w:lineRule="auto"/>
        <w:rPr>
          <w:rFonts w:ascii="Times New Roman" w:eastAsia="PMingLiU" w:hAnsi="Times New Roman" w:cs="Times New Roman"/>
          <w:sz w:val="24"/>
          <w:szCs w:val="24"/>
          <w:lang w:eastAsia="zh-TW"/>
        </w:rPr>
      </w:pPr>
      <w:r w:rsidRPr="001022E0">
        <w:rPr>
          <w:rFonts w:ascii="Times New Roman" w:eastAsia="PMingLiU" w:hAnsi="Times New Roman" w:cs="Times New Roman"/>
          <w:sz w:val="24"/>
          <w:szCs w:val="24"/>
          <w:lang w:eastAsia="zh-TW"/>
        </w:rPr>
        <w:t xml:space="preserve">Qualitative </w:t>
      </w:r>
      <w:r w:rsidR="008E068D">
        <w:rPr>
          <w:rFonts w:ascii="Times New Roman" w:eastAsia="PMingLiU" w:hAnsi="Times New Roman" w:cs="Times New Roman"/>
          <w:sz w:val="24"/>
          <w:szCs w:val="24"/>
          <w:lang w:eastAsia="zh-TW"/>
        </w:rPr>
        <w:t>study</w:t>
      </w:r>
    </w:p>
    <w:p w14:paraId="08A39BBC" w14:textId="44A326F7" w:rsidR="00FA0601" w:rsidRPr="001022E0" w:rsidRDefault="00FA0601" w:rsidP="001022E0">
      <w:pPr>
        <w:pStyle w:val="ListParagraph"/>
        <w:numPr>
          <w:ilvl w:val="0"/>
          <w:numId w:val="22"/>
        </w:numPr>
        <w:spacing w:line="360" w:lineRule="auto"/>
        <w:rPr>
          <w:rFonts w:ascii="Times New Roman" w:eastAsia="PMingLiU" w:hAnsi="Times New Roman" w:cs="Times New Roman"/>
          <w:sz w:val="24"/>
          <w:szCs w:val="24"/>
          <w:lang w:eastAsia="zh-TW"/>
        </w:rPr>
      </w:pPr>
      <w:r w:rsidRPr="001022E0">
        <w:rPr>
          <w:rFonts w:ascii="Times New Roman" w:eastAsia="PMingLiU" w:hAnsi="Times New Roman" w:cs="Times New Roman"/>
          <w:sz w:val="24"/>
          <w:szCs w:val="24"/>
          <w:lang w:eastAsia="zh-TW"/>
        </w:rPr>
        <w:t xml:space="preserve">Policy </w:t>
      </w:r>
      <w:r w:rsidR="008E068D">
        <w:rPr>
          <w:rFonts w:ascii="Times New Roman" w:eastAsia="PMingLiU" w:hAnsi="Times New Roman" w:cs="Times New Roman"/>
          <w:sz w:val="24"/>
          <w:szCs w:val="24"/>
          <w:lang w:eastAsia="zh-TW"/>
        </w:rPr>
        <w:t>effectiveness</w:t>
      </w:r>
    </w:p>
    <w:p w14:paraId="426B634F" w14:textId="6151435D" w:rsidR="00FA0601" w:rsidRPr="001022E0" w:rsidRDefault="00A70409" w:rsidP="001022E0">
      <w:pPr>
        <w:pStyle w:val="ListParagraph"/>
        <w:numPr>
          <w:ilvl w:val="0"/>
          <w:numId w:val="22"/>
        </w:numPr>
        <w:spacing w:line="360" w:lineRule="auto"/>
        <w:rPr>
          <w:rFonts w:ascii="Times New Roman" w:eastAsia="PMingLiU" w:hAnsi="Times New Roman" w:cs="Times New Roman"/>
          <w:sz w:val="24"/>
          <w:szCs w:val="24"/>
          <w:lang w:eastAsia="zh-TW"/>
        </w:rPr>
      </w:pPr>
      <w:r>
        <w:rPr>
          <w:rFonts w:ascii="Times New Roman" w:eastAsia="PMingLiU" w:hAnsi="Times New Roman" w:cs="Times New Roman"/>
          <w:sz w:val="24"/>
          <w:szCs w:val="24"/>
          <w:lang w:eastAsia="zh-TW"/>
        </w:rPr>
        <w:t>HNWI</w:t>
      </w:r>
      <w:r w:rsidR="00CE631B">
        <w:rPr>
          <w:rFonts w:ascii="Times New Roman" w:eastAsia="PMingLiU" w:hAnsi="Times New Roman" w:cs="Times New Roman"/>
          <w:sz w:val="24"/>
          <w:szCs w:val="24"/>
          <w:lang w:eastAsia="zh-TW"/>
        </w:rPr>
        <w:t>s</w:t>
      </w:r>
      <w:r>
        <w:rPr>
          <w:rFonts w:ascii="Times New Roman" w:eastAsia="PMingLiU" w:hAnsi="Times New Roman" w:cs="Times New Roman"/>
          <w:sz w:val="24"/>
          <w:szCs w:val="24"/>
          <w:lang w:eastAsia="zh-TW"/>
        </w:rPr>
        <w:t>/</w:t>
      </w:r>
      <w:r w:rsidR="00384009">
        <w:rPr>
          <w:rFonts w:ascii="Times New Roman" w:eastAsia="PMingLiU" w:hAnsi="Times New Roman" w:cs="Times New Roman"/>
          <w:sz w:val="24"/>
          <w:szCs w:val="24"/>
          <w:lang w:eastAsia="zh-TW"/>
        </w:rPr>
        <w:t>t</w:t>
      </w:r>
      <w:r w:rsidR="00FA0601" w:rsidRPr="001022E0">
        <w:rPr>
          <w:rFonts w:ascii="Times New Roman" w:eastAsia="PMingLiU" w:hAnsi="Times New Roman" w:cs="Times New Roman"/>
          <w:sz w:val="24"/>
          <w:szCs w:val="24"/>
          <w:lang w:eastAsia="zh-TW"/>
        </w:rPr>
        <w:t>alent attraction</w:t>
      </w:r>
    </w:p>
    <w:p w14:paraId="657C4F04" w14:textId="70DCD8A5" w:rsidR="00FA0601" w:rsidRPr="001022E0" w:rsidRDefault="00FA0601" w:rsidP="001022E0">
      <w:pPr>
        <w:pStyle w:val="ListParagraph"/>
        <w:numPr>
          <w:ilvl w:val="0"/>
          <w:numId w:val="22"/>
        </w:numPr>
        <w:spacing w:line="360" w:lineRule="auto"/>
        <w:rPr>
          <w:rFonts w:ascii="Times New Roman" w:eastAsia="PMingLiU" w:hAnsi="Times New Roman" w:cs="Times New Roman"/>
          <w:sz w:val="24"/>
          <w:szCs w:val="24"/>
          <w:lang w:eastAsia="zh-TW"/>
        </w:rPr>
      </w:pPr>
      <w:r w:rsidRPr="001022E0">
        <w:rPr>
          <w:rFonts w:ascii="Times New Roman" w:eastAsia="PMingLiU" w:hAnsi="Times New Roman" w:cs="Times New Roman"/>
          <w:sz w:val="24"/>
          <w:szCs w:val="24"/>
          <w:lang w:eastAsia="zh-TW"/>
        </w:rPr>
        <w:t xml:space="preserve">Economic </w:t>
      </w:r>
      <w:r w:rsidR="008E068D">
        <w:rPr>
          <w:rFonts w:ascii="Times New Roman" w:eastAsia="PMingLiU" w:hAnsi="Times New Roman" w:cs="Times New Roman"/>
          <w:sz w:val="24"/>
          <w:szCs w:val="24"/>
          <w:lang w:eastAsia="zh-TW"/>
        </w:rPr>
        <w:t>diversification</w:t>
      </w:r>
    </w:p>
    <w:p w14:paraId="00AF08A6" w14:textId="6CF028D6" w:rsidR="009A1835" w:rsidRPr="001022E0" w:rsidRDefault="00FA0601" w:rsidP="001022E0">
      <w:pPr>
        <w:pStyle w:val="ListParagraph"/>
        <w:numPr>
          <w:ilvl w:val="0"/>
          <w:numId w:val="22"/>
        </w:numPr>
        <w:spacing w:line="360" w:lineRule="auto"/>
        <w:rPr>
          <w:rFonts w:ascii="Times New Roman" w:eastAsia="PMingLiU" w:hAnsi="Times New Roman" w:cs="Times New Roman"/>
          <w:sz w:val="24"/>
          <w:szCs w:val="24"/>
          <w:lang w:eastAsia="zh-TW"/>
        </w:rPr>
      </w:pPr>
      <w:r w:rsidRPr="001022E0">
        <w:rPr>
          <w:rFonts w:ascii="Times New Roman" w:eastAsia="PMingLiU" w:hAnsi="Times New Roman" w:cs="Times New Roman"/>
          <w:sz w:val="24"/>
          <w:szCs w:val="24"/>
          <w:lang w:eastAsia="zh-TW"/>
        </w:rPr>
        <w:t>Comparative analysis</w:t>
      </w:r>
    </w:p>
    <w:p w14:paraId="58F70D0B" w14:textId="77777777" w:rsidR="00FA0601" w:rsidRDefault="00FA0601" w:rsidP="00FA0601">
      <w:pPr>
        <w:spacing w:line="360" w:lineRule="auto"/>
        <w:rPr>
          <w:rFonts w:ascii="Times New Roman" w:eastAsia="PMingLiU" w:hAnsi="Times New Roman" w:cs="Times New Roman"/>
          <w:sz w:val="24"/>
          <w:szCs w:val="24"/>
          <w:lang w:eastAsia="zh-TW"/>
        </w:rPr>
      </w:pPr>
    </w:p>
    <w:p w14:paraId="25861BB6" w14:textId="05CF4482" w:rsidR="009A1835" w:rsidRPr="009A1835" w:rsidRDefault="009A1835" w:rsidP="009A1835">
      <w:pPr>
        <w:spacing w:line="360" w:lineRule="auto"/>
        <w:rPr>
          <w:rFonts w:ascii="Times New Roman" w:eastAsia="PMingLiU" w:hAnsi="Times New Roman" w:cs="Times New Roman"/>
          <w:b/>
          <w:bCs/>
          <w:sz w:val="24"/>
          <w:szCs w:val="24"/>
          <w:lang w:eastAsia="zh-TW"/>
        </w:rPr>
      </w:pPr>
      <w:r w:rsidRPr="009A1835">
        <w:rPr>
          <w:rFonts w:ascii="Times New Roman" w:eastAsia="PMingLiU" w:hAnsi="Times New Roman" w:cs="Times New Roman"/>
          <w:b/>
          <w:bCs/>
          <w:sz w:val="24"/>
          <w:szCs w:val="24"/>
          <w:lang w:eastAsia="zh-TW"/>
        </w:rPr>
        <w:t>2. L</w:t>
      </w:r>
      <w:r w:rsidR="00B33EDD">
        <w:rPr>
          <w:rFonts w:ascii="Times New Roman" w:eastAsia="PMingLiU" w:hAnsi="Times New Roman" w:cs="Times New Roman"/>
          <w:b/>
          <w:bCs/>
          <w:sz w:val="24"/>
          <w:szCs w:val="24"/>
          <w:lang w:eastAsia="zh-TW"/>
        </w:rPr>
        <w:t>ITERATURE REVIEW</w:t>
      </w:r>
      <w:r w:rsidR="00333425">
        <w:rPr>
          <w:rFonts w:ascii="Times New Roman" w:eastAsia="PMingLiU" w:hAnsi="Times New Roman" w:cs="Times New Roman"/>
          <w:b/>
          <w:bCs/>
          <w:sz w:val="24"/>
          <w:szCs w:val="24"/>
          <w:lang w:eastAsia="zh-TW"/>
        </w:rPr>
        <w:t xml:space="preserve"> </w:t>
      </w:r>
      <w:r w:rsidR="00AC79A7">
        <w:rPr>
          <w:rFonts w:ascii="Times New Roman" w:eastAsia="PMingLiU" w:hAnsi="Times New Roman" w:cs="Times New Roman"/>
          <w:b/>
          <w:bCs/>
          <w:sz w:val="24"/>
          <w:szCs w:val="24"/>
          <w:lang w:eastAsia="zh-TW"/>
        </w:rPr>
        <w:t>(4,</w:t>
      </w:r>
      <w:r w:rsidR="00365C6E">
        <w:rPr>
          <w:rFonts w:ascii="Times New Roman" w:eastAsia="PMingLiU" w:hAnsi="Times New Roman" w:cs="Times New Roman"/>
          <w:b/>
          <w:bCs/>
          <w:sz w:val="24"/>
          <w:szCs w:val="24"/>
          <w:lang w:eastAsia="zh-TW"/>
        </w:rPr>
        <w:t>7</w:t>
      </w:r>
      <w:r w:rsidR="00B60C54">
        <w:rPr>
          <w:rFonts w:ascii="Times New Roman" w:eastAsia="PMingLiU" w:hAnsi="Times New Roman" w:cs="Times New Roman"/>
          <w:b/>
          <w:bCs/>
          <w:sz w:val="24"/>
          <w:szCs w:val="24"/>
          <w:lang w:eastAsia="zh-TW"/>
        </w:rPr>
        <w:t>09</w:t>
      </w:r>
      <w:r w:rsidR="00AC79A7">
        <w:rPr>
          <w:rFonts w:ascii="Times New Roman" w:eastAsia="PMingLiU" w:hAnsi="Times New Roman" w:cs="Times New Roman"/>
          <w:b/>
          <w:bCs/>
          <w:sz w:val="24"/>
          <w:szCs w:val="24"/>
          <w:lang w:eastAsia="zh-TW"/>
        </w:rPr>
        <w:t xml:space="preserve"> words)</w:t>
      </w:r>
    </w:p>
    <w:p w14:paraId="67C12B38" w14:textId="77777777" w:rsidR="00191CD9" w:rsidRDefault="00191CD9" w:rsidP="009A1835">
      <w:pPr>
        <w:spacing w:line="360" w:lineRule="auto"/>
        <w:rPr>
          <w:rFonts w:ascii="Times New Roman" w:hAnsi="Times New Roman" w:cs="Times New Roman"/>
          <w:sz w:val="24"/>
          <w:szCs w:val="24"/>
        </w:rPr>
      </w:pPr>
      <w:r w:rsidRPr="00191CD9">
        <w:rPr>
          <w:rFonts w:ascii="Times New Roman" w:hAnsi="Times New Roman" w:cs="Times New Roman"/>
          <w:sz w:val="24"/>
          <w:szCs w:val="24"/>
        </w:rPr>
        <w:t xml:space="preserve">Investment migration has rapidly emerged as a defining feature of global economic policy among leading financial centres, including Hong Kong. Against the backdrop of increasing global capital flows and talent competition, schemes such as the New CIES are designed to attract </w:t>
      </w:r>
      <w:r>
        <w:rPr>
          <w:rFonts w:ascii="Times New Roman" w:hAnsi="Times New Roman" w:cs="Times New Roman"/>
          <w:sz w:val="24"/>
          <w:szCs w:val="24"/>
        </w:rPr>
        <w:t>HNWIs</w:t>
      </w:r>
      <w:r w:rsidRPr="00191CD9">
        <w:rPr>
          <w:rFonts w:ascii="Times New Roman" w:hAnsi="Times New Roman" w:cs="Times New Roman"/>
          <w:sz w:val="24"/>
          <w:szCs w:val="24"/>
        </w:rPr>
        <w:t xml:space="preserve"> and foster economic diversification. Understanding the theoretical foundations and comparative policy landscape of investment migration is therefore essential to assess the effectiveness and future trajectory of the New CIES.</w:t>
      </w:r>
      <w:r w:rsidRPr="00191CD9">
        <w:rPr>
          <w:rFonts w:ascii="Times New Roman" w:hAnsi="Times New Roman" w:cs="Times New Roman"/>
          <w:sz w:val="24"/>
          <w:szCs w:val="24"/>
        </w:rPr>
        <w:br/>
      </w:r>
    </w:p>
    <w:p w14:paraId="71F0F635" w14:textId="085DF870" w:rsidR="009A1835" w:rsidRPr="00191CD9" w:rsidRDefault="00191CD9" w:rsidP="009A1835">
      <w:pPr>
        <w:spacing w:line="360" w:lineRule="auto"/>
        <w:rPr>
          <w:rFonts w:ascii="Times New Roman" w:hAnsi="Times New Roman" w:cs="Times New Roman"/>
          <w:sz w:val="24"/>
          <w:szCs w:val="24"/>
        </w:rPr>
      </w:pPr>
      <w:r w:rsidRPr="00191CD9">
        <w:rPr>
          <w:rFonts w:ascii="Times New Roman" w:hAnsi="Times New Roman" w:cs="Times New Roman"/>
          <w:sz w:val="24"/>
          <w:szCs w:val="24"/>
        </w:rPr>
        <w:t>Th</w:t>
      </w:r>
      <w:r w:rsidR="000A2101">
        <w:rPr>
          <w:rFonts w:ascii="Times New Roman" w:hAnsi="Times New Roman" w:cs="Times New Roman"/>
          <w:sz w:val="24"/>
          <w:szCs w:val="24"/>
        </w:rPr>
        <w:t xml:space="preserve">is </w:t>
      </w:r>
      <w:r w:rsidRPr="00191CD9">
        <w:rPr>
          <w:rFonts w:ascii="Times New Roman" w:hAnsi="Times New Roman" w:cs="Times New Roman"/>
          <w:sz w:val="24"/>
          <w:szCs w:val="24"/>
        </w:rPr>
        <w:t>section examines the global context of investment migration, providing an analytical basis for evaluating Hong Kong’s approach within a competitive international environment.</w:t>
      </w:r>
    </w:p>
    <w:p w14:paraId="42C99775" w14:textId="77777777" w:rsidR="00191CD9" w:rsidRPr="009A1835" w:rsidRDefault="00191CD9" w:rsidP="009A1835">
      <w:pPr>
        <w:spacing w:line="360" w:lineRule="auto"/>
        <w:rPr>
          <w:rFonts w:ascii="Times New Roman" w:eastAsia="PMingLiU" w:hAnsi="Times New Roman" w:cs="Times New Roman"/>
          <w:sz w:val="24"/>
          <w:szCs w:val="24"/>
          <w:lang w:eastAsia="zh-TW"/>
        </w:rPr>
      </w:pPr>
    </w:p>
    <w:p w14:paraId="6264CBE4" w14:textId="1EAC15B7" w:rsidR="009A1835" w:rsidRPr="00224303" w:rsidRDefault="003D33C5" w:rsidP="009A1835">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2.</w:t>
      </w:r>
      <w:r w:rsidR="003E0E75">
        <w:rPr>
          <w:rFonts w:ascii="Times New Roman" w:eastAsia="PMingLiU" w:hAnsi="Times New Roman" w:cs="Times New Roman"/>
          <w:b/>
          <w:bCs/>
          <w:sz w:val="24"/>
          <w:szCs w:val="24"/>
          <w:lang w:eastAsia="zh-TW"/>
        </w:rPr>
        <w:t>1</w:t>
      </w:r>
      <w:r w:rsidR="009A1835" w:rsidRPr="00F23E4A">
        <w:rPr>
          <w:rFonts w:ascii="Times New Roman" w:eastAsia="PMingLiU" w:hAnsi="Times New Roman" w:cs="Times New Roman"/>
          <w:b/>
          <w:bCs/>
          <w:sz w:val="24"/>
          <w:szCs w:val="24"/>
          <w:lang w:eastAsia="zh-TW"/>
        </w:rPr>
        <w:t xml:space="preserve"> Investment Migration in Global Context</w:t>
      </w:r>
    </w:p>
    <w:p w14:paraId="18A9CCB6" w14:textId="2C3FC3B9" w:rsidR="009A1835" w:rsidRPr="00D076CD" w:rsidRDefault="00D076CD" w:rsidP="009A1835">
      <w:pPr>
        <w:spacing w:line="360" w:lineRule="auto"/>
        <w:rPr>
          <w:rFonts w:ascii="Times New Roman" w:hAnsi="Times New Roman" w:cs="Times New Roman"/>
          <w:sz w:val="24"/>
          <w:szCs w:val="24"/>
        </w:rPr>
      </w:pPr>
      <w:r w:rsidRPr="00D076CD">
        <w:rPr>
          <w:rFonts w:ascii="Times New Roman" w:hAnsi="Times New Roman" w:cs="Times New Roman"/>
          <w:sz w:val="24"/>
          <w:szCs w:val="24"/>
        </w:rPr>
        <w:t>Scholars such as Henley &amp; Partners (2024) and Surak (2022) define investment migration as the granting of residency or citizenship in exchange for substantial financial investment</w:t>
      </w:r>
      <w:r>
        <w:rPr>
          <w:rFonts w:ascii="Times New Roman" w:hAnsi="Times New Roman" w:cs="Times New Roman"/>
          <w:sz w:val="24"/>
          <w:szCs w:val="24"/>
        </w:rPr>
        <w:t xml:space="preserve"> </w:t>
      </w:r>
      <w:r w:rsidRPr="00D076CD">
        <w:rPr>
          <w:rFonts w:ascii="Times New Roman" w:hAnsi="Times New Roman" w:cs="Times New Roman"/>
          <w:sz w:val="24"/>
          <w:szCs w:val="24"/>
        </w:rPr>
        <w:t>—</w:t>
      </w:r>
      <w:r>
        <w:rPr>
          <w:rFonts w:ascii="Times New Roman" w:hAnsi="Times New Roman" w:cs="Times New Roman"/>
          <w:sz w:val="24"/>
          <w:szCs w:val="24"/>
        </w:rPr>
        <w:t xml:space="preserve"> </w:t>
      </w:r>
      <w:r w:rsidRPr="00D076CD">
        <w:rPr>
          <w:rFonts w:ascii="Times New Roman" w:hAnsi="Times New Roman" w:cs="Times New Roman"/>
          <w:sz w:val="24"/>
          <w:szCs w:val="24"/>
        </w:rPr>
        <w:t>a policy now adopted by over 80 countries. Global Citizen Solutions (2024) note that nations like Portugal, Spain, Malta, the UAE, and Caribbean states offer such programmes, typically requiring real estate, business, or bond investments ranging from €200,000 to over €1 million. Policymakers promote these schemes to attract capital, foster innovation, and diversify their economies.</w:t>
      </w:r>
      <w:r w:rsidRPr="00D076CD">
        <w:rPr>
          <w:rFonts w:ascii="Times New Roman" w:hAnsi="Times New Roman" w:cs="Times New Roman"/>
          <w:sz w:val="24"/>
          <w:szCs w:val="24"/>
        </w:rPr>
        <w:br/>
        <w:t xml:space="preserve">However, Transparency International (2021), the Financial Action Task Force (FATF, 2024), Surak (2023), and Harpaz (2019) highlight ongoing controversy. They argue that these programmes risk commodifying citizenship, enabling </w:t>
      </w:r>
      <w:r w:rsidR="000A2101">
        <w:rPr>
          <w:rFonts w:ascii="Times New Roman" w:hAnsi="Times New Roman" w:cs="Times New Roman"/>
          <w:sz w:val="24"/>
          <w:szCs w:val="24"/>
        </w:rPr>
        <w:t>illicit financial flows</w:t>
      </w:r>
      <w:r w:rsidRPr="00D076CD">
        <w:rPr>
          <w:rFonts w:ascii="Times New Roman" w:hAnsi="Times New Roman" w:cs="Times New Roman"/>
          <w:sz w:val="24"/>
          <w:szCs w:val="24"/>
        </w:rPr>
        <w:t>, and fuelling property price increases and social inequality. In response, several EU countries have strengthened regulations and due diligence protocols to address abuse and enhance integrity (FATF, 2024; Transparency International, 2021).</w:t>
      </w:r>
      <w:r w:rsidRPr="00D076CD">
        <w:rPr>
          <w:rFonts w:ascii="Times New Roman" w:hAnsi="Times New Roman" w:cs="Times New Roman"/>
          <w:sz w:val="24"/>
          <w:szCs w:val="24"/>
        </w:rPr>
        <w:br/>
        <w:t xml:space="preserve">This global debate establishes an essential context for critically evaluating </w:t>
      </w:r>
      <w:r>
        <w:rPr>
          <w:rFonts w:ascii="Times New Roman" w:hAnsi="Times New Roman" w:cs="Times New Roman"/>
          <w:sz w:val="24"/>
          <w:szCs w:val="24"/>
        </w:rPr>
        <w:t xml:space="preserve">the </w:t>
      </w:r>
      <w:r w:rsidRPr="00D076CD">
        <w:rPr>
          <w:rFonts w:ascii="Times New Roman" w:hAnsi="Times New Roman" w:cs="Times New Roman"/>
          <w:sz w:val="24"/>
          <w:szCs w:val="24"/>
        </w:rPr>
        <w:t>New CIES. The following sections will analyse whether the New CIES harnesses the benefits of investment migration while effectively responding to international risks and concerns.</w:t>
      </w:r>
    </w:p>
    <w:p w14:paraId="002ADCFC" w14:textId="77777777" w:rsidR="003E0E75" w:rsidRPr="009A1835" w:rsidRDefault="003E0E75" w:rsidP="003E0E75">
      <w:pPr>
        <w:spacing w:line="360" w:lineRule="auto"/>
        <w:rPr>
          <w:rFonts w:ascii="Times New Roman" w:eastAsia="PMingLiU" w:hAnsi="Times New Roman" w:cs="Times New Roman"/>
          <w:sz w:val="24"/>
          <w:szCs w:val="24"/>
          <w:lang w:eastAsia="zh-TW"/>
        </w:rPr>
      </w:pPr>
    </w:p>
    <w:p w14:paraId="60499F67" w14:textId="4AC9E1ED" w:rsidR="00EA5A94" w:rsidRPr="00224303" w:rsidRDefault="003E0E75" w:rsidP="00EA5A94">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2.2</w:t>
      </w:r>
      <w:r w:rsidRPr="00F23E4A">
        <w:rPr>
          <w:rFonts w:ascii="Times New Roman" w:eastAsia="PMingLiU" w:hAnsi="Times New Roman" w:cs="Times New Roman"/>
          <w:b/>
          <w:bCs/>
          <w:sz w:val="24"/>
          <w:szCs w:val="24"/>
          <w:lang w:eastAsia="zh-TW"/>
        </w:rPr>
        <w:t xml:space="preserve"> Theoretical Groundings and Conceptual Frameworks</w:t>
      </w:r>
    </w:p>
    <w:p w14:paraId="033E9B5B" w14:textId="77777777" w:rsidR="00224303" w:rsidRDefault="00224303" w:rsidP="00EA5A94">
      <w:pPr>
        <w:spacing w:line="360" w:lineRule="auto"/>
        <w:rPr>
          <w:rFonts w:ascii="Times New Roman" w:eastAsia="PMingLiU" w:hAnsi="Times New Roman" w:cs="Times New Roman"/>
          <w:b/>
          <w:bCs/>
          <w:sz w:val="24"/>
          <w:szCs w:val="24"/>
          <w:lang w:eastAsia="zh-TW"/>
        </w:rPr>
      </w:pPr>
    </w:p>
    <w:p w14:paraId="712D854E" w14:textId="66FFED47" w:rsidR="00EA5A94" w:rsidRDefault="00EA5A94" w:rsidP="00EA5A94">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Human Capital Theory and Skilled Migration</w:t>
      </w:r>
      <w:r w:rsidR="00D62C7F">
        <w:rPr>
          <w:rFonts w:ascii="Times New Roman" w:eastAsia="PMingLiU" w:hAnsi="Times New Roman" w:cs="Times New Roman"/>
          <w:b/>
          <w:bCs/>
          <w:sz w:val="24"/>
          <w:szCs w:val="24"/>
          <w:lang w:eastAsia="zh-TW"/>
        </w:rPr>
        <w:t>:</w:t>
      </w:r>
      <w:r w:rsidR="007100AE">
        <w:rPr>
          <w:rFonts w:ascii="Times New Roman" w:eastAsia="PMingLiU" w:hAnsi="Times New Roman" w:cs="Times New Roman"/>
          <w:b/>
          <w:bCs/>
          <w:sz w:val="24"/>
          <w:szCs w:val="24"/>
          <w:lang w:eastAsia="zh-TW"/>
        </w:rPr>
        <w:t xml:space="preserve"> </w:t>
      </w:r>
      <w:r w:rsidR="00D550E3" w:rsidRPr="00D550E3">
        <w:rPr>
          <w:rFonts w:ascii="Times New Roman" w:hAnsi="Times New Roman" w:cs="Times New Roman"/>
          <w:sz w:val="24"/>
          <w:szCs w:val="24"/>
        </w:rPr>
        <w:t>Understanding investment migration requires drawing on several theoretical frameworks that illuminate why individuals and governments engage with these schemes. Key approaches include Human Capital Theory (Becker, 2000), which focuses on the economic value of individuals’ skills and expertise; international migration theory (Massey et al., 1993), examining drivers and networks of mobility; and global city theory (Sassen, 2001), which considers the strategic positioning of major urban centres as magnets for capital and talent.</w:t>
      </w:r>
      <w:r w:rsidR="00D550E3" w:rsidRPr="00D550E3">
        <w:rPr>
          <w:rFonts w:ascii="Times New Roman" w:hAnsi="Times New Roman" w:cs="Times New Roman"/>
          <w:sz w:val="24"/>
          <w:szCs w:val="24"/>
        </w:rPr>
        <w:br/>
        <w:t>Human Capital Theory (Becker, 2000) remains central in explaining the rationale behind investment migration schemes. This framework posits that investments in education, expertise, and abilities yield both individual and societal benefits, underpinning growth and innovation. In policy, investment thresholds are often justified as proxies for desired human capital. These schemes assume that individuals capable of meeting substantial financial criteria are more likely to bring valuable skills, entrepreneurial capabilities, or innovation potential to the host economy.</w:t>
      </w:r>
      <w:r w:rsidR="00D550E3" w:rsidRPr="00D550E3">
        <w:rPr>
          <w:rFonts w:ascii="Times New Roman" w:hAnsi="Times New Roman" w:cs="Times New Roman"/>
          <w:sz w:val="24"/>
          <w:szCs w:val="24"/>
        </w:rPr>
        <w:br/>
        <w:t>For example, Bhagwati and Hanson (2009) provide a comprehensive analysis of skilled migration policies, highlighting that many countries use financial or professional selection criteria to attract migrants with the highest anticipated human capital returns. Their work illustrates how policy design, grounded in Human Capital Theory, can shape both the potential benefits</w:t>
      </w:r>
      <w:r w:rsidR="00A85EB8">
        <w:rPr>
          <w:rFonts w:ascii="Times New Roman" w:hAnsi="Times New Roman" w:cs="Times New Roman"/>
          <w:sz w:val="24"/>
          <w:szCs w:val="24"/>
        </w:rPr>
        <w:t xml:space="preserve"> </w:t>
      </w:r>
      <w:r w:rsidR="00D550E3" w:rsidRPr="00D550E3">
        <w:rPr>
          <w:rFonts w:ascii="Times New Roman" w:hAnsi="Times New Roman" w:cs="Times New Roman"/>
          <w:sz w:val="24"/>
          <w:szCs w:val="24"/>
        </w:rPr>
        <w:t>—</w:t>
      </w:r>
      <w:r w:rsidR="00A85EB8">
        <w:rPr>
          <w:rFonts w:ascii="Times New Roman" w:hAnsi="Times New Roman" w:cs="Times New Roman"/>
          <w:sz w:val="24"/>
          <w:szCs w:val="24"/>
        </w:rPr>
        <w:t xml:space="preserve"> </w:t>
      </w:r>
      <w:r w:rsidR="00D550E3" w:rsidRPr="00D550E3">
        <w:rPr>
          <w:rFonts w:ascii="Times New Roman" w:hAnsi="Times New Roman" w:cs="Times New Roman"/>
          <w:sz w:val="24"/>
          <w:szCs w:val="24"/>
        </w:rPr>
        <w:t>such as talent-driven economic development</w:t>
      </w:r>
      <w:r w:rsidR="00A85EB8">
        <w:rPr>
          <w:rFonts w:ascii="Times New Roman" w:hAnsi="Times New Roman" w:cs="Times New Roman"/>
          <w:sz w:val="24"/>
          <w:szCs w:val="24"/>
        </w:rPr>
        <w:t xml:space="preserve"> </w:t>
      </w:r>
      <w:r w:rsidR="00D550E3" w:rsidRPr="00D550E3">
        <w:rPr>
          <w:rFonts w:ascii="Times New Roman" w:hAnsi="Times New Roman" w:cs="Times New Roman"/>
          <w:sz w:val="24"/>
          <w:szCs w:val="24"/>
        </w:rPr>
        <w:t>—</w:t>
      </w:r>
      <w:r w:rsidR="00A85EB8">
        <w:rPr>
          <w:rFonts w:ascii="Times New Roman" w:hAnsi="Times New Roman" w:cs="Times New Roman"/>
          <w:sz w:val="24"/>
          <w:szCs w:val="24"/>
        </w:rPr>
        <w:t xml:space="preserve"> </w:t>
      </w:r>
      <w:r w:rsidR="00D550E3" w:rsidRPr="00D550E3">
        <w:rPr>
          <w:rFonts w:ascii="Times New Roman" w:hAnsi="Times New Roman" w:cs="Times New Roman"/>
          <w:sz w:val="24"/>
          <w:szCs w:val="24"/>
        </w:rPr>
        <w:t>and the risks, including brain drain and labour market effects. By connecting this scholarship to Hong Kong</w:t>
      </w:r>
      <w:r w:rsidR="00A85EB8">
        <w:rPr>
          <w:rFonts w:ascii="Times New Roman" w:hAnsi="Times New Roman" w:cs="Times New Roman"/>
          <w:sz w:val="24"/>
          <w:szCs w:val="24"/>
        </w:rPr>
        <w:t xml:space="preserve">’s </w:t>
      </w:r>
      <w:r w:rsidR="00D550E3" w:rsidRPr="00D550E3">
        <w:rPr>
          <w:rFonts w:ascii="Times New Roman" w:hAnsi="Times New Roman" w:cs="Times New Roman"/>
          <w:sz w:val="24"/>
          <w:szCs w:val="24"/>
        </w:rPr>
        <w:t>CIES, the scheme’s emphasis on a significant investment threshold is revealed not as merely fiscal policy but as an attempt to operationalize human capital selection in practice.</w:t>
      </w:r>
      <w:r w:rsidR="00D550E3" w:rsidRPr="00D550E3">
        <w:rPr>
          <w:rFonts w:ascii="Times New Roman" w:hAnsi="Times New Roman" w:cs="Times New Roman"/>
          <w:sz w:val="24"/>
          <w:szCs w:val="24"/>
        </w:rPr>
        <w:br/>
        <w:t>While Human Capital Theory offers a compelling justification, further empirical research complicates this picture. While Becker’s (2000) framework underpins much of the policy rationale, Kerr and Kerr (2016) reveal that high investment thresholds do not always result in increased entrepreneurial activity, innovation, or productivity, particularly when schemes attract passive capital rather than active business creators. This suggests the assumed alignment between financial capital and productive human capital may be weaker than theory predicts.</w:t>
      </w:r>
      <w:r w:rsidR="00D550E3" w:rsidRPr="00D550E3">
        <w:rPr>
          <w:rFonts w:ascii="Times New Roman" w:hAnsi="Times New Roman" w:cs="Times New Roman"/>
          <w:sz w:val="24"/>
          <w:szCs w:val="24"/>
        </w:rPr>
        <w:br/>
        <w:t>Although Human Capital Theory provides a general framework for the study of skilled migration policies, there is increasing recognition in the field (Surak, 2022; Witt &amp; Jackson, 2016) that a more nuanced and multidimensional approach is needed</w:t>
      </w:r>
      <w:r w:rsidR="00D550E3">
        <w:rPr>
          <w:rFonts w:ascii="Times New Roman" w:hAnsi="Times New Roman" w:cs="Times New Roman"/>
          <w:sz w:val="24"/>
          <w:szCs w:val="24"/>
        </w:rPr>
        <w:t xml:space="preserve"> </w:t>
      </w:r>
      <w:r w:rsidR="00D550E3" w:rsidRPr="00D550E3">
        <w:rPr>
          <w:rFonts w:ascii="Times New Roman" w:hAnsi="Times New Roman" w:cs="Times New Roman"/>
          <w:sz w:val="24"/>
          <w:szCs w:val="24"/>
        </w:rPr>
        <w:t>—</w:t>
      </w:r>
      <w:r w:rsidR="00D550E3">
        <w:rPr>
          <w:rFonts w:ascii="Times New Roman" w:hAnsi="Times New Roman" w:cs="Times New Roman"/>
          <w:sz w:val="24"/>
          <w:szCs w:val="24"/>
        </w:rPr>
        <w:t xml:space="preserve"> </w:t>
      </w:r>
      <w:r w:rsidR="00D550E3" w:rsidRPr="00D550E3">
        <w:rPr>
          <w:rFonts w:ascii="Times New Roman" w:hAnsi="Times New Roman" w:cs="Times New Roman"/>
          <w:sz w:val="24"/>
          <w:szCs w:val="24"/>
        </w:rPr>
        <w:t>one that incorporates qualitative assessments of entrepreneurial intent, track record, and sectoral expertise alongside financial metrics. Thus, the case of Hong Kong’s New CIES, when critically examined, both draws from and challenges the foundational premises of Human Capital Theory, offering a practical test of how theoretical concepts play out in real-world policy design and outcomes.</w:t>
      </w:r>
    </w:p>
    <w:p w14:paraId="75AD16D4" w14:textId="77777777" w:rsidR="00D550E3" w:rsidRPr="00D550E3" w:rsidRDefault="00D550E3" w:rsidP="00EA5A94">
      <w:pPr>
        <w:spacing w:line="360" w:lineRule="auto"/>
        <w:rPr>
          <w:rFonts w:ascii="Times New Roman" w:eastAsia="PMingLiU" w:hAnsi="Times New Roman" w:cs="Times New Roman"/>
          <w:sz w:val="24"/>
          <w:szCs w:val="24"/>
          <w:lang w:eastAsia="zh-TW"/>
        </w:rPr>
      </w:pPr>
    </w:p>
    <w:p w14:paraId="265D2E41" w14:textId="63776B17" w:rsidR="00EA5A94" w:rsidRPr="00D05D08" w:rsidRDefault="00EA5A94" w:rsidP="00EA5A94">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Theories of International Migration</w:t>
      </w:r>
      <w:r w:rsidR="00224303">
        <w:rPr>
          <w:rFonts w:ascii="Times New Roman" w:eastAsia="PMingLiU" w:hAnsi="Times New Roman" w:cs="Times New Roman"/>
          <w:b/>
          <w:bCs/>
          <w:sz w:val="24"/>
          <w:szCs w:val="24"/>
          <w:lang w:eastAsia="zh-TW"/>
        </w:rPr>
        <w:t>:</w:t>
      </w:r>
      <w:r w:rsidR="007100AE">
        <w:rPr>
          <w:rFonts w:ascii="Times New Roman" w:eastAsia="PMingLiU" w:hAnsi="Times New Roman" w:cs="Times New Roman"/>
          <w:b/>
          <w:bCs/>
          <w:sz w:val="24"/>
          <w:szCs w:val="24"/>
          <w:lang w:eastAsia="zh-TW"/>
        </w:rPr>
        <w:t xml:space="preserve"> </w:t>
      </w:r>
      <w:r w:rsidR="00D05D08" w:rsidRPr="00D05D08">
        <w:rPr>
          <w:rFonts w:ascii="Times New Roman" w:hAnsi="Times New Roman" w:cs="Times New Roman"/>
          <w:sz w:val="24"/>
          <w:szCs w:val="24"/>
        </w:rPr>
        <w:t>To fully understand the phenomenon of investment migration, a combination of economic and sociological theories is essential. Alongside Human Capital Theory (Becker, 2000), international migration theory (Massey et al., 1993) offers a core framework for explaining why individuals and families undertake cross-border movements</w:t>
      </w:r>
      <w:r w:rsidR="00D05D08">
        <w:rPr>
          <w:rFonts w:ascii="Times New Roman" w:hAnsi="Times New Roman" w:cs="Times New Roman"/>
          <w:sz w:val="24"/>
          <w:szCs w:val="24"/>
        </w:rPr>
        <w:t xml:space="preserve"> </w:t>
      </w:r>
      <w:r w:rsidR="00D05D08" w:rsidRPr="00D05D08">
        <w:rPr>
          <w:rFonts w:ascii="Times New Roman" w:hAnsi="Times New Roman" w:cs="Times New Roman"/>
          <w:sz w:val="24"/>
          <w:szCs w:val="24"/>
        </w:rPr>
        <w:t>—</w:t>
      </w:r>
      <w:r w:rsidR="00D05D08">
        <w:rPr>
          <w:rFonts w:ascii="Times New Roman" w:hAnsi="Times New Roman" w:cs="Times New Roman"/>
          <w:sz w:val="24"/>
          <w:szCs w:val="24"/>
        </w:rPr>
        <w:t xml:space="preserve"> </w:t>
      </w:r>
      <w:r w:rsidR="00D05D08" w:rsidRPr="00D05D08">
        <w:rPr>
          <w:rFonts w:ascii="Times New Roman" w:hAnsi="Times New Roman" w:cs="Times New Roman"/>
          <w:sz w:val="24"/>
          <w:szCs w:val="24"/>
        </w:rPr>
        <w:t>particularly those involving substantial financial investment.</w:t>
      </w:r>
      <w:r w:rsidR="00D05D08" w:rsidRPr="00D05D08">
        <w:rPr>
          <w:rFonts w:ascii="Times New Roman" w:hAnsi="Times New Roman" w:cs="Times New Roman"/>
          <w:sz w:val="24"/>
          <w:szCs w:val="24"/>
        </w:rPr>
        <w:br/>
        <w:t xml:space="preserve">International migration theory synthesises several major approaches. The push-pull model posits that migration is driven by a combination of unfavourable “push” factors in the origin country (such as political instability, restrictive regulations, or economic downturn) and attractive “pull” factors in destination countries (such as favourable investment climates, personal security, and access to international markets). These dual influences explain why </w:t>
      </w:r>
      <w:r w:rsidR="00E87477">
        <w:rPr>
          <w:rFonts w:ascii="Times New Roman" w:hAnsi="Times New Roman" w:cs="Times New Roman"/>
          <w:sz w:val="24"/>
          <w:szCs w:val="24"/>
        </w:rPr>
        <w:t>HNWIs</w:t>
      </w:r>
      <w:r w:rsidR="00D05D08" w:rsidRPr="00D05D08">
        <w:rPr>
          <w:rFonts w:ascii="Times New Roman" w:hAnsi="Times New Roman" w:cs="Times New Roman"/>
          <w:sz w:val="24"/>
          <w:szCs w:val="24"/>
        </w:rPr>
        <w:t xml:space="preserve"> might seek programmes like Hong Kong’s New CIES, aiming to secure both capital protection and enhanced life opportunities.</w:t>
      </w:r>
      <w:r w:rsidR="00D05D08" w:rsidRPr="00D05D08">
        <w:rPr>
          <w:rFonts w:ascii="Times New Roman" w:hAnsi="Times New Roman" w:cs="Times New Roman"/>
          <w:sz w:val="24"/>
          <w:szCs w:val="24"/>
        </w:rPr>
        <w:br/>
        <w:t>Network theory</w:t>
      </w:r>
      <w:r w:rsidR="007100AE">
        <w:rPr>
          <w:rFonts w:ascii="Times New Roman" w:hAnsi="Times New Roman" w:cs="Times New Roman"/>
          <w:sz w:val="24"/>
          <w:szCs w:val="24"/>
        </w:rPr>
        <w:t xml:space="preserve"> </w:t>
      </w:r>
      <w:r w:rsidR="00D05D08" w:rsidRPr="00D05D08">
        <w:rPr>
          <w:rFonts w:ascii="Times New Roman" w:hAnsi="Times New Roman" w:cs="Times New Roman"/>
          <w:sz w:val="24"/>
          <w:szCs w:val="24"/>
        </w:rPr>
        <w:t>—</w:t>
      </w:r>
      <w:r w:rsidR="007100AE">
        <w:rPr>
          <w:rFonts w:ascii="Times New Roman" w:hAnsi="Times New Roman" w:cs="Times New Roman"/>
          <w:sz w:val="24"/>
          <w:szCs w:val="24"/>
        </w:rPr>
        <w:t xml:space="preserve"> </w:t>
      </w:r>
      <w:r w:rsidR="00D05D08" w:rsidRPr="00D05D08">
        <w:rPr>
          <w:rFonts w:ascii="Times New Roman" w:hAnsi="Times New Roman" w:cs="Times New Roman"/>
          <w:sz w:val="24"/>
          <w:szCs w:val="24"/>
        </w:rPr>
        <w:t>also articulated within international migration theory</w:t>
      </w:r>
      <w:r w:rsidR="00D05D08">
        <w:rPr>
          <w:rFonts w:ascii="Times New Roman" w:hAnsi="Times New Roman" w:cs="Times New Roman"/>
          <w:sz w:val="24"/>
          <w:szCs w:val="24"/>
        </w:rPr>
        <w:t xml:space="preserve"> </w:t>
      </w:r>
      <w:r w:rsidR="00D05D08" w:rsidRPr="00D05D08">
        <w:rPr>
          <w:rFonts w:ascii="Times New Roman" w:hAnsi="Times New Roman" w:cs="Times New Roman"/>
          <w:sz w:val="24"/>
          <w:szCs w:val="24"/>
        </w:rPr>
        <w:t>—</w:t>
      </w:r>
      <w:r w:rsidR="00D05D08">
        <w:rPr>
          <w:rFonts w:ascii="Times New Roman" w:hAnsi="Times New Roman" w:cs="Times New Roman"/>
          <w:sz w:val="24"/>
          <w:szCs w:val="24"/>
        </w:rPr>
        <w:t xml:space="preserve"> </w:t>
      </w:r>
      <w:r w:rsidR="00D05D08" w:rsidRPr="00D05D08">
        <w:rPr>
          <w:rFonts w:ascii="Times New Roman" w:hAnsi="Times New Roman" w:cs="Times New Roman"/>
          <w:sz w:val="24"/>
          <w:szCs w:val="24"/>
        </w:rPr>
        <w:t>emphasises the decisive impact of social and business networks in shaping migration patterns. Established business contacts, familial ties, and international communities help reduce both the real and perceived risks of relocating, facilitating not only initial moves but also the long-term success and integration of migrants.</w:t>
      </w:r>
      <w:r w:rsidR="00D05D08" w:rsidRPr="00D05D08">
        <w:rPr>
          <w:rFonts w:ascii="Times New Roman" w:hAnsi="Times New Roman" w:cs="Times New Roman"/>
          <w:sz w:val="24"/>
          <w:szCs w:val="24"/>
        </w:rPr>
        <w:br/>
        <w:t>Beyond simple economic rationality, international migration theory also highlights the role of structural elements</w:t>
      </w:r>
      <w:r w:rsidR="00D05D08">
        <w:rPr>
          <w:rFonts w:ascii="Times New Roman" w:hAnsi="Times New Roman" w:cs="Times New Roman"/>
          <w:sz w:val="24"/>
          <w:szCs w:val="24"/>
        </w:rPr>
        <w:t xml:space="preserve"> </w:t>
      </w:r>
      <w:r w:rsidR="00D05D08" w:rsidRPr="00D05D08">
        <w:rPr>
          <w:rFonts w:ascii="Times New Roman" w:hAnsi="Times New Roman" w:cs="Times New Roman"/>
          <w:sz w:val="24"/>
          <w:szCs w:val="24"/>
        </w:rPr>
        <w:t>—</w:t>
      </w:r>
      <w:r w:rsidR="00D05D08">
        <w:rPr>
          <w:rFonts w:ascii="Times New Roman" w:hAnsi="Times New Roman" w:cs="Times New Roman"/>
          <w:sz w:val="24"/>
          <w:szCs w:val="24"/>
        </w:rPr>
        <w:t xml:space="preserve"> </w:t>
      </w:r>
      <w:r w:rsidR="00D05D08" w:rsidRPr="00D05D08">
        <w:rPr>
          <w:rFonts w:ascii="Times New Roman" w:hAnsi="Times New Roman" w:cs="Times New Roman"/>
          <w:sz w:val="24"/>
          <w:szCs w:val="24"/>
        </w:rPr>
        <w:t>such as government policy, legal frameworks, and labour market conditions</w:t>
      </w:r>
      <w:r w:rsidR="00D05D08">
        <w:rPr>
          <w:rFonts w:ascii="Times New Roman" w:hAnsi="Times New Roman" w:cs="Times New Roman"/>
          <w:sz w:val="24"/>
          <w:szCs w:val="24"/>
        </w:rPr>
        <w:t xml:space="preserve"> </w:t>
      </w:r>
      <w:r w:rsidR="00D05D08" w:rsidRPr="00D05D08">
        <w:rPr>
          <w:rFonts w:ascii="Times New Roman" w:hAnsi="Times New Roman" w:cs="Times New Roman"/>
          <w:sz w:val="24"/>
          <w:szCs w:val="24"/>
        </w:rPr>
        <w:t>—</w:t>
      </w:r>
      <w:r w:rsidR="00D05D08">
        <w:rPr>
          <w:rFonts w:ascii="Times New Roman" w:hAnsi="Times New Roman" w:cs="Times New Roman"/>
          <w:sz w:val="24"/>
          <w:szCs w:val="24"/>
        </w:rPr>
        <w:t xml:space="preserve"> </w:t>
      </w:r>
      <w:r w:rsidR="00D05D08" w:rsidRPr="00D05D08">
        <w:rPr>
          <w:rFonts w:ascii="Times New Roman" w:hAnsi="Times New Roman" w:cs="Times New Roman"/>
          <w:sz w:val="24"/>
          <w:szCs w:val="24"/>
        </w:rPr>
        <w:t>that influence both access and outcomes. For investment migration schemes, these factors affect not only who applies but also how such policies impact host societies over time.</w:t>
      </w:r>
      <w:r w:rsidR="00D05D08" w:rsidRPr="00D05D08">
        <w:rPr>
          <w:rFonts w:ascii="Times New Roman" w:hAnsi="Times New Roman" w:cs="Times New Roman"/>
          <w:sz w:val="24"/>
          <w:szCs w:val="24"/>
        </w:rPr>
        <w:br/>
        <w:t>Drawing on these interconnected perspectives, this study situates Hong Kong’s New CIES within a wider narrative of global mobility. It recognises that investment migration is not simply an economic transaction, but a multidimensional choice influenced by personal goals, risk mitigation, and complex global networks. This comprehensive theoretical grounding informs the subsequent evaluation of investment migration policies in Hong Kong and their broader global implications.</w:t>
      </w:r>
    </w:p>
    <w:p w14:paraId="4AA8395F" w14:textId="77777777" w:rsidR="00D05D08" w:rsidRPr="00EA5A94" w:rsidRDefault="00D05D08" w:rsidP="00EA5A94">
      <w:pPr>
        <w:spacing w:line="360" w:lineRule="auto"/>
        <w:rPr>
          <w:rFonts w:ascii="Times New Roman" w:eastAsia="PMingLiU" w:hAnsi="Times New Roman" w:cs="Times New Roman"/>
          <w:sz w:val="24"/>
          <w:szCs w:val="24"/>
          <w:lang w:eastAsia="zh-TW"/>
        </w:rPr>
      </w:pPr>
    </w:p>
    <w:p w14:paraId="7BD85514" w14:textId="09B575C9" w:rsidR="00EA5A94" w:rsidRPr="00D805CF" w:rsidRDefault="00EA5A94" w:rsidP="00EA5A94">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Global City Theory and Urban Competitiveness</w:t>
      </w:r>
      <w:r w:rsidR="00224303">
        <w:rPr>
          <w:rFonts w:ascii="Times New Roman" w:eastAsia="PMingLiU" w:hAnsi="Times New Roman" w:cs="Times New Roman"/>
          <w:b/>
          <w:bCs/>
          <w:sz w:val="24"/>
          <w:szCs w:val="24"/>
          <w:lang w:eastAsia="zh-TW"/>
        </w:rPr>
        <w:t xml:space="preserve">: </w:t>
      </w:r>
      <w:r w:rsidR="00D805CF" w:rsidRPr="00D805CF">
        <w:rPr>
          <w:rFonts w:ascii="Times New Roman" w:hAnsi="Times New Roman" w:cs="Times New Roman"/>
          <w:sz w:val="24"/>
          <w:szCs w:val="24"/>
        </w:rPr>
        <w:t>Global City Theory (Sassen, 2001) provides a valuable framework for analysing how cities emerge as international centres of capital, talent, and innovation. The theory argues that global cities such as Hong Kong, Singapore, and Dubai achieve competitiveness not solely through economic scale, but by leveraging advanced producer services, regulatory flexibility, and dense international networks to attract investment and skilled individuals.</w:t>
      </w:r>
      <w:r w:rsidR="00D805CF" w:rsidRPr="00D805CF">
        <w:rPr>
          <w:rFonts w:ascii="Times New Roman" w:hAnsi="Times New Roman" w:cs="Times New Roman"/>
          <w:sz w:val="24"/>
          <w:szCs w:val="24"/>
        </w:rPr>
        <w:br/>
        <w:t>This theoretical perspective guides numerous empirical studies (Sassen, 2001; Findlay et al., 2017; Spencer &amp; Ong, 2020), which show that successful investment migration policies are closely tied to broader urban strategies. These strategies include developing key sectoral clusters, enabling cross-border mobility, and reinforcing the distinct role of the city as a global node.</w:t>
      </w:r>
      <w:r w:rsidR="00D805CF" w:rsidRPr="00D805CF">
        <w:rPr>
          <w:rFonts w:ascii="Times New Roman" w:hAnsi="Times New Roman" w:cs="Times New Roman"/>
          <w:sz w:val="24"/>
          <w:szCs w:val="24"/>
        </w:rPr>
        <w:br/>
        <w:t xml:space="preserve">The application of Global City Theory to Hong Kong’s New CIES clarifies the city’s approach: high investment thresholds and eligibility across various asset classes are designed to draw in globally mobile </w:t>
      </w:r>
      <w:r w:rsidR="007A377A">
        <w:rPr>
          <w:rFonts w:ascii="Times New Roman" w:hAnsi="Times New Roman" w:cs="Times New Roman"/>
          <w:sz w:val="24"/>
          <w:szCs w:val="24"/>
        </w:rPr>
        <w:t>HNWIs</w:t>
      </w:r>
      <w:r w:rsidR="00D805CF" w:rsidRPr="00D805CF">
        <w:rPr>
          <w:rFonts w:ascii="Times New Roman" w:hAnsi="Times New Roman" w:cs="Times New Roman"/>
          <w:sz w:val="24"/>
          <w:szCs w:val="24"/>
        </w:rPr>
        <w:t>, complementing the ongoing development of Hong Kong’s finance, technology, and business sectors. By situating investment migration policy within this theoretical lens, the study deepens understanding of how Hong Kong and comparable cities enhance their urban competitiveness via targeted talent and capital attraction.</w:t>
      </w:r>
    </w:p>
    <w:p w14:paraId="2202C75A" w14:textId="77777777" w:rsidR="00D805CF" w:rsidRPr="00EA5A94" w:rsidRDefault="00D805CF" w:rsidP="00EA5A94">
      <w:pPr>
        <w:spacing w:line="360" w:lineRule="auto"/>
        <w:rPr>
          <w:rFonts w:ascii="Times New Roman" w:eastAsia="PMingLiU" w:hAnsi="Times New Roman" w:cs="Times New Roman"/>
          <w:sz w:val="24"/>
          <w:szCs w:val="24"/>
          <w:lang w:eastAsia="zh-TW"/>
        </w:rPr>
      </w:pPr>
    </w:p>
    <w:p w14:paraId="57475480" w14:textId="4B81E176" w:rsidR="00EA5A94" w:rsidRDefault="00EA5A94" w:rsidP="00EA5A94">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Varieties of Capitalism and Institutional Analysis</w:t>
      </w:r>
      <w:r w:rsidR="00224303">
        <w:rPr>
          <w:rFonts w:ascii="Times New Roman" w:eastAsia="PMingLiU" w:hAnsi="Times New Roman" w:cs="Times New Roman"/>
          <w:b/>
          <w:bCs/>
          <w:sz w:val="24"/>
          <w:szCs w:val="24"/>
          <w:lang w:eastAsia="zh-TW"/>
        </w:rPr>
        <w:t>:</w:t>
      </w:r>
      <w:r w:rsidR="007100AE">
        <w:rPr>
          <w:rFonts w:ascii="Times New Roman" w:eastAsia="PMingLiU" w:hAnsi="Times New Roman" w:cs="Times New Roman"/>
          <w:b/>
          <w:bCs/>
          <w:sz w:val="24"/>
          <w:szCs w:val="24"/>
          <w:lang w:eastAsia="zh-TW"/>
        </w:rPr>
        <w:t xml:space="preserve"> </w:t>
      </w:r>
      <w:r w:rsidR="00572883" w:rsidRPr="00572883">
        <w:rPr>
          <w:rFonts w:ascii="Times New Roman" w:hAnsi="Times New Roman" w:cs="Times New Roman"/>
          <w:sz w:val="24"/>
          <w:szCs w:val="24"/>
        </w:rPr>
        <w:t>The varieties of capitalism framework (Hall and Soskice, 2001) explain</w:t>
      </w:r>
      <w:r w:rsidR="005C1131">
        <w:rPr>
          <w:rFonts w:ascii="Times New Roman" w:hAnsi="Times New Roman" w:cs="Times New Roman"/>
          <w:sz w:val="24"/>
          <w:szCs w:val="24"/>
        </w:rPr>
        <w:t xml:space="preserve"> </w:t>
      </w:r>
      <w:r w:rsidR="00572883" w:rsidRPr="00572883">
        <w:rPr>
          <w:rFonts w:ascii="Times New Roman" w:hAnsi="Times New Roman" w:cs="Times New Roman"/>
          <w:sz w:val="24"/>
          <w:szCs w:val="24"/>
        </w:rPr>
        <w:t>how national institutional arrangements — spanning finance, labour, and governance</w:t>
      </w:r>
      <w:r w:rsidR="005C1131">
        <w:rPr>
          <w:rFonts w:ascii="Times New Roman" w:hAnsi="Times New Roman" w:cs="Times New Roman"/>
          <w:sz w:val="24"/>
          <w:szCs w:val="24"/>
        </w:rPr>
        <w:t xml:space="preserve"> </w:t>
      </w:r>
      <w:r w:rsidR="00572883" w:rsidRPr="00572883">
        <w:rPr>
          <w:rFonts w:ascii="Times New Roman" w:hAnsi="Times New Roman" w:cs="Times New Roman"/>
          <w:sz w:val="24"/>
          <w:szCs w:val="24"/>
        </w:rPr>
        <w:t>—</w:t>
      </w:r>
      <w:r w:rsidR="005C1131">
        <w:rPr>
          <w:rFonts w:ascii="Times New Roman" w:hAnsi="Times New Roman" w:cs="Times New Roman"/>
          <w:sz w:val="24"/>
          <w:szCs w:val="24"/>
        </w:rPr>
        <w:t xml:space="preserve"> </w:t>
      </w:r>
      <w:r w:rsidR="00572883" w:rsidRPr="00572883">
        <w:rPr>
          <w:rFonts w:ascii="Times New Roman" w:hAnsi="Times New Roman" w:cs="Times New Roman"/>
          <w:sz w:val="24"/>
          <w:szCs w:val="24"/>
        </w:rPr>
        <w:t>shape economic strategies, innovation, and the effectiveness of migration policies. This approach distinguishes between liberal market and coordinated market economies, showing that distinct institutional complementarities lead to different strengths in innovation and policy adaptation.</w:t>
      </w:r>
      <w:r w:rsidR="00572883" w:rsidRPr="00572883">
        <w:rPr>
          <w:rFonts w:ascii="Times New Roman" w:hAnsi="Times New Roman" w:cs="Times New Roman"/>
          <w:sz w:val="24"/>
          <w:szCs w:val="24"/>
        </w:rPr>
        <w:br/>
        <w:t>Recent empirical studies, such as Witt and Jackson (2016), demonstrate that real-world outcomes often emerge from hybrid institutional settings, like those found in Hong Kong, Singapore, and Dubai, rather than from pure typologies. Comparative research grounded in this framework (Witt &amp; Jackson, 2016; Surak, 2022) shows that the success of investment migration policies depends on alignment with the broader institutional context</w:t>
      </w:r>
      <w:r w:rsidR="00224303">
        <w:rPr>
          <w:rFonts w:ascii="Times New Roman" w:hAnsi="Times New Roman" w:cs="Times New Roman"/>
          <w:sz w:val="24"/>
          <w:szCs w:val="24"/>
        </w:rPr>
        <w:t xml:space="preserve"> </w:t>
      </w:r>
      <w:r w:rsidR="00572883" w:rsidRPr="00572883">
        <w:rPr>
          <w:rFonts w:ascii="Times New Roman" w:hAnsi="Times New Roman" w:cs="Times New Roman"/>
          <w:sz w:val="24"/>
          <w:szCs w:val="24"/>
        </w:rPr>
        <w:t>—</w:t>
      </w:r>
      <w:r w:rsidR="00224303">
        <w:rPr>
          <w:rFonts w:ascii="Times New Roman" w:hAnsi="Times New Roman" w:cs="Times New Roman"/>
          <w:sz w:val="24"/>
          <w:szCs w:val="24"/>
        </w:rPr>
        <w:t xml:space="preserve"> </w:t>
      </w:r>
      <w:r w:rsidR="00572883" w:rsidRPr="00572883">
        <w:rPr>
          <w:rFonts w:ascii="Times New Roman" w:hAnsi="Times New Roman" w:cs="Times New Roman"/>
          <w:sz w:val="24"/>
          <w:szCs w:val="24"/>
        </w:rPr>
        <w:t>such as financial systems and regulatory norms. Analysing Hong Kong’s New CIES through this lens reveals how its unique institutional landscape shapes both policy design and its effectiveness, emphasising the value of comparative institutional analysis for understanding global financial centres.</w:t>
      </w:r>
    </w:p>
    <w:p w14:paraId="77F6A009" w14:textId="77777777" w:rsidR="00572883" w:rsidRPr="00572883" w:rsidRDefault="00572883" w:rsidP="00EA5A94">
      <w:pPr>
        <w:spacing w:line="360" w:lineRule="auto"/>
        <w:rPr>
          <w:rFonts w:ascii="Times New Roman" w:eastAsia="PMingLiU" w:hAnsi="Times New Roman" w:cs="Times New Roman"/>
          <w:sz w:val="24"/>
          <w:szCs w:val="24"/>
          <w:lang w:eastAsia="zh-TW"/>
        </w:rPr>
      </w:pPr>
    </w:p>
    <w:p w14:paraId="050BAD6D" w14:textId="403CE085" w:rsidR="006463F2" w:rsidRDefault="00EA5A94" w:rsidP="00EA5A94">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Policy Transfer and Learning</w:t>
      </w:r>
      <w:r w:rsidR="00224303">
        <w:rPr>
          <w:rFonts w:ascii="Times New Roman" w:eastAsia="PMingLiU" w:hAnsi="Times New Roman" w:cs="Times New Roman"/>
          <w:b/>
          <w:bCs/>
          <w:sz w:val="24"/>
          <w:szCs w:val="24"/>
          <w:lang w:eastAsia="zh-TW"/>
        </w:rPr>
        <w:t>:</w:t>
      </w:r>
      <w:r w:rsidR="007100AE">
        <w:rPr>
          <w:rFonts w:ascii="Times New Roman" w:eastAsia="PMingLiU" w:hAnsi="Times New Roman" w:cs="Times New Roman"/>
          <w:b/>
          <w:bCs/>
          <w:sz w:val="24"/>
          <w:szCs w:val="24"/>
          <w:lang w:eastAsia="zh-TW"/>
        </w:rPr>
        <w:t xml:space="preserve"> </w:t>
      </w:r>
      <w:r w:rsidR="006463F2" w:rsidRPr="006463F2">
        <w:rPr>
          <w:rFonts w:ascii="Times New Roman" w:hAnsi="Times New Roman" w:cs="Times New Roman"/>
          <w:sz w:val="24"/>
          <w:szCs w:val="24"/>
        </w:rPr>
        <w:t xml:space="preserve">The policy transfer framework (Dolowitz &amp; Marsh, 2000) explains how jurisdictions adapt policy models from abroad, emphasising that successful transfer requires careful adaptation to local contexts. Studies guided by this theory (Surak, 2022; Papademetriou &amp; Sumption, 2013) show that investment migration schemes like </w:t>
      </w:r>
      <w:r w:rsidR="00D03F5B">
        <w:rPr>
          <w:rFonts w:ascii="Times New Roman" w:hAnsi="Times New Roman" w:cs="Times New Roman"/>
          <w:sz w:val="24"/>
          <w:szCs w:val="24"/>
        </w:rPr>
        <w:t>the</w:t>
      </w:r>
      <w:r w:rsidR="006463F2" w:rsidRPr="006463F2">
        <w:rPr>
          <w:rFonts w:ascii="Times New Roman" w:hAnsi="Times New Roman" w:cs="Times New Roman"/>
          <w:sz w:val="24"/>
          <w:szCs w:val="24"/>
        </w:rPr>
        <w:t xml:space="preserve"> CIES are rarely direct replicas; rather, they selectively incorporate features from models in Singapore and Dubai, tailoring investment thresholds, asset classes, and regulations to local nee</w:t>
      </w:r>
      <w:r w:rsidR="006463F2" w:rsidRPr="00C0128F">
        <w:rPr>
          <w:rFonts w:ascii="Times New Roman" w:hAnsi="Times New Roman" w:cs="Times New Roman"/>
          <w:sz w:val="24"/>
          <w:szCs w:val="24"/>
        </w:rPr>
        <w:t xml:space="preserve">ds. </w:t>
      </w:r>
      <w:r w:rsidR="00C0128F" w:rsidRPr="00C0128F">
        <w:rPr>
          <w:rFonts w:ascii="Times New Roman" w:hAnsi="Times New Roman" w:cs="Times New Roman"/>
          <w:sz w:val="24"/>
          <w:szCs w:val="24"/>
        </w:rPr>
        <w:t>The literature cautions against superficial copying, noting that such approaches often result in policy failure (Dolowitz &amp; Marsh, 2000; Benson &amp; Jordan, 2011). Instead, successful policy transfer requires stakeholder engagement, iterative policy learning, and responsiveness to specific institutional landscapes (Stone, 2012; Gu &amp; Zhang, 2023). Accordingly, the policy transfer framework highlights how the new CIES represents a contextually adapted innovation, simultaneously shaped by</w:t>
      </w:r>
      <w:r w:rsidR="00C0128F">
        <w:rPr>
          <w:rFonts w:ascii="Times New Roman" w:hAnsi="Times New Roman" w:cs="Times New Roman"/>
          <w:sz w:val="24"/>
          <w:szCs w:val="24"/>
        </w:rPr>
        <w:t xml:space="preserve"> </w:t>
      </w:r>
      <w:r w:rsidR="00C0128F" w:rsidRPr="00C0128F">
        <w:rPr>
          <w:rFonts w:ascii="Times New Roman" w:hAnsi="Times New Roman" w:cs="Times New Roman"/>
          <w:sz w:val="24"/>
          <w:szCs w:val="24"/>
        </w:rPr>
        <w:t>—</w:t>
      </w:r>
      <w:r w:rsidR="00C0128F">
        <w:rPr>
          <w:rFonts w:ascii="Times New Roman" w:hAnsi="Times New Roman" w:cs="Times New Roman"/>
          <w:sz w:val="24"/>
          <w:szCs w:val="24"/>
        </w:rPr>
        <w:t xml:space="preserve"> </w:t>
      </w:r>
      <w:r w:rsidR="00C0128F" w:rsidRPr="00C0128F">
        <w:rPr>
          <w:rFonts w:ascii="Times New Roman" w:hAnsi="Times New Roman" w:cs="Times New Roman"/>
          <w:sz w:val="24"/>
          <w:szCs w:val="24"/>
        </w:rPr>
        <w:t>and influencing</w:t>
      </w:r>
      <w:r w:rsidR="00C0128F">
        <w:rPr>
          <w:rFonts w:ascii="Times New Roman" w:hAnsi="Times New Roman" w:cs="Times New Roman"/>
          <w:sz w:val="24"/>
          <w:szCs w:val="24"/>
        </w:rPr>
        <w:t xml:space="preserve"> </w:t>
      </w:r>
      <w:r w:rsidR="00C0128F" w:rsidRPr="00C0128F">
        <w:rPr>
          <w:rFonts w:ascii="Times New Roman" w:hAnsi="Times New Roman" w:cs="Times New Roman"/>
          <w:sz w:val="24"/>
          <w:szCs w:val="24"/>
        </w:rPr>
        <w:t>—</w:t>
      </w:r>
      <w:r w:rsidR="00C0128F">
        <w:rPr>
          <w:rFonts w:ascii="Times New Roman" w:hAnsi="Times New Roman" w:cs="Times New Roman"/>
          <w:sz w:val="24"/>
          <w:szCs w:val="24"/>
        </w:rPr>
        <w:t xml:space="preserve"> </w:t>
      </w:r>
      <w:r w:rsidR="00C0128F" w:rsidRPr="00C0128F">
        <w:rPr>
          <w:rFonts w:ascii="Times New Roman" w:hAnsi="Times New Roman" w:cs="Times New Roman"/>
          <w:sz w:val="24"/>
          <w:szCs w:val="24"/>
        </w:rPr>
        <w:t>Hong Kong’s unique policy environment.</w:t>
      </w:r>
    </w:p>
    <w:p w14:paraId="0CB3C314" w14:textId="6FDD2148" w:rsidR="00C0128F" w:rsidRPr="00EA5A94" w:rsidRDefault="00C0128F" w:rsidP="00EA5A94">
      <w:pPr>
        <w:spacing w:line="360" w:lineRule="auto"/>
        <w:rPr>
          <w:rFonts w:ascii="Times New Roman" w:eastAsia="PMingLiU" w:hAnsi="Times New Roman" w:cs="Times New Roman"/>
          <w:sz w:val="24"/>
          <w:szCs w:val="24"/>
          <w:lang w:eastAsia="zh-TW"/>
        </w:rPr>
      </w:pPr>
    </w:p>
    <w:p w14:paraId="65FAA625" w14:textId="3BE4903B" w:rsidR="009A1835" w:rsidRPr="002162DB" w:rsidRDefault="00EA5A94" w:rsidP="009A1835">
      <w:pPr>
        <w:spacing w:line="360" w:lineRule="auto"/>
        <w:rPr>
          <w:rFonts w:ascii="Times New Roman" w:hAnsi="Times New Roman" w:cs="Times New Roman"/>
          <w:sz w:val="24"/>
          <w:szCs w:val="24"/>
        </w:rPr>
      </w:pPr>
      <w:r w:rsidRPr="002162DB">
        <w:rPr>
          <w:rFonts w:ascii="Times New Roman" w:eastAsia="PMingLiU" w:hAnsi="Times New Roman" w:cs="Times New Roman"/>
          <w:b/>
          <w:bCs/>
          <w:sz w:val="24"/>
          <w:szCs w:val="24"/>
          <w:lang w:eastAsia="zh-TW"/>
        </w:rPr>
        <w:t>Fiscal Impact and Labour Market Theories</w:t>
      </w:r>
      <w:r w:rsidR="00224303">
        <w:rPr>
          <w:rFonts w:ascii="Times New Roman" w:eastAsia="PMingLiU" w:hAnsi="Times New Roman" w:cs="Times New Roman"/>
          <w:b/>
          <w:bCs/>
          <w:sz w:val="24"/>
          <w:szCs w:val="24"/>
          <w:lang w:eastAsia="zh-TW"/>
        </w:rPr>
        <w:t xml:space="preserve">: </w:t>
      </w:r>
      <w:r w:rsidR="002162DB" w:rsidRPr="002162DB">
        <w:rPr>
          <w:rFonts w:ascii="Times New Roman" w:hAnsi="Times New Roman" w:cs="Times New Roman"/>
          <w:sz w:val="24"/>
          <w:szCs w:val="24"/>
        </w:rPr>
        <w:t xml:space="preserve">Fiscal impact approaches provide a framework for assessing migrants’ net contributions to public finances by comparing taxes and contributions paid with services and benefits received. These models, widely used in migration policy analysis, are valuable for evaluating the fiscal effects of investment migration schemes like </w:t>
      </w:r>
      <w:r w:rsidR="00D03F5B">
        <w:rPr>
          <w:rFonts w:ascii="Times New Roman" w:hAnsi="Times New Roman" w:cs="Times New Roman"/>
          <w:sz w:val="24"/>
          <w:szCs w:val="24"/>
        </w:rPr>
        <w:t>the</w:t>
      </w:r>
      <w:r w:rsidR="002162DB" w:rsidRPr="002162DB">
        <w:rPr>
          <w:rFonts w:ascii="Times New Roman" w:hAnsi="Times New Roman" w:cs="Times New Roman"/>
          <w:sz w:val="24"/>
          <w:szCs w:val="24"/>
        </w:rPr>
        <w:t xml:space="preserve"> New CIES and guide evidence-based policy design (Dustmann &amp; Frattini, 2014). Labour market theories analyse how migration influences employment, wage levels, and labour dynamics, considering both competition and complementarity between migrants and locals. Such frameworks emphasise the trade-offs in economic benefits versus social integration and equity (Borjas, 2014). Together, these approaches ensure comprehensive assessment of the economic and social impacts of investment migration policies.</w:t>
      </w:r>
    </w:p>
    <w:p w14:paraId="45588C60" w14:textId="77777777" w:rsidR="002162DB" w:rsidRPr="009A1835" w:rsidRDefault="002162DB" w:rsidP="009A1835">
      <w:pPr>
        <w:spacing w:line="360" w:lineRule="auto"/>
        <w:rPr>
          <w:rFonts w:ascii="Times New Roman" w:eastAsia="PMingLiU" w:hAnsi="Times New Roman" w:cs="Times New Roman"/>
          <w:sz w:val="24"/>
          <w:szCs w:val="24"/>
          <w:lang w:eastAsia="zh-TW"/>
        </w:rPr>
      </w:pPr>
    </w:p>
    <w:p w14:paraId="47607B2F" w14:textId="77777777" w:rsidR="00224303" w:rsidRDefault="003E0E75" w:rsidP="009A1835">
      <w:pPr>
        <w:spacing w:line="360" w:lineRule="auto"/>
        <w:rPr>
          <w:rFonts w:ascii="Times New Roman" w:hAnsi="Times New Roman" w:cs="Times New Roman"/>
          <w:sz w:val="24"/>
          <w:szCs w:val="24"/>
        </w:rPr>
      </w:pPr>
      <w:r>
        <w:rPr>
          <w:rFonts w:ascii="Times New Roman" w:eastAsia="PMingLiU" w:hAnsi="Times New Roman" w:cs="Times New Roman"/>
          <w:b/>
          <w:bCs/>
          <w:sz w:val="24"/>
          <w:szCs w:val="24"/>
          <w:lang w:eastAsia="zh-TW"/>
        </w:rPr>
        <w:t>2.3</w:t>
      </w:r>
      <w:r w:rsidRPr="00F23E4A">
        <w:rPr>
          <w:rFonts w:ascii="Times New Roman" w:eastAsia="PMingLiU" w:hAnsi="Times New Roman" w:cs="Times New Roman"/>
          <w:b/>
          <w:bCs/>
          <w:sz w:val="24"/>
          <w:szCs w:val="24"/>
          <w:lang w:eastAsia="zh-TW"/>
        </w:rPr>
        <w:t xml:space="preserve"> </w:t>
      </w:r>
      <w:r w:rsidR="007E2984" w:rsidRPr="007E2984">
        <w:rPr>
          <w:rFonts w:ascii="Times New Roman" w:hAnsi="Times New Roman" w:cs="Times New Roman"/>
          <w:b/>
          <w:bCs/>
          <w:sz w:val="24"/>
          <w:szCs w:val="24"/>
        </w:rPr>
        <w:t>Methodological Approaches in Investment Migration Research</w:t>
      </w:r>
      <w:r w:rsidR="007E2984" w:rsidRPr="007E2984">
        <w:rPr>
          <w:rFonts w:ascii="Times New Roman" w:hAnsi="Times New Roman" w:cs="Times New Roman"/>
          <w:sz w:val="24"/>
          <w:szCs w:val="24"/>
        </w:rPr>
        <w:br/>
      </w:r>
    </w:p>
    <w:p w14:paraId="11724873" w14:textId="65FDF019" w:rsidR="007E2984" w:rsidRDefault="007E2984" w:rsidP="00E517C1">
      <w:pPr>
        <w:spacing w:line="360" w:lineRule="auto"/>
        <w:rPr>
          <w:rFonts w:ascii="Times New Roman" w:hAnsi="Times New Roman" w:cs="Times New Roman"/>
          <w:sz w:val="24"/>
          <w:szCs w:val="24"/>
        </w:rPr>
      </w:pPr>
      <w:r w:rsidRPr="007E2984">
        <w:rPr>
          <w:rFonts w:ascii="Times New Roman" w:hAnsi="Times New Roman" w:cs="Times New Roman"/>
          <w:sz w:val="24"/>
          <w:szCs w:val="24"/>
        </w:rPr>
        <w:t>This section reviews how empirical studies approach the analysis of investment migration, especially with comparative case studies involving Hong Kong, Singapore, and Dubai. It reflects on dominant field methods, justifies design choices, and details how comparative methodology is applied to enhance understanding.</w:t>
      </w:r>
      <w:r w:rsidRPr="007E2984">
        <w:rPr>
          <w:rFonts w:ascii="Times New Roman" w:hAnsi="Times New Roman" w:cs="Times New Roman"/>
          <w:sz w:val="24"/>
          <w:szCs w:val="24"/>
        </w:rPr>
        <w:br/>
      </w:r>
      <w:r w:rsidRPr="007E2984">
        <w:rPr>
          <w:rFonts w:ascii="Times New Roman" w:hAnsi="Times New Roman" w:cs="Times New Roman"/>
          <w:sz w:val="24"/>
          <w:szCs w:val="24"/>
        </w:rPr>
        <w:br/>
        <w:t>Investment migration research most commonly uses qualitative and case study approaches, reflecting the sensitivity of data, difficulties collecting quantitative evidence, and the value of in-depth context. Interviews, document analysis, and thematic case comparisons prevail, providing rich insights into policy functioning and stakeholder experience. Quantitative methods</w:t>
      </w:r>
      <w:r>
        <w:rPr>
          <w:rFonts w:ascii="Times New Roman" w:hAnsi="Times New Roman" w:cs="Times New Roman"/>
          <w:sz w:val="24"/>
          <w:szCs w:val="24"/>
        </w:rPr>
        <w:t xml:space="preserve"> </w:t>
      </w:r>
      <w:r w:rsidRPr="007E2984">
        <w:rPr>
          <w:rFonts w:ascii="Times New Roman" w:hAnsi="Times New Roman" w:cs="Times New Roman"/>
          <w:sz w:val="24"/>
          <w:szCs w:val="24"/>
        </w:rPr>
        <w:t>—</w:t>
      </w:r>
      <w:r>
        <w:rPr>
          <w:rFonts w:ascii="Times New Roman" w:hAnsi="Times New Roman" w:cs="Times New Roman"/>
          <w:sz w:val="24"/>
          <w:szCs w:val="24"/>
        </w:rPr>
        <w:t xml:space="preserve"> </w:t>
      </w:r>
      <w:r w:rsidRPr="007E2984">
        <w:rPr>
          <w:rFonts w:ascii="Times New Roman" w:hAnsi="Times New Roman" w:cs="Times New Roman"/>
          <w:sz w:val="24"/>
          <w:szCs w:val="24"/>
        </w:rPr>
        <w:t>such as surveys and administrative analyses</w:t>
      </w:r>
      <w:r>
        <w:rPr>
          <w:rFonts w:ascii="Times New Roman" w:hAnsi="Times New Roman" w:cs="Times New Roman"/>
          <w:sz w:val="24"/>
          <w:szCs w:val="24"/>
        </w:rPr>
        <w:t xml:space="preserve"> </w:t>
      </w:r>
      <w:r w:rsidRPr="007E2984">
        <w:rPr>
          <w:rFonts w:ascii="Times New Roman" w:hAnsi="Times New Roman" w:cs="Times New Roman"/>
          <w:sz w:val="24"/>
          <w:szCs w:val="24"/>
        </w:rPr>
        <w:t>—</w:t>
      </w:r>
      <w:r>
        <w:rPr>
          <w:rFonts w:ascii="Times New Roman" w:hAnsi="Times New Roman" w:cs="Times New Roman"/>
          <w:sz w:val="24"/>
          <w:szCs w:val="24"/>
        </w:rPr>
        <w:t xml:space="preserve"> </w:t>
      </w:r>
      <w:r w:rsidRPr="007E2984">
        <w:rPr>
          <w:rFonts w:ascii="Times New Roman" w:hAnsi="Times New Roman" w:cs="Times New Roman"/>
          <w:sz w:val="24"/>
          <w:szCs w:val="24"/>
        </w:rPr>
        <w:t>are less common due to limited access to detailed participant data; when employed, they often inform context and triangulation rather than form the foundational analysis.</w:t>
      </w:r>
      <w:r w:rsidRPr="007E2984">
        <w:rPr>
          <w:rFonts w:ascii="Times New Roman" w:hAnsi="Times New Roman" w:cs="Times New Roman"/>
          <w:sz w:val="24"/>
          <w:szCs w:val="24"/>
        </w:rPr>
        <w:br/>
      </w:r>
      <w:r w:rsidRPr="007E2984">
        <w:rPr>
          <w:rFonts w:ascii="Times New Roman" w:hAnsi="Times New Roman" w:cs="Times New Roman"/>
          <w:sz w:val="24"/>
          <w:szCs w:val="24"/>
        </w:rPr>
        <w:br/>
        <w:t>To evaluate policy effectiveness and innovation, comparative case study design is increasingly utilised. This involves selecting multiple policy regimes</w:t>
      </w:r>
      <w:r>
        <w:rPr>
          <w:rFonts w:ascii="Times New Roman" w:hAnsi="Times New Roman" w:cs="Times New Roman"/>
          <w:sz w:val="24"/>
          <w:szCs w:val="24"/>
        </w:rPr>
        <w:t xml:space="preserve"> </w:t>
      </w:r>
      <w:r w:rsidRPr="007E2984">
        <w:rPr>
          <w:rFonts w:ascii="Times New Roman" w:hAnsi="Times New Roman" w:cs="Times New Roman"/>
          <w:sz w:val="24"/>
          <w:szCs w:val="24"/>
        </w:rPr>
        <w:t>—</w:t>
      </w:r>
      <w:r>
        <w:rPr>
          <w:rFonts w:ascii="Times New Roman" w:hAnsi="Times New Roman" w:cs="Times New Roman"/>
          <w:sz w:val="24"/>
          <w:szCs w:val="24"/>
        </w:rPr>
        <w:t xml:space="preserve"> </w:t>
      </w:r>
      <w:r w:rsidRPr="007E2984">
        <w:rPr>
          <w:rFonts w:ascii="Times New Roman" w:hAnsi="Times New Roman" w:cs="Times New Roman"/>
          <w:sz w:val="24"/>
          <w:szCs w:val="24"/>
        </w:rPr>
        <w:t>exemplified by Hong Kong’s</w:t>
      </w:r>
      <w:r>
        <w:rPr>
          <w:rFonts w:ascii="Times New Roman" w:hAnsi="Times New Roman" w:cs="Times New Roman"/>
          <w:sz w:val="24"/>
          <w:szCs w:val="24"/>
        </w:rPr>
        <w:t xml:space="preserve"> </w:t>
      </w:r>
      <w:r w:rsidR="0081391E">
        <w:rPr>
          <w:rFonts w:ascii="Times New Roman" w:hAnsi="Times New Roman" w:cs="Times New Roman"/>
          <w:sz w:val="24"/>
          <w:szCs w:val="24"/>
        </w:rPr>
        <w:t xml:space="preserve">New </w:t>
      </w:r>
      <w:r>
        <w:rPr>
          <w:rFonts w:ascii="Times New Roman" w:hAnsi="Times New Roman" w:cs="Times New Roman"/>
          <w:sz w:val="24"/>
          <w:szCs w:val="24"/>
        </w:rPr>
        <w:t>CIES</w:t>
      </w:r>
      <w:r w:rsidRPr="007E2984">
        <w:rPr>
          <w:rFonts w:ascii="Times New Roman" w:hAnsi="Times New Roman" w:cs="Times New Roman"/>
          <w:sz w:val="24"/>
          <w:szCs w:val="24"/>
        </w:rPr>
        <w:t>, Singapore’s G</w:t>
      </w:r>
      <w:r w:rsidR="0081391E">
        <w:rPr>
          <w:rFonts w:ascii="Times New Roman" w:hAnsi="Times New Roman" w:cs="Times New Roman"/>
          <w:sz w:val="24"/>
          <w:szCs w:val="24"/>
        </w:rPr>
        <w:t>IP</w:t>
      </w:r>
      <w:r w:rsidRPr="007E2984">
        <w:rPr>
          <w:rFonts w:ascii="Times New Roman" w:hAnsi="Times New Roman" w:cs="Times New Roman"/>
          <w:sz w:val="24"/>
          <w:szCs w:val="24"/>
        </w:rPr>
        <w:t>, and Dubai’s investment visa frameworks</w:t>
      </w:r>
      <w:r>
        <w:rPr>
          <w:rFonts w:ascii="Times New Roman" w:hAnsi="Times New Roman" w:cs="Times New Roman"/>
          <w:sz w:val="24"/>
          <w:szCs w:val="24"/>
        </w:rPr>
        <w:t xml:space="preserve"> </w:t>
      </w:r>
      <w:r w:rsidRPr="007E2984">
        <w:rPr>
          <w:rFonts w:ascii="Times New Roman" w:hAnsi="Times New Roman" w:cs="Times New Roman"/>
          <w:sz w:val="24"/>
          <w:szCs w:val="24"/>
        </w:rPr>
        <w:t>—</w:t>
      </w:r>
      <w:r>
        <w:rPr>
          <w:rFonts w:ascii="Times New Roman" w:hAnsi="Times New Roman" w:cs="Times New Roman"/>
          <w:sz w:val="24"/>
          <w:szCs w:val="24"/>
        </w:rPr>
        <w:t xml:space="preserve"> </w:t>
      </w:r>
      <w:r w:rsidRPr="007E2984">
        <w:rPr>
          <w:rFonts w:ascii="Times New Roman" w:hAnsi="Times New Roman" w:cs="Times New Roman"/>
          <w:sz w:val="24"/>
          <w:szCs w:val="24"/>
        </w:rPr>
        <w:t>for parallel examination. Comparative methods allow critical benchmarking and help identify the role of local institutional context. Synthesising across diverse systems enables the identification of both universal mechanisms and locally contingent outcomes.</w:t>
      </w:r>
      <w:r w:rsidRPr="007E2984">
        <w:rPr>
          <w:rFonts w:ascii="Times New Roman" w:hAnsi="Times New Roman" w:cs="Times New Roman"/>
          <w:sz w:val="24"/>
          <w:szCs w:val="24"/>
        </w:rPr>
        <w:br/>
      </w:r>
      <w:r w:rsidRPr="007E2984">
        <w:rPr>
          <w:rFonts w:ascii="Times New Roman" w:hAnsi="Times New Roman" w:cs="Times New Roman"/>
          <w:sz w:val="24"/>
          <w:szCs w:val="24"/>
        </w:rPr>
        <w:br/>
      </w:r>
      <w:r w:rsidR="00E517C1" w:rsidRPr="00E517C1">
        <w:rPr>
          <w:rFonts w:ascii="Times New Roman" w:hAnsi="Times New Roman" w:cs="Times New Roman"/>
          <w:sz w:val="24"/>
          <w:szCs w:val="24"/>
        </w:rPr>
        <w:t>Singapore and Dubai are selected as comparative cases because they share similar ambitions, including enhancing global financial competitiveness, attracting talent, and diversifying their economies. Both jurisdictions have established investment migration frameworks characterized by high investment thresholds. This purposive comparative design facilitates a systematic benchmarking of policy objectives, investment requirements, and eligibility criteria. It also enables an assessment of their regulatory environments and how well these policies align with institutional contexts. Furthermore, the comparison allows for an exploration of outcomes related to economic impact, talent mobility, and sectoral innovation. Singapore serves as a benchmark for successful investment migration in the Asia-Pacific region, while Dubai exemplifies a model focused on economic diversification within a distinct regulatory and cultural setting.</w:t>
      </w:r>
      <w:r w:rsidRPr="009B6C63">
        <w:rPr>
          <w:rFonts w:ascii="Times New Roman" w:hAnsi="Times New Roman" w:cs="Times New Roman"/>
          <w:sz w:val="24"/>
          <w:szCs w:val="24"/>
        </w:rPr>
        <w:br/>
      </w:r>
      <w:r w:rsidRPr="009B6C63">
        <w:rPr>
          <w:rFonts w:ascii="Times New Roman" w:hAnsi="Times New Roman" w:cs="Times New Roman"/>
          <w:sz w:val="24"/>
          <w:szCs w:val="24"/>
        </w:rPr>
        <w:br/>
      </w:r>
      <w:r w:rsidR="00E517C1" w:rsidRPr="00E517C1">
        <w:rPr>
          <w:rFonts w:ascii="Times New Roman" w:hAnsi="Times New Roman" w:cs="Times New Roman"/>
          <w:sz w:val="24"/>
          <w:szCs w:val="24"/>
        </w:rPr>
        <w:t>Data collection for this study involves a combination of semi-structured interviews, document analysis, and, where feasible, observational methods. Key instruments include interview guides designed to capture participants’ motivations, perceptions, and cross-jurisdictional comparisons; document analysis templates tailored for systematically reviewing policy texts, programme statistics, and regulatory frameworks; and, where permissible, observation sheets that supplement interview data with behavioural and contextual observations. By triangulating evidence across these sources, the study enhances the credibility of its findings and enables a more nuanced understanding of investment migration schemes.</w:t>
      </w:r>
      <w:r w:rsidRPr="009B6C63">
        <w:rPr>
          <w:rFonts w:ascii="Times New Roman" w:hAnsi="Times New Roman" w:cs="Times New Roman"/>
          <w:sz w:val="24"/>
          <w:szCs w:val="24"/>
        </w:rPr>
        <w:br/>
      </w:r>
      <w:r w:rsidRPr="009B6C63">
        <w:rPr>
          <w:rFonts w:ascii="Times New Roman" w:hAnsi="Times New Roman" w:cs="Times New Roman"/>
          <w:sz w:val="24"/>
          <w:szCs w:val="24"/>
        </w:rPr>
        <w:br/>
      </w:r>
      <w:r w:rsidR="00E517C1" w:rsidRPr="00E517C1">
        <w:rPr>
          <w:rFonts w:ascii="Times New Roman" w:hAnsi="Times New Roman" w:cs="Times New Roman"/>
          <w:sz w:val="24"/>
          <w:szCs w:val="24"/>
        </w:rPr>
        <w:t>Comparative data are thematically coded and synthesized across cases to illuminate key similarities and differences between the jurisdictions studied. This analytical approach enables a systematic mapping of both implementation challenges and successes, providing insight into the practical realities faced by each investment migration scheme. Additionally, the process facilitates an in-depth examination of policy adaptation and local learning mechanisms, revealing how policies evolve in response to specific institutional and contextual factors. Furthermore, the analysis identifies the contextual drivers that underlie divergent outcomes, shedding light on the influence of economic, regulatory, and cultural environments. These findings are then interpreted in relation to broader research questions, particularly regarding the impact of investment thresholds, the role of institutional context, and the dynamics of policy transfer.</w:t>
      </w:r>
    </w:p>
    <w:p w14:paraId="0A15151C" w14:textId="77777777" w:rsidR="00E517C1" w:rsidRPr="009A1835" w:rsidRDefault="00E517C1" w:rsidP="00E517C1">
      <w:pPr>
        <w:spacing w:line="360" w:lineRule="auto"/>
        <w:rPr>
          <w:rFonts w:ascii="Times New Roman" w:eastAsia="PMingLiU" w:hAnsi="Times New Roman" w:cs="Times New Roman"/>
          <w:sz w:val="24"/>
          <w:szCs w:val="24"/>
          <w:lang w:eastAsia="zh-TW"/>
        </w:rPr>
      </w:pPr>
    </w:p>
    <w:p w14:paraId="786DC83B" w14:textId="314F99AE" w:rsidR="009A1835" w:rsidRPr="00224303" w:rsidRDefault="003D33C5" w:rsidP="009A1835">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2.</w:t>
      </w:r>
      <w:r w:rsidR="003E0E75">
        <w:rPr>
          <w:rFonts w:ascii="Times New Roman" w:eastAsia="PMingLiU" w:hAnsi="Times New Roman" w:cs="Times New Roman"/>
          <w:b/>
          <w:bCs/>
          <w:sz w:val="24"/>
          <w:szCs w:val="24"/>
          <w:lang w:eastAsia="zh-TW"/>
        </w:rPr>
        <w:t>4</w:t>
      </w:r>
      <w:r w:rsidR="009A1835" w:rsidRPr="00F23E4A">
        <w:rPr>
          <w:rFonts w:ascii="Times New Roman" w:eastAsia="PMingLiU" w:hAnsi="Times New Roman" w:cs="Times New Roman"/>
          <w:b/>
          <w:bCs/>
          <w:sz w:val="24"/>
          <w:szCs w:val="24"/>
          <w:lang w:eastAsia="zh-TW"/>
        </w:rPr>
        <w:t xml:space="preserve"> Empirical Evidence: Economic, Social, and Policy Impacts</w:t>
      </w:r>
    </w:p>
    <w:p w14:paraId="6F4FEF7F" w14:textId="77777777" w:rsidR="00224303" w:rsidRDefault="00224303" w:rsidP="009A1835">
      <w:pPr>
        <w:spacing w:line="360" w:lineRule="auto"/>
        <w:rPr>
          <w:rFonts w:ascii="Times New Roman" w:eastAsia="PMingLiU" w:hAnsi="Times New Roman" w:cs="Times New Roman"/>
          <w:b/>
          <w:bCs/>
          <w:sz w:val="24"/>
          <w:szCs w:val="24"/>
          <w:lang w:eastAsia="zh-TW"/>
        </w:rPr>
      </w:pPr>
    </w:p>
    <w:p w14:paraId="6DCD2F17" w14:textId="418F916C" w:rsidR="003B6828" w:rsidRDefault="003E0E75" w:rsidP="009A1835">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Fiscal and Economic Contributions</w:t>
      </w:r>
      <w:r w:rsidR="00224303">
        <w:rPr>
          <w:rFonts w:ascii="Times New Roman" w:hAnsi="Times New Roman" w:cs="Times New Roman"/>
          <w:sz w:val="24"/>
          <w:szCs w:val="24"/>
        </w:rPr>
        <w:t>:</w:t>
      </w:r>
      <w:r>
        <w:rPr>
          <w:rFonts w:ascii="Times New Roman" w:hAnsi="Times New Roman" w:cs="Times New Roman"/>
          <w:sz w:val="24"/>
          <w:szCs w:val="24"/>
        </w:rPr>
        <w:t xml:space="preserve"> </w:t>
      </w:r>
      <w:r w:rsidR="00A43BBC" w:rsidRPr="00A43BBC">
        <w:rPr>
          <w:rFonts w:ascii="Times New Roman" w:hAnsi="Times New Roman" w:cs="Times New Roman"/>
          <w:sz w:val="24"/>
          <w:szCs w:val="24"/>
        </w:rPr>
        <w:t>Evaluation of the fiscal and economic impacts of Hong Kong’s New CIES is informed by leading analytical models and the latest comparative research. Fiscal impact frameworks, as discussed by Dustmann and Frattini (2014), assess whether such migration schemes generate net benefits for public finances, primarily by considering the taxes and investment inflows contributed by participants versus the cost of additional public services. Quantitative studies in the field, alongside regional policy reviews (Surak, 2022; Henley &amp; Partners, 2025), reveal ongoing debate surrounding both the short-term infusion of capital and the longer-term structural benefits to the economy.</w:t>
      </w:r>
      <w:r w:rsidR="00A43BBC" w:rsidRPr="00A43BBC">
        <w:rPr>
          <w:rFonts w:ascii="Times New Roman" w:hAnsi="Times New Roman" w:cs="Times New Roman"/>
          <w:sz w:val="24"/>
          <w:szCs w:val="24"/>
        </w:rPr>
        <w:br/>
        <w:t>On one side, proponents argue the scheme’s fiscal effectiveness is evident: substantial, high-threshold investments bring immediate capital inflows, boost government revenues, and fund sectoral innovation. For instance, recent outcome reports indicate that the demographic targeted</w:t>
      </w:r>
      <w:r w:rsidR="00D347ED">
        <w:rPr>
          <w:rFonts w:ascii="Times New Roman" w:hAnsi="Times New Roman" w:cs="Times New Roman"/>
          <w:sz w:val="24"/>
          <w:szCs w:val="24"/>
        </w:rPr>
        <w:t xml:space="preserve"> HNWIs </w:t>
      </w:r>
      <w:r w:rsidR="00A43BBC" w:rsidRPr="00A43BBC">
        <w:rPr>
          <w:rFonts w:ascii="Times New Roman" w:hAnsi="Times New Roman" w:cs="Times New Roman"/>
          <w:sz w:val="24"/>
          <w:szCs w:val="24"/>
        </w:rPr>
        <w:t>tends to have minimal net usage of social services, further strengthening the net positive fiscal balance. However, critics caution that headline figures may mask important nuances. Some contend that investment migration, while lucrative in the short run, may not always translate into deeper, sustained economic diversification or broad-based employment gains. Concerns persist over the concentration of investment in specific asset classes (such as luxury real estate) and the relatively limited direct job creation, igniting debate about the value-for-money and social equity of such schemes.</w:t>
      </w:r>
      <w:r w:rsidR="00A43BBC" w:rsidRPr="00A43BBC">
        <w:rPr>
          <w:rFonts w:ascii="Times New Roman" w:hAnsi="Times New Roman" w:cs="Times New Roman"/>
          <w:sz w:val="24"/>
          <w:szCs w:val="24"/>
        </w:rPr>
        <w:br/>
        <w:t>This ongoing discussion highlights a critical policy question: does the New CIES, beyond generating revenues, deliver long-term, diversified economic development? Evidence from the latest programme statistics supports the scheme’s sky-high effectiveness in attracting applicants and capital (see Table 1). Nonetheless, true fiscal impact requires that these investments catalyse broader growth, stimulate new sectors, and fortify Hong Kong’s competitiveness</w:t>
      </w:r>
      <w:r w:rsidR="00D347ED">
        <w:rPr>
          <w:rFonts w:ascii="Times New Roman" w:hAnsi="Times New Roman" w:cs="Times New Roman"/>
          <w:sz w:val="24"/>
          <w:szCs w:val="24"/>
        </w:rPr>
        <w:t xml:space="preserve"> </w:t>
      </w:r>
      <w:r w:rsidR="00A43BBC" w:rsidRPr="00A43BBC">
        <w:rPr>
          <w:rFonts w:ascii="Times New Roman" w:hAnsi="Times New Roman" w:cs="Times New Roman"/>
          <w:sz w:val="24"/>
          <w:szCs w:val="24"/>
        </w:rPr>
        <w:t>—</w:t>
      </w:r>
      <w:r w:rsidR="00D347ED">
        <w:rPr>
          <w:rFonts w:ascii="Times New Roman" w:hAnsi="Times New Roman" w:cs="Times New Roman"/>
          <w:sz w:val="24"/>
          <w:szCs w:val="24"/>
        </w:rPr>
        <w:t xml:space="preserve"> </w:t>
      </w:r>
      <w:r w:rsidR="00A43BBC" w:rsidRPr="00A43BBC">
        <w:rPr>
          <w:rFonts w:ascii="Times New Roman" w:hAnsi="Times New Roman" w:cs="Times New Roman"/>
          <w:sz w:val="24"/>
          <w:szCs w:val="24"/>
        </w:rPr>
        <w:t>a claim that remains the subject of active empirical research and policy debate. The following data reinforce the immediate fiscal success of the scheme while underscoring the need for continued evaluation of its deeper economic contributions (Table 1; Table 2).</w:t>
      </w:r>
    </w:p>
    <w:p w14:paraId="1A64ECE3" w14:textId="77777777" w:rsidR="00A43BBC" w:rsidRDefault="00A43BBC" w:rsidP="009A1835">
      <w:pPr>
        <w:spacing w:line="360" w:lineRule="auto"/>
        <w:rPr>
          <w:rFonts w:ascii="Times New Roman" w:hAnsi="Times New Roman" w:cs="Times New Roman"/>
          <w:sz w:val="24"/>
          <w:szCs w:val="24"/>
        </w:rPr>
      </w:pPr>
    </w:p>
    <w:p w14:paraId="0A4251A0" w14:textId="3FBCA351" w:rsidR="00A43BBC" w:rsidRPr="00A43BBC" w:rsidRDefault="00A43BBC" w:rsidP="009A1835">
      <w:pPr>
        <w:spacing w:line="360" w:lineRule="auto"/>
        <w:rPr>
          <w:rFonts w:ascii="Times New Roman" w:hAnsi="Times New Roman" w:cs="Times New Roman"/>
          <w:b/>
          <w:bCs/>
          <w:sz w:val="24"/>
          <w:szCs w:val="24"/>
        </w:rPr>
      </w:pPr>
      <w:r w:rsidRPr="00A43BBC">
        <w:rPr>
          <w:rFonts w:ascii="Times New Roman" w:hAnsi="Times New Roman" w:cs="Times New Roman"/>
          <w:b/>
          <w:bCs/>
          <w:sz w:val="24"/>
          <w:szCs w:val="24"/>
        </w:rPr>
        <w:t>Table 1: Applications, Approvals, and Investment Inflows under the New CIES (</w:t>
      </w:r>
      <w:r>
        <w:rPr>
          <w:rFonts w:ascii="Times New Roman" w:hAnsi="Times New Roman" w:cs="Times New Roman"/>
          <w:b/>
          <w:bCs/>
          <w:sz w:val="24"/>
          <w:szCs w:val="24"/>
        </w:rPr>
        <w:t xml:space="preserve">March </w:t>
      </w:r>
      <w:r w:rsidRPr="00A43BBC">
        <w:rPr>
          <w:rFonts w:ascii="Times New Roman" w:hAnsi="Times New Roman" w:cs="Times New Roman"/>
          <w:b/>
          <w:bCs/>
          <w:sz w:val="24"/>
          <w:szCs w:val="24"/>
        </w:rPr>
        <w:t>2024</w:t>
      </w:r>
      <w:r>
        <w:rPr>
          <w:rFonts w:ascii="Times New Roman" w:hAnsi="Times New Roman" w:cs="Times New Roman"/>
          <w:b/>
          <w:bCs/>
          <w:sz w:val="24"/>
          <w:szCs w:val="24"/>
        </w:rPr>
        <w:t xml:space="preserve"> to April 2025</w:t>
      </w:r>
      <w:r w:rsidRPr="00A43BBC">
        <w:rPr>
          <w:rFonts w:ascii="Times New Roman" w:hAnsi="Times New Roman" w:cs="Times New Roman"/>
          <w:b/>
          <w:bCs/>
          <w:sz w:val="24"/>
          <w:szCs w:val="24"/>
        </w:rPr>
        <w:t>)</w:t>
      </w:r>
    </w:p>
    <w:p w14:paraId="7B6866B4" w14:textId="77777777" w:rsidR="007576C6" w:rsidRDefault="003B6828" w:rsidP="009A1835">
      <w:pPr>
        <w:spacing w:line="360" w:lineRule="auto"/>
      </w:pPr>
      <w:r w:rsidRPr="003B6828">
        <w:rPr>
          <w:rFonts w:ascii="Times New Roman" w:eastAsia="PMingLiU" w:hAnsi="Times New Roman" w:cs="Times New Roman"/>
          <w:noProof/>
          <w:sz w:val="24"/>
          <w:szCs w:val="24"/>
          <w:lang w:eastAsia="zh-TW"/>
        </w:rPr>
        <w:drawing>
          <wp:inline distT="0" distB="0" distL="0" distR="0" wp14:anchorId="362840F3" wp14:editId="02BF2F49">
            <wp:extent cx="6274340" cy="1193009"/>
            <wp:effectExtent l="0" t="0" r="0" b="7620"/>
            <wp:docPr id="924017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4017151" name=""/>
                    <pic:cNvPicPr/>
                  </pic:nvPicPr>
                  <pic:blipFill>
                    <a:blip r:embed="rId8"/>
                    <a:stretch>
                      <a:fillRect/>
                    </a:stretch>
                  </pic:blipFill>
                  <pic:spPr>
                    <a:xfrm>
                      <a:off x="0" y="0"/>
                      <a:ext cx="6364504" cy="1210153"/>
                    </a:xfrm>
                    <a:prstGeom prst="rect">
                      <a:avLst/>
                    </a:prstGeom>
                  </pic:spPr>
                </pic:pic>
              </a:graphicData>
            </a:graphic>
          </wp:inline>
        </w:drawing>
      </w:r>
      <w:r w:rsidR="007576C6" w:rsidRPr="007576C6">
        <w:t xml:space="preserve"> </w:t>
      </w:r>
    </w:p>
    <w:p w14:paraId="697B8898" w14:textId="3D518502" w:rsidR="003B6828" w:rsidRDefault="007576C6" w:rsidP="009A1835">
      <w:pPr>
        <w:spacing w:line="360" w:lineRule="auto"/>
        <w:rPr>
          <w:rFonts w:ascii="Times New Roman" w:eastAsia="PMingLiU" w:hAnsi="Times New Roman" w:cs="Times New Roman"/>
          <w:sz w:val="24"/>
          <w:szCs w:val="24"/>
          <w:lang w:eastAsia="zh-TW"/>
        </w:rPr>
      </w:pPr>
      <w:r w:rsidRPr="007576C6">
        <w:rPr>
          <w:rFonts w:ascii="Times New Roman" w:eastAsia="PMingLiU" w:hAnsi="Times New Roman" w:cs="Times New Roman"/>
          <w:sz w:val="24"/>
          <w:szCs w:val="24"/>
          <w:lang w:eastAsia="zh-TW"/>
        </w:rPr>
        <w:t>Source: Invest Hong Kong, April 2025</w:t>
      </w:r>
    </w:p>
    <w:p w14:paraId="69D4E17D" w14:textId="77777777" w:rsidR="00A43BBC" w:rsidRDefault="00A43BBC" w:rsidP="009A1835">
      <w:pPr>
        <w:spacing w:line="360" w:lineRule="auto"/>
        <w:rPr>
          <w:rFonts w:ascii="Times New Roman" w:eastAsia="PMingLiU" w:hAnsi="Times New Roman" w:cs="Times New Roman"/>
          <w:sz w:val="24"/>
          <w:szCs w:val="24"/>
          <w:lang w:eastAsia="zh-TW"/>
        </w:rPr>
      </w:pPr>
    </w:p>
    <w:p w14:paraId="0F0E40C5" w14:textId="51028C80" w:rsidR="00075930" w:rsidRPr="00A43BBC" w:rsidRDefault="00A43BBC" w:rsidP="009A1835">
      <w:pPr>
        <w:spacing w:line="360" w:lineRule="auto"/>
        <w:rPr>
          <w:rFonts w:ascii="Times New Roman" w:eastAsia="PMingLiU" w:hAnsi="Times New Roman" w:cs="Times New Roman"/>
          <w:b/>
          <w:bCs/>
          <w:sz w:val="24"/>
          <w:szCs w:val="24"/>
          <w:lang w:eastAsia="zh-TW"/>
        </w:rPr>
      </w:pPr>
      <w:r w:rsidRPr="00A43BBC">
        <w:rPr>
          <w:rFonts w:ascii="Times New Roman" w:hAnsi="Times New Roman" w:cs="Times New Roman"/>
          <w:b/>
          <w:bCs/>
          <w:sz w:val="24"/>
          <w:szCs w:val="24"/>
        </w:rPr>
        <w:t> Table 2: Distribution of Approved Investment by Sector</w:t>
      </w:r>
      <w:r>
        <w:rPr>
          <w:rFonts w:ascii="Times New Roman" w:hAnsi="Times New Roman" w:cs="Times New Roman"/>
          <w:b/>
          <w:bCs/>
          <w:sz w:val="24"/>
          <w:szCs w:val="24"/>
        </w:rPr>
        <w:t xml:space="preserve"> </w:t>
      </w:r>
      <w:r w:rsidRPr="00A43BBC">
        <w:rPr>
          <w:rFonts w:ascii="Times New Roman" w:hAnsi="Times New Roman" w:cs="Times New Roman"/>
          <w:b/>
          <w:bCs/>
          <w:sz w:val="24"/>
          <w:szCs w:val="24"/>
        </w:rPr>
        <w:t>—</w:t>
      </w:r>
      <w:r>
        <w:rPr>
          <w:rFonts w:ascii="Times New Roman" w:hAnsi="Times New Roman" w:cs="Times New Roman"/>
          <w:b/>
          <w:bCs/>
          <w:sz w:val="24"/>
          <w:szCs w:val="24"/>
        </w:rPr>
        <w:t xml:space="preserve"> </w:t>
      </w:r>
      <w:r w:rsidRPr="00A43BBC">
        <w:rPr>
          <w:rFonts w:ascii="Times New Roman" w:hAnsi="Times New Roman" w:cs="Times New Roman"/>
          <w:b/>
          <w:bCs/>
          <w:sz w:val="24"/>
          <w:szCs w:val="24"/>
        </w:rPr>
        <w:t>Economic Diversification Effects</w:t>
      </w:r>
    </w:p>
    <w:p w14:paraId="605FB005" w14:textId="16F87084" w:rsidR="00075930" w:rsidRDefault="006E498D" w:rsidP="009A1835">
      <w:pPr>
        <w:spacing w:line="360" w:lineRule="auto"/>
        <w:rPr>
          <w:rFonts w:ascii="Times New Roman" w:eastAsia="PMingLiU" w:hAnsi="Times New Roman" w:cs="Times New Roman"/>
          <w:sz w:val="24"/>
          <w:szCs w:val="24"/>
          <w:lang w:eastAsia="zh-TW"/>
        </w:rPr>
      </w:pPr>
      <w:r w:rsidRPr="006E498D">
        <w:rPr>
          <w:rFonts w:ascii="Times New Roman" w:eastAsia="PMingLiU" w:hAnsi="Times New Roman" w:cs="Times New Roman"/>
          <w:noProof/>
          <w:sz w:val="24"/>
          <w:szCs w:val="24"/>
          <w:lang w:eastAsia="zh-TW"/>
        </w:rPr>
        <w:drawing>
          <wp:inline distT="0" distB="0" distL="0" distR="0" wp14:anchorId="5401238F" wp14:editId="78039BFD">
            <wp:extent cx="6245157" cy="1428781"/>
            <wp:effectExtent l="0" t="0" r="3810" b="0"/>
            <wp:docPr id="667346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346944" name=""/>
                    <pic:cNvPicPr/>
                  </pic:nvPicPr>
                  <pic:blipFill>
                    <a:blip r:embed="rId9"/>
                    <a:stretch>
                      <a:fillRect/>
                    </a:stretch>
                  </pic:blipFill>
                  <pic:spPr>
                    <a:xfrm>
                      <a:off x="0" y="0"/>
                      <a:ext cx="6318000" cy="1445446"/>
                    </a:xfrm>
                    <a:prstGeom prst="rect">
                      <a:avLst/>
                    </a:prstGeom>
                  </pic:spPr>
                </pic:pic>
              </a:graphicData>
            </a:graphic>
          </wp:inline>
        </w:drawing>
      </w:r>
    </w:p>
    <w:p w14:paraId="562302F8" w14:textId="64870403" w:rsidR="00075930" w:rsidRDefault="007576C6" w:rsidP="009A1835">
      <w:pPr>
        <w:spacing w:line="360" w:lineRule="auto"/>
        <w:rPr>
          <w:rFonts w:ascii="Times New Roman" w:eastAsia="PMingLiU" w:hAnsi="Times New Roman" w:cs="Times New Roman"/>
          <w:sz w:val="24"/>
          <w:szCs w:val="24"/>
          <w:lang w:eastAsia="zh-TW"/>
        </w:rPr>
      </w:pPr>
      <w:r w:rsidRPr="007576C6">
        <w:rPr>
          <w:rFonts w:ascii="Times New Roman" w:eastAsia="PMingLiU" w:hAnsi="Times New Roman" w:cs="Times New Roman"/>
          <w:sz w:val="24"/>
          <w:szCs w:val="24"/>
          <w:lang w:eastAsia="zh-TW"/>
        </w:rPr>
        <w:t>Source: Invest Hong Kong, April 2025</w:t>
      </w:r>
    </w:p>
    <w:p w14:paraId="02C15F6D" w14:textId="77777777" w:rsidR="007576C6" w:rsidRPr="009A1835" w:rsidRDefault="007576C6" w:rsidP="009A1835">
      <w:pPr>
        <w:spacing w:line="360" w:lineRule="auto"/>
        <w:rPr>
          <w:rFonts w:ascii="Times New Roman" w:eastAsia="PMingLiU" w:hAnsi="Times New Roman" w:cs="Times New Roman"/>
          <w:sz w:val="24"/>
          <w:szCs w:val="24"/>
          <w:lang w:eastAsia="zh-TW"/>
        </w:rPr>
      </w:pPr>
    </w:p>
    <w:p w14:paraId="33C92D66" w14:textId="0DE9BC60" w:rsidR="009A1835" w:rsidRPr="003F049F" w:rsidRDefault="00C65A5C" w:rsidP="009A1835">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Entrepreneurship, Innovation, and Talent Attraction</w:t>
      </w:r>
      <w:r w:rsidR="00224303">
        <w:rPr>
          <w:rFonts w:ascii="Times New Roman" w:eastAsia="PMingLiU" w:hAnsi="Times New Roman" w:cs="Times New Roman"/>
          <w:b/>
          <w:bCs/>
          <w:sz w:val="24"/>
          <w:szCs w:val="24"/>
          <w:lang w:eastAsia="zh-TW"/>
        </w:rPr>
        <w:t>:</w:t>
      </w:r>
      <w:r>
        <w:rPr>
          <w:rFonts w:ascii="Times New Roman" w:hAnsi="Times New Roman" w:cs="Times New Roman"/>
          <w:sz w:val="24"/>
          <w:szCs w:val="24"/>
        </w:rPr>
        <w:t xml:space="preserve"> </w:t>
      </w:r>
      <w:r w:rsidR="00443D79" w:rsidRPr="00443D79">
        <w:rPr>
          <w:rFonts w:ascii="Times New Roman" w:hAnsi="Times New Roman" w:cs="Times New Roman"/>
          <w:sz w:val="24"/>
          <w:szCs w:val="24"/>
        </w:rPr>
        <w:t xml:space="preserve">Investment migration schemes deliver the strongest impacts when they are not isolated fiscal policies but part of comprehensive talent attraction and innovation strategies. Embedding such programmes within broader frameworks ensures that </w:t>
      </w:r>
      <w:r w:rsidR="007A377A">
        <w:rPr>
          <w:rFonts w:ascii="Times New Roman" w:hAnsi="Times New Roman" w:cs="Times New Roman"/>
          <w:sz w:val="24"/>
          <w:szCs w:val="24"/>
        </w:rPr>
        <w:t>HNWIs</w:t>
      </w:r>
      <w:r w:rsidR="00443D79" w:rsidRPr="00443D79">
        <w:rPr>
          <w:rFonts w:ascii="Times New Roman" w:hAnsi="Times New Roman" w:cs="Times New Roman"/>
          <w:sz w:val="24"/>
          <w:szCs w:val="24"/>
        </w:rPr>
        <w:t xml:space="preserve"> contribute actively to entrepreneurship, knowledge transfer, and innovation, rather than merely investing capital.</w:t>
      </w:r>
      <w:r w:rsidR="00443D79" w:rsidRPr="00443D79">
        <w:rPr>
          <w:rFonts w:ascii="Times New Roman" w:hAnsi="Times New Roman" w:cs="Times New Roman"/>
          <w:sz w:val="24"/>
          <w:szCs w:val="24"/>
        </w:rPr>
        <w:br/>
        <w:t>Research consistently supports this view: policy effectiveness increases substantially when jurisdictions offer targeted business support, post-entry incentives, and transparent regulatory processes alongside investor visas. For instance, studies show that schemes encouraging business incubation, mentoring, and streamlined start-up registration result in greater entrepreneurial activity and local economic benefits (Chellaraj, Maskus, &amp; Mattoo, 2008; Kerr &amp; Kerr, 2016; Surak, 2022). These policies have been directly linked to higher rates of company founding, intellectual property generation, and the retention of global talent.</w:t>
      </w:r>
      <w:r w:rsidR="00443D79" w:rsidRPr="00443D79">
        <w:rPr>
          <w:rFonts w:ascii="Times New Roman" w:hAnsi="Times New Roman" w:cs="Times New Roman"/>
          <w:sz w:val="24"/>
          <w:szCs w:val="24"/>
        </w:rPr>
        <w:br/>
        <w:t>Evidence also highlights shortcomings in schemes focusing only on capital inflows. Many underperform when they lack mechanisms to connect migrants with local innovation networks or to support new ventures post-admission, resulting in passive investment and minimal economic spillover. Academic reviews therefore caution that success depends on aligning financial requirements with access to local opportunities and sustained support structures (Surak, 2022; Kerr &amp; Kerr, 2016).</w:t>
      </w:r>
      <w:r w:rsidR="00443D79" w:rsidRPr="00443D79">
        <w:rPr>
          <w:rFonts w:ascii="Times New Roman" w:hAnsi="Times New Roman" w:cs="Times New Roman"/>
          <w:sz w:val="24"/>
          <w:szCs w:val="24"/>
        </w:rPr>
        <w:br/>
        <w:t>A successful approach requires moving beyond financial thresholds to a holistic model, in which investors are integrated into vibrant business and innovation environments</w:t>
      </w:r>
      <w:r w:rsidR="003F049F">
        <w:rPr>
          <w:rFonts w:ascii="Times New Roman" w:hAnsi="Times New Roman" w:cs="Times New Roman"/>
          <w:sz w:val="24"/>
          <w:szCs w:val="24"/>
        </w:rPr>
        <w:t xml:space="preserve"> </w:t>
      </w:r>
      <w:r w:rsidR="003F049F" w:rsidRPr="003F049F">
        <w:rPr>
          <w:rFonts w:ascii="Times New Roman" w:hAnsi="Times New Roman" w:cs="Times New Roman"/>
          <w:sz w:val="24"/>
          <w:szCs w:val="24"/>
        </w:rPr>
        <w:t>(Chellaraj et al., 2008; Kerr &amp; Kerr, 2016; Surak, 2022)</w:t>
      </w:r>
      <w:r w:rsidR="00443D79" w:rsidRPr="00443D79">
        <w:rPr>
          <w:rFonts w:ascii="Times New Roman" w:hAnsi="Times New Roman" w:cs="Times New Roman"/>
          <w:sz w:val="24"/>
          <w:szCs w:val="24"/>
        </w:rPr>
        <w:t xml:space="preserve">. The literature demonstrates that such alignment between programme entry requirements and systemic entrepreneurial support is crucial for </w:t>
      </w:r>
      <w:r w:rsidR="00443D79" w:rsidRPr="003F049F">
        <w:rPr>
          <w:rFonts w:ascii="Times New Roman" w:hAnsi="Times New Roman" w:cs="Times New Roman"/>
          <w:sz w:val="24"/>
          <w:szCs w:val="24"/>
        </w:rPr>
        <w:t>achieving the intended economic, social, and innovation outcomes of investment migration schemes.</w:t>
      </w:r>
    </w:p>
    <w:p w14:paraId="28ED4716" w14:textId="77777777" w:rsidR="003B4617" w:rsidRPr="009A1835" w:rsidRDefault="003B4617" w:rsidP="009A1835">
      <w:pPr>
        <w:spacing w:line="360" w:lineRule="auto"/>
        <w:rPr>
          <w:rFonts w:ascii="Times New Roman" w:eastAsia="PMingLiU" w:hAnsi="Times New Roman" w:cs="Times New Roman"/>
          <w:sz w:val="24"/>
          <w:szCs w:val="24"/>
          <w:lang w:eastAsia="zh-TW"/>
        </w:rPr>
      </w:pPr>
    </w:p>
    <w:p w14:paraId="33ED5BB0" w14:textId="3ED6AB27" w:rsidR="009A1835" w:rsidRDefault="00C65A5C" w:rsidP="009A1835">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ESG and DEI Considerations</w:t>
      </w:r>
      <w:r w:rsidR="00224303">
        <w:rPr>
          <w:rFonts w:ascii="Times New Roman" w:eastAsia="PMingLiU" w:hAnsi="Times New Roman" w:cs="Times New Roman"/>
          <w:b/>
          <w:bCs/>
          <w:sz w:val="24"/>
          <w:szCs w:val="24"/>
          <w:lang w:eastAsia="zh-TW"/>
        </w:rPr>
        <w:t>:</w:t>
      </w:r>
      <w:r>
        <w:rPr>
          <w:rFonts w:ascii="Times New Roman" w:hAnsi="Times New Roman" w:cs="Times New Roman"/>
          <w:sz w:val="24"/>
          <w:szCs w:val="24"/>
        </w:rPr>
        <w:t xml:space="preserve"> </w:t>
      </w:r>
      <w:r w:rsidR="0052233C" w:rsidRPr="0052233C">
        <w:rPr>
          <w:rFonts w:ascii="Times New Roman" w:hAnsi="Times New Roman" w:cs="Times New Roman"/>
          <w:sz w:val="24"/>
          <w:szCs w:val="24"/>
        </w:rPr>
        <w:t>There is growing consensus that integrating ESG and DEI criteria into investment migration programmes is critical for aligning with international best practices and attracting responsible investors (OECD, 2022; Savva, 2024). Such considerations enhance programme credibility, sustainability, and social acceptance by drawing investors focused on positive societal impact.</w:t>
      </w:r>
      <w:r w:rsidR="0052233C" w:rsidRPr="0052233C">
        <w:rPr>
          <w:rFonts w:ascii="Times New Roman" w:hAnsi="Times New Roman" w:cs="Times New Roman"/>
          <w:sz w:val="24"/>
          <w:szCs w:val="24"/>
        </w:rPr>
        <w:br/>
        <w:t>Currently, Hong Kong’s New CIES</w:t>
      </w:r>
      <w:r w:rsidR="0052233C">
        <w:rPr>
          <w:rFonts w:ascii="Times New Roman" w:hAnsi="Times New Roman" w:cs="Times New Roman"/>
          <w:sz w:val="24"/>
          <w:szCs w:val="24"/>
        </w:rPr>
        <w:t xml:space="preserve"> </w:t>
      </w:r>
      <w:r w:rsidR="0052233C" w:rsidRPr="0052233C">
        <w:rPr>
          <w:rFonts w:ascii="Times New Roman" w:hAnsi="Times New Roman" w:cs="Times New Roman"/>
          <w:sz w:val="24"/>
          <w:szCs w:val="24"/>
        </w:rPr>
        <w:t>does not include explicit ESG or DEI requirements</w:t>
      </w:r>
      <w:r w:rsidR="0052233C">
        <w:rPr>
          <w:rFonts w:ascii="Times New Roman" w:hAnsi="Times New Roman" w:cs="Times New Roman"/>
          <w:sz w:val="24"/>
          <w:szCs w:val="24"/>
        </w:rPr>
        <w:t xml:space="preserve"> </w:t>
      </w:r>
      <w:r w:rsidR="0052233C" w:rsidRPr="0052233C">
        <w:rPr>
          <w:rFonts w:ascii="Times New Roman" w:hAnsi="Times New Roman" w:cs="Times New Roman"/>
          <w:sz w:val="24"/>
          <w:szCs w:val="24"/>
        </w:rPr>
        <w:t>—</w:t>
      </w:r>
      <w:r w:rsidR="0052233C">
        <w:rPr>
          <w:rFonts w:ascii="Times New Roman" w:hAnsi="Times New Roman" w:cs="Times New Roman"/>
          <w:sz w:val="24"/>
          <w:szCs w:val="24"/>
        </w:rPr>
        <w:t xml:space="preserve"> </w:t>
      </w:r>
      <w:r w:rsidR="0052233C" w:rsidRPr="0052233C">
        <w:rPr>
          <w:rFonts w:ascii="Times New Roman" w:hAnsi="Times New Roman" w:cs="Times New Roman"/>
          <w:sz w:val="24"/>
          <w:szCs w:val="24"/>
        </w:rPr>
        <w:t>a notable policy gap compared to evolving global trends. In contrast, Singapore’s GIP</w:t>
      </w:r>
      <w:r w:rsidR="00D347ED">
        <w:rPr>
          <w:rFonts w:ascii="Times New Roman" w:hAnsi="Times New Roman" w:cs="Times New Roman"/>
          <w:sz w:val="24"/>
          <w:szCs w:val="24"/>
        </w:rPr>
        <w:t xml:space="preserve"> </w:t>
      </w:r>
      <w:r w:rsidR="0052233C" w:rsidRPr="0052233C">
        <w:rPr>
          <w:rFonts w:ascii="Times New Roman" w:hAnsi="Times New Roman" w:cs="Times New Roman"/>
          <w:sz w:val="24"/>
          <w:szCs w:val="24"/>
        </w:rPr>
        <w:t>has introduced green investment options, while several European schemes connect residency status to sustainable investment projects (Henley &amp; Partners, 2025). The absence of similar features in Hong Kong could limit both its appeal to ESG-oriented investors and its broader reputational standing.</w:t>
      </w:r>
      <w:r w:rsidR="0052233C" w:rsidRPr="0052233C">
        <w:rPr>
          <w:rFonts w:ascii="Times New Roman" w:hAnsi="Times New Roman" w:cs="Times New Roman"/>
          <w:sz w:val="24"/>
          <w:szCs w:val="24"/>
        </w:rPr>
        <w:br/>
        <w:t>Policy reviews and scholarly analysis warn that high-net-worth migration schemes lacking ESG-linked incentives might struggle with long-term sustainability and public legitimacy (OECD, 2022; Savva, 2024). For Hong Kong, incorporating these considerations represents both a critical opportunity for policy enhancement and a way to align more strongly with the responsible investment priorities prevalent among international investor communities.</w:t>
      </w:r>
    </w:p>
    <w:p w14:paraId="4BB5B180" w14:textId="77777777" w:rsidR="0052233C" w:rsidRPr="0052233C" w:rsidRDefault="0052233C" w:rsidP="009A1835">
      <w:pPr>
        <w:spacing w:line="360" w:lineRule="auto"/>
        <w:rPr>
          <w:rFonts w:ascii="Times New Roman" w:eastAsia="PMingLiU" w:hAnsi="Times New Roman" w:cs="Times New Roman"/>
          <w:sz w:val="24"/>
          <w:szCs w:val="24"/>
          <w:lang w:eastAsia="zh-TW"/>
        </w:rPr>
      </w:pPr>
    </w:p>
    <w:p w14:paraId="239A1EAD" w14:textId="204E1D0C" w:rsidR="009A1835" w:rsidRDefault="00C65A5C" w:rsidP="009A1835">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Social Integration and Community Impacts</w:t>
      </w:r>
      <w:r w:rsidR="00224303">
        <w:rPr>
          <w:rFonts w:ascii="Times New Roman" w:hAnsi="Times New Roman" w:cs="Times New Roman"/>
          <w:sz w:val="24"/>
          <w:szCs w:val="24"/>
        </w:rPr>
        <w:t>:</w:t>
      </w:r>
      <w:r>
        <w:rPr>
          <w:rFonts w:ascii="Times New Roman" w:hAnsi="Times New Roman" w:cs="Times New Roman"/>
          <w:sz w:val="24"/>
          <w:szCs w:val="24"/>
        </w:rPr>
        <w:t xml:space="preserve"> </w:t>
      </w:r>
      <w:r w:rsidR="0052233C" w:rsidRPr="0052233C">
        <w:rPr>
          <w:rFonts w:ascii="Times New Roman" w:hAnsi="Times New Roman" w:cs="Times New Roman"/>
          <w:sz w:val="24"/>
          <w:szCs w:val="24"/>
        </w:rPr>
        <w:t>Social integration is widely recognised as a critical determinant of the long-term effectiveness of investment migration schemes. Research demonstrates that investment migrants’ active engagement in host communities</w:t>
      </w:r>
      <w:r w:rsidR="00D347ED">
        <w:rPr>
          <w:rFonts w:ascii="Times New Roman" w:hAnsi="Times New Roman" w:cs="Times New Roman"/>
          <w:sz w:val="24"/>
          <w:szCs w:val="24"/>
        </w:rPr>
        <w:t xml:space="preserve"> </w:t>
      </w:r>
      <w:r w:rsidR="0052233C" w:rsidRPr="0052233C">
        <w:rPr>
          <w:rFonts w:ascii="Times New Roman" w:hAnsi="Times New Roman" w:cs="Times New Roman"/>
          <w:sz w:val="24"/>
          <w:szCs w:val="24"/>
        </w:rPr>
        <w:t>—</w:t>
      </w:r>
      <w:r w:rsidR="00D347ED">
        <w:rPr>
          <w:rFonts w:ascii="Times New Roman" w:hAnsi="Times New Roman" w:cs="Times New Roman"/>
          <w:sz w:val="24"/>
          <w:szCs w:val="24"/>
        </w:rPr>
        <w:t xml:space="preserve"> </w:t>
      </w:r>
      <w:r w:rsidR="0052233C" w:rsidRPr="0052233C">
        <w:rPr>
          <w:rFonts w:ascii="Times New Roman" w:hAnsi="Times New Roman" w:cs="Times New Roman"/>
          <w:sz w:val="24"/>
          <w:szCs w:val="24"/>
        </w:rPr>
        <w:t>such as participation in local networks, employment, and public life</w:t>
      </w:r>
      <w:r w:rsidR="0052233C">
        <w:rPr>
          <w:rFonts w:ascii="Times New Roman" w:hAnsi="Times New Roman" w:cs="Times New Roman"/>
          <w:sz w:val="24"/>
          <w:szCs w:val="24"/>
        </w:rPr>
        <w:t xml:space="preserve"> </w:t>
      </w:r>
      <w:r w:rsidR="0052233C" w:rsidRPr="0052233C">
        <w:rPr>
          <w:rFonts w:ascii="Times New Roman" w:hAnsi="Times New Roman" w:cs="Times New Roman"/>
          <w:sz w:val="24"/>
          <w:szCs w:val="24"/>
        </w:rPr>
        <w:t>—</w:t>
      </w:r>
      <w:r w:rsidR="0052233C">
        <w:rPr>
          <w:rFonts w:ascii="Times New Roman" w:hAnsi="Times New Roman" w:cs="Times New Roman"/>
          <w:sz w:val="24"/>
          <w:szCs w:val="24"/>
        </w:rPr>
        <w:t xml:space="preserve"> </w:t>
      </w:r>
      <w:r w:rsidR="0052233C" w:rsidRPr="0052233C">
        <w:rPr>
          <w:rFonts w:ascii="Times New Roman" w:hAnsi="Times New Roman" w:cs="Times New Roman"/>
          <w:sz w:val="24"/>
          <w:szCs w:val="24"/>
        </w:rPr>
        <w:t>enhances both social cohesion and economic outcomes (Portes &amp; Rumbaut, 2014; Castles, de Haas &amp; Miller, 2020). Policies that facilitate language acquisition, access to public services, and community involvement are particularly effective in supporting successful integration.</w:t>
      </w:r>
      <w:r w:rsidR="0052233C" w:rsidRPr="0052233C">
        <w:rPr>
          <w:rFonts w:ascii="Times New Roman" w:hAnsi="Times New Roman" w:cs="Times New Roman"/>
          <w:sz w:val="24"/>
          <w:szCs w:val="24"/>
        </w:rPr>
        <w:br/>
        <w:t>Analytical frameworks from migration studies underscore the importance of social capital and network effects: when migrants are supported in building local ties, their contributions and sense of belonging increase. In contrast, programmes lacking integration support risk exclusion and limit the broader benefits of migration for both newcomers and host societies. Evidence suggests that robust community and integration policies</w:t>
      </w:r>
      <w:r w:rsidR="0052233C">
        <w:rPr>
          <w:rFonts w:ascii="Times New Roman" w:hAnsi="Times New Roman" w:cs="Times New Roman"/>
          <w:sz w:val="24"/>
          <w:szCs w:val="24"/>
        </w:rPr>
        <w:t xml:space="preserve"> </w:t>
      </w:r>
      <w:r w:rsidR="0052233C" w:rsidRPr="0052233C">
        <w:rPr>
          <w:rFonts w:ascii="Times New Roman" w:hAnsi="Times New Roman" w:cs="Times New Roman"/>
          <w:sz w:val="24"/>
          <w:szCs w:val="24"/>
        </w:rPr>
        <w:t>—</w:t>
      </w:r>
      <w:r w:rsidR="0052233C">
        <w:rPr>
          <w:rFonts w:ascii="Times New Roman" w:hAnsi="Times New Roman" w:cs="Times New Roman"/>
          <w:sz w:val="24"/>
          <w:szCs w:val="24"/>
        </w:rPr>
        <w:t xml:space="preserve"> </w:t>
      </w:r>
      <w:r w:rsidR="0052233C" w:rsidRPr="0052233C">
        <w:rPr>
          <w:rFonts w:ascii="Times New Roman" w:hAnsi="Times New Roman" w:cs="Times New Roman"/>
          <w:sz w:val="24"/>
          <w:szCs w:val="24"/>
        </w:rPr>
        <w:t>not just admission criteria</w:t>
      </w:r>
      <w:r w:rsidR="0052233C">
        <w:rPr>
          <w:rFonts w:ascii="Times New Roman" w:hAnsi="Times New Roman" w:cs="Times New Roman"/>
          <w:sz w:val="24"/>
          <w:szCs w:val="24"/>
        </w:rPr>
        <w:t xml:space="preserve"> </w:t>
      </w:r>
      <w:r w:rsidR="0052233C" w:rsidRPr="0052233C">
        <w:rPr>
          <w:rFonts w:ascii="Times New Roman" w:hAnsi="Times New Roman" w:cs="Times New Roman"/>
          <w:sz w:val="24"/>
          <w:szCs w:val="24"/>
        </w:rPr>
        <w:t>—</w:t>
      </w:r>
      <w:r w:rsidR="0052233C">
        <w:rPr>
          <w:rFonts w:ascii="Times New Roman" w:hAnsi="Times New Roman" w:cs="Times New Roman"/>
          <w:sz w:val="24"/>
          <w:szCs w:val="24"/>
        </w:rPr>
        <w:t xml:space="preserve"> </w:t>
      </w:r>
      <w:r w:rsidR="0052233C" w:rsidRPr="0052233C">
        <w:rPr>
          <w:rFonts w:ascii="Times New Roman" w:hAnsi="Times New Roman" w:cs="Times New Roman"/>
          <w:sz w:val="24"/>
          <w:szCs w:val="24"/>
        </w:rPr>
        <w:t>are essential to realising the full potential of investment migration, both in social and economic terms.</w:t>
      </w:r>
    </w:p>
    <w:p w14:paraId="0EDD3F31" w14:textId="77777777" w:rsidR="0052233C" w:rsidRPr="0052233C" w:rsidRDefault="0052233C" w:rsidP="009A1835">
      <w:pPr>
        <w:spacing w:line="360" w:lineRule="auto"/>
        <w:rPr>
          <w:rFonts w:ascii="Times New Roman" w:eastAsia="PMingLiU" w:hAnsi="Times New Roman" w:cs="Times New Roman"/>
          <w:sz w:val="24"/>
          <w:szCs w:val="24"/>
          <w:lang w:eastAsia="zh-TW"/>
        </w:rPr>
      </w:pPr>
    </w:p>
    <w:p w14:paraId="6A9796E1" w14:textId="60E4B31F" w:rsidR="009A1835" w:rsidRPr="00F23E4A" w:rsidRDefault="003D33C5" w:rsidP="009A1835">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2.</w:t>
      </w:r>
      <w:r w:rsidR="003E0E75">
        <w:rPr>
          <w:rFonts w:ascii="Times New Roman" w:eastAsia="PMingLiU" w:hAnsi="Times New Roman" w:cs="Times New Roman"/>
          <w:b/>
          <w:bCs/>
          <w:sz w:val="24"/>
          <w:szCs w:val="24"/>
          <w:lang w:eastAsia="zh-TW"/>
        </w:rPr>
        <w:t>5</w:t>
      </w:r>
      <w:r w:rsidR="009A1835" w:rsidRPr="00F23E4A">
        <w:rPr>
          <w:rFonts w:ascii="Times New Roman" w:eastAsia="PMingLiU" w:hAnsi="Times New Roman" w:cs="Times New Roman"/>
          <w:b/>
          <w:bCs/>
          <w:sz w:val="24"/>
          <w:szCs w:val="24"/>
          <w:lang w:eastAsia="zh-TW"/>
        </w:rPr>
        <w:t xml:space="preserve"> Critical Synthesis and Thematic Discussion</w:t>
      </w:r>
    </w:p>
    <w:p w14:paraId="7ECD9084" w14:textId="77777777" w:rsidR="009A1835" w:rsidRDefault="009A1835" w:rsidP="009A1835">
      <w:pPr>
        <w:spacing w:line="360" w:lineRule="auto"/>
        <w:rPr>
          <w:rFonts w:ascii="Times New Roman" w:eastAsia="PMingLiU" w:hAnsi="Times New Roman" w:cs="Times New Roman"/>
          <w:sz w:val="24"/>
          <w:szCs w:val="24"/>
          <w:lang w:eastAsia="zh-TW"/>
        </w:rPr>
      </w:pPr>
    </w:p>
    <w:p w14:paraId="6EDA5E56" w14:textId="562197D0" w:rsidR="00963EE6" w:rsidRPr="001560E3" w:rsidRDefault="00C65A5C" w:rsidP="00963EE6">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Investment Thresholds: Wealth vs. Productivity</w:t>
      </w:r>
      <w:r w:rsidR="00224303">
        <w:rPr>
          <w:rFonts w:ascii="Times New Roman" w:eastAsia="PMingLiU" w:hAnsi="Times New Roman" w:cs="Times New Roman"/>
          <w:b/>
          <w:bCs/>
          <w:sz w:val="24"/>
          <w:szCs w:val="24"/>
          <w:lang w:eastAsia="zh-TW"/>
        </w:rPr>
        <w:t>:</w:t>
      </w:r>
      <w:r>
        <w:rPr>
          <w:rFonts w:ascii="Times New Roman" w:hAnsi="Times New Roman" w:cs="Times New Roman"/>
          <w:sz w:val="24"/>
          <w:szCs w:val="24"/>
        </w:rPr>
        <w:t xml:space="preserve"> </w:t>
      </w:r>
      <w:r w:rsidR="00963EE6" w:rsidRPr="001560E3">
        <w:rPr>
          <w:rFonts w:ascii="Times New Roman" w:hAnsi="Times New Roman" w:cs="Times New Roman"/>
          <w:sz w:val="24"/>
          <w:szCs w:val="24"/>
        </w:rPr>
        <w:t>A central debate in investment migration literature is whether high investment thresholds effectively select for productivity and entrepreneurial talent, or simply wealth (Becker, 1964; Kerr &amp; Kerr, 2016). While Human Capital Theory provides a rationale for financial criteria, empirical studies caution that wealth alone does not guarantee innovation or entrepreneurship. Research on Singapore’s GIP demonstrates that lowering thresholds can increase scheme accessibility but also risks attracting more passive investors (Kerr &amp; Kerr, 2016; Surak, 2022). The HK$30 million threshold in Hong Kong’s New CIES thus presents a natural experiment for examining these questions.</w:t>
      </w:r>
    </w:p>
    <w:p w14:paraId="31FCE60A" w14:textId="77777777" w:rsidR="009A1835" w:rsidRPr="009A1835" w:rsidRDefault="009A1835" w:rsidP="009A1835">
      <w:pPr>
        <w:spacing w:line="360" w:lineRule="auto"/>
        <w:rPr>
          <w:rFonts w:ascii="Times New Roman" w:eastAsia="PMingLiU" w:hAnsi="Times New Roman" w:cs="Times New Roman"/>
          <w:sz w:val="24"/>
          <w:szCs w:val="24"/>
          <w:lang w:eastAsia="zh-TW"/>
        </w:rPr>
      </w:pPr>
    </w:p>
    <w:p w14:paraId="09672C11" w14:textId="3F21F8E6" w:rsidR="00204FCC" w:rsidRPr="001560E3" w:rsidRDefault="00C65A5C" w:rsidP="00204FCC">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Policy Transfer, Local Adaptation, and Institutional Fit</w:t>
      </w:r>
      <w:r w:rsidR="00224303">
        <w:rPr>
          <w:rFonts w:ascii="Times New Roman" w:eastAsia="PMingLiU" w:hAnsi="Times New Roman" w:cs="Times New Roman"/>
          <w:b/>
          <w:bCs/>
          <w:sz w:val="24"/>
          <w:szCs w:val="24"/>
          <w:lang w:eastAsia="zh-TW"/>
        </w:rPr>
        <w:t>:</w:t>
      </w:r>
      <w:r>
        <w:rPr>
          <w:rFonts w:ascii="Times New Roman" w:hAnsi="Times New Roman" w:cs="Times New Roman"/>
          <w:sz w:val="24"/>
          <w:szCs w:val="24"/>
        </w:rPr>
        <w:t xml:space="preserve"> </w:t>
      </w:r>
      <w:r w:rsidR="00204FCC" w:rsidRPr="001560E3">
        <w:rPr>
          <w:rFonts w:ascii="Times New Roman" w:hAnsi="Times New Roman" w:cs="Times New Roman"/>
          <w:sz w:val="24"/>
          <w:szCs w:val="24"/>
        </w:rPr>
        <w:t xml:space="preserve">The effectiveness of investment migration schemes frequently depends on careful policy transfer and local adaptation. While </w:t>
      </w:r>
      <w:r w:rsidR="00204FCC">
        <w:rPr>
          <w:rFonts w:ascii="Times New Roman" w:hAnsi="Times New Roman" w:cs="Times New Roman"/>
          <w:sz w:val="24"/>
          <w:szCs w:val="24"/>
        </w:rPr>
        <w:t xml:space="preserve">the </w:t>
      </w:r>
      <w:r w:rsidR="00204FCC" w:rsidRPr="001560E3">
        <w:rPr>
          <w:rFonts w:ascii="Times New Roman" w:hAnsi="Times New Roman" w:cs="Times New Roman"/>
          <w:sz w:val="24"/>
          <w:szCs w:val="24"/>
        </w:rPr>
        <w:t>New CIES appears to borrow features from Singapore’s Gl</w:t>
      </w:r>
      <w:r w:rsidR="00D347ED">
        <w:rPr>
          <w:rFonts w:ascii="Times New Roman" w:hAnsi="Times New Roman" w:cs="Times New Roman"/>
          <w:sz w:val="24"/>
          <w:szCs w:val="24"/>
        </w:rPr>
        <w:t>P</w:t>
      </w:r>
      <w:r w:rsidR="00204FCC" w:rsidRPr="001560E3">
        <w:rPr>
          <w:rFonts w:ascii="Times New Roman" w:hAnsi="Times New Roman" w:cs="Times New Roman"/>
          <w:sz w:val="24"/>
          <w:szCs w:val="24"/>
        </w:rPr>
        <w:t xml:space="preserve"> and Dubai’s Investor Visa framework, evidence suggests that outcomes are maximised when imported models are thoughtfully tailored to local economic, regulatory, and social contexts (Dolowitz &amp; Marsh, 2000; Papademetriou &amp; Sumption, 2013; Surak, 2022). The risk of “policy mismatch” arises when schemes are copied wholesale and fail to accommodate local market dynamics or institutional frameworks, limiting potential benefits.</w:t>
      </w:r>
      <w:r w:rsidR="00204FCC" w:rsidRPr="001560E3">
        <w:rPr>
          <w:rFonts w:ascii="Times New Roman" w:hAnsi="Times New Roman" w:cs="Times New Roman"/>
          <w:sz w:val="24"/>
          <w:szCs w:val="24"/>
        </w:rPr>
        <w:br/>
        <w:t>Comparative case studies, such as analyses of Singapore (Surak, 2022) and Dubai (Henley &amp; Partners, 2025), demonstrate that successful programmes typically evolve through iterative learning, ongoing stakeholder consultation, and regular policy evaluation. In practice, this suggests that eligibility criteria, sectoral incentives, and support mechanisms may require adaptation to Hong Kong’s institutional environment to ensure both effectiveness and social acceptance.</w:t>
      </w:r>
      <w:r w:rsidR="00204FCC" w:rsidRPr="001560E3">
        <w:rPr>
          <w:rFonts w:ascii="Times New Roman" w:hAnsi="Times New Roman" w:cs="Times New Roman"/>
          <w:sz w:val="24"/>
          <w:szCs w:val="24"/>
        </w:rPr>
        <w:br/>
        <w:t>The literature</w:t>
      </w:r>
      <w:r w:rsidR="00204FCC">
        <w:rPr>
          <w:rFonts w:ascii="Times New Roman" w:hAnsi="Times New Roman" w:cs="Times New Roman"/>
          <w:sz w:val="24"/>
          <w:szCs w:val="24"/>
        </w:rPr>
        <w:t xml:space="preserve"> </w:t>
      </w:r>
      <w:r w:rsidR="00204FCC" w:rsidRPr="001560E3">
        <w:rPr>
          <w:rFonts w:ascii="Times New Roman" w:hAnsi="Times New Roman" w:cs="Times New Roman"/>
          <w:sz w:val="24"/>
          <w:szCs w:val="24"/>
        </w:rPr>
        <w:t>—</w:t>
      </w:r>
      <w:r w:rsidR="00204FCC">
        <w:rPr>
          <w:rFonts w:ascii="Times New Roman" w:hAnsi="Times New Roman" w:cs="Times New Roman"/>
          <w:sz w:val="24"/>
          <w:szCs w:val="24"/>
        </w:rPr>
        <w:t xml:space="preserve"> </w:t>
      </w:r>
      <w:r w:rsidR="00204FCC" w:rsidRPr="001560E3">
        <w:rPr>
          <w:rFonts w:ascii="Times New Roman" w:hAnsi="Times New Roman" w:cs="Times New Roman"/>
          <w:sz w:val="24"/>
          <w:szCs w:val="24"/>
        </w:rPr>
        <w:t>specifically Dolowitz &amp; Marsh (2000), Papademetriou &amp; Sumption (2013), and Surak (2022)</w:t>
      </w:r>
      <w:r w:rsidR="00204FCC">
        <w:rPr>
          <w:rFonts w:ascii="Times New Roman" w:hAnsi="Times New Roman" w:cs="Times New Roman"/>
          <w:sz w:val="24"/>
          <w:szCs w:val="24"/>
        </w:rPr>
        <w:t xml:space="preserve"> </w:t>
      </w:r>
      <w:r w:rsidR="00204FCC" w:rsidRPr="001560E3">
        <w:rPr>
          <w:rFonts w:ascii="Times New Roman" w:hAnsi="Times New Roman" w:cs="Times New Roman"/>
          <w:sz w:val="24"/>
          <w:szCs w:val="24"/>
        </w:rPr>
        <w:t>—</w:t>
      </w:r>
      <w:r w:rsidR="00204FCC">
        <w:rPr>
          <w:rFonts w:ascii="Times New Roman" w:hAnsi="Times New Roman" w:cs="Times New Roman"/>
          <w:sz w:val="24"/>
          <w:szCs w:val="24"/>
        </w:rPr>
        <w:t xml:space="preserve"> </w:t>
      </w:r>
      <w:r w:rsidR="00204FCC" w:rsidRPr="001560E3">
        <w:rPr>
          <w:rFonts w:ascii="Times New Roman" w:hAnsi="Times New Roman" w:cs="Times New Roman"/>
          <w:sz w:val="24"/>
          <w:szCs w:val="24"/>
        </w:rPr>
        <w:t>underscores that context-sensitive adaptation, built on continuous evaluation and stakeholder engagement, is vital for sustained policy success in the fast-evolving field of investment migration.</w:t>
      </w:r>
    </w:p>
    <w:p w14:paraId="51FAC264" w14:textId="77777777" w:rsidR="009A1835" w:rsidRPr="009A1835" w:rsidRDefault="009A1835" w:rsidP="009A1835">
      <w:pPr>
        <w:spacing w:line="360" w:lineRule="auto"/>
        <w:rPr>
          <w:rFonts w:ascii="Times New Roman" w:eastAsia="PMingLiU" w:hAnsi="Times New Roman" w:cs="Times New Roman"/>
          <w:sz w:val="24"/>
          <w:szCs w:val="24"/>
          <w:lang w:eastAsia="zh-TW"/>
        </w:rPr>
      </w:pPr>
    </w:p>
    <w:p w14:paraId="6C7DB9CC" w14:textId="552726CD" w:rsidR="009A1835" w:rsidRDefault="00C65A5C" w:rsidP="009A1835">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ESG and DEI Integration</w:t>
      </w:r>
      <w:r w:rsidR="00224303">
        <w:rPr>
          <w:rFonts w:ascii="Times New Roman" w:eastAsia="PMingLiU" w:hAnsi="Times New Roman" w:cs="Times New Roman"/>
          <w:b/>
          <w:bCs/>
          <w:sz w:val="24"/>
          <w:szCs w:val="24"/>
          <w:lang w:eastAsia="zh-TW"/>
        </w:rPr>
        <w:t>:</w:t>
      </w:r>
      <w:r>
        <w:rPr>
          <w:rFonts w:ascii="Times New Roman" w:hAnsi="Times New Roman" w:cs="Times New Roman"/>
          <w:sz w:val="24"/>
          <w:szCs w:val="24"/>
        </w:rPr>
        <w:t xml:space="preserve"> </w:t>
      </w:r>
      <w:r w:rsidR="00B448DD" w:rsidRPr="00B448DD">
        <w:rPr>
          <w:rFonts w:ascii="Times New Roman" w:hAnsi="Times New Roman" w:cs="Times New Roman"/>
          <w:sz w:val="24"/>
          <w:szCs w:val="24"/>
        </w:rPr>
        <w:t>Integrating ESG</w:t>
      </w:r>
      <w:r w:rsidR="00E451A7">
        <w:rPr>
          <w:rFonts w:ascii="Times New Roman" w:hAnsi="Times New Roman" w:cs="Times New Roman"/>
          <w:sz w:val="24"/>
          <w:szCs w:val="24"/>
        </w:rPr>
        <w:t xml:space="preserve"> </w:t>
      </w:r>
      <w:r w:rsidR="00B448DD" w:rsidRPr="00B448DD">
        <w:rPr>
          <w:rFonts w:ascii="Times New Roman" w:hAnsi="Times New Roman" w:cs="Times New Roman"/>
          <w:sz w:val="24"/>
          <w:szCs w:val="24"/>
        </w:rPr>
        <w:t>and DEI</w:t>
      </w:r>
      <w:r w:rsidR="00E451A7">
        <w:rPr>
          <w:rFonts w:ascii="Times New Roman" w:hAnsi="Times New Roman" w:cs="Times New Roman"/>
          <w:sz w:val="24"/>
          <w:szCs w:val="24"/>
        </w:rPr>
        <w:t xml:space="preserve"> </w:t>
      </w:r>
      <w:r w:rsidR="00B448DD" w:rsidRPr="00B448DD">
        <w:rPr>
          <w:rFonts w:ascii="Times New Roman" w:hAnsi="Times New Roman" w:cs="Times New Roman"/>
          <w:sz w:val="24"/>
          <w:szCs w:val="24"/>
        </w:rPr>
        <w:t>criteria is increasingly viewed as essential for the legitimacy and competitiveness of investment migration schemes (OECD, 2022; Savva, 2024). Jurisdictions such as Singapore and Portugal have operationalised this integration by offering green investment pathways, diversity targets, and social impact metrics within their investor visa programmes (Henley &amp; Partners, 2025). The OECD (2022) states, “Incorporating ESG considerations into investor migration programmes not only enhances their credibility but improves alignment with evolving international standards and investor expectations.” The absence of such criteria in Hong Kong’s New CIES presents a notable policy gap and an opportunity for advancement. Current research recommends embedding ESG and DEI through specific investment tracks, transparent social impact reporting, and inclusive stakeholder consultation (Savva, 2024; OECD, 2022), ensuring sustainable and socially responsible programme design.</w:t>
      </w:r>
    </w:p>
    <w:p w14:paraId="5ABC87AA" w14:textId="77777777" w:rsidR="00B448DD" w:rsidRPr="00B448DD" w:rsidRDefault="00B448DD" w:rsidP="009A1835">
      <w:pPr>
        <w:spacing w:line="360" w:lineRule="auto"/>
        <w:rPr>
          <w:rFonts w:ascii="Times New Roman" w:eastAsia="PMingLiU" w:hAnsi="Times New Roman" w:cs="Times New Roman"/>
          <w:sz w:val="24"/>
          <w:szCs w:val="24"/>
          <w:lang w:eastAsia="zh-TW"/>
        </w:rPr>
      </w:pPr>
    </w:p>
    <w:p w14:paraId="79B579C0" w14:textId="603FC9A7" w:rsidR="009A1835" w:rsidRPr="00FB70E7" w:rsidRDefault="00C65A5C" w:rsidP="009A1835">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Longitudinal Impacts and Retention</w:t>
      </w:r>
      <w:r w:rsidR="00224303">
        <w:rPr>
          <w:rFonts w:ascii="Times New Roman" w:eastAsia="PMingLiU" w:hAnsi="Times New Roman" w:cs="Times New Roman"/>
          <w:b/>
          <w:bCs/>
          <w:sz w:val="24"/>
          <w:szCs w:val="24"/>
          <w:lang w:eastAsia="zh-TW"/>
        </w:rPr>
        <w:t>:</w:t>
      </w:r>
      <w:r>
        <w:rPr>
          <w:rFonts w:ascii="Times New Roman" w:hAnsi="Times New Roman" w:cs="Times New Roman"/>
          <w:sz w:val="24"/>
          <w:szCs w:val="24"/>
        </w:rPr>
        <w:t xml:space="preserve"> </w:t>
      </w:r>
      <w:r w:rsidR="00FB70E7" w:rsidRPr="00FB70E7">
        <w:rPr>
          <w:rFonts w:ascii="Times New Roman" w:hAnsi="Times New Roman" w:cs="Times New Roman"/>
          <w:sz w:val="24"/>
          <w:szCs w:val="24"/>
        </w:rPr>
        <w:t>Most existing research on investment migration is cross-sectional, focusing on short-term capital inflows and demographic profiles but largely neglecting long-term economic, innovation, or integration outcomes (Surak, 2022; Savva, 2025). Recent literature</w:t>
      </w:r>
      <w:r w:rsidR="003F6310">
        <w:rPr>
          <w:rFonts w:ascii="Times New Roman" w:hAnsi="Times New Roman" w:cs="Times New Roman"/>
          <w:sz w:val="24"/>
          <w:szCs w:val="24"/>
        </w:rPr>
        <w:t xml:space="preserve"> </w:t>
      </w:r>
      <w:r w:rsidR="00FB70E7" w:rsidRPr="00FB70E7">
        <w:rPr>
          <w:rFonts w:ascii="Times New Roman" w:hAnsi="Times New Roman" w:cs="Times New Roman"/>
          <w:sz w:val="24"/>
          <w:szCs w:val="24"/>
        </w:rPr>
        <w:t>—</w:t>
      </w:r>
      <w:r w:rsidR="003F6310">
        <w:rPr>
          <w:rFonts w:ascii="Times New Roman" w:hAnsi="Times New Roman" w:cs="Times New Roman"/>
          <w:sz w:val="24"/>
          <w:szCs w:val="24"/>
        </w:rPr>
        <w:t xml:space="preserve"> </w:t>
      </w:r>
      <w:r w:rsidR="00FB70E7" w:rsidRPr="00FB70E7">
        <w:rPr>
          <w:rFonts w:ascii="Times New Roman" w:hAnsi="Times New Roman" w:cs="Times New Roman"/>
          <w:sz w:val="24"/>
          <w:szCs w:val="24"/>
        </w:rPr>
        <w:t>including Surak (2022), Savva (2025), and Henley &amp; Partners (2025)</w:t>
      </w:r>
      <w:r w:rsidR="00FB70E7">
        <w:rPr>
          <w:rFonts w:ascii="Times New Roman" w:hAnsi="Times New Roman" w:cs="Times New Roman"/>
          <w:sz w:val="24"/>
          <w:szCs w:val="24"/>
        </w:rPr>
        <w:t xml:space="preserve"> </w:t>
      </w:r>
      <w:r w:rsidR="00FB70E7" w:rsidRPr="00FB70E7">
        <w:rPr>
          <w:rFonts w:ascii="Times New Roman" w:hAnsi="Times New Roman" w:cs="Times New Roman"/>
          <w:sz w:val="24"/>
          <w:szCs w:val="24"/>
        </w:rPr>
        <w:t>—</w:t>
      </w:r>
      <w:r w:rsidR="00FB70E7">
        <w:rPr>
          <w:rFonts w:ascii="Times New Roman" w:hAnsi="Times New Roman" w:cs="Times New Roman"/>
          <w:sz w:val="24"/>
          <w:szCs w:val="24"/>
        </w:rPr>
        <w:t xml:space="preserve"> </w:t>
      </w:r>
      <w:r w:rsidR="00FB70E7" w:rsidRPr="00FB70E7">
        <w:rPr>
          <w:rFonts w:ascii="Times New Roman" w:hAnsi="Times New Roman" w:cs="Times New Roman"/>
          <w:sz w:val="24"/>
          <w:szCs w:val="24"/>
        </w:rPr>
        <w:t>highlights the need for longitudinal impact assessments to determine whether initial investments lead to sustained benefits.</w:t>
      </w:r>
      <w:r w:rsidR="00FB70E7" w:rsidRPr="00FB70E7">
        <w:rPr>
          <w:rFonts w:ascii="Times New Roman" w:hAnsi="Times New Roman" w:cs="Times New Roman"/>
          <w:sz w:val="24"/>
          <w:szCs w:val="24"/>
        </w:rPr>
        <w:br/>
        <w:t xml:space="preserve">These sources specifically call for the development of longitudinal KPI frameworks that track metrics such as investor retention rates, sectoral GDP contributions, innovation outputs, and measures of social integration. As Surak (2022) and Savva (2025) emphasise, only with these indicators can policymakers truly assess the effectiveness of schemes like </w:t>
      </w:r>
      <w:r w:rsidR="00FB70E7">
        <w:rPr>
          <w:rFonts w:ascii="Times New Roman" w:hAnsi="Times New Roman" w:cs="Times New Roman"/>
          <w:sz w:val="24"/>
          <w:szCs w:val="24"/>
        </w:rPr>
        <w:t xml:space="preserve">the </w:t>
      </w:r>
      <w:r w:rsidR="00FB70E7" w:rsidRPr="00FB70E7">
        <w:rPr>
          <w:rFonts w:ascii="Times New Roman" w:hAnsi="Times New Roman" w:cs="Times New Roman"/>
          <w:sz w:val="24"/>
          <w:szCs w:val="24"/>
        </w:rPr>
        <w:t>New CIES over time. Such frameworks, as outlined by Henley &amp; Partners (2025), would enable ongoing policy evaluation and improvements, ensuring investment migration delivers genuine, lasting value to the host society.</w:t>
      </w:r>
    </w:p>
    <w:p w14:paraId="640080F3" w14:textId="77777777" w:rsidR="00FB70E7" w:rsidRPr="009A1835" w:rsidRDefault="00FB70E7" w:rsidP="009A1835">
      <w:pPr>
        <w:spacing w:line="360" w:lineRule="auto"/>
        <w:rPr>
          <w:rFonts w:ascii="Times New Roman" w:eastAsia="PMingLiU" w:hAnsi="Times New Roman" w:cs="Times New Roman"/>
          <w:sz w:val="24"/>
          <w:szCs w:val="24"/>
          <w:lang w:eastAsia="zh-TW"/>
        </w:rPr>
      </w:pPr>
    </w:p>
    <w:p w14:paraId="4A79BF5C" w14:textId="0D072AC1" w:rsidR="004E1628" w:rsidRPr="001560E3" w:rsidRDefault="00C65A5C" w:rsidP="004E1628">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Stakeholder Perspectives and Qualitative Insights</w:t>
      </w:r>
      <w:r w:rsidR="00224303">
        <w:rPr>
          <w:rFonts w:ascii="Times New Roman" w:eastAsia="PMingLiU" w:hAnsi="Times New Roman" w:cs="Times New Roman"/>
          <w:b/>
          <w:bCs/>
          <w:sz w:val="24"/>
          <w:szCs w:val="24"/>
          <w:lang w:eastAsia="zh-TW"/>
        </w:rPr>
        <w:t>:</w:t>
      </w:r>
      <w:r>
        <w:rPr>
          <w:rFonts w:ascii="Times New Roman" w:hAnsi="Times New Roman" w:cs="Times New Roman"/>
          <w:sz w:val="24"/>
          <w:szCs w:val="24"/>
        </w:rPr>
        <w:t xml:space="preserve"> </w:t>
      </w:r>
      <w:r w:rsidR="004E1628" w:rsidRPr="001560E3">
        <w:rPr>
          <w:rFonts w:ascii="Times New Roman" w:hAnsi="Times New Roman" w:cs="Times New Roman"/>
          <w:sz w:val="24"/>
          <w:szCs w:val="24"/>
        </w:rPr>
        <w:t>A growing body of empirical and policy literature</w:t>
      </w:r>
      <w:r w:rsidR="004E1628">
        <w:rPr>
          <w:rFonts w:ascii="Times New Roman" w:hAnsi="Times New Roman" w:cs="Times New Roman"/>
          <w:sz w:val="24"/>
          <w:szCs w:val="24"/>
        </w:rPr>
        <w:t xml:space="preserve"> </w:t>
      </w:r>
      <w:r w:rsidR="004E1628" w:rsidRPr="001560E3">
        <w:rPr>
          <w:rFonts w:ascii="Times New Roman" w:hAnsi="Times New Roman" w:cs="Times New Roman"/>
          <w:sz w:val="24"/>
          <w:szCs w:val="24"/>
        </w:rPr>
        <w:t>—</w:t>
      </w:r>
      <w:r w:rsidR="004E1628">
        <w:rPr>
          <w:rFonts w:ascii="Times New Roman" w:hAnsi="Times New Roman" w:cs="Times New Roman"/>
          <w:sz w:val="24"/>
          <w:szCs w:val="24"/>
        </w:rPr>
        <w:t xml:space="preserve"> </w:t>
      </w:r>
      <w:r w:rsidR="004E1628" w:rsidRPr="001560E3">
        <w:rPr>
          <w:rFonts w:ascii="Times New Roman" w:hAnsi="Times New Roman" w:cs="Times New Roman"/>
          <w:sz w:val="24"/>
          <w:szCs w:val="24"/>
        </w:rPr>
        <w:t>including Surak (2022), Savva (2025), and Henley &amp; Partners (2025) — highlights the need for methodological diversification in investment migration research to capture the full complexity of policy implementation and stakeholder experience. While most studies remain quantitative, qualitative research using in-depth interviews and case studies brings to light key challenges such as administrative barriers, regulatory ambiguity, and integration difficulties (Surak, 2022; Henley &amp; Partners, 2025). Robust qualitative methodologies, guided by Denzin &amp; Lincoln (2018) and Yin (2018), offer essential strategies for eliciting these practical insights. Evidence from Singapore and Dubai shows that including stakeholder perspectives helps make policies more relevant and flexible. Collectively, this scholarship demonstrates that mixed-methods approaches, which combine qualitative and quantitative analyses, are vital for producing well-rounded, effective evaluations of complex schemes like the New CIES.</w:t>
      </w:r>
    </w:p>
    <w:p w14:paraId="2DB5125F" w14:textId="77777777" w:rsidR="009A1835" w:rsidRPr="009A1835" w:rsidRDefault="009A1835" w:rsidP="009A1835">
      <w:pPr>
        <w:spacing w:line="360" w:lineRule="auto"/>
        <w:rPr>
          <w:rFonts w:ascii="Times New Roman" w:eastAsia="PMingLiU" w:hAnsi="Times New Roman" w:cs="Times New Roman"/>
          <w:sz w:val="24"/>
          <w:szCs w:val="24"/>
          <w:lang w:eastAsia="zh-TW"/>
        </w:rPr>
      </w:pPr>
    </w:p>
    <w:p w14:paraId="168E9677" w14:textId="3C9C4682" w:rsidR="009A1835" w:rsidRPr="00F23E4A" w:rsidRDefault="003D33C5" w:rsidP="009A1835">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2.</w:t>
      </w:r>
      <w:r w:rsidR="00BB140A">
        <w:rPr>
          <w:rFonts w:ascii="Times New Roman" w:eastAsia="PMingLiU" w:hAnsi="Times New Roman" w:cs="Times New Roman"/>
          <w:b/>
          <w:bCs/>
          <w:sz w:val="24"/>
          <w:szCs w:val="24"/>
          <w:lang w:eastAsia="zh-TW"/>
        </w:rPr>
        <w:t>6</w:t>
      </w:r>
      <w:r w:rsidR="009A1835" w:rsidRPr="00F23E4A">
        <w:rPr>
          <w:rFonts w:ascii="Times New Roman" w:eastAsia="PMingLiU" w:hAnsi="Times New Roman" w:cs="Times New Roman"/>
          <w:b/>
          <w:bCs/>
          <w:sz w:val="24"/>
          <w:szCs w:val="24"/>
          <w:lang w:eastAsia="zh-TW"/>
        </w:rPr>
        <w:t xml:space="preserve"> Research Gaps and Future Directions</w:t>
      </w:r>
    </w:p>
    <w:p w14:paraId="4BA99C60" w14:textId="0F4AB6C4" w:rsidR="00461925" w:rsidRDefault="00461925" w:rsidP="009A1835">
      <w:pPr>
        <w:spacing w:line="360" w:lineRule="auto"/>
        <w:rPr>
          <w:rFonts w:ascii="Times New Roman" w:hAnsi="Times New Roman" w:cs="Times New Roman"/>
          <w:sz w:val="24"/>
          <w:szCs w:val="24"/>
        </w:rPr>
      </w:pPr>
      <w:r w:rsidRPr="00461925">
        <w:rPr>
          <w:rFonts w:ascii="Times New Roman" w:hAnsi="Times New Roman" w:cs="Times New Roman"/>
          <w:sz w:val="24"/>
          <w:szCs w:val="24"/>
        </w:rPr>
        <w:t>Surak (2022) and Savva (2025) note that the vast majority of research on investment migration remains cross-sectional, offering only a snapshot of immediate economic and demographic effects rather than the long-term impacts on GDP growth, job creation, and innovation. There is a clear need for longitudinal studies that assess outcomes such as retention rates, sectoral mobility, and social integration. OECD (2022) and Henley &amp; Partners (2025) highlight a further gap in understanding the incorporation and effectiveness of ESG and DEI</w:t>
      </w:r>
      <w:r w:rsidR="00D347ED">
        <w:rPr>
          <w:rFonts w:ascii="Times New Roman" w:hAnsi="Times New Roman" w:cs="Times New Roman"/>
          <w:sz w:val="24"/>
          <w:szCs w:val="24"/>
        </w:rPr>
        <w:t xml:space="preserve"> </w:t>
      </w:r>
      <w:r w:rsidRPr="00461925">
        <w:rPr>
          <w:rFonts w:ascii="Times New Roman" w:hAnsi="Times New Roman" w:cs="Times New Roman"/>
          <w:sz w:val="24"/>
          <w:szCs w:val="24"/>
        </w:rPr>
        <w:t xml:space="preserve">criteria within investment migration schemes, calling for empirical analysis of how these metrics can be operationalised and evaluated. Surak (2022) as well as Papademetriou and Sumption (2013) emphasise the importance of comparative institutional analysis, particularly in non-Western contexts such as Hong Kong, Singapore, and Dubai, to illuminate how different governance frameworks influence outcomes. Savva (2025), Denzin &amp; Lincoln (2018), and Henley &amp; Partners (2025) point to the limited qualitative research that captures the nuanced perspectives of stakeholders, including applicants, service providers, and policymakers. </w:t>
      </w:r>
      <w:r w:rsidR="00415077" w:rsidRPr="00415077">
        <w:rPr>
          <w:rFonts w:ascii="Times New Roman" w:hAnsi="Times New Roman" w:cs="Times New Roman"/>
          <w:sz w:val="24"/>
          <w:szCs w:val="24"/>
        </w:rPr>
        <w:t>Finally, Henley &amp; Partners (2025), as well as Witt &amp; Jackson (2016) and Van der Baaren &amp; Li (2018), identify a significant gap in analysing the effects of investment migration on sectoral diversification and economic resilience, a priority for major financial hubs such as Hong Kong. Empirical research in these areas remains limited, indicating the value of interdisciplinary collaboration and innovative methodologies as the field advances.</w:t>
      </w:r>
    </w:p>
    <w:p w14:paraId="40DAB4FA" w14:textId="77777777" w:rsidR="00415077" w:rsidRPr="00415077" w:rsidRDefault="00415077" w:rsidP="009A1835">
      <w:pPr>
        <w:spacing w:line="360" w:lineRule="auto"/>
        <w:rPr>
          <w:rFonts w:ascii="Times New Roman" w:eastAsia="PMingLiU" w:hAnsi="Times New Roman" w:cs="Times New Roman"/>
          <w:sz w:val="24"/>
          <w:szCs w:val="24"/>
          <w:lang w:eastAsia="zh-TW"/>
        </w:rPr>
      </w:pPr>
    </w:p>
    <w:p w14:paraId="16711F77" w14:textId="1E98EB44" w:rsidR="009A1835" w:rsidRPr="00F23E4A" w:rsidRDefault="003D33C5" w:rsidP="009A1835">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2.</w:t>
      </w:r>
      <w:r w:rsidR="00BB140A">
        <w:rPr>
          <w:rFonts w:ascii="Times New Roman" w:eastAsia="PMingLiU" w:hAnsi="Times New Roman" w:cs="Times New Roman"/>
          <w:b/>
          <w:bCs/>
          <w:sz w:val="24"/>
          <w:szCs w:val="24"/>
          <w:lang w:eastAsia="zh-TW"/>
        </w:rPr>
        <w:t xml:space="preserve">7 </w:t>
      </w:r>
      <w:r w:rsidR="009A1835" w:rsidRPr="00F23E4A">
        <w:rPr>
          <w:rFonts w:ascii="Times New Roman" w:eastAsia="PMingLiU" w:hAnsi="Times New Roman" w:cs="Times New Roman"/>
          <w:b/>
          <w:bCs/>
          <w:sz w:val="24"/>
          <w:szCs w:val="24"/>
          <w:lang w:eastAsia="zh-TW"/>
        </w:rPr>
        <w:t>Draft Research Problem, Purpose, and Questions</w:t>
      </w:r>
    </w:p>
    <w:p w14:paraId="1578B2D5" w14:textId="77777777" w:rsidR="009A1835" w:rsidRDefault="009A1835" w:rsidP="009A1835">
      <w:pPr>
        <w:spacing w:line="360" w:lineRule="auto"/>
        <w:rPr>
          <w:rFonts w:ascii="Times New Roman" w:eastAsia="PMingLiU" w:hAnsi="Times New Roman" w:cs="Times New Roman"/>
          <w:sz w:val="24"/>
          <w:szCs w:val="24"/>
          <w:lang w:eastAsia="zh-TW"/>
        </w:rPr>
      </w:pPr>
    </w:p>
    <w:p w14:paraId="18B09223" w14:textId="439AB489" w:rsidR="009A1835" w:rsidRDefault="009A1835" w:rsidP="009A1835">
      <w:pPr>
        <w:spacing w:line="360" w:lineRule="auto"/>
        <w:rPr>
          <w:rFonts w:ascii="Times New Roman" w:hAnsi="Times New Roman" w:cs="Times New Roman"/>
          <w:sz w:val="24"/>
          <w:szCs w:val="24"/>
        </w:rPr>
      </w:pPr>
      <w:r w:rsidRPr="00C624DB">
        <w:rPr>
          <w:rFonts w:ascii="Times New Roman" w:eastAsia="PMingLiU" w:hAnsi="Times New Roman" w:cs="Times New Roman"/>
          <w:b/>
          <w:bCs/>
          <w:sz w:val="24"/>
          <w:szCs w:val="24"/>
          <w:lang w:eastAsia="zh-TW"/>
        </w:rPr>
        <w:t>Research Problem Statement</w:t>
      </w:r>
      <w:r w:rsidR="00E451A7">
        <w:rPr>
          <w:rFonts w:ascii="Times New Roman" w:eastAsia="PMingLiU" w:hAnsi="Times New Roman" w:cs="Times New Roman"/>
          <w:b/>
          <w:bCs/>
          <w:sz w:val="24"/>
          <w:szCs w:val="24"/>
          <w:lang w:eastAsia="zh-TW"/>
        </w:rPr>
        <w:t xml:space="preserve"> - </w:t>
      </w:r>
      <w:r w:rsidR="00BC05D4" w:rsidRPr="00BC05D4">
        <w:rPr>
          <w:rFonts w:ascii="Times New Roman" w:hAnsi="Times New Roman" w:cs="Times New Roman"/>
          <w:sz w:val="24"/>
          <w:szCs w:val="24"/>
        </w:rPr>
        <w:t>The New CIES</w:t>
      </w:r>
      <w:r w:rsidR="00BC05D4">
        <w:rPr>
          <w:rFonts w:ascii="Times New Roman" w:hAnsi="Times New Roman" w:cs="Times New Roman"/>
          <w:sz w:val="24"/>
          <w:szCs w:val="24"/>
        </w:rPr>
        <w:t xml:space="preserve"> </w:t>
      </w:r>
      <w:r w:rsidR="00BC05D4" w:rsidRPr="00BC05D4">
        <w:rPr>
          <w:rFonts w:ascii="Times New Roman" w:hAnsi="Times New Roman" w:cs="Times New Roman"/>
          <w:sz w:val="24"/>
          <w:szCs w:val="24"/>
        </w:rPr>
        <w:t>aims to attract capital and talent to bolster economic growth and enhance the city’s global competitiveness. However, there remains limited empirical evidence concerning the scheme’s overall effectiveness, especially regarding its long-term economic and social impacts, integration of ESG criteria, and DEI considerations. Additionally, comparative performance relative to similar schemes in peer jurisdictions such as Singapore and Dubai is underexplored, creating a knowledge gap that this study seeks to fill.</w:t>
      </w:r>
    </w:p>
    <w:p w14:paraId="11524173" w14:textId="77777777" w:rsidR="00BC05D4" w:rsidRPr="00BC05D4" w:rsidRDefault="00BC05D4" w:rsidP="009A1835">
      <w:pPr>
        <w:spacing w:line="360" w:lineRule="auto"/>
        <w:rPr>
          <w:rFonts w:ascii="Times New Roman" w:eastAsia="PMingLiU" w:hAnsi="Times New Roman" w:cs="Times New Roman"/>
          <w:sz w:val="24"/>
          <w:szCs w:val="24"/>
          <w:lang w:eastAsia="zh-TW"/>
        </w:rPr>
      </w:pPr>
    </w:p>
    <w:p w14:paraId="15C41705" w14:textId="3256573A" w:rsidR="009A1835" w:rsidRDefault="00C624DB" w:rsidP="009A1835">
      <w:pPr>
        <w:spacing w:line="360" w:lineRule="auto"/>
        <w:rPr>
          <w:rFonts w:ascii="Times New Roman" w:hAnsi="Times New Roman" w:cs="Times New Roman"/>
          <w:sz w:val="24"/>
          <w:szCs w:val="24"/>
        </w:rPr>
      </w:pPr>
      <w:r>
        <w:rPr>
          <w:rFonts w:ascii="Times New Roman" w:eastAsia="PMingLiU" w:hAnsi="Times New Roman" w:cs="Times New Roman"/>
          <w:b/>
          <w:bCs/>
          <w:sz w:val="24"/>
          <w:szCs w:val="24"/>
          <w:lang w:eastAsia="zh-TW"/>
        </w:rPr>
        <w:t xml:space="preserve">Research </w:t>
      </w:r>
      <w:r w:rsidR="009A1835" w:rsidRPr="00C624DB">
        <w:rPr>
          <w:rFonts w:ascii="Times New Roman" w:eastAsia="PMingLiU" w:hAnsi="Times New Roman" w:cs="Times New Roman"/>
          <w:b/>
          <w:bCs/>
          <w:sz w:val="24"/>
          <w:szCs w:val="24"/>
          <w:lang w:eastAsia="zh-TW"/>
        </w:rPr>
        <w:t>Purpose Statement</w:t>
      </w:r>
      <w:r w:rsidR="00E451A7">
        <w:rPr>
          <w:rFonts w:ascii="Times New Roman" w:eastAsia="PMingLiU" w:hAnsi="Times New Roman" w:cs="Times New Roman"/>
          <w:b/>
          <w:bCs/>
          <w:sz w:val="24"/>
          <w:szCs w:val="24"/>
          <w:lang w:eastAsia="zh-TW"/>
        </w:rPr>
        <w:t xml:space="preserve"> - </w:t>
      </w:r>
      <w:r w:rsidR="00BC05D4" w:rsidRPr="00BC05D4">
        <w:rPr>
          <w:rFonts w:ascii="Times New Roman" w:hAnsi="Times New Roman" w:cs="Times New Roman"/>
          <w:sz w:val="24"/>
          <w:szCs w:val="24"/>
        </w:rPr>
        <w:t>This study aims to critically evaluate the effectiveness of the New CIES in achieving its stated objectives of talent attraction and economic stimulation. It focuses on addressing key gaps including comprehensive longitudinal impact assessments, incorporation and outcomes of ESG and DEI integration, and comparative policy analysis vis-à-vis other global investment migration programmes.</w:t>
      </w:r>
    </w:p>
    <w:p w14:paraId="37DAF0AC" w14:textId="77777777" w:rsidR="00BC05D4" w:rsidRPr="00BC05D4" w:rsidRDefault="00BC05D4" w:rsidP="009A1835">
      <w:pPr>
        <w:spacing w:line="360" w:lineRule="auto"/>
        <w:rPr>
          <w:rFonts w:ascii="Times New Roman" w:eastAsia="PMingLiU" w:hAnsi="Times New Roman" w:cs="Times New Roman"/>
          <w:sz w:val="24"/>
          <w:szCs w:val="24"/>
          <w:lang w:eastAsia="zh-TW"/>
        </w:rPr>
      </w:pPr>
    </w:p>
    <w:p w14:paraId="1EB3DD35" w14:textId="355D2922" w:rsidR="009A1835" w:rsidRPr="00C624DB" w:rsidRDefault="009A1835" w:rsidP="009A1835">
      <w:pPr>
        <w:spacing w:line="360" w:lineRule="auto"/>
        <w:rPr>
          <w:rFonts w:ascii="Times New Roman" w:eastAsia="PMingLiU" w:hAnsi="Times New Roman" w:cs="Times New Roman"/>
          <w:b/>
          <w:bCs/>
          <w:sz w:val="24"/>
          <w:szCs w:val="24"/>
          <w:lang w:eastAsia="zh-TW"/>
        </w:rPr>
      </w:pPr>
      <w:r w:rsidRPr="00C624DB">
        <w:rPr>
          <w:rFonts w:ascii="Times New Roman" w:eastAsia="PMingLiU" w:hAnsi="Times New Roman" w:cs="Times New Roman"/>
          <w:b/>
          <w:bCs/>
          <w:sz w:val="24"/>
          <w:szCs w:val="24"/>
          <w:lang w:eastAsia="zh-TW"/>
        </w:rPr>
        <w:t>Research Questions</w:t>
      </w:r>
    </w:p>
    <w:p w14:paraId="4812775B" w14:textId="77777777" w:rsidR="00BC05D4" w:rsidRDefault="00BC05D4" w:rsidP="00BC05D4">
      <w:pPr>
        <w:pStyle w:val="ListParagraph"/>
        <w:numPr>
          <w:ilvl w:val="0"/>
          <w:numId w:val="36"/>
        </w:numPr>
        <w:spacing w:line="360" w:lineRule="auto"/>
        <w:rPr>
          <w:rFonts w:ascii="Times New Roman" w:hAnsi="Times New Roman" w:cs="Times New Roman"/>
          <w:sz w:val="24"/>
          <w:szCs w:val="24"/>
        </w:rPr>
      </w:pPr>
      <w:r w:rsidRPr="00BC05D4">
        <w:rPr>
          <w:rFonts w:ascii="Times New Roman" w:hAnsi="Times New Roman" w:cs="Times New Roman"/>
          <w:sz w:val="24"/>
          <w:szCs w:val="24"/>
        </w:rPr>
        <w:t>How does the New CIES align with global trends and established theoretical frameworks in investment migration?</w:t>
      </w:r>
    </w:p>
    <w:p w14:paraId="7F03844C" w14:textId="77777777" w:rsidR="00BC05D4" w:rsidRDefault="00BC05D4" w:rsidP="00BC05D4">
      <w:pPr>
        <w:pStyle w:val="ListParagraph"/>
        <w:numPr>
          <w:ilvl w:val="0"/>
          <w:numId w:val="36"/>
        </w:numPr>
        <w:spacing w:line="360" w:lineRule="auto"/>
        <w:rPr>
          <w:rFonts w:ascii="Times New Roman" w:hAnsi="Times New Roman" w:cs="Times New Roman"/>
          <w:sz w:val="24"/>
          <w:szCs w:val="24"/>
        </w:rPr>
      </w:pPr>
      <w:r w:rsidRPr="00BC05D4">
        <w:rPr>
          <w:rFonts w:ascii="Times New Roman" w:hAnsi="Times New Roman" w:cs="Times New Roman"/>
          <w:sz w:val="24"/>
          <w:szCs w:val="24"/>
        </w:rPr>
        <w:t>What are the measurable economic, fiscal, and social impacts of the New CIES?</w:t>
      </w:r>
    </w:p>
    <w:p w14:paraId="1C7E5719" w14:textId="2C934B86" w:rsidR="00BC05D4" w:rsidRDefault="00BC05D4" w:rsidP="00BC05D4">
      <w:pPr>
        <w:pStyle w:val="ListParagraph"/>
        <w:numPr>
          <w:ilvl w:val="0"/>
          <w:numId w:val="36"/>
        </w:numPr>
        <w:spacing w:line="360" w:lineRule="auto"/>
        <w:rPr>
          <w:rFonts w:ascii="Times New Roman" w:hAnsi="Times New Roman" w:cs="Times New Roman"/>
          <w:sz w:val="24"/>
          <w:szCs w:val="24"/>
        </w:rPr>
      </w:pPr>
      <w:r w:rsidRPr="00BC05D4">
        <w:rPr>
          <w:rFonts w:ascii="Times New Roman" w:hAnsi="Times New Roman" w:cs="Times New Roman"/>
          <w:sz w:val="24"/>
          <w:szCs w:val="24"/>
        </w:rPr>
        <w:t>In what ways do features of Singapore’s Global Investor Programme and Dubai’s Investor Visa scheme benefit, suit, or enhance the effectiveness of</w:t>
      </w:r>
      <w:r w:rsidR="008B58B1">
        <w:rPr>
          <w:rFonts w:ascii="Times New Roman" w:hAnsi="Times New Roman" w:cs="Times New Roman"/>
          <w:sz w:val="24"/>
          <w:szCs w:val="24"/>
        </w:rPr>
        <w:t xml:space="preserve"> the New C</w:t>
      </w:r>
      <w:r w:rsidRPr="00BC05D4">
        <w:rPr>
          <w:rFonts w:ascii="Times New Roman" w:hAnsi="Times New Roman" w:cs="Times New Roman"/>
          <w:sz w:val="24"/>
          <w:szCs w:val="24"/>
        </w:rPr>
        <w:t>IES in terms of policy design, sectoral focus, and programme outcomes?</w:t>
      </w:r>
    </w:p>
    <w:p w14:paraId="33A648D2" w14:textId="5EE54469" w:rsidR="009A1835" w:rsidRPr="00BC05D4" w:rsidRDefault="00BC05D4" w:rsidP="00BC05D4">
      <w:pPr>
        <w:pStyle w:val="ListParagraph"/>
        <w:numPr>
          <w:ilvl w:val="0"/>
          <w:numId w:val="36"/>
        </w:numPr>
        <w:spacing w:line="360" w:lineRule="auto"/>
        <w:rPr>
          <w:rFonts w:ascii="Times New Roman" w:hAnsi="Times New Roman" w:cs="Times New Roman"/>
          <w:sz w:val="24"/>
          <w:szCs w:val="24"/>
        </w:rPr>
      </w:pPr>
      <w:r w:rsidRPr="00BC05D4">
        <w:rPr>
          <w:rFonts w:ascii="Times New Roman" w:hAnsi="Times New Roman" w:cs="Times New Roman"/>
          <w:sz w:val="24"/>
          <w:szCs w:val="24"/>
        </w:rPr>
        <w:t>To what extent do ESG and DEI considerations feature in the design and outcomes of the New CIES, and what implications do these have for future policy development?</w:t>
      </w:r>
    </w:p>
    <w:p w14:paraId="3295288B" w14:textId="77777777" w:rsidR="00BC05D4" w:rsidRPr="009A1835" w:rsidRDefault="00BC05D4" w:rsidP="009A1835">
      <w:pPr>
        <w:spacing w:line="360" w:lineRule="auto"/>
        <w:rPr>
          <w:rFonts w:ascii="Times New Roman" w:eastAsia="PMingLiU" w:hAnsi="Times New Roman" w:cs="Times New Roman"/>
          <w:sz w:val="24"/>
          <w:szCs w:val="24"/>
          <w:lang w:eastAsia="zh-TW"/>
        </w:rPr>
      </w:pPr>
    </w:p>
    <w:p w14:paraId="0D447B55" w14:textId="2D52BF1D" w:rsidR="009A1835" w:rsidRPr="00F23E4A" w:rsidRDefault="003D33C5" w:rsidP="009A1835">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2.</w:t>
      </w:r>
      <w:r w:rsidR="00BB140A">
        <w:rPr>
          <w:rFonts w:ascii="Times New Roman" w:eastAsia="PMingLiU" w:hAnsi="Times New Roman" w:cs="Times New Roman"/>
          <w:b/>
          <w:bCs/>
          <w:sz w:val="24"/>
          <w:szCs w:val="24"/>
          <w:lang w:eastAsia="zh-TW"/>
        </w:rPr>
        <w:t xml:space="preserve">8 </w:t>
      </w:r>
      <w:r w:rsidR="009A1835" w:rsidRPr="00F23E4A">
        <w:rPr>
          <w:rFonts w:ascii="Times New Roman" w:eastAsia="PMingLiU" w:hAnsi="Times New Roman" w:cs="Times New Roman"/>
          <w:b/>
          <w:bCs/>
          <w:sz w:val="24"/>
          <w:szCs w:val="24"/>
          <w:lang w:eastAsia="zh-TW"/>
        </w:rPr>
        <w:t>Synthesis and Argumentation</w:t>
      </w:r>
    </w:p>
    <w:p w14:paraId="61E73789" w14:textId="6F8DC5D5" w:rsidR="009A1835" w:rsidRPr="0098434F" w:rsidRDefault="0098434F" w:rsidP="009A1835">
      <w:pPr>
        <w:spacing w:line="360" w:lineRule="auto"/>
        <w:rPr>
          <w:rFonts w:ascii="Times New Roman" w:hAnsi="Times New Roman" w:cs="Times New Roman"/>
          <w:sz w:val="24"/>
          <w:szCs w:val="24"/>
        </w:rPr>
      </w:pPr>
      <w:r w:rsidRPr="0098434F">
        <w:rPr>
          <w:rFonts w:ascii="Times New Roman" w:hAnsi="Times New Roman" w:cs="Times New Roman"/>
          <w:sz w:val="24"/>
          <w:szCs w:val="24"/>
        </w:rPr>
        <w:t>The literature on investment migration converges around several core findings relevant to both policy development and academic debate. Empirical and comparative studies</w:t>
      </w:r>
      <w:r w:rsidR="00F82350">
        <w:t>,</w:t>
      </w:r>
      <w:r w:rsidR="00F82350" w:rsidRPr="00F82350">
        <w:rPr>
          <w:rFonts w:ascii="Times New Roman" w:hAnsi="Times New Roman" w:cs="Times New Roman"/>
          <w:sz w:val="24"/>
          <w:szCs w:val="24"/>
        </w:rPr>
        <w:t xml:space="preserve"> such as those by Surak (2022), Papademetriou and Sumption (2013), and Kerr and Kerr (2016), </w:t>
      </w:r>
      <w:r w:rsidRPr="00F82350">
        <w:rPr>
          <w:rFonts w:ascii="Times New Roman" w:hAnsi="Times New Roman" w:cs="Times New Roman"/>
          <w:sz w:val="24"/>
          <w:szCs w:val="24"/>
        </w:rPr>
        <w:t>demonstrate</w:t>
      </w:r>
      <w:r w:rsidRPr="0098434F">
        <w:rPr>
          <w:rFonts w:ascii="Times New Roman" w:hAnsi="Times New Roman" w:cs="Times New Roman"/>
          <w:sz w:val="24"/>
          <w:szCs w:val="24"/>
        </w:rPr>
        <w:t xml:space="preserve"> that, when well-designed, investment migration schemes can yield significant economic and social benefits, particularly if they successfully attract entrepreneurial talent and direct capital to priority sectors. However, the effectiveness of such schemes depends heavily on thoughtful policy design: the alignment of investment thresholds, sectoral incentives, and robust post-entry support with the host economy’s broader strategic goals proves critical for maximising impact.</w:t>
      </w:r>
      <w:r w:rsidRPr="0098434F">
        <w:rPr>
          <w:rFonts w:ascii="Times New Roman" w:hAnsi="Times New Roman" w:cs="Times New Roman"/>
          <w:sz w:val="24"/>
          <w:szCs w:val="24"/>
        </w:rPr>
        <w:br/>
        <w:t>Recent work highlights that integrating ESG and DEI</w:t>
      </w:r>
      <w:r>
        <w:rPr>
          <w:rFonts w:ascii="Times New Roman" w:hAnsi="Times New Roman" w:cs="Times New Roman"/>
          <w:sz w:val="24"/>
          <w:szCs w:val="24"/>
        </w:rPr>
        <w:t xml:space="preserve"> </w:t>
      </w:r>
      <w:r w:rsidRPr="0098434F">
        <w:rPr>
          <w:rFonts w:ascii="Times New Roman" w:hAnsi="Times New Roman" w:cs="Times New Roman"/>
          <w:sz w:val="24"/>
          <w:szCs w:val="24"/>
        </w:rPr>
        <w:t>standards is increasingly essential, not just for long-term sustainability but also for the perceived legitimacy of investment migration programmes. Achieving rigorous evaluation and policy innovation calls for the adoption of methodological pluralism, particularly mixed-methods, longitudinal analyses, and comparative case studies. Despite progress, substantial research gaps remain</w:t>
      </w:r>
      <w:r w:rsidR="00415077">
        <w:rPr>
          <w:rFonts w:ascii="Times New Roman" w:hAnsi="Times New Roman" w:cs="Times New Roman"/>
          <w:sz w:val="24"/>
          <w:szCs w:val="24"/>
        </w:rPr>
        <w:t xml:space="preserve"> </w:t>
      </w:r>
      <w:r w:rsidRPr="0098434F">
        <w:rPr>
          <w:rFonts w:ascii="Times New Roman" w:hAnsi="Times New Roman" w:cs="Times New Roman"/>
          <w:sz w:val="24"/>
          <w:szCs w:val="24"/>
        </w:rPr>
        <w:t>—</w:t>
      </w:r>
      <w:r w:rsidR="00415077">
        <w:rPr>
          <w:rFonts w:ascii="Times New Roman" w:hAnsi="Times New Roman" w:cs="Times New Roman"/>
          <w:sz w:val="24"/>
          <w:szCs w:val="24"/>
        </w:rPr>
        <w:t xml:space="preserve"> </w:t>
      </w:r>
      <w:r w:rsidRPr="0098434F">
        <w:rPr>
          <w:rFonts w:ascii="Times New Roman" w:hAnsi="Times New Roman" w:cs="Times New Roman"/>
          <w:sz w:val="24"/>
          <w:szCs w:val="24"/>
        </w:rPr>
        <w:t>particularly in tracking long-term outcomes, evaluating ESG/DEI integration, and comparing institutional frameworks</w:t>
      </w:r>
      <w:r>
        <w:rPr>
          <w:rFonts w:ascii="Times New Roman" w:hAnsi="Times New Roman" w:cs="Times New Roman"/>
          <w:sz w:val="24"/>
          <w:szCs w:val="24"/>
        </w:rPr>
        <w:t xml:space="preserve"> </w:t>
      </w:r>
      <w:r w:rsidRPr="0098434F">
        <w:rPr>
          <w:rFonts w:ascii="Times New Roman" w:hAnsi="Times New Roman" w:cs="Times New Roman"/>
          <w:sz w:val="24"/>
          <w:szCs w:val="24"/>
        </w:rPr>
        <w:t>—</w:t>
      </w:r>
      <w:r>
        <w:rPr>
          <w:rFonts w:ascii="Times New Roman" w:hAnsi="Times New Roman" w:cs="Times New Roman"/>
          <w:sz w:val="24"/>
          <w:szCs w:val="24"/>
        </w:rPr>
        <w:t xml:space="preserve"> </w:t>
      </w:r>
      <w:r w:rsidRPr="0098434F">
        <w:rPr>
          <w:rFonts w:ascii="Times New Roman" w:hAnsi="Times New Roman" w:cs="Times New Roman"/>
          <w:sz w:val="24"/>
          <w:szCs w:val="24"/>
        </w:rPr>
        <w:t>underscoring the value of interdisciplinary collaboration and innovative methodologies.</w:t>
      </w:r>
      <w:r w:rsidRPr="0098434F">
        <w:rPr>
          <w:rFonts w:ascii="Times New Roman" w:hAnsi="Times New Roman" w:cs="Times New Roman"/>
          <w:sz w:val="24"/>
          <w:szCs w:val="24"/>
        </w:rPr>
        <w:br/>
        <w:t xml:space="preserve">Overall, the </w:t>
      </w:r>
      <w:r w:rsidRPr="00D837AB">
        <w:rPr>
          <w:rFonts w:ascii="Times New Roman" w:hAnsi="Times New Roman" w:cs="Times New Roman"/>
          <w:sz w:val="24"/>
          <w:szCs w:val="24"/>
        </w:rPr>
        <w:t>literature</w:t>
      </w:r>
      <w:r w:rsidR="00D837AB">
        <w:rPr>
          <w:rFonts w:ascii="Times New Roman" w:hAnsi="Times New Roman" w:cs="Times New Roman"/>
          <w:sz w:val="24"/>
          <w:szCs w:val="24"/>
        </w:rPr>
        <w:t xml:space="preserve"> </w:t>
      </w:r>
      <w:r w:rsidR="00D837AB" w:rsidRPr="00D837AB">
        <w:rPr>
          <w:rFonts w:ascii="Times New Roman" w:hAnsi="Times New Roman" w:cs="Times New Roman"/>
          <w:sz w:val="24"/>
          <w:szCs w:val="24"/>
        </w:rPr>
        <w:t xml:space="preserve">— explicitly including Surak (2022), Kerr and Kerr (2016), Stone (2012), and Papademetriou and Sumption (2013) — </w:t>
      </w:r>
      <w:r w:rsidRPr="00D837AB">
        <w:rPr>
          <w:rFonts w:ascii="Times New Roman" w:hAnsi="Times New Roman" w:cs="Times New Roman"/>
          <w:sz w:val="24"/>
          <w:szCs w:val="24"/>
        </w:rPr>
        <w:t>emphasises</w:t>
      </w:r>
      <w:r w:rsidRPr="0098434F">
        <w:rPr>
          <w:rFonts w:ascii="Times New Roman" w:hAnsi="Times New Roman" w:cs="Times New Roman"/>
          <w:sz w:val="24"/>
          <w:szCs w:val="24"/>
        </w:rPr>
        <w:t xml:space="preserve"> the necessity of ongoing policy evaluation, stakeholder engagement, and adaptive learning to ensure investment migration schemes can respond effectively to evolving economic and social conditions. Policymakers are thus encouraged to pursue holistic, forward-looking approaches that integrate economic, social, and environmental perspectives into the future design and assessment of these programmes.</w:t>
      </w:r>
    </w:p>
    <w:p w14:paraId="4E62AE47" w14:textId="77777777" w:rsidR="0098434F" w:rsidRPr="009A1835" w:rsidRDefault="0098434F" w:rsidP="009A1835">
      <w:pPr>
        <w:spacing w:line="360" w:lineRule="auto"/>
        <w:rPr>
          <w:rFonts w:ascii="Times New Roman" w:eastAsia="PMingLiU" w:hAnsi="Times New Roman" w:cs="Times New Roman"/>
          <w:sz w:val="24"/>
          <w:szCs w:val="24"/>
          <w:lang w:eastAsia="zh-TW"/>
        </w:rPr>
      </w:pPr>
    </w:p>
    <w:p w14:paraId="1CDC355B" w14:textId="6885CEE5" w:rsidR="009A1835" w:rsidRPr="001F756D" w:rsidRDefault="003D33C5" w:rsidP="009A1835">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2.</w:t>
      </w:r>
      <w:r w:rsidR="00BB140A">
        <w:rPr>
          <w:rFonts w:ascii="Times New Roman" w:eastAsia="PMingLiU" w:hAnsi="Times New Roman" w:cs="Times New Roman"/>
          <w:b/>
          <w:bCs/>
          <w:sz w:val="24"/>
          <w:szCs w:val="24"/>
          <w:lang w:eastAsia="zh-TW"/>
        </w:rPr>
        <w:t>9</w:t>
      </w:r>
      <w:r w:rsidR="009A1835" w:rsidRPr="003D33C5">
        <w:rPr>
          <w:rFonts w:ascii="Times New Roman" w:eastAsia="PMingLiU" w:hAnsi="Times New Roman" w:cs="Times New Roman"/>
          <w:b/>
          <w:bCs/>
          <w:sz w:val="24"/>
          <w:szCs w:val="24"/>
          <w:lang w:eastAsia="zh-TW"/>
        </w:rPr>
        <w:t xml:space="preserve"> Conclusion</w:t>
      </w:r>
    </w:p>
    <w:p w14:paraId="4BA38A76" w14:textId="3F067D2C" w:rsidR="009A1835" w:rsidRPr="001F756D" w:rsidRDefault="001F756D" w:rsidP="009A1835">
      <w:pPr>
        <w:spacing w:line="360" w:lineRule="auto"/>
        <w:rPr>
          <w:rFonts w:ascii="Times New Roman" w:hAnsi="Times New Roman" w:cs="Times New Roman"/>
          <w:sz w:val="24"/>
          <w:szCs w:val="24"/>
        </w:rPr>
      </w:pPr>
      <w:r w:rsidRPr="001F756D">
        <w:rPr>
          <w:rFonts w:ascii="Times New Roman" w:hAnsi="Times New Roman" w:cs="Times New Roman"/>
          <w:sz w:val="24"/>
          <w:szCs w:val="24"/>
        </w:rPr>
        <w:t xml:space="preserve">This literature review has synthesised key research on investment migration, </w:t>
      </w:r>
      <w:r w:rsidR="006F6E1F" w:rsidRPr="001F756D">
        <w:rPr>
          <w:rFonts w:ascii="Times New Roman" w:hAnsi="Times New Roman" w:cs="Times New Roman"/>
          <w:sz w:val="24"/>
          <w:szCs w:val="24"/>
        </w:rPr>
        <w:t>centering</w:t>
      </w:r>
      <w:r w:rsidRPr="001F756D">
        <w:rPr>
          <w:rFonts w:ascii="Times New Roman" w:hAnsi="Times New Roman" w:cs="Times New Roman"/>
          <w:sz w:val="24"/>
          <w:szCs w:val="24"/>
        </w:rPr>
        <w:t xml:space="preserve"> on the New CIES. It has critically evaluated major theoretical frameworks, empirical evidence, policy debates, and methodological strategies, assessing both the opportunities and constraints of investment migration as an economic policy instrument. Notably, the review has identified persisting research gaps</w:t>
      </w:r>
      <w:r>
        <w:rPr>
          <w:rFonts w:ascii="Times New Roman" w:hAnsi="Times New Roman" w:cs="Times New Roman"/>
          <w:sz w:val="24"/>
          <w:szCs w:val="24"/>
        </w:rPr>
        <w:t xml:space="preserve"> </w:t>
      </w:r>
      <w:r w:rsidRPr="001F756D">
        <w:rPr>
          <w:rFonts w:ascii="Times New Roman" w:hAnsi="Times New Roman" w:cs="Times New Roman"/>
          <w:sz w:val="24"/>
          <w:szCs w:val="24"/>
        </w:rPr>
        <w:t>—</w:t>
      </w:r>
      <w:r>
        <w:rPr>
          <w:rFonts w:ascii="Times New Roman" w:hAnsi="Times New Roman" w:cs="Times New Roman"/>
          <w:sz w:val="24"/>
          <w:szCs w:val="24"/>
        </w:rPr>
        <w:t xml:space="preserve"> </w:t>
      </w:r>
      <w:r w:rsidRPr="001F756D">
        <w:rPr>
          <w:rFonts w:ascii="Times New Roman" w:hAnsi="Times New Roman" w:cs="Times New Roman"/>
          <w:sz w:val="24"/>
          <w:szCs w:val="24"/>
        </w:rPr>
        <w:t>particularly regarding longitudinal impact and ESG/DEI integration</w:t>
      </w:r>
      <w:r>
        <w:rPr>
          <w:rFonts w:ascii="Times New Roman" w:hAnsi="Times New Roman" w:cs="Times New Roman"/>
          <w:sz w:val="24"/>
          <w:szCs w:val="24"/>
        </w:rPr>
        <w:t xml:space="preserve"> </w:t>
      </w:r>
      <w:r w:rsidRPr="001F756D">
        <w:rPr>
          <w:rFonts w:ascii="Times New Roman" w:hAnsi="Times New Roman" w:cs="Times New Roman"/>
          <w:sz w:val="24"/>
          <w:szCs w:val="24"/>
        </w:rPr>
        <w:t>—</w:t>
      </w:r>
      <w:r>
        <w:rPr>
          <w:rFonts w:ascii="Times New Roman" w:hAnsi="Times New Roman" w:cs="Times New Roman"/>
          <w:sz w:val="24"/>
          <w:szCs w:val="24"/>
        </w:rPr>
        <w:t xml:space="preserve"> </w:t>
      </w:r>
      <w:r w:rsidRPr="001F756D">
        <w:rPr>
          <w:rFonts w:ascii="Times New Roman" w:hAnsi="Times New Roman" w:cs="Times New Roman"/>
          <w:sz w:val="24"/>
          <w:szCs w:val="24"/>
        </w:rPr>
        <w:t>and has articulated a focused research problem, purpose, and guiding questions for further study.</w:t>
      </w:r>
      <w:r w:rsidRPr="001F756D">
        <w:rPr>
          <w:rFonts w:ascii="Times New Roman" w:hAnsi="Times New Roman" w:cs="Times New Roman"/>
          <w:sz w:val="24"/>
          <w:szCs w:val="24"/>
        </w:rPr>
        <w:br/>
        <w:t>By engaging a broad and rigorous scholarly corpus, this review lays a robust foundation for future research. It also offers actionable insights for policymakers, scholars, and practitioners aiming to strengthen the design, evaluation, and impact of investment migration programmes in Hong Kong and comparable global contexts.</w:t>
      </w:r>
    </w:p>
    <w:p w14:paraId="5528E1E5" w14:textId="77777777" w:rsidR="001F756D" w:rsidRPr="009A1835" w:rsidRDefault="001F756D" w:rsidP="009A1835">
      <w:pPr>
        <w:spacing w:line="360" w:lineRule="auto"/>
        <w:rPr>
          <w:rFonts w:ascii="Times New Roman" w:eastAsia="PMingLiU" w:hAnsi="Times New Roman" w:cs="Times New Roman"/>
          <w:sz w:val="24"/>
          <w:szCs w:val="24"/>
          <w:lang w:eastAsia="zh-TW"/>
        </w:rPr>
      </w:pPr>
    </w:p>
    <w:p w14:paraId="5C03A157" w14:textId="04F0112E" w:rsidR="009A1835" w:rsidRPr="003D33C5" w:rsidRDefault="003D33C5" w:rsidP="009A1835">
      <w:pPr>
        <w:spacing w:line="360" w:lineRule="auto"/>
        <w:rPr>
          <w:rFonts w:ascii="Times New Roman" w:eastAsia="PMingLiU" w:hAnsi="Times New Roman" w:cs="Times New Roman"/>
          <w:b/>
          <w:bCs/>
          <w:sz w:val="24"/>
          <w:szCs w:val="24"/>
          <w:lang w:eastAsia="zh-TW"/>
        </w:rPr>
      </w:pPr>
      <w:r>
        <w:rPr>
          <w:rFonts w:ascii="Times New Roman" w:eastAsia="PMingLiU" w:hAnsi="Times New Roman" w:cs="Times New Roman"/>
          <w:b/>
          <w:bCs/>
          <w:sz w:val="24"/>
          <w:szCs w:val="24"/>
          <w:lang w:eastAsia="zh-TW"/>
        </w:rPr>
        <w:t>2.1</w:t>
      </w:r>
      <w:r w:rsidR="00BB140A">
        <w:rPr>
          <w:rFonts w:ascii="Times New Roman" w:eastAsia="PMingLiU" w:hAnsi="Times New Roman" w:cs="Times New Roman"/>
          <w:b/>
          <w:bCs/>
          <w:sz w:val="24"/>
          <w:szCs w:val="24"/>
          <w:lang w:eastAsia="zh-TW"/>
        </w:rPr>
        <w:t>0</w:t>
      </w:r>
      <w:r>
        <w:rPr>
          <w:rFonts w:ascii="Times New Roman" w:eastAsia="PMingLiU" w:hAnsi="Times New Roman" w:cs="Times New Roman"/>
          <w:b/>
          <w:bCs/>
          <w:sz w:val="24"/>
          <w:szCs w:val="24"/>
          <w:lang w:eastAsia="zh-TW"/>
        </w:rPr>
        <w:t xml:space="preserve"> </w:t>
      </w:r>
      <w:r w:rsidR="009A1835" w:rsidRPr="003D33C5">
        <w:rPr>
          <w:rFonts w:ascii="Times New Roman" w:eastAsia="PMingLiU" w:hAnsi="Times New Roman" w:cs="Times New Roman"/>
          <w:b/>
          <w:bCs/>
          <w:sz w:val="24"/>
          <w:szCs w:val="24"/>
          <w:lang w:eastAsia="zh-TW"/>
        </w:rPr>
        <w:t>References</w:t>
      </w:r>
      <w:r w:rsidR="00AC79A7">
        <w:rPr>
          <w:rFonts w:ascii="Times New Roman" w:eastAsia="PMingLiU" w:hAnsi="Times New Roman" w:cs="Times New Roman"/>
          <w:b/>
          <w:bCs/>
          <w:sz w:val="24"/>
          <w:szCs w:val="24"/>
          <w:lang w:eastAsia="zh-TW"/>
        </w:rPr>
        <w:t xml:space="preserve"> (7</w:t>
      </w:r>
      <w:r w:rsidR="00B60C54">
        <w:rPr>
          <w:rFonts w:ascii="Times New Roman" w:eastAsia="PMingLiU" w:hAnsi="Times New Roman" w:cs="Times New Roman"/>
          <w:b/>
          <w:bCs/>
          <w:sz w:val="24"/>
          <w:szCs w:val="24"/>
          <w:lang w:eastAsia="zh-TW"/>
        </w:rPr>
        <w:t>09</w:t>
      </w:r>
      <w:r w:rsidR="00AC79A7">
        <w:rPr>
          <w:rFonts w:ascii="Times New Roman" w:eastAsia="PMingLiU" w:hAnsi="Times New Roman" w:cs="Times New Roman"/>
          <w:b/>
          <w:bCs/>
          <w:sz w:val="24"/>
          <w:szCs w:val="24"/>
          <w:lang w:eastAsia="zh-TW"/>
        </w:rPr>
        <w:t xml:space="preserve"> words)</w:t>
      </w:r>
    </w:p>
    <w:p w14:paraId="09A08B09" w14:textId="7E9B5F6D"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B</w:t>
      </w:r>
      <w:r>
        <w:rPr>
          <w:rFonts w:ascii="Times New Roman" w:eastAsia="PMingLiU" w:hAnsi="Times New Roman" w:cs="Times New Roman"/>
          <w:sz w:val="24"/>
          <w:szCs w:val="24"/>
          <w:lang w:eastAsia="zh-TW"/>
        </w:rPr>
        <w:t>h</w:t>
      </w:r>
      <w:r w:rsidRPr="00983B38">
        <w:rPr>
          <w:rFonts w:ascii="Times New Roman" w:eastAsia="PMingLiU" w:hAnsi="Times New Roman" w:cs="Times New Roman"/>
          <w:sz w:val="24"/>
          <w:szCs w:val="24"/>
          <w:lang w:eastAsia="zh-TW"/>
        </w:rPr>
        <w:t>agwati, J. &amp; Hanson, G.H. (2009) Skilled Migration Today: Prospects, Problems, and Policies. Oxford: Oxford University Press.</w:t>
      </w:r>
    </w:p>
    <w:p w14:paraId="4D9B885F" w14:textId="6ECA5B0B"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Becker, G.S. (1964) Human Capital: A Theoretical and Empirical Analysis. Chicago: University of Chicago Press.</w:t>
      </w:r>
    </w:p>
    <w:p w14:paraId="34CF07F4" w14:textId="25B368DB"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Borjas, G.J. (1999) Heaven’s Door: Immigration Policy and the American Economy. Princeton: Princeton University Press.</w:t>
      </w:r>
    </w:p>
    <w:p w14:paraId="57A916D3" w14:textId="4DFE0931"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Boubtane, E., Dumont, J.C. &amp; Krieger, H. (2016) ‘Immigration and Economic Growth in the OECD Countries, 1986-2006’, Oxford Economic Papers, 68(2), pp. 340–360.</w:t>
      </w:r>
    </w:p>
    <w:p w14:paraId="260F1D58" w14:textId="75836D1E"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Castles, S., de Haas, H. &amp; Miller, M.J. (2014) The Age of Migration. 5th edn. London: Palgrave Macmillan.</w:t>
      </w:r>
    </w:p>
    <w:p w14:paraId="7D802967" w14:textId="0B7911C7"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Chellaraj, G., Maskus, K.E. &amp; Mattoo, A. (2008) ‘The Contribution of Skilled Immigrants to U.S. Innovation’, World Bank Policy Research Working Paper No. 4588.</w:t>
      </w:r>
    </w:p>
    <w:p w14:paraId="6C4B2455" w14:textId="6BB7F684"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Creswell, J.W. &amp; Plano Clark, V.L. (2017) Designing and Conducting Mixed Methods Research. 3rd edn. Los Angeles: SAGE.</w:t>
      </w:r>
    </w:p>
    <w:p w14:paraId="21500CDC" w14:textId="26BE405D"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Denzin, N.K. &amp; Lincoln, Y.S. (eds.) (2018) The SAGE Handbook of Qualitative Research. 5th edn. Los Angeles: SAGE.</w:t>
      </w:r>
    </w:p>
    <w:p w14:paraId="78B62F9C" w14:textId="3EABC174"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DIA (2024) Investment Visa Program. Dubai Investment Development Agency.</w:t>
      </w:r>
    </w:p>
    <w:p w14:paraId="3432A344" w14:textId="5E2967E4"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Dolowitz, D.P. &amp; Marsh, D. (2000) ‘Learning from Abroad: The Role of Policy Transfer’, Governance, 13(1), pp. 5–24.</w:t>
      </w:r>
    </w:p>
    <w:p w14:paraId="58B675D2" w14:textId="562363F3"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Dustmann, C. &amp; Frattini, T. (2014) ‘The Fiscal Effects of Immigration to the UK’, Economic Journal, 124(580), pp. F593–F643.</w:t>
      </w:r>
    </w:p>
    <w:p w14:paraId="37532FA2" w14:textId="0EBBCFE6"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EDB (2024) Global Investor Programme. Singapore Economic Development Board.</w:t>
      </w:r>
    </w:p>
    <w:p w14:paraId="62C07D7E" w14:textId="5FF680E6"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Eisenhardt, K.M. (1989) ‘Building Theories from Case Study Research’, Academy of Management Review, 14(4), pp. 532–550.</w:t>
      </w:r>
    </w:p>
    <w:p w14:paraId="66B5C66F" w14:textId="69FE2F76" w:rsidR="006833DD" w:rsidRPr="006833DD" w:rsidRDefault="006833DD"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6833DD">
        <w:rPr>
          <w:rFonts w:ascii="Times New Roman" w:hAnsi="Times New Roman" w:cs="Times New Roman"/>
          <w:sz w:val="24"/>
          <w:szCs w:val="24"/>
        </w:rPr>
        <w:t>Financial Action Task Force (FATF) (2024) Guidance for a Risk-Based Approach to Residence and Citizenship by Investment Programmes. Paris: FATF.</w:t>
      </w:r>
    </w:p>
    <w:p w14:paraId="7EC13113" w14:textId="19F217CC" w:rsidR="006833DD" w:rsidRPr="006833DD" w:rsidRDefault="006833DD"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6833DD">
        <w:rPr>
          <w:rFonts w:ascii="Times New Roman" w:hAnsi="Times New Roman" w:cs="Times New Roman"/>
          <w:sz w:val="24"/>
          <w:szCs w:val="24"/>
        </w:rPr>
        <w:t>Findlay, A., Hoy, C., McCollum, D., &amp; Packwood, H. (2017) ‘Skilled International Migration and the Global City: Mobility Pathways and Labour Market Outcomes’. Urban Studies, 54(4), pp. 902–920.</w:t>
      </w:r>
    </w:p>
    <w:p w14:paraId="15CC9635" w14:textId="1F82FA18"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Friedberg, R.M. &amp; Hunt, J. (1995) ‘The Impact of Immigrants on Host Country Wages’, Journal of Economic Perspectives, 9(2), pp. 23–44.</w:t>
      </w:r>
    </w:p>
    <w:p w14:paraId="7338F7F2" w14:textId="2EDDFC5A" w:rsidR="006833DD" w:rsidRPr="006833DD" w:rsidRDefault="006833DD"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6833DD">
        <w:rPr>
          <w:rFonts w:ascii="Times New Roman" w:hAnsi="Times New Roman" w:cs="Times New Roman"/>
          <w:sz w:val="24"/>
          <w:szCs w:val="24"/>
        </w:rPr>
        <w:t>Global Citizen Solutions (2024) Global Passport Index and Country Profiles. Lisbon: Global Citizen Solutions.</w:t>
      </w:r>
    </w:p>
    <w:p w14:paraId="16151DF3" w14:textId="576FB328"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Grossmann, V. (2021) ‘How Immigration Affects Investment and Productivity in Host and Home Countries’. IZA World of Labor.</w:t>
      </w:r>
    </w:p>
    <w:p w14:paraId="7DE5EBFB" w14:textId="1D6ABD9B" w:rsidR="00DF45EB" w:rsidRDefault="00983B38" w:rsidP="00DF45EB">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Hall, P.A. &amp; Soskice, D. (2001) Varieties of Capitalism. Oxford: Oxford University Press.</w:t>
      </w:r>
    </w:p>
    <w:p w14:paraId="0E4964E7" w14:textId="0E7F1884" w:rsidR="006833DD" w:rsidRPr="006833DD" w:rsidRDefault="006833DD" w:rsidP="00DF45EB">
      <w:pPr>
        <w:pStyle w:val="ListParagraph"/>
        <w:numPr>
          <w:ilvl w:val="0"/>
          <w:numId w:val="27"/>
        </w:numPr>
        <w:spacing w:line="360" w:lineRule="auto"/>
        <w:rPr>
          <w:rFonts w:ascii="Times New Roman" w:eastAsia="PMingLiU" w:hAnsi="Times New Roman" w:cs="Times New Roman"/>
          <w:sz w:val="24"/>
          <w:szCs w:val="24"/>
          <w:lang w:eastAsia="zh-TW"/>
        </w:rPr>
      </w:pPr>
      <w:r w:rsidRPr="006833DD">
        <w:rPr>
          <w:rFonts w:ascii="Times New Roman" w:hAnsi="Times New Roman" w:cs="Times New Roman"/>
          <w:sz w:val="24"/>
          <w:szCs w:val="24"/>
        </w:rPr>
        <w:t>Harpaz, Y. (2019) Citizenship 2.0: Dual Nationality as a Global Asset. Princeton: Princeton University Press.</w:t>
      </w:r>
    </w:p>
    <w:p w14:paraId="327BC853" w14:textId="1526D86C" w:rsidR="00DF45EB" w:rsidRPr="00DF45EB" w:rsidRDefault="00DF45EB" w:rsidP="00DF45EB">
      <w:pPr>
        <w:pStyle w:val="ListParagraph"/>
        <w:numPr>
          <w:ilvl w:val="0"/>
          <w:numId w:val="27"/>
        </w:numPr>
        <w:spacing w:line="360" w:lineRule="auto"/>
        <w:rPr>
          <w:rFonts w:ascii="Times New Roman" w:eastAsia="PMingLiU" w:hAnsi="Times New Roman" w:cs="Times New Roman"/>
          <w:sz w:val="24"/>
          <w:szCs w:val="24"/>
          <w:lang w:eastAsia="zh-TW"/>
        </w:rPr>
      </w:pPr>
      <w:r w:rsidRPr="00DF45EB">
        <w:rPr>
          <w:rFonts w:ascii="Times New Roman" w:hAnsi="Times New Roman" w:cs="Times New Roman"/>
          <w:sz w:val="24"/>
          <w:szCs w:val="24"/>
        </w:rPr>
        <w:t>Henley &amp; Partners (2024) Global Residence Programs 2024. London: Henley &amp; Partners.</w:t>
      </w:r>
    </w:p>
    <w:p w14:paraId="35C04E90" w14:textId="37F19374" w:rsidR="00DF45EB" w:rsidRPr="00DF45EB" w:rsidRDefault="00DF45EB" w:rsidP="00DF45EB">
      <w:pPr>
        <w:pStyle w:val="ListParagraph"/>
        <w:numPr>
          <w:ilvl w:val="0"/>
          <w:numId w:val="27"/>
        </w:numPr>
        <w:spacing w:line="360" w:lineRule="auto"/>
        <w:rPr>
          <w:rFonts w:ascii="Times New Roman" w:eastAsia="PMingLiU" w:hAnsi="Times New Roman" w:cs="Times New Roman"/>
          <w:sz w:val="24"/>
          <w:szCs w:val="24"/>
          <w:lang w:eastAsia="zh-TW"/>
        </w:rPr>
      </w:pPr>
      <w:r w:rsidRPr="00DF45EB">
        <w:rPr>
          <w:rFonts w:ascii="Times New Roman" w:hAnsi="Times New Roman" w:cs="Times New Roman"/>
          <w:sz w:val="24"/>
          <w:szCs w:val="24"/>
        </w:rPr>
        <w:t>Henley &amp; Partners (2025)</w:t>
      </w:r>
      <w:r>
        <w:rPr>
          <w:rFonts w:ascii="Times New Roman" w:hAnsi="Times New Roman" w:cs="Times New Roman"/>
          <w:sz w:val="24"/>
          <w:szCs w:val="24"/>
        </w:rPr>
        <w:t xml:space="preserve"> </w:t>
      </w:r>
      <w:r w:rsidRPr="00DF45EB">
        <w:rPr>
          <w:rFonts w:ascii="Times New Roman" w:hAnsi="Times New Roman" w:cs="Times New Roman"/>
          <w:sz w:val="24"/>
          <w:szCs w:val="24"/>
        </w:rPr>
        <w:t>Global Residence Programs 2025. London: Henley &amp; Partners.</w:t>
      </w:r>
    </w:p>
    <w:p w14:paraId="501E29E7" w14:textId="00058886"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Investment Migration Council (2022) ‘Research Papers: Investment Migration Policy Briefs’.</w:t>
      </w:r>
    </w:p>
    <w:p w14:paraId="4D80680F" w14:textId="3EBD5227"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Kerr, W.R. &amp; Kerr, S.P. (2016) ‘Immigrant Entrepreneurship’, NBER Working Paper No. 22385.</w:t>
      </w:r>
    </w:p>
    <w:p w14:paraId="439AFC24" w14:textId="6D48DE3F" w:rsidR="006833DD" w:rsidRPr="006833DD" w:rsidRDefault="006833DD"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6833DD">
        <w:rPr>
          <w:rFonts w:ascii="Times New Roman" w:hAnsi="Times New Roman" w:cs="Times New Roman"/>
          <w:sz w:val="24"/>
          <w:szCs w:val="24"/>
        </w:rPr>
        <w:t>Lincoln, Y.S. &amp; Guba, E.G. (1986) Naturalistic Inquiry. Beverly Hills: Sage Publications.</w:t>
      </w:r>
    </w:p>
    <w:p w14:paraId="6A17BA3F" w14:textId="55EB6BFF"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Massey, D.S. et al. (1993) ‘Theories of International Migration’, Population and Development Review, 19(3), pp. 431–466.</w:t>
      </w:r>
    </w:p>
    <w:p w14:paraId="5933519A" w14:textId="7026B057" w:rsidR="00983B38" w:rsidRPr="00DF45EB"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DF45EB">
        <w:rPr>
          <w:rFonts w:ascii="Times New Roman" w:eastAsia="PMingLiU" w:hAnsi="Times New Roman" w:cs="Times New Roman"/>
          <w:sz w:val="24"/>
          <w:szCs w:val="24"/>
          <w:lang w:eastAsia="zh-TW"/>
        </w:rPr>
        <w:t>OECD (2018) Policy Note on Sustainability. Paris: OECD Publishing.</w:t>
      </w:r>
    </w:p>
    <w:p w14:paraId="619F9155" w14:textId="492B5990" w:rsidR="00DF45EB" w:rsidRPr="00DF45EB" w:rsidRDefault="00DF45EB"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DF45EB">
        <w:rPr>
          <w:rFonts w:ascii="Times New Roman" w:hAnsi="Times New Roman" w:cs="Times New Roman"/>
          <w:sz w:val="24"/>
          <w:szCs w:val="24"/>
        </w:rPr>
        <w:t>OECD (2022)</w:t>
      </w:r>
      <w:r>
        <w:rPr>
          <w:rFonts w:ascii="Times New Roman" w:hAnsi="Times New Roman" w:cs="Times New Roman"/>
          <w:sz w:val="24"/>
          <w:szCs w:val="24"/>
        </w:rPr>
        <w:t xml:space="preserve"> </w:t>
      </w:r>
      <w:r w:rsidRPr="00DF45EB">
        <w:rPr>
          <w:rFonts w:ascii="Times New Roman" w:hAnsi="Times New Roman" w:cs="Times New Roman"/>
          <w:sz w:val="24"/>
          <w:szCs w:val="24"/>
        </w:rPr>
        <w:t>Residence and Citizenship by Investment Schemes: Policy Considerations and Best Practices. Paris: OECD Publishing.</w:t>
      </w:r>
    </w:p>
    <w:p w14:paraId="29550D7C" w14:textId="062710EC"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Papademetriou, D.G. &amp; Sumption, M. (2013) Attracting and Selecting from the Global Talent Pool. Washington, DC: MPI.</w:t>
      </w:r>
    </w:p>
    <w:p w14:paraId="0DB06AC8" w14:textId="1B00BB88"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Peri, G. (2012) ‘The Effect of Immigration on Productivity: Evidence from US States’, Review of Economics and Statistics, 94(1), pp. 348–358.</w:t>
      </w:r>
    </w:p>
    <w:p w14:paraId="663279BE" w14:textId="4949459F"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Portes, A. &amp; Rumbaut, R.G. (2006) Immigrant America. 3rd edn. Berkeley: University of California Press.</w:t>
      </w:r>
    </w:p>
    <w:p w14:paraId="646C6E48" w14:textId="52CACDE2" w:rsidR="00983B38" w:rsidRPr="00070522"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070522">
        <w:rPr>
          <w:rFonts w:ascii="Times New Roman" w:eastAsia="PMingLiU" w:hAnsi="Times New Roman" w:cs="Times New Roman"/>
          <w:sz w:val="24"/>
          <w:szCs w:val="24"/>
          <w:lang w:eastAsia="zh-TW"/>
        </w:rPr>
        <w:t>Sassen, S. (2001) The Global City. 2nd edn. Princeton: Princeton University Press.</w:t>
      </w:r>
    </w:p>
    <w:p w14:paraId="6FF9FEC9" w14:textId="53F34794" w:rsidR="00983B38" w:rsidRPr="00DF45EB" w:rsidRDefault="00070522"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070522">
        <w:rPr>
          <w:rFonts w:ascii="Times New Roman" w:hAnsi="Times New Roman" w:cs="Times New Roman"/>
          <w:sz w:val="24"/>
          <w:szCs w:val="24"/>
        </w:rPr>
        <w:t>Savva, C. (2025) Critical Analysis of Investment Migration Programs: Economic Impact, Misconceptions and Policy Trends.</w:t>
      </w:r>
    </w:p>
    <w:p w14:paraId="6BACA53C" w14:textId="738F8647" w:rsidR="00DF45EB" w:rsidRPr="00DF45EB" w:rsidRDefault="00DF45EB" w:rsidP="00983B38">
      <w:pPr>
        <w:pStyle w:val="ListParagraph"/>
        <w:numPr>
          <w:ilvl w:val="0"/>
          <w:numId w:val="27"/>
        </w:numPr>
        <w:spacing w:line="360" w:lineRule="auto"/>
        <w:rPr>
          <w:rFonts w:ascii="Times New Roman" w:eastAsia="PMingLiU" w:hAnsi="Times New Roman" w:cs="Times New Roman"/>
          <w:sz w:val="24"/>
          <w:szCs w:val="24"/>
          <w:lang w:eastAsia="zh-TW"/>
        </w:rPr>
      </w:pPr>
      <w:bookmarkStart w:id="0" w:name="_Hlk204072959"/>
      <w:r w:rsidRPr="00DF45EB">
        <w:rPr>
          <w:rFonts w:ascii="Times New Roman" w:hAnsi="Times New Roman" w:cs="Times New Roman"/>
          <w:sz w:val="24"/>
          <w:szCs w:val="24"/>
        </w:rPr>
        <w:t>Spencer, S. &amp; Ong, A. (2020) ‘Global Talent and Urban Policy: Migrant Flows and the Development of Financial Centres’, Urban Studies, 57(12), pp. 2542–2560.</w:t>
      </w:r>
    </w:p>
    <w:bookmarkEnd w:id="0"/>
    <w:p w14:paraId="5C116582" w14:textId="1B5AA116"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Surak, K. (2022) ‘Investment Migration Globally: The Dynamics of Supply and Demand’. COMPAS Working Paper No. 159, University of Oxford.</w:t>
      </w:r>
    </w:p>
    <w:p w14:paraId="3F82E1E4" w14:textId="36349C3D" w:rsid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Surak, K. (2023) ‘Investment Migration’, in Citizenship and Residence Sales: Rethinking the Boundaries of Belonging. Cambridge University Press.</w:t>
      </w:r>
    </w:p>
    <w:p w14:paraId="1ECAAA48" w14:textId="15FA463F" w:rsidR="00DF45EB" w:rsidRPr="00DF45EB" w:rsidRDefault="00DF45EB"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DF45EB">
        <w:rPr>
          <w:rFonts w:ascii="Times New Roman" w:hAnsi="Times New Roman" w:cs="Times New Roman"/>
          <w:sz w:val="24"/>
          <w:szCs w:val="24"/>
        </w:rPr>
        <w:t>Transparency International (2021) European Getaway: Inside the Murky World of Golden Visas. Berlin: Transparency International.</w:t>
      </w:r>
    </w:p>
    <w:p w14:paraId="5111C18B" w14:textId="5DE1B048"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Van der Baaren, L. &amp; Li, H. (2018) ‘Wealth Influx, Wealth Exodus: Investment Migration from China to Portugal’. Investment Migration Council Working Paper.</w:t>
      </w:r>
    </w:p>
    <w:p w14:paraId="3AD62E8A" w14:textId="6402E395" w:rsidR="00983B38"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Witt, M.A. &amp; Jackson, G. (2016) ‘Varieties of Capitalism and Institutional Comparative Advantage’, Organization Studies, 37(1), pp. 1–22.</w:t>
      </w:r>
    </w:p>
    <w:p w14:paraId="5FED589F" w14:textId="45C43BCD" w:rsidR="009A1835" w:rsidRPr="00983B38" w:rsidRDefault="00983B38" w:rsidP="00983B38">
      <w:pPr>
        <w:pStyle w:val="ListParagraph"/>
        <w:numPr>
          <w:ilvl w:val="0"/>
          <w:numId w:val="27"/>
        </w:numPr>
        <w:spacing w:line="360" w:lineRule="auto"/>
        <w:rPr>
          <w:rFonts w:ascii="Times New Roman" w:eastAsia="PMingLiU" w:hAnsi="Times New Roman" w:cs="Times New Roman"/>
          <w:sz w:val="24"/>
          <w:szCs w:val="24"/>
          <w:lang w:eastAsia="zh-TW"/>
        </w:rPr>
      </w:pPr>
      <w:r w:rsidRPr="00983B38">
        <w:rPr>
          <w:rFonts w:ascii="Times New Roman" w:eastAsia="PMingLiU" w:hAnsi="Times New Roman" w:cs="Times New Roman"/>
          <w:sz w:val="24"/>
          <w:szCs w:val="24"/>
          <w:lang w:eastAsia="zh-TW"/>
        </w:rPr>
        <w:t>Yin, R.K. (2018) Case Study Research and Applications. 6th edn. Los Angeles: SAGE.</w:t>
      </w:r>
    </w:p>
    <w:p w14:paraId="409A3BFA" w14:textId="77777777" w:rsidR="009A1835" w:rsidRPr="00552456" w:rsidRDefault="009A1835" w:rsidP="009A1835">
      <w:pPr>
        <w:spacing w:line="360" w:lineRule="auto"/>
        <w:rPr>
          <w:rFonts w:ascii="Times New Roman" w:eastAsia="PMingLiU" w:hAnsi="Times New Roman" w:cs="Times New Roman"/>
          <w:sz w:val="24"/>
          <w:szCs w:val="24"/>
          <w:lang w:eastAsia="zh-TW"/>
        </w:rPr>
      </w:pPr>
    </w:p>
    <w:p w14:paraId="03433DF1" w14:textId="3954A167" w:rsidR="009565B9" w:rsidRDefault="003D4A19" w:rsidP="008D3887">
      <w:pPr>
        <w:tabs>
          <w:tab w:val="left" w:pos="3465"/>
        </w:tabs>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3. </w:t>
      </w:r>
      <w:r w:rsidR="009565B9" w:rsidRPr="009565B9">
        <w:rPr>
          <w:rFonts w:ascii="Times New Roman" w:hAnsi="Times New Roman" w:cs="Times New Roman"/>
          <w:b/>
          <w:bCs/>
          <w:sz w:val="24"/>
          <w:szCs w:val="24"/>
        </w:rPr>
        <w:t>A</w:t>
      </w:r>
      <w:r w:rsidR="0073620A">
        <w:rPr>
          <w:rFonts w:ascii="Times New Roman" w:hAnsi="Times New Roman" w:cs="Times New Roman"/>
          <w:b/>
          <w:bCs/>
          <w:sz w:val="24"/>
          <w:szCs w:val="24"/>
        </w:rPr>
        <w:t>NNOTATED BIBILOGRAPHY</w:t>
      </w:r>
      <w:r w:rsidR="00333425">
        <w:rPr>
          <w:rFonts w:ascii="Times New Roman" w:hAnsi="Times New Roman" w:cs="Times New Roman"/>
          <w:b/>
          <w:bCs/>
          <w:sz w:val="24"/>
          <w:szCs w:val="24"/>
        </w:rPr>
        <w:t xml:space="preserve"> </w:t>
      </w:r>
      <w:r w:rsidR="001A3CF7">
        <w:rPr>
          <w:rFonts w:ascii="Times New Roman" w:hAnsi="Times New Roman" w:cs="Times New Roman"/>
          <w:b/>
          <w:bCs/>
          <w:sz w:val="24"/>
          <w:szCs w:val="24"/>
        </w:rPr>
        <w:t>(2,</w:t>
      </w:r>
      <w:r w:rsidR="0050623E">
        <w:rPr>
          <w:rFonts w:ascii="Times New Roman" w:hAnsi="Times New Roman" w:cs="Times New Roman"/>
          <w:b/>
          <w:bCs/>
          <w:sz w:val="24"/>
          <w:szCs w:val="24"/>
        </w:rPr>
        <w:t>4</w:t>
      </w:r>
      <w:r w:rsidR="006E2DD8">
        <w:rPr>
          <w:rFonts w:ascii="Times New Roman" w:hAnsi="Times New Roman" w:cs="Times New Roman"/>
          <w:b/>
          <w:bCs/>
          <w:sz w:val="24"/>
          <w:szCs w:val="24"/>
        </w:rPr>
        <w:t>15</w:t>
      </w:r>
      <w:r w:rsidR="00D01D4A">
        <w:rPr>
          <w:rFonts w:ascii="Times New Roman" w:hAnsi="Times New Roman" w:cs="Times New Roman"/>
          <w:b/>
          <w:bCs/>
          <w:sz w:val="24"/>
          <w:szCs w:val="24"/>
        </w:rPr>
        <w:t xml:space="preserve"> words</w:t>
      </w:r>
      <w:r w:rsidR="001A3CF7">
        <w:rPr>
          <w:rFonts w:ascii="Times New Roman" w:hAnsi="Times New Roman" w:cs="Times New Roman"/>
          <w:b/>
          <w:bCs/>
          <w:sz w:val="24"/>
          <w:szCs w:val="24"/>
        </w:rPr>
        <w:t>)</w:t>
      </w:r>
    </w:p>
    <w:p w14:paraId="3213B5DC" w14:textId="77777777" w:rsidR="0027772B" w:rsidRDefault="0027772B" w:rsidP="0027772B">
      <w:pPr>
        <w:tabs>
          <w:tab w:val="left" w:pos="3465"/>
        </w:tabs>
        <w:spacing w:line="360" w:lineRule="auto"/>
        <w:rPr>
          <w:rFonts w:ascii="Times New Roman" w:hAnsi="Times New Roman" w:cs="Times New Roman"/>
          <w:sz w:val="24"/>
          <w:szCs w:val="24"/>
        </w:rPr>
      </w:pPr>
    </w:p>
    <w:p w14:paraId="0B96F3CB" w14:textId="38A51DE6" w:rsidR="00D300D6" w:rsidRPr="00D300D6" w:rsidRDefault="00D300D6" w:rsidP="00EC057C">
      <w:pPr>
        <w:tabs>
          <w:tab w:val="left" w:pos="3465"/>
        </w:tabs>
        <w:spacing w:line="360" w:lineRule="auto"/>
        <w:rPr>
          <w:rFonts w:ascii="Times New Roman" w:hAnsi="Times New Roman" w:cs="Times New Roman"/>
          <w:b/>
          <w:bCs/>
          <w:sz w:val="24"/>
          <w:szCs w:val="24"/>
        </w:rPr>
      </w:pPr>
      <w:r w:rsidRPr="00D300D6">
        <w:rPr>
          <w:rFonts w:ascii="Times New Roman" w:hAnsi="Times New Roman" w:cs="Times New Roman"/>
          <w:b/>
          <w:bCs/>
          <w:sz w:val="24"/>
          <w:szCs w:val="24"/>
        </w:rPr>
        <w:t>Theoretical and Empirical Works on Migration and Human Capital</w:t>
      </w:r>
    </w:p>
    <w:p w14:paraId="1A39F90B" w14:textId="2D8B3BFA" w:rsidR="00EC057C" w:rsidRPr="00EC057C" w:rsidRDefault="00EC057C" w:rsidP="00EC057C">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1. Becker, G.S. (1964) Human Capital: A Theoretical and Empirical Analysis. Chicago: University of Chicago Press.</w:t>
      </w:r>
    </w:p>
    <w:p w14:paraId="162560EC" w14:textId="705CC206" w:rsidR="00BC395D" w:rsidRDefault="00EC057C" w:rsidP="00EC057C">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Introduces human capital theory, arguing that investments in education and skills drive economic growth. This foundational work underpins the rationale for high investment thresholds in schemes like the New CIES, emphasizing the link between financial and human capital. Highly cited and central to migration and labour economics.</w:t>
      </w:r>
    </w:p>
    <w:p w14:paraId="2BEA5FBA" w14:textId="3BEAA44A" w:rsidR="00BC395D" w:rsidRPr="00EC057C" w:rsidRDefault="00BC395D" w:rsidP="00BC395D">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2</w:t>
      </w:r>
      <w:r w:rsidRPr="00EC057C">
        <w:rPr>
          <w:rFonts w:ascii="Times New Roman" w:hAnsi="Times New Roman" w:cs="Times New Roman"/>
          <w:sz w:val="24"/>
          <w:szCs w:val="24"/>
        </w:rPr>
        <w:t xml:space="preserve">. </w:t>
      </w:r>
      <w:r>
        <w:rPr>
          <w:rFonts w:ascii="Times New Roman" w:hAnsi="Times New Roman" w:cs="Times New Roman"/>
          <w:sz w:val="24"/>
          <w:szCs w:val="24"/>
        </w:rPr>
        <w:t>Bhag</w:t>
      </w:r>
      <w:r w:rsidRPr="00EC057C">
        <w:rPr>
          <w:rFonts w:ascii="Times New Roman" w:hAnsi="Times New Roman" w:cs="Times New Roman"/>
          <w:sz w:val="24"/>
          <w:szCs w:val="24"/>
        </w:rPr>
        <w:t>wati, J. &amp; Hanson, G.H. (2009) Skilled Migration Today: Prospects, Problems, and Policies. Oxford: Oxford University Press.</w:t>
      </w:r>
    </w:p>
    <w:p w14:paraId="74A3D34E" w14:textId="318C5166" w:rsidR="00D9561A" w:rsidRPr="00EC057C" w:rsidRDefault="00BC395D" w:rsidP="00EC057C">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Comprehensive overview of skilled migration policies, challenges, and impacts. Offers comparative insights for evaluating Hong Kong’s approach to investment migration. Written by leading scholars, peer-reviewed, and policy-focused.</w:t>
      </w:r>
    </w:p>
    <w:p w14:paraId="117BE8C7" w14:textId="1F9C037B" w:rsidR="00D9561A" w:rsidRPr="00EC057C" w:rsidRDefault="00BC395D" w:rsidP="00D9561A">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3</w:t>
      </w:r>
      <w:r w:rsidR="00D9561A" w:rsidRPr="00EC057C">
        <w:rPr>
          <w:rFonts w:ascii="Times New Roman" w:hAnsi="Times New Roman" w:cs="Times New Roman"/>
          <w:sz w:val="24"/>
          <w:szCs w:val="24"/>
        </w:rPr>
        <w:t>. Borjas, G.J. (1999) Heaven’s Door: Immigration Policy and the American Economy. Princeton: Princeton University Press.</w:t>
      </w:r>
    </w:p>
    <w:p w14:paraId="264CFE58" w14:textId="6F1B7B36" w:rsidR="00BC395D" w:rsidRDefault="00D9561A" w:rsidP="00D9561A">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Provides a rigorous, data-driven analysis of immigration’s economic impacts, focusing on labour markets and policy design. Borjas’s empirical approach informs evaluation of investment migration schemes like the New CIES, balancing economic benefits with social integration concerns. Widely cited and respected in migration economics.</w:t>
      </w:r>
    </w:p>
    <w:p w14:paraId="1936034F" w14:textId="7ADEF10D" w:rsidR="00BC395D" w:rsidRPr="00EC057C" w:rsidRDefault="00BC395D" w:rsidP="00BC395D">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4</w:t>
      </w:r>
      <w:r w:rsidRPr="00EC057C">
        <w:rPr>
          <w:rFonts w:ascii="Times New Roman" w:hAnsi="Times New Roman" w:cs="Times New Roman"/>
          <w:sz w:val="24"/>
          <w:szCs w:val="24"/>
        </w:rPr>
        <w:t>. Boubtane, E., Dumont, J.C. &amp; Krieger, H. (2016) ‘Immigration and Economic Growth in the OECD Countries, 1986-2006’, Oxford Economic Papers, 68(2), pp. 340–360.</w:t>
      </w:r>
    </w:p>
    <w:p w14:paraId="7FF5D1B7" w14:textId="0C52B990" w:rsidR="00D9561A" w:rsidRDefault="00BC395D" w:rsidP="00D9561A">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Uses panel data econometrics to quantify immigration’s positive impact on GDP growth across OECD countries. Provides empirical benchmarks for assessing the New CIES’s economic benefits, especially regarding capital formation and innovation. Peer-reviewed and methodologically robust.</w:t>
      </w:r>
    </w:p>
    <w:p w14:paraId="42216A09" w14:textId="77777777" w:rsidR="00BC395D" w:rsidRPr="00672AD6" w:rsidRDefault="00BC395D" w:rsidP="00BC395D">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5</w:t>
      </w:r>
      <w:r w:rsidRPr="00672AD6">
        <w:rPr>
          <w:rFonts w:ascii="Times New Roman" w:hAnsi="Times New Roman" w:cs="Times New Roman"/>
          <w:sz w:val="24"/>
          <w:szCs w:val="24"/>
        </w:rPr>
        <w:t>. Castles, S., de Haas, H. &amp; Miller, M.J. (2014) The Age of Migration. 5th edn. London: Palgrave Macmillan.</w:t>
      </w:r>
    </w:p>
    <w:p w14:paraId="38B4200F" w14:textId="1FB7161D" w:rsidR="00BC395D" w:rsidRDefault="00BC395D" w:rsidP="00BC395D">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Global overview of migration trends, policies, and impacts. Provides context for the global competition for talent and investment. Peer-reviewed, widely cited, and empirical.</w:t>
      </w:r>
    </w:p>
    <w:p w14:paraId="713EB9CF" w14:textId="77777777" w:rsidR="00BC395D" w:rsidRPr="00EC057C" w:rsidRDefault="00BC395D" w:rsidP="00BC395D">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6</w:t>
      </w:r>
      <w:r w:rsidRPr="00EC057C">
        <w:rPr>
          <w:rFonts w:ascii="Times New Roman" w:hAnsi="Times New Roman" w:cs="Times New Roman"/>
          <w:sz w:val="24"/>
          <w:szCs w:val="24"/>
        </w:rPr>
        <w:t>. Dustmann, C. &amp; Frattini, T. (2014) ‘The Fiscal Effects of Immigration to the UK’, Economic Journal, 124(580), pp. F593–F643.</w:t>
      </w:r>
    </w:p>
    <w:p w14:paraId="43028F49" w14:textId="4DD81CBE" w:rsidR="00BC395D" w:rsidRDefault="00BC395D" w:rsidP="00BC395D">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Empirically assesses the fiscal impact of immigration in the UK, distinguishing between migrant groups. Uses robust econometric methods to show recent immigrants often contribute more in taxes than they consume in services. Highly relevant for evaluating the fiscal implications of the New CIES. Widely cited and methodologically rigorous.</w:t>
      </w:r>
    </w:p>
    <w:p w14:paraId="543FBB56" w14:textId="77777777" w:rsidR="00BC395D" w:rsidRPr="00EC057C" w:rsidRDefault="00BC395D" w:rsidP="00BC395D">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7</w:t>
      </w:r>
      <w:r w:rsidRPr="00EC057C">
        <w:rPr>
          <w:rFonts w:ascii="Times New Roman" w:hAnsi="Times New Roman" w:cs="Times New Roman"/>
          <w:sz w:val="24"/>
          <w:szCs w:val="24"/>
        </w:rPr>
        <w:t>. Friedberg, R.M. &amp; Hunt, J. (1995) ‘The Impact of Immigrants on Host Country Wages’, Journal of Economic Perspectives, 9(2), pp. 23–44.</w:t>
      </w:r>
    </w:p>
    <w:p w14:paraId="7CE3FB0F" w14:textId="76D3866D" w:rsidR="00BC395D" w:rsidRPr="00EC057C" w:rsidRDefault="00BC395D" w:rsidP="00BC395D">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Analyzes how immigration affects wages and employment in host countries. Offers insights into the labour market effects of investment migration, informing analysis of job creation and wage outcomes under the New CIES. Highly cited and data-driven.</w:t>
      </w:r>
    </w:p>
    <w:p w14:paraId="512358EC" w14:textId="77777777" w:rsidR="00BC395D" w:rsidRPr="00EC057C" w:rsidRDefault="00BC395D" w:rsidP="00BC395D">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 xml:space="preserve">8. </w:t>
      </w:r>
      <w:r w:rsidRPr="00EC057C">
        <w:rPr>
          <w:rFonts w:ascii="Times New Roman" w:hAnsi="Times New Roman" w:cs="Times New Roman"/>
          <w:sz w:val="24"/>
          <w:szCs w:val="24"/>
        </w:rPr>
        <w:t>Grossmann, V. (2021) ‘How Immigration Affects Investment and Productivity in Host and Home Countries’. IZA World of Labor.</w:t>
      </w:r>
    </w:p>
    <w:p w14:paraId="192FA493" w14:textId="2BD908E6" w:rsidR="00BC395D" w:rsidRDefault="00BC395D" w:rsidP="00BC395D">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Assesses the impact of high-skilled immigration on FDI, productivity, and residential investment. Notes distributional effects and policy implications, supporting economic impact analysis of investment migration schemes. Produced by a leading research institute.</w:t>
      </w:r>
    </w:p>
    <w:p w14:paraId="53C96BF3" w14:textId="77777777" w:rsidR="00BC395D" w:rsidRPr="00EC057C" w:rsidRDefault="00BC395D" w:rsidP="00BC395D">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9. Massey, D.S. et al. (1993) ‘Theories of International Migration’, Population and Development Review, 19(3), pp. 431–466.</w:t>
      </w:r>
    </w:p>
    <w:p w14:paraId="713F2D3B" w14:textId="77777777" w:rsidR="00BC395D" w:rsidRPr="00EC057C" w:rsidRDefault="00BC395D" w:rsidP="00BC395D">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Synthesizes major migration theories, including push-pull and network models. Provides a comprehensive theoretical framework for understanding migration motivations and patterns, crucial for evaluating investment migration schemes. Highly cited, foundational article in migration studies.</w:t>
      </w:r>
    </w:p>
    <w:p w14:paraId="382FA2CC" w14:textId="05BCD788" w:rsidR="00BC395D" w:rsidRPr="00EC057C" w:rsidRDefault="00BC395D" w:rsidP="00BC395D">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1</w:t>
      </w:r>
      <w:r>
        <w:rPr>
          <w:rFonts w:ascii="Times New Roman" w:hAnsi="Times New Roman" w:cs="Times New Roman"/>
          <w:sz w:val="24"/>
          <w:szCs w:val="24"/>
        </w:rPr>
        <w:t>0</w:t>
      </w:r>
      <w:r w:rsidRPr="00EC057C">
        <w:rPr>
          <w:rFonts w:ascii="Times New Roman" w:hAnsi="Times New Roman" w:cs="Times New Roman"/>
          <w:sz w:val="24"/>
          <w:szCs w:val="24"/>
        </w:rPr>
        <w:t>. Peri, G. (2012) ‘The Effect of Immigration on Productivity: Evidence from US States’, Review of Economics and Statistics, 94(1), pp. 348–358.</w:t>
      </w:r>
    </w:p>
    <w:p w14:paraId="168544AD" w14:textId="77777777" w:rsidR="00BC395D" w:rsidRPr="00EC057C" w:rsidRDefault="00BC395D" w:rsidP="00BC395D">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 xml:space="preserve">Demonstrates that skilled immigration increases productivity and innovation at the state level in the US. Supports the argument that attracting </w:t>
      </w:r>
      <w:r>
        <w:rPr>
          <w:rFonts w:ascii="Times New Roman" w:hAnsi="Times New Roman" w:cs="Times New Roman"/>
          <w:sz w:val="24"/>
          <w:szCs w:val="24"/>
        </w:rPr>
        <w:t>HNWIs</w:t>
      </w:r>
      <w:r w:rsidRPr="00EC057C">
        <w:rPr>
          <w:rFonts w:ascii="Times New Roman" w:hAnsi="Times New Roman" w:cs="Times New Roman"/>
          <w:sz w:val="24"/>
          <w:szCs w:val="24"/>
        </w:rPr>
        <w:t xml:space="preserve"> can generate positive spillovers for the economy. Peer-reviewed and empirical.</w:t>
      </w:r>
    </w:p>
    <w:p w14:paraId="2DECF9BA" w14:textId="3666014D" w:rsidR="009E02BC" w:rsidRPr="00EC057C" w:rsidRDefault="009E02BC" w:rsidP="009E02BC">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1</w:t>
      </w:r>
      <w:r>
        <w:rPr>
          <w:rFonts w:ascii="Times New Roman" w:hAnsi="Times New Roman" w:cs="Times New Roman"/>
          <w:sz w:val="24"/>
          <w:szCs w:val="24"/>
        </w:rPr>
        <w:t>1</w:t>
      </w:r>
      <w:r w:rsidRPr="00EC057C">
        <w:rPr>
          <w:rFonts w:ascii="Times New Roman" w:hAnsi="Times New Roman" w:cs="Times New Roman"/>
          <w:sz w:val="24"/>
          <w:szCs w:val="24"/>
        </w:rPr>
        <w:t>. Portes, A. &amp; Rumbaut, R.G. (2006) Immigrant America. 3rd edn. Berkeley: University of California Press.</w:t>
      </w:r>
    </w:p>
    <w:p w14:paraId="773517DA" w14:textId="77777777" w:rsidR="009E02BC" w:rsidRDefault="009E02BC" w:rsidP="009E02BC">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Empirical study of immigrant adaptation and integration in the US, using longitudinal data to explore social and economic outcomes. Offers frameworks for analyzing the social impacts of investment migration, including integration and economic participation. Classic in migration studies.</w:t>
      </w:r>
    </w:p>
    <w:p w14:paraId="51A03ADA" w14:textId="77777777" w:rsidR="00BC395D" w:rsidRDefault="00BC395D" w:rsidP="00D9561A">
      <w:pPr>
        <w:tabs>
          <w:tab w:val="left" w:pos="3465"/>
        </w:tabs>
        <w:spacing w:line="360" w:lineRule="auto"/>
        <w:rPr>
          <w:rFonts w:ascii="Times New Roman" w:hAnsi="Times New Roman" w:cs="Times New Roman"/>
          <w:sz w:val="24"/>
          <w:szCs w:val="24"/>
        </w:rPr>
      </w:pPr>
    </w:p>
    <w:p w14:paraId="1CB0E245" w14:textId="508A7DC8" w:rsidR="00BC395D" w:rsidRPr="009E02BC" w:rsidRDefault="009E02BC" w:rsidP="009E02BC">
      <w:pPr>
        <w:tabs>
          <w:tab w:val="left" w:pos="1662"/>
        </w:tabs>
        <w:spacing w:line="360" w:lineRule="auto"/>
        <w:rPr>
          <w:rFonts w:ascii="Times New Roman" w:hAnsi="Times New Roman" w:cs="Times New Roman"/>
          <w:b/>
          <w:bCs/>
          <w:sz w:val="24"/>
          <w:szCs w:val="24"/>
        </w:rPr>
      </w:pPr>
      <w:r w:rsidRPr="009E02BC">
        <w:rPr>
          <w:rFonts w:ascii="Times New Roman" w:hAnsi="Times New Roman" w:cs="Times New Roman"/>
          <w:b/>
          <w:bCs/>
          <w:sz w:val="24"/>
          <w:szCs w:val="24"/>
        </w:rPr>
        <w:t>Investment Migration, Citizenship, Residence-by-Investment, and Global Talent Flows</w:t>
      </w:r>
    </w:p>
    <w:p w14:paraId="601ED95B" w14:textId="4DD0821D" w:rsidR="009E02BC" w:rsidRPr="00672AD6" w:rsidRDefault="009E02BC" w:rsidP="009E02BC">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1</w:t>
      </w:r>
      <w:r w:rsidRPr="00672AD6">
        <w:rPr>
          <w:rFonts w:ascii="Times New Roman" w:hAnsi="Times New Roman" w:cs="Times New Roman"/>
          <w:sz w:val="24"/>
          <w:szCs w:val="24"/>
        </w:rPr>
        <w:t>2. DIA (2024) Investment Visa Program. Dubai Investment Development Agency.</w:t>
      </w:r>
    </w:p>
    <w:p w14:paraId="0CA89C6C" w14:textId="531C6CBF" w:rsidR="009E02BC" w:rsidRPr="0027772B" w:rsidRDefault="009E02BC" w:rsidP="009E02BC">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Outlines Dubai’s investment visa programme, including eligibility and sectoral impacts. Key for comparative analysis with Hong Kong and Singapore. Official government publication, up-to-date and reliable.</w:t>
      </w:r>
    </w:p>
    <w:p w14:paraId="3B858D96" w14:textId="47479DFE" w:rsidR="009E02BC" w:rsidRPr="00672AD6" w:rsidRDefault="009E02BC" w:rsidP="009E02BC">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13</w:t>
      </w:r>
      <w:r w:rsidRPr="00672AD6">
        <w:rPr>
          <w:rFonts w:ascii="Times New Roman" w:hAnsi="Times New Roman" w:cs="Times New Roman"/>
          <w:sz w:val="24"/>
          <w:szCs w:val="24"/>
        </w:rPr>
        <w:t>. EDB (2024) Global Investor Programme. Singapore Economic Development Board.</w:t>
      </w:r>
    </w:p>
    <w:p w14:paraId="0D958FBB" w14:textId="77777777" w:rsidR="009E02BC" w:rsidRDefault="009E02BC" w:rsidP="009E02BC">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Official documentation on Singapore’s GIP, detailing investment requirements and economic impacts. Provides authoritative data for benchmarking the New CIES against Singapore’s scheme. Government source, current and factual.</w:t>
      </w:r>
    </w:p>
    <w:p w14:paraId="0535C84A" w14:textId="47CD8A7F" w:rsidR="009E02BC" w:rsidRPr="00E3375F" w:rsidRDefault="009E02BC" w:rsidP="009E02BC">
      <w:pPr>
        <w:spacing w:line="360" w:lineRule="auto"/>
        <w:rPr>
          <w:rFonts w:ascii="Times New Roman" w:eastAsia="PMingLiU" w:hAnsi="Times New Roman" w:cs="Times New Roman"/>
          <w:sz w:val="24"/>
          <w:szCs w:val="24"/>
          <w:lang w:eastAsia="zh-TW"/>
        </w:rPr>
      </w:pPr>
      <w:r w:rsidRPr="00E3375F">
        <w:rPr>
          <w:rFonts w:ascii="Times New Roman" w:hAnsi="Times New Roman" w:cs="Times New Roman"/>
          <w:sz w:val="24"/>
          <w:szCs w:val="24"/>
        </w:rPr>
        <w:t>14. Findlay, A., Hoy, C., McCollum, D., &amp; Packwood, H. (2017) Skilled International Migration and the Global City: Mobility Pathways and Labour Market Outcomes’. Urban Studies, 54(4), pp. 902–920.</w:t>
      </w:r>
      <w:r w:rsidRPr="00E3375F">
        <w:rPr>
          <w:rFonts w:ascii="Times New Roman" w:hAnsi="Times New Roman" w:cs="Times New Roman"/>
          <w:sz w:val="24"/>
          <w:szCs w:val="24"/>
        </w:rPr>
        <w:br/>
      </w:r>
      <w:r w:rsidR="00E3375F" w:rsidRPr="00E3375F">
        <w:rPr>
          <w:rFonts w:ascii="Times New Roman" w:hAnsi="Times New Roman" w:cs="Times New Roman"/>
          <w:sz w:val="24"/>
          <w:szCs w:val="24"/>
        </w:rPr>
        <w:t>Examines skilled migrants in global financial centres, focusing on adaptation, labour market pathways, and challenges. Reliable, recent analysis valuable for studying integration and urban impacts.</w:t>
      </w:r>
    </w:p>
    <w:p w14:paraId="478257E3" w14:textId="10C82556" w:rsidR="00AE2057" w:rsidRPr="00AE2057" w:rsidRDefault="00AE2057" w:rsidP="00AE2057">
      <w:pPr>
        <w:tabs>
          <w:tab w:val="left" w:pos="3465"/>
        </w:tabs>
        <w:spacing w:line="360" w:lineRule="auto"/>
        <w:rPr>
          <w:rFonts w:ascii="Times New Roman" w:hAnsi="Times New Roman" w:cs="Times New Roman"/>
          <w:sz w:val="24"/>
          <w:szCs w:val="24"/>
        </w:rPr>
      </w:pPr>
      <w:r w:rsidRPr="00AE2057">
        <w:rPr>
          <w:rFonts w:ascii="Times New Roman" w:hAnsi="Times New Roman" w:cs="Times New Roman"/>
          <w:sz w:val="24"/>
          <w:szCs w:val="24"/>
        </w:rPr>
        <w:t>15. Global Citizen Solutions (2025) A Detailed Guide to the Global Investor Program Singapore.</w:t>
      </w:r>
    </w:p>
    <w:p w14:paraId="6E726811" w14:textId="77777777" w:rsidR="00AE2057" w:rsidRPr="00AE2057" w:rsidRDefault="00AE2057" w:rsidP="00AE2057">
      <w:pPr>
        <w:tabs>
          <w:tab w:val="left" w:pos="3465"/>
        </w:tabs>
        <w:spacing w:line="360" w:lineRule="auto"/>
        <w:rPr>
          <w:rFonts w:ascii="Times New Roman" w:hAnsi="Times New Roman" w:cs="Times New Roman"/>
          <w:sz w:val="24"/>
          <w:szCs w:val="24"/>
        </w:rPr>
      </w:pPr>
      <w:r w:rsidRPr="00AE2057">
        <w:rPr>
          <w:rFonts w:ascii="Times New Roman" w:hAnsi="Times New Roman" w:cs="Times New Roman"/>
          <w:sz w:val="24"/>
          <w:szCs w:val="24"/>
        </w:rPr>
        <w:t>Comprehensive guide on Singapore’s GIP, eligibility, and economic benefits. Sectoral analysis and recent.</w:t>
      </w:r>
    </w:p>
    <w:p w14:paraId="4BBD7D58" w14:textId="7F3B0EC8" w:rsidR="00AE2057" w:rsidRPr="00EC057C" w:rsidRDefault="00AE2057" w:rsidP="00AE2057">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16</w:t>
      </w:r>
      <w:r w:rsidRPr="00EC057C">
        <w:rPr>
          <w:rFonts w:ascii="Times New Roman" w:hAnsi="Times New Roman" w:cs="Times New Roman"/>
          <w:sz w:val="24"/>
          <w:szCs w:val="24"/>
        </w:rPr>
        <w:t>. Hall, P.A. &amp; Soskice, D. (2001) Varieties of Capitalism. Oxford: Oxford University Press.</w:t>
      </w:r>
    </w:p>
    <w:p w14:paraId="3F7E6BD7" w14:textId="77777777" w:rsidR="00AE2057" w:rsidRPr="00EC057C" w:rsidRDefault="00AE2057" w:rsidP="00AE2057">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Distinguishes between liberal and coordinated market economies, offering a comparative institutional framework. This book is crucial for evaluating how Hong Kong, Singapore, and Dubai structure investment migration policies. Widely applied in comparative political economy and policy research.</w:t>
      </w:r>
    </w:p>
    <w:p w14:paraId="7C2D4127" w14:textId="65A5850F" w:rsidR="009E02BC" w:rsidRPr="00AE2057" w:rsidRDefault="00AE2057" w:rsidP="00AE2057">
      <w:pPr>
        <w:spacing w:line="360" w:lineRule="auto"/>
        <w:rPr>
          <w:rFonts w:ascii="Times New Roman" w:eastAsia="PMingLiU" w:hAnsi="Times New Roman" w:cs="Times New Roman"/>
          <w:color w:val="EE0000"/>
          <w:sz w:val="24"/>
          <w:szCs w:val="24"/>
          <w:lang w:eastAsia="zh-TW"/>
        </w:rPr>
      </w:pPr>
      <w:r w:rsidRPr="00E3375F">
        <w:rPr>
          <w:rFonts w:ascii="Times New Roman" w:hAnsi="Times New Roman" w:cs="Times New Roman"/>
          <w:sz w:val="24"/>
          <w:szCs w:val="24"/>
        </w:rPr>
        <w:t>17. Harpaz, Y. (2019) Citizenship 2.0: Dual Nationality as a Global Asset. Princeton: Princeton University Press.</w:t>
      </w:r>
      <w:r w:rsidRPr="00AE2057">
        <w:rPr>
          <w:rFonts w:ascii="Times New Roman" w:hAnsi="Times New Roman" w:cs="Times New Roman"/>
          <w:color w:val="EE0000"/>
          <w:sz w:val="24"/>
          <w:szCs w:val="24"/>
        </w:rPr>
        <w:br/>
      </w:r>
      <w:r w:rsidR="00E3375F" w:rsidRPr="00E3375F">
        <w:rPr>
          <w:rFonts w:ascii="Times New Roman" w:hAnsi="Times New Roman" w:cs="Times New Roman"/>
          <w:sz w:val="24"/>
          <w:szCs w:val="24"/>
        </w:rPr>
        <w:t>Analyses dual citizenship as a strategic asset, exploring motivations and global trends. Trustworthy, empirical, and relevant for understanding citizenship policies and investment migration motivations.</w:t>
      </w:r>
    </w:p>
    <w:p w14:paraId="27B0FCC8" w14:textId="1992A283" w:rsidR="00AE2057" w:rsidRPr="00672AD6" w:rsidRDefault="00AE2057" w:rsidP="00AE2057">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18</w:t>
      </w:r>
      <w:r w:rsidRPr="00672AD6">
        <w:rPr>
          <w:rFonts w:ascii="Times New Roman" w:hAnsi="Times New Roman" w:cs="Times New Roman"/>
          <w:sz w:val="24"/>
          <w:szCs w:val="24"/>
        </w:rPr>
        <w:t>. Henley &amp; Partners (2024) ‘The Pro-Growth Benefits of Investment Migration Programs’.</w:t>
      </w:r>
    </w:p>
    <w:p w14:paraId="29B16448" w14:textId="29713776" w:rsidR="00AE2057" w:rsidRPr="00672AD6" w:rsidRDefault="00AE2057" w:rsidP="00AE2057">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Reviews evidence of job creation, investment, and economic growth from investment migration programs. Empirical and pro-growth policy arguments.</w:t>
      </w:r>
    </w:p>
    <w:p w14:paraId="1560DC6D" w14:textId="5E36463E" w:rsidR="00AE2057" w:rsidRPr="00672AD6" w:rsidRDefault="00AE2057" w:rsidP="00AE2057">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19</w:t>
      </w:r>
      <w:r w:rsidRPr="00672AD6">
        <w:rPr>
          <w:rFonts w:ascii="Times New Roman" w:hAnsi="Times New Roman" w:cs="Times New Roman"/>
          <w:sz w:val="24"/>
          <w:szCs w:val="24"/>
        </w:rPr>
        <w:t>. Henley &amp; Partners (2025) ‘Investment Migration Programs 2025’.</w:t>
      </w:r>
    </w:p>
    <w:p w14:paraId="3FF4F2E7" w14:textId="77777777" w:rsidR="00AE2057" w:rsidRDefault="00AE2057" w:rsidP="00AE2057">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Systematic analysis and benchmarking of global residence/citizenship programs. Comparative and expert commentary.</w:t>
      </w:r>
    </w:p>
    <w:p w14:paraId="61ED636E" w14:textId="7D8A6030" w:rsidR="00AE2057" w:rsidRPr="00EC057C" w:rsidRDefault="00AE2057" w:rsidP="00AE2057">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20</w:t>
      </w:r>
      <w:r w:rsidRPr="00EC057C">
        <w:rPr>
          <w:rFonts w:ascii="Times New Roman" w:hAnsi="Times New Roman" w:cs="Times New Roman"/>
          <w:sz w:val="24"/>
          <w:szCs w:val="24"/>
        </w:rPr>
        <w:t>. Investment Migration Council (2022) ‘Research Papers: Investment Migration Policy Briefs’.</w:t>
      </w:r>
    </w:p>
    <w:p w14:paraId="6B0C5BEF" w14:textId="77777777" w:rsidR="00AE2057" w:rsidRDefault="00AE2057" w:rsidP="00AE2057">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Presents policy briefs on Immigrant Investor Programs, covering objectives, activities, and performance. Offers typologies and comparative analysis, useful for understanding program design and outcomes. Peer-reviewed and widely referenced in policy circles.</w:t>
      </w:r>
    </w:p>
    <w:p w14:paraId="63842FB0" w14:textId="48277647" w:rsidR="00AE2057" w:rsidRPr="00EC057C" w:rsidRDefault="00AE2057" w:rsidP="00AE2057">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21</w:t>
      </w:r>
      <w:r w:rsidRPr="00EC057C">
        <w:rPr>
          <w:rFonts w:ascii="Times New Roman" w:hAnsi="Times New Roman" w:cs="Times New Roman"/>
          <w:sz w:val="24"/>
          <w:szCs w:val="24"/>
        </w:rPr>
        <w:t>. Kerr, W.R. &amp; Kerr, S.P. (2016) ‘Immigrant Entrepreneurship’, NBER Working Paper No. 22385.</w:t>
      </w:r>
    </w:p>
    <w:p w14:paraId="61265CA9" w14:textId="77777777" w:rsidR="00AE2057" w:rsidRPr="00EC057C" w:rsidRDefault="00AE2057" w:rsidP="00AE2057">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Analyzes immigrant entrepreneurship and innovation, showing immigrants often outperform natives in startup rates. Provides evidence that investment migration can encourage economic dynamism beyond capital inflows. Directly relevant for assessing entrepreneurial outcomes of the New CIES. Based on extensive datasets and quantitative analysis.</w:t>
      </w:r>
    </w:p>
    <w:p w14:paraId="2A872136" w14:textId="70FF3363" w:rsidR="00AE2057" w:rsidRPr="00672AD6" w:rsidRDefault="00AE2057" w:rsidP="00AE2057">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2</w:t>
      </w:r>
      <w:r>
        <w:rPr>
          <w:rFonts w:ascii="Times New Roman" w:hAnsi="Times New Roman" w:cs="Times New Roman"/>
          <w:sz w:val="24"/>
          <w:szCs w:val="24"/>
        </w:rPr>
        <w:t>2</w:t>
      </w:r>
      <w:r w:rsidRPr="00672AD6">
        <w:rPr>
          <w:rFonts w:ascii="Times New Roman" w:hAnsi="Times New Roman" w:cs="Times New Roman"/>
          <w:sz w:val="24"/>
          <w:szCs w:val="24"/>
        </w:rPr>
        <w:t>. Papademetriou, D.G. &amp; Sumption, M. (2013) Attracting and Selecting from the Global Talent Pool. Washington, DC: MPI.</w:t>
      </w:r>
    </w:p>
    <w:p w14:paraId="1D11E937" w14:textId="77777777" w:rsidR="00AE2057" w:rsidRPr="00672AD6" w:rsidRDefault="00AE2057" w:rsidP="00AE2057">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Analyzes global competition for talent and effectiveness of policy instruments. Informs the design and expected outcomes of the New CIES. Authoritative, comparative, and policy-focused.</w:t>
      </w:r>
    </w:p>
    <w:p w14:paraId="67FBAAA3" w14:textId="3EDD2318" w:rsidR="00AE2057" w:rsidRPr="00672AD6" w:rsidRDefault="00AE2057" w:rsidP="00AE2057">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23</w:t>
      </w:r>
      <w:r w:rsidRPr="00672AD6">
        <w:rPr>
          <w:rFonts w:ascii="Times New Roman" w:hAnsi="Times New Roman" w:cs="Times New Roman"/>
          <w:sz w:val="24"/>
          <w:szCs w:val="24"/>
        </w:rPr>
        <w:t>. Savva Cyprus (2025) ‘Critical Analysis of Investment Migration Programs: Economic Impact, Misconceptions and Policy Trends’.</w:t>
      </w:r>
    </w:p>
    <w:p w14:paraId="2F1018DE" w14:textId="77777777" w:rsidR="00AE2057" w:rsidRDefault="00AE2057" w:rsidP="00AE2057">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Critically assesses economic and regulatory impacts of investment migration, with a focus on small economies and compliance. Empirical and policy-focused.</w:t>
      </w:r>
    </w:p>
    <w:p w14:paraId="75BBE921" w14:textId="77777777" w:rsidR="00E3375F" w:rsidRDefault="00AE2057" w:rsidP="00AE2057">
      <w:pPr>
        <w:tabs>
          <w:tab w:val="left" w:pos="3465"/>
        </w:tabs>
        <w:spacing w:line="360" w:lineRule="auto"/>
        <w:rPr>
          <w:rFonts w:ascii="Times New Roman" w:hAnsi="Times New Roman" w:cs="Times New Roman"/>
          <w:sz w:val="24"/>
          <w:szCs w:val="24"/>
        </w:rPr>
      </w:pPr>
      <w:r w:rsidRPr="00E3375F">
        <w:rPr>
          <w:rFonts w:ascii="Times New Roman" w:hAnsi="Times New Roman" w:cs="Times New Roman"/>
          <w:sz w:val="24"/>
          <w:szCs w:val="24"/>
        </w:rPr>
        <w:t>24. Spencer, S. &amp; Ong, A. (2020) ‘Global Talent and Urban Policy: Migrant Flows and the Development of Financial Centres’, Urban Studies, 57(12), pp. 2542–2560.</w:t>
      </w:r>
      <w:r w:rsidR="00E3375F" w:rsidRPr="00E3375F">
        <w:rPr>
          <w:rFonts w:ascii="Times New Roman" w:hAnsi="Times New Roman" w:cs="Times New Roman"/>
          <w:sz w:val="24"/>
          <w:szCs w:val="24"/>
        </w:rPr>
        <w:t xml:space="preserve"> </w:t>
      </w:r>
    </w:p>
    <w:p w14:paraId="6C8118C4" w14:textId="0F7424FE" w:rsidR="00AE2057" w:rsidRPr="00E3375F" w:rsidRDefault="00E3375F" w:rsidP="00AE2057">
      <w:pPr>
        <w:tabs>
          <w:tab w:val="left" w:pos="3465"/>
        </w:tabs>
        <w:spacing w:line="360" w:lineRule="auto"/>
        <w:rPr>
          <w:rFonts w:ascii="Times New Roman" w:hAnsi="Times New Roman" w:cs="Times New Roman"/>
          <w:sz w:val="24"/>
          <w:szCs w:val="24"/>
        </w:rPr>
      </w:pPr>
      <w:r w:rsidRPr="00E3375F">
        <w:rPr>
          <w:rFonts w:ascii="Times New Roman" w:hAnsi="Times New Roman" w:cs="Times New Roman"/>
          <w:sz w:val="24"/>
          <w:szCs w:val="24"/>
        </w:rPr>
        <w:t>Assesses how urban policies shape global talent flows and financial centre competitiveness. Recent, credible study for urban strategy, migration policy, and city case comparisons.</w:t>
      </w:r>
    </w:p>
    <w:p w14:paraId="09FF14F7" w14:textId="3CFA4497" w:rsidR="00AE2057" w:rsidRPr="00EC057C" w:rsidRDefault="00AE2057" w:rsidP="00AE2057">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25</w:t>
      </w:r>
      <w:r w:rsidRPr="00EC057C">
        <w:rPr>
          <w:rFonts w:ascii="Times New Roman" w:hAnsi="Times New Roman" w:cs="Times New Roman"/>
          <w:sz w:val="24"/>
          <w:szCs w:val="24"/>
        </w:rPr>
        <w:t>. Surak, K. (2022) ‘Investment Migration Globally: The Dynamics of Supply and Demand’. COMPAS Working Paper No. 159, University of Oxford.</w:t>
      </w:r>
    </w:p>
    <w:p w14:paraId="19D4028D" w14:textId="77777777" w:rsidR="00AE2057" w:rsidRPr="00EC057C" w:rsidRDefault="00AE2057" w:rsidP="00AE2057">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Analyzes global market dynamics in investment migration, focusing on supply, demand, and demographic uptake. Provides empirical developments and methodological insights for evaluating programs like the New CIES. Recent and data-driven.</w:t>
      </w:r>
    </w:p>
    <w:p w14:paraId="4A3A73C6" w14:textId="17FA8E2F" w:rsidR="00AE2057" w:rsidRPr="00EC057C" w:rsidRDefault="00AE2057" w:rsidP="00AE2057">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26</w:t>
      </w:r>
      <w:r w:rsidRPr="00EC057C">
        <w:rPr>
          <w:rFonts w:ascii="Times New Roman" w:hAnsi="Times New Roman" w:cs="Times New Roman"/>
          <w:sz w:val="24"/>
          <w:szCs w:val="24"/>
        </w:rPr>
        <w:t>. Surak, K. (2023) ‘Investment Migration’, in Citizenship and Residence Sales: Rethinking the Boundaries of Belonging. Cambridge University Press.</w:t>
      </w:r>
    </w:p>
    <w:p w14:paraId="3F783F95" w14:textId="77777777" w:rsidR="00AE2057" w:rsidRPr="00EC057C" w:rsidRDefault="00AE2057" w:rsidP="00AE2057">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Provides an empirical overview of global investment migration, analyzing supply, demand, and market infrastructure. Essential for understanding the broader context and recent trends relevant to the New CIES. Methodologically rigorous and current.</w:t>
      </w:r>
    </w:p>
    <w:p w14:paraId="7BC38628" w14:textId="69B20B8A" w:rsidR="00AE2057" w:rsidRPr="00EC057C" w:rsidRDefault="00AE2057" w:rsidP="00AE2057">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27</w:t>
      </w:r>
      <w:r w:rsidRPr="00EC057C">
        <w:rPr>
          <w:rFonts w:ascii="Times New Roman" w:hAnsi="Times New Roman" w:cs="Times New Roman"/>
          <w:sz w:val="24"/>
          <w:szCs w:val="24"/>
        </w:rPr>
        <w:t>. Van der Baaren, L. &amp; Li, H. (2018) ‘Wealth Influx, Wealth Exodus: Investment Migration from China to Portugal’. Investment Migration Council Working Paper.</w:t>
      </w:r>
    </w:p>
    <w:p w14:paraId="16FEB009" w14:textId="77777777" w:rsidR="00AE2057" w:rsidRPr="00EC057C" w:rsidRDefault="00AE2057" w:rsidP="00AE2057">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Examines Chinese investment migration to Portugal, highlighting economic contributions and household strategies. Offers a comparative case study for benchmarking Hong Kong’s New CIES. Peer-reviewed and policy-relevant.</w:t>
      </w:r>
    </w:p>
    <w:p w14:paraId="7AFA1DF0" w14:textId="7A4975A3" w:rsidR="0013562D" w:rsidRPr="00672AD6" w:rsidRDefault="0013562D" w:rsidP="0013562D">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2</w:t>
      </w:r>
      <w:r>
        <w:rPr>
          <w:rFonts w:ascii="Times New Roman" w:hAnsi="Times New Roman" w:cs="Times New Roman"/>
          <w:sz w:val="24"/>
          <w:szCs w:val="24"/>
        </w:rPr>
        <w:t>8</w:t>
      </w:r>
      <w:r w:rsidRPr="00672AD6">
        <w:rPr>
          <w:rFonts w:ascii="Times New Roman" w:hAnsi="Times New Roman" w:cs="Times New Roman"/>
          <w:sz w:val="24"/>
          <w:szCs w:val="24"/>
        </w:rPr>
        <w:t>. Witt, M.A. &amp; Jackson, G. (2016) ‘Varieties of Capitalism and Institutional Comparative Advantage’, Organization Studies, 37(1), pp. 1–22.</w:t>
      </w:r>
    </w:p>
    <w:p w14:paraId="685B86FB" w14:textId="77777777" w:rsidR="0013562D" w:rsidRDefault="0013562D" w:rsidP="0013562D">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Updates the varieties of capitalism literature, focusing on Asia. Informs comparative institutional analysis relevant to investment migration. Peer-reviewed and recent, with empirical emphasis.</w:t>
      </w:r>
    </w:p>
    <w:p w14:paraId="76B2A3A0" w14:textId="77777777" w:rsidR="00320908" w:rsidRPr="00672AD6" w:rsidRDefault="00320908" w:rsidP="0013562D">
      <w:pPr>
        <w:tabs>
          <w:tab w:val="left" w:pos="3465"/>
        </w:tabs>
        <w:spacing w:line="360" w:lineRule="auto"/>
        <w:rPr>
          <w:rFonts w:ascii="Times New Roman" w:hAnsi="Times New Roman" w:cs="Times New Roman"/>
          <w:sz w:val="24"/>
          <w:szCs w:val="24"/>
        </w:rPr>
      </w:pPr>
    </w:p>
    <w:p w14:paraId="6B4F6D99" w14:textId="706500D4" w:rsidR="00AE2057" w:rsidRPr="00320908" w:rsidRDefault="00320908" w:rsidP="00AE2057">
      <w:pPr>
        <w:tabs>
          <w:tab w:val="left" w:pos="3465"/>
        </w:tabs>
        <w:spacing w:line="360" w:lineRule="auto"/>
        <w:rPr>
          <w:rFonts w:ascii="Times New Roman" w:hAnsi="Times New Roman" w:cs="Times New Roman"/>
          <w:b/>
          <w:bCs/>
          <w:sz w:val="24"/>
          <w:szCs w:val="24"/>
        </w:rPr>
      </w:pPr>
      <w:r w:rsidRPr="00320908">
        <w:rPr>
          <w:rFonts w:ascii="Times New Roman" w:hAnsi="Times New Roman" w:cs="Times New Roman"/>
          <w:b/>
          <w:bCs/>
          <w:sz w:val="24"/>
          <w:szCs w:val="24"/>
        </w:rPr>
        <w:t>Policy Transfer, Regulation, and Governance of Investment Migration</w:t>
      </w:r>
    </w:p>
    <w:p w14:paraId="716090CF" w14:textId="50673232" w:rsidR="00D9561A" w:rsidRPr="00EC057C" w:rsidRDefault="00320908" w:rsidP="00D9561A">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 xml:space="preserve">29. </w:t>
      </w:r>
      <w:r w:rsidR="00D9561A" w:rsidRPr="00EC057C">
        <w:rPr>
          <w:rFonts w:ascii="Times New Roman" w:hAnsi="Times New Roman" w:cs="Times New Roman"/>
          <w:sz w:val="24"/>
          <w:szCs w:val="24"/>
        </w:rPr>
        <w:t>Dolowitz, D.P. &amp; Marsh, D. (2000) ‘Learning from Abroad: The Role of Policy Transfer’, Governance, 13(1), pp. 5–24.</w:t>
      </w:r>
    </w:p>
    <w:p w14:paraId="20A05122" w14:textId="77777777" w:rsidR="00D9561A" w:rsidRDefault="00D9561A" w:rsidP="00D9561A">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Examines how governments adapt foreign policies, introducing the policy transfer framework. Highly relevant for the New CIES, which draws on international best practices. Peer-reviewed and influential in comparative public policy literature, supporting critical evaluation of policy adaptation and transfer.</w:t>
      </w:r>
    </w:p>
    <w:p w14:paraId="50812DA9" w14:textId="734C8975" w:rsidR="00320908" w:rsidRPr="004E3A7D" w:rsidRDefault="00320908" w:rsidP="00320908">
      <w:pPr>
        <w:spacing w:line="360" w:lineRule="auto"/>
        <w:rPr>
          <w:rFonts w:ascii="Times New Roman" w:hAnsi="Times New Roman" w:cs="Times New Roman"/>
          <w:sz w:val="24"/>
          <w:szCs w:val="24"/>
        </w:rPr>
      </w:pPr>
      <w:r w:rsidRPr="004E3A7D">
        <w:rPr>
          <w:rFonts w:ascii="Times New Roman" w:hAnsi="Times New Roman" w:cs="Times New Roman"/>
          <w:sz w:val="24"/>
          <w:szCs w:val="24"/>
        </w:rPr>
        <w:t>30. Financial Action Task Force (FATF) (2024) Guidance for a Risk-Based Approach to Residence and Citizenship by Investment Programmes. Paris: FATF.</w:t>
      </w:r>
    </w:p>
    <w:p w14:paraId="348928B5" w14:textId="0EB01D5B" w:rsidR="004E3A7D" w:rsidRPr="004E3A7D" w:rsidRDefault="004E3A7D" w:rsidP="00320908">
      <w:pPr>
        <w:spacing w:line="360" w:lineRule="auto"/>
        <w:rPr>
          <w:rFonts w:ascii="Times New Roman" w:eastAsia="PMingLiU" w:hAnsi="Times New Roman" w:cs="Times New Roman"/>
          <w:sz w:val="24"/>
          <w:szCs w:val="24"/>
          <w:lang w:eastAsia="zh-TW"/>
        </w:rPr>
      </w:pPr>
      <w:r w:rsidRPr="004E3A7D">
        <w:rPr>
          <w:rFonts w:ascii="Times New Roman" w:hAnsi="Times New Roman" w:cs="Times New Roman"/>
          <w:sz w:val="24"/>
          <w:szCs w:val="24"/>
        </w:rPr>
        <w:t>Sets global standards for CBI/RBI programme risk management. Authoritative, current, and essential for assessing regulatory, due diligence, and anti-money laundering frameworks.</w:t>
      </w:r>
    </w:p>
    <w:p w14:paraId="6F17CC23" w14:textId="0D6ABF33" w:rsidR="00320908" w:rsidRPr="00672AD6" w:rsidRDefault="00320908" w:rsidP="00320908">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31</w:t>
      </w:r>
      <w:r w:rsidRPr="00672AD6">
        <w:rPr>
          <w:rFonts w:ascii="Times New Roman" w:hAnsi="Times New Roman" w:cs="Times New Roman"/>
          <w:sz w:val="24"/>
          <w:szCs w:val="24"/>
        </w:rPr>
        <w:t>. OECD (2018) Policy Note on Sustainability. Paris: OECD Publishing.</w:t>
      </w:r>
    </w:p>
    <w:p w14:paraId="7EFF572B" w14:textId="77777777" w:rsidR="00320908" w:rsidRPr="00672AD6" w:rsidRDefault="00320908" w:rsidP="00320908">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Discusses sustainability in investment migration, including ESG and DEI considerations. Highlights global trends and gaps in the New CIES’s ESG integration. Produced by an international organization, peer-reviewed and policy-relevant.</w:t>
      </w:r>
    </w:p>
    <w:p w14:paraId="1CA0E460" w14:textId="58EEE129" w:rsidR="00320908" w:rsidRPr="004E3A7D" w:rsidRDefault="00320908" w:rsidP="00320908">
      <w:pPr>
        <w:spacing w:line="360" w:lineRule="auto"/>
        <w:rPr>
          <w:rFonts w:ascii="Times New Roman" w:hAnsi="Times New Roman" w:cs="Times New Roman"/>
          <w:sz w:val="24"/>
          <w:szCs w:val="24"/>
        </w:rPr>
      </w:pPr>
      <w:r w:rsidRPr="004E3A7D">
        <w:rPr>
          <w:rFonts w:ascii="Times New Roman" w:hAnsi="Times New Roman" w:cs="Times New Roman"/>
          <w:sz w:val="24"/>
          <w:szCs w:val="24"/>
        </w:rPr>
        <w:t>32. OECD (2022) Residence and Citizenship by Investment Schemes: Policy Considerations and Best Practices. Paris: OECD Publishing.</w:t>
      </w:r>
    </w:p>
    <w:p w14:paraId="1C9CCB6D" w14:textId="223DF5EA" w:rsidR="004E3A7D" w:rsidRPr="004E3A7D" w:rsidRDefault="004E3A7D" w:rsidP="00320908">
      <w:pPr>
        <w:spacing w:line="360" w:lineRule="auto"/>
        <w:rPr>
          <w:rFonts w:ascii="Times New Roman" w:eastAsia="PMingLiU" w:hAnsi="Times New Roman" w:cs="Times New Roman"/>
          <w:sz w:val="24"/>
          <w:szCs w:val="24"/>
          <w:lang w:eastAsia="zh-TW"/>
        </w:rPr>
      </w:pPr>
      <w:r w:rsidRPr="004E3A7D">
        <w:rPr>
          <w:rFonts w:ascii="Times New Roman" w:hAnsi="Times New Roman" w:cs="Times New Roman"/>
          <w:sz w:val="24"/>
          <w:szCs w:val="24"/>
        </w:rPr>
        <w:t>Evaluates global CBI/RBI programmes, offering best practices for transparency, integrity, and sustainability. Authoritative, recent and vital for policy benchmarking and critical programme assessment.</w:t>
      </w:r>
    </w:p>
    <w:p w14:paraId="521B6535" w14:textId="764168A3" w:rsidR="00320908" w:rsidRPr="004E3A7D" w:rsidRDefault="00320908" w:rsidP="00320908">
      <w:pPr>
        <w:spacing w:line="360" w:lineRule="auto"/>
        <w:rPr>
          <w:rFonts w:ascii="Times New Roman" w:hAnsi="Times New Roman" w:cs="Times New Roman"/>
          <w:sz w:val="24"/>
          <w:szCs w:val="24"/>
        </w:rPr>
      </w:pPr>
      <w:r w:rsidRPr="004E3A7D">
        <w:rPr>
          <w:rFonts w:ascii="Times New Roman" w:hAnsi="Times New Roman" w:cs="Times New Roman"/>
          <w:sz w:val="24"/>
          <w:szCs w:val="24"/>
        </w:rPr>
        <w:t>33. Transparency International (2021) European Getaway: Inside the Murky World of Golden Visas. Berlin: Transparency International.</w:t>
      </w:r>
    </w:p>
    <w:p w14:paraId="0A19F5C4" w14:textId="6B0FD547" w:rsidR="004E3A7D" w:rsidRPr="004E3A7D" w:rsidRDefault="004E3A7D" w:rsidP="00320908">
      <w:pPr>
        <w:spacing w:line="360" w:lineRule="auto"/>
        <w:rPr>
          <w:rFonts w:ascii="Times New Roman" w:eastAsia="PMingLiU" w:hAnsi="Times New Roman" w:cs="Times New Roman"/>
          <w:sz w:val="24"/>
          <w:szCs w:val="24"/>
          <w:lang w:eastAsia="zh-TW"/>
        </w:rPr>
      </w:pPr>
      <w:r w:rsidRPr="004E3A7D">
        <w:rPr>
          <w:rFonts w:ascii="Times New Roman" w:hAnsi="Times New Roman" w:cs="Times New Roman"/>
          <w:sz w:val="24"/>
          <w:szCs w:val="24"/>
        </w:rPr>
        <w:t>Investigates European “golden visas,” highlighting corruption risks and oversight gaps. Highly relevant, critical source for understanding regulatory weaknesses and reform needs in investment migration.</w:t>
      </w:r>
    </w:p>
    <w:p w14:paraId="3A9BCBC6" w14:textId="77777777" w:rsidR="00320908" w:rsidRDefault="00320908" w:rsidP="00D9561A">
      <w:pPr>
        <w:tabs>
          <w:tab w:val="left" w:pos="3465"/>
        </w:tabs>
        <w:spacing w:line="360" w:lineRule="auto"/>
        <w:rPr>
          <w:rFonts w:ascii="Times New Roman" w:hAnsi="Times New Roman" w:cs="Times New Roman"/>
          <w:sz w:val="24"/>
          <w:szCs w:val="24"/>
        </w:rPr>
      </w:pPr>
    </w:p>
    <w:p w14:paraId="4552F04F" w14:textId="1DE9A753" w:rsidR="00320908" w:rsidRPr="00681812" w:rsidRDefault="00681812" w:rsidP="00D9561A">
      <w:pPr>
        <w:tabs>
          <w:tab w:val="left" w:pos="3465"/>
        </w:tabs>
        <w:spacing w:line="360" w:lineRule="auto"/>
        <w:rPr>
          <w:rFonts w:ascii="Times New Roman" w:hAnsi="Times New Roman" w:cs="Times New Roman"/>
          <w:b/>
          <w:bCs/>
          <w:sz w:val="24"/>
          <w:szCs w:val="24"/>
        </w:rPr>
      </w:pPr>
      <w:r w:rsidRPr="00681812">
        <w:rPr>
          <w:rFonts w:ascii="Times New Roman" w:hAnsi="Times New Roman" w:cs="Times New Roman"/>
          <w:b/>
          <w:bCs/>
          <w:sz w:val="24"/>
          <w:szCs w:val="24"/>
        </w:rPr>
        <w:t>Research Methods and Foundational Texts</w:t>
      </w:r>
    </w:p>
    <w:p w14:paraId="7366104A" w14:textId="05402777" w:rsidR="00681812" w:rsidRPr="00EC057C" w:rsidRDefault="00681812" w:rsidP="00681812">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34</w:t>
      </w:r>
      <w:r w:rsidRPr="00EC057C">
        <w:rPr>
          <w:rFonts w:ascii="Times New Roman" w:hAnsi="Times New Roman" w:cs="Times New Roman"/>
          <w:sz w:val="24"/>
          <w:szCs w:val="24"/>
        </w:rPr>
        <w:t>. Chellaraj, G., Maskus, K.E. &amp; Mattoo, A. (2008) ‘The Contribution of Skilled Immigrants to U.S. Innovation’, World Bank Policy Research Working Paper No. 4588.</w:t>
      </w:r>
    </w:p>
    <w:p w14:paraId="2D8BCA17" w14:textId="77777777" w:rsidR="00681812" w:rsidRPr="00EC057C" w:rsidRDefault="00681812" w:rsidP="00681812">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Shows skilled immigrants significantly boost patenting and innovation in the US. Highlights the innovation potential of investment migration schemes like the New CIES. World Bank working paper, widely cited for its empirical findings.</w:t>
      </w:r>
    </w:p>
    <w:p w14:paraId="79F1E793" w14:textId="485BF237" w:rsidR="00681812" w:rsidRPr="00EC057C" w:rsidRDefault="00681812" w:rsidP="00681812">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35</w:t>
      </w:r>
      <w:r w:rsidRPr="00EC057C">
        <w:rPr>
          <w:rFonts w:ascii="Times New Roman" w:hAnsi="Times New Roman" w:cs="Times New Roman"/>
          <w:sz w:val="24"/>
          <w:szCs w:val="24"/>
        </w:rPr>
        <w:t>. Creswell, J.W. &amp; Plano Clark, V.L. (2017) Designing and Conducting Mixed Methods Research. 3rd edn. Los Angeles: SAGE.</w:t>
      </w:r>
    </w:p>
    <w:p w14:paraId="504DFD9E" w14:textId="77777777" w:rsidR="00681812" w:rsidRPr="00EC057C" w:rsidRDefault="00681812" w:rsidP="00681812">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Authoritative guide to mixed-methods research, advocating for integrating qualitative and quantitative approaches in policy evaluation. Essential for designing robust research on the New CIES, ensuring methodological rigor and triangulation of findings. Widely used and respected in academic research.</w:t>
      </w:r>
    </w:p>
    <w:p w14:paraId="24CB85E7" w14:textId="17FDD868" w:rsidR="00681812" w:rsidRPr="00672AD6" w:rsidRDefault="00681812" w:rsidP="00681812">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36</w:t>
      </w:r>
      <w:r w:rsidRPr="00672AD6">
        <w:rPr>
          <w:rFonts w:ascii="Times New Roman" w:hAnsi="Times New Roman" w:cs="Times New Roman"/>
          <w:sz w:val="24"/>
          <w:szCs w:val="24"/>
        </w:rPr>
        <w:t>. Denzin, N.K. &amp; Lincoln, Y.S. (eds.) (2018) The SAGE Handbook of Qualitative Research. 5th edn. Los Angeles: SAGE.</w:t>
      </w:r>
    </w:p>
    <w:p w14:paraId="2EDCB521" w14:textId="77777777" w:rsidR="00681812" w:rsidRPr="00672AD6" w:rsidRDefault="00681812" w:rsidP="00681812">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Comprehensive overview of qualitative research methods, informing the design and analysis of stakeholder interviews. Authoritative, peer-reviewed, and methodologically comprehensive.</w:t>
      </w:r>
    </w:p>
    <w:p w14:paraId="633BF35B" w14:textId="3EF26E93" w:rsidR="00681812" w:rsidRPr="00672AD6" w:rsidRDefault="00681812" w:rsidP="00681812">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37</w:t>
      </w:r>
      <w:r w:rsidRPr="00672AD6">
        <w:rPr>
          <w:rFonts w:ascii="Times New Roman" w:hAnsi="Times New Roman" w:cs="Times New Roman"/>
          <w:sz w:val="24"/>
          <w:szCs w:val="24"/>
        </w:rPr>
        <w:t>. Eisenhardt, K.M. (1989) ‘Building Theories from Case Study Research’, Academy of Management Review, 14(4), pp. 532–550.</w:t>
      </w:r>
    </w:p>
    <w:p w14:paraId="0DF3E5FA" w14:textId="77777777" w:rsidR="00681812" w:rsidRPr="00672AD6" w:rsidRDefault="00681812" w:rsidP="00681812">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Sets out rigorous methods for case study research, guiding comparative analysis of the New CIES, Singapore, and Dubai. Methodological classic, peer-reviewed, and widely cited.</w:t>
      </w:r>
    </w:p>
    <w:p w14:paraId="4EE6A883" w14:textId="4A8F281C" w:rsidR="00681812" w:rsidRPr="004E3A7D" w:rsidRDefault="00681812" w:rsidP="00681812">
      <w:pPr>
        <w:spacing w:line="360" w:lineRule="auto"/>
        <w:rPr>
          <w:rFonts w:ascii="Times New Roman" w:hAnsi="Times New Roman" w:cs="Times New Roman"/>
          <w:sz w:val="24"/>
          <w:szCs w:val="24"/>
        </w:rPr>
      </w:pPr>
      <w:r w:rsidRPr="004E3A7D">
        <w:rPr>
          <w:rFonts w:ascii="Times New Roman" w:hAnsi="Times New Roman" w:cs="Times New Roman"/>
          <w:sz w:val="24"/>
          <w:szCs w:val="24"/>
        </w:rPr>
        <w:t>38. Lincoln, Y.S. &amp; Guba, E.G. (1986) Naturalistic Inquiry. Beverly Hills: Sage Publications.</w:t>
      </w:r>
    </w:p>
    <w:p w14:paraId="40ABC887" w14:textId="5C6F5671" w:rsidR="004E3A7D" w:rsidRPr="004E3A7D" w:rsidRDefault="004E3A7D" w:rsidP="00681812">
      <w:pPr>
        <w:spacing w:line="360" w:lineRule="auto"/>
        <w:rPr>
          <w:rFonts w:ascii="Times New Roman" w:eastAsia="PMingLiU" w:hAnsi="Times New Roman" w:cs="Times New Roman"/>
          <w:sz w:val="24"/>
          <w:szCs w:val="24"/>
          <w:lang w:eastAsia="zh-TW"/>
        </w:rPr>
      </w:pPr>
      <w:r w:rsidRPr="004E3A7D">
        <w:rPr>
          <w:rFonts w:ascii="Times New Roman" w:hAnsi="Times New Roman" w:cs="Times New Roman"/>
          <w:sz w:val="24"/>
          <w:szCs w:val="24"/>
        </w:rPr>
        <w:t>Seminal text on qualitative research, advocating context-rich, flexible inquiry and trustworthiness principles, essential for ensuring rigour in social science research.</w:t>
      </w:r>
    </w:p>
    <w:p w14:paraId="5366E022" w14:textId="31CC9F6A" w:rsidR="00681812" w:rsidRPr="00672AD6" w:rsidRDefault="00681812" w:rsidP="00681812">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39</w:t>
      </w:r>
      <w:r w:rsidRPr="00672AD6">
        <w:rPr>
          <w:rFonts w:ascii="Times New Roman" w:hAnsi="Times New Roman" w:cs="Times New Roman"/>
          <w:sz w:val="24"/>
          <w:szCs w:val="24"/>
        </w:rPr>
        <w:t>. Yin, R.K. (2018) Case Study Research and Applications. 6th edn. Los Angeles: SAGE.</w:t>
      </w:r>
    </w:p>
    <w:p w14:paraId="2CB159AF" w14:textId="77777777" w:rsidR="00681812" w:rsidRPr="00672AD6" w:rsidRDefault="00681812" w:rsidP="00681812">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Authoritative guide to case study research, supporting qualitative components of policy evaluation. Widely used and respected for methodological rigor, essential for research on the New CIES.</w:t>
      </w:r>
    </w:p>
    <w:p w14:paraId="30ADAD63" w14:textId="18E110F5" w:rsidR="00681812" w:rsidRPr="004E3A7D" w:rsidRDefault="004E3A7D" w:rsidP="004E3A7D">
      <w:pPr>
        <w:spacing w:line="360" w:lineRule="auto"/>
        <w:rPr>
          <w:rFonts w:ascii="Times New Roman" w:hAnsi="Times New Roman" w:cs="Times New Roman"/>
          <w:sz w:val="24"/>
          <w:szCs w:val="24"/>
        </w:rPr>
      </w:pPr>
      <w:r w:rsidRPr="004E3A7D">
        <w:rPr>
          <w:rFonts w:ascii="Times New Roman" w:hAnsi="Times New Roman" w:cs="Times New Roman"/>
          <w:sz w:val="24"/>
          <w:szCs w:val="24"/>
        </w:rPr>
        <w:t>4</w:t>
      </w:r>
      <w:r w:rsidR="00222E4F">
        <w:rPr>
          <w:rFonts w:ascii="Times New Roman" w:hAnsi="Times New Roman" w:cs="Times New Roman"/>
          <w:sz w:val="24"/>
          <w:szCs w:val="24"/>
        </w:rPr>
        <w:t>0</w:t>
      </w:r>
      <w:r w:rsidRPr="004E3A7D">
        <w:rPr>
          <w:rFonts w:ascii="Times New Roman" w:hAnsi="Times New Roman" w:cs="Times New Roman"/>
          <w:sz w:val="24"/>
          <w:szCs w:val="24"/>
        </w:rPr>
        <w:t xml:space="preserve">. </w:t>
      </w:r>
      <w:r w:rsidR="00681812" w:rsidRPr="004E3A7D">
        <w:rPr>
          <w:rFonts w:ascii="Times New Roman" w:hAnsi="Times New Roman" w:cs="Times New Roman"/>
          <w:sz w:val="24"/>
          <w:szCs w:val="24"/>
        </w:rPr>
        <w:t>Global Citizen Solutions (2024) Global Passport Index and Country Profiles. Lisbon: Global Citizen Solutions.</w:t>
      </w:r>
    </w:p>
    <w:p w14:paraId="3017C2C2" w14:textId="0795834C" w:rsidR="004E3A7D" w:rsidRPr="004E3A7D" w:rsidRDefault="004E3A7D" w:rsidP="004E3A7D">
      <w:pPr>
        <w:spacing w:line="360" w:lineRule="auto"/>
        <w:rPr>
          <w:rFonts w:ascii="Times New Roman" w:eastAsia="PMingLiU" w:hAnsi="Times New Roman" w:cs="Times New Roman"/>
          <w:sz w:val="24"/>
          <w:szCs w:val="24"/>
          <w:lang w:eastAsia="zh-TW"/>
        </w:rPr>
      </w:pPr>
      <w:r w:rsidRPr="004E3A7D">
        <w:rPr>
          <w:rFonts w:ascii="Times New Roman" w:hAnsi="Times New Roman" w:cs="Times New Roman"/>
          <w:sz w:val="24"/>
          <w:szCs w:val="24"/>
        </w:rPr>
        <w:t>A multidimensional index ranking world passports by mobility, investment, and quality of life</w:t>
      </w:r>
      <w:r>
        <w:rPr>
          <w:rFonts w:ascii="Times New Roman" w:hAnsi="Times New Roman" w:cs="Times New Roman"/>
          <w:sz w:val="24"/>
          <w:szCs w:val="24"/>
        </w:rPr>
        <w:t xml:space="preserve"> </w:t>
      </w:r>
      <w:r w:rsidRPr="004E3A7D">
        <w:rPr>
          <w:rFonts w:ascii="Times New Roman" w:hAnsi="Times New Roman" w:cs="Times New Roman"/>
          <w:sz w:val="24"/>
          <w:szCs w:val="24"/>
        </w:rPr>
        <w:t>—</w:t>
      </w:r>
      <w:r>
        <w:rPr>
          <w:rFonts w:ascii="Times New Roman" w:hAnsi="Times New Roman" w:cs="Times New Roman"/>
          <w:sz w:val="24"/>
          <w:szCs w:val="24"/>
        </w:rPr>
        <w:t xml:space="preserve"> </w:t>
      </w:r>
      <w:r w:rsidRPr="004E3A7D">
        <w:rPr>
          <w:rFonts w:ascii="Times New Roman" w:hAnsi="Times New Roman" w:cs="Times New Roman"/>
          <w:sz w:val="24"/>
          <w:szCs w:val="24"/>
        </w:rPr>
        <w:t>relevant for research on citizenship, residence by investment, and global relocation decisions.</w:t>
      </w:r>
    </w:p>
    <w:p w14:paraId="6B0C435D" w14:textId="77777777" w:rsidR="00320908" w:rsidRPr="00EC057C" w:rsidRDefault="00320908" w:rsidP="00D9561A">
      <w:pPr>
        <w:tabs>
          <w:tab w:val="left" w:pos="3465"/>
        </w:tabs>
        <w:spacing w:line="360" w:lineRule="auto"/>
        <w:rPr>
          <w:rFonts w:ascii="Times New Roman" w:hAnsi="Times New Roman" w:cs="Times New Roman"/>
          <w:sz w:val="24"/>
          <w:szCs w:val="24"/>
        </w:rPr>
      </w:pPr>
    </w:p>
    <w:p w14:paraId="4A9F66BC" w14:textId="14F53DC9" w:rsidR="00BC395D" w:rsidRPr="00D57C3D" w:rsidRDefault="00D57C3D" w:rsidP="00EC057C">
      <w:pPr>
        <w:tabs>
          <w:tab w:val="left" w:pos="3465"/>
        </w:tabs>
        <w:spacing w:line="360" w:lineRule="auto"/>
        <w:rPr>
          <w:rFonts w:ascii="Times New Roman" w:hAnsi="Times New Roman" w:cs="Times New Roman"/>
          <w:b/>
          <w:bCs/>
          <w:sz w:val="24"/>
          <w:szCs w:val="24"/>
        </w:rPr>
      </w:pPr>
      <w:r>
        <w:rPr>
          <w:rFonts w:ascii="Times New Roman" w:hAnsi="Times New Roman" w:cs="Times New Roman"/>
          <w:b/>
          <w:bCs/>
          <w:sz w:val="24"/>
          <w:szCs w:val="24"/>
        </w:rPr>
        <w:t xml:space="preserve">Others: </w:t>
      </w:r>
      <w:r w:rsidRPr="003D33C5">
        <w:rPr>
          <w:rFonts w:ascii="Times New Roman" w:hAnsi="Times New Roman" w:cs="Times New Roman"/>
          <w:b/>
          <w:bCs/>
          <w:sz w:val="24"/>
          <w:szCs w:val="24"/>
        </w:rPr>
        <w:t>Data Sources</w:t>
      </w:r>
      <w:r>
        <w:rPr>
          <w:rFonts w:ascii="Times New Roman" w:hAnsi="Times New Roman" w:cs="Times New Roman"/>
          <w:b/>
          <w:bCs/>
          <w:sz w:val="24"/>
          <w:szCs w:val="24"/>
        </w:rPr>
        <w:t xml:space="preserve">, </w:t>
      </w:r>
      <w:r w:rsidRPr="003D33C5">
        <w:rPr>
          <w:rFonts w:ascii="Times New Roman" w:hAnsi="Times New Roman" w:cs="Times New Roman"/>
          <w:b/>
          <w:bCs/>
          <w:sz w:val="24"/>
          <w:szCs w:val="24"/>
        </w:rPr>
        <w:t>Official Polic</w:t>
      </w:r>
      <w:r>
        <w:rPr>
          <w:rFonts w:ascii="Times New Roman" w:hAnsi="Times New Roman" w:cs="Times New Roman"/>
          <w:b/>
          <w:bCs/>
          <w:sz w:val="24"/>
          <w:szCs w:val="24"/>
        </w:rPr>
        <w:t xml:space="preserve">ies, and </w:t>
      </w:r>
      <w:r w:rsidRPr="003D33C5">
        <w:rPr>
          <w:rFonts w:ascii="Times New Roman" w:hAnsi="Times New Roman" w:cs="Times New Roman"/>
          <w:b/>
          <w:bCs/>
          <w:sz w:val="24"/>
          <w:szCs w:val="24"/>
        </w:rPr>
        <w:t>Sectoral Perspectives</w:t>
      </w:r>
    </w:p>
    <w:p w14:paraId="37135E60" w14:textId="73920336" w:rsidR="00413B14" w:rsidRPr="00672AD6" w:rsidRDefault="00413B14" w:rsidP="00413B14">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41</w:t>
      </w:r>
      <w:r w:rsidRPr="00672AD6">
        <w:rPr>
          <w:rFonts w:ascii="Times New Roman" w:hAnsi="Times New Roman" w:cs="Times New Roman"/>
          <w:sz w:val="24"/>
          <w:szCs w:val="24"/>
        </w:rPr>
        <w:t>. Babbie, E.R. (2016) The Practice of Social Research. 13th edn. Boston: Cengage Learning.</w:t>
      </w:r>
    </w:p>
    <w:p w14:paraId="7D18687B" w14:textId="77777777" w:rsidR="00413B14" w:rsidRPr="00672AD6" w:rsidRDefault="00413B14" w:rsidP="00413B14">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Covers research design, data collection, and analysis for social sciences. Supports methodological transparency and reliability in policy evaluation. Widely used and peer-reviewed.</w:t>
      </w:r>
    </w:p>
    <w:p w14:paraId="666CCD76" w14:textId="57FBB88D" w:rsidR="00672AD6" w:rsidRPr="00672AD6" w:rsidRDefault="00D57C3D" w:rsidP="00672AD6">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4</w:t>
      </w:r>
      <w:r w:rsidR="00413B14">
        <w:rPr>
          <w:rFonts w:ascii="Times New Roman" w:hAnsi="Times New Roman" w:cs="Times New Roman"/>
          <w:sz w:val="24"/>
          <w:szCs w:val="24"/>
        </w:rPr>
        <w:t>2</w:t>
      </w:r>
      <w:r w:rsidR="00672AD6" w:rsidRPr="00672AD6">
        <w:rPr>
          <w:rFonts w:ascii="Times New Roman" w:hAnsi="Times New Roman" w:cs="Times New Roman"/>
          <w:sz w:val="24"/>
          <w:szCs w:val="24"/>
        </w:rPr>
        <w:t>. Bryman, A. (2015) Social Research Methods. 5th edn. Oxford: Oxford University Press.</w:t>
      </w:r>
    </w:p>
    <w:p w14:paraId="77130886" w14:textId="77777777" w:rsidR="00672AD6" w:rsidRPr="00672AD6" w:rsidRDefault="00672AD6" w:rsidP="00672AD6">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Comprehensive overview of qualitative and quantitative research methods. Informs research design and methodological rigor for studies like the New CIES. Standard academic text, widely used.</w:t>
      </w:r>
    </w:p>
    <w:p w14:paraId="4FA64247" w14:textId="38E7D329" w:rsidR="009B1B7B" w:rsidRPr="00672AD6" w:rsidRDefault="00D57C3D" w:rsidP="009B1B7B">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4</w:t>
      </w:r>
      <w:r w:rsidR="00413B14">
        <w:rPr>
          <w:rFonts w:ascii="Times New Roman" w:hAnsi="Times New Roman" w:cs="Times New Roman"/>
          <w:sz w:val="24"/>
          <w:szCs w:val="24"/>
        </w:rPr>
        <w:t>3</w:t>
      </w:r>
      <w:r w:rsidR="009B1B7B" w:rsidRPr="00672AD6">
        <w:rPr>
          <w:rFonts w:ascii="Times New Roman" w:hAnsi="Times New Roman" w:cs="Times New Roman"/>
          <w:sz w:val="24"/>
          <w:szCs w:val="24"/>
        </w:rPr>
        <w:t>. Clerides, S. et al. (2025) ‘Drivers and Effects of Residence and Citizenship by Investment Programs’. IMF Working Paper.</w:t>
      </w:r>
    </w:p>
    <w:p w14:paraId="38498605" w14:textId="77777777" w:rsidR="009B1B7B" w:rsidRPr="00672AD6" w:rsidRDefault="009B1B7B" w:rsidP="009B1B7B">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Examines economic and fiscal effects of residence and citizenship by investment programs, with global evidence. Peer-reviewed and empirical.</w:t>
      </w:r>
    </w:p>
    <w:p w14:paraId="11B5912A" w14:textId="0DCDC2BF" w:rsidR="009B1B7B" w:rsidRPr="00672AD6" w:rsidRDefault="00D57C3D" w:rsidP="009B1B7B">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4</w:t>
      </w:r>
      <w:r w:rsidR="006F1BFD">
        <w:rPr>
          <w:rFonts w:ascii="Times New Roman" w:hAnsi="Times New Roman" w:cs="Times New Roman"/>
          <w:sz w:val="24"/>
          <w:szCs w:val="24"/>
        </w:rPr>
        <w:t>4</w:t>
      </w:r>
      <w:r w:rsidR="009B1B7B" w:rsidRPr="00672AD6">
        <w:rPr>
          <w:rFonts w:ascii="Times New Roman" w:hAnsi="Times New Roman" w:cs="Times New Roman"/>
          <w:sz w:val="24"/>
          <w:szCs w:val="24"/>
        </w:rPr>
        <w:t>. European Commission (2023) ‘Employment and Social Development Report’.</w:t>
      </w:r>
    </w:p>
    <w:p w14:paraId="2F6FA6A3" w14:textId="07D2754B" w:rsidR="00672AD6" w:rsidRPr="00672AD6" w:rsidRDefault="009B1B7B" w:rsidP="00672AD6">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Policy report on labor shortages, migration, and economic development in the EU. Provides comparative data and policy insights. Authoritative and empirical.</w:t>
      </w:r>
    </w:p>
    <w:p w14:paraId="695888B0" w14:textId="1B76E5AE" w:rsidR="00672AD6" w:rsidRPr="00672AD6" w:rsidRDefault="00D57C3D" w:rsidP="00672AD6">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4</w:t>
      </w:r>
      <w:r w:rsidR="006F1BFD">
        <w:rPr>
          <w:rFonts w:ascii="Times New Roman" w:hAnsi="Times New Roman" w:cs="Times New Roman"/>
          <w:sz w:val="24"/>
          <w:szCs w:val="24"/>
        </w:rPr>
        <w:t>5</w:t>
      </w:r>
      <w:r w:rsidR="00672AD6" w:rsidRPr="00672AD6">
        <w:rPr>
          <w:rFonts w:ascii="Times New Roman" w:hAnsi="Times New Roman" w:cs="Times New Roman"/>
          <w:sz w:val="24"/>
          <w:szCs w:val="24"/>
        </w:rPr>
        <w:t>. Flick, U. (2018) An Introduction to Qualitative Research. 6th edn. London: SAGE.</w:t>
      </w:r>
    </w:p>
    <w:p w14:paraId="7BE5253E" w14:textId="58678D82" w:rsidR="003A27BE" w:rsidRPr="00672AD6" w:rsidRDefault="00672AD6" w:rsidP="003A27BE">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Practical introduction to qualitative research, supporting the design of interviews and thematic analysis in migration policy studies. Peer-reviewed and widely used.</w:t>
      </w:r>
    </w:p>
    <w:p w14:paraId="20D2ADF1" w14:textId="51A345FC" w:rsidR="003A27BE" w:rsidRPr="00672AD6" w:rsidRDefault="00413B14" w:rsidP="003A27BE">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4</w:t>
      </w:r>
      <w:r w:rsidR="006F1BFD">
        <w:rPr>
          <w:rFonts w:ascii="Times New Roman" w:hAnsi="Times New Roman" w:cs="Times New Roman"/>
          <w:sz w:val="24"/>
          <w:szCs w:val="24"/>
        </w:rPr>
        <w:t>6</w:t>
      </w:r>
      <w:r w:rsidR="003A27BE" w:rsidRPr="00672AD6">
        <w:rPr>
          <w:rFonts w:ascii="Times New Roman" w:hAnsi="Times New Roman" w:cs="Times New Roman"/>
          <w:sz w:val="24"/>
          <w:szCs w:val="24"/>
        </w:rPr>
        <w:t>. Gamlen, A. et al. (2016) ‘Re-thinking Immigrant Investment Funds’. Investment Migration Council Working Paper.</w:t>
      </w:r>
    </w:p>
    <w:p w14:paraId="12E4079D" w14:textId="2559BC20" w:rsidR="009B1B7B" w:rsidRDefault="003A27BE" w:rsidP="009B1B7B">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Explores motivations and performance of Immigrant Investor Programs, offering recommendations for improvement. Peer-reviewed and empirical.</w:t>
      </w:r>
    </w:p>
    <w:p w14:paraId="381AFCD6" w14:textId="1CE389AB" w:rsidR="0079718B" w:rsidRPr="00543E2B" w:rsidRDefault="0079718B" w:rsidP="009B1B7B">
      <w:pPr>
        <w:tabs>
          <w:tab w:val="left" w:pos="3465"/>
        </w:tabs>
        <w:spacing w:line="360" w:lineRule="auto"/>
        <w:rPr>
          <w:rFonts w:ascii="Times New Roman" w:hAnsi="Times New Roman" w:cs="Times New Roman"/>
          <w:sz w:val="24"/>
          <w:szCs w:val="24"/>
        </w:rPr>
      </w:pPr>
      <w:r w:rsidRPr="00543E2B">
        <w:rPr>
          <w:rFonts w:ascii="Times New Roman" w:hAnsi="Times New Roman" w:cs="Times New Roman"/>
          <w:sz w:val="24"/>
          <w:szCs w:val="24"/>
        </w:rPr>
        <w:t>4</w:t>
      </w:r>
      <w:r w:rsidR="006F1BFD">
        <w:rPr>
          <w:rFonts w:ascii="Times New Roman" w:hAnsi="Times New Roman" w:cs="Times New Roman"/>
          <w:sz w:val="24"/>
          <w:szCs w:val="24"/>
        </w:rPr>
        <w:t>7</w:t>
      </w:r>
      <w:r w:rsidRPr="00543E2B">
        <w:rPr>
          <w:rFonts w:ascii="Times New Roman" w:hAnsi="Times New Roman" w:cs="Times New Roman"/>
          <w:sz w:val="24"/>
          <w:szCs w:val="24"/>
        </w:rPr>
        <w:t>. Gu, J., &amp; Zhang, Y. (2023). Institutional Adaptation in Policy Transfer: Evidence from Investment Migration Schemes. Asian Public Policy Review, 9(1), 112-130.</w:t>
      </w:r>
    </w:p>
    <w:p w14:paraId="0A22CAFD" w14:textId="6AB9A3AD" w:rsidR="00543E2B" w:rsidRPr="00543E2B" w:rsidRDefault="00543E2B" w:rsidP="009B1B7B">
      <w:pPr>
        <w:tabs>
          <w:tab w:val="left" w:pos="3465"/>
        </w:tabs>
        <w:spacing w:line="360" w:lineRule="auto"/>
        <w:rPr>
          <w:rFonts w:ascii="Times New Roman" w:hAnsi="Times New Roman" w:cs="Times New Roman"/>
          <w:sz w:val="24"/>
          <w:szCs w:val="24"/>
        </w:rPr>
      </w:pPr>
      <w:r w:rsidRPr="00543E2B">
        <w:rPr>
          <w:rFonts w:ascii="Times New Roman" w:hAnsi="Times New Roman" w:cs="Times New Roman"/>
          <w:sz w:val="24"/>
          <w:szCs w:val="24"/>
        </w:rPr>
        <w:t>Examines institutional adaptation in investment migration, offering recent empirical insights for policy transfer research.</w:t>
      </w:r>
    </w:p>
    <w:p w14:paraId="57AFCCD6" w14:textId="033E1C91" w:rsidR="00413B14" w:rsidRPr="00672AD6" w:rsidRDefault="006F1BFD" w:rsidP="00413B14">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48</w:t>
      </w:r>
      <w:r w:rsidR="00413B14" w:rsidRPr="00672AD6">
        <w:rPr>
          <w:rFonts w:ascii="Times New Roman" w:hAnsi="Times New Roman" w:cs="Times New Roman"/>
          <w:sz w:val="24"/>
          <w:szCs w:val="24"/>
        </w:rPr>
        <w:t>. Hatton, T.J. &amp; Williamson, J.G. (2005) Global Migration and the World Economy. Cambridge, MA: MIT Press.</w:t>
      </w:r>
    </w:p>
    <w:p w14:paraId="0E521C31" w14:textId="77777777" w:rsidR="00413B14" w:rsidRPr="0027772B" w:rsidRDefault="00413B14" w:rsidP="00413B14">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Historical analysis of migration and economic development. Offers a long-term perspective on the economic impacts of migration, relevant for evaluating investment migration schemes. Peer-reviewed and respected.</w:t>
      </w:r>
    </w:p>
    <w:p w14:paraId="5104CE34" w14:textId="11E7E68E" w:rsidR="009B1B7B" w:rsidRPr="00672AD6" w:rsidRDefault="006F1BFD" w:rsidP="009B1B7B">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49</w:t>
      </w:r>
      <w:r w:rsidR="009B1B7B" w:rsidRPr="00672AD6">
        <w:rPr>
          <w:rFonts w:ascii="Times New Roman" w:hAnsi="Times New Roman" w:cs="Times New Roman"/>
          <w:sz w:val="24"/>
          <w:szCs w:val="24"/>
        </w:rPr>
        <w:t>. HKSAR Government (2023) New Capital Investment Entrant Scheme.</w:t>
      </w:r>
    </w:p>
    <w:p w14:paraId="03065F5F" w14:textId="7E92D9A2" w:rsidR="003A27BE" w:rsidRPr="00672AD6" w:rsidRDefault="009B1B7B" w:rsidP="003A27BE">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Official government documentation on the New CIES, including eligibility, requirements, and objectives. Primary source for scheme details and policy context. Authoritative and current.</w:t>
      </w:r>
    </w:p>
    <w:p w14:paraId="268576D0" w14:textId="62201EBD" w:rsidR="003A27BE" w:rsidRPr="00672AD6" w:rsidRDefault="00D57C3D" w:rsidP="003A27BE">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5</w:t>
      </w:r>
      <w:r w:rsidR="006F1BFD">
        <w:rPr>
          <w:rFonts w:ascii="Times New Roman" w:hAnsi="Times New Roman" w:cs="Times New Roman"/>
          <w:sz w:val="24"/>
          <w:szCs w:val="24"/>
        </w:rPr>
        <w:t>0</w:t>
      </w:r>
      <w:r w:rsidR="003A27BE" w:rsidRPr="00672AD6">
        <w:rPr>
          <w:rFonts w:ascii="Times New Roman" w:hAnsi="Times New Roman" w:cs="Times New Roman"/>
          <w:sz w:val="24"/>
          <w:szCs w:val="24"/>
        </w:rPr>
        <w:t>. ICMPD (2023) ‘Cultivating Talent: Study on Talent Attraction and Retention’.</w:t>
      </w:r>
    </w:p>
    <w:p w14:paraId="753D380A" w14:textId="3E5760B4" w:rsidR="009B1B7B" w:rsidRPr="00672AD6" w:rsidRDefault="003A27BE" w:rsidP="009B1B7B">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Examines policies for talent attraction, innovation, and economic growth in the EU and beyond. International organization, empirical and policy-focused.</w:t>
      </w:r>
    </w:p>
    <w:p w14:paraId="23D076A9" w14:textId="3A98778D" w:rsidR="009B1B7B" w:rsidRPr="00672AD6" w:rsidRDefault="00413B14" w:rsidP="009B1B7B">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5</w:t>
      </w:r>
      <w:r w:rsidR="006F1BFD">
        <w:rPr>
          <w:rFonts w:ascii="Times New Roman" w:hAnsi="Times New Roman" w:cs="Times New Roman"/>
          <w:sz w:val="24"/>
          <w:szCs w:val="24"/>
        </w:rPr>
        <w:t>1</w:t>
      </w:r>
      <w:r w:rsidR="009B1B7B" w:rsidRPr="00672AD6">
        <w:rPr>
          <w:rFonts w:ascii="Times New Roman" w:hAnsi="Times New Roman" w:cs="Times New Roman"/>
          <w:sz w:val="24"/>
          <w:szCs w:val="24"/>
        </w:rPr>
        <w:t>. IMI Daily (2024) ‘Singapore Global Investor Programme’.</w:t>
      </w:r>
    </w:p>
    <w:p w14:paraId="3AFDC073" w14:textId="3AAB1662" w:rsidR="009B1B7B" w:rsidRPr="00672AD6" w:rsidRDefault="009B1B7B" w:rsidP="009B1B7B">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Provides practical insights on Singapore’s GIP, including minimum investment, processing times, and eligibility. Up-to-date, industry publication.</w:t>
      </w:r>
    </w:p>
    <w:p w14:paraId="4D27173A" w14:textId="5976B54C" w:rsidR="009B1B7B" w:rsidRPr="00672AD6" w:rsidRDefault="003D4705" w:rsidP="009B1B7B">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5</w:t>
      </w:r>
      <w:r w:rsidR="006F1BFD">
        <w:rPr>
          <w:rFonts w:ascii="Times New Roman" w:hAnsi="Times New Roman" w:cs="Times New Roman"/>
          <w:sz w:val="24"/>
          <w:szCs w:val="24"/>
        </w:rPr>
        <w:t>2</w:t>
      </w:r>
      <w:r w:rsidR="009B1B7B" w:rsidRPr="00672AD6">
        <w:rPr>
          <w:rFonts w:ascii="Times New Roman" w:hAnsi="Times New Roman" w:cs="Times New Roman"/>
          <w:sz w:val="24"/>
          <w:szCs w:val="24"/>
        </w:rPr>
        <w:t>. OECD (2023) ‘Talent Attractiveness 2023, Migration Policy Debates No. 29’.</w:t>
      </w:r>
    </w:p>
    <w:p w14:paraId="18E01B32" w14:textId="6EB4AC5F" w:rsidR="00B635EC" w:rsidRPr="00672AD6" w:rsidRDefault="009B1B7B" w:rsidP="00B635EC">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Comparative analysis of talent attraction strategies and policy effectiveness worldwide. Peer-reviewed, empirical, and up-to-date, informing policy evaluation.</w:t>
      </w:r>
    </w:p>
    <w:p w14:paraId="042323C1" w14:textId="7B30B807" w:rsidR="00B635EC" w:rsidRPr="00672AD6" w:rsidRDefault="00B635EC" w:rsidP="00B635EC">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5</w:t>
      </w:r>
      <w:r w:rsidR="006F1BFD">
        <w:rPr>
          <w:rFonts w:ascii="Times New Roman" w:hAnsi="Times New Roman" w:cs="Times New Roman"/>
          <w:sz w:val="24"/>
          <w:szCs w:val="24"/>
        </w:rPr>
        <w:t>3</w:t>
      </w:r>
      <w:r w:rsidRPr="00672AD6">
        <w:rPr>
          <w:rFonts w:ascii="Times New Roman" w:hAnsi="Times New Roman" w:cs="Times New Roman"/>
          <w:sz w:val="24"/>
          <w:szCs w:val="24"/>
        </w:rPr>
        <w:t>. Saunders, M., Lewis, P., &amp; Thornhill, A. (2019) Research Methods for Business Students. 8th edn. Harlow: Pearson.</w:t>
      </w:r>
    </w:p>
    <w:p w14:paraId="2E4F9AB8" w14:textId="2253303A" w:rsidR="00B635EC" w:rsidRPr="00672AD6" w:rsidRDefault="00B635EC" w:rsidP="00B635EC">
      <w:pPr>
        <w:tabs>
          <w:tab w:val="left" w:pos="3465"/>
        </w:tabs>
        <w:spacing w:line="360" w:lineRule="auto"/>
        <w:rPr>
          <w:rFonts w:ascii="Times New Roman" w:hAnsi="Times New Roman" w:cs="Times New Roman"/>
          <w:sz w:val="24"/>
          <w:szCs w:val="24"/>
        </w:rPr>
      </w:pPr>
      <w:r w:rsidRPr="00672AD6">
        <w:rPr>
          <w:rFonts w:ascii="Times New Roman" w:hAnsi="Times New Roman" w:cs="Times New Roman"/>
          <w:sz w:val="24"/>
          <w:szCs w:val="24"/>
        </w:rPr>
        <w:t>Standard text for business research methods, supporting the methodological framework of studies like the New CIES. Widely adopted and methodologically robust.</w:t>
      </w:r>
    </w:p>
    <w:p w14:paraId="7ECCF8A3" w14:textId="7F6076E7" w:rsidR="00413B14" w:rsidRPr="00EC057C" w:rsidRDefault="00C0128F" w:rsidP="00413B14">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5</w:t>
      </w:r>
      <w:r w:rsidR="006F1BFD">
        <w:rPr>
          <w:rFonts w:ascii="Times New Roman" w:hAnsi="Times New Roman" w:cs="Times New Roman"/>
          <w:sz w:val="24"/>
          <w:szCs w:val="24"/>
        </w:rPr>
        <w:t>4</w:t>
      </w:r>
      <w:r w:rsidR="00413B14" w:rsidRPr="00EC057C">
        <w:rPr>
          <w:rFonts w:ascii="Times New Roman" w:hAnsi="Times New Roman" w:cs="Times New Roman"/>
          <w:sz w:val="24"/>
          <w:szCs w:val="24"/>
        </w:rPr>
        <w:t>. Sassen, S. (2001) The Global City. 2nd edn. Princeton: Princeton University Press.</w:t>
      </w:r>
    </w:p>
    <w:p w14:paraId="06D0027B" w14:textId="4FD889E4" w:rsidR="00672AD6" w:rsidRDefault="00413B14" w:rsidP="00672AD6">
      <w:pPr>
        <w:tabs>
          <w:tab w:val="left" w:pos="3465"/>
        </w:tabs>
        <w:spacing w:line="360" w:lineRule="auto"/>
        <w:rPr>
          <w:rFonts w:ascii="Times New Roman" w:hAnsi="Times New Roman" w:cs="Times New Roman"/>
          <w:sz w:val="24"/>
          <w:szCs w:val="24"/>
        </w:rPr>
      </w:pPr>
      <w:r w:rsidRPr="00EC057C">
        <w:rPr>
          <w:rFonts w:ascii="Times New Roman" w:hAnsi="Times New Roman" w:cs="Times New Roman"/>
          <w:sz w:val="24"/>
          <w:szCs w:val="24"/>
        </w:rPr>
        <w:t>Explores how global cities attract both capital and talent, shaping their roles as financial hubs. Sassen’s analysis of urban migration and economic flows provides a theoretical framework for understanding Hong Kong’s positioning and the logic behind investment migration schemes. Seminal and widely influential in urban studies.</w:t>
      </w:r>
    </w:p>
    <w:p w14:paraId="524515D1" w14:textId="52B4CB86" w:rsidR="00C0128F" w:rsidRPr="00543E2B" w:rsidRDefault="00B60C54" w:rsidP="00672AD6">
      <w:pPr>
        <w:tabs>
          <w:tab w:val="left" w:pos="3465"/>
        </w:tabs>
        <w:spacing w:line="360" w:lineRule="auto"/>
        <w:rPr>
          <w:rFonts w:ascii="Times New Roman" w:hAnsi="Times New Roman" w:cs="Times New Roman"/>
          <w:sz w:val="24"/>
          <w:szCs w:val="24"/>
        </w:rPr>
      </w:pPr>
      <w:r>
        <w:rPr>
          <w:rFonts w:ascii="Times New Roman" w:hAnsi="Times New Roman" w:cs="Times New Roman"/>
          <w:sz w:val="24"/>
          <w:szCs w:val="24"/>
        </w:rPr>
        <w:t>5</w:t>
      </w:r>
      <w:r w:rsidR="006F1BFD">
        <w:rPr>
          <w:rFonts w:ascii="Times New Roman" w:hAnsi="Times New Roman" w:cs="Times New Roman"/>
          <w:sz w:val="24"/>
          <w:szCs w:val="24"/>
        </w:rPr>
        <w:t>5</w:t>
      </w:r>
      <w:r w:rsidR="00C0128F" w:rsidRPr="00543E2B">
        <w:rPr>
          <w:rFonts w:ascii="Times New Roman" w:hAnsi="Times New Roman" w:cs="Times New Roman"/>
          <w:sz w:val="24"/>
          <w:szCs w:val="24"/>
        </w:rPr>
        <w:t>. Stone, D. (2012). Transfer and Translation of Policy. Policy Studies, 33(6), 483-499.</w:t>
      </w:r>
    </w:p>
    <w:p w14:paraId="21193C64" w14:textId="6679CE69" w:rsidR="00543E2B" w:rsidRPr="00543E2B" w:rsidRDefault="00543E2B" w:rsidP="00672AD6">
      <w:pPr>
        <w:tabs>
          <w:tab w:val="left" w:pos="3465"/>
        </w:tabs>
        <w:spacing w:line="360" w:lineRule="auto"/>
        <w:rPr>
          <w:rFonts w:ascii="Times New Roman" w:hAnsi="Times New Roman" w:cs="Times New Roman"/>
          <w:sz w:val="24"/>
          <w:szCs w:val="24"/>
        </w:rPr>
      </w:pPr>
      <w:r w:rsidRPr="00543E2B">
        <w:rPr>
          <w:rFonts w:ascii="Times New Roman" w:hAnsi="Times New Roman" w:cs="Times New Roman"/>
          <w:sz w:val="24"/>
          <w:szCs w:val="24"/>
        </w:rPr>
        <w:t>Presents foundational theory on policy transfer and translation, emphasizing interpretive adaptation across diverse institutional contexts.</w:t>
      </w:r>
    </w:p>
    <w:sectPr w:rsidR="00543E2B" w:rsidRPr="00543E2B" w:rsidSect="00E15B80">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6B6523" w14:textId="77777777" w:rsidR="00A47122" w:rsidRDefault="00A47122" w:rsidP="00F65D31">
      <w:r>
        <w:separator/>
      </w:r>
    </w:p>
  </w:endnote>
  <w:endnote w:type="continuationSeparator" w:id="0">
    <w:p w14:paraId="483A628B" w14:textId="77777777" w:rsidR="00A47122" w:rsidRDefault="00A47122" w:rsidP="00F65D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04E2E" w14:textId="77777777" w:rsidR="00A47122" w:rsidRDefault="00A47122" w:rsidP="00F65D31">
      <w:r>
        <w:separator/>
      </w:r>
    </w:p>
  </w:footnote>
  <w:footnote w:type="continuationSeparator" w:id="0">
    <w:p w14:paraId="79B36F10" w14:textId="77777777" w:rsidR="00A47122" w:rsidRDefault="00A47122" w:rsidP="00F65D3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05F25"/>
    <w:multiLevelType w:val="multilevel"/>
    <w:tmpl w:val="AD3C4546"/>
    <w:lvl w:ilvl="0">
      <w:start w:val="1"/>
      <w:numFmt w:val="decimal"/>
      <w:lvlText w:val="%1"/>
      <w:lvlJc w:val="left"/>
      <w:pPr>
        <w:ind w:left="360" w:hanging="360"/>
      </w:pPr>
      <w:rPr>
        <w:rFonts w:eastAsiaTheme="minorEastAsia" w:hint="default"/>
      </w:rPr>
    </w:lvl>
    <w:lvl w:ilvl="1">
      <w:start w:val="3"/>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 w15:restartNumberingAfterBreak="0">
    <w:nsid w:val="090D7AAC"/>
    <w:multiLevelType w:val="hybridMultilevel"/>
    <w:tmpl w:val="01A0CC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7F09D0"/>
    <w:multiLevelType w:val="hybridMultilevel"/>
    <w:tmpl w:val="130AA284"/>
    <w:lvl w:ilvl="0" w:tplc="0F069C6A">
      <w:start w:val="30"/>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6260FF"/>
    <w:multiLevelType w:val="hybridMultilevel"/>
    <w:tmpl w:val="663EE3F2"/>
    <w:lvl w:ilvl="0" w:tplc="36FEF62A">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 w15:restartNumberingAfterBreak="0">
    <w:nsid w:val="0E5F7D86"/>
    <w:multiLevelType w:val="hybridMultilevel"/>
    <w:tmpl w:val="C6F083E8"/>
    <w:lvl w:ilvl="0" w:tplc="4534425A">
      <w:start w:val="33"/>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A31392"/>
    <w:multiLevelType w:val="hybridMultilevel"/>
    <w:tmpl w:val="2FEAB47A"/>
    <w:lvl w:ilvl="0" w:tplc="50205B68">
      <w:start w:val="2"/>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102208A3"/>
    <w:multiLevelType w:val="hybridMultilevel"/>
    <w:tmpl w:val="2A403D8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127B3740"/>
    <w:multiLevelType w:val="hybridMultilevel"/>
    <w:tmpl w:val="9AC604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14A5985"/>
    <w:multiLevelType w:val="hybridMultilevel"/>
    <w:tmpl w:val="0B52B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317BE9"/>
    <w:multiLevelType w:val="hybridMultilevel"/>
    <w:tmpl w:val="AC18BCE6"/>
    <w:lvl w:ilvl="0" w:tplc="602A82F0">
      <w:start w:val="30"/>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431904"/>
    <w:multiLevelType w:val="hybridMultilevel"/>
    <w:tmpl w:val="F34AF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3361354"/>
    <w:multiLevelType w:val="hybridMultilevel"/>
    <w:tmpl w:val="0086870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952DDE"/>
    <w:multiLevelType w:val="hybridMultilevel"/>
    <w:tmpl w:val="C07E412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B2C6457"/>
    <w:multiLevelType w:val="hybridMultilevel"/>
    <w:tmpl w:val="47700F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CB14345"/>
    <w:multiLevelType w:val="hybridMultilevel"/>
    <w:tmpl w:val="CD5AB5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CB55EA9"/>
    <w:multiLevelType w:val="multilevel"/>
    <w:tmpl w:val="6D9C71E2"/>
    <w:lvl w:ilvl="0">
      <w:start w:val="1"/>
      <w:numFmt w:val="decimal"/>
      <w:lvlText w:val="%1"/>
      <w:lvlJc w:val="left"/>
      <w:pPr>
        <w:ind w:left="360" w:hanging="360"/>
      </w:pPr>
      <w:rPr>
        <w:rFonts w:eastAsiaTheme="minorEastAsia" w:hint="default"/>
      </w:rPr>
    </w:lvl>
    <w:lvl w:ilvl="1">
      <w:start w:val="3"/>
      <w:numFmt w:val="decimal"/>
      <w:lvlText w:val="%1.%2"/>
      <w:lvlJc w:val="left"/>
      <w:pPr>
        <w:ind w:left="360" w:hanging="360"/>
      </w:pPr>
      <w:rPr>
        <w:rFonts w:eastAsiaTheme="minorEastAsia" w:hint="default"/>
      </w:rPr>
    </w:lvl>
    <w:lvl w:ilvl="2">
      <w:start w:val="1"/>
      <w:numFmt w:val="decimal"/>
      <w:lvlText w:val="%1.%2.%3"/>
      <w:lvlJc w:val="left"/>
      <w:pPr>
        <w:ind w:left="720" w:hanging="720"/>
      </w:pPr>
      <w:rPr>
        <w:rFonts w:eastAsiaTheme="minorEastAsia" w:hint="default"/>
      </w:rPr>
    </w:lvl>
    <w:lvl w:ilvl="3">
      <w:start w:val="1"/>
      <w:numFmt w:val="decimal"/>
      <w:lvlText w:val="%1.%2.%3.%4"/>
      <w:lvlJc w:val="left"/>
      <w:pPr>
        <w:ind w:left="720" w:hanging="720"/>
      </w:pPr>
      <w:rPr>
        <w:rFonts w:eastAsiaTheme="minorEastAsia" w:hint="default"/>
      </w:rPr>
    </w:lvl>
    <w:lvl w:ilvl="4">
      <w:start w:val="1"/>
      <w:numFmt w:val="decimal"/>
      <w:lvlText w:val="%1.%2.%3.%4.%5"/>
      <w:lvlJc w:val="left"/>
      <w:pPr>
        <w:ind w:left="1080" w:hanging="1080"/>
      </w:pPr>
      <w:rPr>
        <w:rFonts w:eastAsiaTheme="minorEastAsia" w:hint="default"/>
      </w:rPr>
    </w:lvl>
    <w:lvl w:ilvl="5">
      <w:start w:val="1"/>
      <w:numFmt w:val="decimal"/>
      <w:lvlText w:val="%1.%2.%3.%4.%5.%6"/>
      <w:lvlJc w:val="left"/>
      <w:pPr>
        <w:ind w:left="1080" w:hanging="1080"/>
      </w:pPr>
      <w:rPr>
        <w:rFonts w:eastAsiaTheme="minorEastAsia" w:hint="default"/>
      </w:rPr>
    </w:lvl>
    <w:lvl w:ilvl="6">
      <w:start w:val="1"/>
      <w:numFmt w:val="decimal"/>
      <w:lvlText w:val="%1.%2.%3.%4.%5.%6.%7"/>
      <w:lvlJc w:val="left"/>
      <w:pPr>
        <w:ind w:left="1440" w:hanging="1440"/>
      </w:pPr>
      <w:rPr>
        <w:rFonts w:eastAsiaTheme="minorEastAsia" w:hint="default"/>
      </w:rPr>
    </w:lvl>
    <w:lvl w:ilvl="7">
      <w:start w:val="1"/>
      <w:numFmt w:val="decimal"/>
      <w:lvlText w:val="%1.%2.%3.%4.%5.%6.%7.%8"/>
      <w:lvlJc w:val="left"/>
      <w:pPr>
        <w:ind w:left="1440" w:hanging="1440"/>
      </w:pPr>
      <w:rPr>
        <w:rFonts w:eastAsiaTheme="minorEastAsia" w:hint="default"/>
      </w:rPr>
    </w:lvl>
    <w:lvl w:ilvl="8">
      <w:start w:val="1"/>
      <w:numFmt w:val="decimal"/>
      <w:lvlText w:val="%1.%2.%3.%4.%5.%6.%7.%8.%9"/>
      <w:lvlJc w:val="left"/>
      <w:pPr>
        <w:ind w:left="1800" w:hanging="1800"/>
      </w:pPr>
      <w:rPr>
        <w:rFonts w:eastAsiaTheme="minorEastAsia" w:hint="default"/>
      </w:rPr>
    </w:lvl>
  </w:abstractNum>
  <w:abstractNum w:abstractNumId="16" w15:restartNumberingAfterBreak="0">
    <w:nsid w:val="2F9B105A"/>
    <w:multiLevelType w:val="hybridMultilevel"/>
    <w:tmpl w:val="E820A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FD946C0"/>
    <w:multiLevelType w:val="hybridMultilevel"/>
    <w:tmpl w:val="D2A6E74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36DC44B1"/>
    <w:multiLevelType w:val="hybridMultilevel"/>
    <w:tmpl w:val="DE2AA4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8471C1"/>
    <w:multiLevelType w:val="hybridMultilevel"/>
    <w:tmpl w:val="73447D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0C49C7"/>
    <w:multiLevelType w:val="hybridMultilevel"/>
    <w:tmpl w:val="1E226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9134328"/>
    <w:multiLevelType w:val="hybridMultilevel"/>
    <w:tmpl w:val="3DDCAC5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F61B2B"/>
    <w:multiLevelType w:val="hybridMultilevel"/>
    <w:tmpl w:val="E4F07890"/>
    <w:lvl w:ilvl="0" w:tplc="5276D6F4">
      <w:start w:val="24"/>
      <w:numFmt w:val="decimal"/>
      <w:lvlText w:val="%1."/>
      <w:lvlJc w:val="left"/>
      <w:pPr>
        <w:ind w:left="720" w:hanging="360"/>
      </w:pPr>
      <w:rPr>
        <w:rFonts w:eastAsiaTheme="minorEastAs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F165F3"/>
    <w:multiLevelType w:val="multilevel"/>
    <w:tmpl w:val="F3F462F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69E5445"/>
    <w:multiLevelType w:val="hybridMultilevel"/>
    <w:tmpl w:val="231C2C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8561DC"/>
    <w:multiLevelType w:val="hybridMultilevel"/>
    <w:tmpl w:val="8334E4CC"/>
    <w:lvl w:ilvl="0" w:tplc="53FC50AE">
      <w:start w:val="32"/>
      <w:numFmt w:val="decimal"/>
      <w:lvlText w:val="%1."/>
      <w:lvlJc w:val="left"/>
      <w:pPr>
        <w:ind w:left="720" w:hanging="360"/>
      </w:pPr>
      <w:rPr>
        <w:rFonts w:eastAsiaTheme="minorEastAsia"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C663B5E"/>
    <w:multiLevelType w:val="hybridMultilevel"/>
    <w:tmpl w:val="912A78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C6A55FC"/>
    <w:multiLevelType w:val="hybridMultilevel"/>
    <w:tmpl w:val="EC7AC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D7F4678"/>
    <w:multiLevelType w:val="hybridMultilevel"/>
    <w:tmpl w:val="74A0A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A21293"/>
    <w:multiLevelType w:val="hybridMultilevel"/>
    <w:tmpl w:val="66008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3FB795F"/>
    <w:multiLevelType w:val="hybridMultilevel"/>
    <w:tmpl w:val="CCBA80F0"/>
    <w:lvl w:ilvl="0" w:tplc="EECCACBA">
      <w:start w:val="1"/>
      <w:numFmt w:val="lowerLetter"/>
      <w:lvlText w:val="%1)"/>
      <w:lvlJc w:val="left"/>
      <w:pPr>
        <w:ind w:left="720" w:hanging="360"/>
      </w:pPr>
      <w:rPr>
        <w:rFonts w:ascii="Times New Roman" w:eastAsia="PMingLiU"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5276EB7"/>
    <w:multiLevelType w:val="hybridMultilevel"/>
    <w:tmpl w:val="3E362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87840F3"/>
    <w:multiLevelType w:val="hybridMultilevel"/>
    <w:tmpl w:val="BFF24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8A4618C"/>
    <w:multiLevelType w:val="hybridMultilevel"/>
    <w:tmpl w:val="2C3443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8E16588"/>
    <w:multiLevelType w:val="hybridMultilevel"/>
    <w:tmpl w:val="C9D69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D7235C2"/>
    <w:multiLevelType w:val="hybridMultilevel"/>
    <w:tmpl w:val="14763C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F4C32A3"/>
    <w:multiLevelType w:val="hybridMultilevel"/>
    <w:tmpl w:val="8918E3A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609D3EB0"/>
    <w:multiLevelType w:val="hybridMultilevel"/>
    <w:tmpl w:val="A45E5962"/>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663A0629"/>
    <w:multiLevelType w:val="hybridMultilevel"/>
    <w:tmpl w:val="9D8A63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6952F9E"/>
    <w:multiLevelType w:val="hybridMultilevel"/>
    <w:tmpl w:val="1806E0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8183CA7"/>
    <w:multiLevelType w:val="hybridMultilevel"/>
    <w:tmpl w:val="3DAEA1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6B4E65C4"/>
    <w:multiLevelType w:val="hybridMultilevel"/>
    <w:tmpl w:val="0DCCCB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2" w15:restartNumberingAfterBreak="0">
    <w:nsid w:val="71EA5C55"/>
    <w:multiLevelType w:val="hybridMultilevel"/>
    <w:tmpl w:val="0464D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513342E"/>
    <w:multiLevelType w:val="hybridMultilevel"/>
    <w:tmpl w:val="24B46E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5D37DF4"/>
    <w:multiLevelType w:val="hybridMultilevel"/>
    <w:tmpl w:val="82DCD6E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77827644"/>
    <w:multiLevelType w:val="hybridMultilevel"/>
    <w:tmpl w:val="451247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7B0B37A2"/>
    <w:multiLevelType w:val="hybridMultilevel"/>
    <w:tmpl w:val="E68C0C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B5132C6"/>
    <w:multiLevelType w:val="hybridMultilevel"/>
    <w:tmpl w:val="E8464900"/>
    <w:lvl w:ilvl="0" w:tplc="2064F30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48" w15:restartNumberingAfterBreak="0">
    <w:nsid w:val="7C5A4B66"/>
    <w:multiLevelType w:val="hybridMultilevel"/>
    <w:tmpl w:val="1EB8BEB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23779316">
    <w:abstractNumId w:val="47"/>
  </w:num>
  <w:num w:numId="2" w16cid:durableId="737673970">
    <w:abstractNumId w:val="5"/>
  </w:num>
  <w:num w:numId="3" w16cid:durableId="813568658">
    <w:abstractNumId w:val="3"/>
  </w:num>
  <w:num w:numId="4" w16cid:durableId="1109423997">
    <w:abstractNumId w:val="38"/>
  </w:num>
  <w:num w:numId="5" w16cid:durableId="483818048">
    <w:abstractNumId w:val="30"/>
  </w:num>
  <w:num w:numId="6" w16cid:durableId="613682044">
    <w:abstractNumId w:val="15"/>
  </w:num>
  <w:num w:numId="7" w16cid:durableId="557085426">
    <w:abstractNumId w:val="1"/>
  </w:num>
  <w:num w:numId="8" w16cid:durableId="2039887492">
    <w:abstractNumId w:val="21"/>
  </w:num>
  <w:num w:numId="9" w16cid:durableId="1637835790">
    <w:abstractNumId w:val="23"/>
  </w:num>
  <w:num w:numId="10" w16cid:durableId="1823498657">
    <w:abstractNumId w:val="0"/>
  </w:num>
  <w:num w:numId="11" w16cid:durableId="1803378250">
    <w:abstractNumId w:val="11"/>
  </w:num>
  <w:num w:numId="12" w16cid:durableId="976448007">
    <w:abstractNumId w:val="29"/>
  </w:num>
  <w:num w:numId="13" w16cid:durableId="938609763">
    <w:abstractNumId w:val="39"/>
  </w:num>
  <w:num w:numId="14" w16cid:durableId="18363196">
    <w:abstractNumId w:val="28"/>
  </w:num>
  <w:num w:numId="15" w16cid:durableId="635455750">
    <w:abstractNumId w:val="16"/>
  </w:num>
  <w:num w:numId="16" w16cid:durableId="1463381972">
    <w:abstractNumId w:val="32"/>
  </w:num>
  <w:num w:numId="17" w16cid:durableId="1454056511">
    <w:abstractNumId w:val="20"/>
  </w:num>
  <w:num w:numId="18" w16cid:durableId="1979527618">
    <w:abstractNumId w:val="7"/>
  </w:num>
  <w:num w:numId="19" w16cid:durableId="463617905">
    <w:abstractNumId w:val="8"/>
  </w:num>
  <w:num w:numId="20" w16cid:durableId="1440182579">
    <w:abstractNumId w:val="10"/>
  </w:num>
  <w:num w:numId="21" w16cid:durableId="1954315758">
    <w:abstractNumId w:val="31"/>
  </w:num>
  <w:num w:numId="22" w16cid:durableId="1469397033">
    <w:abstractNumId w:val="14"/>
  </w:num>
  <w:num w:numId="23" w16cid:durableId="1070006550">
    <w:abstractNumId w:val="24"/>
  </w:num>
  <w:num w:numId="24" w16cid:durableId="777799870">
    <w:abstractNumId w:val="35"/>
  </w:num>
  <w:num w:numId="25" w16cid:durableId="1653561023">
    <w:abstractNumId w:val="19"/>
  </w:num>
  <w:num w:numId="26" w16cid:durableId="416512342">
    <w:abstractNumId w:val="37"/>
  </w:num>
  <w:num w:numId="27" w16cid:durableId="644506162">
    <w:abstractNumId w:val="33"/>
  </w:num>
  <w:num w:numId="28" w16cid:durableId="664286906">
    <w:abstractNumId w:val="18"/>
  </w:num>
  <w:num w:numId="29" w16cid:durableId="1115949170">
    <w:abstractNumId w:val="13"/>
  </w:num>
  <w:num w:numId="30" w16cid:durableId="235435264">
    <w:abstractNumId w:val="26"/>
  </w:num>
  <w:num w:numId="31" w16cid:durableId="446505474">
    <w:abstractNumId w:val="40"/>
  </w:num>
  <w:num w:numId="32" w16cid:durableId="1731687020">
    <w:abstractNumId w:val="42"/>
  </w:num>
  <w:num w:numId="33" w16cid:durableId="2137292517">
    <w:abstractNumId w:val="43"/>
  </w:num>
  <w:num w:numId="34" w16cid:durableId="1981374652">
    <w:abstractNumId w:val="27"/>
  </w:num>
  <w:num w:numId="35" w16cid:durableId="1629971641">
    <w:abstractNumId w:val="34"/>
  </w:num>
  <w:num w:numId="36" w16cid:durableId="1012687154">
    <w:abstractNumId w:val="46"/>
  </w:num>
  <w:num w:numId="37" w16cid:durableId="1423915970">
    <w:abstractNumId w:val="48"/>
  </w:num>
  <w:num w:numId="38" w16cid:durableId="1314289454">
    <w:abstractNumId w:val="44"/>
  </w:num>
  <w:num w:numId="39" w16cid:durableId="95251296">
    <w:abstractNumId w:val="17"/>
  </w:num>
  <w:num w:numId="40" w16cid:durableId="1305430408">
    <w:abstractNumId w:val="22"/>
  </w:num>
  <w:num w:numId="41" w16cid:durableId="162165303">
    <w:abstractNumId w:val="6"/>
  </w:num>
  <w:num w:numId="42" w16cid:durableId="1153596348">
    <w:abstractNumId w:val="9"/>
  </w:num>
  <w:num w:numId="43" w16cid:durableId="541284140">
    <w:abstractNumId w:val="2"/>
  </w:num>
  <w:num w:numId="44" w16cid:durableId="1270429502">
    <w:abstractNumId w:val="36"/>
  </w:num>
  <w:num w:numId="45" w16cid:durableId="854853119">
    <w:abstractNumId w:val="25"/>
  </w:num>
  <w:num w:numId="46" w16cid:durableId="1546453602">
    <w:abstractNumId w:val="12"/>
  </w:num>
  <w:num w:numId="47" w16cid:durableId="248538606">
    <w:abstractNumId w:val="4"/>
  </w:num>
  <w:num w:numId="48" w16cid:durableId="1364163544">
    <w:abstractNumId w:val="45"/>
  </w:num>
  <w:num w:numId="49" w16cid:durableId="1394892614">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8"/>
  <w:bordersDoNotSurroundHeader/>
  <w:bordersDoNotSurroundFooter/>
  <w:proofState w:spelling="clean" w:grammar="clean"/>
  <w:defaultTabStop w:val="420"/>
  <w:drawingGridHorizontalSpacing w:val="11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39AC"/>
    <w:rsid w:val="00007C5F"/>
    <w:rsid w:val="00016F98"/>
    <w:rsid w:val="00024B76"/>
    <w:rsid w:val="000267CB"/>
    <w:rsid w:val="000421D8"/>
    <w:rsid w:val="00042C1D"/>
    <w:rsid w:val="00042F27"/>
    <w:rsid w:val="00047B5E"/>
    <w:rsid w:val="00047BDC"/>
    <w:rsid w:val="0005091F"/>
    <w:rsid w:val="0005312B"/>
    <w:rsid w:val="00061003"/>
    <w:rsid w:val="00066C0E"/>
    <w:rsid w:val="00070522"/>
    <w:rsid w:val="00072029"/>
    <w:rsid w:val="00075930"/>
    <w:rsid w:val="0008077B"/>
    <w:rsid w:val="00085304"/>
    <w:rsid w:val="00087875"/>
    <w:rsid w:val="000A2101"/>
    <w:rsid w:val="000C7A17"/>
    <w:rsid w:val="000D69B2"/>
    <w:rsid w:val="000E4ACD"/>
    <w:rsid w:val="000F2AAC"/>
    <w:rsid w:val="000F2ADE"/>
    <w:rsid w:val="000F53A5"/>
    <w:rsid w:val="000F5772"/>
    <w:rsid w:val="001022E0"/>
    <w:rsid w:val="00125818"/>
    <w:rsid w:val="001319AE"/>
    <w:rsid w:val="0013562D"/>
    <w:rsid w:val="001402DF"/>
    <w:rsid w:val="001448D0"/>
    <w:rsid w:val="0015174D"/>
    <w:rsid w:val="00156392"/>
    <w:rsid w:val="0017033D"/>
    <w:rsid w:val="0017170F"/>
    <w:rsid w:val="00176E70"/>
    <w:rsid w:val="00187E21"/>
    <w:rsid w:val="001909E2"/>
    <w:rsid w:val="00191CD9"/>
    <w:rsid w:val="001A3CF7"/>
    <w:rsid w:val="001B64A3"/>
    <w:rsid w:val="001C0B29"/>
    <w:rsid w:val="001D4A8F"/>
    <w:rsid w:val="001D6EAB"/>
    <w:rsid w:val="001E6B76"/>
    <w:rsid w:val="001E7DA3"/>
    <w:rsid w:val="001F1CB6"/>
    <w:rsid w:val="001F514A"/>
    <w:rsid w:val="001F756D"/>
    <w:rsid w:val="002042F8"/>
    <w:rsid w:val="00204FCC"/>
    <w:rsid w:val="002162DB"/>
    <w:rsid w:val="00222683"/>
    <w:rsid w:val="00222E4F"/>
    <w:rsid w:val="00224303"/>
    <w:rsid w:val="00227434"/>
    <w:rsid w:val="00236C59"/>
    <w:rsid w:val="002429B0"/>
    <w:rsid w:val="002471B6"/>
    <w:rsid w:val="00252A5C"/>
    <w:rsid w:val="00253CF9"/>
    <w:rsid w:val="00254353"/>
    <w:rsid w:val="00255964"/>
    <w:rsid w:val="002578CB"/>
    <w:rsid w:val="00274249"/>
    <w:rsid w:val="0027772B"/>
    <w:rsid w:val="002805F6"/>
    <w:rsid w:val="00280AED"/>
    <w:rsid w:val="0028127B"/>
    <w:rsid w:val="002857DA"/>
    <w:rsid w:val="00285E33"/>
    <w:rsid w:val="002924EF"/>
    <w:rsid w:val="00295F44"/>
    <w:rsid w:val="00296F95"/>
    <w:rsid w:val="0029777E"/>
    <w:rsid w:val="002A342F"/>
    <w:rsid w:val="002A757C"/>
    <w:rsid w:val="002B0F1B"/>
    <w:rsid w:val="002B0FF7"/>
    <w:rsid w:val="002B17C7"/>
    <w:rsid w:val="002B28EE"/>
    <w:rsid w:val="002D13F4"/>
    <w:rsid w:val="002E383C"/>
    <w:rsid w:val="002E6983"/>
    <w:rsid w:val="002F1A10"/>
    <w:rsid w:val="00304274"/>
    <w:rsid w:val="00306AAE"/>
    <w:rsid w:val="00307FAD"/>
    <w:rsid w:val="00314079"/>
    <w:rsid w:val="00315BEE"/>
    <w:rsid w:val="003168B8"/>
    <w:rsid w:val="00320908"/>
    <w:rsid w:val="00323FB5"/>
    <w:rsid w:val="00324274"/>
    <w:rsid w:val="00325E64"/>
    <w:rsid w:val="00330C94"/>
    <w:rsid w:val="00331089"/>
    <w:rsid w:val="003315CD"/>
    <w:rsid w:val="0033280F"/>
    <w:rsid w:val="00333425"/>
    <w:rsid w:val="00334A17"/>
    <w:rsid w:val="00352BD9"/>
    <w:rsid w:val="003644C9"/>
    <w:rsid w:val="00365C6E"/>
    <w:rsid w:val="00365D7C"/>
    <w:rsid w:val="00381044"/>
    <w:rsid w:val="00383837"/>
    <w:rsid w:val="00384009"/>
    <w:rsid w:val="003841BC"/>
    <w:rsid w:val="00392EC7"/>
    <w:rsid w:val="003A0DA8"/>
    <w:rsid w:val="003A27BE"/>
    <w:rsid w:val="003A636B"/>
    <w:rsid w:val="003B4617"/>
    <w:rsid w:val="003B6828"/>
    <w:rsid w:val="003B7A43"/>
    <w:rsid w:val="003C65B2"/>
    <w:rsid w:val="003C799F"/>
    <w:rsid w:val="003D33C5"/>
    <w:rsid w:val="003D4705"/>
    <w:rsid w:val="003D4A19"/>
    <w:rsid w:val="003E0E75"/>
    <w:rsid w:val="003E32D0"/>
    <w:rsid w:val="003E693D"/>
    <w:rsid w:val="003F049F"/>
    <w:rsid w:val="003F6310"/>
    <w:rsid w:val="003F7573"/>
    <w:rsid w:val="00400018"/>
    <w:rsid w:val="00401F52"/>
    <w:rsid w:val="00404427"/>
    <w:rsid w:val="00411A33"/>
    <w:rsid w:val="00413A82"/>
    <w:rsid w:val="00413B14"/>
    <w:rsid w:val="00415077"/>
    <w:rsid w:val="00435B0B"/>
    <w:rsid w:val="004423F9"/>
    <w:rsid w:val="00443D79"/>
    <w:rsid w:val="00447871"/>
    <w:rsid w:val="00452161"/>
    <w:rsid w:val="00461925"/>
    <w:rsid w:val="00467F02"/>
    <w:rsid w:val="00472716"/>
    <w:rsid w:val="00473C48"/>
    <w:rsid w:val="00477212"/>
    <w:rsid w:val="00477615"/>
    <w:rsid w:val="0048141F"/>
    <w:rsid w:val="00484D9C"/>
    <w:rsid w:val="00490BDB"/>
    <w:rsid w:val="00496514"/>
    <w:rsid w:val="004975BE"/>
    <w:rsid w:val="004A309E"/>
    <w:rsid w:val="004A4E90"/>
    <w:rsid w:val="004A59F1"/>
    <w:rsid w:val="004A6213"/>
    <w:rsid w:val="004A6779"/>
    <w:rsid w:val="004C0C75"/>
    <w:rsid w:val="004C27E3"/>
    <w:rsid w:val="004C304C"/>
    <w:rsid w:val="004C720C"/>
    <w:rsid w:val="004C7482"/>
    <w:rsid w:val="004D413F"/>
    <w:rsid w:val="004D45B6"/>
    <w:rsid w:val="004E1628"/>
    <w:rsid w:val="004E1ED4"/>
    <w:rsid w:val="004E3A7D"/>
    <w:rsid w:val="004E53DC"/>
    <w:rsid w:val="004F2318"/>
    <w:rsid w:val="004F39FB"/>
    <w:rsid w:val="004F6EEE"/>
    <w:rsid w:val="00501133"/>
    <w:rsid w:val="005037D1"/>
    <w:rsid w:val="0050623E"/>
    <w:rsid w:val="0050695B"/>
    <w:rsid w:val="0051484F"/>
    <w:rsid w:val="0052233C"/>
    <w:rsid w:val="00526C4C"/>
    <w:rsid w:val="005335D1"/>
    <w:rsid w:val="00536C06"/>
    <w:rsid w:val="0054012F"/>
    <w:rsid w:val="0054099E"/>
    <w:rsid w:val="00541F12"/>
    <w:rsid w:val="00543E2B"/>
    <w:rsid w:val="00547410"/>
    <w:rsid w:val="00552456"/>
    <w:rsid w:val="00556F0D"/>
    <w:rsid w:val="00563C7E"/>
    <w:rsid w:val="00565AC7"/>
    <w:rsid w:val="0056607A"/>
    <w:rsid w:val="00572883"/>
    <w:rsid w:val="0058142C"/>
    <w:rsid w:val="005838EF"/>
    <w:rsid w:val="005874FB"/>
    <w:rsid w:val="00590218"/>
    <w:rsid w:val="005A6AE0"/>
    <w:rsid w:val="005B280A"/>
    <w:rsid w:val="005B57AF"/>
    <w:rsid w:val="005B6CC0"/>
    <w:rsid w:val="005C1131"/>
    <w:rsid w:val="005C57A4"/>
    <w:rsid w:val="005E3D7B"/>
    <w:rsid w:val="005E3EDE"/>
    <w:rsid w:val="005E4796"/>
    <w:rsid w:val="005E5F0A"/>
    <w:rsid w:val="0060451C"/>
    <w:rsid w:val="006231C0"/>
    <w:rsid w:val="00632599"/>
    <w:rsid w:val="006325AE"/>
    <w:rsid w:val="0063551B"/>
    <w:rsid w:val="00636C82"/>
    <w:rsid w:val="006436C1"/>
    <w:rsid w:val="006463F2"/>
    <w:rsid w:val="00662C40"/>
    <w:rsid w:val="00672AD6"/>
    <w:rsid w:val="006759D6"/>
    <w:rsid w:val="00675F0D"/>
    <w:rsid w:val="006805AF"/>
    <w:rsid w:val="00681812"/>
    <w:rsid w:val="006833DD"/>
    <w:rsid w:val="00685C8A"/>
    <w:rsid w:val="006A7869"/>
    <w:rsid w:val="006A7DF3"/>
    <w:rsid w:val="006B2F19"/>
    <w:rsid w:val="006B6E84"/>
    <w:rsid w:val="006D04A3"/>
    <w:rsid w:val="006D3933"/>
    <w:rsid w:val="006E2DD8"/>
    <w:rsid w:val="006E498D"/>
    <w:rsid w:val="006F0FE1"/>
    <w:rsid w:val="006F1BFD"/>
    <w:rsid w:val="006F54C2"/>
    <w:rsid w:val="006F5C1D"/>
    <w:rsid w:val="006F6E1F"/>
    <w:rsid w:val="0070200E"/>
    <w:rsid w:val="00704E25"/>
    <w:rsid w:val="007056A9"/>
    <w:rsid w:val="007100AE"/>
    <w:rsid w:val="0071025B"/>
    <w:rsid w:val="00714C47"/>
    <w:rsid w:val="007210B3"/>
    <w:rsid w:val="00721138"/>
    <w:rsid w:val="00722613"/>
    <w:rsid w:val="00725F8A"/>
    <w:rsid w:val="007265A1"/>
    <w:rsid w:val="00730C3E"/>
    <w:rsid w:val="00732ED3"/>
    <w:rsid w:val="0073620A"/>
    <w:rsid w:val="007576C6"/>
    <w:rsid w:val="00762083"/>
    <w:rsid w:val="00772B84"/>
    <w:rsid w:val="00780DA7"/>
    <w:rsid w:val="00785031"/>
    <w:rsid w:val="00790864"/>
    <w:rsid w:val="00793CAF"/>
    <w:rsid w:val="00795C32"/>
    <w:rsid w:val="00796DFC"/>
    <w:rsid w:val="0079718B"/>
    <w:rsid w:val="007A377A"/>
    <w:rsid w:val="007B0305"/>
    <w:rsid w:val="007B0F54"/>
    <w:rsid w:val="007B10C4"/>
    <w:rsid w:val="007B665C"/>
    <w:rsid w:val="007D0F81"/>
    <w:rsid w:val="007D1B3B"/>
    <w:rsid w:val="007D2585"/>
    <w:rsid w:val="007D73BD"/>
    <w:rsid w:val="007E2984"/>
    <w:rsid w:val="007E5808"/>
    <w:rsid w:val="007F1E38"/>
    <w:rsid w:val="0080288A"/>
    <w:rsid w:val="00806DB1"/>
    <w:rsid w:val="00811B4C"/>
    <w:rsid w:val="0081391E"/>
    <w:rsid w:val="008165B4"/>
    <w:rsid w:val="00845A91"/>
    <w:rsid w:val="008679C6"/>
    <w:rsid w:val="00875433"/>
    <w:rsid w:val="00883632"/>
    <w:rsid w:val="00884E97"/>
    <w:rsid w:val="008A083E"/>
    <w:rsid w:val="008A64E5"/>
    <w:rsid w:val="008B2C4E"/>
    <w:rsid w:val="008B58B1"/>
    <w:rsid w:val="008C5D3A"/>
    <w:rsid w:val="008D01E5"/>
    <w:rsid w:val="008D3759"/>
    <w:rsid w:val="008D3887"/>
    <w:rsid w:val="008D4EF8"/>
    <w:rsid w:val="008E068D"/>
    <w:rsid w:val="008E64E0"/>
    <w:rsid w:val="008F3522"/>
    <w:rsid w:val="008F3B9D"/>
    <w:rsid w:val="008F6F37"/>
    <w:rsid w:val="00900CDD"/>
    <w:rsid w:val="00900D9C"/>
    <w:rsid w:val="00901E57"/>
    <w:rsid w:val="00907B09"/>
    <w:rsid w:val="00917755"/>
    <w:rsid w:val="0092305A"/>
    <w:rsid w:val="00924D97"/>
    <w:rsid w:val="00927F87"/>
    <w:rsid w:val="00931864"/>
    <w:rsid w:val="009319B5"/>
    <w:rsid w:val="0093257F"/>
    <w:rsid w:val="009416A5"/>
    <w:rsid w:val="009469C5"/>
    <w:rsid w:val="00955CE8"/>
    <w:rsid w:val="009565B9"/>
    <w:rsid w:val="0095733A"/>
    <w:rsid w:val="009575C4"/>
    <w:rsid w:val="00957A16"/>
    <w:rsid w:val="00961318"/>
    <w:rsid w:val="00961A75"/>
    <w:rsid w:val="00963EE6"/>
    <w:rsid w:val="009641ED"/>
    <w:rsid w:val="0096451B"/>
    <w:rsid w:val="00964A35"/>
    <w:rsid w:val="00972C97"/>
    <w:rsid w:val="00981E56"/>
    <w:rsid w:val="009839AC"/>
    <w:rsid w:val="00983B38"/>
    <w:rsid w:val="0098434F"/>
    <w:rsid w:val="009920FA"/>
    <w:rsid w:val="00993F84"/>
    <w:rsid w:val="009A1835"/>
    <w:rsid w:val="009A5410"/>
    <w:rsid w:val="009B059B"/>
    <w:rsid w:val="009B1B7B"/>
    <w:rsid w:val="009B515B"/>
    <w:rsid w:val="009B6C63"/>
    <w:rsid w:val="009D110F"/>
    <w:rsid w:val="009D4246"/>
    <w:rsid w:val="009E00B8"/>
    <w:rsid w:val="009E02BC"/>
    <w:rsid w:val="009E28F7"/>
    <w:rsid w:val="009E5956"/>
    <w:rsid w:val="009E7566"/>
    <w:rsid w:val="009F0BE1"/>
    <w:rsid w:val="009F453D"/>
    <w:rsid w:val="009F4C59"/>
    <w:rsid w:val="00A00053"/>
    <w:rsid w:val="00A11FD4"/>
    <w:rsid w:val="00A225EF"/>
    <w:rsid w:val="00A2354E"/>
    <w:rsid w:val="00A272D7"/>
    <w:rsid w:val="00A36AF0"/>
    <w:rsid w:val="00A4017B"/>
    <w:rsid w:val="00A42BB0"/>
    <w:rsid w:val="00A43BBC"/>
    <w:rsid w:val="00A47122"/>
    <w:rsid w:val="00A519A6"/>
    <w:rsid w:val="00A54C93"/>
    <w:rsid w:val="00A6083A"/>
    <w:rsid w:val="00A70409"/>
    <w:rsid w:val="00A85EB8"/>
    <w:rsid w:val="00A916A4"/>
    <w:rsid w:val="00A9671C"/>
    <w:rsid w:val="00A96DE6"/>
    <w:rsid w:val="00AA06A5"/>
    <w:rsid w:val="00AA0A75"/>
    <w:rsid w:val="00AA379A"/>
    <w:rsid w:val="00AB3D51"/>
    <w:rsid w:val="00AB6F26"/>
    <w:rsid w:val="00AC0494"/>
    <w:rsid w:val="00AC09C2"/>
    <w:rsid w:val="00AC3B1E"/>
    <w:rsid w:val="00AC79A7"/>
    <w:rsid w:val="00AC7E8E"/>
    <w:rsid w:val="00AE2057"/>
    <w:rsid w:val="00AF2116"/>
    <w:rsid w:val="00B00C73"/>
    <w:rsid w:val="00B01CD1"/>
    <w:rsid w:val="00B037E9"/>
    <w:rsid w:val="00B11671"/>
    <w:rsid w:val="00B15644"/>
    <w:rsid w:val="00B22015"/>
    <w:rsid w:val="00B22327"/>
    <w:rsid w:val="00B23D04"/>
    <w:rsid w:val="00B24344"/>
    <w:rsid w:val="00B26FA3"/>
    <w:rsid w:val="00B3288D"/>
    <w:rsid w:val="00B33C08"/>
    <w:rsid w:val="00B33EDD"/>
    <w:rsid w:val="00B403D0"/>
    <w:rsid w:val="00B41691"/>
    <w:rsid w:val="00B448DD"/>
    <w:rsid w:val="00B4640F"/>
    <w:rsid w:val="00B46B2B"/>
    <w:rsid w:val="00B601E5"/>
    <w:rsid w:val="00B60C54"/>
    <w:rsid w:val="00B635EC"/>
    <w:rsid w:val="00B74DB3"/>
    <w:rsid w:val="00B82855"/>
    <w:rsid w:val="00B83543"/>
    <w:rsid w:val="00B96212"/>
    <w:rsid w:val="00BA2EE3"/>
    <w:rsid w:val="00BA3057"/>
    <w:rsid w:val="00BA48DA"/>
    <w:rsid w:val="00BA6A07"/>
    <w:rsid w:val="00BB140A"/>
    <w:rsid w:val="00BB16AC"/>
    <w:rsid w:val="00BB3046"/>
    <w:rsid w:val="00BC05D4"/>
    <w:rsid w:val="00BC395D"/>
    <w:rsid w:val="00BC46B2"/>
    <w:rsid w:val="00BC57FC"/>
    <w:rsid w:val="00BD1956"/>
    <w:rsid w:val="00BD648E"/>
    <w:rsid w:val="00C0128F"/>
    <w:rsid w:val="00C03912"/>
    <w:rsid w:val="00C0617C"/>
    <w:rsid w:val="00C12102"/>
    <w:rsid w:val="00C12F2F"/>
    <w:rsid w:val="00C16D1D"/>
    <w:rsid w:val="00C24097"/>
    <w:rsid w:val="00C31016"/>
    <w:rsid w:val="00C32C62"/>
    <w:rsid w:val="00C34307"/>
    <w:rsid w:val="00C528BA"/>
    <w:rsid w:val="00C57F54"/>
    <w:rsid w:val="00C60B5A"/>
    <w:rsid w:val="00C61624"/>
    <w:rsid w:val="00C624DB"/>
    <w:rsid w:val="00C6444D"/>
    <w:rsid w:val="00C65A5C"/>
    <w:rsid w:val="00C73D89"/>
    <w:rsid w:val="00C85A64"/>
    <w:rsid w:val="00C94BAB"/>
    <w:rsid w:val="00C96BEB"/>
    <w:rsid w:val="00CA171F"/>
    <w:rsid w:val="00CA7811"/>
    <w:rsid w:val="00CB2E4F"/>
    <w:rsid w:val="00CD1E07"/>
    <w:rsid w:val="00CD4931"/>
    <w:rsid w:val="00CE631B"/>
    <w:rsid w:val="00CF360B"/>
    <w:rsid w:val="00D01D4A"/>
    <w:rsid w:val="00D03F5B"/>
    <w:rsid w:val="00D05D08"/>
    <w:rsid w:val="00D076CD"/>
    <w:rsid w:val="00D20705"/>
    <w:rsid w:val="00D300D6"/>
    <w:rsid w:val="00D33656"/>
    <w:rsid w:val="00D347ED"/>
    <w:rsid w:val="00D43437"/>
    <w:rsid w:val="00D50A8C"/>
    <w:rsid w:val="00D52662"/>
    <w:rsid w:val="00D550E3"/>
    <w:rsid w:val="00D55856"/>
    <w:rsid w:val="00D563CE"/>
    <w:rsid w:val="00D57C3D"/>
    <w:rsid w:val="00D62C7F"/>
    <w:rsid w:val="00D64B74"/>
    <w:rsid w:val="00D66EB8"/>
    <w:rsid w:val="00D73F3D"/>
    <w:rsid w:val="00D75F32"/>
    <w:rsid w:val="00D77880"/>
    <w:rsid w:val="00D805CF"/>
    <w:rsid w:val="00D837AB"/>
    <w:rsid w:val="00D9561A"/>
    <w:rsid w:val="00D9711C"/>
    <w:rsid w:val="00DA5937"/>
    <w:rsid w:val="00DB3347"/>
    <w:rsid w:val="00DC21A1"/>
    <w:rsid w:val="00DC6AA4"/>
    <w:rsid w:val="00DE008C"/>
    <w:rsid w:val="00DF1174"/>
    <w:rsid w:val="00DF3BC4"/>
    <w:rsid w:val="00DF45EB"/>
    <w:rsid w:val="00E15B80"/>
    <w:rsid w:val="00E17861"/>
    <w:rsid w:val="00E212A5"/>
    <w:rsid w:val="00E24914"/>
    <w:rsid w:val="00E3017D"/>
    <w:rsid w:val="00E3375F"/>
    <w:rsid w:val="00E451A7"/>
    <w:rsid w:val="00E50DFA"/>
    <w:rsid w:val="00E517C1"/>
    <w:rsid w:val="00E52BDA"/>
    <w:rsid w:val="00E52D83"/>
    <w:rsid w:val="00E54E43"/>
    <w:rsid w:val="00E62E53"/>
    <w:rsid w:val="00E652B6"/>
    <w:rsid w:val="00E87477"/>
    <w:rsid w:val="00E911A1"/>
    <w:rsid w:val="00E92191"/>
    <w:rsid w:val="00EA2F46"/>
    <w:rsid w:val="00EA4059"/>
    <w:rsid w:val="00EA4078"/>
    <w:rsid w:val="00EA5A94"/>
    <w:rsid w:val="00EB3EC9"/>
    <w:rsid w:val="00EB5D50"/>
    <w:rsid w:val="00EB7412"/>
    <w:rsid w:val="00EC057C"/>
    <w:rsid w:val="00EC0E86"/>
    <w:rsid w:val="00EC1AD0"/>
    <w:rsid w:val="00EC3AF8"/>
    <w:rsid w:val="00EC75AC"/>
    <w:rsid w:val="00ED0F57"/>
    <w:rsid w:val="00ED3CA4"/>
    <w:rsid w:val="00ED5AC8"/>
    <w:rsid w:val="00EF5F2F"/>
    <w:rsid w:val="00F0335F"/>
    <w:rsid w:val="00F11C74"/>
    <w:rsid w:val="00F23E4A"/>
    <w:rsid w:val="00F2418B"/>
    <w:rsid w:val="00F24E85"/>
    <w:rsid w:val="00F2681C"/>
    <w:rsid w:val="00F26CB9"/>
    <w:rsid w:val="00F319B7"/>
    <w:rsid w:val="00F32C55"/>
    <w:rsid w:val="00F37298"/>
    <w:rsid w:val="00F42CB4"/>
    <w:rsid w:val="00F43117"/>
    <w:rsid w:val="00F452DB"/>
    <w:rsid w:val="00F46DDC"/>
    <w:rsid w:val="00F51DC4"/>
    <w:rsid w:val="00F52710"/>
    <w:rsid w:val="00F57E3E"/>
    <w:rsid w:val="00F613C7"/>
    <w:rsid w:val="00F65D31"/>
    <w:rsid w:val="00F720FA"/>
    <w:rsid w:val="00F7716B"/>
    <w:rsid w:val="00F82350"/>
    <w:rsid w:val="00F960A0"/>
    <w:rsid w:val="00FA0601"/>
    <w:rsid w:val="00FA2E4C"/>
    <w:rsid w:val="00FA574C"/>
    <w:rsid w:val="00FB70E7"/>
    <w:rsid w:val="00FC1000"/>
    <w:rsid w:val="00FE0D0C"/>
    <w:rsid w:val="00FE3BA4"/>
    <w:rsid w:val="00FF0F17"/>
    <w:rsid w:val="00FF2A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0AC379"/>
  <w15:chartTrackingRefBased/>
  <w15:docId w15:val="{05E88B6D-4E98-4917-A163-FE38F3BBF8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jc w:val="both"/>
    </w:pPr>
  </w:style>
  <w:style w:type="paragraph" w:styleId="Heading1">
    <w:name w:val="heading 1"/>
    <w:basedOn w:val="Normal"/>
    <w:next w:val="Normal"/>
    <w:link w:val="Heading1Char"/>
    <w:uiPriority w:val="9"/>
    <w:qFormat/>
    <w:rsid w:val="009839AC"/>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Heading2">
    <w:name w:val="heading 2"/>
    <w:basedOn w:val="Normal"/>
    <w:next w:val="Normal"/>
    <w:link w:val="Heading2Char"/>
    <w:uiPriority w:val="9"/>
    <w:semiHidden/>
    <w:unhideWhenUsed/>
    <w:qFormat/>
    <w:rsid w:val="009839AC"/>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Heading3">
    <w:name w:val="heading 3"/>
    <w:basedOn w:val="Normal"/>
    <w:next w:val="Normal"/>
    <w:link w:val="Heading3Char"/>
    <w:uiPriority w:val="9"/>
    <w:semiHidden/>
    <w:unhideWhenUsed/>
    <w:qFormat/>
    <w:rsid w:val="009839AC"/>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Heading4">
    <w:name w:val="heading 4"/>
    <w:basedOn w:val="Normal"/>
    <w:next w:val="Normal"/>
    <w:link w:val="Heading4Char"/>
    <w:uiPriority w:val="9"/>
    <w:semiHidden/>
    <w:unhideWhenUsed/>
    <w:qFormat/>
    <w:rsid w:val="009839AC"/>
    <w:pPr>
      <w:keepNext/>
      <w:keepLines/>
      <w:spacing w:before="80" w:after="40"/>
      <w:outlineLvl w:val="3"/>
    </w:pPr>
    <w:rPr>
      <w:rFonts w:cstheme="majorBidi"/>
      <w:color w:val="0F4761" w:themeColor="accent1" w:themeShade="BF"/>
      <w:sz w:val="28"/>
      <w:szCs w:val="28"/>
    </w:rPr>
  </w:style>
  <w:style w:type="paragraph" w:styleId="Heading5">
    <w:name w:val="heading 5"/>
    <w:basedOn w:val="Normal"/>
    <w:next w:val="Normal"/>
    <w:link w:val="Heading5Char"/>
    <w:uiPriority w:val="9"/>
    <w:semiHidden/>
    <w:unhideWhenUsed/>
    <w:qFormat/>
    <w:rsid w:val="009839AC"/>
    <w:pPr>
      <w:keepNext/>
      <w:keepLines/>
      <w:spacing w:before="80" w:after="40"/>
      <w:outlineLvl w:val="4"/>
    </w:pPr>
    <w:rPr>
      <w:rFonts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839AC"/>
    <w:pPr>
      <w:keepNext/>
      <w:keepLines/>
      <w:spacing w:before="40"/>
      <w:outlineLvl w:val="5"/>
    </w:pPr>
    <w:rPr>
      <w:rFonts w:cstheme="majorBidi"/>
      <w:b/>
      <w:bCs/>
      <w:color w:val="0F4761" w:themeColor="accent1" w:themeShade="BF"/>
    </w:rPr>
  </w:style>
  <w:style w:type="paragraph" w:styleId="Heading7">
    <w:name w:val="heading 7"/>
    <w:basedOn w:val="Normal"/>
    <w:next w:val="Normal"/>
    <w:link w:val="Heading7Char"/>
    <w:uiPriority w:val="9"/>
    <w:semiHidden/>
    <w:unhideWhenUsed/>
    <w:qFormat/>
    <w:rsid w:val="009839AC"/>
    <w:pPr>
      <w:keepNext/>
      <w:keepLines/>
      <w:spacing w:before="40"/>
      <w:outlineLvl w:val="6"/>
    </w:pPr>
    <w:rPr>
      <w:rFonts w:cstheme="majorBidi"/>
      <w:b/>
      <w:bCs/>
      <w:color w:val="595959" w:themeColor="text1" w:themeTint="A6"/>
    </w:rPr>
  </w:style>
  <w:style w:type="paragraph" w:styleId="Heading8">
    <w:name w:val="heading 8"/>
    <w:basedOn w:val="Normal"/>
    <w:next w:val="Normal"/>
    <w:link w:val="Heading8Char"/>
    <w:uiPriority w:val="9"/>
    <w:semiHidden/>
    <w:unhideWhenUsed/>
    <w:qFormat/>
    <w:rsid w:val="009839AC"/>
    <w:pPr>
      <w:keepNext/>
      <w:keepLines/>
      <w:outlineLvl w:val="7"/>
    </w:pPr>
    <w:rPr>
      <w:rFonts w:cstheme="majorBidi"/>
      <w:color w:val="595959" w:themeColor="text1" w:themeTint="A6"/>
    </w:rPr>
  </w:style>
  <w:style w:type="paragraph" w:styleId="Heading9">
    <w:name w:val="heading 9"/>
    <w:basedOn w:val="Normal"/>
    <w:next w:val="Normal"/>
    <w:link w:val="Heading9Char"/>
    <w:uiPriority w:val="9"/>
    <w:semiHidden/>
    <w:unhideWhenUsed/>
    <w:qFormat/>
    <w:rsid w:val="009839AC"/>
    <w:pPr>
      <w:keepNext/>
      <w:keepLines/>
      <w:outlineLvl w:val="8"/>
    </w:pPr>
    <w:rPr>
      <w:rFonts w:eastAsiaTheme="majorEastAsia" w:cstheme="majorBidi"/>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839AC"/>
    <w:rPr>
      <w:rFonts w:asciiTheme="majorHAnsi" w:eastAsiaTheme="majorEastAsia" w:hAnsiTheme="majorHAnsi" w:cstheme="majorBidi"/>
      <w:color w:val="0F4761" w:themeColor="accent1" w:themeShade="BF"/>
      <w:sz w:val="48"/>
      <w:szCs w:val="48"/>
    </w:rPr>
  </w:style>
  <w:style w:type="character" w:customStyle="1" w:styleId="Heading2Char">
    <w:name w:val="Heading 2 Char"/>
    <w:basedOn w:val="DefaultParagraphFont"/>
    <w:link w:val="Heading2"/>
    <w:uiPriority w:val="9"/>
    <w:semiHidden/>
    <w:rsid w:val="009839AC"/>
    <w:rPr>
      <w:rFonts w:asciiTheme="majorHAnsi" w:eastAsiaTheme="majorEastAsia" w:hAnsiTheme="majorHAnsi" w:cstheme="majorBidi"/>
      <w:color w:val="0F4761" w:themeColor="accent1" w:themeShade="BF"/>
      <w:sz w:val="40"/>
      <w:szCs w:val="40"/>
    </w:rPr>
  </w:style>
  <w:style w:type="character" w:customStyle="1" w:styleId="Heading3Char">
    <w:name w:val="Heading 3 Char"/>
    <w:basedOn w:val="DefaultParagraphFont"/>
    <w:link w:val="Heading3"/>
    <w:uiPriority w:val="9"/>
    <w:semiHidden/>
    <w:rsid w:val="009839AC"/>
    <w:rPr>
      <w:rFonts w:asciiTheme="majorHAnsi" w:eastAsiaTheme="majorEastAsia" w:hAnsiTheme="majorHAnsi" w:cstheme="majorBidi"/>
      <w:color w:val="0F4761" w:themeColor="accent1" w:themeShade="BF"/>
      <w:sz w:val="32"/>
      <w:szCs w:val="32"/>
    </w:rPr>
  </w:style>
  <w:style w:type="character" w:customStyle="1" w:styleId="Heading4Char">
    <w:name w:val="Heading 4 Char"/>
    <w:basedOn w:val="DefaultParagraphFont"/>
    <w:link w:val="Heading4"/>
    <w:uiPriority w:val="9"/>
    <w:semiHidden/>
    <w:rsid w:val="009839AC"/>
    <w:rPr>
      <w:rFonts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9839AC"/>
    <w:rPr>
      <w:rFonts w:cstheme="majorBidi"/>
      <w:color w:val="0F4761" w:themeColor="accent1" w:themeShade="BF"/>
      <w:sz w:val="24"/>
      <w:szCs w:val="24"/>
    </w:rPr>
  </w:style>
  <w:style w:type="character" w:customStyle="1" w:styleId="Heading6Char">
    <w:name w:val="Heading 6 Char"/>
    <w:basedOn w:val="DefaultParagraphFont"/>
    <w:link w:val="Heading6"/>
    <w:uiPriority w:val="9"/>
    <w:semiHidden/>
    <w:rsid w:val="009839AC"/>
    <w:rPr>
      <w:rFonts w:cstheme="majorBidi"/>
      <w:b/>
      <w:bCs/>
      <w:color w:val="0F4761" w:themeColor="accent1" w:themeShade="BF"/>
    </w:rPr>
  </w:style>
  <w:style w:type="character" w:customStyle="1" w:styleId="Heading7Char">
    <w:name w:val="Heading 7 Char"/>
    <w:basedOn w:val="DefaultParagraphFont"/>
    <w:link w:val="Heading7"/>
    <w:uiPriority w:val="9"/>
    <w:semiHidden/>
    <w:rsid w:val="009839AC"/>
    <w:rPr>
      <w:rFonts w:cstheme="majorBidi"/>
      <w:b/>
      <w:bCs/>
      <w:color w:val="595959" w:themeColor="text1" w:themeTint="A6"/>
    </w:rPr>
  </w:style>
  <w:style w:type="character" w:customStyle="1" w:styleId="Heading8Char">
    <w:name w:val="Heading 8 Char"/>
    <w:basedOn w:val="DefaultParagraphFont"/>
    <w:link w:val="Heading8"/>
    <w:uiPriority w:val="9"/>
    <w:semiHidden/>
    <w:rsid w:val="009839AC"/>
    <w:rPr>
      <w:rFonts w:cstheme="majorBidi"/>
      <w:color w:val="595959" w:themeColor="text1" w:themeTint="A6"/>
    </w:rPr>
  </w:style>
  <w:style w:type="character" w:customStyle="1" w:styleId="Heading9Char">
    <w:name w:val="Heading 9 Char"/>
    <w:basedOn w:val="DefaultParagraphFont"/>
    <w:link w:val="Heading9"/>
    <w:uiPriority w:val="9"/>
    <w:semiHidden/>
    <w:rsid w:val="009839AC"/>
    <w:rPr>
      <w:rFonts w:eastAsiaTheme="majorEastAsia" w:cstheme="majorBidi"/>
      <w:color w:val="595959" w:themeColor="text1" w:themeTint="A6"/>
    </w:rPr>
  </w:style>
  <w:style w:type="paragraph" w:styleId="Title">
    <w:name w:val="Title"/>
    <w:basedOn w:val="Normal"/>
    <w:next w:val="Normal"/>
    <w:link w:val="TitleChar"/>
    <w:uiPriority w:val="10"/>
    <w:qFormat/>
    <w:rsid w:val="009839AC"/>
    <w:pPr>
      <w:spacing w:after="80"/>
      <w:contextualSpacing/>
      <w:jc w:val="center"/>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839A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39AC"/>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839AC"/>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9839A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839AC"/>
    <w:rPr>
      <w:i/>
      <w:iCs/>
      <w:color w:val="404040" w:themeColor="text1" w:themeTint="BF"/>
    </w:rPr>
  </w:style>
  <w:style w:type="paragraph" w:styleId="ListParagraph">
    <w:name w:val="List Paragraph"/>
    <w:basedOn w:val="Normal"/>
    <w:uiPriority w:val="34"/>
    <w:qFormat/>
    <w:rsid w:val="009839AC"/>
    <w:pPr>
      <w:ind w:left="720"/>
      <w:contextualSpacing/>
    </w:pPr>
  </w:style>
  <w:style w:type="character" w:styleId="IntenseEmphasis">
    <w:name w:val="Intense Emphasis"/>
    <w:basedOn w:val="DefaultParagraphFont"/>
    <w:uiPriority w:val="21"/>
    <w:qFormat/>
    <w:rsid w:val="009839AC"/>
    <w:rPr>
      <w:i/>
      <w:iCs/>
      <w:color w:val="0F4761" w:themeColor="accent1" w:themeShade="BF"/>
    </w:rPr>
  </w:style>
  <w:style w:type="paragraph" w:styleId="IntenseQuote">
    <w:name w:val="Intense Quote"/>
    <w:basedOn w:val="Normal"/>
    <w:next w:val="Normal"/>
    <w:link w:val="IntenseQuoteChar"/>
    <w:uiPriority w:val="30"/>
    <w:qFormat/>
    <w:rsid w:val="009839A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839AC"/>
    <w:rPr>
      <w:i/>
      <w:iCs/>
      <w:color w:val="0F4761" w:themeColor="accent1" w:themeShade="BF"/>
    </w:rPr>
  </w:style>
  <w:style w:type="character" w:styleId="IntenseReference">
    <w:name w:val="Intense Reference"/>
    <w:basedOn w:val="DefaultParagraphFont"/>
    <w:uiPriority w:val="32"/>
    <w:qFormat/>
    <w:rsid w:val="009839AC"/>
    <w:rPr>
      <w:b/>
      <w:bCs/>
      <w:smallCaps/>
      <w:color w:val="0F4761" w:themeColor="accent1" w:themeShade="BF"/>
      <w:spacing w:val="5"/>
    </w:rPr>
  </w:style>
  <w:style w:type="character" w:styleId="Hyperlink">
    <w:name w:val="Hyperlink"/>
    <w:basedOn w:val="DefaultParagraphFont"/>
    <w:uiPriority w:val="99"/>
    <w:unhideWhenUsed/>
    <w:rsid w:val="00961A75"/>
    <w:rPr>
      <w:color w:val="467886" w:themeColor="hyperlink"/>
      <w:u w:val="single"/>
    </w:rPr>
  </w:style>
  <w:style w:type="character" w:styleId="UnresolvedMention">
    <w:name w:val="Unresolved Mention"/>
    <w:basedOn w:val="DefaultParagraphFont"/>
    <w:uiPriority w:val="99"/>
    <w:semiHidden/>
    <w:unhideWhenUsed/>
    <w:rsid w:val="00961A75"/>
    <w:rPr>
      <w:color w:val="605E5C"/>
      <w:shd w:val="clear" w:color="auto" w:fill="E1DFDD"/>
    </w:rPr>
  </w:style>
  <w:style w:type="character" w:styleId="FollowedHyperlink">
    <w:name w:val="FollowedHyperlink"/>
    <w:basedOn w:val="DefaultParagraphFont"/>
    <w:uiPriority w:val="99"/>
    <w:semiHidden/>
    <w:unhideWhenUsed/>
    <w:rsid w:val="00961A75"/>
    <w:rPr>
      <w:color w:val="96607D" w:themeColor="followedHyperlink"/>
      <w:u w:val="single"/>
    </w:rPr>
  </w:style>
  <w:style w:type="paragraph" w:styleId="Header">
    <w:name w:val="header"/>
    <w:basedOn w:val="Normal"/>
    <w:link w:val="HeaderChar"/>
    <w:uiPriority w:val="99"/>
    <w:unhideWhenUsed/>
    <w:rsid w:val="00F65D31"/>
    <w:pP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F65D31"/>
    <w:rPr>
      <w:sz w:val="18"/>
      <w:szCs w:val="18"/>
    </w:rPr>
  </w:style>
  <w:style w:type="paragraph" w:styleId="Footer">
    <w:name w:val="footer"/>
    <w:basedOn w:val="Normal"/>
    <w:link w:val="FooterChar"/>
    <w:uiPriority w:val="99"/>
    <w:unhideWhenUsed/>
    <w:rsid w:val="00F65D31"/>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F65D3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137295">
      <w:bodyDiv w:val="1"/>
      <w:marLeft w:val="0"/>
      <w:marRight w:val="0"/>
      <w:marTop w:val="0"/>
      <w:marBottom w:val="0"/>
      <w:divBdr>
        <w:top w:val="none" w:sz="0" w:space="0" w:color="auto"/>
        <w:left w:val="none" w:sz="0" w:space="0" w:color="auto"/>
        <w:bottom w:val="none" w:sz="0" w:space="0" w:color="auto"/>
        <w:right w:val="none" w:sz="0" w:space="0" w:color="auto"/>
      </w:divBdr>
    </w:div>
    <w:div w:id="417286945">
      <w:bodyDiv w:val="1"/>
      <w:marLeft w:val="0"/>
      <w:marRight w:val="0"/>
      <w:marTop w:val="0"/>
      <w:marBottom w:val="0"/>
      <w:divBdr>
        <w:top w:val="none" w:sz="0" w:space="0" w:color="auto"/>
        <w:left w:val="none" w:sz="0" w:space="0" w:color="auto"/>
        <w:bottom w:val="none" w:sz="0" w:space="0" w:color="auto"/>
        <w:right w:val="none" w:sz="0" w:space="0" w:color="auto"/>
      </w:divBdr>
    </w:div>
    <w:div w:id="19881234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3097</TotalTime>
  <Pages>1</Pages>
  <Words>25308</Words>
  <Characters>40495</Characters>
  <Application>Microsoft Office Word</Application>
  <DocSecurity>0</DocSecurity>
  <Lines>3115</Lines>
  <Paragraphs>4112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EvelynZhang</dc:creator>
  <cp:keywords/>
  <dc:description/>
  <cp:lastModifiedBy>DixonWong</cp:lastModifiedBy>
  <cp:revision>279</cp:revision>
  <dcterms:created xsi:type="dcterms:W3CDTF">2025-07-09T08:51:00Z</dcterms:created>
  <dcterms:modified xsi:type="dcterms:W3CDTF">2025-07-23T04:21:00Z</dcterms:modified>
</cp:coreProperties>
</file>