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04C23" w14:textId="1AEDD0CD" w:rsidR="00B474D3" w:rsidRPr="00400CEC" w:rsidRDefault="00B474D3" w:rsidP="00400CEC">
      <w:pPr>
        <w:spacing w:line="360" w:lineRule="auto"/>
        <w:rPr>
          <w:rFonts w:ascii="Times New Roman" w:hAnsi="Times New Roman" w:cs="Times New Roman"/>
        </w:rPr>
      </w:pPr>
      <w:r w:rsidRPr="00400CEC">
        <w:rPr>
          <w:rFonts w:ascii="Times New Roman" w:hAnsi="Times New Roman" w:cs="Times New Roman"/>
        </w:rPr>
        <w:t xml:space="preserve">Widely regarded as Shakespeare’s final solo work, </w:t>
      </w:r>
      <w:r w:rsidRPr="00400CEC">
        <w:rPr>
          <w:rFonts w:ascii="Times New Roman" w:hAnsi="Times New Roman" w:cs="Times New Roman"/>
          <w:i/>
          <w:iCs/>
        </w:rPr>
        <w:t xml:space="preserve">The Tempest </w:t>
      </w:r>
      <w:r w:rsidRPr="00400CEC">
        <w:rPr>
          <w:rFonts w:ascii="Times New Roman" w:hAnsi="Times New Roman" w:cs="Times New Roman"/>
        </w:rPr>
        <w:t>is a play that has been subject to an extensive amount of criticism regarding its colonial, religious, humanist and tragic themes: and, more specifically, summation surrounding Shakespeare’s own thoughts about these topics. The scene that is perhaps most crucial to this conversation is Act 2, Scene 1; King Alonso, heartbroken at the separation from his son Ferdinand within the tempest in Act 1, Scene 1, searches for his son with his entourage of courtiers (most notably Gonzalo and Antonio) as well as his brother Sebastian.</w:t>
      </w:r>
      <w:r w:rsidRPr="00400CEC">
        <w:rPr>
          <w:rFonts w:ascii="Times New Roman" w:hAnsi="Times New Roman" w:cs="Times New Roman"/>
          <w:vertAlign w:val="superscript"/>
        </w:rPr>
        <w:footnoteReference w:id="1"/>
      </w:r>
      <w:r w:rsidRPr="00400CEC">
        <w:rPr>
          <w:rFonts w:ascii="Times New Roman" w:hAnsi="Times New Roman" w:cs="Times New Roman"/>
        </w:rPr>
        <w:t xml:space="preserve"> Themes of power and betrayal coexist throughout the scene, manifesting and corrupting the characters with different effects. Gonzalo describes his grand desires for turning this newfound, mysterious land into a colonial utopia; Sebastian and Antonio disagree with his musings, but when the magical sprite Ariel charms their companions asleep, they too are carried away by the prospect of power through the murder or Alonso.</w:t>
      </w:r>
      <w:r w:rsidRPr="00400CEC">
        <w:rPr>
          <w:rFonts w:ascii="Times New Roman" w:hAnsi="Times New Roman" w:cs="Times New Roman"/>
          <w:vertAlign w:val="superscript"/>
        </w:rPr>
        <w:footnoteReference w:id="2"/>
      </w:r>
      <w:r w:rsidRPr="00400CEC">
        <w:rPr>
          <w:rFonts w:ascii="Times New Roman" w:hAnsi="Times New Roman" w:cs="Times New Roman"/>
        </w:rPr>
        <w:t xml:space="preserve"> Many scholars have noted Shakespeare’s use of humanist and philosophical writings as inspiration for characters, dialogue and plots throughout his many works. Pascale Drouet describes Shakespeare as believing, reflecting and writing about ‘humans as temporal beings’, much like the Renaissance Humanist philosophers Erasmus of Rotterdam and Michel de Montaigne.</w:t>
      </w:r>
      <w:r w:rsidRPr="00400CEC">
        <w:rPr>
          <w:rFonts w:ascii="Times New Roman" w:hAnsi="Times New Roman" w:cs="Times New Roman"/>
          <w:vertAlign w:val="superscript"/>
        </w:rPr>
        <w:footnoteReference w:id="3"/>
      </w:r>
      <w:r w:rsidRPr="00400CEC">
        <w:rPr>
          <w:rFonts w:ascii="Times New Roman" w:hAnsi="Times New Roman" w:cs="Times New Roman"/>
        </w:rPr>
        <w:t xml:space="preserve"> Margaret L. King’s definition of humanism shall be used: according to King, Renaissance Humanism ‘was a way of life’ that ‘involved a commitment to the world of ideas’.</w:t>
      </w:r>
      <w:r w:rsidRPr="00400CEC">
        <w:rPr>
          <w:rFonts w:ascii="Times New Roman" w:hAnsi="Times New Roman" w:cs="Times New Roman"/>
          <w:vertAlign w:val="superscript"/>
        </w:rPr>
        <w:footnoteReference w:id="4"/>
      </w:r>
      <w:r w:rsidRPr="00400CEC">
        <w:rPr>
          <w:rFonts w:ascii="Times New Roman" w:hAnsi="Times New Roman" w:cs="Times New Roman"/>
        </w:rPr>
        <w:t xml:space="preserve"> Alongside these clear philosophical influences, this essay will explore three of the six elements of Renaissance Humanism within </w:t>
      </w:r>
      <w:r w:rsidRPr="00400CEC">
        <w:rPr>
          <w:rFonts w:ascii="Times New Roman" w:hAnsi="Times New Roman" w:cs="Times New Roman"/>
          <w:i/>
          <w:iCs/>
        </w:rPr>
        <w:t xml:space="preserve">The Tempest </w:t>
      </w:r>
      <w:r w:rsidRPr="00400CEC">
        <w:rPr>
          <w:rFonts w:ascii="Times New Roman" w:hAnsi="Times New Roman" w:cs="Times New Roman"/>
        </w:rPr>
        <w:t xml:space="preserve">that have been outlined by Ellen Pearl N. </w:t>
      </w:r>
      <w:proofErr w:type="spellStart"/>
      <w:r w:rsidRPr="00400CEC">
        <w:rPr>
          <w:rFonts w:ascii="Times New Roman" w:hAnsi="Times New Roman" w:cs="Times New Roman"/>
        </w:rPr>
        <w:t>Lagunzad</w:t>
      </w:r>
      <w:proofErr w:type="spellEnd"/>
      <w:r w:rsidRPr="00400CEC">
        <w:rPr>
          <w:rFonts w:ascii="Times New Roman" w:hAnsi="Times New Roman" w:cs="Times New Roman"/>
        </w:rPr>
        <w:t>: humanism leading to an ethical life, humanism affirming our responsibilities, and humanism to lead a life of fulfilment.</w:t>
      </w:r>
      <w:r w:rsidRPr="00400CEC">
        <w:rPr>
          <w:rFonts w:ascii="Times New Roman" w:hAnsi="Times New Roman" w:cs="Times New Roman"/>
          <w:vertAlign w:val="superscript"/>
        </w:rPr>
        <w:footnoteReference w:id="5"/>
      </w:r>
      <w:r w:rsidRPr="00400CEC">
        <w:rPr>
          <w:rFonts w:ascii="Times New Roman" w:hAnsi="Times New Roman" w:cs="Times New Roman"/>
        </w:rPr>
        <w:t xml:space="preserve"> This will be done through a close analysis of Act 2, Scene 1 and themes such as the Divine Right of Kings, regicide and colonialism, linking these themes to various social and political contexts of the Jacobean era. </w:t>
      </w:r>
      <w:r w:rsidR="00400CEC">
        <w:rPr>
          <w:rFonts w:ascii="Times New Roman" w:hAnsi="Times New Roman" w:cs="Times New Roman"/>
        </w:rPr>
        <w:tab/>
      </w:r>
      <w:r w:rsidRPr="00400CEC">
        <w:rPr>
          <w:rFonts w:ascii="Times New Roman" w:hAnsi="Times New Roman" w:cs="Times New Roman"/>
        </w:rPr>
        <w:t xml:space="preserve">In his article entitled </w:t>
      </w:r>
      <w:r w:rsidRPr="00400CEC">
        <w:rPr>
          <w:rFonts w:ascii="Times New Roman" w:hAnsi="Times New Roman" w:cs="Times New Roman"/>
          <w:i/>
          <w:iCs/>
        </w:rPr>
        <w:t xml:space="preserve">Virtue, Vice and Compassion in Montaigne and The Tempest, </w:t>
      </w:r>
      <w:r w:rsidRPr="00400CEC">
        <w:rPr>
          <w:rFonts w:ascii="Times New Roman" w:hAnsi="Times New Roman" w:cs="Times New Roman"/>
        </w:rPr>
        <w:t xml:space="preserve">Arthur Kirsch notes that </w:t>
      </w:r>
      <w:r w:rsidRPr="00400CEC">
        <w:rPr>
          <w:rFonts w:ascii="Times New Roman" w:hAnsi="Times New Roman" w:cs="Times New Roman"/>
          <w:i/>
          <w:iCs/>
        </w:rPr>
        <w:t xml:space="preserve">The Tempest </w:t>
      </w:r>
      <w:r w:rsidRPr="00400CEC">
        <w:rPr>
          <w:rFonts w:ascii="Times New Roman" w:hAnsi="Times New Roman" w:cs="Times New Roman"/>
        </w:rPr>
        <w:t xml:space="preserve">is where Shakespeare’s ‘relation to Montaigne is most </w:t>
      </w:r>
      <w:r w:rsidRPr="00400CEC">
        <w:rPr>
          <w:rFonts w:ascii="Times New Roman" w:hAnsi="Times New Roman" w:cs="Times New Roman"/>
        </w:rPr>
        <w:lastRenderedPageBreak/>
        <w:t>palpable and most illuminating’.</w:t>
      </w:r>
      <w:r w:rsidRPr="00400CEC">
        <w:rPr>
          <w:rFonts w:ascii="Times New Roman" w:hAnsi="Times New Roman" w:cs="Times New Roman"/>
          <w:vertAlign w:val="superscript"/>
        </w:rPr>
        <w:footnoteReference w:id="6"/>
      </w:r>
      <w:r w:rsidR="00E95E1F">
        <w:rPr>
          <w:rFonts w:ascii="Times New Roman" w:hAnsi="Times New Roman" w:cs="Times New Roman"/>
        </w:rPr>
        <w:t xml:space="preserve"> </w:t>
      </w:r>
      <w:r w:rsidRPr="00400CEC">
        <w:rPr>
          <w:rFonts w:ascii="Times New Roman" w:hAnsi="Times New Roman" w:cs="Times New Roman"/>
        </w:rPr>
        <w:t xml:space="preserve">Shakespeare draws from several of Montaigne’s essays throughout </w:t>
      </w:r>
      <w:r w:rsidRPr="00400CEC">
        <w:rPr>
          <w:rFonts w:ascii="Times New Roman" w:hAnsi="Times New Roman" w:cs="Times New Roman"/>
          <w:i/>
          <w:iCs/>
        </w:rPr>
        <w:t>The Tempest</w:t>
      </w:r>
      <w:r w:rsidRPr="00400CEC">
        <w:rPr>
          <w:rFonts w:ascii="Times New Roman" w:hAnsi="Times New Roman" w:cs="Times New Roman"/>
        </w:rPr>
        <w:t xml:space="preserve">, and Montaigne’s essays appear to have had a huge impact on the composition of Act 2, Scene 1. </w:t>
      </w:r>
      <w:r w:rsidR="0014095E" w:rsidRPr="00400CEC">
        <w:rPr>
          <w:rFonts w:ascii="Times New Roman" w:hAnsi="Times New Roman" w:cs="Times New Roman"/>
        </w:rPr>
        <w:t>Regarding obedience</w:t>
      </w:r>
      <w:r w:rsidRPr="00400CEC">
        <w:rPr>
          <w:rFonts w:ascii="Times New Roman" w:hAnsi="Times New Roman" w:cs="Times New Roman"/>
        </w:rPr>
        <w:t xml:space="preserve"> and authority in his essay </w:t>
      </w:r>
      <w:r w:rsidRPr="00400CEC">
        <w:rPr>
          <w:rFonts w:ascii="Times New Roman" w:hAnsi="Times New Roman" w:cs="Times New Roman"/>
          <w:i/>
          <w:iCs/>
        </w:rPr>
        <w:t xml:space="preserve">Of the Affection of Fathers to their Children, </w:t>
      </w:r>
      <w:r w:rsidRPr="00400CEC">
        <w:rPr>
          <w:rFonts w:ascii="Times New Roman" w:hAnsi="Times New Roman" w:cs="Times New Roman"/>
        </w:rPr>
        <w:t xml:space="preserve">Montaigne describes the importance of fathers endearing themselves to their children by ways of mutual familiarity and respect. </w:t>
      </w:r>
    </w:p>
    <w:p w14:paraId="49F5DD51" w14:textId="77777777" w:rsidR="00B474D3" w:rsidRPr="00400CEC" w:rsidRDefault="00B474D3" w:rsidP="007551E0">
      <w:pPr>
        <w:ind w:left="720" w:right="720"/>
        <w:rPr>
          <w:rFonts w:ascii="Times New Roman" w:hAnsi="Times New Roman" w:cs="Times New Roman"/>
        </w:rPr>
      </w:pPr>
      <w:r w:rsidRPr="00400CEC">
        <w:rPr>
          <w:rFonts w:ascii="Times New Roman" w:hAnsi="Times New Roman" w:cs="Times New Roman"/>
        </w:rPr>
        <w:t>We call Almighty God Father, and disdain to have our children call us so; […] And ’tis also folly and injustice to deprive children, when grown up, of familiarity with their father, and to carry a scornful and austere countenance toward them, thinking by that to keep them in awe and obedience [.]</w:t>
      </w:r>
      <w:r w:rsidRPr="00400CEC">
        <w:rPr>
          <w:rFonts w:ascii="Times New Roman" w:hAnsi="Times New Roman" w:cs="Times New Roman"/>
          <w:vertAlign w:val="superscript"/>
        </w:rPr>
        <w:footnoteReference w:id="7"/>
      </w:r>
    </w:p>
    <w:p w14:paraId="783836FA" w14:textId="4370956F" w:rsidR="00B474D3" w:rsidRPr="00400CEC" w:rsidRDefault="00B474D3" w:rsidP="00400CEC">
      <w:pPr>
        <w:spacing w:line="360" w:lineRule="auto"/>
        <w:rPr>
          <w:rFonts w:ascii="Times New Roman" w:hAnsi="Times New Roman" w:cs="Times New Roman"/>
        </w:rPr>
      </w:pPr>
      <w:r w:rsidRPr="00400CEC">
        <w:rPr>
          <w:rFonts w:ascii="Times New Roman" w:hAnsi="Times New Roman" w:cs="Times New Roman"/>
        </w:rPr>
        <w:t>This leads us to our first element of humanism: affirmation of responsibility. Within the play we can view Alonso as the pseudo-father to his subjects who he ‘deprives’ of ‘familiarity’ with the crown. Like a neglectful father, he neglects his responsibilities as a ruler. He appears rather aloof with his courtiers, and the audience sees him either alone (i.e., off-stage) or morosely wandering the island. His subjects do not appear to be particularly loyal to him either: many characters question Alonso’s decisions throughout the play, with the most scathing comments coming from his brother Sebastian. For instance, he critiques Alonso’s decision of marrying Clarabel to an African prince – ‘Sir, you may thank yourself for this great loss / That would not bless our Europe with your daughter / But rather lose her to an African’ (Act 2, Scene 1).</w:t>
      </w:r>
      <w:r w:rsidRPr="00400CEC">
        <w:rPr>
          <w:rFonts w:ascii="Times New Roman" w:hAnsi="Times New Roman" w:cs="Times New Roman"/>
          <w:vertAlign w:val="superscript"/>
        </w:rPr>
        <w:footnoteReference w:id="8"/>
      </w:r>
      <w:r w:rsidRPr="00400CEC">
        <w:rPr>
          <w:rFonts w:ascii="Times New Roman" w:hAnsi="Times New Roman" w:cs="Times New Roman"/>
        </w:rPr>
        <w:t xml:space="preserve"> He is also not the only leader in the play to neglect his responsibilities. In Act 1, Scene 2 Prospero confesses to Miranda that his brother Antonio was only able to successfully usurp him as Duke of Milan as he was ‘neglecting </w:t>
      </w:r>
      <w:proofErr w:type="spellStart"/>
      <w:r w:rsidRPr="00400CEC">
        <w:rPr>
          <w:rFonts w:ascii="Times New Roman" w:hAnsi="Times New Roman" w:cs="Times New Roman"/>
        </w:rPr>
        <w:t>wordly</w:t>
      </w:r>
      <w:proofErr w:type="spellEnd"/>
      <w:r w:rsidRPr="00400CEC">
        <w:rPr>
          <w:rFonts w:ascii="Times New Roman" w:hAnsi="Times New Roman" w:cs="Times New Roman"/>
        </w:rPr>
        <w:t xml:space="preserve"> ends, all dedicated / To closeness and the bettering of [his] mind’.</w:t>
      </w:r>
      <w:r w:rsidRPr="00400CEC">
        <w:rPr>
          <w:rFonts w:ascii="Times New Roman" w:hAnsi="Times New Roman" w:cs="Times New Roman"/>
          <w:vertAlign w:val="superscript"/>
        </w:rPr>
        <w:footnoteReference w:id="9"/>
      </w:r>
      <w:r w:rsidRPr="00400CEC">
        <w:rPr>
          <w:rFonts w:ascii="Times New Roman" w:hAnsi="Times New Roman" w:cs="Times New Roman"/>
        </w:rPr>
        <w:t xml:space="preserve"> Despite his acknowledgement that he was ‘neglecting’ his subjects, Prospero remains bitter at the loss of his responsibilities. There lies the dichotomy: rulers who declare their right to rule whilst </w:t>
      </w:r>
      <w:r w:rsidR="006E18CE">
        <w:rPr>
          <w:rFonts w:ascii="Times New Roman" w:hAnsi="Times New Roman" w:cs="Times New Roman"/>
        </w:rPr>
        <w:t xml:space="preserve">behaving in ways which are </w:t>
      </w:r>
      <w:r w:rsidRPr="00400CEC">
        <w:rPr>
          <w:rFonts w:ascii="Times New Roman" w:hAnsi="Times New Roman" w:cs="Times New Roman"/>
        </w:rPr>
        <w:t>‘scornful’ and ‘austere’ towards their responsibilities and supporters.</w:t>
      </w:r>
      <w:r w:rsidRPr="00400CEC">
        <w:rPr>
          <w:rFonts w:ascii="Times New Roman" w:hAnsi="Times New Roman" w:cs="Times New Roman"/>
          <w:vertAlign w:val="superscript"/>
        </w:rPr>
        <w:footnoteReference w:id="10"/>
      </w:r>
      <w:r w:rsidRPr="00400CEC">
        <w:rPr>
          <w:rFonts w:ascii="Times New Roman" w:hAnsi="Times New Roman" w:cs="Times New Roman"/>
        </w:rPr>
        <w:t xml:space="preserve"> Gonzalo</w:t>
      </w:r>
      <w:r w:rsidR="00CE6D77">
        <w:rPr>
          <w:rFonts w:ascii="Times New Roman" w:hAnsi="Times New Roman" w:cs="Times New Roman"/>
        </w:rPr>
        <w:t>’s dialogue</w:t>
      </w:r>
      <w:r w:rsidRPr="00400CEC">
        <w:rPr>
          <w:rFonts w:ascii="Times New Roman" w:hAnsi="Times New Roman" w:cs="Times New Roman"/>
        </w:rPr>
        <w:t xml:space="preserve"> </w:t>
      </w:r>
      <w:r w:rsidR="0046380B">
        <w:rPr>
          <w:rFonts w:ascii="Times New Roman" w:hAnsi="Times New Roman" w:cs="Times New Roman"/>
        </w:rPr>
        <w:t xml:space="preserve">in Act 2, Scene 1 </w:t>
      </w:r>
      <w:r w:rsidRPr="00400CEC">
        <w:rPr>
          <w:rFonts w:ascii="Times New Roman" w:hAnsi="Times New Roman" w:cs="Times New Roman"/>
        </w:rPr>
        <w:t>prov</w:t>
      </w:r>
      <w:r w:rsidR="00CE6D77">
        <w:rPr>
          <w:rFonts w:ascii="Times New Roman" w:hAnsi="Times New Roman" w:cs="Times New Roman"/>
        </w:rPr>
        <w:t>ides</w:t>
      </w:r>
      <w:r w:rsidRPr="00400CEC">
        <w:rPr>
          <w:rFonts w:ascii="Times New Roman" w:hAnsi="Times New Roman" w:cs="Times New Roman"/>
        </w:rPr>
        <w:t xml:space="preserve"> the audience with a crucial understanding of how</w:t>
      </w:r>
      <w:r w:rsidRPr="00400CEC">
        <w:rPr>
          <w:rFonts w:ascii="Times New Roman" w:hAnsi="Times New Roman" w:cs="Times New Roman"/>
          <w:i/>
          <w:iCs/>
        </w:rPr>
        <w:t xml:space="preserve"> </w:t>
      </w:r>
      <w:r w:rsidRPr="00400CEC">
        <w:rPr>
          <w:rFonts w:ascii="Times New Roman" w:hAnsi="Times New Roman" w:cs="Times New Roman"/>
        </w:rPr>
        <w:t xml:space="preserve">society within </w:t>
      </w:r>
      <w:r w:rsidRPr="00400CEC">
        <w:rPr>
          <w:rFonts w:ascii="Times New Roman" w:hAnsi="Times New Roman" w:cs="Times New Roman"/>
          <w:i/>
          <w:iCs/>
        </w:rPr>
        <w:t xml:space="preserve">The Tempest </w:t>
      </w:r>
      <w:r w:rsidRPr="00400CEC">
        <w:rPr>
          <w:rFonts w:ascii="Times New Roman" w:hAnsi="Times New Roman" w:cs="Times New Roman"/>
        </w:rPr>
        <w:t>view leadership.</w:t>
      </w:r>
    </w:p>
    <w:p w14:paraId="1FA20AC2" w14:textId="77777777" w:rsidR="00B474D3" w:rsidRPr="00400CEC" w:rsidRDefault="00B474D3" w:rsidP="007265A7">
      <w:pPr>
        <w:ind w:left="720"/>
        <w:rPr>
          <w:rFonts w:ascii="Times New Roman" w:hAnsi="Times New Roman" w:cs="Times New Roman"/>
        </w:rPr>
      </w:pPr>
      <w:r w:rsidRPr="00400CEC">
        <w:rPr>
          <w:rFonts w:ascii="Times New Roman" w:hAnsi="Times New Roman" w:cs="Times New Roman"/>
        </w:rPr>
        <w:t>GONZALO</w:t>
      </w:r>
      <w:r w:rsidRPr="00400CEC">
        <w:rPr>
          <w:rFonts w:ascii="Times New Roman" w:hAnsi="Times New Roman" w:cs="Times New Roman"/>
          <w:i/>
          <w:iCs/>
        </w:rPr>
        <w:t>, </w:t>
      </w:r>
      <w:r w:rsidRPr="00400CEC">
        <w:rPr>
          <w:rFonts w:ascii="Times New Roman" w:hAnsi="Times New Roman" w:cs="Times New Roman"/>
        </w:rPr>
        <w:t>[</w:t>
      </w:r>
      <w:r w:rsidRPr="00400CEC">
        <w:rPr>
          <w:rFonts w:ascii="Times New Roman" w:hAnsi="Times New Roman" w:cs="Times New Roman"/>
          <w:i/>
          <w:iCs/>
        </w:rPr>
        <w:t>to Alonso</w:t>
      </w:r>
      <w:r w:rsidRPr="00400CEC">
        <w:rPr>
          <w:rFonts w:ascii="Times New Roman" w:hAnsi="Times New Roman" w:cs="Times New Roman"/>
        </w:rPr>
        <w:t>]</w:t>
      </w:r>
      <w:r w:rsidRPr="00400CEC">
        <w:rPr>
          <w:rFonts w:ascii="Times New Roman" w:hAnsi="Times New Roman" w:cs="Times New Roman"/>
        </w:rPr>
        <w:br/>
        <w:t> Beseech you, sir, be merry. You have cause—</w:t>
      </w:r>
      <w:r w:rsidRPr="00400CEC">
        <w:rPr>
          <w:rFonts w:ascii="Times New Roman" w:hAnsi="Times New Roman" w:cs="Times New Roman"/>
        </w:rPr>
        <w:br/>
      </w:r>
      <w:r w:rsidRPr="00400CEC">
        <w:rPr>
          <w:rFonts w:ascii="Times New Roman" w:hAnsi="Times New Roman" w:cs="Times New Roman"/>
        </w:rPr>
        <w:lastRenderedPageBreak/>
        <w:t> So have we all—of joy, for our escape</w:t>
      </w:r>
      <w:r w:rsidRPr="00400CEC">
        <w:rPr>
          <w:rFonts w:ascii="Times New Roman" w:hAnsi="Times New Roman" w:cs="Times New Roman"/>
        </w:rPr>
        <w:br/>
        <w:t> Is much beyond our loss. […] But for the miracle—</w:t>
      </w:r>
      <w:r w:rsidRPr="00400CEC">
        <w:rPr>
          <w:rFonts w:ascii="Times New Roman" w:hAnsi="Times New Roman" w:cs="Times New Roman"/>
        </w:rPr>
        <w:br/>
        <w:t> I mean our preservation—few in millions</w:t>
      </w:r>
      <w:r w:rsidRPr="00400CEC">
        <w:rPr>
          <w:rFonts w:ascii="Times New Roman" w:hAnsi="Times New Roman" w:cs="Times New Roman"/>
        </w:rPr>
        <w:br/>
        <w:t> Can speak like us.</w:t>
      </w:r>
      <w:r w:rsidRPr="00400CEC">
        <w:rPr>
          <w:rFonts w:ascii="Times New Roman" w:hAnsi="Times New Roman" w:cs="Times New Roman"/>
          <w:vertAlign w:val="superscript"/>
        </w:rPr>
        <w:footnoteReference w:id="11"/>
      </w:r>
    </w:p>
    <w:p w14:paraId="5A8BA67C" w14:textId="7505335E" w:rsidR="00B474D3" w:rsidRPr="00400CEC" w:rsidRDefault="00B474D3" w:rsidP="006B201B">
      <w:pPr>
        <w:spacing w:line="360" w:lineRule="auto"/>
        <w:rPr>
          <w:rFonts w:ascii="Times New Roman" w:hAnsi="Times New Roman" w:cs="Times New Roman"/>
        </w:rPr>
      </w:pPr>
      <w:r w:rsidRPr="00400CEC">
        <w:rPr>
          <w:rFonts w:ascii="Times New Roman" w:hAnsi="Times New Roman" w:cs="Times New Roman"/>
        </w:rPr>
        <w:t xml:space="preserve">Gonzalo’s innate need to serve is one of the defining traits of his character. His first words to Alonso are pleading and urgent: the verb ‘beseech’ implies he is an active supporter rather than passive follower. Contrastingly, his opening dialogue is littered with self-interruptions. The repeated use of </w:t>
      </w:r>
      <w:proofErr w:type="spellStart"/>
      <w:r w:rsidRPr="00400CEC">
        <w:rPr>
          <w:rFonts w:ascii="Times New Roman" w:hAnsi="Times New Roman" w:cs="Times New Roman"/>
        </w:rPr>
        <w:t>em</w:t>
      </w:r>
      <w:proofErr w:type="spellEnd"/>
      <w:r w:rsidRPr="00400CEC">
        <w:rPr>
          <w:rFonts w:ascii="Times New Roman" w:hAnsi="Times New Roman" w:cs="Times New Roman"/>
        </w:rPr>
        <w:t>-dashes portrays a man that is being careful about how he addresses his king, showing the audience that he is being careful not to insult or offend. Interestingly, Gonzalo corrects himself when he references the ‘miracle’ of survival – implying that he is avoiding any suggestion of godly or divine intervention and instead replaces this word with ‘preservation’, which in the late 14</w:t>
      </w:r>
      <w:r w:rsidRPr="00400CEC">
        <w:rPr>
          <w:rFonts w:ascii="Times New Roman" w:hAnsi="Times New Roman" w:cs="Times New Roman"/>
          <w:vertAlign w:val="superscript"/>
        </w:rPr>
        <w:t>th</w:t>
      </w:r>
      <w:r w:rsidRPr="00400CEC">
        <w:rPr>
          <w:rFonts w:ascii="Times New Roman" w:hAnsi="Times New Roman" w:cs="Times New Roman"/>
        </w:rPr>
        <w:t xml:space="preserve"> century was defined as acting ‘to ensure something does not occur’.</w:t>
      </w:r>
      <w:r w:rsidRPr="00400CEC">
        <w:rPr>
          <w:rFonts w:ascii="Times New Roman" w:hAnsi="Times New Roman" w:cs="Times New Roman"/>
          <w:vertAlign w:val="superscript"/>
        </w:rPr>
        <w:footnoteReference w:id="12"/>
      </w:r>
      <w:r w:rsidRPr="00400CEC">
        <w:rPr>
          <w:rFonts w:ascii="Times New Roman" w:hAnsi="Times New Roman" w:cs="Times New Roman"/>
        </w:rPr>
        <w:t xml:space="preserve"> In this context, ‘preservation’ can be assumed to be an entirely human action. This is because the characters remain unsure of their safety until Act 5, so the ‘preservation’ is active rather than passive, suggesting that their safety is entirely reliant on their own decision making. By replacing the passive verb with the active Gonzalo is going against the Jacobean belief of predestination where ‘everything was controlled by God’.</w:t>
      </w:r>
      <w:r w:rsidRPr="00400CEC">
        <w:rPr>
          <w:rFonts w:ascii="Times New Roman" w:hAnsi="Times New Roman" w:cs="Times New Roman"/>
          <w:vertAlign w:val="superscript"/>
        </w:rPr>
        <w:footnoteReference w:id="13"/>
      </w:r>
      <w:r w:rsidRPr="00400CEC">
        <w:rPr>
          <w:rFonts w:ascii="Times New Roman" w:hAnsi="Times New Roman" w:cs="Times New Roman"/>
        </w:rPr>
        <w:t xml:space="preserve"> In other words, Gonzalo is being careful to address his king as ultimate ruler, omitting any reference to divine powers. With this dialogue Gonzalo represents two conflicting ideals of the Jacobean era – those who believed in the divine right of kings and those who believed that divine-right doctrines were being abused by the monarchy to assert absolute power in England. </w:t>
      </w:r>
      <w:r w:rsidR="00400CEC">
        <w:rPr>
          <w:rFonts w:ascii="Times New Roman" w:hAnsi="Times New Roman" w:cs="Times New Roman"/>
        </w:rPr>
        <w:tab/>
      </w:r>
      <w:r w:rsidR="00400CEC">
        <w:rPr>
          <w:rFonts w:ascii="Times New Roman" w:hAnsi="Times New Roman" w:cs="Times New Roman"/>
        </w:rPr>
        <w:tab/>
      </w:r>
      <w:r w:rsidR="00400CEC">
        <w:rPr>
          <w:rFonts w:ascii="Times New Roman" w:hAnsi="Times New Roman" w:cs="Times New Roman"/>
        </w:rPr>
        <w:tab/>
      </w:r>
      <w:r w:rsidR="00400CEC">
        <w:rPr>
          <w:rFonts w:ascii="Times New Roman" w:hAnsi="Times New Roman" w:cs="Times New Roman"/>
        </w:rPr>
        <w:tab/>
      </w:r>
      <w:r w:rsidR="00400CEC">
        <w:rPr>
          <w:rFonts w:ascii="Times New Roman" w:hAnsi="Times New Roman" w:cs="Times New Roman"/>
        </w:rPr>
        <w:tab/>
      </w:r>
      <w:r w:rsidR="00400CEC">
        <w:rPr>
          <w:rFonts w:ascii="Times New Roman" w:hAnsi="Times New Roman" w:cs="Times New Roman"/>
        </w:rPr>
        <w:tab/>
      </w:r>
      <w:r w:rsidR="00400CEC">
        <w:rPr>
          <w:rFonts w:ascii="Times New Roman" w:hAnsi="Times New Roman" w:cs="Times New Roman"/>
        </w:rPr>
        <w:tab/>
      </w:r>
      <w:r w:rsidR="00400CEC">
        <w:rPr>
          <w:rFonts w:ascii="Times New Roman" w:hAnsi="Times New Roman" w:cs="Times New Roman"/>
        </w:rPr>
        <w:tab/>
      </w:r>
      <w:r w:rsidR="00400CEC">
        <w:rPr>
          <w:rFonts w:ascii="Times New Roman" w:hAnsi="Times New Roman" w:cs="Times New Roman"/>
        </w:rPr>
        <w:tab/>
      </w:r>
      <w:r w:rsidR="00400CEC">
        <w:rPr>
          <w:rFonts w:ascii="Times New Roman" w:hAnsi="Times New Roman" w:cs="Times New Roman"/>
        </w:rPr>
        <w:tab/>
      </w:r>
      <w:r w:rsidR="00400CEC">
        <w:rPr>
          <w:rFonts w:ascii="Times New Roman" w:hAnsi="Times New Roman" w:cs="Times New Roman"/>
        </w:rPr>
        <w:tab/>
      </w:r>
      <w:r w:rsidRPr="00400CEC">
        <w:rPr>
          <w:rFonts w:ascii="Times New Roman" w:hAnsi="Times New Roman" w:cs="Times New Roman"/>
        </w:rPr>
        <w:t>Before his accession to the English throne King James was garnering criticism for his divine-right beliefs from well-known religious figures, notably Andrew Melville. In 1596 Melville delivered a speech which famously reminded James XI that ‘there is Christ Jesus, the King of the Church, whose subject James the Sixth is, and of whose kingdom he is not a king, nor a lord, nor a head, but a member’.</w:t>
      </w:r>
      <w:r w:rsidRPr="00400CEC">
        <w:rPr>
          <w:rFonts w:ascii="Times New Roman" w:hAnsi="Times New Roman" w:cs="Times New Roman"/>
          <w:vertAlign w:val="superscript"/>
        </w:rPr>
        <w:footnoteReference w:id="14"/>
      </w:r>
      <w:r w:rsidRPr="00400CEC">
        <w:rPr>
          <w:rFonts w:ascii="Times New Roman" w:hAnsi="Times New Roman" w:cs="Times New Roman"/>
        </w:rPr>
        <w:t xml:space="preserve"> The sermons of the poet John Donne, when he was made Dean of St. Paul’s in 1621, are also scathing: R. Malcolm Smuts, in a review of </w:t>
      </w:r>
      <w:r w:rsidRPr="00400CEC">
        <w:rPr>
          <w:rFonts w:ascii="Times New Roman" w:hAnsi="Times New Roman" w:cs="Times New Roman"/>
        </w:rPr>
        <w:lastRenderedPageBreak/>
        <w:t xml:space="preserve">Jane Rickard’s book </w:t>
      </w:r>
      <w:r w:rsidRPr="00400CEC">
        <w:rPr>
          <w:rFonts w:ascii="Times New Roman" w:hAnsi="Times New Roman" w:cs="Times New Roman"/>
          <w:i/>
          <w:iCs/>
        </w:rPr>
        <w:t xml:space="preserve">Writing the Monarch in Jacobean England </w:t>
      </w:r>
      <w:r w:rsidRPr="00400CEC">
        <w:rPr>
          <w:rFonts w:ascii="Times New Roman" w:hAnsi="Times New Roman" w:cs="Times New Roman"/>
        </w:rPr>
        <w:t>notes that Donne ‘supported some of the king’s positions’ but that his ‘religious writings emphasize the immense gap separating kings from God and the deceptive nature of all rhetorical constructs and human images used to describe religious truths’.</w:t>
      </w:r>
      <w:r w:rsidRPr="00400CEC">
        <w:rPr>
          <w:rFonts w:ascii="Times New Roman" w:hAnsi="Times New Roman" w:cs="Times New Roman"/>
          <w:vertAlign w:val="superscript"/>
        </w:rPr>
        <w:footnoteReference w:id="15"/>
      </w:r>
      <w:r w:rsidRPr="00400CEC">
        <w:rPr>
          <w:rFonts w:ascii="Times New Roman" w:hAnsi="Times New Roman" w:cs="Times New Roman"/>
        </w:rPr>
        <w:t xml:space="preserve"> Despite these concerns, James persisted in his beliefs. In a speech delivered to the Banqueting Chamber in 1610 King James I declared ‘Kings are gods on earth’, calling into question Parliamentary prerogative.</w:t>
      </w:r>
      <w:r w:rsidRPr="00400CEC">
        <w:rPr>
          <w:rFonts w:ascii="Times New Roman" w:hAnsi="Times New Roman" w:cs="Times New Roman"/>
          <w:vertAlign w:val="superscript"/>
        </w:rPr>
        <w:footnoteReference w:id="16"/>
      </w:r>
      <w:r w:rsidRPr="00400CEC">
        <w:rPr>
          <w:rFonts w:ascii="Times New Roman" w:hAnsi="Times New Roman" w:cs="Times New Roman"/>
        </w:rPr>
        <w:t xml:space="preserve"> This speech is almost directly mocked by Antonio in Act 2, Scene 1 when he states that Alonso is ‘no better than the earth he lies upon’.</w:t>
      </w:r>
      <w:r w:rsidRPr="00400CEC">
        <w:rPr>
          <w:rFonts w:ascii="Times New Roman" w:hAnsi="Times New Roman" w:cs="Times New Roman"/>
          <w:vertAlign w:val="superscript"/>
        </w:rPr>
        <w:footnoteReference w:id="17"/>
      </w:r>
      <w:r w:rsidRPr="00400CEC">
        <w:rPr>
          <w:rFonts w:ascii="Times New Roman" w:hAnsi="Times New Roman" w:cs="Times New Roman"/>
        </w:rPr>
        <w:t xml:space="preserve"> The sentiment echoes Montaigne’s declaration in </w:t>
      </w:r>
      <w:r w:rsidRPr="00400CEC">
        <w:rPr>
          <w:rFonts w:ascii="Times New Roman" w:hAnsi="Times New Roman" w:cs="Times New Roman"/>
          <w:i/>
          <w:iCs/>
        </w:rPr>
        <w:t xml:space="preserve">Of Cannibals </w:t>
      </w:r>
      <w:r w:rsidRPr="00400CEC">
        <w:rPr>
          <w:rFonts w:ascii="Times New Roman" w:hAnsi="Times New Roman" w:cs="Times New Roman"/>
        </w:rPr>
        <w:t>that ‘Divination is a gift of God, and therefore to abuse it, ought to be a punishable imposture’.</w:t>
      </w:r>
      <w:r w:rsidRPr="00400CEC">
        <w:rPr>
          <w:rFonts w:ascii="Times New Roman" w:hAnsi="Times New Roman" w:cs="Times New Roman"/>
          <w:vertAlign w:val="superscript"/>
        </w:rPr>
        <w:footnoteReference w:id="18"/>
      </w:r>
      <w:r w:rsidRPr="00400CEC">
        <w:rPr>
          <w:rFonts w:ascii="Times New Roman" w:hAnsi="Times New Roman" w:cs="Times New Roman"/>
        </w:rPr>
        <w:t xml:space="preserve"> With all of this in mind, it is clear that Shakespeare uses Gonzalo’s self-interruptions and self-omission of divine references to remove the comparisons between the king and God, lamenting that men are just men and should remain so. Whilst it is unclear (and perhaps, unlikely) whether Alonso is the literary representation of King James I, what is clear is that Shakespeare is advocating for leaders to take responsibility for their actions and choices, rather than demand they been seen as untouchable ‘gods on earth’.</w:t>
      </w:r>
      <w:r w:rsidRPr="00400CEC">
        <w:rPr>
          <w:rFonts w:ascii="Times New Roman" w:hAnsi="Times New Roman" w:cs="Times New Roman"/>
          <w:vertAlign w:val="superscript"/>
        </w:rPr>
        <w:footnoteReference w:id="19"/>
      </w:r>
      <w:r w:rsidR="006B201B">
        <w:rPr>
          <w:rFonts w:ascii="Times New Roman" w:hAnsi="Times New Roman" w:cs="Times New Roman"/>
        </w:rPr>
        <w:tab/>
      </w:r>
      <w:r w:rsidR="006B201B">
        <w:rPr>
          <w:rFonts w:ascii="Times New Roman" w:hAnsi="Times New Roman" w:cs="Times New Roman"/>
        </w:rPr>
        <w:tab/>
      </w:r>
      <w:r w:rsidRPr="00400CEC">
        <w:rPr>
          <w:rFonts w:ascii="Times New Roman" w:hAnsi="Times New Roman" w:cs="Times New Roman"/>
        </w:rPr>
        <w:t xml:space="preserve">Written and performed merely five years earlier, both </w:t>
      </w:r>
      <w:r w:rsidRPr="00400CEC">
        <w:rPr>
          <w:rFonts w:ascii="Times New Roman" w:hAnsi="Times New Roman" w:cs="Times New Roman"/>
          <w:i/>
          <w:iCs/>
        </w:rPr>
        <w:t xml:space="preserve">Macbeth </w:t>
      </w:r>
      <w:r w:rsidRPr="00400CEC">
        <w:rPr>
          <w:rFonts w:ascii="Times New Roman" w:hAnsi="Times New Roman" w:cs="Times New Roman"/>
        </w:rPr>
        <w:t xml:space="preserve">and </w:t>
      </w:r>
      <w:r w:rsidRPr="00400CEC">
        <w:rPr>
          <w:rFonts w:ascii="Times New Roman" w:hAnsi="Times New Roman" w:cs="Times New Roman"/>
          <w:i/>
          <w:iCs/>
        </w:rPr>
        <w:t xml:space="preserve">King Lear </w:t>
      </w:r>
      <w:r w:rsidRPr="00400CEC">
        <w:rPr>
          <w:rFonts w:ascii="Times New Roman" w:hAnsi="Times New Roman" w:cs="Times New Roman"/>
        </w:rPr>
        <w:t xml:space="preserve">(1605-1606) explore the psychological and sociological impacts of regicide or taking power by force. They, like </w:t>
      </w:r>
      <w:r w:rsidRPr="00400CEC">
        <w:rPr>
          <w:rFonts w:ascii="Times New Roman" w:hAnsi="Times New Roman" w:cs="Times New Roman"/>
          <w:i/>
          <w:iCs/>
        </w:rPr>
        <w:t xml:space="preserve">The Tempest, </w:t>
      </w:r>
      <w:r w:rsidRPr="00400CEC">
        <w:rPr>
          <w:rFonts w:ascii="Times New Roman" w:hAnsi="Times New Roman" w:cs="Times New Roman"/>
        </w:rPr>
        <w:t xml:space="preserve">also offer up contextual links to the Gunpowder Plot of 1605 and the subsequent aftermath: the critic Gary Wills went so far as to coin </w:t>
      </w:r>
      <w:r w:rsidRPr="00400CEC">
        <w:rPr>
          <w:rFonts w:ascii="Times New Roman" w:hAnsi="Times New Roman" w:cs="Times New Roman"/>
          <w:i/>
          <w:iCs/>
        </w:rPr>
        <w:t xml:space="preserve">Macbeth </w:t>
      </w:r>
      <w:r w:rsidRPr="00400CEC">
        <w:rPr>
          <w:rFonts w:ascii="Times New Roman" w:hAnsi="Times New Roman" w:cs="Times New Roman"/>
        </w:rPr>
        <w:t xml:space="preserve">the gunpowder play, whilst </w:t>
      </w:r>
      <w:r w:rsidRPr="00400CEC">
        <w:rPr>
          <w:rFonts w:ascii="Times New Roman" w:hAnsi="Times New Roman" w:cs="Times New Roman"/>
          <w:i/>
          <w:iCs/>
        </w:rPr>
        <w:t xml:space="preserve">King Lear </w:t>
      </w:r>
      <w:r w:rsidRPr="00400CEC">
        <w:rPr>
          <w:rFonts w:ascii="Times New Roman" w:hAnsi="Times New Roman" w:cs="Times New Roman"/>
        </w:rPr>
        <w:t xml:space="preserve">draws parallels with </w:t>
      </w:r>
      <w:r w:rsidRPr="00400CEC">
        <w:rPr>
          <w:rFonts w:ascii="Times New Roman" w:hAnsi="Times New Roman" w:cs="Times New Roman"/>
          <w:i/>
          <w:iCs/>
        </w:rPr>
        <w:t xml:space="preserve">The Tempest </w:t>
      </w:r>
      <w:r w:rsidRPr="00400CEC">
        <w:rPr>
          <w:rFonts w:ascii="Times New Roman" w:hAnsi="Times New Roman" w:cs="Times New Roman"/>
        </w:rPr>
        <w:t>through the ‘tragic conflict […] between hierarchy and humanity, between the destructive imperatives of division and domination incarnate in a king</w:t>
      </w:r>
      <w:r w:rsidR="000617B5">
        <w:rPr>
          <w:rFonts w:ascii="Times New Roman" w:hAnsi="Times New Roman" w:cs="Times New Roman"/>
        </w:rPr>
        <w:t>’.</w:t>
      </w:r>
      <w:r w:rsidRPr="00400CEC">
        <w:rPr>
          <w:rFonts w:ascii="Times New Roman" w:hAnsi="Times New Roman" w:cs="Times New Roman"/>
          <w:vertAlign w:val="superscript"/>
        </w:rPr>
        <w:footnoteReference w:id="20"/>
      </w:r>
      <w:r w:rsidRPr="00400CEC">
        <w:rPr>
          <w:rFonts w:ascii="Times New Roman" w:hAnsi="Times New Roman" w:cs="Times New Roman"/>
        </w:rPr>
        <w:t xml:space="preserve"> Due to these parallels, critics have often characterised </w:t>
      </w:r>
      <w:r w:rsidRPr="00400CEC">
        <w:rPr>
          <w:rFonts w:ascii="Times New Roman" w:hAnsi="Times New Roman" w:cs="Times New Roman"/>
          <w:i/>
          <w:iCs/>
        </w:rPr>
        <w:t xml:space="preserve">The Tempest </w:t>
      </w:r>
      <w:r w:rsidRPr="00400CEC">
        <w:rPr>
          <w:rFonts w:ascii="Times New Roman" w:hAnsi="Times New Roman" w:cs="Times New Roman"/>
        </w:rPr>
        <w:t xml:space="preserve">as a tragedy, or a tragicomedy in acknowledgment of the play being categorised as a comedy within the </w:t>
      </w:r>
      <w:r w:rsidRPr="00400CEC">
        <w:rPr>
          <w:rFonts w:ascii="Times New Roman" w:hAnsi="Times New Roman" w:cs="Times New Roman"/>
          <w:i/>
        </w:rPr>
        <w:t>First Folio</w:t>
      </w:r>
      <w:r w:rsidRPr="00400CEC">
        <w:rPr>
          <w:rFonts w:ascii="Times New Roman" w:hAnsi="Times New Roman" w:cs="Times New Roman"/>
        </w:rPr>
        <w:t xml:space="preserve"> (1623).</w:t>
      </w:r>
      <w:r w:rsidRPr="00400CEC">
        <w:rPr>
          <w:rFonts w:ascii="Times New Roman" w:hAnsi="Times New Roman" w:cs="Times New Roman"/>
          <w:vertAlign w:val="superscript"/>
        </w:rPr>
        <w:footnoteReference w:id="21"/>
      </w:r>
      <w:r w:rsidRPr="00400CEC">
        <w:rPr>
          <w:rFonts w:ascii="Times New Roman" w:hAnsi="Times New Roman" w:cs="Times New Roman"/>
        </w:rPr>
        <w:t xml:space="preserve"> Some scholars such as </w:t>
      </w:r>
      <w:r w:rsidRPr="00400CEC">
        <w:rPr>
          <w:rFonts w:ascii="Times New Roman" w:hAnsi="Times New Roman" w:cs="Times New Roman"/>
        </w:rPr>
        <w:lastRenderedPageBreak/>
        <w:t xml:space="preserve">Lawrence E. Bowling have even re-classified the play as a romance due to the utilisation of love (both familial and romantic) alongside the appreciation of the power of nature, but there are arguments in favour of </w:t>
      </w:r>
      <w:r w:rsidRPr="00400CEC">
        <w:rPr>
          <w:rFonts w:ascii="Times New Roman" w:hAnsi="Times New Roman" w:cs="Times New Roman"/>
          <w:i/>
          <w:iCs/>
        </w:rPr>
        <w:t xml:space="preserve">The Tempest </w:t>
      </w:r>
      <w:r w:rsidRPr="00400CEC">
        <w:rPr>
          <w:rFonts w:ascii="Times New Roman" w:hAnsi="Times New Roman" w:cs="Times New Roman"/>
        </w:rPr>
        <w:t>being classified as a morality play.</w:t>
      </w:r>
      <w:r w:rsidRPr="00400CEC">
        <w:rPr>
          <w:rFonts w:ascii="Times New Roman" w:hAnsi="Times New Roman" w:cs="Times New Roman"/>
          <w:vertAlign w:val="superscript"/>
        </w:rPr>
        <w:footnoteReference w:id="22"/>
      </w:r>
      <w:r w:rsidRPr="00400CEC">
        <w:rPr>
          <w:rFonts w:ascii="Times New Roman" w:hAnsi="Times New Roman" w:cs="Times New Roman"/>
        </w:rPr>
        <w:t xml:space="preserve"> A morality play strips ‘their characters of all incidental distinguishing features’ to get to their ‘essences’.</w:t>
      </w:r>
      <w:r w:rsidRPr="00400CEC">
        <w:rPr>
          <w:rFonts w:ascii="Times New Roman" w:hAnsi="Times New Roman" w:cs="Times New Roman"/>
          <w:vertAlign w:val="superscript"/>
        </w:rPr>
        <w:footnoteReference w:id="23"/>
      </w:r>
      <w:r w:rsidRPr="00400CEC">
        <w:rPr>
          <w:rFonts w:ascii="Times New Roman" w:hAnsi="Times New Roman" w:cs="Times New Roman"/>
        </w:rPr>
        <w:t xml:space="preserve"> By taking away ‘generalized abstractions’ and linking ‘the spectacle of human destiny’ to the individual, Shakespeare is able to enter the ‘psychological, moral and spiritual lives’ of his characters.</w:t>
      </w:r>
      <w:r w:rsidRPr="00400CEC">
        <w:rPr>
          <w:rFonts w:ascii="Times New Roman" w:hAnsi="Times New Roman" w:cs="Times New Roman"/>
          <w:vertAlign w:val="superscript"/>
        </w:rPr>
        <w:footnoteReference w:id="24"/>
      </w:r>
      <w:r w:rsidRPr="00400CEC">
        <w:rPr>
          <w:rFonts w:ascii="Times New Roman" w:hAnsi="Times New Roman" w:cs="Times New Roman"/>
        </w:rPr>
        <w:t xml:space="preserve"> The theme of regicide, therefore, brings us to the humanist element of living an ethically.</w:t>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Pr="00400CEC">
        <w:rPr>
          <w:rFonts w:ascii="Times New Roman" w:hAnsi="Times New Roman" w:cs="Times New Roman"/>
        </w:rPr>
        <w:t>In the latter part of Act 2, Scene 1, Antonio and Sebastian use various metaphors to avoid directly discussing the proposed murder of Alonso.</w:t>
      </w:r>
    </w:p>
    <w:p w14:paraId="3A7EB6BE" w14:textId="77777777" w:rsidR="00B474D3" w:rsidRPr="00400CEC" w:rsidRDefault="00B474D3" w:rsidP="001E4867">
      <w:pPr>
        <w:ind w:left="720"/>
        <w:rPr>
          <w:rFonts w:ascii="Times New Roman" w:hAnsi="Times New Roman" w:cs="Times New Roman"/>
        </w:rPr>
      </w:pPr>
      <w:proofErr w:type="gramStart"/>
      <w:r w:rsidRPr="00400CEC">
        <w:rPr>
          <w:rFonts w:ascii="Times New Roman" w:hAnsi="Times New Roman" w:cs="Times New Roman"/>
        </w:rPr>
        <w:t>ANTONIO  Noble</w:t>
      </w:r>
      <w:proofErr w:type="gramEnd"/>
      <w:r w:rsidRPr="00400CEC">
        <w:rPr>
          <w:rFonts w:ascii="Times New Roman" w:hAnsi="Times New Roman" w:cs="Times New Roman"/>
        </w:rPr>
        <w:t> Sebastian,</w:t>
      </w:r>
      <w:r w:rsidRPr="00400CEC">
        <w:rPr>
          <w:rFonts w:ascii="Times New Roman" w:hAnsi="Times New Roman" w:cs="Times New Roman"/>
        </w:rPr>
        <w:br/>
        <w:t> Thou </w:t>
      </w:r>
      <w:proofErr w:type="spellStart"/>
      <w:r w:rsidRPr="00400CEC">
        <w:rPr>
          <w:rFonts w:ascii="Times New Roman" w:hAnsi="Times New Roman" w:cs="Times New Roman"/>
        </w:rPr>
        <w:t>let’st</w:t>
      </w:r>
      <w:proofErr w:type="spellEnd"/>
      <w:r w:rsidRPr="00400CEC">
        <w:rPr>
          <w:rFonts w:ascii="Times New Roman" w:hAnsi="Times New Roman" w:cs="Times New Roman"/>
        </w:rPr>
        <w:t> thy fortune sleep, die rather, </w:t>
      </w:r>
      <w:proofErr w:type="spellStart"/>
      <w:r w:rsidRPr="00400CEC">
        <w:rPr>
          <w:rFonts w:ascii="Times New Roman" w:hAnsi="Times New Roman" w:cs="Times New Roman"/>
        </w:rPr>
        <w:t>wink’st</w:t>
      </w:r>
      <w:proofErr w:type="spellEnd"/>
      <w:r w:rsidRPr="00400CEC">
        <w:rPr>
          <w:rFonts w:ascii="Times New Roman" w:hAnsi="Times New Roman" w:cs="Times New Roman"/>
        </w:rPr>
        <w:br/>
        <w:t> Whiles thou art waking.</w:t>
      </w:r>
    </w:p>
    <w:p w14:paraId="2A356CBE" w14:textId="77777777" w:rsidR="00B474D3" w:rsidRPr="00400CEC" w:rsidRDefault="00B474D3" w:rsidP="001E4867">
      <w:pPr>
        <w:ind w:left="720"/>
        <w:rPr>
          <w:rFonts w:ascii="Times New Roman" w:hAnsi="Times New Roman" w:cs="Times New Roman"/>
        </w:rPr>
      </w:pPr>
      <w:r w:rsidRPr="00400CEC">
        <w:rPr>
          <w:rFonts w:ascii="Times New Roman" w:hAnsi="Times New Roman" w:cs="Times New Roman"/>
        </w:rPr>
        <w:t>[…]</w:t>
      </w:r>
    </w:p>
    <w:p w14:paraId="5E998712" w14:textId="77777777" w:rsidR="00B474D3" w:rsidRPr="00400CEC" w:rsidRDefault="00B474D3" w:rsidP="001E4867">
      <w:pPr>
        <w:ind w:left="720"/>
        <w:rPr>
          <w:rFonts w:ascii="Times New Roman" w:hAnsi="Times New Roman" w:cs="Times New Roman"/>
        </w:rPr>
      </w:pPr>
      <w:r w:rsidRPr="00400CEC">
        <w:rPr>
          <w:rFonts w:ascii="Times New Roman" w:hAnsi="Times New Roman" w:cs="Times New Roman"/>
        </w:rPr>
        <w:t>SEBASTIAN   Well, I am standing water.</w:t>
      </w:r>
      <w:r w:rsidRPr="00400CEC">
        <w:rPr>
          <w:rFonts w:ascii="Times New Roman" w:hAnsi="Times New Roman" w:cs="Times New Roman"/>
        </w:rPr>
        <w:br/>
        <w:t>ANTONIO </w:t>
      </w:r>
      <w:r w:rsidRPr="00400CEC">
        <w:rPr>
          <w:rFonts w:ascii="Times New Roman" w:hAnsi="Times New Roman" w:cs="Times New Roman"/>
        </w:rPr>
        <w:br/>
        <w:t> I’ll teach you how to flow.</w:t>
      </w:r>
    </w:p>
    <w:p w14:paraId="6BF018D4" w14:textId="18BCE385" w:rsidR="00B474D3" w:rsidRPr="006B201B" w:rsidRDefault="00B474D3" w:rsidP="006B201B">
      <w:pPr>
        <w:spacing w:line="360" w:lineRule="auto"/>
        <w:rPr>
          <w:rFonts w:ascii="Times New Roman" w:hAnsi="Times New Roman" w:cs="Times New Roman"/>
        </w:rPr>
      </w:pPr>
      <w:r w:rsidRPr="00400CEC">
        <w:rPr>
          <w:rFonts w:ascii="Times New Roman" w:hAnsi="Times New Roman" w:cs="Times New Roman"/>
        </w:rPr>
        <w:t>It has already been established that Alonso is representative of a leader’s divine right to rule. This reflects in the euphemistic language that Antonio and Sebastian are using here; they acknowledge that what they are discussing is taboo and disrupts the Great Chain of Being. Their motivations for regicide on a surface level appear to be motivated by power; Arthur F. Marotti on the other hand argues that ‘since it was religiously inﬂected, king-killing, for example, was never a purely political act’.</w:t>
      </w:r>
      <w:r w:rsidRPr="00400CEC">
        <w:rPr>
          <w:rFonts w:ascii="Times New Roman" w:hAnsi="Times New Roman" w:cs="Times New Roman"/>
          <w:vertAlign w:val="superscript"/>
        </w:rPr>
        <w:footnoteReference w:id="25"/>
      </w:r>
      <w:r w:rsidRPr="00400CEC">
        <w:rPr>
          <w:rFonts w:ascii="Times New Roman" w:hAnsi="Times New Roman" w:cs="Times New Roman"/>
        </w:rPr>
        <w:t xml:space="preserve"> Catholics had hoped that James I would have been sympathetic to their cause as his mother had been a Catholic: instead, he carried on the Elizabeth’s oppressive regime of Catholic suppression.</w:t>
      </w:r>
      <w:r w:rsidRPr="00400CEC">
        <w:rPr>
          <w:rFonts w:ascii="Times New Roman" w:hAnsi="Times New Roman" w:cs="Times New Roman"/>
          <w:vertAlign w:val="superscript"/>
        </w:rPr>
        <w:footnoteReference w:id="26"/>
      </w:r>
      <w:r w:rsidRPr="00400CEC">
        <w:rPr>
          <w:rFonts w:ascii="Times New Roman" w:hAnsi="Times New Roman" w:cs="Times New Roman"/>
        </w:rPr>
        <w:t xml:space="preserve"> Throughout her reign Elizabeth had ‘killed catholic missionaries, and Catholic laymen, […] imprisoned bishops, priests and </w:t>
      </w:r>
      <w:r w:rsidRPr="00400CEC">
        <w:rPr>
          <w:rFonts w:ascii="Times New Roman" w:hAnsi="Times New Roman" w:cs="Times New Roman"/>
        </w:rPr>
        <w:lastRenderedPageBreak/>
        <w:t>laymen, and substituted a heretical church for a true one’.</w:t>
      </w:r>
      <w:r w:rsidRPr="00400CEC">
        <w:rPr>
          <w:rFonts w:ascii="Times New Roman" w:hAnsi="Times New Roman" w:cs="Times New Roman"/>
          <w:vertAlign w:val="superscript"/>
        </w:rPr>
        <w:footnoteReference w:id="27"/>
      </w:r>
      <w:r w:rsidRPr="00400CEC">
        <w:rPr>
          <w:rFonts w:ascii="Times New Roman" w:hAnsi="Times New Roman" w:cs="Times New Roman"/>
        </w:rPr>
        <w:t xml:space="preserve"> Antonio hints towards a religious motivation for his temptation when he says ‘I feel not / This deity in my bosom’.</w:t>
      </w:r>
      <w:r w:rsidRPr="00400CEC">
        <w:rPr>
          <w:rFonts w:ascii="Times New Roman" w:hAnsi="Times New Roman" w:cs="Times New Roman"/>
          <w:vertAlign w:val="superscript"/>
        </w:rPr>
        <w:footnoteReference w:id="28"/>
      </w:r>
      <w:r w:rsidRPr="00400CEC">
        <w:rPr>
          <w:rFonts w:ascii="Times New Roman" w:hAnsi="Times New Roman" w:cs="Times New Roman"/>
        </w:rPr>
        <w:t xml:space="preserve"> In a speech delivered a mere eleven years after </w:t>
      </w:r>
      <w:r w:rsidRPr="00400CEC">
        <w:rPr>
          <w:rFonts w:ascii="Times New Roman" w:hAnsi="Times New Roman" w:cs="Times New Roman"/>
          <w:i/>
          <w:iCs/>
        </w:rPr>
        <w:t xml:space="preserve">The Tempest </w:t>
      </w:r>
      <w:r w:rsidRPr="00400CEC">
        <w:rPr>
          <w:rFonts w:ascii="Times New Roman" w:hAnsi="Times New Roman" w:cs="Times New Roman"/>
        </w:rPr>
        <w:t>was first performed, a theology student named John Knight defended the notion that taking arms against a sovereign would be justified on the grounds of religion.</w:t>
      </w:r>
      <w:r w:rsidRPr="00400CEC">
        <w:rPr>
          <w:rFonts w:ascii="Times New Roman" w:hAnsi="Times New Roman" w:cs="Times New Roman"/>
          <w:vertAlign w:val="superscript"/>
        </w:rPr>
        <w:footnoteReference w:id="29"/>
      </w:r>
      <w:r w:rsidRPr="00400CEC">
        <w:rPr>
          <w:rFonts w:ascii="Times New Roman" w:hAnsi="Times New Roman" w:cs="Times New Roman"/>
        </w:rPr>
        <w:t xml:space="preserve"> Assuming that the ‘deity’ within Antonio’s bosom is the Protestant God, then Alonso’s almost-assassination parallels the Catholic motivations behind the Gunpowder Plot of 1605.</w:t>
      </w:r>
      <w:r w:rsidRPr="00400CEC">
        <w:rPr>
          <w:rFonts w:ascii="Times New Roman" w:hAnsi="Times New Roman" w:cs="Times New Roman"/>
          <w:vertAlign w:val="superscript"/>
        </w:rPr>
        <w:footnoteReference w:id="30"/>
      </w:r>
      <w:r w:rsidRPr="00400CEC">
        <w:rPr>
          <w:rFonts w:ascii="Times New Roman" w:hAnsi="Times New Roman" w:cs="Times New Roman"/>
        </w:rPr>
        <w:t xml:space="preserve"> Shakespeare’s inclusion of ethical regicide as a plot device adapts one of Erasmus’ teachings: a ruler must ‘not let his personal ambitions override concern for the state’.</w:t>
      </w:r>
      <w:r w:rsidRPr="00400CEC">
        <w:rPr>
          <w:rFonts w:ascii="Times New Roman" w:hAnsi="Times New Roman" w:cs="Times New Roman"/>
          <w:vertAlign w:val="superscript"/>
        </w:rPr>
        <w:footnoteReference w:id="31"/>
      </w:r>
      <w:r w:rsidRPr="00400CEC">
        <w:rPr>
          <w:rFonts w:ascii="Times New Roman" w:hAnsi="Times New Roman" w:cs="Times New Roman"/>
        </w:rPr>
        <w:t xml:space="preserve"> Alonso has let his sorrow and search for Ferdinand cripple his kingship, and in Act 5 he describes himself as being held by a ‘madness’.</w:t>
      </w:r>
      <w:r w:rsidRPr="00400CEC">
        <w:rPr>
          <w:rFonts w:ascii="Times New Roman" w:hAnsi="Times New Roman" w:cs="Times New Roman"/>
          <w:vertAlign w:val="superscript"/>
        </w:rPr>
        <w:footnoteReference w:id="32"/>
      </w:r>
      <w:r w:rsidRPr="00400CEC">
        <w:rPr>
          <w:rFonts w:ascii="Times New Roman" w:hAnsi="Times New Roman" w:cs="Times New Roman"/>
        </w:rPr>
        <w:t xml:space="preserve"> Alonso’s ‘essence’ appears to be a ruler ‘that sleeps’ – </w:t>
      </w:r>
      <w:r w:rsidR="004F67DC" w:rsidRPr="00400CEC">
        <w:rPr>
          <w:rFonts w:ascii="Times New Roman" w:hAnsi="Times New Roman" w:cs="Times New Roman"/>
        </w:rPr>
        <w:t xml:space="preserve">one </w:t>
      </w:r>
      <w:r w:rsidRPr="00400CEC">
        <w:rPr>
          <w:rFonts w:ascii="Times New Roman" w:hAnsi="Times New Roman" w:cs="Times New Roman"/>
        </w:rPr>
        <w:t>entirely unaware of his actions, decisions and how these affect others.</w:t>
      </w:r>
      <w:r w:rsidRPr="00400CEC">
        <w:rPr>
          <w:rFonts w:ascii="Times New Roman" w:hAnsi="Times New Roman" w:cs="Times New Roman"/>
          <w:vertAlign w:val="superscript"/>
        </w:rPr>
        <w:footnoteReference w:id="33"/>
      </w:r>
      <w:r w:rsidRPr="00400CEC">
        <w:rPr>
          <w:rFonts w:ascii="Times New Roman" w:hAnsi="Times New Roman" w:cs="Times New Roman"/>
        </w:rPr>
        <w:t xml:space="preserve"> He solely cares about his son and how he has lost ‘the heir </w:t>
      </w:r>
      <w:r w:rsidR="003D740E" w:rsidRPr="00400CEC">
        <w:rPr>
          <w:rFonts w:ascii="Times New Roman" w:hAnsi="Times New Roman" w:cs="Times New Roman"/>
        </w:rPr>
        <w:t xml:space="preserve">/ </w:t>
      </w:r>
      <w:r w:rsidRPr="00400CEC">
        <w:rPr>
          <w:rFonts w:ascii="Times New Roman" w:hAnsi="Times New Roman" w:cs="Times New Roman"/>
        </w:rPr>
        <w:t>of Naples’, and not the uncertainty this has caused for his people.</w:t>
      </w:r>
      <w:r w:rsidRPr="00400CEC">
        <w:rPr>
          <w:rFonts w:ascii="Times New Roman" w:hAnsi="Times New Roman" w:cs="Times New Roman"/>
          <w:vertAlign w:val="superscript"/>
        </w:rPr>
        <w:footnoteReference w:id="34"/>
      </w:r>
      <w:r w:rsidRPr="00400CEC">
        <w:rPr>
          <w:rFonts w:ascii="Times New Roman" w:hAnsi="Times New Roman" w:cs="Times New Roman"/>
        </w:rPr>
        <w:t xml:space="preserve"> Thus, </w:t>
      </w:r>
      <w:r w:rsidRPr="00400CEC">
        <w:rPr>
          <w:rFonts w:ascii="Times New Roman" w:hAnsi="Times New Roman" w:cs="Times New Roman"/>
          <w:i/>
          <w:iCs/>
        </w:rPr>
        <w:t xml:space="preserve">The Tempest </w:t>
      </w:r>
      <w:r w:rsidRPr="00400CEC">
        <w:rPr>
          <w:rFonts w:ascii="Times New Roman" w:hAnsi="Times New Roman" w:cs="Times New Roman"/>
        </w:rPr>
        <w:t xml:space="preserve">is a morality play the teaches us the sociological and psychological consequences of </w:t>
      </w:r>
      <w:r w:rsidR="00543C28">
        <w:rPr>
          <w:rFonts w:ascii="Times New Roman" w:hAnsi="Times New Roman" w:cs="Times New Roman"/>
        </w:rPr>
        <w:t>neglectful leadership</w:t>
      </w:r>
      <w:r w:rsidRPr="00400CEC">
        <w:rPr>
          <w:rFonts w:ascii="Times New Roman" w:hAnsi="Times New Roman" w:cs="Times New Roman"/>
        </w:rPr>
        <w:t xml:space="preserve">, and how violent actions may have ethical </w:t>
      </w:r>
      <w:r w:rsidR="00543C28">
        <w:rPr>
          <w:rFonts w:ascii="Times New Roman" w:hAnsi="Times New Roman" w:cs="Times New Roman"/>
        </w:rPr>
        <w:t>justifications</w:t>
      </w:r>
      <w:r w:rsidRPr="00400CEC">
        <w:rPr>
          <w:rFonts w:ascii="Times New Roman" w:hAnsi="Times New Roman" w:cs="Times New Roman"/>
        </w:rPr>
        <w:t>.</w:t>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006B201B">
        <w:rPr>
          <w:rFonts w:ascii="Times New Roman" w:hAnsi="Times New Roman" w:cs="Times New Roman"/>
        </w:rPr>
        <w:tab/>
      </w:r>
      <w:r w:rsidRPr="00400CEC">
        <w:rPr>
          <w:rFonts w:ascii="Times New Roman" w:hAnsi="Times New Roman" w:cs="Times New Roman"/>
        </w:rPr>
        <w:t xml:space="preserve">The geographical location of the island has been central to the debate of </w:t>
      </w:r>
      <w:r w:rsidRPr="00400CEC">
        <w:rPr>
          <w:rFonts w:ascii="Times New Roman" w:hAnsi="Times New Roman" w:cs="Times New Roman"/>
          <w:i/>
          <w:iCs/>
        </w:rPr>
        <w:t xml:space="preserve">The Tempest </w:t>
      </w:r>
      <w:r w:rsidRPr="00400CEC">
        <w:rPr>
          <w:rFonts w:ascii="Times New Roman" w:hAnsi="Times New Roman" w:cs="Times New Roman"/>
        </w:rPr>
        <w:t xml:space="preserve">as a play about colonial expansion. Goran </w:t>
      </w:r>
      <w:proofErr w:type="spellStart"/>
      <w:r w:rsidRPr="00400CEC">
        <w:rPr>
          <w:rFonts w:ascii="Times New Roman" w:hAnsi="Times New Roman" w:cs="Times New Roman"/>
        </w:rPr>
        <w:t>Stanivukovic</w:t>
      </w:r>
      <w:proofErr w:type="spellEnd"/>
      <w:r w:rsidRPr="00400CEC">
        <w:rPr>
          <w:rFonts w:ascii="Times New Roman" w:hAnsi="Times New Roman" w:cs="Times New Roman"/>
        </w:rPr>
        <w:t xml:space="preserve"> writes that, alongside Ariel’s allusion to the ‘still vexed Bermudas’ in Act 1, Scene 2 that links the play to New World colonialism, the island is geographically situated within the Old World as it is stated to be somewhere between Naples and Tunis.</w:t>
      </w:r>
      <w:r w:rsidRPr="00400CEC">
        <w:rPr>
          <w:rFonts w:ascii="Times New Roman" w:hAnsi="Times New Roman" w:cs="Times New Roman"/>
          <w:vertAlign w:val="superscript"/>
        </w:rPr>
        <w:footnoteReference w:id="35"/>
      </w:r>
      <w:r w:rsidRPr="00400CEC">
        <w:rPr>
          <w:rFonts w:ascii="Times New Roman" w:hAnsi="Times New Roman" w:cs="Times New Roman"/>
        </w:rPr>
        <w:t xml:space="preserve"> Therefore, </w:t>
      </w:r>
      <w:proofErr w:type="spellStart"/>
      <w:r w:rsidRPr="00400CEC">
        <w:rPr>
          <w:rFonts w:ascii="Times New Roman" w:hAnsi="Times New Roman" w:cs="Times New Roman"/>
        </w:rPr>
        <w:t>Stanivukovic</w:t>
      </w:r>
      <w:proofErr w:type="spellEnd"/>
      <w:r w:rsidRPr="00400CEC">
        <w:rPr>
          <w:rFonts w:ascii="Times New Roman" w:hAnsi="Times New Roman" w:cs="Times New Roman"/>
        </w:rPr>
        <w:t xml:space="preserve"> concludes that </w:t>
      </w:r>
      <w:r w:rsidRPr="00400CEC">
        <w:rPr>
          <w:rFonts w:ascii="Times New Roman" w:hAnsi="Times New Roman" w:cs="Times New Roman"/>
          <w:i/>
          <w:iCs/>
        </w:rPr>
        <w:t xml:space="preserve">The Tempest’s </w:t>
      </w:r>
      <w:r w:rsidRPr="00400CEC">
        <w:rPr>
          <w:rFonts w:ascii="Times New Roman" w:hAnsi="Times New Roman" w:cs="Times New Roman"/>
        </w:rPr>
        <w:t>geographical links to the Old World (Europe) physically link it to ‘the world of humanism’.</w:t>
      </w:r>
      <w:r w:rsidRPr="00400CEC">
        <w:rPr>
          <w:rFonts w:ascii="Times New Roman" w:hAnsi="Times New Roman" w:cs="Times New Roman"/>
          <w:vertAlign w:val="superscript"/>
        </w:rPr>
        <w:footnoteReference w:id="36"/>
      </w:r>
      <w:r w:rsidRPr="00400CEC">
        <w:rPr>
          <w:rFonts w:ascii="Times New Roman" w:hAnsi="Times New Roman" w:cs="Times New Roman"/>
        </w:rPr>
        <w:t xml:space="preserve"> Gonzalo’s speech about his utopic colony directly addresses the notion that humanist values </w:t>
      </w:r>
      <w:r w:rsidRPr="00400CEC">
        <w:rPr>
          <w:rFonts w:ascii="Times New Roman" w:hAnsi="Times New Roman" w:cs="Times New Roman"/>
        </w:rPr>
        <w:lastRenderedPageBreak/>
        <w:t xml:space="preserve">can lead to a fulfilling life. This speech is widely regarded to be based on Montague’s essay </w:t>
      </w:r>
      <w:r w:rsidRPr="00400CEC">
        <w:rPr>
          <w:rFonts w:ascii="Times New Roman" w:hAnsi="Times New Roman" w:cs="Times New Roman"/>
          <w:i/>
          <w:iCs/>
        </w:rPr>
        <w:t xml:space="preserve">Of Cannibals. </w:t>
      </w:r>
    </w:p>
    <w:p w14:paraId="74F55DBF" w14:textId="77777777" w:rsidR="00B474D3" w:rsidRPr="00400CEC" w:rsidRDefault="00B474D3" w:rsidP="001E4867">
      <w:pPr>
        <w:ind w:left="720"/>
        <w:rPr>
          <w:rFonts w:ascii="Times New Roman" w:hAnsi="Times New Roman" w:cs="Times New Roman"/>
        </w:rPr>
      </w:pPr>
      <w:r w:rsidRPr="00400CEC">
        <w:rPr>
          <w:rFonts w:ascii="Times New Roman" w:hAnsi="Times New Roman" w:cs="Times New Roman"/>
        </w:rPr>
        <w:t>GONZALO </w:t>
      </w:r>
      <w:r w:rsidRPr="00400CEC">
        <w:rPr>
          <w:rFonts w:ascii="Times New Roman" w:hAnsi="Times New Roman" w:cs="Times New Roman"/>
        </w:rPr>
        <w:br/>
        <w:t> I’ </w:t>
      </w:r>
      <w:proofErr w:type="spellStart"/>
      <w:r w:rsidRPr="00400CEC">
        <w:rPr>
          <w:rFonts w:ascii="Times New Roman" w:hAnsi="Times New Roman" w:cs="Times New Roman"/>
        </w:rPr>
        <w:t>th</w:t>
      </w:r>
      <w:proofErr w:type="spellEnd"/>
      <w:r w:rsidRPr="00400CEC">
        <w:rPr>
          <w:rFonts w:ascii="Times New Roman" w:hAnsi="Times New Roman" w:cs="Times New Roman"/>
        </w:rPr>
        <w:t>’ commonwealth I would by contraries</w:t>
      </w:r>
      <w:r w:rsidRPr="00400CEC">
        <w:rPr>
          <w:rFonts w:ascii="Times New Roman" w:hAnsi="Times New Roman" w:cs="Times New Roman"/>
        </w:rPr>
        <w:br/>
        <w:t> Execute all things, for no kind of traffic</w:t>
      </w:r>
      <w:r w:rsidRPr="00400CEC">
        <w:rPr>
          <w:rFonts w:ascii="Times New Roman" w:hAnsi="Times New Roman" w:cs="Times New Roman"/>
        </w:rPr>
        <w:br/>
        <w:t> Would I admit; no name of magistrate;                                                                                               Letters should not be known; riches, poverty,</w:t>
      </w:r>
      <w:r w:rsidRPr="00400CEC">
        <w:rPr>
          <w:rFonts w:ascii="Times New Roman" w:hAnsi="Times New Roman" w:cs="Times New Roman"/>
        </w:rPr>
        <w:br/>
        <w:t> And use of service, none; contract, succession,</w:t>
      </w:r>
      <w:r w:rsidRPr="00400CEC">
        <w:rPr>
          <w:rFonts w:ascii="Times New Roman" w:hAnsi="Times New Roman" w:cs="Times New Roman"/>
        </w:rPr>
        <w:br/>
        <w:t> Bourn, bound of land, tilth, vineyard, none;</w:t>
      </w:r>
      <w:r w:rsidRPr="00400CEC">
        <w:rPr>
          <w:rFonts w:ascii="Times New Roman" w:hAnsi="Times New Roman" w:cs="Times New Roman"/>
        </w:rPr>
        <w:br/>
        <w:t> No use of metal, corn, or wine, or oil;</w:t>
      </w:r>
      <w:r w:rsidRPr="00400CEC">
        <w:rPr>
          <w:rFonts w:ascii="Times New Roman" w:hAnsi="Times New Roman" w:cs="Times New Roman"/>
        </w:rPr>
        <w:br/>
        <w:t> No occupation; all men idle, all,</w:t>
      </w:r>
      <w:r w:rsidRPr="00400CEC">
        <w:rPr>
          <w:rFonts w:ascii="Times New Roman" w:hAnsi="Times New Roman" w:cs="Times New Roman"/>
        </w:rPr>
        <w:br/>
        <w:t>And women too, but innocent and pure;</w:t>
      </w:r>
      <w:r w:rsidRPr="00400CEC">
        <w:rPr>
          <w:rFonts w:ascii="Times New Roman" w:hAnsi="Times New Roman" w:cs="Times New Roman"/>
        </w:rPr>
        <w:br/>
        <w:t> No sovereignty—                                                                                                                                             […]                                                                                            All things in common nature should produce</w:t>
      </w:r>
      <w:r w:rsidRPr="00400CEC">
        <w:rPr>
          <w:rFonts w:ascii="Times New Roman" w:hAnsi="Times New Roman" w:cs="Times New Roman"/>
        </w:rPr>
        <w:br/>
        <w:t> Without sweat or </w:t>
      </w:r>
      <w:proofErr w:type="spellStart"/>
      <w:r w:rsidRPr="00400CEC">
        <w:rPr>
          <w:rFonts w:ascii="Times New Roman" w:hAnsi="Times New Roman" w:cs="Times New Roman"/>
        </w:rPr>
        <w:t>endeavor</w:t>
      </w:r>
      <w:proofErr w:type="spellEnd"/>
      <w:r w:rsidRPr="00400CEC">
        <w:rPr>
          <w:rFonts w:ascii="Times New Roman" w:hAnsi="Times New Roman" w:cs="Times New Roman"/>
        </w:rPr>
        <w:t>; treason, felony,</w:t>
      </w:r>
      <w:r w:rsidRPr="00400CEC">
        <w:rPr>
          <w:rFonts w:ascii="Times New Roman" w:hAnsi="Times New Roman" w:cs="Times New Roman"/>
        </w:rPr>
        <w:br/>
        <w:t> Sword, pike, knife, gun, or need of any engine</w:t>
      </w:r>
      <w:r w:rsidRPr="00400CEC">
        <w:rPr>
          <w:rFonts w:ascii="Times New Roman" w:hAnsi="Times New Roman" w:cs="Times New Roman"/>
        </w:rPr>
        <w:br/>
        <w:t> Would I not have; but nature should bring forth</w:t>
      </w:r>
      <w:r w:rsidRPr="00400CEC">
        <w:rPr>
          <w:rFonts w:ascii="Times New Roman" w:hAnsi="Times New Roman" w:cs="Times New Roman"/>
        </w:rPr>
        <w:br/>
        <w:t> Of its own kind all foison, all </w:t>
      </w:r>
      <w:proofErr w:type="gramStart"/>
      <w:r w:rsidRPr="00400CEC">
        <w:rPr>
          <w:rFonts w:ascii="Times New Roman" w:hAnsi="Times New Roman" w:cs="Times New Roman"/>
        </w:rPr>
        <w:t xml:space="preserve">abundance,   </w:t>
      </w:r>
      <w:proofErr w:type="gramEnd"/>
      <w:r w:rsidRPr="00400CEC">
        <w:rPr>
          <w:rFonts w:ascii="Times New Roman" w:hAnsi="Times New Roman" w:cs="Times New Roman"/>
        </w:rPr>
        <w:t xml:space="preserve">                                                                                           To feed my innocent people.</w:t>
      </w:r>
      <w:r w:rsidRPr="00400CEC">
        <w:rPr>
          <w:rFonts w:ascii="Times New Roman" w:hAnsi="Times New Roman" w:cs="Times New Roman"/>
          <w:vertAlign w:val="superscript"/>
        </w:rPr>
        <w:footnoteReference w:id="37"/>
      </w:r>
    </w:p>
    <w:p w14:paraId="041A5569" w14:textId="477E70FD" w:rsidR="00B474D3" w:rsidRPr="00400CEC" w:rsidRDefault="00B474D3" w:rsidP="006B201B">
      <w:pPr>
        <w:spacing w:line="360" w:lineRule="auto"/>
        <w:rPr>
          <w:rFonts w:ascii="Times New Roman" w:hAnsi="Times New Roman" w:cs="Times New Roman"/>
        </w:rPr>
      </w:pPr>
      <w:r w:rsidRPr="00400CEC">
        <w:rPr>
          <w:rFonts w:ascii="Times New Roman" w:hAnsi="Times New Roman" w:cs="Times New Roman"/>
          <w:i/>
          <w:iCs/>
        </w:rPr>
        <w:t xml:space="preserve">The Tempest </w:t>
      </w:r>
      <w:r w:rsidRPr="00400CEC">
        <w:rPr>
          <w:rFonts w:ascii="Times New Roman" w:hAnsi="Times New Roman" w:cs="Times New Roman"/>
        </w:rPr>
        <w:t>has already established that that ‘discord follows when the speciality of rule has been neglected and various persons fail to observe degree, priority, and place’ through the themes of regicide and divine-right to rule.</w:t>
      </w:r>
      <w:r w:rsidRPr="00400CEC">
        <w:rPr>
          <w:rFonts w:ascii="Times New Roman" w:hAnsi="Times New Roman" w:cs="Times New Roman"/>
          <w:vertAlign w:val="superscript"/>
        </w:rPr>
        <w:footnoteReference w:id="38"/>
      </w:r>
      <w:r w:rsidRPr="00400CEC">
        <w:rPr>
          <w:rFonts w:ascii="Times New Roman" w:hAnsi="Times New Roman" w:cs="Times New Roman"/>
        </w:rPr>
        <w:t xml:space="preserve"> Therefore, it is not lost on the audience that Gonzalo’s utopia does not have a ‘sovereign’, although this dream is contradictory because he gives himself the power to dismantle societal power structures. A true utopic society would be free from the interference of humankind, whose faults are emphasised in a simple asyndetic list: ‘treason, felony / Sword, pike, knife, gun’.</w:t>
      </w:r>
      <w:r w:rsidRPr="00400CEC">
        <w:rPr>
          <w:rFonts w:ascii="Times New Roman" w:hAnsi="Times New Roman" w:cs="Times New Roman"/>
          <w:vertAlign w:val="superscript"/>
        </w:rPr>
        <w:footnoteReference w:id="39"/>
      </w:r>
      <w:r w:rsidRPr="00400CEC">
        <w:rPr>
          <w:rFonts w:ascii="Times New Roman" w:hAnsi="Times New Roman" w:cs="Times New Roman"/>
        </w:rPr>
        <w:t xml:space="preserve"> By simply listing the faults of human society, Gonzalo is elevating the natural world </w:t>
      </w:r>
      <w:r w:rsidR="00E13DAE">
        <w:rPr>
          <w:rFonts w:ascii="Times New Roman" w:hAnsi="Times New Roman" w:cs="Times New Roman"/>
        </w:rPr>
        <w:t xml:space="preserve">as a means of </w:t>
      </w:r>
      <w:r w:rsidRPr="00400CEC">
        <w:rPr>
          <w:rFonts w:ascii="Times New Roman" w:hAnsi="Times New Roman" w:cs="Times New Roman"/>
        </w:rPr>
        <w:t>liv</w:t>
      </w:r>
      <w:r w:rsidR="00E13DAE">
        <w:rPr>
          <w:rFonts w:ascii="Times New Roman" w:hAnsi="Times New Roman" w:cs="Times New Roman"/>
        </w:rPr>
        <w:t>ing</w:t>
      </w:r>
      <w:r w:rsidRPr="00400CEC">
        <w:rPr>
          <w:rFonts w:ascii="Times New Roman" w:hAnsi="Times New Roman" w:cs="Times New Roman"/>
        </w:rPr>
        <w:t xml:space="preserve"> a fulfilling life. In Montaigne’s essay </w:t>
      </w:r>
      <w:r w:rsidRPr="00400CEC">
        <w:rPr>
          <w:rFonts w:ascii="Times New Roman" w:hAnsi="Times New Roman" w:cs="Times New Roman"/>
          <w:i/>
          <w:iCs/>
        </w:rPr>
        <w:t xml:space="preserve">Of </w:t>
      </w:r>
      <w:proofErr w:type="gramStart"/>
      <w:r w:rsidRPr="00400CEC">
        <w:rPr>
          <w:rFonts w:ascii="Times New Roman" w:hAnsi="Times New Roman" w:cs="Times New Roman"/>
          <w:i/>
          <w:iCs/>
        </w:rPr>
        <w:t>Cannibals</w:t>
      </w:r>
      <w:proofErr w:type="gramEnd"/>
      <w:r w:rsidRPr="00400CEC">
        <w:rPr>
          <w:rFonts w:ascii="Times New Roman" w:hAnsi="Times New Roman" w:cs="Times New Roman"/>
          <w:i/>
          <w:iCs/>
        </w:rPr>
        <w:t xml:space="preserve"> </w:t>
      </w:r>
      <w:r w:rsidRPr="00400CEC">
        <w:rPr>
          <w:rFonts w:ascii="Times New Roman" w:hAnsi="Times New Roman" w:cs="Times New Roman"/>
        </w:rPr>
        <w:t>he laments that societies that live by the laws of nature are pure, whilst societies that have replaced nature with human inventions and art are, in fact, barbarous.</w:t>
      </w:r>
    </w:p>
    <w:p w14:paraId="014B5BB7" w14:textId="77777777" w:rsidR="00B474D3" w:rsidRPr="00400CEC" w:rsidRDefault="00B474D3" w:rsidP="00F606A7">
      <w:pPr>
        <w:ind w:left="720" w:right="720"/>
        <w:rPr>
          <w:rFonts w:ascii="Times New Roman" w:hAnsi="Times New Roman" w:cs="Times New Roman"/>
        </w:rPr>
      </w:pPr>
      <w:r w:rsidRPr="00400CEC">
        <w:rPr>
          <w:rFonts w:ascii="Times New Roman" w:hAnsi="Times New Roman" w:cs="Times New Roman"/>
        </w:rPr>
        <w:t xml:space="preserve">Neither is it reasonable that art should gain the pre-eminence of our great and powerful mother nature. We have so surcharged her with the additional </w:t>
      </w:r>
      <w:r w:rsidRPr="00400CEC">
        <w:rPr>
          <w:rFonts w:ascii="Times New Roman" w:hAnsi="Times New Roman" w:cs="Times New Roman"/>
        </w:rPr>
        <w:lastRenderedPageBreak/>
        <w:t>ornaments and graces we have added to the beauty and riches of her own works by our inventions, that we have almost smothered her [.]</w:t>
      </w:r>
      <w:r w:rsidRPr="00400CEC">
        <w:rPr>
          <w:rFonts w:ascii="Times New Roman" w:hAnsi="Times New Roman" w:cs="Times New Roman"/>
          <w:vertAlign w:val="superscript"/>
        </w:rPr>
        <w:footnoteReference w:id="40"/>
      </w:r>
    </w:p>
    <w:p w14:paraId="430A224B" w14:textId="22894D81" w:rsidR="00B474D3" w:rsidRPr="00400CEC" w:rsidRDefault="00B474D3" w:rsidP="00F606A7">
      <w:pPr>
        <w:spacing w:line="360" w:lineRule="auto"/>
        <w:rPr>
          <w:rFonts w:ascii="Times New Roman" w:hAnsi="Times New Roman" w:cs="Times New Roman"/>
        </w:rPr>
      </w:pPr>
      <w:r w:rsidRPr="00400CEC">
        <w:rPr>
          <w:rFonts w:ascii="Times New Roman" w:hAnsi="Times New Roman" w:cs="Times New Roman"/>
        </w:rPr>
        <w:t xml:space="preserve">Gonzalo’s hopeful utopia in Act 2, Scene 5 provides context to how nature and society intersect, </w:t>
      </w:r>
      <w:r w:rsidR="0010213E">
        <w:rPr>
          <w:rFonts w:ascii="Times New Roman" w:hAnsi="Times New Roman" w:cs="Times New Roman"/>
        </w:rPr>
        <w:t>two ideas that come face-to-face</w:t>
      </w:r>
      <w:r w:rsidRPr="00400CEC">
        <w:rPr>
          <w:rFonts w:ascii="Times New Roman" w:hAnsi="Times New Roman" w:cs="Times New Roman"/>
        </w:rPr>
        <w:t xml:space="preserve"> </w:t>
      </w:r>
      <w:r w:rsidR="0010213E">
        <w:rPr>
          <w:rFonts w:ascii="Times New Roman" w:hAnsi="Times New Roman" w:cs="Times New Roman"/>
        </w:rPr>
        <w:t xml:space="preserve">through the </w:t>
      </w:r>
      <w:r w:rsidRPr="00400CEC">
        <w:rPr>
          <w:rFonts w:ascii="Times New Roman" w:hAnsi="Times New Roman" w:cs="Times New Roman"/>
        </w:rPr>
        <w:t>characters of Prospero and Caliban. Throughout the play nature is not only powerful but weakened by the tampering of men, and Prospero is ‘the first person guilty of interference’ of the natural order.</w:t>
      </w:r>
      <w:r w:rsidRPr="00400CEC">
        <w:rPr>
          <w:rFonts w:ascii="Times New Roman" w:hAnsi="Times New Roman" w:cs="Times New Roman"/>
          <w:vertAlign w:val="superscript"/>
        </w:rPr>
        <w:footnoteReference w:id="41"/>
      </w:r>
      <w:r w:rsidRPr="00400CEC">
        <w:rPr>
          <w:rFonts w:ascii="Times New Roman" w:hAnsi="Times New Roman" w:cs="Times New Roman"/>
        </w:rPr>
        <w:t xml:space="preserve"> In Act 1 Scene 2 Miranda calls Prospero’s magic ‘art’ – art that has the power to control the ‘wild waters’ and earthy ‘pine’ amongst other natural things.</w:t>
      </w:r>
      <w:r w:rsidRPr="00400CEC">
        <w:rPr>
          <w:rFonts w:ascii="Times New Roman" w:hAnsi="Times New Roman" w:cs="Times New Roman"/>
          <w:vertAlign w:val="superscript"/>
        </w:rPr>
        <w:footnoteReference w:id="42"/>
      </w:r>
      <w:r w:rsidRPr="00400CEC">
        <w:rPr>
          <w:rFonts w:ascii="Times New Roman" w:hAnsi="Times New Roman" w:cs="Times New Roman"/>
        </w:rPr>
        <w:t xml:space="preserve"> Prospero bends nature to his will, seeing it as something to dominate and control using his ‘own inventions’.</w:t>
      </w:r>
      <w:r w:rsidRPr="00400CEC">
        <w:rPr>
          <w:rFonts w:ascii="Times New Roman" w:hAnsi="Times New Roman" w:cs="Times New Roman"/>
          <w:vertAlign w:val="superscript"/>
        </w:rPr>
        <w:footnoteReference w:id="43"/>
      </w:r>
      <w:r w:rsidRPr="00400CEC">
        <w:rPr>
          <w:rFonts w:ascii="Times New Roman" w:hAnsi="Times New Roman" w:cs="Times New Roman"/>
        </w:rPr>
        <w:t xml:space="preserve"> Caliban, on the other hand, centralises the natural world in his society. In Act 1 his right to rule the island is initially established by Ariel through the declaration that Caliban is </w:t>
      </w:r>
      <w:proofErr w:type="spellStart"/>
      <w:r w:rsidRPr="00400CEC">
        <w:rPr>
          <w:rFonts w:ascii="Times New Roman" w:hAnsi="Times New Roman" w:cs="Times New Roman"/>
        </w:rPr>
        <w:t>Sycorax’s</w:t>
      </w:r>
      <w:proofErr w:type="spellEnd"/>
      <w:r w:rsidRPr="00400CEC">
        <w:rPr>
          <w:rFonts w:ascii="Times New Roman" w:hAnsi="Times New Roman" w:cs="Times New Roman"/>
        </w:rPr>
        <w:t xml:space="preserve"> ‘son’, who herself was associated with ‘earthy’ magic.</w:t>
      </w:r>
      <w:r w:rsidRPr="00400CEC">
        <w:rPr>
          <w:rFonts w:ascii="Times New Roman" w:hAnsi="Times New Roman" w:cs="Times New Roman"/>
          <w:vertAlign w:val="superscript"/>
        </w:rPr>
        <w:footnoteReference w:id="44"/>
      </w:r>
      <w:r w:rsidRPr="00400CEC">
        <w:rPr>
          <w:rFonts w:ascii="Times New Roman" w:hAnsi="Times New Roman" w:cs="Times New Roman"/>
        </w:rPr>
        <w:t xml:space="preserve"> Caliban’s love of nature is most ardently clear in his speech in Act 3, Scene 2.</w:t>
      </w:r>
    </w:p>
    <w:p w14:paraId="76D27488" w14:textId="37B8BE47" w:rsidR="00B474D3" w:rsidRPr="00400CEC" w:rsidRDefault="00B474D3" w:rsidP="0034043A">
      <w:pPr>
        <w:ind w:left="720"/>
        <w:rPr>
          <w:rFonts w:ascii="Times New Roman" w:hAnsi="Times New Roman" w:cs="Times New Roman"/>
        </w:rPr>
      </w:pPr>
      <w:r w:rsidRPr="00400CEC">
        <w:rPr>
          <w:rFonts w:ascii="Times New Roman" w:hAnsi="Times New Roman" w:cs="Times New Roman"/>
        </w:rPr>
        <w:t>CALIBAN </w:t>
      </w:r>
      <w:r w:rsidRPr="00400CEC">
        <w:rPr>
          <w:rFonts w:ascii="Times New Roman" w:hAnsi="Times New Roman" w:cs="Times New Roman"/>
        </w:rPr>
        <w:br/>
        <w:t>[…] The isle is full of noises,</w:t>
      </w:r>
      <w:r w:rsidRPr="00400CEC">
        <w:rPr>
          <w:rFonts w:ascii="Times New Roman" w:hAnsi="Times New Roman" w:cs="Times New Roman"/>
        </w:rPr>
        <w:br/>
        <w:t> Sounds and sweet airs that give delight and hurt not.</w:t>
      </w:r>
      <w:r w:rsidRPr="00400CEC">
        <w:rPr>
          <w:rFonts w:ascii="Times New Roman" w:hAnsi="Times New Roman" w:cs="Times New Roman"/>
        </w:rPr>
        <w:br/>
        <w:t>Sometimes a thousand twangling instruments</w:t>
      </w:r>
      <w:r w:rsidRPr="00400CEC">
        <w:rPr>
          <w:rFonts w:ascii="Times New Roman" w:hAnsi="Times New Roman" w:cs="Times New Roman"/>
        </w:rPr>
        <w:br/>
        <w:t> Will hum about mine ears, and sometimes voices</w:t>
      </w:r>
      <w:r w:rsidRPr="00400CEC">
        <w:rPr>
          <w:rFonts w:ascii="Times New Roman" w:hAnsi="Times New Roman" w:cs="Times New Roman"/>
        </w:rPr>
        <w:br/>
        <w:t> That, if I then had waked after long sleep,</w:t>
      </w:r>
      <w:r w:rsidRPr="00400CEC">
        <w:rPr>
          <w:rFonts w:ascii="Times New Roman" w:hAnsi="Times New Roman" w:cs="Times New Roman"/>
        </w:rPr>
        <w:br/>
        <w:t> Will make me sleep again; and then, in dreaming,</w:t>
      </w:r>
      <w:r w:rsidRPr="00400CEC">
        <w:rPr>
          <w:rFonts w:ascii="Times New Roman" w:hAnsi="Times New Roman" w:cs="Times New Roman"/>
        </w:rPr>
        <w:br/>
        <w:t> The clouds methought would open, and show riches</w:t>
      </w:r>
      <w:r w:rsidRPr="00400CEC">
        <w:rPr>
          <w:rFonts w:ascii="Times New Roman" w:hAnsi="Times New Roman" w:cs="Times New Roman"/>
        </w:rPr>
        <w:br/>
        <w:t>Ready to drop upon me, that when I waked</w:t>
      </w:r>
      <w:r w:rsidRPr="00400CEC">
        <w:rPr>
          <w:rFonts w:ascii="Times New Roman" w:hAnsi="Times New Roman" w:cs="Times New Roman"/>
        </w:rPr>
        <w:br/>
        <w:t> I cried to dream again.</w:t>
      </w:r>
      <w:r w:rsidR="003254BA" w:rsidRPr="00400CEC">
        <w:rPr>
          <w:rStyle w:val="FootnoteReference"/>
          <w:rFonts w:ascii="Times New Roman" w:hAnsi="Times New Roman" w:cs="Times New Roman"/>
        </w:rPr>
        <w:footnoteReference w:id="45"/>
      </w:r>
    </w:p>
    <w:p w14:paraId="0253F6B3" w14:textId="650837E8" w:rsidR="00DD5AC6" w:rsidRPr="00400CEC" w:rsidRDefault="00B474D3" w:rsidP="00F606A7">
      <w:pPr>
        <w:spacing w:line="360" w:lineRule="auto"/>
        <w:rPr>
          <w:rFonts w:ascii="Times New Roman" w:hAnsi="Times New Roman" w:cs="Times New Roman"/>
        </w:rPr>
      </w:pPr>
      <w:r w:rsidRPr="00400CEC">
        <w:rPr>
          <w:rFonts w:ascii="Times New Roman" w:hAnsi="Times New Roman" w:cs="Times New Roman"/>
        </w:rPr>
        <w:t>Caliban’s beautiful descriptions of his world relay the contradictory approaches of Old and New World colonial stereotypes that paint the Other as both ‘innocent’ and ‘monstrous’.</w:t>
      </w:r>
      <w:r w:rsidRPr="00400CEC">
        <w:rPr>
          <w:rFonts w:ascii="Times New Roman" w:hAnsi="Times New Roman" w:cs="Times New Roman"/>
          <w:vertAlign w:val="superscript"/>
        </w:rPr>
        <w:footnoteReference w:id="46"/>
      </w:r>
      <w:r w:rsidRPr="00400CEC">
        <w:rPr>
          <w:rFonts w:ascii="Times New Roman" w:hAnsi="Times New Roman" w:cs="Times New Roman"/>
        </w:rPr>
        <w:t xml:space="preserve"> By describing his world using delicate language such as ‘sweet’ and using the extended metaphor of dreaming, the Caliban we see here is innocent. Prospero treats him as though he was monstrous, a ‘poisonous’, ‘lying’ an uncivilised beast.</w:t>
      </w:r>
      <w:r w:rsidRPr="00400CEC">
        <w:rPr>
          <w:rFonts w:ascii="Times New Roman" w:hAnsi="Times New Roman" w:cs="Times New Roman"/>
          <w:vertAlign w:val="superscript"/>
        </w:rPr>
        <w:footnoteReference w:id="47"/>
      </w:r>
      <w:r w:rsidRPr="00400CEC">
        <w:rPr>
          <w:rFonts w:ascii="Times New Roman" w:hAnsi="Times New Roman" w:cs="Times New Roman"/>
        </w:rPr>
        <w:t xml:space="preserve"> But his world is gone – Caliban has lost this ‘dream’ world because of Prospero’s colonisation of the natural world. By </w:t>
      </w:r>
      <w:r w:rsidRPr="00400CEC">
        <w:rPr>
          <w:rFonts w:ascii="Times New Roman" w:hAnsi="Times New Roman" w:cs="Times New Roman"/>
        </w:rPr>
        <w:lastRenderedPageBreak/>
        <w:t>‘smothering’ the natural, Prospero has become a master of sleep and thus commands the dream world Caliban longs for: ‘thou art inclined to sleep’.</w:t>
      </w:r>
      <w:r w:rsidRPr="00400CEC">
        <w:rPr>
          <w:rFonts w:ascii="Times New Roman" w:hAnsi="Times New Roman" w:cs="Times New Roman"/>
          <w:vertAlign w:val="superscript"/>
        </w:rPr>
        <w:footnoteReference w:id="48"/>
      </w:r>
      <w:r w:rsidRPr="00400CEC">
        <w:rPr>
          <w:rFonts w:ascii="Times New Roman" w:hAnsi="Times New Roman" w:cs="Times New Roman"/>
        </w:rPr>
        <w:t xml:space="preserve"> This motif appears again once Prospero begins to use his ‘art’ to free the island from his power – ‘Graves at my command / Have waked their sleepers’ elicits a man who has renounced his</w:t>
      </w:r>
      <w:r w:rsidR="006D5815">
        <w:rPr>
          <w:rFonts w:ascii="Times New Roman" w:hAnsi="Times New Roman" w:cs="Times New Roman"/>
        </w:rPr>
        <w:t xml:space="preserve"> power over the dream-land</w:t>
      </w:r>
      <w:r w:rsidRPr="00400CEC">
        <w:rPr>
          <w:rFonts w:ascii="Times New Roman" w:hAnsi="Times New Roman" w:cs="Times New Roman"/>
        </w:rPr>
        <w:t>, recognising instead that his magic was ‘rough’ and unnatural.</w:t>
      </w:r>
      <w:r w:rsidRPr="00400CEC">
        <w:rPr>
          <w:rFonts w:ascii="Times New Roman" w:hAnsi="Times New Roman" w:cs="Times New Roman"/>
          <w:vertAlign w:val="superscript"/>
        </w:rPr>
        <w:footnoteReference w:id="49"/>
      </w:r>
      <w:r w:rsidRPr="00400CEC">
        <w:rPr>
          <w:rFonts w:ascii="Times New Roman" w:hAnsi="Times New Roman" w:cs="Times New Roman"/>
        </w:rPr>
        <w:t xml:space="preserve"> For Montaigne, a pure world is one in which ‘the laws of nature […] govern them still, not as yet much vitiated with any mixture of ours’, and thus a fulfilling life can only be obtained when the natural world is embraced over a society that has been interfered or corrupted by humans.</w:t>
      </w:r>
      <w:r w:rsidRPr="00400CEC">
        <w:rPr>
          <w:rFonts w:ascii="Times New Roman" w:hAnsi="Times New Roman" w:cs="Times New Roman"/>
          <w:vertAlign w:val="superscript"/>
        </w:rPr>
        <w:footnoteReference w:id="50"/>
      </w:r>
      <w:r w:rsidR="00F606A7">
        <w:rPr>
          <w:rFonts w:ascii="Times New Roman" w:hAnsi="Times New Roman" w:cs="Times New Roman"/>
        </w:rPr>
        <w:tab/>
      </w:r>
      <w:r w:rsidR="00F606A7">
        <w:rPr>
          <w:rFonts w:ascii="Times New Roman" w:hAnsi="Times New Roman" w:cs="Times New Roman"/>
        </w:rPr>
        <w:tab/>
      </w:r>
      <w:r w:rsidR="00F606A7">
        <w:rPr>
          <w:rFonts w:ascii="Times New Roman" w:hAnsi="Times New Roman" w:cs="Times New Roman"/>
        </w:rPr>
        <w:tab/>
      </w:r>
      <w:r w:rsidR="00F606A7">
        <w:rPr>
          <w:rFonts w:ascii="Times New Roman" w:hAnsi="Times New Roman" w:cs="Times New Roman"/>
        </w:rPr>
        <w:tab/>
      </w:r>
      <w:r w:rsidR="00F606A7">
        <w:rPr>
          <w:rFonts w:ascii="Times New Roman" w:hAnsi="Times New Roman" w:cs="Times New Roman"/>
        </w:rPr>
        <w:tab/>
      </w:r>
      <w:r w:rsidRPr="00400CEC">
        <w:rPr>
          <w:rFonts w:ascii="Times New Roman" w:hAnsi="Times New Roman" w:cs="Times New Roman"/>
        </w:rPr>
        <w:t xml:space="preserve">Overall, Shakespeare utilises the Renaissance Humanist writings of Montaigne and Erasmus to explore, critique and analyse the psychological and sociological impacts of regicide, colonialism and divine right to rule. Each theme is inextricably linked to the period in which Shakespeare was writing by various religious and political contexts; therefore, we can categorise </w:t>
      </w:r>
      <w:r w:rsidRPr="00400CEC">
        <w:rPr>
          <w:rFonts w:ascii="Times New Roman" w:hAnsi="Times New Roman" w:cs="Times New Roman"/>
          <w:i/>
          <w:iCs/>
        </w:rPr>
        <w:t xml:space="preserve">The Tempest </w:t>
      </w:r>
      <w:r w:rsidRPr="00400CEC">
        <w:rPr>
          <w:rFonts w:ascii="Times New Roman" w:hAnsi="Times New Roman" w:cs="Times New Roman"/>
        </w:rPr>
        <w:t xml:space="preserve">as a morality play that is fundamentally concerned with man’s desire to overcome his worst self, and ultimately right the wrongs and injustices we see and feel within our world – be this through peaceful reunification with the natural world, or a violent act of regicide. </w:t>
      </w:r>
      <w:r w:rsidRPr="00400CEC">
        <w:rPr>
          <w:rFonts w:ascii="Times New Roman" w:hAnsi="Times New Roman" w:cs="Times New Roman"/>
          <w:i/>
          <w:iCs/>
        </w:rPr>
        <w:t xml:space="preserve">The Tempest </w:t>
      </w:r>
      <w:r w:rsidRPr="00400CEC">
        <w:rPr>
          <w:rFonts w:ascii="Times New Roman" w:hAnsi="Times New Roman" w:cs="Times New Roman"/>
        </w:rPr>
        <w:t>puts forward complex characters and plots to explore the notion of what it means to be a human being, and how we as human beings commit to ‘a way of life’ that satisfies our inner most desires and ‘essence’.</w:t>
      </w:r>
      <w:r w:rsidRPr="00400CEC">
        <w:rPr>
          <w:rStyle w:val="FootnoteReference"/>
          <w:rFonts w:ascii="Times New Roman" w:hAnsi="Times New Roman" w:cs="Times New Roman"/>
        </w:rPr>
        <w:footnoteReference w:id="51"/>
      </w:r>
    </w:p>
    <w:p w14:paraId="3C69F480" w14:textId="77777777" w:rsidR="00400CEC" w:rsidRPr="00400CEC" w:rsidRDefault="00400CEC" w:rsidP="00FC1788">
      <w:pPr>
        <w:jc w:val="center"/>
        <w:rPr>
          <w:rFonts w:ascii="Times New Roman" w:hAnsi="Times New Roman" w:cs="Times New Roman"/>
          <w:b/>
          <w:bCs/>
          <w:sz w:val="28"/>
          <w:szCs w:val="28"/>
        </w:rPr>
      </w:pPr>
    </w:p>
    <w:p w14:paraId="67FFBCC8" w14:textId="77777777" w:rsidR="00400CEC" w:rsidRPr="00400CEC" w:rsidRDefault="00400CEC" w:rsidP="00FC1788">
      <w:pPr>
        <w:jc w:val="center"/>
        <w:rPr>
          <w:rFonts w:ascii="Times New Roman" w:hAnsi="Times New Roman" w:cs="Times New Roman"/>
          <w:b/>
          <w:bCs/>
          <w:sz w:val="28"/>
          <w:szCs w:val="28"/>
        </w:rPr>
      </w:pPr>
    </w:p>
    <w:p w14:paraId="0F3FB680" w14:textId="77777777" w:rsidR="00400CEC" w:rsidRPr="00400CEC" w:rsidRDefault="00400CEC" w:rsidP="00FC1788">
      <w:pPr>
        <w:jc w:val="center"/>
        <w:rPr>
          <w:rFonts w:ascii="Times New Roman" w:hAnsi="Times New Roman" w:cs="Times New Roman"/>
          <w:b/>
          <w:bCs/>
          <w:sz w:val="28"/>
          <w:szCs w:val="28"/>
        </w:rPr>
      </w:pPr>
    </w:p>
    <w:p w14:paraId="7F069AAD" w14:textId="77777777" w:rsidR="00400CEC" w:rsidRPr="00400CEC" w:rsidRDefault="00400CEC" w:rsidP="00FC1788">
      <w:pPr>
        <w:jc w:val="center"/>
        <w:rPr>
          <w:rFonts w:ascii="Times New Roman" w:hAnsi="Times New Roman" w:cs="Times New Roman"/>
          <w:b/>
          <w:bCs/>
          <w:sz w:val="28"/>
          <w:szCs w:val="28"/>
        </w:rPr>
      </w:pPr>
    </w:p>
    <w:p w14:paraId="416445EB" w14:textId="77777777" w:rsidR="00400CEC" w:rsidRPr="00400CEC" w:rsidRDefault="00400CEC" w:rsidP="00FC1788">
      <w:pPr>
        <w:jc w:val="center"/>
        <w:rPr>
          <w:rFonts w:ascii="Times New Roman" w:hAnsi="Times New Roman" w:cs="Times New Roman"/>
          <w:b/>
          <w:bCs/>
          <w:sz w:val="28"/>
          <w:szCs w:val="28"/>
        </w:rPr>
      </w:pPr>
    </w:p>
    <w:p w14:paraId="61512D4F" w14:textId="77777777" w:rsidR="00400CEC" w:rsidRDefault="00400CEC" w:rsidP="00F606A7">
      <w:pPr>
        <w:rPr>
          <w:rFonts w:ascii="Times New Roman" w:hAnsi="Times New Roman" w:cs="Times New Roman"/>
          <w:b/>
          <w:bCs/>
          <w:sz w:val="28"/>
          <w:szCs w:val="28"/>
        </w:rPr>
      </w:pPr>
    </w:p>
    <w:p w14:paraId="070BDE28" w14:textId="77777777" w:rsidR="00F606A7" w:rsidRPr="00400CEC" w:rsidRDefault="00F606A7" w:rsidP="00F606A7">
      <w:pPr>
        <w:rPr>
          <w:rFonts w:ascii="Times New Roman" w:hAnsi="Times New Roman" w:cs="Times New Roman"/>
          <w:b/>
          <w:bCs/>
          <w:sz w:val="28"/>
          <w:szCs w:val="28"/>
        </w:rPr>
      </w:pPr>
    </w:p>
    <w:p w14:paraId="601A5FFC" w14:textId="77777777" w:rsidR="00400CEC" w:rsidRPr="00400CEC" w:rsidRDefault="00400CEC" w:rsidP="00FC1788">
      <w:pPr>
        <w:jc w:val="center"/>
        <w:rPr>
          <w:rFonts w:ascii="Times New Roman" w:hAnsi="Times New Roman" w:cs="Times New Roman"/>
          <w:b/>
          <w:bCs/>
          <w:sz w:val="28"/>
          <w:szCs w:val="28"/>
        </w:rPr>
      </w:pPr>
    </w:p>
    <w:p w14:paraId="1AFAF99F" w14:textId="2234D69F" w:rsidR="00FC1788" w:rsidRPr="00400CEC" w:rsidRDefault="00753645" w:rsidP="00FC1788">
      <w:pPr>
        <w:jc w:val="center"/>
        <w:rPr>
          <w:rFonts w:ascii="Times New Roman" w:hAnsi="Times New Roman" w:cs="Times New Roman"/>
          <w:b/>
          <w:bCs/>
          <w:sz w:val="28"/>
          <w:szCs w:val="28"/>
        </w:rPr>
      </w:pPr>
      <w:r w:rsidRPr="00400CEC">
        <w:rPr>
          <w:rFonts w:ascii="Times New Roman" w:hAnsi="Times New Roman" w:cs="Times New Roman"/>
          <w:b/>
          <w:bCs/>
          <w:sz w:val="28"/>
          <w:szCs w:val="28"/>
        </w:rPr>
        <w:lastRenderedPageBreak/>
        <w:t>Bibliography</w:t>
      </w:r>
    </w:p>
    <w:p w14:paraId="605C2141" w14:textId="1C83685C" w:rsidR="00753645" w:rsidRPr="00F606A7" w:rsidRDefault="00753645" w:rsidP="00753645">
      <w:pPr>
        <w:rPr>
          <w:rFonts w:ascii="Times New Roman" w:hAnsi="Times New Roman" w:cs="Times New Roman"/>
          <w:b/>
          <w:bCs/>
        </w:rPr>
      </w:pPr>
      <w:r w:rsidRPr="00F606A7">
        <w:rPr>
          <w:rFonts w:ascii="Times New Roman" w:hAnsi="Times New Roman" w:cs="Times New Roman"/>
          <w:b/>
          <w:bCs/>
        </w:rPr>
        <w:t>Primary Sources</w:t>
      </w:r>
    </w:p>
    <w:p w14:paraId="7A676FFE" w14:textId="5AD3CCC0" w:rsidR="00A8625C" w:rsidRPr="00400CEC" w:rsidRDefault="00A8625C" w:rsidP="00753645">
      <w:pPr>
        <w:rPr>
          <w:rFonts w:ascii="Times New Roman" w:hAnsi="Times New Roman" w:cs="Times New Roman"/>
        </w:rPr>
      </w:pPr>
      <w:r w:rsidRPr="00400CEC">
        <w:rPr>
          <w:rFonts w:ascii="Times New Roman" w:hAnsi="Times New Roman" w:cs="Times New Roman"/>
        </w:rPr>
        <w:t>Montaigne,</w:t>
      </w:r>
      <w:r w:rsidRPr="00400CEC">
        <w:rPr>
          <w:rFonts w:ascii="Times New Roman" w:hAnsi="Times New Roman" w:cs="Times New Roman"/>
        </w:rPr>
        <w:t xml:space="preserve"> Michel de,</w:t>
      </w:r>
      <w:r w:rsidRPr="00400CEC">
        <w:rPr>
          <w:rFonts w:ascii="Times New Roman" w:hAnsi="Times New Roman" w:cs="Times New Roman"/>
        </w:rPr>
        <w:t xml:space="preserve"> </w:t>
      </w:r>
      <w:r w:rsidRPr="00400CEC">
        <w:rPr>
          <w:rFonts w:ascii="Times New Roman" w:hAnsi="Times New Roman" w:cs="Times New Roman"/>
          <w:i/>
          <w:iCs/>
        </w:rPr>
        <w:t>Essays of Montaigne</w:t>
      </w:r>
      <w:r w:rsidRPr="00400CEC">
        <w:rPr>
          <w:rFonts w:ascii="Times New Roman" w:hAnsi="Times New Roman" w:cs="Times New Roman"/>
        </w:rPr>
        <w:t xml:space="preserve">, ed. by William Carew Hazlett and trans. </w:t>
      </w:r>
      <w:r w:rsidRPr="00400CEC">
        <w:rPr>
          <w:rFonts w:ascii="Times New Roman" w:hAnsi="Times New Roman" w:cs="Times New Roman"/>
        </w:rPr>
        <w:t>b</w:t>
      </w:r>
      <w:r w:rsidRPr="00400CEC">
        <w:rPr>
          <w:rFonts w:ascii="Times New Roman" w:hAnsi="Times New Roman" w:cs="Times New Roman"/>
        </w:rPr>
        <w:t xml:space="preserve">y </w:t>
      </w:r>
      <w:r w:rsidRPr="00400CEC">
        <w:rPr>
          <w:rFonts w:ascii="Times New Roman" w:hAnsi="Times New Roman" w:cs="Times New Roman"/>
        </w:rPr>
        <w:tab/>
      </w:r>
      <w:r w:rsidRPr="00400CEC">
        <w:rPr>
          <w:rFonts w:ascii="Times New Roman" w:hAnsi="Times New Roman" w:cs="Times New Roman"/>
        </w:rPr>
        <w:t>Charles Cotton (1910).</w:t>
      </w:r>
    </w:p>
    <w:p w14:paraId="5A059E2A" w14:textId="6F1717C1" w:rsidR="00A8625C" w:rsidRPr="00400CEC" w:rsidRDefault="00DD5AC6" w:rsidP="00753645">
      <w:pPr>
        <w:rPr>
          <w:rFonts w:ascii="Times New Roman" w:hAnsi="Times New Roman" w:cs="Times New Roman"/>
        </w:rPr>
      </w:pPr>
      <w:r w:rsidRPr="00400CEC">
        <w:rPr>
          <w:rFonts w:ascii="Times New Roman" w:hAnsi="Times New Roman" w:cs="Times New Roman"/>
        </w:rPr>
        <w:t>‘</w:t>
      </w:r>
      <w:r w:rsidR="00A54E00" w:rsidRPr="00400CEC">
        <w:rPr>
          <w:rFonts w:ascii="Times New Roman" w:hAnsi="Times New Roman" w:cs="Times New Roman"/>
        </w:rPr>
        <w:t>The Tempest Act 2, Scene 1’, The Folger Shakespeare</w:t>
      </w:r>
      <w:r w:rsidRPr="00400CEC">
        <w:rPr>
          <w:rFonts w:ascii="Times New Roman" w:hAnsi="Times New Roman" w:cs="Times New Roman"/>
        </w:rPr>
        <w:t>, n.d.</w:t>
      </w:r>
      <w:r w:rsidR="00A54E00" w:rsidRPr="00400CEC">
        <w:rPr>
          <w:rFonts w:ascii="Times New Roman" w:hAnsi="Times New Roman" w:cs="Times New Roman"/>
        </w:rPr>
        <w:t xml:space="preserve"> </w:t>
      </w:r>
      <w:r w:rsidR="00A54E00" w:rsidRPr="00400CEC">
        <w:rPr>
          <w:rFonts w:ascii="Times New Roman" w:hAnsi="Times New Roman" w:cs="Times New Roman"/>
        </w:rPr>
        <w:t xml:space="preserve">&lt; </w:t>
      </w:r>
      <w:r w:rsidR="00A54E00" w:rsidRPr="00400CEC">
        <w:rPr>
          <w:rFonts w:ascii="Times New Roman" w:hAnsi="Times New Roman" w:cs="Times New Roman"/>
        </w:rPr>
        <w:tab/>
      </w:r>
      <w:r w:rsidR="00A54E00" w:rsidRPr="00400CEC">
        <w:rPr>
          <w:rFonts w:ascii="Times New Roman" w:hAnsi="Times New Roman" w:cs="Times New Roman"/>
        </w:rPr>
        <w:t xml:space="preserve">https://www.folger.edu/explore/shakespeares-works/the-tempest/read/2/1/&gt; </w:t>
      </w:r>
      <w:r w:rsidR="00A54E00" w:rsidRPr="00400CEC">
        <w:rPr>
          <w:rFonts w:ascii="Times New Roman" w:hAnsi="Times New Roman" w:cs="Times New Roman"/>
        </w:rPr>
        <w:tab/>
      </w:r>
      <w:r w:rsidR="00A54E00" w:rsidRPr="00400CEC">
        <w:rPr>
          <w:rFonts w:ascii="Times New Roman" w:hAnsi="Times New Roman" w:cs="Times New Roman"/>
        </w:rPr>
        <w:t>[Accessed 28 Feb 2025].</w:t>
      </w:r>
    </w:p>
    <w:p w14:paraId="5EA4A7B3" w14:textId="56FB27D8" w:rsidR="00C233DA" w:rsidRPr="00400CEC" w:rsidRDefault="00C233DA" w:rsidP="00753645">
      <w:pPr>
        <w:rPr>
          <w:rFonts w:ascii="Times New Roman" w:hAnsi="Times New Roman" w:cs="Times New Roman"/>
          <w:b/>
          <w:bCs/>
        </w:rPr>
      </w:pPr>
      <w:r w:rsidRPr="00400CEC">
        <w:rPr>
          <w:rFonts w:ascii="Times New Roman" w:hAnsi="Times New Roman" w:cs="Times New Roman"/>
          <w:b/>
          <w:bCs/>
        </w:rPr>
        <w:t>Secondary Sources</w:t>
      </w:r>
    </w:p>
    <w:p w14:paraId="409889A3" w14:textId="6AF1B7CA" w:rsidR="0034043A" w:rsidRPr="00400CEC" w:rsidRDefault="0034043A" w:rsidP="00753645">
      <w:pPr>
        <w:rPr>
          <w:rFonts w:ascii="Times New Roman" w:hAnsi="Times New Roman" w:cs="Times New Roman"/>
        </w:rPr>
      </w:pPr>
      <w:r w:rsidRPr="00400CEC">
        <w:rPr>
          <w:rFonts w:ascii="Times New Roman" w:hAnsi="Times New Roman" w:cs="Times New Roman"/>
        </w:rPr>
        <w:t>Bhat,</w:t>
      </w:r>
      <w:r w:rsidRPr="00400CEC">
        <w:rPr>
          <w:rFonts w:ascii="Times New Roman" w:hAnsi="Times New Roman" w:cs="Times New Roman"/>
        </w:rPr>
        <w:t xml:space="preserve"> </w:t>
      </w:r>
      <w:r w:rsidRPr="00400CEC">
        <w:rPr>
          <w:rFonts w:ascii="Times New Roman" w:hAnsi="Times New Roman" w:cs="Times New Roman"/>
        </w:rPr>
        <w:t>Ishfaq Hussain</w:t>
      </w:r>
      <w:r w:rsidRPr="00400CEC">
        <w:rPr>
          <w:rFonts w:ascii="Times New Roman" w:hAnsi="Times New Roman" w:cs="Times New Roman"/>
        </w:rPr>
        <w:t>,</w:t>
      </w:r>
      <w:r w:rsidRPr="00400CEC">
        <w:rPr>
          <w:rFonts w:ascii="Times New Roman" w:hAnsi="Times New Roman" w:cs="Times New Roman"/>
        </w:rPr>
        <w:t xml:space="preserve"> ‘Shakespeare’s The Tempest as a Tragicomedy’,</w:t>
      </w:r>
      <w:r w:rsidRPr="00400CEC">
        <w:rPr>
          <w:rFonts w:ascii="Times New Roman" w:hAnsi="Times New Roman" w:cs="Times New Roman"/>
          <w:i/>
          <w:iCs/>
        </w:rPr>
        <w:t xml:space="preserve"> International </w:t>
      </w:r>
      <w:r w:rsidRPr="00400CEC">
        <w:rPr>
          <w:rFonts w:ascii="Times New Roman" w:hAnsi="Times New Roman" w:cs="Times New Roman"/>
          <w:i/>
          <w:iCs/>
        </w:rPr>
        <w:tab/>
      </w:r>
      <w:r w:rsidRPr="00400CEC">
        <w:rPr>
          <w:rFonts w:ascii="Times New Roman" w:hAnsi="Times New Roman" w:cs="Times New Roman"/>
          <w:i/>
          <w:iCs/>
        </w:rPr>
        <w:t xml:space="preserve">Journal of Trend in Scientific Research and Development, </w:t>
      </w:r>
      <w:r w:rsidRPr="00400CEC">
        <w:rPr>
          <w:rFonts w:ascii="Times New Roman" w:hAnsi="Times New Roman" w:cs="Times New Roman"/>
        </w:rPr>
        <w:t>2.1 (2017), pp. 316-</w:t>
      </w:r>
      <w:r w:rsidRPr="00400CEC">
        <w:rPr>
          <w:rFonts w:ascii="Times New Roman" w:hAnsi="Times New Roman" w:cs="Times New Roman"/>
        </w:rPr>
        <w:tab/>
      </w:r>
      <w:r w:rsidRPr="00400CEC">
        <w:rPr>
          <w:rFonts w:ascii="Times New Roman" w:hAnsi="Times New Roman" w:cs="Times New Roman"/>
        </w:rPr>
        <w:t>319</w:t>
      </w:r>
      <w:r w:rsidRPr="00400CEC">
        <w:rPr>
          <w:rFonts w:ascii="Times New Roman" w:hAnsi="Times New Roman" w:cs="Times New Roman"/>
        </w:rPr>
        <w:t>.</w:t>
      </w:r>
    </w:p>
    <w:p w14:paraId="62B47136" w14:textId="1A5F6600" w:rsidR="000450D0" w:rsidRDefault="000450D0" w:rsidP="00753645">
      <w:pPr>
        <w:rPr>
          <w:rFonts w:ascii="Times New Roman" w:hAnsi="Times New Roman" w:cs="Times New Roman"/>
        </w:rPr>
      </w:pPr>
      <w:r w:rsidRPr="00400CEC">
        <w:rPr>
          <w:rFonts w:ascii="Times New Roman" w:hAnsi="Times New Roman" w:cs="Times New Roman"/>
        </w:rPr>
        <w:t>Bowing,</w:t>
      </w:r>
      <w:r w:rsidRPr="00400CEC">
        <w:rPr>
          <w:rFonts w:ascii="Times New Roman" w:hAnsi="Times New Roman" w:cs="Times New Roman"/>
        </w:rPr>
        <w:t xml:space="preserve"> </w:t>
      </w:r>
      <w:r w:rsidRPr="00400CEC">
        <w:rPr>
          <w:rFonts w:ascii="Times New Roman" w:hAnsi="Times New Roman" w:cs="Times New Roman"/>
        </w:rPr>
        <w:t>Lawrence E.</w:t>
      </w:r>
      <w:r w:rsidRPr="00400CEC">
        <w:rPr>
          <w:rFonts w:ascii="Times New Roman" w:hAnsi="Times New Roman" w:cs="Times New Roman"/>
        </w:rPr>
        <w:t>,</w:t>
      </w:r>
      <w:r w:rsidRPr="00400CEC">
        <w:rPr>
          <w:rFonts w:ascii="Times New Roman" w:hAnsi="Times New Roman" w:cs="Times New Roman"/>
        </w:rPr>
        <w:t xml:space="preserve"> ‘The Theme of Natural order in “The Tempest”’, </w:t>
      </w:r>
      <w:r w:rsidRPr="00400CEC">
        <w:rPr>
          <w:rFonts w:ascii="Times New Roman" w:hAnsi="Times New Roman" w:cs="Times New Roman"/>
          <w:i/>
          <w:iCs/>
        </w:rPr>
        <w:t xml:space="preserve">College English, </w:t>
      </w:r>
      <w:r w:rsidR="0043129C" w:rsidRPr="00400CEC">
        <w:rPr>
          <w:rFonts w:ascii="Times New Roman" w:hAnsi="Times New Roman" w:cs="Times New Roman"/>
          <w:i/>
          <w:iCs/>
        </w:rPr>
        <w:tab/>
      </w:r>
      <w:r w:rsidRPr="00400CEC">
        <w:rPr>
          <w:rFonts w:ascii="Times New Roman" w:hAnsi="Times New Roman" w:cs="Times New Roman"/>
        </w:rPr>
        <w:t>12.4 (1951), pp. 203-209.</w:t>
      </w:r>
    </w:p>
    <w:p w14:paraId="7ECDE77C" w14:textId="07B98173" w:rsidR="002300E5" w:rsidRDefault="002300E5" w:rsidP="00753645">
      <w:pPr>
        <w:rPr>
          <w:rFonts w:ascii="Times New Roman" w:hAnsi="Times New Roman" w:cs="Times New Roman"/>
        </w:rPr>
      </w:pPr>
      <w:r w:rsidRPr="00F64DDB">
        <w:rPr>
          <w:rFonts w:ascii="Times New Roman" w:hAnsi="Times New Roman" w:cs="Times New Roman"/>
        </w:rPr>
        <w:t xml:space="preserve">Bushnell, </w:t>
      </w:r>
      <w:r w:rsidR="00F64DDB" w:rsidRPr="00F64DDB">
        <w:rPr>
          <w:rFonts w:ascii="Times New Roman" w:hAnsi="Times New Roman" w:cs="Times New Roman"/>
        </w:rPr>
        <w:t xml:space="preserve">Nelson Sherwin, </w:t>
      </w:r>
      <w:r w:rsidR="00F64DDB">
        <w:rPr>
          <w:rFonts w:ascii="Times New Roman" w:hAnsi="Times New Roman" w:cs="Times New Roman"/>
        </w:rPr>
        <w:t xml:space="preserve">‘Natural Supernaturalism in the Tempest’, </w:t>
      </w:r>
      <w:r w:rsidR="00F64DDB">
        <w:rPr>
          <w:rFonts w:ascii="Times New Roman" w:hAnsi="Times New Roman" w:cs="Times New Roman"/>
          <w:i/>
          <w:iCs/>
        </w:rPr>
        <w:t xml:space="preserve">PMLA, </w:t>
      </w:r>
      <w:r w:rsidR="00E200A4">
        <w:rPr>
          <w:rFonts w:ascii="Times New Roman" w:hAnsi="Times New Roman" w:cs="Times New Roman"/>
        </w:rPr>
        <w:t xml:space="preserve">47.3 (1932), pp. </w:t>
      </w:r>
      <w:r w:rsidR="00E200A4">
        <w:rPr>
          <w:rFonts w:ascii="Times New Roman" w:hAnsi="Times New Roman" w:cs="Times New Roman"/>
        </w:rPr>
        <w:tab/>
        <w:t>684-689.</w:t>
      </w:r>
    </w:p>
    <w:p w14:paraId="595BCB81" w14:textId="4D058AAE" w:rsidR="004D6539" w:rsidRPr="004D6539" w:rsidRDefault="004D6539" w:rsidP="00753645">
      <w:pPr>
        <w:rPr>
          <w:rFonts w:ascii="Times New Roman" w:hAnsi="Times New Roman" w:cs="Times New Roman"/>
        </w:rPr>
      </w:pPr>
      <w:r>
        <w:rPr>
          <w:rFonts w:ascii="Times New Roman" w:hAnsi="Times New Roman" w:cs="Times New Roman"/>
        </w:rPr>
        <w:t xml:space="preserve">Egan, Robert, ‘This Rough Magic: Perspectives of Art and Morality in The Tempest’, </w:t>
      </w:r>
      <w:r>
        <w:rPr>
          <w:rFonts w:ascii="Times New Roman" w:hAnsi="Times New Roman" w:cs="Times New Roman"/>
        </w:rPr>
        <w:tab/>
      </w:r>
      <w:r>
        <w:rPr>
          <w:rFonts w:ascii="Times New Roman" w:hAnsi="Times New Roman" w:cs="Times New Roman"/>
          <w:i/>
          <w:iCs/>
        </w:rPr>
        <w:t xml:space="preserve">Shakespeare Quarterly, </w:t>
      </w:r>
      <w:r>
        <w:rPr>
          <w:rFonts w:ascii="Times New Roman" w:hAnsi="Times New Roman" w:cs="Times New Roman"/>
        </w:rPr>
        <w:t>23.2 (1972), pp. 171-182.</w:t>
      </w:r>
    </w:p>
    <w:p w14:paraId="00A4A172" w14:textId="61136863" w:rsidR="00C233DA" w:rsidRDefault="00C233DA" w:rsidP="00753645">
      <w:pPr>
        <w:rPr>
          <w:rFonts w:ascii="Times New Roman" w:hAnsi="Times New Roman" w:cs="Times New Roman"/>
        </w:rPr>
      </w:pPr>
      <w:r w:rsidRPr="00400CEC">
        <w:rPr>
          <w:rFonts w:ascii="Times New Roman" w:hAnsi="Times New Roman" w:cs="Times New Roman"/>
        </w:rPr>
        <w:t>Drouet,</w:t>
      </w:r>
      <w:r w:rsidRPr="00400CEC">
        <w:rPr>
          <w:rFonts w:ascii="Times New Roman" w:hAnsi="Times New Roman" w:cs="Times New Roman"/>
        </w:rPr>
        <w:t xml:space="preserve"> Pascale, </w:t>
      </w:r>
      <w:r w:rsidRPr="00400CEC">
        <w:rPr>
          <w:rFonts w:ascii="Times New Roman" w:hAnsi="Times New Roman" w:cs="Times New Roman"/>
        </w:rPr>
        <w:t xml:space="preserve">‘A Shakespearian Exploration of Erasmus’ </w:t>
      </w:r>
      <w:proofErr w:type="spellStart"/>
      <w:r w:rsidRPr="00400CEC">
        <w:rPr>
          <w:rFonts w:ascii="Times New Roman" w:hAnsi="Times New Roman" w:cs="Times New Roman"/>
          <w:i/>
          <w:iCs/>
        </w:rPr>
        <w:t>festine</w:t>
      </w:r>
      <w:proofErr w:type="spellEnd"/>
      <w:r w:rsidRPr="00400CEC">
        <w:rPr>
          <w:rFonts w:ascii="Times New Roman" w:hAnsi="Times New Roman" w:cs="Times New Roman"/>
          <w:i/>
          <w:iCs/>
        </w:rPr>
        <w:t xml:space="preserve"> lente’, Shakespeare, </w:t>
      </w:r>
      <w:r w:rsidRPr="00400CEC">
        <w:rPr>
          <w:rFonts w:ascii="Times New Roman" w:hAnsi="Times New Roman" w:cs="Times New Roman"/>
          <w:i/>
          <w:iCs/>
        </w:rPr>
        <w:tab/>
      </w:r>
      <w:r w:rsidRPr="00400CEC">
        <w:rPr>
          <w:rFonts w:ascii="Times New Roman" w:hAnsi="Times New Roman" w:cs="Times New Roman"/>
        </w:rPr>
        <w:t>15.3 (2019), pp. 233-241</w:t>
      </w:r>
      <w:r w:rsidR="00D378C2" w:rsidRPr="00400CEC">
        <w:rPr>
          <w:rFonts w:ascii="Times New Roman" w:hAnsi="Times New Roman" w:cs="Times New Roman"/>
        </w:rPr>
        <w:t>.</w:t>
      </w:r>
    </w:p>
    <w:p w14:paraId="724EDC25" w14:textId="39A4A3AF" w:rsidR="002158E2" w:rsidRDefault="002158E2" w:rsidP="00753645">
      <w:pPr>
        <w:rPr>
          <w:rFonts w:ascii="Times New Roman" w:hAnsi="Times New Roman" w:cs="Times New Roman"/>
        </w:rPr>
      </w:pPr>
      <w:r>
        <w:rPr>
          <w:rFonts w:ascii="Times New Roman" w:hAnsi="Times New Roman" w:cs="Times New Roman"/>
        </w:rPr>
        <w:t xml:space="preserve">Fuchs, Barbara, ‘Conquering Islands: Contextualizing </w:t>
      </w:r>
      <w:proofErr w:type="gramStart"/>
      <w:r>
        <w:rPr>
          <w:rFonts w:ascii="Times New Roman" w:hAnsi="Times New Roman" w:cs="Times New Roman"/>
        </w:rPr>
        <w:t>The</w:t>
      </w:r>
      <w:proofErr w:type="gramEnd"/>
      <w:r>
        <w:rPr>
          <w:rFonts w:ascii="Times New Roman" w:hAnsi="Times New Roman" w:cs="Times New Roman"/>
        </w:rPr>
        <w:t xml:space="preserve"> Tempest’, </w:t>
      </w:r>
      <w:r>
        <w:rPr>
          <w:rFonts w:ascii="Times New Roman" w:hAnsi="Times New Roman" w:cs="Times New Roman"/>
          <w:i/>
          <w:iCs/>
        </w:rPr>
        <w:t xml:space="preserve">Shakespeare Quarterly, </w:t>
      </w:r>
      <w:r w:rsidR="00F449AB">
        <w:rPr>
          <w:rFonts w:ascii="Times New Roman" w:hAnsi="Times New Roman" w:cs="Times New Roman"/>
          <w:i/>
          <w:iCs/>
        </w:rPr>
        <w:tab/>
      </w:r>
      <w:r w:rsidR="00F449AB">
        <w:rPr>
          <w:rFonts w:ascii="Times New Roman" w:hAnsi="Times New Roman" w:cs="Times New Roman"/>
        </w:rPr>
        <w:t>48.1 (1997), pp. 45-62.</w:t>
      </w:r>
    </w:p>
    <w:p w14:paraId="5DE8F9F8" w14:textId="68B6629C" w:rsidR="00194CEF" w:rsidRPr="00394D42" w:rsidRDefault="00194CEF" w:rsidP="00753645">
      <w:pPr>
        <w:rPr>
          <w:rFonts w:ascii="Times New Roman" w:hAnsi="Times New Roman" w:cs="Times New Roman"/>
        </w:rPr>
      </w:pPr>
      <w:r>
        <w:rPr>
          <w:rFonts w:ascii="Times New Roman" w:hAnsi="Times New Roman" w:cs="Times New Roman"/>
        </w:rPr>
        <w:t xml:space="preserve">Go, Kenji, ‘Montaigne’s “Cannibals” and “The Tempest” Revisited’, </w:t>
      </w:r>
      <w:r>
        <w:rPr>
          <w:rFonts w:ascii="Times New Roman" w:hAnsi="Times New Roman" w:cs="Times New Roman"/>
          <w:i/>
          <w:iCs/>
        </w:rPr>
        <w:t>Studies in Phi</w:t>
      </w:r>
      <w:r w:rsidR="00394D42">
        <w:rPr>
          <w:rFonts w:ascii="Times New Roman" w:hAnsi="Times New Roman" w:cs="Times New Roman"/>
          <w:i/>
          <w:iCs/>
        </w:rPr>
        <w:t xml:space="preserve">lology, </w:t>
      </w:r>
      <w:r w:rsidR="007A63FF">
        <w:rPr>
          <w:rFonts w:ascii="Times New Roman" w:hAnsi="Times New Roman" w:cs="Times New Roman"/>
          <w:i/>
          <w:iCs/>
        </w:rPr>
        <w:tab/>
      </w:r>
      <w:r w:rsidR="00394D42">
        <w:rPr>
          <w:rFonts w:ascii="Times New Roman" w:hAnsi="Times New Roman" w:cs="Times New Roman"/>
        </w:rPr>
        <w:t>109.4 (2012), pp. 455-473.</w:t>
      </w:r>
    </w:p>
    <w:p w14:paraId="5A4B93A1" w14:textId="5AF75F82" w:rsidR="00D328B3" w:rsidRDefault="00D328B3" w:rsidP="00753645">
      <w:pPr>
        <w:rPr>
          <w:rFonts w:ascii="Times New Roman" w:hAnsi="Times New Roman" w:cs="Times New Roman"/>
        </w:rPr>
      </w:pPr>
      <w:r w:rsidRPr="00400CEC">
        <w:rPr>
          <w:rFonts w:ascii="Times New Roman" w:hAnsi="Times New Roman" w:cs="Times New Roman"/>
        </w:rPr>
        <w:t>King,</w:t>
      </w:r>
      <w:r w:rsidRPr="00400CEC">
        <w:rPr>
          <w:rFonts w:ascii="Times New Roman" w:hAnsi="Times New Roman" w:cs="Times New Roman"/>
        </w:rPr>
        <w:t xml:space="preserve"> Margaret L.,</w:t>
      </w:r>
      <w:r w:rsidRPr="00400CEC">
        <w:rPr>
          <w:rFonts w:ascii="Times New Roman" w:hAnsi="Times New Roman" w:cs="Times New Roman"/>
        </w:rPr>
        <w:t xml:space="preserve"> </w:t>
      </w:r>
      <w:r w:rsidRPr="00400CEC">
        <w:rPr>
          <w:rFonts w:ascii="Times New Roman" w:hAnsi="Times New Roman" w:cs="Times New Roman"/>
          <w:i/>
          <w:iCs/>
        </w:rPr>
        <w:t xml:space="preserve">Renaissance Humanism: An Anthology of Sources </w:t>
      </w:r>
      <w:r w:rsidRPr="00400CEC">
        <w:rPr>
          <w:rFonts w:ascii="Times New Roman" w:hAnsi="Times New Roman" w:cs="Times New Roman"/>
        </w:rPr>
        <w:t xml:space="preserve">(Hackett Publishing </w:t>
      </w:r>
      <w:r w:rsidR="00F606A7">
        <w:rPr>
          <w:rFonts w:ascii="Times New Roman" w:hAnsi="Times New Roman" w:cs="Times New Roman"/>
        </w:rPr>
        <w:tab/>
      </w:r>
      <w:r w:rsidRPr="00400CEC">
        <w:rPr>
          <w:rFonts w:ascii="Times New Roman" w:hAnsi="Times New Roman" w:cs="Times New Roman"/>
        </w:rPr>
        <w:t>Company, 2014)</w:t>
      </w:r>
      <w:r w:rsidRPr="00400CEC">
        <w:rPr>
          <w:rFonts w:ascii="Times New Roman" w:hAnsi="Times New Roman" w:cs="Times New Roman"/>
        </w:rPr>
        <w:t>.</w:t>
      </w:r>
    </w:p>
    <w:p w14:paraId="0F9C8AED" w14:textId="0396886C" w:rsidR="00A51A71" w:rsidRPr="005A628F" w:rsidRDefault="00A51A71" w:rsidP="00753645">
      <w:pPr>
        <w:rPr>
          <w:rFonts w:ascii="Times New Roman" w:hAnsi="Times New Roman" w:cs="Times New Roman"/>
        </w:rPr>
      </w:pPr>
      <w:r>
        <w:rPr>
          <w:rFonts w:ascii="Times New Roman" w:hAnsi="Times New Roman" w:cs="Times New Roman"/>
        </w:rPr>
        <w:t>Kay, Dennis C., ‘Gonzalo’s “Lasting Pillars”: The Tempest, V</w:t>
      </w:r>
      <w:r w:rsidR="005A628F">
        <w:rPr>
          <w:rFonts w:ascii="Times New Roman" w:hAnsi="Times New Roman" w:cs="Times New Roman"/>
        </w:rPr>
        <w:t xml:space="preserve">.i.208’, </w:t>
      </w:r>
      <w:r w:rsidR="005A628F">
        <w:rPr>
          <w:rFonts w:ascii="Times New Roman" w:hAnsi="Times New Roman" w:cs="Times New Roman"/>
          <w:i/>
          <w:iCs/>
        </w:rPr>
        <w:t xml:space="preserve">Shakespeare Quarterly, </w:t>
      </w:r>
      <w:r w:rsidR="00C059A3">
        <w:rPr>
          <w:rFonts w:ascii="Times New Roman" w:hAnsi="Times New Roman" w:cs="Times New Roman"/>
          <w:i/>
          <w:iCs/>
        </w:rPr>
        <w:tab/>
      </w:r>
      <w:r w:rsidR="005A628F">
        <w:rPr>
          <w:rFonts w:ascii="Times New Roman" w:hAnsi="Times New Roman" w:cs="Times New Roman"/>
        </w:rPr>
        <w:t xml:space="preserve">35.3 (1984), </w:t>
      </w:r>
      <w:r w:rsidR="00C059A3">
        <w:rPr>
          <w:rFonts w:ascii="Times New Roman" w:hAnsi="Times New Roman" w:cs="Times New Roman"/>
        </w:rPr>
        <w:t>pp. 322-324.</w:t>
      </w:r>
    </w:p>
    <w:p w14:paraId="49473298" w14:textId="1D427B6C" w:rsidR="00D378C2" w:rsidRPr="00400CEC" w:rsidRDefault="00D378C2" w:rsidP="00753645">
      <w:pPr>
        <w:rPr>
          <w:rFonts w:ascii="Times New Roman" w:hAnsi="Times New Roman" w:cs="Times New Roman"/>
        </w:rPr>
      </w:pPr>
      <w:r w:rsidRPr="00400CEC">
        <w:rPr>
          <w:rFonts w:ascii="Times New Roman" w:hAnsi="Times New Roman" w:cs="Times New Roman"/>
        </w:rPr>
        <w:t>Kirsch,</w:t>
      </w:r>
      <w:r w:rsidRPr="00400CEC">
        <w:rPr>
          <w:rFonts w:ascii="Times New Roman" w:hAnsi="Times New Roman" w:cs="Times New Roman"/>
        </w:rPr>
        <w:t xml:space="preserve"> Arthur,</w:t>
      </w:r>
      <w:r w:rsidRPr="00400CEC">
        <w:rPr>
          <w:rFonts w:ascii="Times New Roman" w:hAnsi="Times New Roman" w:cs="Times New Roman"/>
        </w:rPr>
        <w:t xml:space="preserve"> ‘Virtue, Vice and Compassion in Montaigne and The Tempest’, </w:t>
      </w:r>
      <w:r w:rsidRPr="00400CEC">
        <w:rPr>
          <w:rFonts w:ascii="Times New Roman" w:hAnsi="Times New Roman" w:cs="Times New Roman"/>
          <w:i/>
          <w:iCs/>
        </w:rPr>
        <w:t xml:space="preserve">Studies in </w:t>
      </w:r>
      <w:r w:rsidRPr="00400CEC">
        <w:rPr>
          <w:rFonts w:ascii="Times New Roman" w:hAnsi="Times New Roman" w:cs="Times New Roman"/>
          <w:i/>
          <w:iCs/>
        </w:rPr>
        <w:tab/>
      </w:r>
      <w:r w:rsidRPr="00400CEC">
        <w:rPr>
          <w:rFonts w:ascii="Times New Roman" w:hAnsi="Times New Roman" w:cs="Times New Roman"/>
          <w:i/>
          <w:iCs/>
        </w:rPr>
        <w:t xml:space="preserve">English Literature, 1500-1900, </w:t>
      </w:r>
      <w:r w:rsidRPr="00400CEC">
        <w:rPr>
          <w:rFonts w:ascii="Times New Roman" w:hAnsi="Times New Roman" w:cs="Times New Roman"/>
        </w:rPr>
        <w:t>37.2 (1997), pp. 337-352.</w:t>
      </w:r>
    </w:p>
    <w:p w14:paraId="0AAD61BE" w14:textId="26EADA56" w:rsidR="0026547F" w:rsidRPr="00400CEC" w:rsidRDefault="0026547F" w:rsidP="00753645">
      <w:pPr>
        <w:rPr>
          <w:rFonts w:ascii="Times New Roman" w:hAnsi="Times New Roman" w:cs="Times New Roman"/>
        </w:rPr>
      </w:pPr>
      <w:r w:rsidRPr="00400CEC">
        <w:rPr>
          <w:rFonts w:ascii="Times New Roman" w:hAnsi="Times New Roman" w:cs="Times New Roman"/>
        </w:rPr>
        <w:t>Marotti,</w:t>
      </w:r>
      <w:r w:rsidRPr="00400CEC">
        <w:rPr>
          <w:rFonts w:ascii="Times New Roman" w:hAnsi="Times New Roman" w:cs="Times New Roman"/>
        </w:rPr>
        <w:t xml:space="preserve"> </w:t>
      </w:r>
      <w:r w:rsidRPr="00400CEC">
        <w:rPr>
          <w:rFonts w:ascii="Times New Roman" w:hAnsi="Times New Roman" w:cs="Times New Roman"/>
        </w:rPr>
        <w:t>Arthur F.</w:t>
      </w:r>
      <w:r w:rsidRPr="00400CEC">
        <w:rPr>
          <w:rFonts w:ascii="Times New Roman" w:hAnsi="Times New Roman" w:cs="Times New Roman"/>
        </w:rPr>
        <w:t>,</w:t>
      </w:r>
      <w:r w:rsidRPr="00400CEC">
        <w:rPr>
          <w:rFonts w:ascii="Times New Roman" w:hAnsi="Times New Roman" w:cs="Times New Roman"/>
        </w:rPr>
        <w:t xml:space="preserve"> ‘Shakespeare, Papal Temporal Power, Resistance Theory, Regicide and </w:t>
      </w:r>
      <w:r w:rsidR="00F606A7">
        <w:rPr>
          <w:rFonts w:ascii="Times New Roman" w:hAnsi="Times New Roman" w:cs="Times New Roman"/>
        </w:rPr>
        <w:tab/>
      </w:r>
      <w:r w:rsidRPr="00400CEC">
        <w:rPr>
          <w:rFonts w:ascii="Times New Roman" w:hAnsi="Times New Roman" w:cs="Times New Roman"/>
        </w:rPr>
        <w:t xml:space="preserve">Tyrannicide’, </w:t>
      </w:r>
      <w:r w:rsidRPr="00400CEC">
        <w:rPr>
          <w:rFonts w:ascii="Times New Roman" w:hAnsi="Times New Roman" w:cs="Times New Roman"/>
          <w:i/>
          <w:iCs/>
        </w:rPr>
        <w:t xml:space="preserve">Reformation, </w:t>
      </w:r>
      <w:r w:rsidRPr="00400CEC">
        <w:rPr>
          <w:rFonts w:ascii="Times New Roman" w:hAnsi="Times New Roman" w:cs="Times New Roman"/>
        </w:rPr>
        <w:t>28.1 (2023), pp. 17-33</w:t>
      </w:r>
      <w:r w:rsidRPr="00400CEC">
        <w:rPr>
          <w:rFonts w:ascii="Times New Roman" w:hAnsi="Times New Roman" w:cs="Times New Roman"/>
        </w:rPr>
        <w:t>.</w:t>
      </w:r>
    </w:p>
    <w:p w14:paraId="43090F71" w14:textId="57795911" w:rsidR="00B103AD" w:rsidRDefault="00B103AD" w:rsidP="00753645">
      <w:pPr>
        <w:rPr>
          <w:rFonts w:ascii="Times New Roman" w:hAnsi="Times New Roman" w:cs="Times New Roman"/>
        </w:rPr>
      </w:pPr>
      <w:r w:rsidRPr="00400CEC">
        <w:rPr>
          <w:rFonts w:ascii="Times New Roman" w:hAnsi="Times New Roman" w:cs="Times New Roman"/>
        </w:rPr>
        <w:t>Meron,</w:t>
      </w:r>
      <w:r w:rsidRPr="00400CEC">
        <w:rPr>
          <w:rFonts w:ascii="Times New Roman" w:hAnsi="Times New Roman" w:cs="Times New Roman"/>
        </w:rPr>
        <w:t xml:space="preserve"> </w:t>
      </w:r>
      <w:r w:rsidRPr="00400CEC">
        <w:rPr>
          <w:rFonts w:ascii="Times New Roman" w:hAnsi="Times New Roman" w:cs="Times New Roman"/>
        </w:rPr>
        <w:t>Theodor</w:t>
      </w:r>
      <w:r w:rsidRPr="00400CEC">
        <w:rPr>
          <w:rFonts w:ascii="Times New Roman" w:hAnsi="Times New Roman" w:cs="Times New Roman"/>
        </w:rPr>
        <w:t>,</w:t>
      </w:r>
      <w:r w:rsidRPr="00400CEC">
        <w:rPr>
          <w:rFonts w:ascii="Times New Roman" w:hAnsi="Times New Roman" w:cs="Times New Roman"/>
        </w:rPr>
        <w:t xml:space="preserve"> ‘Crimes and Accountability in Shakespeare’, </w:t>
      </w:r>
      <w:r w:rsidRPr="00400CEC">
        <w:rPr>
          <w:rFonts w:ascii="Times New Roman" w:hAnsi="Times New Roman" w:cs="Times New Roman"/>
          <w:i/>
          <w:iCs/>
        </w:rPr>
        <w:t xml:space="preserve">The American Journal of </w:t>
      </w:r>
      <w:r w:rsidRPr="00400CEC">
        <w:rPr>
          <w:rFonts w:ascii="Times New Roman" w:hAnsi="Times New Roman" w:cs="Times New Roman"/>
          <w:i/>
          <w:iCs/>
        </w:rPr>
        <w:tab/>
      </w:r>
      <w:r w:rsidRPr="00400CEC">
        <w:rPr>
          <w:rFonts w:ascii="Times New Roman" w:hAnsi="Times New Roman" w:cs="Times New Roman"/>
          <w:i/>
          <w:iCs/>
        </w:rPr>
        <w:t xml:space="preserve">International Law, </w:t>
      </w:r>
      <w:r w:rsidRPr="00400CEC">
        <w:rPr>
          <w:rFonts w:ascii="Times New Roman" w:hAnsi="Times New Roman" w:cs="Times New Roman"/>
        </w:rPr>
        <w:t>92.1 (1998), pp. 1-40</w:t>
      </w:r>
      <w:r w:rsidRPr="00400CEC">
        <w:rPr>
          <w:rFonts w:ascii="Times New Roman" w:hAnsi="Times New Roman" w:cs="Times New Roman"/>
        </w:rPr>
        <w:t>.</w:t>
      </w:r>
    </w:p>
    <w:p w14:paraId="13FE960F" w14:textId="1C51CFFF" w:rsidR="00A56C38" w:rsidRPr="00A56C38" w:rsidRDefault="00A56C38" w:rsidP="00753645">
      <w:pPr>
        <w:rPr>
          <w:rFonts w:ascii="Times New Roman" w:hAnsi="Times New Roman" w:cs="Times New Roman"/>
        </w:rPr>
      </w:pPr>
      <w:r>
        <w:rPr>
          <w:rFonts w:ascii="Times New Roman" w:hAnsi="Times New Roman" w:cs="Times New Roman"/>
        </w:rPr>
        <w:t xml:space="preserve">Phillips, James E., ‘The Tempest and the Renaissance Idea of Man’, </w:t>
      </w:r>
      <w:r>
        <w:rPr>
          <w:rFonts w:ascii="Times New Roman" w:hAnsi="Times New Roman" w:cs="Times New Roman"/>
          <w:i/>
          <w:iCs/>
        </w:rPr>
        <w:t xml:space="preserve">Shakespeare Quarterly, </w:t>
      </w:r>
      <w:r w:rsidR="007F79CB">
        <w:rPr>
          <w:rFonts w:ascii="Times New Roman" w:hAnsi="Times New Roman" w:cs="Times New Roman"/>
          <w:i/>
          <w:iCs/>
        </w:rPr>
        <w:tab/>
      </w:r>
      <w:r>
        <w:rPr>
          <w:rFonts w:ascii="Times New Roman" w:hAnsi="Times New Roman" w:cs="Times New Roman"/>
        </w:rPr>
        <w:t>15.2 (</w:t>
      </w:r>
      <w:r w:rsidR="007F79CB">
        <w:rPr>
          <w:rFonts w:ascii="Times New Roman" w:hAnsi="Times New Roman" w:cs="Times New Roman"/>
        </w:rPr>
        <w:t>1964), pp. 147-159.</w:t>
      </w:r>
    </w:p>
    <w:p w14:paraId="74BFDC1D" w14:textId="60123E0E" w:rsidR="00F75BAD" w:rsidRPr="00400CEC" w:rsidRDefault="00F75BAD" w:rsidP="00753645">
      <w:pPr>
        <w:rPr>
          <w:rFonts w:ascii="Times New Roman" w:hAnsi="Times New Roman" w:cs="Times New Roman"/>
        </w:rPr>
      </w:pPr>
      <w:r w:rsidRPr="00400CEC">
        <w:rPr>
          <w:rFonts w:ascii="Times New Roman" w:hAnsi="Times New Roman" w:cs="Times New Roman"/>
        </w:rPr>
        <w:lastRenderedPageBreak/>
        <w:t>Ryan,</w:t>
      </w:r>
      <w:r w:rsidRPr="00400CEC">
        <w:rPr>
          <w:rFonts w:ascii="Times New Roman" w:hAnsi="Times New Roman" w:cs="Times New Roman"/>
        </w:rPr>
        <w:t xml:space="preserve"> Kiernan,</w:t>
      </w:r>
      <w:r w:rsidRPr="00400CEC">
        <w:rPr>
          <w:rFonts w:ascii="Times New Roman" w:hAnsi="Times New Roman" w:cs="Times New Roman"/>
        </w:rPr>
        <w:t xml:space="preserve"> ‘General Introduction’, in </w:t>
      </w:r>
      <w:r w:rsidRPr="00400CEC">
        <w:rPr>
          <w:rFonts w:ascii="Times New Roman" w:hAnsi="Times New Roman" w:cs="Times New Roman"/>
          <w:i/>
          <w:iCs/>
        </w:rPr>
        <w:t xml:space="preserve">King Lear, </w:t>
      </w:r>
      <w:r w:rsidRPr="00400CEC">
        <w:rPr>
          <w:rFonts w:ascii="Times New Roman" w:hAnsi="Times New Roman" w:cs="Times New Roman"/>
        </w:rPr>
        <w:t xml:space="preserve">ed. by George Hunter (Penguin </w:t>
      </w:r>
      <w:r w:rsidRPr="00400CEC">
        <w:rPr>
          <w:rFonts w:ascii="Times New Roman" w:hAnsi="Times New Roman" w:cs="Times New Roman"/>
        </w:rPr>
        <w:tab/>
      </w:r>
      <w:r w:rsidRPr="00400CEC">
        <w:rPr>
          <w:rFonts w:ascii="Times New Roman" w:hAnsi="Times New Roman" w:cs="Times New Roman"/>
        </w:rPr>
        <w:t>Classics, 2015), p. xliii.</w:t>
      </w:r>
    </w:p>
    <w:p w14:paraId="647E2FA0" w14:textId="6AC8C771" w:rsidR="00F8536B" w:rsidRPr="00400CEC" w:rsidRDefault="00F8536B" w:rsidP="00753645">
      <w:pPr>
        <w:rPr>
          <w:rFonts w:ascii="Times New Roman" w:hAnsi="Times New Roman" w:cs="Times New Roman"/>
        </w:rPr>
      </w:pPr>
      <w:r w:rsidRPr="00400CEC">
        <w:rPr>
          <w:rFonts w:ascii="Times New Roman" w:hAnsi="Times New Roman" w:cs="Times New Roman"/>
        </w:rPr>
        <w:t>Serjeantson,</w:t>
      </w:r>
      <w:r w:rsidRPr="00400CEC">
        <w:rPr>
          <w:rFonts w:ascii="Times New Roman" w:hAnsi="Times New Roman" w:cs="Times New Roman"/>
        </w:rPr>
        <w:t xml:space="preserve"> </w:t>
      </w:r>
      <w:r w:rsidRPr="00400CEC">
        <w:rPr>
          <w:rFonts w:ascii="Times New Roman" w:hAnsi="Times New Roman" w:cs="Times New Roman"/>
        </w:rPr>
        <w:t>Richard</w:t>
      </w:r>
      <w:r w:rsidRPr="00400CEC">
        <w:rPr>
          <w:rFonts w:ascii="Times New Roman" w:hAnsi="Times New Roman" w:cs="Times New Roman"/>
        </w:rPr>
        <w:t>,</w:t>
      </w:r>
      <w:r w:rsidRPr="00400CEC">
        <w:rPr>
          <w:rFonts w:ascii="Times New Roman" w:hAnsi="Times New Roman" w:cs="Times New Roman"/>
        </w:rPr>
        <w:t xml:space="preserve"> ‘Preaching Regicide in Jacobean England: John Knight and David </w:t>
      </w:r>
      <w:r w:rsidRPr="00400CEC">
        <w:rPr>
          <w:rFonts w:ascii="Times New Roman" w:hAnsi="Times New Roman" w:cs="Times New Roman"/>
        </w:rPr>
        <w:tab/>
      </w:r>
      <w:proofErr w:type="spellStart"/>
      <w:r w:rsidRPr="00400CEC">
        <w:rPr>
          <w:rFonts w:ascii="Times New Roman" w:hAnsi="Times New Roman" w:cs="Times New Roman"/>
        </w:rPr>
        <w:t>Pareus</w:t>
      </w:r>
      <w:proofErr w:type="spellEnd"/>
      <w:r w:rsidRPr="00400CEC">
        <w:rPr>
          <w:rFonts w:ascii="Times New Roman" w:hAnsi="Times New Roman" w:cs="Times New Roman"/>
        </w:rPr>
        <w:t xml:space="preserve">’, </w:t>
      </w:r>
      <w:r w:rsidRPr="00400CEC">
        <w:rPr>
          <w:rFonts w:ascii="Times New Roman" w:hAnsi="Times New Roman" w:cs="Times New Roman"/>
          <w:i/>
          <w:iCs/>
        </w:rPr>
        <w:t xml:space="preserve">The English Historical Review, </w:t>
      </w:r>
      <w:r w:rsidRPr="00400CEC">
        <w:rPr>
          <w:rFonts w:ascii="Times New Roman" w:hAnsi="Times New Roman" w:cs="Times New Roman"/>
        </w:rPr>
        <w:t>134.568 (2019), pp. 553-588.</w:t>
      </w:r>
    </w:p>
    <w:p w14:paraId="2551BFDC" w14:textId="33974038" w:rsidR="00521BB6" w:rsidRPr="00400CEC" w:rsidRDefault="00521BB6" w:rsidP="00753645">
      <w:pPr>
        <w:rPr>
          <w:rFonts w:ascii="Times New Roman" w:hAnsi="Times New Roman" w:cs="Times New Roman"/>
        </w:rPr>
      </w:pPr>
      <w:r w:rsidRPr="00400CEC">
        <w:rPr>
          <w:rFonts w:ascii="Times New Roman" w:hAnsi="Times New Roman" w:cs="Times New Roman"/>
        </w:rPr>
        <w:t>Skura, Meredith Anne</w:t>
      </w:r>
      <w:r w:rsidRPr="00400CEC">
        <w:rPr>
          <w:rFonts w:ascii="Times New Roman" w:hAnsi="Times New Roman" w:cs="Times New Roman"/>
        </w:rPr>
        <w:t xml:space="preserve">, </w:t>
      </w:r>
      <w:r w:rsidRPr="00400CEC">
        <w:rPr>
          <w:rFonts w:ascii="Times New Roman" w:hAnsi="Times New Roman" w:cs="Times New Roman"/>
        </w:rPr>
        <w:t xml:space="preserve">‘Discourse and the Individual: The Case of Colonialism in “The </w:t>
      </w:r>
      <w:r w:rsidRPr="00400CEC">
        <w:rPr>
          <w:rFonts w:ascii="Times New Roman" w:hAnsi="Times New Roman" w:cs="Times New Roman"/>
        </w:rPr>
        <w:tab/>
      </w:r>
      <w:r w:rsidRPr="00400CEC">
        <w:rPr>
          <w:rFonts w:ascii="Times New Roman" w:hAnsi="Times New Roman" w:cs="Times New Roman"/>
        </w:rPr>
        <w:t xml:space="preserve">Tempest”’, </w:t>
      </w:r>
      <w:r w:rsidRPr="00400CEC">
        <w:rPr>
          <w:rFonts w:ascii="Times New Roman" w:hAnsi="Times New Roman" w:cs="Times New Roman"/>
          <w:i/>
          <w:iCs/>
        </w:rPr>
        <w:t xml:space="preserve">Shakespeare Quarterly, </w:t>
      </w:r>
      <w:r w:rsidRPr="00400CEC">
        <w:rPr>
          <w:rFonts w:ascii="Times New Roman" w:hAnsi="Times New Roman" w:cs="Times New Roman"/>
        </w:rPr>
        <w:t>40.1 (1989), pp. 42-69</w:t>
      </w:r>
      <w:r w:rsidRPr="00400CEC">
        <w:rPr>
          <w:rFonts w:ascii="Times New Roman" w:hAnsi="Times New Roman" w:cs="Times New Roman"/>
        </w:rPr>
        <w:t>.</w:t>
      </w:r>
    </w:p>
    <w:p w14:paraId="02DD309B" w14:textId="40BE7532" w:rsidR="004216D9" w:rsidRPr="00400CEC" w:rsidRDefault="004216D9" w:rsidP="00753645">
      <w:pPr>
        <w:rPr>
          <w:rFonts w:ascii="Times New Roman" w:hAnsi="Times New Roman" w:cs="Times New Roman"/>
        </w:rPr>
      </w:pPr>
      <w:proofErr w:type="spellStart"/>
      <w:r w:rsidRPr="00400CEC">
        <w:rPr>
          <w:rFonts w:ascii="Times New Roman" w:hAnsi="Times New Roman" w:cs="Times New Roman"/>
        </w:rPr>
        <w:t>Stanivukovic</w:t>
      </w:r>
      <w:proofErr w:type="spellEnd"/>
      <w:r w:rsidRPr="00400CEC">
        <w:rPr>
          <w:rFonts w:ascii="Times New Roman" w:hAnsi="Times New Roman" w:cs="Times New Roman"/>
        </w:rPr>
        <w:t>,</w:t>
      </w:r>
      <w:r w:rsidRPr="00400CEC">
        <w:rPr>
          <w:rFonts w:ascii="Times New Roman" w:hAnsi="Times New Roman" w:cs="Times New Roman"/>
        </w:rPr>
        <w:t xml:space="preserve"> </w:t>
      </w:r>
      <w:r w:rsidRPr="00400CEC">
        <w:rPr>
          <w:rFonts w:ascii="Times New Roman" w:hAnsi="Times New Roman" w:cs="Times New Roman"/>
        </w:rPr>
        <w:t>Goran</w:t>
      </w:r>
      <w:r w:rsidRPr="00400CEC">
        <w:rPr>
          <w:rFonts w:ascii="Times New Roman" w:hAnsi="Times New Roman" w:cs="Times New Roman"/>
        </w:rPr>
        <w:t>,</w:t>
      </w:r>
      <w:r w:rsidRPr="00400CEC">
        <w:rPr>
          <w:rFonts w:ascii="Times New Roman" w:hAnsi="Times New Roman" w:cs="Times New Roman"/>
        </w:rPr>
        <w:t xml:space="preserve"> ‘The Tempest and the Discontents of Humanism’, </w:t>
      </w:r>
      <w:r w:rsidRPr="00400CEC">
        <w:rPr>
          <w:rFonts w:ascii="Times New Roman" w:hAnsi="Times New Roman" w:cs="Times New Roman"/>
          <w:i/>
          <w:iCs/>
        </w:rPr>
        <w:t xml:space="preserve">Philological </w:t>
      </w:r>
      <w:r w:rsidRPr="00400CEC">
        <w:rPr>
          <w:rFonts w:ascii="Times New Roman" w:hAnsi="Times New Roman" w:cs="Times New Roman"/>
          <w:i/>
          <w:iCs/>
        </w:rPr>
        <w:tab/>
      </w:r>
      <w:r w:rsidRPr="00400CEC">
        <w:rPr>
          <w:rFonts w:ascii="Times New Roman" w:hAnsi="Times New Roman" w:cs="Times New Roman"/>
          <w:i/>
          <w:iCs/>
        </w:rPr>
        <w:t xml:space="preserve">Quarterly, </w:t>
      </w:r>
      <w:r w:rsidRPr="00400CEC">
        <w:rPr>
          <w:rFonts w:ascii="Times New Roman" w:hAnsi="Times New Roman" w:cs="Times New Roman"/>
        </w:rPr>
        <w:t>85.1/2 (2006), pp. 91-119</w:t>
      </w:r>
      <w:r w:rsidRPr="00400CEC">
        <w:rPr>
          <w:rFonts w:ascii="Times New Roman" w:hAnsi="Times New Roman" w:cs="Times New Roman"/>
        </w:rPr>
        <w:t>.</w:t>
      </w:r>
    </w:p>
    <w:p w14:paraId="0728308D" w14:textId="3124D172" w:rsidR="00E93FCD" w:rsidRPr="00400CEC" w:rsidRDefault="00E93FCD" w:rsidP="00753645">
      <w:pPr>
        <w:rPr>
          <w:rFonts w:ascii="Times New Roman" w:hAnsi="Times New Roman" w:cs="Times New Roman"/>
        </w:rPr>
      </w:pPr>
      <w:r w:rsidRPr="00400CEC">
        <w:rPr>
          <w:rFonts w:ascii="Times New Roman" w:hAnsi="Times New Roman" w:cs="Times New Roman"/>
        </w:rPr>
        <w:t>Smuts,</w:t>
      </w:r>
      <w:r w:rsidRPr="00400CEC">
        <w:rPr>
          <w:rFonts w:ascii="Times New Roman" w:hAnsi="Times New Roman" w:cs="Times New Roman"/>
        </w:rPr>
        <w:t xml:space="preserve"> R. Malcolm,</w:t>
      </w:r>
      <w:r w:rsidRPr="00400CEC">
        <w:rPr>
          <w:rFonts w:ascii="Times New Roman" w:hAnsi="Times New Roman" w:cs="Times New Roman"/>
        </w:rPr>
        <w:t xml:space="preserve"> ‘Writing the Monarch in Jacobean England: Jonson, Donne, </w:t>
      </w:r>
      <w:r w:rsidRPr="00400CEC">
        <w:rPr>
          <w:rFonts w:ascii="Times New Roman" w:hAnsi="Times New Roman" w:cs="Times New Roman"/>
        </w:rPr>
        <w:tab/>
      </w:r>
      <w:r w:rsidRPr="00400CEC">
        <w:rPr>
          <w:rFonts w:ascii="Times New Roman" w:hAnsi="Times New Roman" w:cs="Times New Roman"/>
        </w:rPr>
        <w:t xml:space="preserve">Shakespeare and the Works of King James. Jane Rickard’, </w:t>
      </w:r>
      <w:r w:rsidRPr="00400CEC">
        <w:rPr>
          <w:rFonts w:ascii="Times New Roman" w:hAnsi="Times New Roman" w:cs="Times New Roman"/>
          <w:i/>
          <w:iCs/>
        </w:rPr>
        <w:t xml:space="preserve">Renaissance Quarterly, </w:t>
      </w:r>
      <w:r w:rsidRPr="00400CEC">
        <w:rPr>
          <w:rFonts w:ascii="Times New Roman" w:hAnsi="Times New Roman" w:cs="Times New Roman"/>
          <w:i/>
          <w:iCs/>
        </w:rPr>
        <w:tab/>
      </w:r>
      <w:r w:rsidRPr="00400CEC">
        <w:rPr>
          <w:rFonts w:ascii="Times New Roman" w:hAnsi="Times New Roman" w:cs="Times New Roman"/>
        </w:rPr>
        <w:t>69.4 (Cambridge University Press, 2015), pp. 1520-1522</w:t>
      </w:r>
      <w:r w:rsidRPr="00400CEC">
        <w:rPr>
          <w:rFonts w:ascii="Times New Roman" w:hAnsi="Times New Roman" w:cs="Times New Roman"/>
        </w:rPr>
        <w:t>.</w:t>
      </w:r>
    </w:p>
    <w:p w14:paraId="171EF891" w14:textId="12DD80FB" w:rsidR="00F05035" w:rsidRDefault="00F05035" w:rsidP="00753645">
      <w:pPr>
        <w:rPr>
          <w:rFonts w:ascii="Times New Roman" w:hAnsi="Times New Roman" w:cs="Times New Roman"/>
          <w:lang w:val="en-US"/>
        </w:rPr>
      </w:pPr>
      <w:r w:rsidRPr="00400CEC">
        <w:rPr>
          <w:rFonts w:ascii="Times New Roman" w:hAnsi="Times New Roman" w:cs="Times New Roman"/>
          <w:i/>
          <w:iCs/>
        </w:rPr>
        <w:t xml:space="preserve">The </w:t>
      </w:r>
      <w:r w:rsidRPr="00400CEC">
        <w:rPr>
          <w:rFonts w:ascii="Times New Roman" w:hAnsi="Times New Roman" w:cs="Times New Roman"/>
          <w:i/>
          <w:iCs/>
          <w:lang w:val="en-US"/>
        </w:rPr>
        <w:t>Norton Anthology</w:t>
      </w:r>
      <w:r w:rsidRPr="00400CEC">
        <w:rPr>
          <w:rFonts w:ascii="Times New Roman" w:hAnsi="Times New Roman" w:cs="Times New Roman"/>
          <w:lang w:val="en-US"/>
        </w:rPr>
        <w:t xml:space="preserve"> </w:t>
      </w:r>
      <w:r w:rsidRPr="00400CEC">
        <w:rPr>
          <w:rFonts w:ascii="Times New Roman" w:hAnsi="Times New Roman" w:cs="Times New Roman"/>
          <w:i/>
          <w:iCs/>
          <w:lang w:val="en-US"/>
        </w:rPr>
        <w:t xml:space="preserve">of English Literature: The Sixteenth Century and Early </w:t>
      </w:r>
      <w:r w:rsidRPr="00400CEC">
        <w:rPr>
          <w:rFonts w:ascii="Times New Roman" w:hAnsi="Times New Roman" w:cs="Times New Roman"/>
          <w:i/>
          <w:iCs/>
          <w:lang w:val="en-US"/>
        </w:rPr>
        <w:tab/>
      </w:r>
      <w:r w:rsidRPr="00400CEC">
        <w:rPr>
          <w:rFonts w:ascii="Times New Roman" w:hAnsi="Times New Roman" w:cs="Times New Roman"/>
          <w:i/>
          <w:iCs/>
          <w:lang w:val="en-US"/>
        </w:rPr>
        <w:t xml:space="preserve">Seventeenth Century, </w:t>
      </w:r>
      <w:r w:rsidRPr="00400CEC">
        <w:rPr>
          <w:rFonts w:ascii="Times New Roman" w:hAnsi="Times New Roman" w:cs="Times New Roman"/>
          <w:lang w:val="en-US"/>
        </w:rPr>
        <w:t xml:space="preserve">ed. by Stephen Greenblatt, George Logan and Katherine </w:t>
      </w:r>
      <w:r w:rsidRPr="00400CEC">
        <w:rPr>
          <w:rFonts w:ascii="Times New Roman" w:hAnsi="Times New Roman" w:cs="Times New Roman"/>
          <w:lang w:val="en-US"/>
        </w:rPr>
        <w:tab/>
      </w:r>
      <w:r w:rsidRPr="00400CEC">
        <w:rPr>
          <w:rFonts w:ascii="Times New Roman" w:hAnsi="Times New Roman" w:cs="Times New Roman"/>
          <w:lang w:val="en-US"/>
        </w:rPr>
        <w:t>Eisaman Maus (W.W. Norton &amp; Company, 2018)</w:t>
      </w:r>
      <w:r w:rsidRPr="00400CEC">
        <w:rPr>
          <w:rFonts w:ascii="Times New Roman" w:hAnsi="Times New Roman" w:cs="Times New Roman"/>
          <w:lang w:val="en-US"/>
        </w:rPr>
        <w:t>.</w:t>
      </w:r>
    </w:p>
    <w:p w14:paraId="1550139B" w14:textId="4C8351B1" w:rsidR="009B4D78" w:rsidRPr="009B4D78" w:rsidRDefault="009B4D78" w:rsidP="00753645">
      <w:pPr>
        <w:rPr>
          <w:rFonts w:ascii="Times New Roman" w:hAnsi="Times New Roman" w:cs="Times New Roman"/>
        </w:rPr>
      </w:pPr>
      <w:r>
        <w:rPr>
          <w:rFonts w:ascii="Times New Roman" w:hAnsi="Times New Roman" w:cs="Times New Roman"/>
          <w:lang w:val="en-US"/>
        </w:rPr>
        <w:t xml:space="preserve">Willis, Deborah, ‘Shakespeare’s Tempest and the Discourse of Colonialism’, </w:t>
      </w:r>
      <w:r>
        <w:rPr>
          <w:rFonts w:ascii="Times New Roman" w:hAnsi="Times New Roman" w:cs="Times New Roman"/>
          <w:i/>
          <w:iCs/>
          <w:lang w:val="en-US"/>
        </w:rPr>
        <w:t xml:space="preserve">Studies in </w:t>
      </w:r>
      <w:r>
        <w:rPr>
          <w:rFonts w:ascii="Times New Roman" w:hAnsi="Times New Roman" w:cs="Times New Roman"/>
          <w:i/>
          <w:iCs/>
          <w:lang w:val="en-US"/>
        </w:rPr>
        <w:tab/>
        <w:t xml:space="preserve">English Literature, 1500-1900, </w:t>
      </w:r>
      <w:r>
        <w:rPr>
          <w:rFonts w:ascii="Times New Roman" w:hAnsi="Times New Roman" w:cs="Times New Roman"/>
          <w:lang w:val="en-US"/>
        </w:rPr>
        <w:t xml:space="preserve">29.2 (1989), pp. 277-289. </w:t>
      </w:r>
    </w:p>
    <w:p w14:paraId="288FF451" w14:textId="6B86C1C3" w:rsidR="000B2232" w:rsidRDefault="000B2232" w:rsidP="00753645">
      <w:pPr>
        <w:rPr>
          <w:rFonts w:ascii="Times New Roman" w:hAnsi="Times New Roman" w:cs="Times New Roman"/>
        </w:rPr>
      </w:pPr>
      <w:r w:rsidRPr="00400CEC">
        <w:rPr>
          <w:rFonts w:ascii="Times New Roman" w:hAnsi="Times New Roman" w:cs="Times New Roman"/>
        </w:rPr>
        <w:t>Wills,</w:t>
      </w:r>
      <w:r w:rsidRPr="00400CEC">
        <w:rPr>
          <w:rFonts w:ascii="Times New Roman" w:hAnsi="Times New Roman" w:cs="Times New Roman"/>
        </w:rPr>
        <w:t xml:space="preserve"> Gary,</w:t>
      </w:r>
      <w:r w:rsidRPr="00400CEC">
        <w:rPr>
          <w:rFonts w:ascii="Times New Roman" w:hAnsi="Times New Roman" w:cs="Times New Roman"/>
        </w:rPr>
        <w:t xml:space="preserve"> </w:t>
      </w:r>
      <w:r w:rsidRPr="00400CEC">
        <w:rPr>
          <w:rFonts w:ascii="Times New Roman" w:hAnsi="Times New Roman" w:cs="Times New Roman"/>
          <w:i/>
          <w:iCs/>
        </w:rPr>
        <w:t xml:space="preserve">Witches and Jesuits: Shakespeare’s Macbeth, </w:t>
      </w:r>
      <w:r w:rsidRPr="00400CEC">
        <w:rPr>
          <w:rFonts w:ascii="Times New Roman" w:hAnsi="Times New Roman" w:cs="Times New Roman"/>
        </w:rPr>
        <w:t xml:space="preserve">(Oxford University Press, </w:t>
      </w:r>
      <w:r w:rsidRPr="00400CEC">
        <w:rPr>
          <w:rFonts w:ascii="Times New Roman" w:hAnsi="Times New Roman" w:cs="Times New Roman"/>
        </w:rPr>
        <w:tab/>
      </w:r>
      <w:r w:rsidRPr="00400CEC">
        <w:rPr>
          <w:rFonts w:ascii="Times New Roman" w:hAnsi="Times New Roman" w:cs="Times New Roman"/>
        </w:rPr>
        <w:t>1995</w:t>
      </w:r>
      <w:r w:rsidR="00A4622C" w:rsidRPr="00400CEC">
        <w:rPr>
          <w:rFonts w:ascii="Times New Roman" w:hAnsi="Times New Roman" w:cs="Times New Roman"/>
        </w:rPr>
        <w:t>)</w:t>
      </w:r>
    </w:p>
    <w:p w14:paraId="66DC07DF" w14:textId="7CDE5B8E" w:rsidR="00300EB4" w:rsidRPr="00300EB4" w:rsidRDefault="00300EB4" w:rsidP="00753645">
      <w:pPr>
        <w:rPr>
          <w:rFonts w:ascii="Times New Roman" w:hAnsi="Times New Roman" w:cs="Times New Roman"/>
        </w:rPr>
      </w:pPr>
      <w:proofErr w:type="spellStart"/>
      <w:r>
        <w:rPr>
          <w:rFonts w:ascii="Times New Roman" w:hAnsi="Times New Roman" w:cs="Times New Roman"/>
        </w:rPr>
        <w:t>Yachnin</w:t>
      </w:r>
      <w:proofErr w:type="spellEnd"/>
      <w:r>
        <w:rPr>
          <w:rFonts w:ascii="Times New Roman" w:hAnsi="Times New Roman" w:cs="Times New Roman"/>
        </w:rPr>
        <w:t xml:space="preserve">, Paul, ‘Shakespeare and the Idea of Obedience: Gonzalo in “The Tempest”’, </w:t>
      </w:r>
      <w:r>
        <w:rPr>
          <w:rFonts w:ascii="Times New Roman" w:hAnsi="Times New Roman" w:cs="Times New Roman"/>
          <w:i/>
          <w:iCs/>
        </w:rPr>
        <w:t xml:space="preserve">Mosaic: </w:t>
      </w:r>
      <w:r>
        <w:rPr>
          <w:rFonts w:ascii="Times New Roman" w:hAnsi="Times New Roman" w:cs="Times New Roman"/>
          <w:i/>
          <w:iCs/>
        </w:rPr>
        <w:tab/>
        <w:t xml:space="preserve">An Interdisciplinary Critical Journal, </w:t>
      </w:r>
      <w:r>
        <w:rPr>
          <w:rFonts w:ascii="Times New Roman" w:hAnsi="Times New Roman" w:cs="Times New Roman"/>
        </w:rPr>
        <w:t>24.2 (1991), pp. 1-18.</w:t>
      </w:r>
    </w:p>
    <w:p w14:paraId="6A22EB0C" w14:textId="0E5831B7" w:rsidR="00466A2D" w:rsidRPr="00400CEC" w:rsidRDefault="00466A2D" w:rsidP="00753645">
      <w:pPr>
        <w:rPr>
          <w:rFonts w:ascii="Times New Roman" w:hAnsi="Times New Roman" w:cs="Times New Roman"/>
          <w:b/>
          <w:bCs/>
        </w:rPr>
      </w:pPr>
      <w:r w:rsidRPr="00400CEC">
        <w:rPr>
          <w:rFonts w:ascii="Times New Roman" w:hAnsi="Times New Roman" w:cs="Times New Roman"/>
          <w:b/>
          <w:bCs/>
        </w:rPr>
        <w:t>Online Sources</w:t>
      </w:r>
    </w:p>
    <w:p w14:paraId="5ADF7E1D" w14:textId="77777777" w:rsidR="00466A2D" w:rsidRPr="00400CEC" w:rsidRDefault="00466A2D" w:rsidP="00466A2D">
      <w:pPr>
        <w:rPr>
          <w:rFonts w:ascii="Times New Roman" w:hAnsi="Times New Roman" w:cs="Times New Roman"/>
        </w:rPr>
      </w:pPr>
      <w:r w:rsidRPr="00400CEC">
        <w:rPr>
          <w:rFonts w:ascii="Times New Roman" w:hAnsi="Times New Roman" w:cs="Times New Roman"/>
        </w:rPr>
        <w:t xml:space="preserve">‘Andrew Melville’, Reformation History, 2010 </w:t>
      </w:r>
      <w:r w:rsidRPr="00400CEC">
        <w:rPr>
          <w:rFonts w:ascii="Times New Roman" w:hAnsi="Times New Roman" w:cs="Times New Roman"/>
        </w:rPr>
        <w:tab/>
        <w:t>&lt;https://reformationhistory.org/andrewmelville.html&gt; [Accessed 5 March 2025].</w:t>
      </w:r>
    </w:p>
    <w:p w14:paraId="68BE70D9" w14:textId="10D86E53" w:rsidR="00F114C4" w:rsidRPr="00400CEC" w:rsidRDefault="00F114C4" w:rsidP="00466A2D">
      <w:pPr>
        <w:rPr>
          <w:rFonts w:ascii="Times New Roman" w:hAnsi="Times New Roman" w:cs="Times New Roman"/>
        </w:rPr>
      </w:pPr>
      <w:r w:rsidRPr="00400CEC">
        <w:rPr>
          <w:rFonts w:ascii="Times New Roman" w:hAnsi="Times New Roman" w:cs="Times New Roman"/>
        </w:rPr>
        <w:t>‘</w:t>
      </w:r>
      <w:r w:rsidRPr="00400CEC">
        <w:rPr>
          <w:rFonts w:ascii="Times New Roman" w:hAnsi="Times New Roman" w:cs="Times New Roman"/>
        </w:rPr>
        <w:t>Gunpowder Plot’, History, November 9</w:t>
      </w:r>
      <w:proofErr w:type="gramStart"/>
      <w:r w:rsidRPr="00400CEC">
        <w:rPr>
          <w:rFonts w:ascii="Times New Roman" w:hAnsi="Times New Roman" w:cs="Times New Roman"/>
        </w:rPr>
        <w:t xml:space="preserve"> 2009</w:t>
      </w:r>
      <w:proofErr w:type="gramEnd"/>
      <w:r w:rsidRPr="00400CEC">
        <w:rPr>
          <w:rFonts w:ascii="Times New Roman" w:hAnsi="Times New Roman" w:cs="Times New Roman"/>
        </w:rPr>
        <w:t xml:space="preserve"> </w:t>
      </w:r>
      <w:r w:rsidRPr="00400CEC">
        <w:rPr>
          <w:rFonts w:ascii="Times New Roman" w:hAnsi="Times New Roman" w:cs="Times New Roman"/>
        </w:rPr>
        <w:tab/>
      </w:r>
      <w:r w:rsidRPr="00400CEC">
        <w:rPr>
          <w:rFonts w:ascii="Times New Roman" w:hAnsi="Times New Roman" w:cs="Times New Roman"/>
        </w:rPr>
        <w:t xml:space="preserve">&lt;https://www.history.com/topics/european-history/gunpowder-plot&gt; [Accessed </w:t>
      </w:r>
      <w:r w:rsidRPr="00400CEC">
        <w:rPr>
          <w:rFonts w:ascii="Times New Roman" w:hAnsi="Times New Roman" w:cs="Times New Roman"/>
        </w:rPr>
        <w:tab/>
      </w:r>
      <w:r w:rsidRPr="00400CEC">
        <w:rPr>
          <w:rFonts w:ascii="Times New Roman" w:hAnsi="Times New Roman" w:cs="Times New Roman"/>
        </w:rPr>
        <w:t>10 March 2025].</w:t>
      </w:r>
    </w:p>
    <w:p w14:paraId="02D443E7" w14:textId="77777777" w:rsidR="00466A2D" w:rsidRPr="00400CEC" w:rsidRDefault="00466A2D" w:rsidP="00466A2D">
      <w:pPr>
        <w:rPr>
          <w:rFonts w:ascii="Times New Roman" w:hAnsi="Times New Roman" w:cs="Times New Roman"/>
        </w:rPr>
      </w:pPr>
      <w:r w:rsidRPr="00400CEC">
        <w:rPr>
          <w:rFonts w:ascii="Times New Roman" w:hAnsi="Times New Roman" w:cs="Times New Roman"/>
        </w:rPr>
        <w:t>‘Jacobean Religion’, Elizabethan England Life, n.d.</w:t>
      </w:r>
      <w:r w:rsidRPr="00400CEC">
        <w:rPr>
          <w:rFonts w:ascii="Times New Roman" w:hAnsi="Times New Roman" w:cs="Times New Roman"/>
        </w:rPr>
        <w:tab/>
        <w:t xml:space="preserve">&lt;https://elizabethanenglandlife.com/Jacobean-Era/jacobean-religion.html&gt; </w:t>
      </w:r>
      <w:r w:rsidRPr="00400CEC">
        <w:rPr>
          <w:rFonts w:ascii="Times New Roman" w:hAnsi="Times New Roman" w:cs="Times New Roman"/>
        </w:rPr>
        <w:tab/>
        <w:t>[Accessed 5 March 2025].</w:t>
      </w:r>
    </w:p>
    <w:p w14:paraId="787E7911" w14:textId="77777777" w:rsidR="00466A2D" w:rsidRPr="00400CEC" w:rsidRDefault="00466A2D" w:rsidP="00466A2D">
      <w:pPr>
        <w:rPr>
          <w:rFonts w:ascii="Times New Roman" w:hAnsi="Times New Roman" w:cs="Times New Roman"/>
        </w:rPr>
      </w:pPr>
      <w:proofErr w:type="spellStart"/>
      <w:r w:rsidRPr="00400CEC">
        <w:rPr>
          <w:rFonts w:ascii="Times New Roman" w:hAnsi="Times New Roman" w:cs="Times New Roman"/>
        </w:rPr>
        <w:t>Lagunzad</w:t>
      </w:r>
      <w:proofErr w:type="spellEnd"/>
      <w:r w:rsidRPr="00400CEC">
        <w:rPr>
          <w:rFonts w:ascii="Times New Roman" w:hAnsi="Times New Roman" w:cs="Times New Roman"/>
        </w:rPr>
        <w:t xml:space="preserve">, Ellen Pearl N., ‘Humanism’, SCRIBD, n.d. </w:t>
      </w:r>
      <w:r w:rsidRPr="00400CEC">
        <w:rPr>
          <w:rFonts w:ascii="Times New Roman" w:hAnsi="Times New Roman" w:cs="Times New Roman"/>
        </w:rPr>
        <w:tab/>
        <w:t xml:space="preserve">&lt;https://www.scribd.com/document/367223689/Humanism&gt; [Accessed 01 </w:t>
      </w:r>
      <w:r w:rsidRPr="00400CEC">
        <w:rPr>
          <w:rFonts w:ascii="Times New Roman" w:hAnsi="Times New Roman" w:cs="Times New Roman"/>
        </w:rPr>
        <w:tab/>
        <w:t>March 2025].</w:t>
      </w:r>
    </w:p>
    <w:p w14:paraId="2C4F2D26" w14:textId="20F14785" w:rsidR="008B6F21" w:rsidRPr="00400CEC" w:rsidRDefault="008B6F21" w:rsidP="00466A2D">
      <w:pPr>
        <w:rPr>
          <w:rFonts w:ascii="Times New Roman" w:hAnsi="Times New Roman" w:cs="Times New Roman"/>
        </w:rPr>
      </w:pPr>
      <w:r w:rsidRPr="00400CEC">
        <w:rPr>
          <w:rFonts w:ascii="Times New Roman" w:hAnsi="Times New Roman" w:cs="Times New Roman"/>
        </w:rPr>
        <w:t xml:space="preserve">Michel de Montaigne, ‘Of Cannibals’, n.d. &lt; </w:t>
      </w:r>
      <w:r w:rsidRPr="00400CEC">
        <w:rPr>
          <w:rFonts w:ascii="Times New Roman" w:hAnsi="Times New Roman" w:cs="Times New Roman"/>
        </w:rPr>
        <w:tab/>
      </w:r>
      <w:r w:rsidRPr="00400CEC">
        <w:rPr>
          <w:rFonts w:ascii="Times New Roman" w:hAnsi="Times New Roman" w:cs="Times New Roman"/>
        </w:rPr>
        <w:t xml:space="preserve">https://web2.qatar.cmu.edu/~breilly2/odyssey/Montaigne.pdf&gt; [Accessed 25 </w:t>
      </w:r>
      <w:r w:rsidRPr="00400CEC">
        <w:rPr>
          <w:rFonts w:ascii="Times New Roman" w:hAnsi="Times New Roman" w:cs="Times New Roman"/>
        </w:rPr>
        <w:tab/>
      </w:r>
      <w:r w:rsidRPr="00400CEC">
        <w:rPr>
          <w:rFonts w:ascii="Times New Roman" w:hAnsi="Times New Roman" w:cs="Times New Roman"/>
        </w:rPr>
        <w:t>Feb 2025], p.6.</w:t>
      </w:r>
    </w:p>
    <w:p w14:paraId="1C2E5976" w14:textId="02511948" w:rsidR="00466A2D" w:rsidRPr="00400CEC" w:rsidRDefault="00466A2D" w:rsidP="00466A2D">
      <w:pPr>
        <w:rPr>
          <w:rFonts w:ascii="Times New Roman" w:hAnsi="Times New Roman" w:cs="Times New Roman"/>
        </w:rPr>
      </w:pPr>
      <w:r w:rsidRPr="00400CEC">
        <w:rPr>
          <w:rFonts w:ascii="Times New Roman" w:hAnsi="Times New Roman" w:cs="Times New Roman"/>
        </w:rPr>
        <w:lastRenderedPageBreak/>
        <w:t xml:space="preserve">Pinka, Patricia Garland, ‘John Donne’, </w:t>
      </w:r>
      <w:r w:rsidRPr="00400CEC">
        <w:rPr>
          <w:rFonts w:ascii="Times New Roman" w:hAnsi="Times New Roman" w:cs="Times New Roman"/>
          <w:i/>
          <w:iCs/>
        </w:rPr>
        <w:t xml:space="preserve">Britannica, </w:t>
      </w:r>
      <w:r w:rsidRPr="00400CEC">
        <w:rPr>
          <w:rFonts w:ascii="Times New Roman" w:hAnsi="Times New Roman" w:cs="Times New Roman"/>
        </w:rPr>
        <w:t xml:space="preserve">n.d. </w:t>
      </w:r>
      <w:r w:rsidRPr="00400CEC">
        <w:rPr>
          <w:rFonts w:ascii="Times New Roman" w:hAnsi="Times New Roman" w:cs="Times New Roman"/>
        </w:rPr>
        <w:tab/>
        <w:t>&lt;https://www.britannica.com/topic/Elizabethan-Age&gt; [Accessed 7 March 2025].</w:t>
      </w:r>
    </w:p>
    <w:p w14:paraId="0D038EF2" w14:textId="77777777" w:rsidR="00466A2D" w:rsidRPr="00400CEC" w:rsidRDefault="00466A2D" w:rsidP="00466A2D">
      <w:pPr>
        <w:rPr>
          <w:rFonts w:ascii="Times New Roman" w:hAnsi="Times New Roman" w:cs="Times New Roman"/>
        </w:rPr>
      </w:pPr>
      <w:r w:rsidRPr="00400CEC">
        <w:rPr>
          <w:rFonts w:ascii="Times New Roman" w:hAnsi="Times New Roman" w:cs="Times New Roman"/>
        </w:rPr>
        <w:t xml:space="preserve">‘preservation’, Online Etymology Dictionary, n.d. &lt; </w:t>
      </w:r>
      <w:r w:rsidRPr="00400CEC">
        <w:rPr>
          <w:rFonts w:ascii="Times New Roman" w:hAnsi="Times New Roman" w:cs="Times New Roman"/>
        </w:rPr>
        <w:tab/>
        <w:t>https://www.etymonline.com/word/preservation#:~:text=early%2015c.%2C%20</w:t>
      </w:r>
      <w:r w:rsidRPr="00400CEC">
        <w:rPr>
          <w:rFonts w:ascii="Times New Roman" w:hAnsi="Times New Roman" w:cs="Times New Roman"/>
        </w:rPr>
        <w:tab/>
        <w:t>preservacioun%20%22protection%20from%20disease%2C%22%20from%20Ol</w:t>
      </w:r>
      <w:r w:rsidRPr="00400CEC">
        <w:rPr>
          <w:rFonts w:ascii="Times New Roman" w:hAnsi="Times New Roman" w:cs="Times New Roman"/>
        </w:rPr>
        <w:tab/>
      </w:r>
      <w:proofErr w:type="gramStart"/>
      <w:r w:rsidRPr="00400CEC">
        <w:rPr>
          <w:rFonts w:ascii="Times New Roman" w:hAnsi="Times New Roman" w:cs="Times New Roman"/>
        </w:rPr>
        <w:t>d,of</w:t>
      </w:r>
      <w:proofErr w:type="gramEnd"/>
      <w:r w:rsidRPr="00400CEC">
        <w:rPr>
          <w:rFonts w:ascii="Times New Roman" w:hAnsi="Times New Roman" w:cs="Times New Roman"/>
        </w:rPr>
        <w:t>%20preservare%20%22to%20guard%20beforehand%22%20%28see%20pre</w:t>
      </w:r>
      <w:r w:rsidRPr="00400CEC">
        <w:rPr>
          <w:rFonts w:ascii="Times New Roman" w:hAnsi="Times New Roman" w:cs="Times New Roman"/>
        </w:rPr>
        <w:tab/>
        <w:t>serve%20%28v.%29%29.&gt; [Accessed 28 Feb 2025].</w:t>
      </w:r>
    </w:p>
    <w:p w14:paraId="3D579C27" w14:textId="3443EDC2" w:rsidR="00466A2D" w:rsidRPr="00400CEC" w:rsidRDefault="005F4087" w:rsidP="00753645">
      <w:pPr>
        <w:rPr>
          <w:rFonts w:ascii="Times New Roman" w:hAnsi="Times New Roman" w:cs="Times New Roman"/>
        </w:rPr>
      </w:pPr>
      <w:r w:rsidRPr="00400CEC">
        <w:rPr>
          <w:rFonts w:ascii="Times New Roman" w:hAnsi="Times New Roman" w:cs="Times New Roman"/>
        </w:rPr>
        <w:t xml:space="preserve">‘The Tempest (Folio I, 1623)’, Internet Shakespeare Editions, n.d. </w:t>
      </w:r>
      <w:r w:rsidRPr="00400CEC">
        <w:rPr>
          <w:rFonts w:ascii="Times New Roman" w:hAnsi="Times New Roman" w:cs="Times New Roman"/>
        </w:rPr>
        <w:tab/>
      </w:r>
      <w:r w:rsidRPr="00400CEC">
        <w:rPr>
          <w:rFonts w:ascii="Times New Roman" w:hAnsi="Times New Roman" w:cs="Times New Roman"/>
        </w:rPr>
        <w:t xml:space="preserve">&lt;https://internetshakespeare.uvic.ca/doc/Tmp_F1/complete/index.html&gt; [Accessed 1 </w:t>
      </w:r>
      <w:r w:rsidR="00F606A7">
        <w:rPr>
          <w:rFonts w:ascii="Times New Roman" w:hAnsi="Times New Roman" w:cs="Times New Roman"/>
        </w:rPr>
        <w:tab/>
      </w:r>
      <w:r w:rsidRPr="00400CEC">
        <w:rPr>
          <w:rFonts w:ascii="Times New Roman" w:hAnsi="Times New Roman" w:cs="Times New Roman"/>
        </w:rPr>
        <w:t>March 2025].</w:t>
      </w:r>
    </w:p>
    <w:p w14:paraId="0D39544E" w14:textId="32DDDACA" w:rsidR="009E7A1A" w:rsidRPr="00400CEC" w:rsidRDefault="009E7A1A" w:rsidP="00753645">
      <w:pPr>
        <w:rPr>
          <w:rFonts w:ascii="Times New Roman" w:hAnsi="Times New Roman" w:cs="Times New Roman"/>
        </w:rPr>
      </w:pPr>
      <w:r w:rsidRPr="00400CEC">
        <w:rPr>
          <w:rFonts w:ascii="Times New Roman" w:hAnsi="Times New Roman" w:cs="Times New Roman"/>
        </w:rPr>
        <w:t>‘</w:t>
      </w:r>
      <w:r w:rsidRPr="00400CEC">
        <w:rPr>
          <w:rFonts w:ascii="Times New Roman" w:hAnsi="Times New Roman" w:cs="Times New Roman"/>
        </w:rPr>
        <w:t>What was King James I’s relationship to religion?’, Britannica</w:t>
      </w:r>
      <w:r w:rsidRPr="00400CEC">
        <w:rPr>
          <w:rFonts w:ascii="Times New Roman" w:hAnsi="Times New Roman" w:cs="Times New Roman"/>
          <w:i/>
          <w:iCs/>
        </w:rPr>
        <w:t xml:space="preserve">, </w:t>
      </w:r>
      <w:r w:rsidRPr="00400CEC">
        <w:rPr>
          <w:rFonts w:ascii="Times New Roman" w:hAnsi="Times New Roman" w:cs="Times New Roman"/>
        </w:rPr>
        <w:t>February 10</w:t>
      </w:r>
      <w:proofErr w:type="gramStart"/>
      <w:r w:rsidRPr="00400CEC">
        <w:rPr>
          <w:rFonts w:ascii="Times New Roman" w:hAnsi="Times New Roman" w:cs="Times New Roman"/>
        </w:rPr>
        <w:t xml:space="preserve"> 2025</w:t>
      </w:r>
      <w:proofErr w:type="gramEnd"/>
      <w:r w:rsidRPr="00400CEC">
        <w:rPr>
          <w:rFonts w:ascii="Times New Roman" w:hAnsi="Times New Roman" w:cs="Times New Roman"/>
        </w:rPr>
        <w:t xml:space="preserve"> </w:t>
      </w:r>
      <w:r w:rsidRPr="00400CEC">
        <w:rPr>
          <w:rFonts w:ascii="Times New Roman" w:hAnsi="Times New Roman" w:cs="Times New Roman"/>
        </w:rPr>
        <w:tab/>
      </w:r>
      <w:r w:rsidRPr="00400CEC">
        <w:rPr>
          <w:rFonts w:ascii="Times New Roman" w:hAnsi="Times New Roman" w:cs="Times New Roman"/>
        </w:rPr>
        <w:t>&lt;https://www.britannica.com/question/What-was-King-James-Is-relationship-to-</w:t>
      </w:r>
      <w:r w:rsidR="00F606A7">
        <w:rPr>
          <w:rFonts w:ascii="Times New Roman" w:hAnsi="Times New Roman" w:cs="Times New Roman"/>
        </w:rPr>
        <w:tab/>
      </w:r>
      <w:r w:rsidRPr="00400CEC">
        <w:rPr>
          <w:rFonts w:ascii="Times New Roman" w:hAnsi="Times New Roman" w:cs="Times New Roman"/>
        </w:rPr>
        <w:t>religion&gt; [Accessed 6 March 2025].</w:t>
      </w:r>
    </w:p>
    <w:p w14:paraId="716EB5D0" w14:textId="5DE660F8" w:rsidR="00466A2D" w:rsidRPr="00400CEC" w:rsidRDefault="00466A2D" w:rsidP="00753645">
      <w:pPr>
        <w:rPr>
          <w:rFonts w:ascii="Times New Roman" w:hAnsi="Times New Roman" w:cs="Times New Roman"/>
          <w:b/>
          <w:bCs/>
        </w:rPr>
      </w:pPr>
      <w:r w:rsidRPr="00400CEC">
        <w:rPr>
          <w:rFonts w:ascii="Times New Roman" w:hAnsi="Times New Roman" w:cs="Times New Roman"/>
          <w:b/>
          <w:bCs/>
        </w:rPr>
        <w:t>Manuscripts</w:t>
      </w:r>
    </w:p>
    <w:p w14:paraId="2D3DE2D7" w14:textId="4042CE05" w:rsidR="00466A2D" w:rsidRPr="00400CEC" w:rsidRDefault="00466A2D" w:rsidP="00753645">
      <w:pPr>
        <w:rPr>
          <w:rFonts w:ascii="Times New Roman" w:hAnsi="Times New Roman" w:cs="Times New Roman"/>
          <w:b/>
          <w:bCs/>
        </w:rPr>
      </w:pPr>
      <w:r w:rsidRPr="00400CEC">
        <w:rPr>
          <w:rFonts w:ascii="Times New Roman" w:hAnsi="Times New Roman" w:cs="Times New Roman"/>
        </w:rPr>
        <w:t>London, The National Archives, SP 14/53 f. 43r.</w:t>
      </w:r>
    </w:p>
    <w:p w14:paraId="308FF112" w14:textId="77777777" w:rsidR="00753645" w:rsidRPr="00FC1788" w:rsidRDefault="00753645" w:rsidP="00FC1788">
      <w:pPr>
        <w:jc w:val="center"/>
        <w:rPr>
          <w:sz w:val="28"/>
          <w:szCs w:val="28"/>
        </w:rPr>
      </w:pPr>
    </w:p>
    <w:sectPr w:rsidR="00753645" w:rsidRPr="00FC17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E8A26" w14:textId="77777777" w:rsidR="00A2201E" w:rsidRDefault="00A2201E" w:rsidP="00B474D3">
      <w:pPr>
        <w:spacing w:after="0" w:line="240" w:lineRule="auto"/>
      </w:pPr>
      <w:r>
        <w:separator/>
      </w:r>
    </w:p>
  </w:endnote>
  <w:endnote w:type="continuationSeparator" w:id="0">
    <w:p w14:paraId="315BDFD9" w14:textId="77777777" w:rsidR="00A2201E" w:rsidRDefault="00A2201E" w:rsidP="00B47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FF1C2" w14:textId="77777777" w:rsidR="00A2201E" w:rsidRDefault="00A2201E" w:rsidP="00B474D3">
      <w:pPr>
        <w:spacing w:after="0" w:line="240" w:lineRule="auto"/>
      </w:pPr>
      <w:r>
        <w:separator/>
      </w:r>
    </w:p>
  </w:footnote>
  <w:footnote w:type="continuationSeparator" w:id="0">
    <w:p w14:paraId="18DCCF25" w14:textId="77777777" w:rsidR="00A2201E" w:rsidRDefault="00A2201E" w:rsidP="00B474D3">
      <w:pPr>
        <w:spacing w:after="0" w:line="240" w:lineRule="auto"/>
      </w:pPr>
      <w:r>
        <w:continuationSeparator/>
      </w:r>
    </w:p>
  </w:footnote>
  <w:footnote w:id="1">
    <w:p w14:paraId="232B9E8D" w14:textId="5105C8BF" w:rsidR="00B474D3" w:rsidRPr="00224455" w:rsidRDefault="00B474D3" w:rsidP="00B474D3">
      <w:pPr>
        <w:pStyle w:val="FootnoteText"/>
      </w:pPr>
      <w:r>
        <w:rPr>
          <w:rStyle w:val="FootnoteReference"/>
        </w:rPr>
        <w:footnoteRef/>
      </w:r>
      <w:r>
        <w:t xml:space="preserve"> </w:t>
      </w:r>
      <w:r w:rsidR="00D56327">
        <w:t>‘</w:t>
      </w:r>
      <w:bookmarkStart w:id="0" w:name="_Hlk193041176"/>
      <w:r w:rsidR="00D56327">
        <w:t>The Tempest Act 2</w:t>
      </w:r>
      <w:r w:rsidR="00E46906">
        <w:t>,</w:t>
      </w:r>
      <w:r w:rsidR="00D56327">
        <w:t xml:space="preserve"> Scene 1’</w:t>
      </w:r>
      <w:r w:rsidR="00025E6F">
        <w:t>,</w:t>
      </w:r>
      <w:r w:rsidR="00CA6926">
        <w:t xml:space="preserve"> </w:t>
      </w:r>
      <w:r w:rsidR="00CA6926">
        <w:t>The Folger Shakespeare</w:t>
      </w:r>
      <w:r w:rsidR="003F0A24">
        <w:t>, n.d.</w:t>
      </w:r>
      <w:r w:rsidR="00CA6926">
        <w:t xml:space="preserve"> &lt;</w:t>
      </w:r>
      <w:r w:rsidR="00E46906" w:rsidRPr="00E46906">
        <w:t xml:space="preserve"> </w:t>
      </w:r>
      <w:r w:rsidR="00E46906" w:rsidRPr="00E46906">
        <w:t>https://www.folger.edu/explore/shakespeares-works/the-tempest/read/2/1/</w:t>
      </w:r>
      <w:r w:rsidR="00E46906">
        <w:t xml:space="preserve">&gt; [Accessed </w:t>
      </w:r>
      <w:r w:rsidR="00A54E00">
        <w:t>28 Feb 2025].</w:t>
      </w:r>
      <w:bookmarkEnd w:id="0"/>
      <w:r w:rsidR="00224455">
        <w:t xml:space="preserve"> This shall be used for all other acts and scenes of </w:t>
      </w:r>
      <w:r w:rsidR="00224455">
        <w:rPr>
          <w:i/>
          <w:iCs/>
        </w:rPr>
        <w:t xml:space="preserve">The Tempest </w:t>
      </w:r>
      <w:r w:rsidR="00224455">
        <w:t xml:space="preserve">unless </w:t>
      </w:r>
      <w:r w:rsidR="00BC3AA5">
        <w:t>otherwise indicated.</w:t>
      </w:r>
    </w:p>
  </w:footnote>
  <w:footnote w:id="2">
    <w:p w14:paraId="5B6E5406" w14:textId="77777777" w:rsidR="00B474D3" w:rsidRDefault="00B474D3" w:rsidP="00B474D3">
      <w:pPr>
        <w:pStyle w:val="FootnoteText"/>
      </w:pPr>
      <w:r>
        <w:rPr>
          <w:rStyle w:val="FootnoteReference"/>
        </w:rPr>
        <w:footnoteRef/>
      </w:r>
      <w:r>
        <w:t xml:space="preserve"> Ibid. </w:t>
      </w:r>
    </w:p>
  </w:footnote>
  <w:footnote w:id="3">
    <w:p w14:paraId="329A4AFD" w14:textId="6A405D0C" w:rsidR="00B474D3" w:rsidRPr="00EC1074" w:rsidRDefault="00B474D3" w:rsidP="00B474D3">
      <w:pPr>
        <w:pStyle w:val="FootnoteText"/>
        <w:rPr>
          <w:lang w:val="en-US"/>
        </w:rPr>
      </w:pPr>
      <w:r>
        <w:rPr>
          <w:rStyle w:val="FootnoteReference"/>
        </w:rPr>
        <w:footnoteRef/>
      </w:r>
      <w:r>
        <w:t xml:space="preserve"> </w:t>
      </w:r>
      <w:r w:rsidR="00523B3D">
        <w:t>Pascale Drou</w:t>
      </w:r>
      <w:r w:rsidR="004B16E2">
        <w:t xml:space="preserve">et, ‘A Shakespearian Exploration of Erasmus’ </w:t>
      </w:r>
      <w:proofErr w:type="spellStart"/>
      <w:r w:rsidR="004B16E2">
        <w:rPr>
          <w:i/>
          <w:iCs/>
        </w:rPr>
        <w:t>festine</w:t>
      </w:r>
      <w:proofErr w:type="spellEnd"/>
      <w:r w:rsidR="004B16E2">
        <w:rPr>
          <w:i/>
          <w:iCs/>
        </w:rPr>
        <w:t xml:space="preserve"> lente’</w:t>
      </w:r>
      <w:r w:rsidR="002B74F4">
        <w:rPr>
          <w:i/>
          <w:iCs/>
        </w:rPr>
        <w:t>, Shakespeare</w:t>
      </w:r>
      <w:r w:rsidR="004C2F77">
        <w:rPr>
          <w:i/>
          <w:iCs/>
        </w:rPr>
        <w:t xml:space="preserve">, </w:t>
      </w:r>
      <w:r w:rsidR="004C2F77">
        <w:t>15.3 (</w:t>
      </w:r>
      <w:r w:rsidR="00A3723F">
        <w:t>2019), pp. 233-241</w:t>
      </w:r>
      <w:r w:rsidR="00F84B62">
        <w:t xml:space="preserve"> (p. 233)</w:t>
      </w:r>
      <w:r>
        <w:t xml:space="preserve">; </w:t>
      </w:r>
      <w:r w:rsidR="007968E0">
        <w:t xml:space="preserve">Arthur Kirsch, ‘Virtue, Vice and Compassion in Montaigne and The Tempest’, </w:t>
      </w:r>
      <w:r w:rsidR="00EC1074">
        <w:rPr>
          <w:i/>
          <w:iCs/>
        </w:rPr>
        <w:t xml:space="preserve">Studies in English Literature, 1500-1900, </w:t>
      </w:r>
      <w:r w:rsidR="00EC1074" w:rsidRPr="00EC1074">
        <w:t>37.2 (</w:t>
      </w:r>
      <w:r w:rsidR="00EC1074">
        <w:t>1997)</w:t>
      </w:r>
      <w:r w:rsidR="005339A2">
        <w:t>, pp. 337-352</w:t>
      </w:r>
      <w:r w:rsidR="00D378C2">
        <w:t>.</w:t>
      </w:r>
    </w:p>
  </w:footnote>
  <w:footnote w:id="4">
    <w:p w14:paraId="643B9976" w14:textId="505CEC71" w:rsidR="00B474D3" w:rsidRPr="00496748" w:rsidRDefault="00B474D3" w:rsidP="00B474D3">
      <w:pPr>
        <w:pStyle w:val="FootnoteText"/>
        <w:rPr>
          <w:lang w:val="en-US"/>
        </w:rPr>
      </w:pPr>
      <w:r>
        <w:rPr>
          <w:rStyle w:val="FootnoteReference"/>
        </w:rPr>
        <w:footnoteRef/>
      </w:r>
      <w:r>
        <w:t xml:space="preserve"> </w:t>
      </w:r>
      <w:r w:rsidR="00ED3830">
        <w:t xml:space="preserve">Margaret L. King, </w:t>
      </w:r>
      <w:r w:rsidR="00ED3830">
        <w:rPr>
          <w:i/>
          <w:iCs/>
        </w:rPr>
        <w:t>Renaissance Humanism: An Anthology of Sources</w:t>
      </w:r>
      <w:r w:rsidR="006F4124">
        <w:rPr>
          <w:i/>
          <w:iCs/>
        </w:rPr>
        <w:t xml:space="preserve"> </w:t>
      </w:r>
      <w:r w:rsidR="006F4124">
        <w:t>(Hackett Publishing Company, 2014)</w:t>
      </w:r>
      <w:r w:rsidR="00D328B3">
        <w:t xml:space="preserve">, </w:t>
      </w:r>
      <w:r>
        <w:t>p. 13</w:t>
      </w:r>
      <w:r w:rsidR="00D328B3">
        <w:t>.</w:t>
      </w:r>
    </w:p>
  </w:footnote>
  <w:footnote w:id="5">
    <w:p w14:paraId="5D7B1DA1" w14:textId="0F792BBF" w:rsidR="00B474D3" w:rsidRPr="00F046A5" w:rsidRDefault="00B474D3" w:rsidP="00B474D3">
      <w:pPr>
        <w:pStyle w:val="FootnoteText"/>
        <w:rPr>
          <w:lang w:val="en-US"/>
        </w:rPr>
      </w:pPr>
      <w:r>
        <w:rPr>
          <w:rStyle w:val="FootnoteReference"/>
        </w:rPr>
        <w:footnoteRef/>
      </w:r>
      <w:r>
        <w:t xml:space="preserve"> </w:t>
      </w:r>
      <w:r w:rsidR="007F3DAA">
        <w:t xml:space="preserve">Ellen Pearl N. </w:t>
      </w:r>
      <w:proofErr w:type="spellStart"/>
      <w:r w:rsidR="007F3DAA">
        <w:t>Lagunzad</w:t>
      </w:r>
      <w:proofErr w:type="spellEnd"/>
      <w:r w:rsidR="007F3DAA">
        <w:t xml:space="preserve">, </w:t>
      </w:r>
      <w:r w:rsidR="00025E6F">
        <w:t>‘Humanism’, SCRIBD</w:t>
      </w:r>
      <w:r w:rsidR="00733002">
        <w:t>, n.</w:t>
      </w:r>
      <w:r w:rsidR="003F0A24">
        <w:t>d.</w:t>
      </w:r>
      <w:r w:rsidR="00025E6F">
        <w:t xml:space="preserve"> </w:t>
      </w:r>
      <w:r w:rsidR="007265A7">
        <w:t>&lt;</w:t>
      </w:r>
      <w:r w:rsidR="007265A7" w:rsidRPr="007265A7">
        <w:t>https://www.scribd.com/document/367223689/Humanism</w:t>
      </w:r>
      <w:r w:rsidR="007265A7">
        <w:t xml:space="preserve">&gt; [Accessed 01 March 2025]. </w:t>
      </w:r>
    </w:p>
  </w:footnote>
  <w:footnote w:id="6">
    <w:p w14:paraId="572C9A8E" w14:textId="17874255" w:rsidR="00B474D3" w:rsidRDefault="00B474D3" w:rsidP="00B474D3">
      <w:pPr>
        <w:pStyle w:val="FootnoteText"/>
      </w:pPr>
      <w:r>
        <w:rPr>
          <w:rStyle w:val="FootnoteReference"/>
        </w:rPr>
        <w:footnoteRef/>
      </w:r>
      <w:r>
        <w:t xml:space="preserve"> </w:t>
      </w:r>
      <w:r w:rsidR="007265A7">
        <w:t xml:space="preserve">Kirsch, </w:t>
      </w:r>
      <w:r>
        <w:t>p. 338</w:t>
      </w:r>
      <w:r w:rsidR="007265A7">
        <w:t>.</w:t>
      </w:r>
    </w:p>
  </w:footnote>
  <w:footnote w:id="7">
    <w:p w14:paraId="65321718" w14:textId="7584A11D" w:rsidR="00B474D3" w:rsidRPr="00401578" w:rsidRDefault="00B474D3" w:rsidP="00B474D3">
      <w:pPr>
        <w:pStyle w:val="FootnoteText"/>
      </w:pPr>
      <w:r>
        <w:rPr>
          <w:rStyle w:val="FootnoteReference"/>
        </w:rPr>
        <w:footnoteRef/>
      </w:r>
      <w:r>
        <w:t xml:space="preserve"> </w:t>
      </w:r>
      <w:r w:rsidR="005C1604">
        <w:t xml:space="preserve">Michel de Montaigne, </w:t>
      </w:r>
      <w:r w:rsidR="00401578">
        <w:rPr>
          <w:i/>
          <w:iCs/>
        </w:rPr>
        <w:t xml:space="preserve">Essays of Montaigne, </w:t>
      </w:r>
      <w:r w:rsidR="007B4FD1">
        <w:t xml:space="preserve">ed. by William Carew Hazlett </w:t>
      </w:r>
      <w:r w:rsidR="005F21A3">
        <w:t>and trans. By Charles Cotton (1910)</w:t>
      </w:r>
      <w:r w:rsidR="00E71F49">
        <w:t>.</w:t>
      </w:r>
    </w:p>
  </w:footnote>
  <w:footnote w:id="8">
    <w:p w14:paraId="4DACE7EF" w14:textId="369F0B88" w:rsidR="00B474D3" w:rsidRDefault="00B474D3" w:rsidP="00B474D3">
      <w:pPr>
        <w:pStyle w:val="FootnoteText"/>
      </w:pPr>
      <w:r>
        <w:rPr>
          <w:rStyle w:val="FootnoteReference"/>
        </w:rPr>
        <w:footnoteRef/>
      </w:r>
      <w:r>
        <w:t xml:space="preserve"> </w:t>
      </w:r>
      <w:r w:rsidR="00F80E5F">
        <w:rPr>
          <w:i/>
          <w:iCs/>
        </w:rPr>
        <w:t xml:space="preserve">The Tempest, </w:t>
      </w:r>
      <w:r w:rsidR="004D792E">
        <w:t>ii</w:t>
      </w:r>
      <w:r w:rsidR="000B426C">
        <w:t>.</w:t>
      </w:r>
      <w:r w:rsidR="008501BF">
        <w:t xml:space="preserve"> </w:t>
      </w:r>
      <w:r w:rsidR="003752CF">
        <w:t xml:space="preserve">1. </w:t>
      </w:r>
      <w:r w:rsidR="00597AD9">
        <w:t>131-133</w:t>
      </w:r>
      <w:r w:rsidR="000B426C">
        <w:t>.</w:t>
      </w:r>
      <w:r w:rsidR="00224455">
        <w:t xml:space="preserve"> </w:t>
      </w:r>
    </w:p>
  </w:footnote>
  <w:footnote w:id="9">
    <w:p w14:paraId="7D4A8B18" w14:textId="1740E3EF" w:rsidR="00B474D3" w:rsidRPr="00D00C1F" w:rsidRDefault="00B474D3" w:rsidP="00B474D3">
      <w:pPr>
        <w:pStyle w:val="FootnoteText"/>
        <w:rPr>
          <w:lang w:val="en-US"/>
        </w:rPr>
      </w:pPr>
      <w:r>
        <w:rPr>
          <w:rStyle w:val="FootnoteReference"/>
        </w:rPr>
        <w:footnoteRef/>
      </w:r>
      <w:r>
        <w:t xml:space="preserve"> </w:t>
      </w:r>
      <w:r w:rsidR="000B426C">
        <w:rPr>
          <w:i/>
          <w:iCs/>
        </w:rPr>
        <w:t>The Tempest</w:t>
      </w:r>
      <w:r w:rsidR="00BC3AA5">
        <w:rPr>
          <w:lang w:val="en-US"/>
        </w:rPr>
        <w:t>,</w:t>
      </w:r>
      <w:r w:rsidR="000B426C">
        <w:rPr>
          <w:lang w:val="en-US"/>
        </w:rPr>
        <w:t xml:space="preserve"> </w:t>
      </w:r>
      <w:proofErr w:type="spellStart"/>
      <w:r w:rsidR="000B426C">
        <w:rPr>
          <w:lang w:val="en-US"/>
        </w:rPr>
        <w:t>i</w:t>
      </w:r>
      <w:proofErr w:type="spellEnd"/>
      <w:r w:rsidR="000B426C">
        <w:rPr>
          <w:lang w:val="en-US"/>
        </w:rPr>
        <w:t xml:space="preserve">. 2. </w:t>
      </w:r>
      <w:r w:rsidR="00BC3AA5">
        <w:rPr>
          <w:lang w:val="en-US"/>
        </w:rPr>
        <w:t xml:space="preserve"> </w:t>
      </w:r>
      <w:r w:rsidR="00B15EDA">
        <w:rPr>
          <w:lang w:val="en-US"/>
        </w:rPr>
        <w:t>109-110</w:t>
      </w:r>
    </w:p>
  </w:footnote>
  <w:footnote w:id="10">
    <w:p w14:paraId="2FC71EAA" w14:textId="4830CE4E" w:rsidR="00B474D3" w:rsidRPr="0089045F" w:rsidRDefault="00B474D3" w:rsidP="00B474D3">
      <w:pPr>
        <w:pStyle w:val="FootnoteText"/>
        <w:rPr>
          <w:lang w:val="en-US"/>
        </w:rPr>
      </w:pPr>
      <w:r>
        <w:rPr>
          <w:rStyle w:val="FootnoteReference"/>
        </w:rPr>
        <w:footnoteRef/>
      </w:r>
      <w:r>
        <w:t xml:space="preserve"> </w:t>
      </w:r>
      <w:r w:rsidR="00E54653">
        <w:t>Kirsch, p. 338.</w:t>
      </w:r>
    </w:p>
  </w:footnote>
  <w:footnote w:id="11">
    <w:p w14:paraId="04F03ED9" w14:textId="2CBDE8C3" w:rsidR="00B474D3" w:rsidRDefault="00B474D3" w:rsidP="00B474D3">
      <w:pPr>
        <w:pStyle w:val="FootnoteText"/>
      </w:pPr>
      <w:r>
        <w:rPr>
          <w:rStyle w:val="FootnoteReference"/>
        </w:rPr>
        <w:footnoteRef/>
      </w:r>
      <w:r>
        <w:t xml:space="preserve"> </w:t>
      </w:r>
      <w:r w:rsidR="00B15EDA">
        <w:rPr>
          <w:i/>
          <w:iCs/>
        </w:rPr>
        <w:t xml:space="preserve">The Tempest, </w:t>
      </w:r>
      <w:r w:rsidR="00B15EDA">
        <w:t xml:space="preserve">ii. </w:t>
      </w:r>
      <w:r w:rsidR="00F83409">
        <w:t xml:space="preserve">1. </w:t>
      </w:r>
      <w:r w:rsidR="00B17E83">
        <w:t>1-9.</w:t>
      </w:r>
    </w:p>
  </w:footnote>
  <w:footnote w:id="12">
    <w:p w14:paraId="0FA7AB34" w14:textId="3768131E" w:rsidR="00B474D3" w:rsidRDefault="00B474D3" w:rsidP="00B474D3">
      <w:pPr>
        <w:pStyle w:val="FootnoteText"/>
      </w:pPr>
      <w:r>
        <w:rPr>
          <w:rStyle w:val="FootnoteReference"/>
        </w:rPr>
        <w:footnoteRef/>
      </w:r>
      <w:r>
        <w:t xml:space="preserve"> </w:t>
      </w:r>
      <w:r w:rsidR="00E51433">
        <w:t>‘preservation</w:t>
      </w:r>
      <w:r w:rsidR="00B833FF">
        <w:t>’, Online Etymology Dictionary</w:t>
      </w:r>
      <w:r w:rsidR="003F0A24">
        <w:t>, n.d.</w:t>
      </w:r>
      <w:r w:rsidR="00B833FF">
        <w:t xml:space="preserve"> &lt;</w:t>
      </w:r>
      <w:r w:rsidR="00B833FF" w:rsidRPr="00B833FF">
        <w:t xml:space="preserve"> </w:t>
      </w:r>
      <w:r w:rsidR="00B833FF" w:rsidRPr="00B833FF">
        <w:t>https://www.etymonline.com/word/preservation#:~:text=early%2015c.%2C%20preservacioun%20%22protection%20from%20disease%2C%22%20from%20Old,of%20preservare%20%22to%20guard%20beforehand%22%20%28see%20preserve%20%28v.%29%29.</w:t>
      </w:r>
      <w:r w:rsidR="00B833FF">
        <w:t xml:space="preserve">&gt; [Accessed </w:t>
      </w:r>
      <w:r w:rsidR="00DE1063">
        <w:t xml:space="preserve">28 Feb 2025]. </w:t>
      </w:r>
    </w:p>
  </w:footnote>
  <w:footnote w:id="13">
    <w:p w14:paraId="2E5FAF5A" w14:textId="204C1D6B" w:rsidR="00B474D3" w:rsidRPr="00CD53CF" w:rsidRDefault="00B474D3" w:rsidP="00B474D3">
      <w:pPr>
        <w:pStyle w:val="FootnoteText"/>
        <w:rPr>
          <w:lang w:val="en-US"/>
        </w:rPr>
      </w:pPr>
      <w:r>
        <w:rPr>
          <w:rStyle w:val="FootnoteReference"/>
        </w:rPr>
        <w:footnoteRef/>
      </w:r>
      <w:r>
        <w:t xml:space="preserve"> </w:t>
      </w:r>
      <w:r w:rsidR="00CD53CF">
        <w:t xml:space="preserve">‘Jacobean Religion’, </w:t>
      </w:r>
      <w:r w:rsidR="004E2DE3">
        <w:t>Elizabethan England Life</w:t>
      </w:r>
      <w:r w:rsidR="003F0A24">
        <w:t>, n.d.</w:t>
      </w:r>
      <w:r w:rsidR="004E2DE3">
        <w:t xml:space="preserve"> &lt;</w:t>
      </w:r>
      <w:r w:rsidR="00010C63" w:rsidRPr="00010C63">
        <w:t>https://elizabethanenglandlife.com/Jacobean-Era/jacobean-religion.html</w:t>
      </w:r>
      <w:r w:rsidR="00010C63">
        <w:t xml:space="preserve">&gt; [Accessed 5 March 2025]. </w:t>
      </w:r>
    </w:p>
  </w:footnote>
  <w:footnote w:id="14">
    <w:p w14:paraId="27D6D1C9" w14:textId="4EF03D99" w:rsidR="00B474D3" w:rsidRDefault="00B474D3" w:rsidP="00B474D3">
      <w:pPr>
        <w:pStyle w:val="FootnoteText"/>
      </w:pPr>
      <w:r>
        <w:rPr>
          <w:rStyle w:val="FootnoteReference"/>
        </w:rPr>
        <w:footnoteRef/>
      </w:r>
      <w:r>
        <w:t xml:space="preserve"> </w:t>
      </w:r>
      <w:r w:rsidR="000E6E15">
        <w:t>‘Andrew Melville</w:t>
      </w:r>
      <w:r w:rsidR="00572318">
        <w:t>’</w:t>
      </w:r>
      <w:r w:rsidR="000E6E15">
        <w:t>, Reformation History</w:t>
      </w:r>
      <w:r w:rsidR="00155B29">
        <w:t>, 2010</w:t>
      </w:r>
      <w:r w:rsidR="000E6E15">
        <w:t xml:space="preserve"> &lt;</w:t>
      </w:r>
      <w:r w:rsidR="00436C15" w:rsidRPr="00436C15">
        <w:t>https://reformationhistory.org/andrewmelville.html</w:t>
      </w:r>
      <w:r w:rsidR="00436C15">
        <w:t>&gt; [Accessed 5 March 2025].</w:t>
      </w:r>
    </w:p>
  </w:footnote>
  <w:footnote w:id="15">
    <w:p w14:paraId="773AC76F" w14:textId="180BE6EB" w:rsidR="00B474D3" w:rsidRPr="008C3805" w:rsidRDefault="00B474D3" w:rsidP="00B474D3">
      <w:pPr>
        <w:pStyle w:val="FootnoteText"/>
      </w:pPr>
      <w:r>
        <w:rPr>
          <w:rStyle w:val="FootnoteReference"/>
        </w:rPr>
        <w:footnoteRef/>
      </w:r>
      <w:r>
        <w:t xml:space="preserve"> </w:t>
      </w:r>
      <w:r w:rsidR="005C0212">
        <w:t>R</w:t>
      </w:r>
      <w:r w:rsidR="00E66340">
        <w:t>. Malcolm Smuts, ‘Writing the Monarch in Jacobean England: Jonson, Donne, Shakes</w:t>
      </w:r>
      <w:r w:rsidR="003A7940">
        <w:t>peare and the Works of King James</w:t>
      </w:r>
      <w:r w:rsidR="00A838AA">
        <w:t>.</w:t>
      </w:r>
      <w:r w:rsidR="00E026BD">
        <w:t xml:space="preserve"> Jane Rickard</w:t>
      </w:r>
      <w:r w:rsidR="00A838AA">
        <w:t xml:space="preserve">’, </w:t>
      </w:r>
      <w:r w:rsidR="00A838AA">
        <w:rPr>
          <w:i/>
          <w:iCs/>
        </w:rPr>
        <w:t>Renaissance Quarterly</w:t>
      </w:r>
      <w:r w:rsidR="00D942FC">
        <w:rPr>
          <w:i/>
          <w:iCs/>
        </w:rPr>
        <w:t xml:space="preserve">, </w:t>
      </w:r>
      <w:r w:rsidR="00D942FC">
        <w:t>69.4</w:t>
      </w:r>
      <w:r w:rsidR="0040388C">
        <w:t xml:space="preserve"> (Cambridge University Press, 2015)</w:t>
      </w:r>
      <w:r w:rsidR="00FD5C2C">
        <w:t>, pp. 1520-1522 (</w:t>
      </w:r>
      <w:r>
        <w:t>p. 1521</w:t>
      </w:r>
      <w:r w:rsidR="00FD5C2C">
        <w:t>)</w:t>
      </w:r>
      <w:r>
        <w:t xml:space="preserve">; </w:t>
      </w:r>
      <w:r w:rsidR="0009267E">
        <w:t xml:space="preserve">Patricia Garland Pinka, ‘John Donne’, </w:t>
      </w:r>
      <w:r w:rsidR="0009267E">
        <w:rPr>
          <w:i/>
          <w:iCs/>
        </w:rPr>
        <w:t>Britannica</w:t>
      </w:r>
      <w:r w:rsidR="008C3805">
        <w:rPr>
          <w:i/>
          <w:iCs/>
        </w:rPr>
        <w:t xml:space="preserve">, </w:t>
      </w:r>
      <w:r w:rsidR="008C3805">
        <w:t>n.d. &lt;</w:t>
      </w:r>
      <w:r w:rsidR="008C3805" w:rsidRPr="008C3805">
        <w:t>https://www.britannica.com/topic/Elizabethan-Age</w:t>
      </w:r>
      <w:r w:rsidR="008C3805">
        <w:t xml:space="preserve">&gt; [Accessed </w:t>
      </w:r>
      <w:r w:rsidR="00933790">
        <w:t xml:space="preserve">7 March 2025]. </w:t>
      </w:r>
    </w:p>
  </w:footnote>
  <w:footnote w:id="16">
    <w:p w14:paraId="2501EF1A" w14:textId="67701BB5" w:rsidR="00B474D3" w:rsidRDefault="00B474D3" w:rsidP="00B474D3">
      <w:pPr>
        <w:pStyle w:val="FootnoteText"/>
      </w:pPr>
      <w:r>
        <w:rPr>
          <w:rStyle w:val="FootnoteReference"/>
        </w:rPr>
        <w:footnoteRef/>
      </w:r>
      <w:r>
        <w:t xml:space="preserve"> </w:t>
      </w:r>
      <w:r w:rsidR="006461D1">
        <w:t xml:space="preserve">London, The National Archives, </w:t>
      </w:r>
      <w:r w:rsidR="005312BE" w:rsidRPr="005312BE">
        <w:t>SP 14/53 f. 43r</w:t>
      </w:r>
      <w:r w:rsidR="005312BE">
        <w:t>.</w:t>
      </w:r>
    </w:p>
  </w:footnote>
  <w:footnote w:id="17">
    <w:p w14:paraId="563E82FF" w14:textId="7221C2C7" w:rsidR="00B474D3" w:rsidRPr="001B091F" w:rsidRDefault="00B474D3" w:rsidP="00B474D3">
      <w:pPr>
        <w:pStyle w:val="FootnoteText"/>
        <w:rPr>
          <w:lang w:val="en-US"/>
        </w:rPr>
      </w:pPr>
      <w:r>
        <w:rPr>
          <w:rStyle w:val="FootnoteReference"/>
        </w:rPr>
        <w:footnoteRef/>
      </w:r>
      <w:r w:rsidR="00B17E83">
        <w:rPr>
          <w:i/>
          <w:iCs/>
        </w:rPr>
        <w:t xml:space="preserve">The Tempest, </w:t>
      </w:r>
      <w:r w:rsidR="00B17E83">
        <w:t xml:space="preserve">ii. 1. </w:t>
      </w:r>
      <w:r w:rsidR="002655FA">
        <w:rPr>
          <w:lang w:val="en-US"/>
        </w:rPr>
        <w:t>321-322.</w:t>
      </w:r>
    </w:p>
  </w:footnote>
  <w:footnote w:id="18">
    <w:p w14:paraId="37346693" w14:textId="2EB441EE" w:rsidR="00B474D3" w:rsidRDefault="00B474D3" w:rsidP="00B474D3">
      <w:pPr>
        <w:pStyle w:val="FootnoteText"/>
      </w:pPr>
      <w:r>
        <w:rPr>
          <w:rStyle w:val="FootnoteReference"/>
        </w:rPr>
        <w:footnoteRef/>
      </w:r>
      <w:r>
        <w:t xml:space="preserve"> </w:t>
      </w:r>
      <w:r w:rsidR="006D6AC7">
        <w:t xml:space="preserve">Michel de Montaigne, ‘Of Cannibals’, </w:t>
      </w:r>
      <w:r w:rsidR="00CE328D">
        <w:t>n.d. &lt;</w:t>
      </w:r>
      <w:r w:rsidR="00CE328D" w:rsidRPr="00CE328D">
        <w:t xml:space="preserve"> </w:t>
      </w:r>
      <w:r w:rsidR="00CE328D" w:rsidRPr="00CE328D">
        <w:t>https://web2.qatar.cmu.edu/~breilly2/odyssey/Montaigne.pdf</w:t>
      </w:r>
      <w:r w:rsidR="00CE328D">
        <w:t xml:space="preserve">&gt; [Accessed </w:t>
      </w:r>
      <w:r w:rsidR="008B6F21">
        <w:t>25 Feb 2025], p.6.</w:t>
      </w:r>
    </w:p>
  </w:footnote>
  <w:footnote w:id="19">
    <w:p w14:paraId="704FEB7E" w14:textId="333B5351" w:rsidR="00B474D3" w:rsidRDefault="00B474D3" w:rsidP="00B474D3">
      <w:pPr>
        <w:pStyle w:val="FootnoteText"/>
      </w:pPr>
      <w:r>
        <w:rPr>
          <w:rStyle w:val="FootnoteReference"/>
        </w:rPr>
        <w:footnoteRef/>
      </w:r>
      <w:r>
        <w:t xml:space="preserve"> </w:t>
      </w:r>
      <w:r w:rsidR="000D2F92">
        <w:t xml:space="preserve">London, </w:t>
      </w:r>
      <w:r w:rsidR="000D2F92" w:rsidRPr="000D2F92">
        <w:t>SP 14/53 f. 43r</w:t>
      </w:r>
      <w:r w:rsidR="000D2F92">
        <w:t>.</w:t>
      </w:r>
    </w:p>
  </w:footnote>
  <w:footnote w:id="20">
    <w:p w14:paraId="450A35A9" w14:textId="4F81AA23" w:rsidR="00B474D3" w:rsidRDefault="00B474D3" w:rsidP="00B474D3">
      <w:pPr>
        <w:pStyle w:val="FootnoteText"/>
      </w:pPr>
      <w:r>
        <w:rPr>
          <w:rStyle w:val="FootnoteReference"/>
        </w:rPr>
        <w:footnoteRef/>
      </w:r>
      <w:r>
        <w:t xml:space="preserve"> </w:t>
      </w:r>
      <w:r w:rsidR="00BC4F93">
        <w:t xml:space="preserve">Gary Wills, </w:t>
      </w:r>
      <w:r w:rsidR="00E12398">
        <w:rPr>
          <w:i/>
          <w:iCs/>
        </w:rPr>
        <w:t xml:space="preserve">Witches </w:t>
      </w:r>
      <w:r w:rsidR="00476595">
        <w:rPr>
          <w:i/>
          <w:iCs/>
        </w:rPr>
        <w:t xml:space="preserve">and Jesuits: Shakespeare’s Macbeth, </w:t>
      </w:r>
      <w:r w:rsidR="007C5844">
        <w:t>(Oxford University Press, 1995)</w:t>
      </w:r>
      <w:r>
        <w:t xml:space="preserve">; </w:t>
      </w:r>
      <w:r w:rsidR="00812881">
        <w:t xml:space="preserve">Kiernan Ryan, </w:t>
      </w:r>
      <w:r w:rsidR="00E81E2E">
        <w:t>‘General Introduction’</w:t>
      </w:r>
      <w:r w:rsidR="00947533">
        <w:t xml:space="preserve">, in </w:t>
      </w:r>
      <w:r w:rsidR="00947533">
        <w:rPr>
          <w:i/>
          <w:iCs/>
        </w:rPr>
        <w:t>King Lear</w:t>
      </w:r>
      <w:r w:rsidR="00156F20">
        <w:rPr>
          <w:i/>
          <w:iCs/>
        </w:rPr>
        <w:t xml:space="preserve">, </w:t>
      </w:r>
      <w:r w:rsidR="00156F20">
        <w:t xml:space="preserve">ed. by </w:t>
      </w:r>
      <w:r w:rsidR="00885DA7">
        <w:t>George Hunter (</w:t>
      </w:r>
      <w:r w:rsidR="00F75BAD">
        <w:t xml:space="preserve">Penguin Classics, 2015), </w:t>
      </w:r>
      <w:r>
        <w:t>p. xliii.</w:t>
      </w:r>
    </w:p>
  </w:footnote>
  <w:footnote w:id="21">
    <w:p w14:paraId="33B97C05" w14:textId="3B799924" w:rsidR="00B474D3" w:rsidRDefault="00B474D3" w:rsidP="00B474D3">
      <w:pPr>
        <w:pStyle w:val="FootnoteText"/>
      </w:pPr>
      <w:r>
        <w:rPr>
          <w:rStyle w:val="FootnoteReference"/>
        </w:rPr>
        <w:footnoteRef/>
      </w:r>
      <w:r>
        <w:t xml:space="preserve"> </w:t>
      </w:r>
      <w:r w:rsidR="00884364">
        <w:t>I</w:t>
      </w:r>
      <w:r w:rsidR="003C2763">
        <w:t>shfaq Hussain Bhat, ‘Shakespeare’s The Tempest as a Tragicomedy’,</w:t>
      </w:r>
      <w:r w:rsidR="00B85F24">
        <w:rPr>
          <w:i/>
          <w:iCs/>
        </w:rPr>
        <w:t xml:space="preserve"> International Journal of Trend in Scientific Research and Development, </w:t>
      </w:r>
      <w:r w:rsidR="00C474F3">
        <w:t xml:space="preserve">2.1 (2017), pp. </w:t>
      </w:r>
      <w:r w:rsidR="0049558F">
        <w:t>316-319</w:t>
      </w:r>
      <w:r>
        <w:t xml:space="preserve">; </w:t>
      </w:r>
      <w:r w:rsidR="004D2ADC">
        <w:t>‘The Tempest (Folio I, 1623)’, Internet Shakespeare Editions, n.d. &lt;</w:t>
      </w:r>
      <w:r w:rsidR="001E4867" w:rsidRPr="001E4867">
        <w:t>https://internetshakespeare.uvic.ca/doc/Tmp_F1/complete/index.html</w:t>
      </w:r>
      <w:r w:rsidR="001E4867">
        <w:t xml:space="preserve">&gt; [Accessed 1 March 2025]. </w:t>
      </w:r>
    </w:p>
  </w:footnote>
  <w:footnote w:id="22">
    <w:p w14:paraId="6DD7ADAC" w14:textId="3DED36AB" w:rsidR="00B474D3" w:rsidRPr="000450D0" w:rsidRDefault="00B474D3" w:rsidP="00B474D3">
      <w:pPr>
        <w:pStyle w:val="FootnoteText"/>
      </w:pPr>
      <w:r>
        <w:rPr>
          <w:rStyle w:val="FootnoteReference"/>
        </w:rPr>
        <w:footnoteRef/>
      </w:r>
      <w:r>
        <w:t xml:space="preserve"> </w:t>
      </w:r>
      <w:r w:rsidR="00236519">
        <w:t>Lawrence E. Bow</w:t>
      </w:r>
      <w:r w:rsidR="00A12230">
        <w:t>l</w:t>
      </w:r>
      <w:r w:rsidR="00236519">
        <w:t>ing, ‘The Theme of Natural order in “The Tempest”</w:t>
      </w:r>
      <w:r w:rsidR="000450D0">
        <w:t xml:space="preserve">’, </w:t>
      </w:r>
      <w:r w:rsidR="000450D0">
        <w:rPr>
          <w:i/>
          <w:iCs/>
        </w:rPr>
        <w:t xml:space="preserve">College English, </w:t>
      </w:r>
      <w:r w:rsidR="000450D0">
        <w:t>12.4 (1951), pp. 203-209.</w:t>
      </w:r>
    </w:p>
  </w:footnote>
  <w:footnote w:id="23">
    <w:p w14:paraId="062E81DE" w14:textId="5B22622C" w:rsidR="00B474D3" w:rsidRPr="00CF1930" w:rsidRDefault="00B474D3" w:rsidP="00B474D3">
      <w:pPr>
        <w:pStyle w:val="FootnoteText"/>
        <w:rPr>
          <w:lang w:val="en-US"/>
        </w:rPr>
      </w:pPr>
      <w:r>
        <w:rPr>
          <w:rStyle w:val="FootnoteReference"/>
        </w:rPr>
        <w:footnoteRef/>
      </w:r>
      <w:r>
        <w:t xml:space="preserve"> </w:t>
      </w:r>
      <w:r w:rsidR="00AB71B5">
        <w:rPr>
          <w:i/>
          <w:iCs/>
        </w:rPr>
        <w:t xml:space="preserve">The </w:t>
      </w:r>
      <w:r w:rsidRPr="00AB71B5">
        <w:rPr>
          <w:i/>
          <w:iCs/>
          <w:lang w:val="en-US"/>
        </w:rPr>
        <w:t>Norton Anthology</w:t>
      </w:r>
      <w:r w:rsidR="00C433E3">
        <w:rPr>
          <w:lang w:val="en-US"/>
        </w:rPr>
        <w:t xml:space="preserve"> </w:t>
      </w:r>
      <w:r w:rsidR="00C433E3">
        <w:rPr>
          <w:i/>
          <w:iCs/>
          <w:lang w:val="en-US"/>
        </w:rPr>
        <w:t xml:space="preserve">of English Literature: The Sixteenth Century and Early Seventeenth Century, </w:t>
      </w:r>
      <w:r w:rsidR="00C433E3">
        <w:rPr>
          <w:lang w:val="en-US"/>
        </w:rPr>
        <w:t>ed</w:t>
      </w:r>
      <w:r w:rsidR="00DA0C5B">
        <w:rPr>
          <w:lang w:val="en-US"/>
        </w:rPr>
        <w:t xml:space="preserve">. by Stephen Greenblatt, </w:t>
      </w:r>
      <w:r w:rsidR="002D5981">
        <w:rPr>
          <w:lang w:val="en-US"/>
        </w:rPr>
        <w:t xml:space="preserve">George Logan </w:t>
      </w:r>
      <w:r w:rsidR="002D5981">
        <w:rPr>
          <w:lang w:val="en-US"/>
        </w:rPr>
        <w:t xml:space="preserve">and </w:t>
      </w:r>
      <w:r w:rsidR="005132A8">
        <w:rPr>
          <w:lang w:val="en-US"/>
        </w:rPr>
        <w:t>Katherine Eisaman Maus</w:t>
      </w:r>
      <w:r w:rsidR="002D5981">
        <w:rPr>
          <w:lang w:val="en-US"/>
        </w:rPr>
        <w:t xml:space="preserve"> </w:t>
      </w:r>
      <w:r w:rsidR="005132A8">
        <w:rPr>
          <w:lang w:val="en-US"/>
        </w:rPr>
        <w:t>(</w:t>
      </w:r>
      <w:r w:rsidR="009147F5">
        <w:rPr>
          <w:lang w:val="en-US"/>
        </w:rPr>
        <w:t xml:space="preserve">W.W. Norton &amp; Company, 2018), </w:t>
      </w:r>
      <w:r>
        <w:rPr>
          <w:lang w:val="en-US"/>
        </w:rPr>
        <w:t>p. 721</w:t>
      </w:r>
      <w:r w:rsidR="005132A8">
        <w:rPr>
          <w:lang w:val="en-US"/>
        </w:rPr>
        <w:t>.</w:t>
      </w:r>
    </w:p>
  </w:footnote>
  <w:footnote w:id="24">
    <w:p w14:paraId="4138E828" w14:textId="77777777" w:rsidR="00B474D3" w:rsidRPr="00752B9F" w:rsidRDefault="00B474D3" w:rsidP="00B474D3">
      <w:pPr>
        <w:pStyle w:val="FootnoteText"/>
        <w:rPr>
          <w:lang w:val="en-US"/>
        </w:rPr>
      </w:pPr>
      <w:r>
        <w:rPr>
          <w:rStyle w:val="FootnoteReference"/>
        </w:rPr>
        <w:footnoteRef/>
      </w:r>
      <w:r>
        <w:t xml:space="preserve"> </w:t>
      </w:r>
      <w:r>
        <w:rPr>
          <w:lang w:val="en-US"/>
        </w:rPr>
        <w:t>Ibid.</w:t>
      </w:r>
    </w:p>
  </w:footnote>
  <w:footnote w:id="25">
    <w:p w14:paraId="3F2F1D73" w14:textId="3FF55271" w:rsidR="00B474D3" w:rsidRPr="003C4916" w:rsidRDefault="00B474D3" w:rsidP="00B474D3">
      <w:pPr>
        <w:pStyle w:val="FootnoteText"/>
        <w:rPr>
          <w:lang w:val="en-US"/>
        </w:rPr>
      </w:pPr>
      <w:r>
        <w:rPr>
          <w:rStyle w:val="FootnoteReference"/>
        </w:rPr>
        <w:footnoteRef/>
      </w:r>
      <w:r>
        <w:t xml:space="preserve"> </w:t>
      </w:r>
      <w:r w:rsidR="005D6A0C">
        <w:t>Arthur F. Marotti, ‘Shakespeare, Papal Temporal Power, Resistance Theory, Regicide and Tyrannicide</w:t>
      </w:r>
      <w:r w:rsidR="00EC1730">
        <w:t xml:space="preserve">’, </w:t>
      </w:r>
      <w:r w:rsidR="002E7B77">
        <w:rPr>
          <w:i/>
          <w:iCs/>
        </w:rPr>
        <w:t xml:space="preserve">Reformation, </w:t>
      </w:r>
      <w:r w:rsidR="002E7B77">
        <w:t>28.1 (2023)</w:t>
      </w:r>
      <w:r w:rsidR="0026547F">
        <w:t>, pp. 17-33 (</w:t>
      </w:r>
      <w:r>
        <w:t>p. 18</w:t>
      </w:r>
      <w:r w:rsidR="0026547F">
        <w:t>).</w:t>
      </w:r>
    </w:p>
  </w:footnote>
  <w:footnote w:id="26">
    <w:p w14:paraId="0D89933B" w14:textId="17600106" w:rsidR="00B474D3" w:rsidRPr="00BD437E" w:rsidRDefault="00B474D3" w:rsidP="00B474D3">
      <w:pPr>
        <w:pStyle w:val="FootnoteText"/>
        <w:rPr>
          <w:lang w:val="en-US"/>
        </w:rPr>
      </w:pPr>
      <w:r>
        <w:rPr>
          <w:rStyle w:val="FootnoteReference"/>
        </w:rPr>
        <w:footnoteRef/>
      </w:r>
      <w:r>
        <w:t xml:space="preserve"> </w:t>
      </w:r>
      <w:r w:rsidR="009F2DB1">
        <w:t xml:space="preserve">‘What was King James I’s relationship to religion?’, </w:t>
      </w:r>
      <w:r w:rsidR="00BD437E">
        <w:rPr>
          <w:i/>
          <w:iCs/>
        </w:rPr>
        <w:t xml:space="preserve">Britannica, </w:t>
      </w:r>
      <w:r w:rsidR="00BD437E">
        <w:t>February 10</w:t>
      </w:r>
      <w:proofErr w:type="gramStart"/>
      <w:r w:rsidR="00BD437E">
        <w:t xml:space="preserve"> 2025</w:t>
      </w:r>
      <w:proofErr w:type="gramEnd"/>
      <w:r w:rsidR="00BD437E">
        <w:t xml:space="preserve"> &lt;</w:t>
      </w:r>
      <w:r w:rsidR="00BD437E" w:rsidRPr="00BD437E">
        <w:t>https://www.britannica.com/question/What-was-King-James-Is-relationship-to-religion</w:t>
      </w:r>
      <w:r w:rsidR="00BD437E">
        <w:t xml:space="preserve">&gt; [Accessed </w:t>
      </w:r>
      <w:r w:rsidR="00B85DEC">
        <w:t xml:space="preserve">6 March 2025]. </w:t>
      </w:r>
    </w:p>
  </w:footnote>
  <w:footnote w:id="27">
    <w:p w14:paraId="71E1F8BA" w14:textId="0E8604B6" w:rsidR="00B474D3" w:rsidRPr="00F32E3D" w:rsidRDefault="00B474D3" w:rsidP="00B474D3">
      <w:pPr>
        <w:pStyle w:val="FootnoteText"/>
        <w:rPr>
          <w:lang w:val="en-US"/>
        </w:rPr>
      </w:pPr>
      <w:r>
        <w:rPr>
          <w:rStyle w:val="FootnoteReference"/>
        </w:rPr>
        <w:footnoteRef/>
      </w:r>
      <w:r>
        <w:t xml:space="preserve"> </w:t>
      </w:r>
      <w:r w:rsidR="000D2EEA">
        <w:t xml:space="preserve">Arthur F. Marotti, </w:t>
      </w:r>
      <w:r>
        <w:t>p. 23</w:t>
      </w:r>
      <w:r w:rsidR="000D2EEA">
        <w:t>.</w:t>
      </w:r>
    </w:p>
  </w:footnote>
  <w:footnote w:id="28">
    <w:p w14:paraId="050FDD8D" w14:textId="21461FC5" w:rsidR="00B474D3" w:rsidRPr="0046245C" w:rsidRDefault="00B474D3" w:rsidP="00B474D3">
      <w:pPr>
        <w:pStyle w:val="FootnoteText"/>
        <w:rPr>
          <w:lang w:val="en-US"/>
        </w:rPr>
      </w:pPr>
      <w:r>
        <w:rPr>
          <w:rStyle w:val="FootnoteReference"/>
        </w:rPr>
        <w:footnoteRef/>
      </w:r>
      <w:r>
        <w:t xml:space="preserve"> </w:t>
      </w:r>
      <w:r w:rsidR="000D2EEA">
        <w:rPr>
          <w:i/>
          <w:iCs/>
          <w:lang w:val="en-US"/>
        </w:rPr>
        <w:t xml:space="preserve">The Tempest, </w:t>
      </w:r>
      <w:r w:rsidR="000D2EEA">
        <w:rPr>
          <w:lang w:val="en-US"/>
        </w:rPr>
        <w:t xml:space="preserve">ii. 1. </w:t>
      </w:r>
      <w:r w:rsidR="00332D43">
        <w:rPr>
          <w:lang w:val="en-US"/>
        </w:rPr>
        <w:t>318-319.</w:t>
      </w:r>
    </w:p>
  </w:footnote>
  <w:footnote w:id="29">
    <w:p w14:paraId="4CB325F1" w14:textId="2429C980" w:rsidR="00B474D3" w:rsidRPr="00F8536B" w:rsidRDefault="00B474D3" w:rsidP="00B474D3">
      <w:pPr>
        <w:pStyle w:val="FootnoteText"/>
      </w:pPr>
      <w:r>
        <w:rPr>
          <w:rStyle w:val="FootnoteReference"/>
        </w:rPr>
        <w:footnoteRef/>
      </w:r>
      <w:r>
        <w:t xml:space="preserve"> </w:t>
      </w:r>
      <w:r w:rsidR="00AD15AD">
        <w:t xml:space="preserve">Richard Serjeantson, ‘Preaching </w:t>
      </w:r>
      <w:r w:rsidR="0009317F">
        <w:t xml:space="preserve">Regicide in Jacobean England: John Knight and David </w:t>
      </w:r>
      <w:proofErr w:type="spellStart"/>
      <w:r w:rsidR="0009317F">
        <w:t>Pareus</w:t>
      </w:r>
      <w:proofErr w:type="spellEnd"/>
      <w:r w:rsidR="0009317F">
        <w:t xml:space="preserve">’, </w:t>
      </w:r>
      <w:r w:rsidR="0009317F">
        <w:rPr>
          <w:i/>
          <w:iCs/>
        </w:rPr>
        <w:t>The English Historical Review</w:t>
      </w:r>
      <w:r w:rsidR="00F8536B">
        <w:rPr>
          <w:i/>
          <w:iCs/>
        </w:rPr>
        <w:t xml:space="preserve">, </w:t>
      </w:r>
      <w:r w:rsidR="00F8536B">
        <w:t>134.568 (2019), pp. 553-588.</w:t>
      </w:r>
    </w:p>
  </w:footnote>
  <w:footnote w:id="30">
    <w:p w14:paraId="0FC35F7A" w14:textId="126BF40D" w:rsidR="00B474D3" w:rsidRDefault="00B474D3" w:rsidP="00B474D3">
      <w:pPr>
        <w:pStyle w:val="FootnoteText"/>
      </w:pPr>
      <w:r>
        <w:rPr>
          <w:rStyle w:val="FootnoteReference"/>
        </w:rPr>
        <w:footnoteRef/>
      </w:r>
      <w:r>
        <w:t xml:space="preserve"> </w:t>
      </w:r>
      <w:r w:rsidR="00BD49E0">
        <w:t>‘Gunpowder Plot’, History, November 9</w:t>
      </w:r>
      <w:proofErr w:type="gramStart"/>
      <w:r w:rsidR="00BD49E0">
        <w:t xml:space="preserve"> 2009</w:t>
      </w:r>
      <w:proofErr w:type="gramEnd"/>
      <w:r w:rsidR="00166F46">
        <w:t xml:space="preserve"> &lt;</w:t>
      </w:r>
      <w:r w:rsidR="00166F46" w:rsidRPr="00166F46">
        <w:t>https://www.history.com/topics/european-history/gunpowder-plot</w:t>
      </w:r>
      <w:r w:rsidR="00166F46">
        <w:t xml:space="preserve">&gt; [Accessed 10 March 2025]. </w:t>
      </w:r>
    </w:p>
  </w:footnote>
  <w:footnote w:id="31">
    <w:p w14:paraId="55328564" w14:textId="1B461DCB" w:rsidR="00B474D3" w:rsidRDefault="00B474D3" w:rsidP="00B474D3">
      <w:pPr>
        <w:pStyle w:val="FootnoteText"/>
      </w:pPr>
      <w:r>
        <w:rPr>
          <w:rStyle w:val="FootnoteReference"/>
        </w:rPr>
        <w:footnoteRef/>
      </w:r>
      <w:r>
        <w:t xml:space="preserve"> </w:t>
      </w:r>
      <w:r w:rsidR="00F114C4">
        <w:t>Theo</w:t>
      </w:r>
      <w:r w:rsidR="009668BB">
        <w:t xml:space="preserve">dor Meron, ‘Crimes and Accountability in Shakespeare’, </w:t>
      </w:r>
      <w:r w:rsidR="009668BB">
        <w:rPr>
          <w:i/>
          <w:iCs/>
        </w:rPr>
        <w:t xml:space="preserve">The American Journal of International Law, </w:t>
      </w:r>
      <w:r w:rsidR="00B103AD">
        <w:t>92.1 (1998), pp. 1-40 (</w:t>
      </w:r>
      <w:r>
        <w:t>p. 4</w:t>
      </w:r>
      <w:r w:rsidR="00B103AD">
        <w:t>).</w:t>
      </w:r>
    </w:p>
  </w:footnote>
  <w:footnote w:id="32">
    <w:p w14:paraId="0E341E67" w14:textId="7C893E52" w:rsidR="00B474D3" w:rsidRDefault="00B474D3" w:rsidP="00B474D3">
      <w:pPr>
        <w:pStyle w:val="FootnoteText"/>
      </w:pPr>
      <w:r>
        <w:rPr>
          <w:rStyle w:val="FootnoteReference"/>
        </w:rPr>
        <w:footnoteRef/>
      </w:r>
      <w:r>
        <w:t xml:space="preserve"> </w:t>
      </w:r>
      <w:r w:rsidR="00FD6368">
        <w:rPr>
          <w:i/>
          <w:iCs/>
        </w:rPr>
        <w:t>The Tempest</w:t>
      </w:r>
      <w:r>
        <w:t>,</w:t>
      </w:r>
      <w:r w:rsidR="00FD6368">
        <w:t xml:space="preserve"> </w:t>
      </w:r>
      <w:r w:rsidR="00100622">
        <w:t>v</w:t>
      </w:r>
      <w:r w:rsidR="00FD6368">
        <w:t xml:space="preserve">. 1. </w:t>
      </w:r>
      <w:r w:rsidR="00913B72">
        <w:t>128.</w:t>
      </w:r>
    </w:p>
  </w:footnote>
  <w:footnote w:id="33">
    <w:p w14:paraId="007F1D6E" w14:textId="6B194F23" w:rsidR="00B474D3" w:rsidRDefault="00B474D3" w:rsidP="00B474D3">
      <w:pPr>
        <w:pStyle w:val="FootnoteText"/>
      </w:pPr>
      <w:r>
        <w:rPr>
          <w:rStyle w:val="FootnoteReference"/>
        </w:rPr>
        <w:footnoteRef/>
      </w:r>
      <w:r>
        <w:t xml:space="preserve"> </w:t>
      </w:r>
      <w:r w:rsidR="006B4AA5">
        <w:rPr>
          <w:i/>
          <w:iCs/>
        </w:rPr>
        <w:t xml:space="preserve">The </w:t>
      </w:r>
      <w:r w:rsidR="006B4AA5" w:rsidRPr="00AB71B5">
        <w:rPr>
          <w:i/>
          <w:iCs/>
          <w:lang w:val="en-US"/>
        </w:rPr>
        <w:t>Norton Anthology</w:t>
      </w:r>
      <w:r w:rsidR="006B4AA5">
        <w:rPr>
          <w:lang w:val="en-US"/>
        </w:rPr>
        <w:t xml:space="preserve"> </w:t>
      </w:r>
      <w:r w:rsidR="006B4AA5">
        <w:rPr>
          <w:i/>
          <w:iCs/>
          <w:lang w:val="en-US"/>
        </w:rPr>
        <w:t>of English Literature: The Sixteenth Century and Early Seventeenth Century</w:t>
      </w:r>
      <w:r w:rsidR="006B4AA5">
        <w:rPr>
          <w:i/>
          <w:iCs/>
          <w:lang w:val="en-US"/>
        </w:rPr>
        <w:t xml:space="preserve">, </w:t>
      </w:r>
      <w:r w:rsidR="006B4AA5">
        <w:rPr>
          <w:lang w:val="en-US"/>
        </w:rPr>
        <w:t>p. 721</w:t>
      </w:r>
      <w:r>
        <w:t xml:space="preserve">; </w:t>
      </w:r>
      <w:r w:rsidR="006B4AA5">
        <w:rPr>
          <w:i/>
          <w:iCs/>
        </w:rPr>
        <w:t xml:space="preserve">The Tempest, </w:t>
      </w:r>
      <w:r w:rsidR="006B4AA5">
        <w:t xml:space="preserve">ii. 1. </w:t>
      </w:r>
    </w:p>
  </w:footnote>
  <w:footnote w:id="34">
    <w:p w14:paraId="2798A76E" w14:textId="43CAFAF3" w:rsidR="00B474D3" w:rsidRDefault="00B474D3" w:rsidP="00B474D3">
      <w:pPr>
        <w:pStyle w:val="FootnoteText"/>
      </w:pPr>
      <w:r>
        <w:rPr>
          <w:rStyle w:val="FootnoteReference"/>
        </w:rPr>
        <w:footnoteRef/>
      </w:r>
      <w:r>
        <w:t xml:space="preserve"> </w:t>
      </w:r>
      <w:r w:rsidR="00265493">
        <w:rPr>
          <w:i/>
          <w:iCs/>
        </w:rPr>
        <w:t xml:space="preserve">The Tempest, </w:t>
      </w:r>
      <w:r w:rsidR="00265493">
        <w:t>ii. 1.</w:t>
      </w:r>
      <w:r w:rsidR="00265493">
        <w:t xml:space="preserve"> </w:t>
      </w:r>
      <w:r w:rsidR="003743DD">
        <w:t>117-118.</w:t>
      </w:r>
    </w:p>
  </w:footnote>
  <w:footnote w:id="35">
    <w:p w14:paraId="265BEFB8" w14:textId="482CBEA4" w:rsidR="00B474D3" w:rsidRPr="00FD7DDB" w:rsidRDefault="00B474D3" w:rsidP="00B474D3">
      <w:pPr>
        <w:pStyle w:val="FootnoteText"/>
        <w:rPr>
          <w:lang w:val="en-US"/>
        </w:rPr>
      </w:pPr>
      <w:r>
        <w:rPr>
          <w:rStyle w:val="FootnoteReference"/>
        </w:rPr>
        <w:footnoteRef/>
      </w:r>
      <w:r>
        <w:t xml:space="preserve"> </w:t>
      </w:r>
      <w:r w:rsidR="003743DD">
        <w:t xml:space="preserve">Goran </w:t>
      </w:r>
      <w:proofErr w:type="spellStart"/>
      <w:r w:rsidR="003743DD">
        <w:t>Stanivu</w:t>
      </w:r>
      <w:r w:rsidR="00C47065">
        <w:t>kovic</w:t>
      </w:r>
      <w:proofErr w:type="spellEnd"/>
      <w:r w:rsidR="00C47065">
        <w:t xml:space="preserve">, ‘The Tempest and the Discontents of Humanism’, </w:t>
      </w:r>
      <w:r w:rsidR="00C47065">
        <w:rPr>
          <w:i/>
          <w:iCs/>
        </w:rPr>
        <w:t>Phil</w:t>
      </w:r>
      <w:r w:rsidR="0045194D">
        <w:rPr>
          <w:i/>
          <w:iCs/>
        </w:rPr>
        <w:t xml:space="preserve">ological Quarterly, </w:t>
      </w:r>
      <w:r w:rsidR="0045194D">
        <w:t>85.1/2 (2006)</w:t>
      </w:r>
      <w:r w:rsidR="00FD4536">
        <w:t>, pp. 91-119 (</w:t>
      </w:r>
      <w:r>
        <w:t>p. 91</w:t>
      </w:r>
      <w:r w:rsidR="00FD4536">
        <w:t>).</w:t>
      </w:r>
    </w:p>
  </w:footnote>
  <w:footnote w:id="36">
    <w:p w14:paraId="30083322" w14:textId="0728ACE3" w:rsidR="00B474D3" w:rsidRPr="00EF4164" w:rsidRDefault="00B474D3" w:rsidP="00B474D3">
      <w:pPr>
        <w:pStyle w:val="FootnoteText"/>
        <w:rPr>
          <w:lang w:val="en-US"/>
        </w:rPr>
      </w:pPr>
      <w:r>
        <w:rPr>
          <w:rStyle w:val="FootnoteReference"/>
        </w:rPr>
        <w:footnoteRef/>
      </w:r>
      <w:r>
        <w:t xml:space="preserve"> </w:t>
      </w:r>
      <w:r>
        <w:rPr>
          <w:lang w:val="en-US"/>
        </w:rPr>
        <w:t>Ibid, p. 9</w:t>
      </w:r>
      <w:r w:rsidR="004216D9">
        <w:rPr>
          <w:lang w:val="en-US"/>
        </w:rPr>
        <w:t>1.</w:t>
      </w:r>
    </w:p>
  </w:footnote>
  <w:footnote w:id="37">
    <w:p w14:paraId="459E73E8" w14:textId="6CC0D9F8" w:rsidR="00B474D3" w:rsidRPr="00C33414" w:rsidRDefault="00B474D3" w:rsidP="00B474D3">
      <w:pPr>
        <w:pStyle w:val="FootnoteText"/>
        <w:rPr>
          <w:lang w:val="en-US"/>
        </w:rPr>
      </w:pPr>
      <w:r>
        <w:rPr>
          <w:rStyle w:val="FootnoteReference"/>
        </w:rPr>
        <w:footnoteRef/>
      </w:r>
      <w:r>
        <w:t xml:space="preserve"> </w:t>
      </w:r>
      <w:r w:rsidR="00C33414">
        <w:rPr>
          <w:i/>
          <w:iCs/>
        </w:rPr>
        <w:t xml:space="preserve">The Tempest, </w:t>
      </w:r>
      <w:r w:rsidR="00C33414">
        <w:t xml:space="preserve">ii. 1. </w:t>
      </w:r>
      <w:r w:rsidR="00BA3479">
        <w:t>162-180.</w:t>
      </w:r>
    </w:p>
  </w:footnote>
  <w:footnote w:id="38">
    <w:p w14:paraId="6AD17796" w14:textId="74FA3E17" w:rsidR="00B474D3" w:rsidRDefault="00B474D3" w:rsidP="00B474D3">
      <w:pPr>
        <w:pStyle w:val="FootnoteText"/>
      </w:pPr>
      <w:r>
        <w:rPr>
          <w:rStyle w:val="FootnoteReference"/>
        </w:rPr>
        <w:footnoteRef/>
      </w:r>
      <w:r>
        <w:t xml:space="preserve"> </w:t>
      </w:r>
      <w:r w:rsidR="00A12230">
        <w:t>Lawrence E. Bowling</w:t>
      </w:r>
      <w:r w:rsidR="002B1D06">
        <w:t xml:space="preserve">, p. 204. </w:t>
      </w:r>
    </w:p>
  </w:footnote>
  <w:footnote w:id="39">
    <w:p w14:paraId="00E5B805" w14:textId="377CC369" w:rsidR="00B474D3" w:rsidRPr="003F51DA" w:rsidRDefault="00B474D3" w:rsidP="00B474D3">
      <w:pPr>
        <w:pStyle w:val="FootnoteText"/>
        <w:rPr>
          <w:lang w:val="en-US"/>
        </w:rPr>
      </w:pPr>
      <w:r>
        <w:rPr>
          <w:rStyle w:val="FootnoteReference"/>
        </w:rPr>
        <w:footnoteRef/>
      </w:r>
      <w:r>
        <w:t xml:space="preserve"> </w:t>
      </w:r>
      <w:r>
        <w:rPr>
          <w:lang w:val="en-US"/>
        </w:rPr>
        <w:t>Ibid</w:t>
      </w:r>
      <w:r w:rsidR="002B1D06">
        <w:rPr>
          <w:lang w:val="en-US"/>
        </w:rPr>
        <w:t>.</w:t>
      </w:r>
    </w:p>
  </w:footnote>
  <w:footnote w:id="40">
    <w:p w14:paraId="07D15B7B" w14:textId="6D6A1746" w:rsidR="00B474D3" w:rsidRPr="001D36C8" w:rsidRDefault="00B474D3" w:rsidP="00B474D3">
      <w:pPr>
        <w:pStyle w:val="FootnoteText"/>
        <w:rPr>
          <w:b/>
          <w:bCs/>
        </w:rPr>
      </w:pPr>
      <w:r>
        <w:rPr>
          <w:rStyle w:val="FootnoteReference"/>
        </w:rPr>
        <w:footnoteRef/>
      </w:r>
      <w:r>
        <w:t xml:space="preserve"> </w:t>
      </w:r>
      <w:r w:rsidR="00F95B28" w:rsidRPr="00A8625C">
        <w:rPr>
          <w:i/>
          <w:iCs/>
        </w:rPr>
        <w:t>Essays of Montaigne</w:t>
      </w:r>
      <w:r w:rsidR="00F95B28">
        <w:rPr>
          <w:i/>
          <w:iCs/>
        </w:rPr>
        <w:t xml:space="preserve">, </w:t>
      </w:r>
      <w:r w:rsidR="001D36C8">
        <w:t xml:space="preserve">p. 4. </w:t>
      </w:r>
    </w:p>
  </w:footnote>
  <w:footnote w:id="41">
    <w:p w14:paraId="05AF31FD" w14:textId="48EFBFB6" w:rsidR="00B474D3" w:rsidRDefault="00B474D3" w:rsidP="00B474D3">
      <w:pPr>
        <w:pStyle w:val="FootnoteText"/>
      </w:pPr>
      <w:r>
        <w:rPr>
          <w:rStyle w:val="FootnoteReference"/>
        </w:rPr>
        <w:footnoteRef/>
      </w:r>
      <w:r>
        <w:t xml:space="preserve"> </w:t>
      </w:r>
      <w:r w:rsidR="00E813C8">
        <w:t>Lawrence E. Bowling, p. 204.</w:t>
      </w:r>
    </w:p>
  </w:footnote>
  <w:footnote w:id="42">
    <w:p w14:paraId="2D1D6DA6" w14:textId="16E6B3D5" w:rsidR="00B474D3" w:rsidRDefault="00B474D3" w:rsidP="00B474D3">
      <w:pPr>
        <w:pStyle w:val="FootnoteText"/>
      </w:pPr>
      <w:r>
        <w:rPr>
          <w:rStyle w:val="FootnoteReference"/>
        </w:rPr>
        <w:footnoteRef/>
      </w:r>
      <w:r>
        <w:t xml:space="preserve"> </w:t>
      </w:r>
      <w:r w:rsidR="00E813C8">
        <w:rPr>
          <w:i/>
          <w:iCs/>
        </w:rPr>
        <w:t xml:space="preserve">The Tempest, </w:t>
      </w:r>
      <w:proofErr w:type="spellStart"/>
      <w:r w:rsidR="00E813C8">
        <w:t>i</w:t>
      </w:r>
      <w:proofErr w:type="spellEnd"/>
      <w:r w:rsidR="00702134">
        <w:t xml:space="preserve">. 2. </w:t>
      </w:r>
      <w:r w:rsidR="00153DC1">
        <w:t>1-</w:t>
      </w:r>
      <w:r w:rsidR="009833A2">
        <w:t>347.</w:t>
      </w:r>
    </w:p>
  </w:footnote>
  <w:footnote w:id="43">
    <w:p w14:paraId="5D043402" w14:textId="364C9E01" w:rsidR="00B474D3" w:rsidRDefault="00B474D3" w:rsidP="00B474D3">
      <w:pPr>
        <w:pStyle w:val="FootnoteText"/>
      </w:pPr>
      <w:r>
        <w:rPr>
          <w:rStyle w:val="FootnoteReference"/>
        </w:rPr>
        <w:footnoteRef/>
      </w:r>
      <w:r>
        <w:t xml:space="preserve"> </w:t>
      </w:r>
      <w:r w:rsidR="009833A2" w:rsidRPr="00A8625C">
        <w:rPr>
          <w:i/>
          <w:iCs/>
        </w:rPr>
        <w:t>Essays of Montaigne</w:t>
      </w:r>
      <w:r w:rsidR="009833A2">
        <w:rPr>
          <w:i/>
          <w:iCs/>
        </w:rPr>
        <w:t xml:space="preserve">, </w:t>
      </w:r>
      <w:r w:rsidR="009833A2">
        <w:t>p. 4.</w:t>
      </w:r>
    </w:p>
  </w:footnote>
  <w:footnote w:id="44">
    <w:p w14:paraId="054C29DA" w14:textId="007DD042" w:rsidR="00B474D3" w:rsidRDefault="00B474D3" w:rsidP="00B474D3">
      <w:pPr>
        <w:pStyle w:val="FootnoteText"/>
      </w:pPr>
      <w:r>
        <w:rPr>
          <w:rStyle w:val="FootnoteReference"/>
        </w:rPr>
        <w:footnoteRef/>
      </w:r>
      <w:r>
        <w:t xml:space="preserve"> </w:t>
      </w:r>
      <w:r w:rsidR="009833A2">
        <w:rPr>
          <w:i/>
          <w:iCs/>
        </w:rPr>
        <w:t xml:space="preserve">The Tempest, </w:t>
      </w:r>
      <w:proofErr w:type="spellStart"/>
      <w:r w:rsidR="009833A2">
        <w:t>i</w:t>
      </w:r>
      <w:proofErr w:type="spellEnd"/>
      <w:r w:rsidR="009833A2">
        <w:t>. 2.</w:t>
      </w:r>
      <w:r w:rsidR="009833A2">
        <w:t xml:space="preserve"> </w:t>
      </w:r>
      <w:r w:rsidR="00E145B7">
        <w:t>326.</w:t>
      </w:r>
    </w:p>
  </w:footnote>
  <w:footnote w:id="45">
    <w:p w14:paraId="456874DF" w14:textId="31A7B81D" w:rsidR="003254BA" w:rsidRDefault="003254BA">
      <w:pPr>
        <w:pStyle w:val="FootnoteText"/>
      </w:pPr>
      <w:r>
        <w:rPr>
          <w:rStyle w:val="FootnoteReference"/>
        </w:rPr>
        <w:footnoteRef/>
      </w:r>
      <w:r>
        <w:t xml:space="preserve"> </w:t>
      </w:r>
      <w:r w:rsidR="00E145B7">
        <w:rPr>
          <w:i/>
          <w:iCs/>
        </w:rPr>
        <w:t xml:space="preserve">The Tempest, </w:t>
      </w:r>
      <w:r w:rsidR="00E145B7">
        <w:t xml:space="preserve">iii. 2. </w:t>
      </w:r>
      <w:r w:rsidR="006D7D9E">
        <w:t>148-156.</w:t>
      </w:r>
    </w:p>
  </w:footnote>
  <w:footnote w:id="46">
    <w:p w14:paraId="55EE4864" w14:textId="7C9C1C26" w:rsidR="00B474D3" w:rsidRDefault="00B474D3" w:rsidP="00B474D3">
      <w:pPr>
        <w:pStyle w:val="FootnoteText"/>
      </w:pPr>
      <w:r>
        <w:rPr>
          <w:rStyle w:val="FootnoteReference"/>
        </w:rPr>
        <w:footnoteRef/>
      </w:r>
      <w:r>
        <w:t xml:space="preserve"> </w:t>
      </w:r>
      <w:r w:rsidR="0091295B">
        <w:t>Meredith Anne Skura, ‘Discourse and the Individual: The Case of Colonialism in “The Tempest”</w:t>
      </w:r>
      <w:r w:rsidR="00C63287">
        <w:t xml:space="preserve">’, </w:t>
      </w:r>
      <w:r w:rsidR="00C63287">
        <w:rPr>
          <w:i/>
          <w:iCs/>
        </w:rPr>
        <w:t xml:space="preserve">Shakespeare Quarterly, </w:t>
      </w:r>
      <w:r w:rsidR="00C63287">
        <w:t>40.1 (1989), pp. 42-69 (</w:t>
      </w:r>
      <w:r>
        <w:t>p. 44</w:t>
      </w:r>
      <w:r w:rsidR="00C63287">
        <w:t>).</w:t>
      </w:r>
    </w:p>
  </w:footnote>
  <w:footnote w:id="47">
    <w:p w14:paraId="315C0703" w14:textId="35514CF6" w:rsidR="00B474D3" w:rsidRDefault="00B474D3" w:rsidP="00B474D3">
      <w:pPr>
        <w:pStyle w:val="FootnoteText"/>
      </w:pPr>
      <w:r>
        <w:rPr>
          <w:rStyle w:val="FootnoteReference"/>
        </w:rPr>
        <w:footnoteRef/>
      </w:r>
      <w:r>
        <w:t xml:space="preserve"> </w:t>
      </w:r>
      <w:r w:rsidR="00521BB6">
        <w:rPr>
          <w:i/>
          <w:iCs/>
        </w:rPr>
        <w:t xml:space="preserve">The Tempest, </w:t>
      </w:r>
      <w:proofErr w:type="spellStart"/>
      <w:r w:rsidR="00521BB6">
        <w:t>i</w:t>
      </w:r>
      <w:proofErr w:type="spellEnd"/>
      <w:r w:rsidR="00521BB6">
        <w:t xml:space="preserve">. 2. </w:t>
      </w:r>
      <w:r w:rsidR="00EF0AB5">
        <w:t>383</w:t>
      </w:r>
      <w:r w:rsidR="00C50572">
        <w:t>-412.</w:t>
      </w:r>
    </w:p>
  </w:footnote>
  <w:footnote w:id="48">
    <w:p w14:paraId="3285BA09" w14:textId="6E58D84C" w:rsidR="00B474D3" w:rsidRDefault="00B474D3" w:rsidP="00B474D3">
      <w:pPr>
        <w:pStyle w:val="FootnoteText"/>
      </w:pPr>
      <w:r>
        <w:rPr>
          <w:rStyle w:val="FootnoteReference"/>
        </w:rPr>
        <w:footnoteRef/>
      </w:r>
      <w:r>
        <w:t xml:space="preserve"> </w:t>
      </w:r>
      <w:r w:rsidR="00A5026E">
        <w:rPr>
          <w:i/>
          <w:iCs/>
        </w:rPr>
        <w:t xml:space="preserve">The Tempest, </w:t>
      </w:r>
      <w:proofErr w:type="spellStart"/>
      <w:r w:rsidR="00A5026E">
        <w:t>i</w:t>
      </w:r>
      <w:proofErr w:type="spellEnd"/>
      <w:r w:rsidR="00A5026E">
        <w:t>. 2.</w:t>
      </w:r>
      <w:r w:rsidR="00A5026E">
        <w:t xml:space="preserve"> </w:t>
      </w:r>
      <w:r w:rsidR="00EF0AB5">
        <w:t>212.</w:t>
      </w:r>
    </w:p>
  </w:footnote>
  <w:footnote w:id="49">
    <w:p w14:paraId="4F3EAABC" w14:textId="45133F0A" w:rsidR="00B474D3" w:rsidRDefault="00B474D3" w:rsidP="00B474D3">
      <w:pPr>
        <w:pStyle w:val="FootnoteText"/>
      </w:pPr>
      <w:r>
        <w:rPr>
          <w:rStyle w:val="FootnoteReference"/>
        </w:rPr>
        <w:footnoteRef/>
      </w:r>
      <w:r>
        <w:t xml:space="preserve"> </w:t>
      </w:r>
      <w:r w:rsidR="00C50572">
        <w:rPr>
          <w:i/>
          <w:iCs/>
        </w:rPr>
        <w:t xml:space="preserve">The Tempest, </w:t>
      </w:r>
      <w:r w:rsidR="00100622">
        <w:t xml:space="preserve">v. 1. </w:t>
      </w:r>
      <w:r w:rsidR="00E3721B">
        <w:t>42.</w:t>
      </w:r>
    </w:p>
  </w:footnote>
  <w:footnote w:id="50">
    <w:p w14:paraId="3228C25E" w14:textId="372B6506" w:rsidR="00B474D3" w:rsidRDefault="00B474D3" w:rsidP="00B474D3">
      <w:pPr>
        <w:pStyle w:val="FootnoteText"/>
      </w:pPr>
      <w:r>
        <w:rPr>
          <w:rStyle w:val="FootnoteReference"/>
        </w:rPr>
        <w:footnoteRef/>
      </w:r>
      <w:r>
        <w:t xml:space="preserve"> </w:t>
      </w:r>
      <w:r w:rsidR="00E3721B" w:rsidRPr="00A8625C">
        <w:rPr>
          <w:i/>
          <w:iCs/>
        </w:rPr>
        <w:t>Essays of Montaigne</w:t>
      </w:r>
      <w:r w:rsidR="00E3721B">
        <w:rPr>
          <w:i/>
          <w:iCs/>
        </w:rPr>
        <w:t xml:space="preserve">, </w:t>
      </w:r>
      <w:r w:rsidR="00E3721B">
        <w:t>p. 4.</w:t>
      </w:r>
    </w:p>
  </w:footnote>
  <w:footnote w:id="51">
    <w:p w14:paraId="2969B021" w14:textId="02833C7C" w:rsidR="00B474D3" w:rsidRDefault="00B474D3">
      <w:pPr>
        <w:pStyle w:val="FootnoteText"/>
      </w:pPr>
      <w:r>
        <w:rPr>
          <w:rStyle w:val="FootnoteReference"/>
        </w:rPr>
        <w:footnoteRef/>
      </w:r>
      <w:r>
        <w:t xml:space="preserve"> </w:t>
      </w:r>
      <w:r w:rsidR="00400CEC">
        <w:t xml:space="preserve">Ellen Pearl N. </w:t>
      </w:r>
      <w:proofErr w:type="spellStart"/>
      <w:r w:rsidR="00400CEC">
        <w:t>Lagunzad</w:t>
      </w:r>
      <w:proofErr w:type="spellEnd"/>
      <w:r w:rsidR="00400CEC">
        <w:t>, ‘Humanism’, SCRIBD, n.d. &lt;</w:t>
      </w:r>
      <w:r w:rsidR="00400CEC" w:rsidRPr="007265A7">
        <w:t>https://www.scribd.com/document/367223689/Humanism</w:t>
      </w:r>
      <w:r w:rsidR="00400CEC">
        <w:t>&gt; [Accessed 01 March 2025]</w:t>
      </w:r>
      <w:r>
        <w:t xml:space="preserve">; </w:t>
      </w:r>
      <w:r w:rsidR="00400CEC">
        <w:rPr>
          <w:i/>
          <w:iCs/>
        </w:rPr>
        <w:t xml:space="preserve">The </w:t>
      </w:r>
      <w:r w:rsidR="00400CEC" w:rsidRPr="00AB71B5">
        <w:rPr>
          <w:i/>
          <w:iCs/>
          <w:lang w:val="en-US"/>
        </w:rPr>
        <w:t>Norton Anthology</w:t>
      </w:r>
      <w:r w:rsidR="00400CEC">
        <w:rPr>
          <w:lang w:val="en-US"/>
        </w:rPr>
        <w:t xml:space="preserve"> </w:t>
      </w:r>
      <w:r w:rsidR="00400CEC">
        <w:rPr>
          <w:i/>
          <w:iCs/>
          <w:lang w:val="en-US"/>
        </w:rPr>
        <w:t xml:space="preserve">of English Literature: The Sixteenth Century and Early Seventeenth Century, </w:t>
      </w:r>
      <w:r w:rsidR="00400CEC">
        <w:rPr>
          <w:lang w:val="en-US"/>
        </w:rPr>
        <w:t>p. 721</w:t>
      </w:r>
      <w:r w:rsidR="00400CEC">
        <w:rPr>
          <w:lang w:val="en-US"/>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4D3"/>
    <w:rsid w:val="00010C63"/>
    <w:rsid w:val="00025E6F"/>
    <w:rsid w:val="000450D0"/>
    <w:rsid w:val="000617B5"/>
    <w:rsid w:val="0009267E"/>
    <w:rsid w:val="0009317F"/>
    <w:rsid w:val="000A0837"/>
    <w:rsid w:val="000A3949"/>
    <w:rsid w:val="000B2232"/>
    <w:rsid w:val="000B426C"/>
    <w:rsid w:val="000D2EEA"/>
    <w:rsid w:val="000D2F92"/>
    <w:rsid w:val="000E6E15"/>
    <w:rsid w:val="00100622"/>
    <w:rsid w:val="0010213E"/>
    <w:rsid w:val="0014095E"/>
    <w:rsid w:val="00153DC1"/>
    <w:rsid w:val="00155B29"/>
    <w:rsid w:val="00156F20"/>
    <w:rsid w:val="00166F46"/>
    <w:rsid w:val="00194CEF"/>
    <w:rsid w:val="001D36C8"/>
    <w:rsid w:val="001E4867"/>
    <w:rsid w:val="002158E2"/>
    <w:rsid w:val="00224455"/>
    <w:rsid w:val="002300E5"/>
    <w:rsid w:val="00236519"/>
    <w:rsid w:val="0026547F"/>
    <w:rsid w:val="00265493"/>
    <w:rsid w:val="002655FA"/>
    <w:rsid w:val="002B1D06"/>
    <w:rsid w:val="002B74F4"/>
    <w:rsid w:val="002D5981"/>
    <w:rsid w:val="002E7B77"/>
    <w:rsid w:val="00300EB4"/>
    <w:rsid w:val="003254BA"/>
    <w:rsid w:val="00332D43"/>
    <w:rsid w:val="0034043A"/>
    <w:rsid w:val="003743DD"/>
    <w:rsid w:val="003752CF"/>
    <w:rsid w:val="00394D42"/>
    <w:rsid w:val="003A7940"/>
    <w:rsid w:val="003C2763"/>
    <w:rsid w:val="003D740E"/>
    <w:rsid w:val="003F0A24"/>
    <w:rsid w:val="00400CEC"/>
    <w:rsid w:val="00401578"/>
    <w:rsid w:val="0040388C"/>
    <w:rsid w:val="004216D9"/>
    <w:rsid w:val="0043129C"/>
    <w:rsid w:val="00436C15"/>
    <w:rsid w:val="0045194D"/>
    <w:rsid w:val="0046380B"/>
    <w:rsid w:val="00466A2D"/>
    <w:rsid w:val="00476595"/>
    <w:rsid w:val="0049558F"/>
    <w:rsid w:val="004B16E2"/>
    <w:rsid w:val="004C2F77"/>
    <w:rsid w:val="004D2ADC"/>
    <w:rsid w:val="004D6539"/>
    <w:rsid w:val="004D792E"/>
    <w:rsid w:val="004E2DE3"/>
    <w:rsid w:val="004F67DC"/>
    <w:rsid w:val="005132A8"/>
    <w:rsid w:val="00521BB6"/>
    <w:rsid w:val="00523B3D"/>
    <w:rsid w:val="005312BE"/>
    <w:rsid w:val="005339A2"/>
    <w:rsid w:val="00543C28"/>
    <w:rsid w:val="0056501F"/>
    <w:rsid w:val="00572318"/>
    <w:rsid w:val="00577B1D"/>
    <w:rsid w:val="00597AD9"/>
    <w:rsid w:val="005A628F"/>
    <w:rsid w:val="005B777C"/>
    <w:rsid w:val="005C0212"/>
    <w:rsid w:val="005C1604"/>
    <w:rsid w:val="005D6A0C"/>
    <w:rsid w:val="005F21A3"/>
    <w:rsid w:val="005F4087"/>
    <w:rsid w:val="006461D1"/>
    <w:rsid w:val="006B201B"/>
    <w:rsid w:val="006B4AA5"/>
    <w:rsid w:val="006C013E"/>
    <w:rsid w:val="006D5815"/>
    <w:rsid w:val="006D6AC7"/>
    <w:rsid w:val="006D7D9E"/>
    <w:rsid w:val="006E18CE"/>
    <w:rsid w:val="006F4124"/>
    <w:rsid w:val="00702134"/>
    <w:rsid w:val="007265A7"/>
    <w:rsid w:val="00733002"/>
    <w:rsid w:val="00735C50"/>
    <w:rsid w:val="00753645"/>
    <w:rsid w:val="007551E0"/>
    <w:rsid w:val="007679EA"/>
    <w:rsid w:val="007968E0"/>
    <w:rsid w:val="007A63FF"/>
    <w:rsid w:val="007B4FD1"/>
    <w:rsid w:val="007B60B7"/>
    <w:rsid w:val="007C5844"/>
    <w:rsid w:val="007F3DAA"/>
    <w:rsid w:val="007F79CB"/>
    <w:rsid w:val="00811B46"/>
    <w:rsid w:val="00812881"/>
    <w:rsid w:val="008501BF"/>
    <w:rsid w:val="00884364"/>
    <w:rsid w:val="00885DA7"/>
    <w:rsid w:val="008969E0"/>
    <w:rsid w:val="008A6702"/>
    <w:rsid w:val="008B6F21"/>
    <w:rsid w:val="008C3805"/>
    <w:rsid w:val="0091295B"/>
    <w:rsid w:val="00913B72"/>
    <w:rsid w:val="009147F5"/>
    <w:rsid w:val="00933790"/>
    <w:rsid w:val="00947533"/>
    <w:rsid w:val="0096425B"/>
    <w:rsid w:val="009668BB"/>
    <w:rsid w:val="009833A2"/>
    <w:rsid w:val="009B4D78"/>
    <w:rsid w:val="009E7A1A"/>
    <w:rsid w:val="009F2DB1"/>
    <w:rsid w:val="00A12230"/>
    <w:rsid w:val="00A2201E"/>
    <w:rsid w:val="00A3723F"/>
    <w:rsid w:val="00A4622C"/>
    <w:rsid w:val="00A5026E"/>
    <w:rsid w:val="00A51A71"/>
    <w:rsid w:val="00A54E00"/>
    <w:rsid w:val="00A56C38"/>
    <w:rsid w:val="00A838AA"/>
    <w:rsid w:val="00A8625C"/>
    <w:rsid w:val="00AB71B5"/>
    <w:rsid w:val="00AD15AD"/>
    <w:rsid w:val="00B103AD"/>
    <w:rsid w:val="00B15EDA"/>
    <w:rsid w:val="00B17E83"/>
    <w:rsid w:val="00B474D3"/>
    <w:rsid w:val="00B60BDF"/>
    <w:rsid w:val="00B740E3"/>
    <w:rsid w:val="00B833FF"/>
    <w:rsid w:val="00B85DEC"/>
    <w:rsid w:val="00B85F24"/>
    <w:rsid w:val="00BA3479"/>
    <w:rsid w:val="00BC3AA5"/>
    <w:rsid w:val="00BC4F93"/>
    <w:rsid w:val="00BD437E"/>
    <w:rsid w:val="00BD49E0"/>
    <w:rsid w:val="00C059A3"/>
    <w:rsid w:val="00C233DA"/>
    <w:rsid w:val="00C33414"/>
    <w:rsid w:val="00C433E3"/>
    <w:rsid w:val="00C47065"/>
    <w:rsid w:val="00C474F3"/>
    <w:rsid w:val="00C50572"/>
    <w:rsid w:val="00C63287"/>
    <w:rsid w:val="00CA6926"/>
    <w:rsid w:val="00CD53CF"/>
    <w:rsid w:val="00CE328D"/>
    <w:rsid w:val="00CE6D77"/>
    <w:rsid w:val="00D328B3"/>
    <w:rsid w:val="00D378C2"/>
    <w:rsid w:val="00D56327"/>
    <w:rsid w:val="00D87E14"/>
    <w:rsid w:val="00D942FC"/>
    <w:rsid w:val="00DA0C5B"/>
    <w:rsid w:val="00DD5AC6"/>
    <w:rsid w:val="00DE1063"/>
    <w:rsid w:val="00E026BD"/>
    <w:rsid w:val="00E12398"/>
    <w:rsid w:val="00E13DAE"/>
    <w:rsid w:val="00E145B7"/>
    <w:rsid w:val="00E16BD7"/>
    <w:rsid w:val="00E200A4"/>
    <w:rsid w:val="00E3721B"/>
    <w:rsid w:val="00E46906"/>
    <w:rsid w:val="00E51433"/>
    <w:rsid w:val="00E54653"/>
    <w:rsid w:val="00E66340"/>
    <w:rsid w:val="00E71F49"/>
    <w:rsid w:val="00E813C8"/>
    <w:rsid w:val="00E81E2E"/>
    <w:rsid w:val="00E93FCD"/>
    <w:rsid w:val="00E95E1F"/>
    <w:rsid w:val="00EC1074"/>
    <w:rsid w:val="00EC1730"/>
    <w:rsid w:val="00ED3830"/>
    <w:rsid w:val="00EF0AB5"/>
    <w:rsid w:val="00F05035"/>
    <w:rsid w:val="00F114C4"/>
    <w:rsid w:val="00F1301B"/>
    <w:rsid w:val="00F449AB"/>
    <w:rsid w:val="00F45CF2"/>
    <w:rsid w:val="00F606A7"/>
    <w:rsid w:val="00F64DDB"/>
    <w:rsid w:val="00F75BAD"/>
    <w:rsid w:val="00F80E5F"/>
    <w:rsid w:val="00F83409"/>
    <w:rsid w:val="00F84B62"/>
    <w:rsid w:val="00F8536B"/>
    <w:rsid w:val="00F95B28"/>
    <w:rsid w:val="00FA2BA8"/>
    <w:rsid w:val="00FC1788"/>
    <w:rsid w:val="00FD4536"/>
    <w:rsid w:val="00FD5C2C"/>
    <w:rsid w:val="00FD6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CDBD3E"/>
  <w15:chartTrackingRefBased/>
  <w15:docId w15:val="{671E98F9-B736-4EE7-B176-EDDF325BB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74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74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74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74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74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74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74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74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74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4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74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74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74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74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74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74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74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74D3"/>
    <w:rPr>
      <w:rFonts w:eastAsiaTheme="majorEastAsia" w:cstheme="majorBidi"/>
      <w:color w:val="272727" w:themeColor="text1" w:themeTint="D8"/>
    </w:rPr>
  </w:style>
  <w:style w:type="paragraph" w:styleId="Title">
    <w:name w:val="Title"/>
    <w:basedOn w:val="Normal"/>
    <w:next w:val="Normal"/>
    <w:link w:val="TitleChar"/>
    <w:uiPriority w:val="10"/>
    <w:qFormat/>
    <w:rsid w:val="00B474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74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74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74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74D3"/>
    <w:pPr>
      <w:spacing w:before="160"/>
      <w:jc w:val="center"/>
    </w:pPr>
    <w:rPr>
      <w:i/>
      <w:iCs/>
      <w:color w:val="404040" w:themeColor="text1" w:themeTint="BF"/>
    </w:rPr>
  </w:style>
  <w:style w:type="character" w:customStyle="1" w:styleId="QuoteChar">
    <w:name w:val="Quote Char"/>
    <w:basedOn w:val="DefaultParagraphFont"/>
    <w:link w:val="Quote"/>
    <w:uiPriority w:val="29"/>
    <w:rsid w:val="00B474D3"/>
    <w:rPr>
      <w:i/>
      <w:iCs/>
      <w:color w:val="404040" w:themeColor="text1" w:themeTint="BF"/>
    </w:rPr>
  </w:style>
  <w:style w:type="paragraph" w:styleId="ListParagraph">
    <w:name w:val="List Paragraph"/>
    <w:basedOn w:val="Normal"/>
    <w:uiPriority w:val="34"/>
    <w:qFormat/>
    <w:rsid w:val="00B474D3"/>
    <w:pPr>
      <w:ind w:left="720"/>
      <w:contextualSpacing/>
    </w:pPr>
  </w:style>
  <w:style w:type="character" w:styleId="IntenseEmphasis">
    <w:name w:val="Intense Emphasis"/>
    <w:basedOn w:val="DefaultParagraphFont"/>
    <w:uiPriority w:val="21"/>
    <w:qFormat/>
    <w:rsid w:val="00B474D3"/>
    <w:rPr>
      <w:i/>
      <w:iCs/>
      <w:color w:val="0F4761" w:themeColor="accent1" w:themeShade="BF"/>
    </w:rPr>
  </w:style>
  <w:style w:type="paragraph" w:styleId="IntenseQuote">
    <w:name w:val="Intense Quote"/>
    <w:basedOn w:val="Normal"/>
    <w:next w:val="Normal"/>
    <w:link w:val="IntenseQuoteChar"/>
    <w:uiPriority w:val="30"/>
    <w:qFormat/>
    <w:rsid w:val="00B474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74D3"/>
    <w:rPr>
      <w:i/>
      <w:iCs/>
      <w:color w:val="0F4761" w:themeColor="accent1" w:themeShade="BF"/>
    </w:rPr>
  </w:style>
  <w:style w:type="character" w:styleId="IntenseReference">
    <w:name w:val="Intense Reference"/>
    <w:basedOn w:val="DefaultParagraphFont"/>
    <w:uiPriority w:val="32"/>
    <w:qFormat/>
    <w:rsid w:val="00B474D3"/>
    <w:rPr>
      <w:b/>
      <w:bCs/>
      <w:smallCaps/>
      <w:color w:val="0F4761" w:themeColor="accent1" w:themeShade="BF"/>
      <w:spacing w:val="5"/>
    </w:rPr>
  </w:style>
  <w:style w:type="character" w:styleId="Hyperlink">
    <w:name w:val="Hyperlink"/>
    <w:basedOn w:val="DefaultParagraphFont"/>
    <w:uiPriority w:val="99"/>
    <w:unhideWhenUsed/>
    <w:rsid w:val="00B474D3"/>
    <w:rPr>
      <w:color w:val="467886" w:themeColor="hyperlink"/>
      <w:u w:val="single"/>
    </w:rPr>
  </w:style>
  <w:style w:type="paragraph" w:styleId="FootnoteText">
    <w:name w:val="footnote text"/>
    <w:basedOn w:val="Normal"/>
    <w:link w:val="FootnoteTextChar"/>
    <w:uiPriority w:val="99"/>
    <w:semiHidden/>
    <w:unhideWhenUsed/>
    <w:rsid w:val="00B474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74D3"/>
    <w:rPr>
      <w:sz w:val="20"/>
      <w:szCs w:val="20"/>
    </w:rPr>
  </w:style>
  <w:style w:type="character" w:styleId="FootnoteReference">
    <w:name w:val="footnote reference"/>
    <w:basedOn w:val="DefaultParagraphFont"/>
    <w:uiPriority w:val="99"/>
    <w:semiHidden/>
    <w:unhideWhenUsed/>
    <w:rsid w:val="00B474D3"/>
    <w:rPr>
      <w:vertAlign w:val="superscript"/>
    </w:rPr>
  </w:style>
  <w:style w:type="character" w:styleId="CommentReference">
    <w:name w:val="annotation reference"/>
    <w:basedOn w:val="DefaultParagraphFont"/>
    <w:uiPriority w:val="99"/>
    <w:semiHidden/>
    <w:unhideWhenUsed/>
    <w:rsid w:val="00B474D3"/>
    <w:rPr>
      <w:sz w:val="16"/>
      <w:szCs w:val="16"/>
    </w:rPr>
  </w:style>
  <w:style w:type="paragraph" w:styleId="CommentText">
    <w:name w:val="annotation text"/>
    <w:basedOn w:val="Normal"/>
    <w:link w:val="CommentTextChar"/>
    <w:uiPriority w:val="99"/>
    <w:unhideWhenUsed/>
    <w:rsid w:val="00B474D3"/>
    <w:pPr>
      <w:spacing w:line="240" w:lineRule="auto"/>
    </w:pPr>
    <w:rPr>
      <w:sz w:val="20"/>
      <w:szCs w:val="20"/>
    </w:rPr>
  </w:style>
  <w:style w:type="character" w:customStyle="1" w:styleId="CommentTextChar">
    <w:name w:val="Comment Text Char"/>
    <w:basedOn w:val="DefaultParagraphFont"/>
    <w:link w:val="CommentText"/>
    <w:uiPriority w:val="99"/>
    <w:rsid w:val="00B474D3"/>
    <w:rPr>
      <w:sz w:val="20"/>
      <w:szCs w:val="20"/>
    </w:rPr>
  </w:style>
  <w:style w:type="character" w:styleId="FollowedHyperlink">
    <w:name w:val="FollowedHyperlink"/>
    <w:basedOn w:val="DefaultParagraphFont"/>
    <w:uiPriority w:val="99"/>
    <w:semiHidden/>
    <w:unhideWhenUsed/>
    <w:rsid w:val="00B474D3"/>
    <w:rPr>
      <w:color w:val="96607D" w:themeColor="followedHyperlink"/>
      <w:u w:val="single"/>
    </w:rPr>
  </w:style>
  <w:style w:type="character" w:styleId="UnresolvedMention">
    <w:name w:val="Unresolved Mention"/>
    <w:basedOn w:val="DefaultParagraphFont"/>
    <w:uiPriority w:val="99"/>
    <w:semiHidden/>
    <w:unhideWhenUsed/>
    <w:rsid w:val="00E469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7BA4D7-01B6-4BD9-B74E-988C38253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12</Pages>
  <Words>3517</Words>
  <Characters>20037</Characters>
  <Application>Microsoft Office Word</Application>
  <DocSecurity>0</DocSecurity>
  <Lines>166</Lines>
  <Paragraphs>47</Paragraphs>
  <ScaleCrop>false</ScaleCrop>
  <Company/>
  <LinksUpToDate>false</LinksUpToDate>
  <CharactersWithSpaces>23507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Miss K.Evans</dc:creator>
  <cp:keywords/>
  <dc:description/>
  <cp:lastModifiedBy>Miss K.Evans</cp:lastModifiedBy>
  <cp:revision>207</cp:revision>
  <dcterms:created xsi:type="dcterms:W3CDTF">2025-03-16T17:41:00Z</dcterms:created>
  <dcterms:modified xsi:type="dcterms:W3CDTF">2025-03-16T21:32:00Z</dcterms:modified>
</cp:coreProperties>
</file>