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charts/chart13.xml" ContentType="application/vnd.openxmlformats-officedocument.drawingml.chart+xml"/>
  <Override PartName="/word/charts/chart14.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D15A2" w:rsidRDefault="00BD15A2" w:rsidP="00BD15A2">
      <w:pPr>
        <w:pStyle w:val="Title"/>
        <w:jc w:val="center"/>
      </w:pPr>
      <w:r>
        <w:t>Financial analysis</w:t>
      </w:r>
    </w:p>
    <w:p w:rsidR="00BD15A2" w:rsidRDefault="00BD15A2" w:rsidP="00BD15A2">
      <w:pPr>
        <w:pStyle w:val="Subtitle"/>
        <w:jc w:val="center"/>
      </w:pPr>
      <w:r>
        <w:t>A case study of BT, UK</w:t>
      </w:r>
    </w:p>
    <w:p w:rsidR="00DC1993" w:rsidRPr="00DC1993" w:rsidRDefault="00DC1993" w:rsidP="00DC1993"/>
    <w:p w:rsidR="00DC1993" w:rsidRPr="00DC1993" w:rsidRDefault="00DC1993" w:rsidP="00DC1993">
      <w:pPr>
        <w:jc w:val="center"/>
        <w:rPr>
          <w:sz w:val="44"/>
        </w:rPr>
      </w:pPr>
      <w:r w:rsidRPr="00DC1993">
        <w:rPr>
          <w:sz w:val="44"/>
        </w:rPr>
        <w:t xml:space="preserve">UNIVERSITY OF WALES TRINITY SAINT DAVID </w:t>
      </w:r>
    </w:p>
    <w:p w:rsidR="00DC1993" w:rsidRPr="00DC1993" w:rsidRDefault="00DC1993" w:rsidP="00DC1993">
      <w:pPr>
        <w:jc w:val="center"/>
        <w:rPr>
          <w:sz w:val="44"/>
        </w:rPr>
      </w:pPr>
      <w:r w:rsidRPr="00DC1993">
        <w:rPr>
          <w:sz w:val="44"/>
        </w:rPr>
        <w:t>MITUL ATULBHAI PATHAK</w:t>
      </w:r>
    </w:p>
    <w:p w:rsidR="00DC1993" w:rsidRPr="00DC1993" w:rsidRDefault="00DC1993" w:rsidP="00DC1993">
      <w:pPr>
        <w:jc w:val="center"/>
        <w:rPr>
          <w:sz w:val="44"/>
        </w:rPr>
      </w:pPr>
      <w:r w:rsidRPr="00DC1993">
        <w:rPr>
          <w:sz w:val="44"/>
        </w:rPr>
        <w:t>1705904</w:t>
      </w:r>
    </w:p>
    <w:p w:rsidR="00DC1993" w:rsidRPr="00DC1993" w:rsidRDefault="00DC1993" w:rsidP="00DC1993">
      <w:pPr>
        <w:jc w:val="center"/>
        <w:rPr>
          <w:sz w:val="44"/>
        </w:rPr>
      </w:pPr>
      <w:r w:rsidRPr="00DC1993">
        <w:rPr>
          <w:sz w:val="44"/>
        </w:rPr>
        <w:t>JIA MIAO</w:t>
      </w:r>
    </w:p>
    <w:p w:rsidR="00BD15A2" w:rsidRDefault="00DC1993" w:rsidP="00DC1993">
      <w:pPr>
        <w:jc w:val="center"/>
        <w:rPr>
          <w:rFonts w:asciiTheme="majorHAnsi" w:eastAsiaTheme="majorEastAsia" w:hAnsiTheme="majorHAnsi" w:cstheme="majorBidi"/>
          <w:color w:val="365F91" w:themeColor="accent1" w:themeShade="BF"/>
          <w:sz w:val="28"/>
          <w:szCs w:val="28"/>
        </w:rPr>
      </w:pPr>
      <w:r w:rsidRPr="00DC1993">
        <w:rPr>
          <w:sz w:val="44"/>
        </w:rPr>
        <w:t>2017-2018</w:t>
      </w:r>
      <w:r w:rsidR="00BD15A2">
        <w:br w:type="page"/>
      </w:r>
    </w:p>
    <w:p w:rsidR="00BD15A2" w:rsidRDefault="00BD15A2" w:rsidP="00107D0F">
      <w:pPr>
        <w:pStyle w:val="Heading1"/>
      </w:pPr>
      <w:r>
        <w:lastRenderedPageBreak/>
        <w:t xml:space="preserve">   </w:t>
      </w:r>
    </w:p>
    <w:sdt>
      <w:sdtPr>
        <w:rPr>
          <w:rFonts w:asciiTheme="minorHAnsi" w:eastAsiaTheme="minorEastAsia" w:hAnsiTheme="minorHAnsi" w:cstheme="minorBidi"/>
          <w:b w:val="0"/>
          <w:bCs w:val="0"/>
          <w:color w:val="auto"/>
          <w:sz w:val="22"/>
          <w:szCs w:val="22"/>
        </w:rPr>
        <w:id w:val="19727532"/>
        <w:docPartObj>
          <w:docPartGallery w:val="Table of Contents"/>
          <w:docPartUnique/>
        </w:docPartObj>
      </w:sdtPr>
      <w:sdtEndPr>
        <w:rPr>
          <w:rFonts w:ascii="Times New Roman" w:hAnsi="Times New Roman"/>
          <w:sz w:val="24"/>
        </w:rPr>
      </w:sdtEndPr>
      <w:sdtContent>
        <w:p w:rsidR="00BD15A2" w:rsidRDefault="00BD15A2">
          <w:pPr>
            <w:pStyle w:val="TOCHeading"/>
          </w:pPr>
          <w:r>
            <w:t>Table of Contents</w:t>
          </w:r>
        </w:p>
        <w:p w:rsidR="001D7BD6" w:rsidRDefault="00942C52">
          <w:pPr>
            <w:pStyle w:val="TOC1"/>
            <w:tabs>
              <w:tab w:val="right" w:leader="dot" w:pos="9350"/>
            </w:tabs>
            <w:rPr>
              <w:rFonts w:asciiTheme="minorHAnsi" w:hAnsiTheme="minorHAnsi"/>
              <w:noProof/>
              <w:sz w:val="22"/>
            </w:rPr>
          </w:pPr>
          <w:r>
            <w:fldChar w:fldCharType="begin"/>
          </w:r>
          <w:r w:rsidR="00BD15A2">
            <w:instrText xml:space="preserve"> TOC \o "1-3" \h \z \u </w:instrText>
          </w:r>
          <w:r>
            <w:fldChar w:fldCharType="separate"/>
          </w:r>
          <w:hyperlink w:anchor="_Toc502770435" w:history="1">
            <w:r w:rsidR="001D7BD6" w:rsidRPr="009278B4">
              <w:rPr>
                <w:rStyle w:val="Hyperlink"/>
                <w:noProof/>
              </w:rPr>
              <w:t>1.0 Introduction</w:t>
            </w:r>
            <w:r w:rsidR="001D7BD6">
              <w:rPr>
                <w:noProof/>
                <w:webHidden/>
              </w:rPr>
              <w:tab/>
            </w:r>
            <w:r>
              <w:rPr>
                <w:noProof/>
                <w:webHidden/>
              </w:rPr>
              <w:fldChar w:fldCharType="begin"/>
            </w:r>
            <w:r w:rsidR="001D7BD6">
              <w:rPr>
                <w:noProof/>
                <w:webHidden/>
              </w:rPr>
              <w:instrText xml:space="preserve"> PAGEREF _Toc502770435 \h </w:instrText>
            </w:r>
            <w:r>
              <w:rPr>
                <w:noProof/>
                <w:webHidden/>
              </w:rPr>
            </w:r>
            <w:r>
              <w:rPr>
                <w:noProof/>
                <w:webHidden/>
              </w:rPr>
              <w:fldChar w:fldCharType="separate"/>
            </w:r>
            <w:r w:rsidR="001D7BD6">
              <w:rPr>
                <w:noProof/>
                <w:webHidden/>
              </w:rPr>
              <w:t>4</w:t>
            </w:r>
            <w:r>
              <w:rPr>
                <w:noProof/>
                <w:webHidden/>
              </w:rPr>
              <w:fldChar w:fldCharType="end"/>
            </w:r>
          </w:hyperlink>
        </w:p>
        <w:p w:rsidR="001D7BD6" w:rsidRDefault="008858B6">
          <w:pPr>
            <w:pStyle w:val="TOC1"/>
            <w:tabs>
              <w:tab w:val="right" w:leader="dot" w:pos="9350"/>
            </w:tabs>
            <w:rPr>
              <w:rFonts w:asciiTheme="minorHAnsi" w:hAnsiTheme="minorHAnsi"/>
              <w:noProof/>
              <w:sz w:val="22"/>
            </w:rPr>
          </w:pPr>
          <w:hyperlink w:anchor="_Toc502770436" w:history="1">
            <w:r w:rsidR="001D7BD6" w:rsidRPr="009278B4">
              <w:rPr>
                <w:rStyle w:val="Hyperlink"/>
                <w:noProof/>
              </w:rPr>
              <w:t>2.0 Background of the British telecommunication</w:t>
            </w:r>
            <w:r w:rsidR="001D7BD6">
              <w:rPr>
                <w:noProof/>
                <w:webHidden/>
              </w:rPr>
              <w:tab/>
            </w:r>
            <w:r w:rsidR="00942C52">
              <w:rPr>
                <w:noProof/>
                <w:webHidden/>
              </w:rPr>
              <w:fldChar w:fldCharType="begin"/>
            </w:r>
            <w:r w:rsidR="001D7BD6">
              <w:rPr>
                <w:noProof/>
                <w:webHidden/>
              </w:rPr>
              <w:instrText xml:space="preserve"> PAGEREF _Toc502770436 \h </w:instrText>
            </w:r>
            <w:r w:rsidR="00942C52">
              <w:rPr>
                <w:noProof/>
                <w:webHidden/>
              </w:rPr>
            </w:r>
            <w:r w:rsidR="00942C52">
              <w:rPr>
                <w:noProof/>
                <w:webHidden/>
              </w:rPr>
              <w:fldChar w:fldCharType="separate"/>
            </w:r>
            <w:r w:rsidR="001D7BD6">
              <w:rPr>
                <w:noProof/>
                <w:webHidden/>
              </w:rPr>
              <w:t>4</w:t>
            </w:r>
            <w:r w:rsidR="00942C52">
              <w:rPr>
                <w:noProof/>
                <w:webHidden/>
              </w:rPr>
              <w:fldChar w:fldCharType="end"/>
            </w:r>
          </w:hyperlink>
        </w:p>
        <w:p w:rsidR="001D7BD6" w:rsidRDefault="008858B6">
          <w:pPr>
            <w:pStyle w:val="TOC2"/>
            <w:tabs>
              <w:tab w:val="right" w:leader="dot" w:pos="9350"/>
            </w:tabs>
            <w:rPr>
              <w:rFonts w:asciiTheme="minorHAnsi" w:hAnsiTheme="minorHAnsi"/>
              <w:noProof/>
              <w:sz w:val="22"/>
            </w:rPr>
          </w:pPr>
          <w:hyperlink w:anchor="_Toc502770437" w:history="1">
            <w:r w:rsidR="001D7BD6" w:rsidRPr="009278B4">
              <w:rPr>
                <w:rStyle w:val="Hyperlink"/>
                <w:noProof/>
              </w:rPr>
              <w:t>2.1 Introduction</w:t>
            </w:r>
            <w:r w:rsidR="001D7BD6">
              <w:rPr>
                <w:noProof/>
                <w:webHidden/>
              </w:rPr>
              <w:tab/>
            </w:r>
            <w:r w:rsidR="00942C52">
              <w:rPr>
                <w:noProof/>
                <w:webHidden/>
              </w:rPr>
              <w:fldChar w:fldCharType="begin"/>
            </w:r>
            <w:r w:rsidR="001D7BD6">
              <w:rPr>
                <w:noProof/>
                <w:webHidden/>
              </w:rPr>
              <w:instrText xml:space="preserve"> PAGEREF _Toc502770437 \h </w:instrText>
            </w:r>
            <w:r w:rsidR="00942C52">
              <w:rPr>
                <w:noProof/>
                <w:webHidden/>
              </w:rPr>
            </w:r>
            <w:r w:rsidR="00942C52">
              <w:rPr>
                <w:noProof/>
                <w:webHidden/>
              </w:rPr>
              <w:fldChar w:fldCharType="separate"/>
            </w:r>
            <w:r w:rsidR="001D7BD6">
              <w:rPr>
                <w:noProof/>
                <w:webHidden/>
              </w:rPr>
              <w:t>4</w:t>
            </w:r>
            <w:r w:rsidR="00942C52">
              <w:rPr>
                <w:noProof/>
                <w:webHidden/>
              </w:rPr>
              <w:fldChar w:fldCharType="end"/>
            </w:r>
          </w:hyperlink>
        </w:p>
        <w:p w:rsidR="001D7BD6" w:rsidRDefault="008858B6">
          <w:pPr>
            <w:pStyle w:val="TOC2"/>
            <w:tabs>
              <w:tab w:val="right" w:leader="dot" w:pos="9350"/>
            </w:tabs>
            <w:rPr>
              <w:rFonts w:asciiTheme="minorHAnsi" w:hAnsiTheme="minorHAnsi"/>
              <w:noProof/>
              <w:sz w:val="22"/>
            </w:rPr>
          </w:pPr>
          <w:hyperlink w:anchor="_Toc502770438" w:history="1">
            <w:r w:rsidR="001D7BD6" w:rsidRPr="009278B4">
              <w:rPr>
                <w:rStyle w:val="Hyperlink"/>
                <w:noProof/>
              </w:rPr>
              <w:t>2.2 Background of the company</w:t>
            </w:r>
            <w:r w:rsidR="001D7BD6">
              <w:rPr>
                <w:noProof/>
                <w:webHidden/>
              </w:rPr>
              <w:tab/>
            </w:r>
            <w:r w:rsidR="00942C52">
              <w:rPr>
                <w:noProof/>
                <w:webHidden/>
              </w:rPr>
              <w:fldChar w:fldCharType="begin"/>
            </w:r>
            <w:r w:rsidR="001D7BD6">
              <w:rPr>
                <w:noProof/>
                <w:webHidden/>
              </w:rPr>
              <w:instrText xml:space="preserve"> PAGEREF _Toc502770438 \h </w:instrText>
            </w:r>
            <w:r w:rsidR="00942C52">
              <w:rPr>
                <w:noProof/>
                <w:webHidden/>
              </w:rPr>
            </w:r>
            <w:r w:rsidR="00942C52">
              <w:rPr>
                <w:noProof/>
                <w:webHidden/>
              </w:rPr>
              <w:fldChar w:fldCharType="separate"/>
            </w:r>
            <w:r w:rsidR="001D7BD6">
              <w:rPr>
                <w:noProof/>
                <w:webHidden/>
              </w:rPr>
              <w:t>5</w:t>
            </w:r>
            <w:r w:rsidR="00942C52">
              <w:rPr>
                <w:noProof/>
                <w:webHidden/>
              </w:rPr>
              <w:fldChar w:fldCharType="end"/>
            </w:r>
          </w:hyperlink>
        </w:p>
        <w:p w:rsidR="001D7BD6" w:rsidRDefault="008858B6">
          <w:pPr>
            <w:pStyle w:val="TOC2"/>
            <w:tabs>
              <w:tab w:val="right" w:leader="dot" w:pos="9350"/>
            </w:tabs>
            <w:rPr>
              <w:rFonts w:asciiTheme="minorHAnsi" w:hAnsiTheme="minorHAnsi"/>
              <w:noProof/>
              <w:sz w:val="22"/>
            </w:rPr>
          </w:pPr>
          <w:hyperlink w:anchor="_Toc502770439" w:history="1">
            <w:r w:rsidR="001D7BD6" w:rsidRPr="009278B4">
              <w:rPr>
                <w:rStyle w:val="Hyperlink"/>
                <w:noProof/>
              </w:rPr>
              <w:t>2.3 Financial performance analysis of the company</w:t>
            </w:r>
            <w:r w:rsidR="001D7BD6">
              <w:rPr>
                <w:noProof/>
                <w:webHidden/>
              </w:rPr>
              <w:tab/>
            </w:r>
            <w:r w:rsidR="00942C52">
              <w:rPr>
                <w:noProof/>
                <w:webHidden/>
              </w:rPr>
              <w:fldChar w:fldCharType="begin"/>
            </w:r>
            <w:r w:rsidR="001D7BD6">
              <w:rPr>
                <w:noProof/>
                <w:webHidden/>
              </w:rPr>
              <w:instrText xml:space="preserve"> PAGEREF _Toc502770439 \h </w:instrText>
            </w:r>
            <w:r w:rsidR="00942C52">
              <w:rPr>
                <w:noProof/>
                <w:webHidden/>
              </w:rPr>
            </w:r>
            <w:r w:rsidR="00942C52">
              <w:rPr>
                <w:noProof/>
                <w:webHidden/>
              </w:rPr>
              <w:fldChar w:fldCharType="separate"/>
            </w:r>
            <w:r w:rsidR="001D7BD6">
              <w:rPr>
                <w:noProof/>
                <w:webHidden/>
              </w:rPr>
              <w:t>6</w:t>
            </w:r>
            <w:r w:rsidR="00942C52">
              <w:rPr>
                <w:noProof/>
                <w:webHidden/>
              </w:rPr>
              <w:fldChar w:fldCharType="end"/>
            </w:r>
          </w:hyperlink>
        </w:p>
        <w:p w:rsidR="001D7BD6" w:rsidRDefault="008858B6">
          <w:pPr>
            <w:pStyle w:val="TOC2"/>
            <w:tabs>
              <w:tab w:val="right" w:leader="dot" w:pos="9350"/>
            </w:tabs>
            <w:rPr>
              <w:rFonts w:asciiTheme="minorHAnsi" w:hAnsiTheme="minorHAnsi"/>
              <w:noProof/>
              <w:sz w:val="22"/>
            </w:rPr>
          </w:pPr>
          <w:hyperlink w:anchor="_Toc502770440" w:history="1">
            <w:r w:rsidR="001D7BD6" w:rsidRPr="009278B4">
              <w:rPr>
                <w:rStyle w:val="Hyperlink"/>
                <w:noProof/>
              </w:rPr>
              <w:t>2.4 Segmenation information</w:t>
            </w:r>
            <w:r w:rsidR="001D7BD6">
              <w:rPr>
                <w:noProof/>
                <w:webHidden/>
              </w:rPr>
              <w:tab/>
            </w:r>
            <w:r w:rsidR="00942C52">
              <w:rPr>
                <w:noProof/>
                <w:webHidden/>
              </w:rPr>
              <w:fldChar w:fldCharType="begin"/>
            </w:r>
            <w:r w:rsidR="001D7BD6">
              <w:rPr>
                <w:noProof/>
                <w:webHidden/>
              </w:rPr>
              <w:instrText xml:space="preserve"> PAGEREF _Toc502770440 \h </w:instrText>
            </w:r>
            <w:r w:rsidR="00942C52">
              <w:rPr>
                <w:noProof/>
                <w:webHidden/>
              </w:rPr>
            </w:r>
            <w:r w:rsidR="00942C52">
              <w:rPr>
                <w:noProof/>
                <w:webHidden/>
              </w:rPr>
              <w:fldChar w:fldCharType="separate"/>
            </w:r>
            <w:r w:rsidR="001D7BD6">
              <w:rPr>
                <w:noProof/>
                <w:webHidden/>
              </w:rPr>
              <w:t>7</w:t>
            </w:r>
            <w:r w:rsidR="00942C52">
              <w:rPr>
                <w:noProof/>
                <w:webHidden/>
              </w:rPr>
              <w:fldChar w:fldCharType="end"/>
            </w:r>
          </w:hyperlink>
        </w:p>
        <w:p w:rsidR="001D7BD6" w:rsidRDefault="008858B6">
          <w:pPr>
            <w:pStyle w:val="TOC1"/>
            <w:tabs>
              <w:tab w:val="right" w:leader="dot" w:pos="9350"/>
            </w:tabs>
            <w:rPr>
              <w:rFonts w:asciiTheme="minorHAnsi" w:hAnsiTheme="minorHAnsi"/>
              <w:noProof/>
              <w:sz w:val="22"/>
            </w:rPr>
          </w:pPr>
          <w:hyperlink w:anchor="_Toc502770441" w:history="1">
            <w:r w:rsidR="001D7BD6" w:rsidRPr="009278B4">
              <w:rPr>
                <w:rStyle w:val="Hyperlink"/>
                <w:noProof/>
              </w:rPr>
              <w:t>3.0 Ratios analysis of British telecommunication</w:t>
            </w:r>
            <w:r w:rsidR="001D7BD6">
              <w:rPr>
                <w:noProof/>
                <w:webHidden/>
              </w:rPr>
              <w:tab/>
            </w:r>
            <w:r w:rsidR="00942C52">
              <w:rPr>
                <w:noProof/>
                <w:webHidden/>
              </w:rPr>
              <w:fldChar w:fldCharType="begin"/>
            </w:r>
            <w:r w:rsidR="001D7BD6">
              <w:rPr>
                <w:noProof/>
                <w:webHidden/>
              </w:rPr>
              <w:instrText xml:space="preserve"> PAGEREF _Toc502770441 \h </w:instrText>
            </w:r>
            <w:r w:rsidR="00942C52">
              <w:rPr>
                <w:noProof/>
                <w:webHidden/>
              </w:rPr>
            </w:r>
            <w:r w:rsidR="00942C52">
              <w:rPr>
                <w:noProof/>
                <w:webHidden/>
              </w:rPr>
              <w:fldChar w:fldCharType="separate"/>
            </w:r>
            <w:r w:rsidR="001D7BD6">
              <w:rPr>
                <w:noProof/>
                <w:webHidden/>
              </w:rPr>
              <w:t>8</w:t>
            </w:r>
            <w:r w:rsidR="00942C52">
              <w:rPr>
                <w:noProof/>
                <w:webHidden/>
              </w:rPr>
              <w:fldChar w:fldCharType="end"/>
            </w:r>
          </w:hyperlink>
        </w:p>
        <w:p w:rsidR="001D7BD6" w:rsidRDefault="008858B6">
          <w:pPr>
            <w:pStyle w:val="TOC2"/>
            <w:tabs>
              <w:tab w:val="right" w:leader="dot" w:pos="9350"/>
            </w:tabs>
            <w:rPr>
              <w:rFonts w:asciiTheme="minorHAnsi" w:hAnsiTheme="minorHAnsi"/>
              <w:noProof/>
              <w:sz w:val="22"/>
            </w:rPr>
          </w:pPr>
          <w:hyperlink w:anchor="_Toc502770442" w:history="1">
            <w:r w:rsidR="001D7BD6" w:rsidRPr="009278B4">
              <w:rPr>
                <w:rStyle w:val="Hyperlink"/>
                <w:noProof/>
              </w:rPr>
              <w:t>3.1 Profitability analysis</w:t>
            </w:r>
            <w:r w:rsidR="001D7BD6">
              <w:rPr>
                <w:noProof/>
                <w:webHidden/>
              </w:rPr>
              <w:tab/>
            </w:r>
            <w:r w:rsidR="00942C52">
              <w:rPr>
                <w:noProof/>
                <w:webHidden/>
              </w:rPr>
              <w:fldChar w:fldCharType="begin"/>
            </w:r>
            <w:r w:rsidR="001D7BD6">
              <w:rPr>
                <w:noProof/>
                <w:webHidden/>
              </w:rPr>
              <w:instrText xml:space="preserve"> PAGEREF _Toc502770442 \h </w:instrText>
            </w:r>
            <w:r w:rsidR="00942C52">
              <w:rPr>
                <w:noProof/>
                <w:webHidden/>
              </w:rPr>
            </w:r>
            <w:r w:rsidR="00942C52">
              <w:rPr>
                <w:noProof/>
                <w:webHidden/>
              </w:rPr>
              <w:fldChar w:fldCharType="separate"/>
            </w:r>
            <w:r w:rsidR="001D7BD6">
              <w:rPr>
                <w:noProof/>
                <w:webHidden/>
              </w:rPr>
              <w:t>8</w:t>
            </w:r>
            <w:r w:rsidR="00942C52">
              <w:rPr>
                <w:noProof/>
                <w:webHidden/>
              </w:rPr>
              <w:fldChar w:fldCharType="end"/>
            </w:r>
          </w:hyperlink>
        </w:p>
        <w:p w:rsidR="001D7BD6" w:rsidRDefault="008858B6">
          <w:pPr>
            <w:pStyle w:val="TOC2"/>
            <w:tabs>
              <w:tab w:val="right" w:leader="dot" w:pos="9350"/>
            </w:tabs>
            <w:rPr>
              <w:rFonts w:asciiTheme="minorHAnsi" w:hAnsiTheme="minorHAnsi"/>
              <w:noProof/>
              <w:sz w:val="22"/>
            </w:rPr>
          </w:pPr>
          <w:hyperlink w:anchor="_Toc502770443" w:history="1">
            <w:r w:rsidR="001D7BD6" w:rsidRPr="009278B4">
              <w:rPr>
                <w:rStyle w:val="Hyperlink"/>
                <w:noProof/>
              </w:rPr>
              <w:t>3.2 Liquidity analysis</w:t>
            </w:r>
            <w:r w:rsidR="001D7BD6">
              <w:rPr>
                <w:noProof/>
                <w:webHidden/>
              </w:rPr>
              <w:tab/>
            </w:r>
            <w:r w:rsidR="00942C52">
              <w:rPr>
                <w:noProof/>
                <w:webHidden/>
              </w:rPr>
              <w:fldChar w:fldCharType="begin"/>
            </w:r>
            <w:r w:rsidR="001D7BD6">
              <w:rPr>
                <w:noProof/>
                <w:webHidden/>
              </w:rPr>
              <w:instrText xml:space="preserve"> PAGEREF _Toc502770443 \h </w:instrText>
            </w:r>
            <w:r w:rsidR="00942C52">
              <w:rPr>
                <w:noProof/>
                <w:webHidden/>
              </w:rPr>
            </w:r>
            <w:r w:rsidR="00942C52">
              <w:rPr>
                <w:noProof/>
                <w:webHidden/>
              </w:rPr>
              <w:fldChar w:fldCharType="separate"/>
            </w:r>
            <w:r w:rsidR="001D7BD6">
              <w:rPr>
                <w:noProof/>
                <w:webHidden/>
              </w:rPr>
              <w:t>9</w:t>
            </w:r>
            <w:r w:rsidR="00942C52">
              <w:rPr>
                <w:noProof/>
                <w:webHidden/>
              </w:rPr>
              <w:fldChar w:fldCharType="end"/>
            </w:r>
          </w:hyperlink>
        </w:p>
        <w:p w:rsidR="001D7BD6" w:rsidRDefault="008858B6">
          <w:pPr>
            <w:pStyle w:val="TOC2"/>
            <w:tabs>
              <w:tab w:val="right" w:leader="dot" w:pos="9350"/>
            </w:tabs>
            <w:rPr>
              <w:rFonts w:asciiTheme="minorHAnsi" w:hAnsiTheme="minorHAnsi"/>
              <w:noProof/>
              <w:sz w:val="22"/>
            </w:rPr>
          </w:pPr>
          <w:hyperlink w:anchor="_Toc502770444" w:history="1">
            <w:r w:rsidR="001D7BD6" w:rsidRPr="009278B4">
              <w:rPr>
                <w:rStyle w:val="Hyperlink"/>
                <w:noProof/>
              </w:rPr>
              <w:t>3.3 Efficenceny analysis</w:t>
            </w:r>
            <w:r w:rsidR="001D7BD6">
              <w:rPr>
                <w:noProof/>
                <w:webHidden/>
              </w:rPr>
              <w:tab/>
            </w:r>
            <w:r w:rsidR="00942C52">
              <w:rPr>
                <w:noProof/>
                <w:webHidden/>
              </w:rPr>
              <w:fldChar w:fldCharType="begin"/>
            </w:r>
            <w:r w:rsidR="001D7BD6">
              <w:rPr>
                <w:noProof/>
                <w:webHidden/>
              </w:rPr>
              <w:instrText xml:space="preserve"> PAGEREF _Toc502770444 \h </w:instrText>
            </w:r>
            <w:r w:rsidR="00942C52">
              <w:rPr>
                <w:noProof/>
                <w:webHidden/>
              </w:rPr>
            </w:r>
            <w:r w:rsidR="00942C52">
              <w:rPr>
                <w:noProof/>
                <w:webHidden/>
              </w:rPr>
              <w:fldChar w:fldCharType="separate"/>
            </w:r>
            <w:r w:rsidR="001D7BD6">
              <w:rPr>
                <w:noProof/>
                <w:webHidden/>
              </w:rPr>
              <w:t>11</w:t>
            </w:r>
            <w:r w:rsidR="00942C52">
              <w:rPr>
                <w:noProof/>
                <w:webHidden/>
              </w:rPr>
              <w:fldChar w:fldCharType="end"/>
            </w:r>
          </w:hyperlink>
        </w:p>
        <w:p w:rsidR="001D7BD6" w:rsidRDefault="008858B6">
          <w:pPr>
            <w:pStyle w:val="TOC2"/>
            <w:tabs>
              <w:tab w:val="right" w:leader="dot" w:pos="9350"/>
            </w:tabs>
            <w:rPr>
              <w:rFonts w:asciiTheme="minorHAnsi" w:hAnsiTheme="minorHAnsi"/>
              <w:noProof/>
              <w:sz w:val="22"/>
            </w:rPr>
          </w:pPr>
          <w:hyperlink w:anchor="_Toc502770445" w:history="1">
            <w:r w:rsidR="001D7BD6" w:rsidRPr="009278B4">
              <w:rPr>
                <w:rStyle w:val="Hyperlink"/>
                <w:noProof/>
              </w:rPr>
              <w:t>3.4 Gearing ratios analysis</w:t>
            </w:r>
            <w:r w:rsidR="001D7BD6">
              <w:rPr>
                <w:noProof/>
                <w:webHidden/>
              </w:rPr>
              <w:tab/>
            </w:r>
            <w:r w:rsidR="00942C52">
              <w:rPr>
                <w:noProof/>
                <w:webHidden/>
              </w:rPr>
              <w:fldChar w:fldCharType="begin"/>
            </w:r>
            <w:r w:rsidR="001D7BD6">
              <w:rPr>
                <w:noProof/>
                <w:webHidden/>
              </w:rPr>
              <w:instrText xml:space="preserve"> PAGEREF _Toc502770445 \h </w:instrText>
            </w:r>
            <w:r w:rsidR="00942C52">
              <w:rPr>
                <w:noProof/>
                <w:webHidden/>
              </w:rPr>
            </w:r>
            <w:r w:rsidR="00942C52">
              <w:rPr>
                <w:noProof/>
                <w:webHidden/>
              </w:rPr>
              <w:fldChar w:fldCharType="separate"/>
            </w:r>
            <w:r w:rsidR="001D7BD6">
              <w:rPr>
                <w:noProof/>
                <w:webHidden/>
              </w:rPr>
              <w:t>12</w:t>
            </w:r>
            <w:r w:rsidR="00942C52">
              <w:rPr>
                <w:noProof/>
                <w:webHidden/>
              </w:rPr>
              <w:fldChar w:fldCharType="end"/>
            </w:r>
          </w:hyperlink>
        </w:p>
        <w:p w:rsidR="001D7BD6" w:rsidRDefault="008858B6">
          <w:pPr>
            <w:pStyle w:val="TOC1"/>
            <w:tabs>
              <w:tab w:val="right" w:leader="dot" w:pos="9350"/>
            </w:tabs>
            <w:rPr>
              <w:rFonts w:asciiTheme="minorHAnsi" w:hAnsiTheme="minorHAnsi"/>
              <w:noProof/>
              <w:sz w:val="22"/>
            </w:rPr>
          </w:pPr>
          <w:hyperlink w:anchor="_Toc502770446" w:history="1">
            <w:r w:rsidR="001D7BD6" w:rsidRPr="009278B4">
              <w:rPr>
                <w:rStyle w:val="Hyperlink"/>
                <w:noProof/>
              </w:rPr>
              <w:t>4.0 Identification of the underlying reasons for which the ratios are changing over years For British Telecommunication:</w:t>
            </w:r>
            <w:r w:rsidR="001D7BD6">
              <w:rPr>
                <w:noProof/>
                <w:webHidden/>
              </w:rPr>
              <w:tab/>
            </w:r>
            <w:r w:rsidR="00942C52">
              <w:rPr>
                <w:noProof/>
                <w:webHidden/>
              </w:rPr>
              <w:fldChar w:fldCharType="begin"/>
            </w:r>
            <w:r w:rsidR="001D7BD6">
              <w:rPr>
                <w:noProof/>
                <w:webHidden/>
              </w:rPr>
              <w:instrText xml:space="preserve"> PAGEREF _Toc502770446 \h </w:instrText>
            </w:r>
            <w:r w:rsidR="00942C52">
              <w:rPr>
                <w:noProof/>
                <w:webHidden/>
              </w:rPr>
            </w:r>
            <w:r w:rsidR="00942C52">
              <w:rPr>
                <w:noProof/>
                <w:webHidden/>
              </w:rPr>
              <w:fldChar w:fldCharType="separate"/>
            </w:r>
            <w:r w:rsidR="001D7BD6">
              <w:rPr>
                <w:noProof/>
                <w:webHidden/>
              </w:rPr>
              <w:t>12</w:t>
            </w:r>
            <w:r w:rsidR="00942C52">
              <w:rPr>
                <w:noProof/>
                <w:webHidden/>
              </w:rPr>
              <w:fldChar w:fldCharType="end"/>
            </w:r>
          </w:hyperlink>
        </w:p>
        <w:p w:rsidR="001D7BD6" w:rsidRDefault="008858B6">
          <w:pPr>
            <w:pStyle w:val="TOC1"/>
            <w:tabs>
              <w:tab w:val="right" w:leader="dot" w:pos="9350"/>
            </w:tabs>
            <w:rPr>
              <w:rFonts w:asciiTheme="minorHAnsi" w:hAnsiTheme="minorHAnsi"/>
              <w:noProof/>
              <w:sz w:val="22"/>
            </w:rPr>
          </w:pPr>
          <w:hyperlink w:anchor="_Toc502770447" w:history="1">
            <w:r w:rsidR="001D7BD6" w:rsidRPr="009278B4">
              <w:rPr>
                <w:rStyle w:val="Hyperlink"/>
                <w:noProof/>
              </w:rPr>
              <w:t>5.0 Comparison of the financial performance between BT &amp; Vodafone (One of the major competitor of BT) via ratio analysis</w:t>
            </w:r>
            <w:r w:rsidR="001D7BD6">
              <w:rPr>
                <w:noProof/>
                <w:webHidden/>
              </w:rPr>
              <w:tab/>
            </w:r>
            <w:r w:rsidR="00942C52">
              <w:rPr>
                <w:noProof/>
                <w:webHidden/>
              </w:rPr>
              <w:fldChar w:fldCharType="begin"/>
            </w:r>
            <w:r w:rsidR="001D7BD6">
              <w:rPr>
                <w:noProof/>
                <w:webHidden/>
              </w:rPr>
              <w:instrText xml:space="preserve"> PAGEREF _Toc502770447 \h </w:instrText>
            </w:r>
            <w:r w:rsidR="00942C52">
              <w:rPr>
                <w:noProof/>
                <w:webHidden/>
              </w:rPr>
            </w:r>
            <w:r w:rsidR="00942C52">
              <w:rPr>
                <w:noProof/>
                <w:webHidden/>
              </w:rPr>
              <w:fldChar w:fldCharType="separate"/>
            </w:r>
            <w:r w:rsidR="001D7BD6">
              <w:rPr>
                <w:noProof/>
                <w:webHidden/>
              </w:rPr>
              <w:t>17</w:t>
            </w:r>
            <w:r w:rsidR="00942C52">
              <w:rPr>
                <w:noProof/>
                <w:webHidden/>
              </w:rPr>
              <w:fldChar w:fldCharType="end"/>
            </w:r>
          </w:hyperlink>
        </w:p>
        <w:p w:rsidR="001D7BD6" w:rsidRDefault="008858B6">
          <w:pPr>
            <w:pStyle w:val="TOC1"/>
            <w:tabs>
              <w:tab w:val="right" w:leader="dot" w:pos="9350"/>
            </w:tabs>
            <w:rPr>
              <w:rFonts w:asciiTheme="minorHAnsi" w:hAnsiTheme="minorHAnsi"/>
              <w:noProof/>
              <w:sz w:val="22"/>
            </w:rPr>
          </w:pPr>
          <w:hyperlink w:anchor="_Toc502770448" w:history="1">
            <w:r w:rsidR="001D7BD6" w:rsidRPr="009278B4">
              <w:rPr>
                <w:rStyle w:val="Hyperlink"/>
                <w:noProof/>
              </w:rPr>
              <w:t>6.0 Future Prospect OF BT:</w:t>
            </w:r>
            <w:r w:rsidR="001D7BD6">
              <w:rPr>
                <w:noProof/>
                <w:webHidden/>
              </w:rPr>
              <w:tab/>
            </w:r>
            <w:r w:rsidR="00942C52">
              <w:rPr>
                <w:noProof/>
                <w:webHidden/>
              </w:rPr>
              <w:fldChar w:fldCharType="begin"/>
            </w:r>
            <w:r w:rsidR="001D7BD6">
              <w:rPr>
                <w:noProof/>
                <w:webHidden/>
              </w:rPr>
              <w:instrText xml:space="preserve"> PAGEREF _Toc502770448 \h </w:instrText>
            </w:r>
            <w:r w:rsidR="00942C52">
              <w:rPr>
                <w:noProof/>
                <w:webHidden/>
              </w:rPr>
            </w:r>
            <w:r w:rsidR="00942C52">
              <w:rPr>
                <w:noProof/>
                <w:webHidden/>
              </w:rPr>
              <w:fldChar w:fldCharType="separate"/>
            </w:r>
            <w:r w:rsidR="001D7BD6">
              <w:rPr>
                <w:noProof/>
                <w:webHidden/>
              </w:rPr>
              <w:t>23</w:t>
            </w:r>
            <w:r w:rsidR="00942C52">
              <w:rPr>
                <w:noProof/>
                <w:webHidden/>
              </w:rPr>
              <w:fldChar w:fldCharType="end"/>
            </w:r>
          </w:hyperlink>
        </w:p>
        <w:p w:rsidR="001D7BD6" w:rsidRDefault="008858B6">
          <w:pPr>
            <w:pStyle w:val="TOC1"/>
            <w:tabs>
              <w:tab w:val="right" w:leader="dot" w:pos="9350"/>
            </w:tabs>
            <w:rPr>
              <w:rFonts w:asciiTheme="minorHAnsi" w:hAnsiTheme="minorHAnsi"/>
              <w:noProof/>
              <w:sz w:val="22"/>
            </w:rPr>
          </w:pPr>
          <w:hyperlink w:anchor="_Toc502770449" w:history="1">
            <w:r w:rsidR="001D7BD6" w:rsidRPr="009278B4">
              <w:rPr>
                <w:rStyle w:val="Hyperlink"/>
                <w:noProof/>
              </w:rPr>
              <w:t>4.0 Identification of the underlying reasons for which the ratios are changing over years For British Telecommunication:</w:t>
            </w:r>
            <w:r w:rsidR="001D7BD6">
              <w:rPr>
                <w:noProof/>
                <w:webHidden/>
              </w:rPr>
              <w:tab/>
            </w:r>
            <w:r w:rsidR="00942C52">
              <w:rPr>
                <w:noProof/>
                <w:webHidden/>
              </w:rPr>
              <w:fldChar w:fldCharType="begin"/>
            </w:r>
            <w:r w:rsidR="001D7BD6">
              <w:rPr>
                <w:noProof/>
                <w:webHidden/>
              </w:rPr>
              <w:instrText xml:space="preserve"> PAGEREF _Toc502770449 \h </w:instrText>
            </w:r>
            <w:r w:rsidR="00942C52">
              <w:rPr>
                <w:noProof/>
                <w:webHidden/>
              </w:rPr>
            </w:r>
            <w:r w:rsidR="00942C52">
              <w:rPr>
                <w:noProof/>
                <w:webHidden/>
              </w:rPr>
              <w:fldChar w:fldCharType="separate"/>
            </w:r>
            <w:r w:rsidR="001D7BD6">
              <w:rPr>
                <w:noProof/>
                <w:webHidden/>
              </w:rPr>
              <w:t>25</w:t>
            </w:r>
            <w:r w:rsidR="00942C52">
              <w:rPr>
                <w:noProof/>
                <w:webHidden/>
              </w:rPr>
              <w:fldChar w:fldCharType="end"/>
            </w:r>
          </w:hyperlink>
        </w:p>
        <w:p w:rsidR="001D7BD6" w:rsidRDefault="008858B6">
          <w:pPr>
            <w:pStyle w:val="TOC1"/>
            <w:tabs>
              <w:tab w:val="right" w:leader="dot" w:pos="9350"/>
            </w:tabs>
            <w:rPr>
              <w:rFonts w:asciiTheme="minorHAnsi" w:hAnsiTheme="minorHAnsi"/>
              <w:noProof/>
              <w:sz w:val="22"/>
            </w:rPr>
          </w:pPr>
          <w:hyperlink w:anchor="_Toc502770450" w:history="1">
            <w:r w:rsidR="001D7BD6" w:rsidRPr="009278B4">
              <w:rPr>
                <w:rStyle w:val="Hyperlink"/>
                <w:noProof/>
              </w:rPr>
              <w:t>5.0 Comparison of the financial performance between BT &amp; Vodafone (One of the major competitor of BT) via ratio analysis</w:t>
            </w:r>
            <w:r w:rsidR="001D7BD6">
              <w:rPr>
                <w:noProof/>
                <w:webHidden/>
              </w:rPr>
              <w:tab/>
            </w:r>
            <w:r w:rsidR="00942C52">
              <w:rPr>
                <w:noProof/>
                <w:webHidden/>
              </w:rPr>
              <w:fldChar w:fldCharType="begin"/>
            </w:r>
            <w:r w:rsidR="001D7BD6">
              <w:rPr>
                <w:noProof/>
                <w:webHidden/>
              </w:rPr>
              <w:instrText xml:space="preserve"> PAGEREF _Toc502770450 \h </w:instrText>
            </w:r>
            <w:r w:rsidR="00942C52">
              <w:rPr>
                <w:noProof/>
                <w:webHidden/>
              </w:rPr>
            </w:r>
            <w:r w:rsidR="00942C52">
              <w:rPr>
                <w:noProof/>
                <w:webHidden/>
              </w:rPr>
              <w:fldChar w:fldCharType="separate"/>
            </w:r>
            <w:r w:rsidR="001D7BD6">
              <w:rPr>
                <w:noProof/>
                <w:webHidden/>
              </w:rPr>
              <w:t>29</w:t>
            </w:r>
            <w:r w:rsidR="00942C52">
              <w:rPr>
                <w:noProof/>
                <w:webHidden/>
              </w:rPr>
              <w:fldChar w:fldCharType="end"/>
            </w:r>
          </w:hyperlink>
        </w:p>
        <w:p w:rsidR="001D7BD6" w:rsidRDefault="008858B6">
          <w:pPr>
            <w:pStyle w:val="TOC1"/>
            <w:tabs>
              <w:tab w:val="right" w:leader="dot" w:pos="9350"/>
            </w:tabs>
            <w:rPr>
              <w:rFonts w:asciiTheme="minorHAnsi" w:hAnsiTheme="minorHAnsi"/>
              <w:noProof/>
              <w:sz w:val="22"/>
            </w:rPr>
          </w:pPr>
          <w:hyperlink w:anchor="_Toc502770451" w:history="1">
            <w:r w:rsidR="001D7BD6" w:rsidRPr="009278B4">
              <w:rPr>
                <w:rStyle w:val="Hyperlink"/>
                <w:noProof/>
              </w:rPr>
              <w:t>6.0 Future Prospect OF BT:</w:t>
            </w:r>
            <w:r w:rsidR="001D7BD6">
              <w:rPr>
                <w:noProof/>
                <w:webHidden/>
              </w:rPr>
              <w:tab/>
            </w:r>
            <w:r w:rsidR="00942C52">
              <w:rPr>
                <w:noProof/>
                <w:webHidden/>
              </w:rPr>
              <w:fldChar w:fldCharType="begin"/>
            </w:r>
            <w:r w:rsidR="001D7BD6">
              <w:rPr>
                <w:noProof/>
                <w:webHidden/>
              </w:rPr>
              <w:instrText xml:space="preserve"> PAGEREF _Toc502770451 \h </w:instrText>
            </w:r>
            <w:r w:rsidR="00942C52">
              <w:rPr>
                <w:noProof/>
                <w:webHidden/>
              </w:rPr>
            </w:r>
            <w:r w:rsidR="00942C52">
              <w:rPr>
                <w:noProof/>
                <w:webHidden/>
              </w:rPr>
              <w:fldChar w:fldCharType="separate"/>
            </w:r>
            <w:r w:rsidR="001D7BD6">
              <w:rPr>
                <w:noProof/>
                <w:webHidden/>
              </w:rPr>
              <w:t>35</w:t>
            </w:r>
            <w:r w:rsidR="00942C52">
              <w:rPr>
                <w:noProof/>
                <w:webHidden/>
              </w:rPr>
              <w:fldChar w:fldCharType="end"/>
            </w:r>
          </w:hyperlink>
        </w:p>
        <w:p w:rsidR="001D7BD6" w:rsidRDefault="008858B6">
          <w:pPr>
            <w:pStyle w:val="TOC1"/>
            <w:tabs>
              <w:tab w:val="right" w:leader="dot" w:pos="9350"/>
            </w:tabs>
            <w:rPr>
              <w:rFonts w:asciiTheme="minorHAnsi" w:hAnsiTheme="minorHAnsi"/>
              <w:noProof/>
              <w:sz w:val="22"/>
            </w:rPr>
          </w:pPr>
          <w:hyperlink w:anchor="_Toc502770452" w:history="1">
            <w:r w:rsidR="001D7BD6" w:rsidRPr="009278B4">
              <w:rPr>
                <w:rStyle w:val="Hyperlink"/>
                <w:noProof/>
              </w:rPr>
              <w:t>7.0 Benefits and disadvantage of ratios analysis</w:t>
            </w:r>
            <w:r w:rsidR="001D7BD6">
              <w:rPr>
                <w:noProof/>
                <w:webHidden/>
              </w:rPr>
              <w:tab/>
            </w:r>
            <w:r w:rsidR="00942C52">
              <w:rPr>
                <w:noProof/>
                <w:webHidden/>
              </w:rPr>
              <w:fldChar w:fldCharType="begin"/>
            </w:r>
            <w:r w:rsidR="001D7BD6">
              <w:rPr>
                <w:noProof/>
                <w:webHidden/>
              </w:rPr>
              <w:instrText xml:space="preserve"> PAGEREF _Toc502770452 \h </w:instrText>
            </w:r>
            <w:r w:rsidR="00942C52">
              <w:rPr>
                <w:noProof/>
                <w:webHidden/>
              </w:rPr>
            </w:r>
            <w:r w:rsidR="00942C52">
              <w:rPr>
                <w:noProof/>
                <w:webHidden/>
              </w:rPr>
              <w:fldChar w:fldCharType="separate"/>
            </w:r>
            <w:r w:rsidR="001D7BD6">
              <w:rPr>
                <w:noProof/>
                <w:webHidden/>
              </w:rPr>
              <w:t>35</w:t>
            </w:r>
            <w:r w:rsidR="00942C52">
              <w:rPr>
                <w:noProof/>
                <w:webHidden/>
              </w:rPr>
              <w:fldChar w:fldCharType="end"/>
            </w:r>
          </w:hyperlink>
        </w:p>
        <w:p w:rsidR="001D7BD6" w:rsidRDefault="008858B6">
          <w:pPr>
            <w:pStyle w:val="TOC1"/>
            <w:tabs>
              <w:tab w:val="right" w:leader="dot" w:pos="9350"/>
            </w:tabs>
            <w:rPr>
              <w:rFonts w:asciiTheme="minorHAnsi" w:hAnsiTheme="minorHAnsi"/>
              <w:noProof/>
              <w:sz w:val="22"/>
            </w:rPr>
          </w:pPr>
          <w:hyperlink w:anchor="_Toc502770453" w:history="1">
            <w:r w:rsidR="001D7BD6" w:rsidRPr="009278B4">
              <w:rPr>
                <w:rStyle w:val="Hyperlink"/>
                <w:noProof/>
              </w:rPr>
              <w:t>Conclusion</w:t>
            </w:r>
            <w:r w:rsidR="001D7BD6">
              <w:rPr>
                <w:noProof/>
                <w:webHidden/>
              </w:rPr>
              <w:tab/>
            </w:r>
            <w:r w:rsidR="00942C52">
              <w:rPr>
                <w:noProof/>
                <w:webHidden/>
              </w:rPr>
              <w:fldChar w:fldCharType="begin"/>
            </w:r>
            <w:r w:rsidR="001D7BD6">
              <w:rPr>
                <w:noProof/>
                <w:webHidden/>
              </w:rPr>
              <w:instrText xml:space="preserve"> PAGEREF _Toc502770453 \h </w:instrText>
            </w:r>
            <w:r w:rsidR="00942C52">
              <w:rPr>
                <w:noProof/>
                <w:webHidden/>
              </w:rPr>
            </w:r>
            <w:r w:rsidR="00942C52">
              <w:rPr>
                <w:noProof/>
                <w:webHidden/>
              </w:rPr>
              <w:fldChar w:fldCharType="separate"/>
            </w:r>
            <w:r w:rsidR="001D7BD6">
              <w:rPr>
                <w:noProof/>
                <w:webHidden/>
              </w:rPr>
              <w:t>38</w:t>
            </w:r>
            <w:r w:rsidR="00942C52">
              <w:rPr>
                <w:noProof/>
                <w:webHidden/>
              </w:rPr>
              <w:fldChar w:fldCharType="end"/>
            </w:r>
          </w:hyperlink>
        </w:p>
        <w:p w:rsidR="001D7BD6" w:rsidRDefault="008858B6">
          <w:pPr>
            <w:pStyle w:val="TOC1"/>
            <w:tabs>
              <w:tab w:val="right" w:leader="dot" w:pos="9350"/>
            </w:tabs>
            <w:rPr>
              <w:rFonts w:asciiTheme="minorHAnsi" w:hAnsiTheme="minorHAnsi"/>
              <w:noProof/>
              <w:sz w:val="22"/>
            </w:rPr>
          </w:pPr>
          <w:hyperlink w:anchor="_Toc502770454" w:history="1">
            <w:r w:rsidR="001D7BD6" w:rsidRPr="009278B4">
              <w:rPr>
                <w:rStyle w:val="Hyperlink"/>
                <w:noProof/>
              </w:rPr>
              <w:t>8.0 PowerPoint presentation</w:t>
            </w:r>
            <w:r w:rsidR="001D7BD6">
              <w:rPr>
                <w:noProof/>
                <w:webHidden/>
              </w:rPr>
              <w:tab/>
            </w:r>
            <w:r w:rsidR="00942C52">
              <w:rPr>
                <w:noProof/>
                <w:webHidden/>
              </w:rPr>
              <w:fldChar w:fldCharType="begin"/>
            </w:r>
            <w:r w:rsidR="001D7BD6">
              <w:rPr>
                <w:noProof/>
                <w:webHidden/>
              </w:rPr>
              <w:instrText xml:space="preserve"> PAGEREF _Toc502770454 \h </w:instrText>
            </w:r>
            <w:r w:rsidR="00942C52">
              <w:rPr>
                <w:noProof/>
                <w:webHidden/>
              </w:rPr>
            </w:r>
            <w:r w:rsidR="00942C52">
              <w:rPr>
                <w:noProof/>
                <w:webHidden/>
              </w:rPr>
              <w:fldChar w:fldCharType="separate"/>
            </w:r>
            <w:r w:rsidR="001D7BD6">
              <w:rPr>
                <w:noProof/>
                <w:webHidden/>
              </w:rPr>
              <w:t>39</w:t>
            </w:r>
            <w:r w:rsidR="00942C52">
              <w:rPr>
                <w:noProof/>
                <w:webHidden/>
              </w:rPr>
              <w:fldChar w:fldCharType="end"/>
            </w:r>
          </w:hyperlink>
        </w:p>
        <w:p w:rsidR="001D7BD6" w:rsidRDefault="008858B6">
          <w:pPr>
            <w:pStyle w:val="TOC1"/>
            <w:tabs>
              <w:tab w:val="right" w:leader="dot" w:pos="9350"/>
            </w:tabs>
            <w:rPr>
              <w:rFonts w:asciiTheme="minorHAnsi" w:hAnsiTheme="minorHAnsi"/>
              <w:noProof/>
              <w:sz w:val="22"/>
            </w:rPr>
          </w:pPr>
          <w:hyperlink w:anchor="_Toc502770455" w:history="1">
            <w:r w:rsidR="001D7BD6" w:rsidRPr="009278B4">
              <w:rPr>
                <w:rStyle w:val="Hyperlink"/>
                <w:noProof/>
              </w:rPr>
              <w:t>References</w:t>
            </w:r>
            <w:r w:rsidR="001D7BD6">
              <w:rPr>
                <w:noProof/>
                <w:webHidden/>
              </w:rPr>
              <w:tab/>
            </w:r>
            <w:r w:rsidR="00942C52">
              <w:rPr>
                <w:noProof/>
                <w:webHidden/>
              </w:rPr>
              <w:fldChar w:fldCharType="begin"/>
            </w:r>
            <w:r w:rsidR="001D7BD6">
              <w:rPr>
                <w:noProof/>
                <w:webHidden/>
              </w:rPr>
              <w:instrText xml:space="preserve"> PAGEREF _Toc502770455 \h </w:instrText>
            </w:r>
            <w:r w:rsidR="00942C52">
              <w:rPr>
                <w:noProof/>
                <w:webHidden/>
              </w:rPr>
            </w:r>
            <w:r w:rsidR="00942C52">
              <w:rPr>
                <w:noProof/>
                <w:webHidden/>
              </w:rPr>
              <w:fldChar w:fldCharType="separate"/>
            </w:r>
            <w:r w:rsidR="001D7BD6">
              <w:rPr>
                <w:noProof/>
                <w:webHidden/>
              </w:rPr>
              <w:t>46</w:t>
            </w:r>
            <w:r w:rsidR="00942C52">
              <w:rPr>
                <w:noProof/>
                <w:webHidden/>
              </w:rPr>
              <w:fldChar w:fldCharType="end"/>
            </w:r>
          </w:hyperlink>
        </w:p>
        <w:p w:rsidR="001D7BD6" w:rsidRDefault="008858B6">
          <w:pPr>
            <w:pStyle w:val="TOC1"/>
            <w:tabs>
              <w:tab w:val="right" w:leader="dot" w:pos="9350"/>
            </w:tabs>
            <w:rPr>
              <w:rFonts w:asciiTheme="minorHAnsi" w:hAnsiTheme="minorHAnsi"/>
              <w:noProof/>
              <w:sz w:val="22"/>
            </w:rPr>
          </w:pPr>
          <w:hyperlink w:anchor="_Toc502770456" w:history="1">
            <w:r w:rsidR="001D7BD6" w:rsidRPr="009278B4">
              <w:rPr>
                <w:rStyle w:val="Hyperlink"/>
                <w:noProof/>
              </w:rPr>
              <w:t>Appendix:</w:t>
            </w:r>
            <w:r w:rsidR="001D7BD6">
              <w:rPr>
                <w:noProof/>
                <w:webHidden/>
              </w:rPr>
              <w:tab/>
            </w:r>
            <w:r w:rsidR="00942C52">
              <w:rPr>
                <w:noProof/>
                <w:webHidden/>
              </w:rPr>
              <w:fldChar w:fldCharType="begin"/>
            </w:r>
            <w:r w:rsidR="001D7BD6">
              <w:rPr>
                <w:noProof/>
                <w:webHidden/>
              </w:rPr>
              <w:instrText xml:space="preserve"> PAGEREF _Toc502770456 \h </w:instrText>
            </w:r>
            <w:r w:rsidR="00942C52">
              <w:rPr>
                <w:noProof/>
                <w:webHidden/>
              </w:rPr>
            </w:r>
            <w:r w:rsidR="00942C52">
              <w:rPr>
                <w:noProof/>
                <w:webHidden/>
              </w:rPr>
              <w:fldChar w:fldCharType="separate"/>
            </w:r>
            <w:r w:rsidR="001D7BD6">
              <w:rPr>
                <w:noProof/>
                <w:webHidden/>
              </w:rPr>
              <w:t>47</w:t>
            </w:r>
            <w:r w:rsidR="00942C52">
              <w:rPr>
                <w:noProof/>
                <w:webHidden/>
              </w:rPr>
              <w:fldChar w:fldCharType="end"/>
            </w:r>
          </w:hyperlink>
        </w:p>
        <w:p w:rsidR="001D7BD6" w:rsidRDefault="008858B6">
          <w:pPr>
            <w:pStyle w:val="TOC1"/>
            <w:tabs>
              <w:tab w:val="right" w:leader="dot" w:pos="9350"/>
            </w:tabs>
            <w:rPr>
              <w:rFonts w:asciiTheme="minorHAnsi" w:hAnsiTheme="minorHAnsi"/>
              <w:noProof/>
              <w:sz w:val="22"/>
            </w:rPr>
          </w:pPr>
          <w:hyperlink w:anchor="_Toc502770457" w:history="1">
            <w:r w:rsidR="001D7BD6" w:rsidRPr="009278B4">
              <w:rPr>
                <w:rStyle w:val="Hyperlink"/>
                <w:noProof/>
              </w:rPr>
              <w:t>Appendix</w:t>
            </w:r>
            <w:r w:rsidR="001D7BD6">
              <w:rPr>
                <w:noProof/>
                <w:webHidden/>
              </w:rPr>
              <w:tab/>
            </w:r>
            <w:r w:rsidR="00942C52">
              <w:rPr>
                <w:noProof/>
                <w:webHidden/>
              </w:rPr>
              <w:fldChar w:fldCharType="begin"/>
            </w:r>
            <w:r w:rsidR="001D7BD6">
              <w:rPr>
                <w:noProof/>
                <w:webHidden/>
              </w:rPr>
              <w:instrText xml:space="preserve"> PAGEREF _Toc502770457 \h </w:instrText>
            </w:r>
            <w:r w:rsidR="00942C52">
              <w:rPr>
                <w:noProof/>
                <w:webHidden/>
              </w:rPr>
            </w:r>
            <w:r w:rsidR="00942C52">
              <w:rPr>
                <w:noProof/>
                <w:webHidden/>
              </w:rPr>
              <w:fldChar w:fldCharType="separate"/>
            </w:r>
            <w:r w:rsidR="001D7BD6">
              <w:rPr>
                <w:noProof/>
                <w:webHidden/>
              </w:rPr>
              <w:t>50</w:t>
            </w:r>
            <w:r w:rsidR="00942C52">
              <w:rPr>
                <w:noProof/>
                <w:webHidden/>
              </w:rPr>
              <w:fldChar w:fldCharType="end"/>
            </w:r>
          </w:hyperlink>
        </w:p>
        <w:p w:rsidR="001D7BD6" w:rsidRDefault="008858B6">
          <w:pPr>
            <w:pStyle w:val="TOC2"/>
            <w:tabs>
              <w:tab w:val="right" w:leader="dot" w:pos="9350"/>
            </w:tabs>
            <w:rPr>
              <w:rFonts w:asciiTheme="minorHAnsi" w:hAnsiTheme="minorHAnsi"/>
              <w:noProof/>
              <w:sz w:val="22"/>
            </w:rPr>
          </w:pPr>
          <w:hyperlink w:anchor="_Toc502770458" w:history="1">
            <w:r w:rsidR="001D7BD6" w:rsidRPr="009278B4">
              <w:rPr>
                <w:rStyle w:val="Hyperlink"/>
                <w:rFonts w:eastAsia="Times New Roman"/>
                <w:noProof/>
              </w:rPr>
              <w:t>British telecom (BT) Ratio Analysis</w:t>
            </w:r>
            <w:r w:rsidR="001D7BD6">
              <w:rPr>
                <w:noProof/>
                <w:webHidden/>
              </w:rPr>
              <w:tab/>
            </w:r>
            <w:r w:rsidR="00942C52">
              <w:rPr>
                <w:noProof/>
                <w:webHidden/>
              </w:rPr>
              <w:fldChar w:fldCharType="begin"/>
            </w:r>
            <w:r w:rsidR="001D7BD6">
              <w:rPr>
                <w:noProof/>
                <w:webHidden/>
              </w:rPr>
              <w:instrText xml:space="preserve"> PAGEREF _Toc502770458 \h </w:instrText>
            </w:r>
            <w:r w:rsidR="00942C52">
              <w:rPr>
                <w:noProof/>
                <w:webHidden/>
              </w:rPr>
            </w:r>
            <w:r w:rsidR="00942C52">
              <w:rPr>
                <w:noProof/>
                <w:webHidden/>
              </w:rPr>
              <w:fldChar w:fldCharType="separate"/>
            </w:r>
            <w:r w:rsidR="001D7BD6">
              <w:rPr>
                <w:noProof/>
                <w:webHidden/>
              </w:rPr>
              <w:t>50</w:t>
            </w:r>
            <w:r w:rsidR="00942C52">
              <w:rPr>
                <w:noProof/>
                <w:webHidden/>
              </w:rPr>
              <w:fldChar w:fldCharType="end"/>
            </w:r>
          </w:hyperlink>
        </w:p>
        <w:p w:rsidR="001D7BD6" w:rsidRDefault="008858B6">
          <w:pPr>
            <w:pStyle w:val="TOC2"/>
            <w:tabs>
              <w:tab w:val="right" w:leader="dot" w:pos="9350"/>
            </w:tabs>
            <w:rPr>
              <w:rFonts w:asciiTheme="minorHAnsi" w:hAnsiTheme="minorHAnsi"/>
              <w:noProof/>
              <w:sz w:val="22"/>
            </w:rPr>
          </w:pPr>
          <w:hyperlink w:anchor="_Toc502770459" w:history="1">
            <w:r w:rsidR="001D7BD6" w:rsidRPr="009278B4">
              <w:rPr>
                <w:rStyle w:val="Hyperlink"/>
                <w:rFonts w:eastAsia="Times New Roman"/>
                <w:noProof/>
              </w:rPr>
              <w:t>Vodafone Ratio Analysis</w:t>
            </w:r>
            <w:r w:rsidR="001D7BD6">
              <w:rPr>
                <w:noProof/>
                <w:webHidden/>
              </w:rPr>
              <w:tab/>
            </w:r>
            <w:r w:rsidR="00942C52">
              <w:rPr>
                <w:noProof/>
                <w:webHidden/>
              </w:rPr>
              <w:fldChar w:fldCharType="begin"/>
            </w:r>
            <w:r w:rsidR="001D7BD6">
              <w:rPr>
                <w:noProof/>
                <w:webHidden/>
              </w:rPr>
              <w:instrText xml:space="preserve"> PAGEREF _Toc502770459 \h </w:instrText>
            </w:r>
            <w:r w:rsidR="00942C52">
              <w:rPr>
                <w:noProof/>
                <w:webHidden/>
              </w:rPr>
            </w:r>
            <w:r w:rsidR="00942C52">
              <w:rPr>
                <w:noProof/>
                <w:webHidden/>
              </w:rPr>
              <w:fldChar w:fldCharType="separate"/>
            </w:r>
            <w:r w:rsidR="001D7BD6">
              <w:rPr>
                <w:noProof/>
                <w:webHidden/>
              </w:rPr>
              <w:t>51</w:t>
            </w:r>
            <w:r w:rsidR="00942C52">
              <w:rPr>
                <w:noProof/>
                <w:webHidden/>
              </w:rPr>
              <w:fldChar w:fldCharType="end"/>
            </w:r>
          </w:hyperlink>
        </w:p>
        <w:p w:rsidR="00BD15A2" w:rsidRDefault="00942C52">
          <w:r>
            <w:fldChar w:fldCharType="end"/>
          </w:r>
        </w:p>
      </w:sdtContent>
    </w:sdt>
    <w:p w:rsidR="00BD15A2" w:rsidRDefault="00BD15A2">
      <w:pPr>
        <w:rPr>
          <w:rFonts w:asciiTheme="majorHAnsi" w:eastAsiaTheme="majorEastAsia" w:hAnsiTheme="majorHAnsi" w:cstheme="majorBidi"/>
          <w:b/>
          <w:bCs/>
          <w:color w:val="365F91" w:themeColor="accent1" w:themeShade="BF"/>
          <w:sz w:val="28"/>
          <w:szCs w:val="28"/>
        </w:rPr>
      </w:pPr>
      <w:r>
        <w:br w:type="page"/>
      </w:r>
    </w:p>
    <w:p w:rsidR="00BD15A2" w:rsidRDefault="00BD15A2" w:rsidP="00107D0F">
      <w:pPr>
        <w:pStyle w:val="Heading1"/>
      </w:pPr>
    </w:p>
    <w:p w:rsidR="00107D0F" w:rsidRDefault="00520CD9" w:rsidP="00107D0F">
      <w:pPr>
        <w:pStyle w:val="Heading1"/>
      </w:pPr>
      <w:bookmarkStart w:id="0" w:name="_Toc502770435"/>
      <w:r>
        <w:t xml:space="preserve">1.0 </w:t>
      </w:r>
      <w:r w:rsidR="00107D0F">
        <w:t>Introduction</w:t>
      </w:r>
      <w:bookmarkEnd w:id="0"/>
    </w:p>
    <w:p w:rsidR="00BA3F0C" w:rsidRPr="00BA3F0C" w:rsidRDefault="00BA3F0C" w:rsidP="00BA3F0C">
      <w:pPr>
        <w:rPr>
          <w:rFonts w:cs="Times New Roman"/>
          <w:szCs w:val="24"/>
        </w:rPr>
      </w:pPr>
      <w:r>
        <w:rPr>
          <w:rFonts w:cs="Times New Roman"/>
          <w:szCs w:val="24"/>
        </w:rPr>
        <w:t>Financial</w:t>
      </w:r>
      <w:r w:rsidR="008F6CF8">
        <w:rPr>
          <w:rFonts w:cs="Times New Roman"/>
          <w:szCs w:val="24"/>
        </w:rPr>
        <w:t xml:space="preserve"> statement analysis is a judgment procedures helps the management to determine the change in the trends</w:t>
      </w:r>
      <w:r w:rsidR="006C77E0">
        <w:rPr>
          <w:rFonts w:cs="Times New Roman"/>
          <w:szCs w:val="24"/>
        </w:rPr>
        <w:t>,</w:t>
      </w:r>
      <w:r w:rsidR="008F6CF8">
        <w:rPr>
          <w:rFonts w:cs="Times New Roman"/>
          <w:szCs w:val="24"/>
        </w:rPr>
        <w:t xml:space="preserve"> and the investigation and relationship of the reason underlying those changes in successful </w:t>
      </w:r>
      <w:r w:rsidR="006B758E">
        <w:rPr>
          <w:rFonts w:cs="Times New Roman"/>
          <w:szCs w:val="24"/>
        </w:rPr>
        <w:t>manner</w:t>
      </w:r>
      <w:r w:rsidR="006B758E" w:rsidRPr="006B758E">
        <w:rPr>
          <w:rFonts w:cs="Times New Roman"/>
          <w:szCs w:val="24"/>
        </w:rPr>
        <w:t xml:space="preserve"> </w:t>
      </w:r>
      <w:r w:rsidR="006B758E">
        <w:rPr>
          <w:rFonts w:cs="Times New Roman"/>
          <w:szCs w:val="24"/>
        </w:rPr>
        <w:t>(</w:t>
      </w:r>
      <w:r w:rsidR="006B758E" w:rsidRPr="006B758E">
        <w:rPr>
          <w:rFonts w:cs="Times New Roman"/>
          <w:szCs w:val="24"/>
        </w:rPr>
        <w:t>Madura</w:t>
      </w:r>
      <w:r w:rsidR="006B758E">
        <w:rPr>
          <w:rFonts w:cs="Times New Roman"/>
          <w:szCs w:val="24"/>
        </w:rPr>
        <w:t xml:space="preserve">, </w:t>
      </w:r>
      <w:r w:rsidR="006B758E" w:rsidRPr="006B758E">
        <w:rPr>
          <w:rFonts w:cs="Times New Roman"/>
          <w:szCs w:val="24"/>
        </w:rPr>
        <w:t>2011).</w:t>
      </w:r>
      <w:r w:rsidR="008F6CF8">
        <w:rPr>
          <w:rFonts w:cs="Times New Roman"/>
          <w:szCs w:val="24"/>
        </w:rPr>
        <w:t xml:space="preserve">  </w:t>
      </w:r>
      <w:r w:rsidR="006C77E0">
        <w:rPr>
          <w:rFonts w:cs="Times New Roman"/>
          <w:szCs w:val="24"/>
        </w:rPr>
        <w:t xml:space="preserve">Mainly ratios analysis techniques is </w:t>
      </w:r>
      <w:r w:rsidR="004127D7">
        <w:rPr>
          <w:rFonts w:cs="Times New Roman"/>
          <w:szCs w:val="24"/>
        </w:rPr>
        <w:t>mainly</w:t>
      </w:r>
      <w:r w:rsidR="006C77E0">
        <w:rPr>
          <w:rFonts w:cs="Times New Roman"/>
          <w:szCs w:val="24"/>
        </w:rPr>
        <w:t xml:space="preserve"> utilized by the financial manager to analyze the financial statement</w:t>
      </w:r>
      <w:r w:rsidR="00F6629F">
        <w:rPr>
          <w:rFonts w:cs="Times New Roman"/>
          <w:szCs w:val="24"/>
        </w:rPr>
        <w:t xml:space="preserve"> and these financial ratios are mainly presented in terms of times and percentages.  The main objective of present assignment is to evaluate financial statement of the organization </w:t>
      </w:r>
      <w:r w:rsidR="006C7382">
        <w:rPr>
          <w:rFonts w:cs="Times New Roman"/>
          <w:szCs w:val="24"/>
        </w:rPr>
        <w:t xml:space="preserve">using financial ratios. In </w:t>
      </w:r>
      <w:r w:rsidR="00E907B8">
        <w:rPr>
          <w:rFonts w:cs="Times New Roman"/>
          <w:szCs w:val="24"/>
        </w:rPr>
        <w:t>this procedure</w:t>
      </w:r>
      <w:r w:rsidR="006C7382">
        <w:rPr>
          <w:rFonts w:cs="Times New Roman"/>
          <w:szCs w:val="24"/>
        </w:rPr>
        <w:t xml:space="preserve">, UK’s top two organization have been selected and their ratios for FYs 2012,2013,2014,2015 and 2016 have </w:t>
      </w:r>
      <w:r w:rsidR="00E907B8">
        <w:rPr>
          <w:rFonts w:cs="Times New Roman"/>
          <w:szCs w:val="24"/>
        </w:rPr>
        <w:t xml:space="preserve">been computed. In this regards, British telecommunication and </w:t>
      </w:r>
      <w:r w:rsidR="00352DA5">
        <w:rPr>
          <w:rFonts w:cs="Times New Roman"/>
          <w:szCs w:val="24"/>
        </w:rPr>
        <w:t>Vodafone</w:t>
      </w:r>
      <w:r w:rsidR="00E907B8">
        <w:rPr>
          <w:rFonts w:cs="Times New Roman"/>
          <w:szCs w:val="24"/>
        </w:rPr>
        <w:t xml:space="preserve"> telecommunication organizations have been selected. The ratios groups have been emphasized on the liquidity ratios, gearing ratios, profitability ratios and efficenceny ratios. Then the present </w:t>
      </w:r>
      <w:r w:rsidR="00CC3467">
        <w:rPr>
          <w:rFonts w:cs="Times New Roman"/>
          <w:szCs w:val="24"/>
        </w:rPr>
        <w:t>reports have</w:t>
      </w:r>
      <w:r w:rsidR="00E907B8">
        <w:rPr>
          <w:rFonts w:cs="Times New Roman"/>
          <w:szCs w:val="24"/>
        </w:rPr>
        <w:t xml:space="preserve"> been comparing comparative financial performance of these two organizations</w:t>
      </w:r>
      <w:r w:rsidR="00030659">
        <w:rPr>
          <w:rFonts w:cs="Times New Roman"/>
          <w:szCs w:val="24"/>
        </w:rPr>
        <w:t xml:space="preserve"> based on the findings of ratios analysis and addition data presented in the annual report. </w:t>
      </w:r>
      <w:r w:rsidR="00845625">
        <w:rPr>
          <w:rFonts w:cs="Times New Roman"/>
          <w:szCs w:val="24"/>
        </w:rPr>
        <w:t xml:space="preserve">The report also deals with benefits and limitation of the ratios analysis techniques.    </w:t>
      </w:r>
      <w:r w:rsidR="00E907B8">
        <w:rPr>
          <w:rFonts w:cs="Times New Roman"/>
          <w:szCs w:val="24"/>
        </w:rPr>
        <w:t xml:space="preserve">        </w:t>
      </w:r>
      <w:r w:rsidR="006C7382">
        <w:rPr>
          <w:rFonts w:cs="Times New Roman"/>
          <w:szCs w:val="24"/>
        </w:rPr>
        <w:t xml:space="preserve">   </w:t>
      </w:r>
      <w:r w:rsidR="00F6629F">
        <w:rPr>
          <w:rFonts w:cs="Times New Roman"/>
          <w:szCs w:val="24"/>
        </w:rPr>
        <w:t xml:space="preserve">   </w:t>
      </w:r>
      <w:r w:rsidR="006C77E0">
        <w:rPr>
          <w:rFonts w:cs="Times New Roman"/>
          <w:szCs w:val="24"/>
        </w:rPr>
        <w:t xml:space="preserve">  </w:t>
      </w:r>
      <w:r w:rsidR="008F6CF8">
        <w:rPr>
          <w:rFonts w:cs="Times New Roman"/>
          <w:szCs w:val="24"/>
        </w:rPr>
        <w:t xml:space="preserve">    </w:t>
      </w:r>
    </w:p>
    <w:p w:rsidR="00107D0F" w:rsidRPr="00107D0F" w:rsidRDefault="00107D0F" w:rsidP="00107D0F">
      <w:pPr>
        <w:rPr>
          <w:rFonts w:cs="Times New Roman"/>
          <w:szCs w:val="24"/>
        </w:rPr>
      </w:pPr>
    </w:p>
    <w:p w:rsidR="00107D0F" w:rsidRDefault="00520CD9" w:rsidP="00107D0F">
      <w:pPr>
        <w:pStyle w:val="Heading1"/>
      </w:pPr>
      <w:bookmarkStart w:id="1" w:name="_Toc502770436"/>
      <w:r>
        <w:t xml:space="preserve">2.0 </w:t>
      </w:r>
      <w:r w:rsidR="00107D0F">
        <w:t>Background of the British telecommunication</w:t>
      </w:r>
      <w:bookmarkEnd w:id="1"/>
      <w:r w:rsidR="00107D0F">
        <w:t xml:space="preserve"> </w:t>
      </w:r>
    </w:p>
    <w:p w:rsidR="00520CD9" w:rsidRDefault="00520CD9" w:rsidP="00845625">
      <w:pPr>
        <w:rPr>
          <w:rFonts w:cs="Times New Roman"/>
          <w:szCs w:val="24"/>
        </w:rPr>
      </w:pPr>
    </w:p>
    <w:p w:rsidR="00520CD9" w:rsidRDefault="00520CD9" w:rsidP="00520CD9">
      <w:pPr>
        <w:pStyle w:val="Heading2"/>
      </w:pPr>
      <w:bookmarkStart w:id="2" w:name="_Toc502770437"/>
      <w:r>
        <w:t>2.1 Introduction</w:t>
      </w:r>
      <w:bookmarkEnd w:id="2"/>
      <w:r>
        <w:t xml:space="preserve"> </w:t>
      </w:r>
    </w:p>
    <w:p w:rsidR="007A1663" w:rsidRDefault="00C36B19" w:rsidP="00845625">
      <w:pPr>
        <w:rPr>
          <w:rFonts w:cs="Times New Roman"/>
          <w:szCs w:val="24"/>
        </w:rPr>
      </w:pPr>
      <w:r>
        <w:rPr>
          <w:rFonts w:cs="Times New Roman"/>
          <w:szCs w:val="24"/>
        </w:rPr>
        <w:t>British telecommunication organization is the biggest and largest telecommunication provider in the United Kingdom</w:t>
      </w:r>
      <w:r w:rsidR="0050733D">
        <w:rPr>
          <w:rFonts w:cs="Times New Roman"/>
          <w:szCs w:val="24"/>
        </w:rPr>
        <w:t xml:space="preserve"> with head offices in London in UK. The organization was privatized in the year of 1984 and presently it is operated more than 170 countries in the nations. British telecommunication’s main functions or activities in UK are </w:t>
      </w:r>
      <w:r w:rsidR="005258BB">
        <w:rPr>
          <w:rFonts w:cs="Times New Roman"/>
          <w:szCs w:val="24"/>
        </w:rPr>
        <w:t xml:space="preserve">IT services, Telecommunication services, phone services, and broadband services, television services in both national and international </w:t>
      </w:r>
      <w:r w:rsidR="006B758E">
        <w:rPr>
          <w:rFonts w:cs="Times New Roman"/>
          <w:szCs w:val="24"/>
        </w:rPr>
        <w:t>market</w:t>
      </w:r>
      <w:r w:rsidR="006B758E" w:rsidRPr="006B758E">
        <w:rPr>
          <w:rFonts w:cs="Times New Roman"/>
          <w:szCs w:val="24"/>
        </w:rPr>
        <w:t xml:space="preserve"> (</w:t>
      </w:r>
      <w:proofErr w:type="spellStart"/>
      <w:r w:rsidR="006B758E" w:rsidRPr="006B758E">
        <w:rPr>
          <w:rFonts w:cs="Times New Roman"/>
          <w:szCs w:val="24"/>
        </w:rPr>
        <w:t>btplc</w:t>
      </w:r>
      <w:proofErr w:type="spellEnd"/>
      <w:r w:rsidR="006B758E" w:rsidRPr="006B758E">
        <w:rPr>
          <w:rFonts w:cs="Times New Roman"/>
          <w:szCs w:val="24"/>
        </w:rPr>
        <w:t>, 2017)</w:t>
      </w:r>
      <w:r w:rsidR="005D768E">
        <w:rPr>
          <w:rFonts w:cs="Times New Roman"/>
          <w:szCs w:val="24"/>
        </w:rPr>
        <w:t xml:space="preserve">. Apart from that, the organization BT telecommunication </w:t>
      </w:r>
      <w:r w:rsidR="0037559C">
        <w:rPr>
          <w:rFonts w:cs="Times New Roman"/>
          <w:szCs w:val="24"/>
        </w:rPr>
        <w:t>official</w:t>
      </w:r>
      <w:r w:rsidR="005D768E">
        <w:rPr>
          <w:rFonts w:cs="Times New Roman"/>
          <w:szCs w:val="24"/>
        </w:rPr>
        <w:t xml:space="preserve"> partners </w:t>
      </w:r>
      <w:r w:rsidR="0037559C">
        <w:rPr>
          <w:rFonts w:cs="Times New Roman"/>
          <w:szCs w:val="24"/>
        </w:rPr>
        <w:t xml:space="preserve">is </w:t>
      </w:r>
      <w:r w:rsidR="005D768E">
        <w:rPr>
          <w:rFonts w:cs="Times New Roman"/>
          <w:szCs w:val="24"/>
        </w:rPr>
        <w:t xml:space="preserve">the Olympic and Paralympics Games in London 2012.       </w:t>
      </w:r>
      <w:r w:rsidR="005258BB">
        <w:rPr>
          <w:rFonts w:cs="Times New Roman"/>
          <w:szCs w:val="24"/>
        </w:rPr>
        <w:t xml:space="preserve">  </w:t>
      </w:r>
    </w:p>
    <w:p w:rsidR="0037559C" w:rsidRDefault="007A1663" w:rsidP="00845625">
      <w:pPr>
        <w:rPr>
          <w:rFonts w:cs="Times New Roman"/>
          <w:szCs w:val="24"/>
        </w:rPr>
      </w:pPr>
      <w:r>
        <w:rPr>
          <w:rFonts w:cs="Times New Roman"/>
          <w:noProof/>
          <w:szCs w:val="24"/>
          <w:lang w:val="en-IN" w:eastAsia="en-IN"/>
        </w:rPr>
        <w:lastRenderedPageBreak/>
        <w:drawing>
          <wp:inline distT="0" distB="0" distL="0" distR="0">
            <wp:extent cx="5943600" cy="2849245"/>
            <wp:effectExtent l="19050" t="0" r="0" b="0"/>
            <wp:docPr id="1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
                    <a:srcRect/>
                    <a:stretch>
                      <a:fillRect/>
                    </a:stretch>
                  </pic:blipFill>
                  <pic:spPr bwMode="auto">
                    <a:xfrm>
                      <a:off x="0" y="0"/>
                      <a:ext cx="5943600" cy="2849245"/>
                    </a:xfrm>
                    <a:prstGeom prst="rect">
                      <a:avLst/>
                    </a:prstGeom>
                    <a:noFill/>
                    <a:ln w="9525">
                      <a:noFill/>
                      <a:miter lim="800000"/>
                      <a:headEnd/>
                      <a:tailEnd/>
                    </a:ln>
                  </pic:spPr>
                </pic:pic>
              </a:graphicData>
            </a:graphic>
          </wp:inline>
        </w:drawing>
      </w:r>
      <w:r w:rsidR="00750E7B">
        <w:rPr>
          <w:rFonts w:cs="Times New Roman"/>
          <w:szCs w:val="24"/>
        </w:rPr>
        <w:t xml:space="preserve"> </w:t>
      </w:r>
      <w:r w:rsidR="005258BB">
        <w:rPr>
          <w:rFonts w:cs="Times New Roman"/>
          <w:szCs w:val="24"/>
        </w:rPr>
        <w:t xml:space="preserve">  </w:t>
      </w:r>
      <w:r w:rsidR="0050733D">
        <w:rPr>
          <w:rFonts w:cs="Times New Roman"/>
          <w:szCs w:val="24"/>
        </w:rPr>
        <w:t xml:space="preserve">      </w:t>
      </w:r>
    </w:p>
    <w:p w:rsidR="0037559C" w:rsidRPr="00520CD9" w:rsidRDefault="00520CD9" w:rsidP="00520CD9">
      <w:pPr>
        <w:pStyle w:val="Heading2"/>
      </w:pPr>
      <w:bookmarkStart w:id="3" w:name="_Toc502770438"/>
      <w:r>
        <w:t xml:space="preserve">2.2 </w:t>
      </w:r>
      <w:r w:rsidR="0037559C" w:rsidRPr="00520CD9">
        <w:t>Background of the company</w:t>
      </w:r>
      <w:bookmarkEnd w:id="3"/>
      <w:r w:rsidR="0037559C" w:rsidRPr="00520CD9">
        <w:t xml:space="preserve"> </w:t>
      </w:r>
    </w:p>
    <w:p w:rsidR="0037559C" w:rsidRDefault="0037559C" w:rsidP="00845625">
      <w:pPr>
        <w:rPr>
          <w:rFonts w:cs="Times New Roman"/>
          <w:szCs w:val="24"/>
        </w:rPr>
      </w:pPr>
      <w:r>
        <w:rPr>
          <w:rFonts w:cs="Times New Roman"/>
          <w:szCs w:val="24"/>
        </w:rPr>
        <w:t>The organization British telecommunication is one of the leading and oldest telecommunication organizations in both national and international market</w:t>
      </w:r>
      <w:r w:rsidR="0051317B">
        <w:rPr>
          <w:rFonts w:cs="Times New Roman"/>
          <w:szCs w:val="24"/>
        </w:rPr>
        <w:t xml:space="preserve">. </w:t>
      </w:r>
      <w:r>
        <w:rPr>
          <w:rFonts w:cs="Times New Roman"/>
          <w:szCs w:val="24"/>
        </w:rPr>
        <w:t xml:space="preserve">  </w:t>
      </w:r>
      <w:r w:rsidR="00C770C0">
        <w:rPr>
          <w:rFonts w:cs="Times New Roman"/>
          <w:szCs w:val="24"/>
        </w:rPr>
        <w:t xml:space="preserve">British telecommunication was </w:t>
      </w:r>
      <w:r w:rsidR="00F36119">
        <w:rPr>
          <w:rFonts w:cs="Times New Roman"/>
          <w:szCs w:val="24"/>
        </w:rPr>
        <w:t>origin</w:t>
      </w:r>
      <w:r w:rsidR="00C14F96">
        <w:rPr>
          <w:rFonts w:cs="Times New Roman"/>
          <w:szCs w:val="24"/>
        </w:rPr>
        <w:t xml:space="preserve"> </w:t>
      </w:r>
      <w:r w:rsidR="00B70AC8">
        <w:rPr>
          <w:rFonts w:cs="Times New Roman"/>
          <w:szCs w:val="24"/>
        </w:rPr>
        <w:t xml:space="preserve">date back to the establishment of first telecommunications organization in </w:t>
      </w:r>
      <w:r w:rsidR="005A5B6C">
        <w:rPr>
          <w:rFonts w:cs="Times New Roman"/>
          <w:szCs w:val="24"/>
        </w:rPr>
        <w:t xml:space="preserve">Britain and among them the </w:t>
      </w:r>
      <w:r w:rsidR="00F36119">
        <w:rPr>
          <w:rFonts w:cs="Times New Roman"/>
          <w:szCs w:val="24"/>
        </w:rPr>
        <w:t xml:space="preserve">electric </w:t>
      </w:r>
      <w:r w:rsidR="005A5B6C">
        <w:rPr>
          <w:rFonts w:cs="Times New Roman"/>
          <w:szCs w:val="24"/>
        </w:rPr>
        <w:t>telegraph organization</w:t>
      </w:r>
      <w:r w:rsidR="00F36119">
        <w:rPr>
          <w:rFonts w:cs="Times New Roman"/>
          <w:szCs w:val="24"/>
        </w:rPr>
        <w:t xml:space="preserve">, first telegraph services </w:t>
      </w:r>
      <w:r w:rsidR="005A5B6C">
        <w:rPr>
          <w:rFonts w:cs="Times New Roman"/>
          <w:szCs w:val="24"/>
        </w:rPr>
        <w:t>established in year of 1846</w:t>
      </w:r>
      <w:r w:rsidR="00CB1E7F">
        <w:rPr>
          <w:rFonts w:cs="Times New Roman"/>
          <w:szCs w:val="24"/>
        </w:rPr>
        <w:t xml:space="preserve">. </w:t>
      </w:r>
      <w:r w:rsidR="00690EC2">
        <w:rPr>
          <w:rFonts w:cs="Times New Roman"/>
          <w:szCs w:val="24"/>
        </w:rPr>
        <w:t>All</w:t>
      </w:r>
      <w:r w:rsidR="00CB1E7F">
        <w:rPr>
          <w:rFonts w:cs="Times New Roman"/>
          <w:szCs w:val="24"/>
        </w:rPr>
        <w:t xml:space="preserve"> the organizations were merged</w:t>
      </w:r>
      <w:r w:rsidR="00690EC2">
        <w:rPr>
          <w:rFonts w:cs="Times New Roman"/>
          <w:szCs w:val="24"/>
        </w:rPr>
        <w:t xml:space="preserve">, and the other organizations </w:t>
      </w:r>
      <w:r w:rsidR="00CB1E7F">
        <w:rPr>
          <w:rFonts w:cs="Times New Roman"/>
          <w:szCs w:val="24"/>
        </w:rPr>
        <w:t xml:space="preserve">were transferred into </w:t>
      </w:r>
      <w:r w:rsidR="00690EC2">
        <w:rPr>
          <w:rFonts w:cs="Times New Roman"/>
          <w:szCs w:val="24"/>
        </w:rPr>
        <w:t>state control under</w:t>
      </w:r>
      <w:r w:rsidR="00CB1E7F">
        <w:rPr>
          <w:rFonts w:cs="Times New Roman"/>
          <w:szCs w:val="24"/>
        </w:rPr>
        <w:t xml:space="preserve"> post office in year of 1912. </w:t>
      </w:r>
      <w:r w:rsidR="00690EC2">
        <w:rPr>
          <w:rFonts w:cs="Times New Roman"/>
          <w:szCs w:val="24"/>
        </w:rPr>
        <w:t xml:space="preserve">These organizations were rebranded and </w:t>
      </w:r>
      <w:r w:rsidR="00BC7D77">
        <w:rPr>
          <w:rFonts w:cs="Times New Roman"/>
          <w:szCs w:val="24"/>
        </w:rPr>
        <w:t xml:space="preserve">merged as British telecom. In the year of 1977, the carter committee report was suggested </w:t>
      </w:r>
      <w:r w:rsidR="00593110">
        <w:rPr>
          <w:rFonts w:cs="Times New Roman"/>
          <w:szCs w:val="24"/>
        </w:rPr>
        <w:t xml:space="preserve">to further separation of these two services and their reallocation under </w:t>
      </w:r>
      <w:r w:rsidR="001651D5">
        <w:rPr>
          <w:rFonts w:cs="Times New Roman"/>
          <w:szCs w:val="24"/>
        </w:rPr>
        <w:t>individual</w:t>
      </w:r>
      <w:r w:rsidR="00593110">
        <w:rPr>
          <w:rFonts w:cs="Times New Roman"/>
          <w:szCs w:val="24"/>
        </w:rPr>
        <w:t xml:space="preserve"> organization</w:t>
      </w:r>
      <w:r w:rsidR="001651D5">
        <w:rPr>
          <w:rFonts w:cs="Times New Roman"/>
          <w:szCs w:val="24"/>
        </w:rPr>
        <w:t>. In the year of 1980, British telecommunication act 1980</w:t>
      </w:r>
      <w:r w:rsidR="006D2CF9">
        <w:rPr>
          <w:rFonts w:cs="Times New Roman"/>
          <w:szCs w:val="24"/>
        </w:rPr>
        <w:t xml:space="preserve"> bring some changes including as take roles and responsibilities from post office offering </w:t>
      </w:r>
      <w:r w:rsidR="002F7C2E">
        <w:rPr>
          <w:rFonts w:cs="Times New Roman"/>
          <w:szCs w:val="24"/>
        </w:rPr>
        <w:t>telecom</w:t>
      </w:r>
      <w:r w:rsidR="006D2CF9">
        <w:rPr>
          <w:rFonts w:cs="Times New Roman"/>
          <w:szCs w:val="24"/>
        </w:rPr>
        <w:t xml:space="preserve"> services and making two </w:t>
      </w:r>
      <w:r w:rsidR="002F7C2E">
        <w:rPr>
          <w:rFonts w:cs="Times New Roman"/>
          <w:szCs w:val="24"/>
        </w:rPr>
        <w:t>distinct organizations. In such manner the act bounds the secretary of state for trade and industry</w:t>
      </w:r>
      <w:r w:rsidR="002119D4">
        <w:rPr>
          <w:rFonts w:cs="Times New Roman"/>
          <w:szCs w:val="24"/>
        </w:rPr>
        <w:t xml:space="preserve">, as well British telecommunication to license other providers to execute telecommunication services.  </w:t>
      </w:r>
      <w:r w:rsidR="000F244B">
        <w:rPr>
          <w:rFonts w:cs="Times New Roman"/>
          <w:szCs w:val="24"/>
        </w:rPr>
        <w:t xml:space="preserve">In the year of 1982, the </w:t>
      </w:r>
      <w:r w:rsidR="004E3D8A">
        <w:rPr>
          <w:rFonts w:cs="Times New Roman"/>
          <w:szCs w:val="24"/>
        </w:rPr>
        <w:t>government sells</w:t>
      </w:r>
      <w:r w:rsidR="000F244B">
        <w:rPr>
          <w:rFonts w:cs="Times New Roman"/>
          <w:szCs w:val="24"/>
        </w:rPr>
        <w:t xml:space="preserve"> approximately above than 51% of data to private organization and by the end of 1984 BT was privatized</w:t>
      </w:r>
      <w:r w:rsidR="004E3D8A">
        <w:rPr>
          <w:rFonts w:cs="Times New Roman"/>
          <w:szCs w:val="24"/>
        </w:rPr>
        <w:t xml:space="preserve">. In the time, BT sold approximately above than 50% share to the public organizations. </w:t>
      </w:r>
      <w:r w:rsidR="00CB1E7F">
        <w:rPr>
          <w:rFonts w:cs="Times New Roman"/>
          <w:szCs w:val="24"/>
        </w:rPr>
        <w:t xml:space="preserve">  </w:t>
      </w:r>
      <w:r w:rsidR="005A5B6C">
        <w:rPr>
          <w:rFonts w:cs="Times New Roman"/>
          <w:szCs w:val="24"/>
        </w:rPr>
        <w:t xml:space="preserve">  </w:t>
      </w:r>
      <w:r w:rsidR="00B70AC8">
        <w:rPr>
          <w:rFonts w:cs="Times New Roman"/>
          <w:szCs w:val="24"/>
        </w:rPr>
        <w:t xml:space="preserve">    </w:t>
      </w:r>
      <w:r w:rsidR="00C14F96">
        <w:rPr>
          <w:rFonts w:cs="Times New Roman"/>
          <w:szCs w:val="24"/>
        </w:rPr>
        <w:t xml:space="preserve"> </w:t>
      </w:r>
      <w:r w:rsidR="00C770C0">
        <w:rPr>
          <w:rFonts w:cs="Times New Roman"/>
          <w:szCs w:val="24"/>
        </w:rPr>
        <w:t xml:space="preserve"> </w:t>
      </w:r>
      <w:r>
        <w:rPr>
          <w:rFonts w:cs="Times New Roman"/>
          <w:szCs w:val="24"/>
        </w:rPr>
        <w:t xml:space="preserve"> </w:t>
      </w:r>
    </w:p>
    <w:p w:rsidR="0037559C" w:rsidRPr="00520CD9" w:rsidRDefault="00520CD9" w:rsidP="00520CD9">
      <w:pPr>
        <w:pStyle w:val="Heading2"/>
      </w:pPr>
      <w:bookmarkStart w:id="4" w:name="_Toc502770439"/>
      <w:r>
        <w:lastRenderedPageBreak/>
        <w:t xml:space="preserve">2.3 </w:t>
      </w:r>
      <w:r w:rsidR="0037559C" w:rsidRPr="00520CD9">
        <w:t>Financial performance analysis of the company</w:t>
      </w:r>
      <w:bookmarkEnd w:id="4"/>
      <w:r w:rsidR="0037559C" w:rsidRPr="00520CD9">
        <w:t xml:space="preserve"> </w:t>
      </w:r>
    </w:p>
    <w:p w:rsidR="00381A92" w:rsidRDefault="001F2DCD" w:rsidP="00845625">
      <w:pPr>
        <w:rPr>
          <w:rFonts w:cs="Times New Roman"/>
          <w:szCs w:val="24"/>
        </w:rPr>
      </w:pPr>
      <w:r>
        <w:rPr>
          <w:rFonts w:cs="Times New Roman"/>
          <w:szCs w:val="24"/>
        </w:rPr>
        <w:t xml:space="preserve">British telecommunication revenues year ended 31 march 2017 was </w:t>
      </w:r>
      <w:r w:rsidRPr="001F2DCD">
        <w:rPr>
          <w:rFonts w:cs="Times New Roman"/>
          <w:szCs w:val="24"/>
        </w:rPr>
        <w:t>£</w:t>
      </w:r>
      <w:r>
        <w:rPr>
          <w:rFonts w:cs="Times New Roman"/>
          <w:szCs w:val="24"/>
        </w:rPr>
        <w:t xml:space="preserve">24082m pound whereas at the end of FY2016 the organization earned </w:t>
      </w:r>
      <w:r w:rsidRPr="001F2DCD">
        <w:rPr>
          <w:rFonts w:cs="Times New Roman"/>
          <w:szCs w:val="24"/>
        </w:rPr>
        <w:t>£</w:t>
      </w:r>
      <w:r>
        <w:rPr>
          <w:rFonts w:cs="Times New Roman"/>
          <w:szCs w:val="24"/>
        </w:rPr>
        <w:t xml:space="preserve">18879m pound. Therefore the figure indicates that in 2017 company is performing much better and generating about </w:t>
      </w:r>
      <w:r w:rsidR="000F6C07">
        <w:rPr>
          <w:rFonts w:cs="Times New Roman"/>
          <w:szCs w:val="24"/>
        </w:rPr>
        <w:t xml:space="preserve">3.12% revenues higher than previous year as shows in below figures. </w:t>
      </w:r>
      <w:r w:rsidR="00BE79BA">
        <w:rPr>
          <w:rFonts w:cs="Times New Roman"/>
          <w:szCs w:val="24"/>
        </w:rPr>
        <w:t xml:space="preserve">The report also shows that consumer revenues was increased about 7% with a 13% increases in TV and broadband revenues and approximately 4% increases in lines and calls. </w:t>
      </w:r>
      <w:r w:rsidR="00E6228E">
        <w:rPr>
          <w:rFonts w:cs="Times New Roman"/>
          <w:szCs w:val="24"/>
        </w:rPr>
        <w:t xml:space="preserve">Moreover the organization reported operating costs were increased approximately 36% while adjusting operating cost before depreciation and amortization raised about 32% respectively. The organization British telecommunication operating costs before depreciation and amortization were about </w:t>
      </w:r>
      <w:r w:rsidR="00E6228E" w:rsidRPr="001F2DCD">
        <w:rPr>
          <w:rFonts w:cs="Times New Roman"/>
          <w:szCs w:val="24"/>
        </w:rPr>
        <w:t>£</w:t>
      </w:r>
      <w:r w:rsidR="00954583">
        <w:rPr>
          <w:rFonts w:cs="Times New Roman"/>
          <w:szCs w:val="24"/>
        </w:rPr>
        <w:t xml:space="preserve">16437million, increased </w:t>
      </w:r>
      <w:r w:rsidR="00954583" w:rsidRPr="001F2DCD">
        <w:rPr>
          <w:rFonts w:cs="Times New Roman"/>
          <w:szCs w:val="24"/>
        </w:rPr>
        <w:t>£</w:t>
      </w:r>
      <w:r w:rsidR="00954583">
        <w:rPr>
          <w:rFonts w:cs="Times New Roman"/>
          <w:szCs w:val="24"/>
        </w:rPr>
        <w:t>4014 million [FY2015.16,</w:t>
      </w:r>
      <w:r w:rsidR="00954583" w:rsidRPr="00954583">
        <w:rPr>
          <w:rFonts w:cs="Times New Roman"/>
          <w:szCs w:val="24"/>
        </w:rPr>
        <w:t xml:space="preserve"> </w:t>
      </w:r>
      <w:r w:rsidR="00954583" w:rsidRPr="001F2DCD">
        <w:rPr>
          <w:rFonts w:cs="Times New Roman"/>
          <w:szCs w:val="24"/>
        </w:rPr>
        <w:t>£</w:t>
      </w:r>
      <w:r w:rsidR="00954583">
        <w:rPr>
          <w:rFonts w:cs="Times New Roman"/>
          <w:szCs w:val="24"/>
        </w:rPr>
        <w:t>773million] driven by adverse impact of foreign exchanges and acquisitions of EE</w:t>
      </w:r>
      <w:r w:rsidR="00B914F4">
        <w:rPr>
          <w:rFonts w:cs="Times New Roman"/>
          <w:szCs w:val="24"/>
        </w:rPr>
        <w:t xml:space="preserve">. </w:t>
      </w:r>
      <w:r w:rsidR="00E02B24">
        <w:rPr>
          <w:rFonts w:cs="Times New Roman"/>
          <w:szCs w:val="24"/>
        </w:rPr>
        <w:t xml:space="preserve">Apart from that program rights changes raised </w:t>
      </w:r>
      <w:r w:rsidR="00E02B24" w:rsidRPr="001F2DCD">
        <w:rPr>
          <w:rFonts w:cs="Times New Roman"/>
          <w:szCs w:val="24"/>
        </w:rPr>
        <w:t>£</w:t>
      </w:r>
      <w:r w:rsidR="00E02B24">
        <w:rPr>
          <w:rFonts w:cs="Times New Roman"/>
          <w:szCs w:val="24"/>
        </w:rPr>
        <w:t xml:space="preserve">170 million to </w:t>
      </w:r>
      <w:r w:rsidR="00E02B24" w:rsidRPr="001F2DCD">
        <w:rPr>
          <w:rFonts w:cs="Times New Roman"/>
          <w:szCs w:val="24"/>
        </w:rPr>
        <w:t>£</w:t>
      </w:r>
      <w:r w:rsidR="00E02B24">
        <w:rPr>
          <w:rFonts w:cs="Times New Roman"/>
          <w:szCs w:val="24"/>
        </w:rPr>
        <w:t>174million, which shows that the organization operating costs were increased 5% program rights changes from FY2016 to FY2017</w:t>
      </w:r>
      <w:r w:rsidR="006B758E" w:rsidRPr="006B758E">
        <w:rPr>
          <w:rFonts w:cs="Times New Roman"/>
          <w:szCs w:val="24"/>
        </w:rPr>
        <w:t>(</w:t>
      </w:r>
      <w:proofErr w:type="spellStart"/>
      <w:r w:rsidR="006B758E" w:rsidRPr="006B758E">
        <w:rPr>
          <w:rFonts w:cs="Times New Roman"/>
          <w:szCs w:val="24"/>
        </w:rPr>
        <w:t>btplc</w:t>
      </w:r>
      <w:proofErr w:type="spellEnd"/>
      <w:r w:rsidR="006B758E" w:rsidRPr="006B758E">
        <w:rPr>
          <w:rFonts w:cs="Times New Roman"/>
          <w:szCs w:val="24"/>
        </w:rPr>
        <w:t>, 2017)</w:t>
      </w:r>
      <w:r w:rsidR="00E02B24">
        <w:rPr>
          <w:rFonts w:cs="Times New Roman"/>
          <w:szCs w:val="24"/>
        </w:rPr>
        <w:t xml:space="preserve">. On the other hand, it is observed that </w:t>
      </w:r>
      <w:r w:rsidR="00C523DF">
        <w:rPr>
          <w:rFonts w:cs="Times New Roman"/>
          <w:szCs w:val="24"/>
        </w:rPr>
        <w:t xml:space="preserve">property and energy costs were increased about 17%, </w:t>
      </w:r>
      <w:r w:rsidR="006F5D3C">
        <w:rPr>
          <w:rFonts w:cs="Times New Roman"/>
          <w:szCs w:val="24"/>
        </w:rPr>
        <w:t xml:space="preserve">POLOs (payment to telecommunication operators) were increased about 22%, network, IT and operating costs were increased about 53% with these all being influenced by EE. On the other hand organization British excommunication net </w:t>
      </w:r>
      <w:r w:rsidR="000E5401">
        <w:rPr>
          <w:rFonts w:cs="Times New Roman"/>
          <w:szCs w:val="24"/>
        </w:rPr>
        <w:t xml:space="preserve">labour costs increased about 13% despite deduction in leaver expenses of about </w:t>
      </w:r>
      <w:r w:rsidR="000E5401" w:rsidRPr="001F2DCD">
        <w:rPr>
          <w:rFonts w:cs="Times New Roman"/>
          <w:szCs w:val="24"/>
        </w:rPr>
        <w:t>£</w:t>
      </w:r>
      <w:r w:rsidR="000E5401">
        <w:rPr>
          <w:rFonts w:cs="Times New Roman"/>
          <w:szCs w:val="24"/>
        </w:rPr>
        <w:t xml:space="preserve">23m (FY 2015.16; </w:t>
      </w:r>
      <w:r w:rsidR="000E5401" w:rsidRPr="001F2DCD">
        <w:rPr>
          <w:rFonts w:cs="Times New Roman"/>
          <w:szCs w:val="24"/>
        </w:rPr>
        <w:t>£</w:t>
      </w:r>
      <w:r w:rsidR="000E5401">
        <w:rPr>
          <w:rFonts w:cs="Times New Roman"/>
          <w:szCs w:val="24"/>
        </w:rPr>
        <w:t xml:space="preserve">109m) due to the influence of EE.  </w:t>
      </w:r>
      <w:r w:rsidR="00FF5EE2">
        <w:rPr>
          <w:rFonts w:cs="Times New Roman"/>
          <w:szCs w:val="24"/>
        </w:rPr>
        <w:t xml:space="preserve">As per the summarized income statement of BT, it is seen that operating profits of the company was increased about 5.12% from FY2010 to </w:t>
      </w:r>
      <w:r w:rsidR="00223F8B">
        <w:rPr>
          <w:rFonts w:cs="Times New Roman"/>
          <w:szCs w:val="24"/>
        </w:rPr>
        <w:t>FY2017 [FY2016/17;</w:t>
      </w:r>
      <w:r w:rsidR="00223F8B" w:rsidRPr="001F2DCD">
        <w:rPr>
          <w:rFonts w:cs="Times New Roman"/>
          <w:szCs w:val="24"/>
        </w:rPr>
        <w:t xml:space="preserve"> £</w:t>
      </w:r>
      <w:r w:rsidR="00223F8B">
        <w:rPr>
          <w:rFonts w:cs="Times New Roman"/>
          <w:szCs w:val="24"/>
        </w:rPr>
        <w:t xml:space="preserve">3510m, FY2015/16; </w:t>
      </w:r>
      <w:r w:rsidR="00223F8B" w:rsidRPr="001F2DCD">
        <w:rPr>
          <w:rFonts w:cs="Times New Roman"/>
          <w:szCs w:val="24"/>
        </w:rPr>
        <w:t>£</w:t>
      </w:r>
      <w:r w:rsidR="00223F8B">
        <w:rPr>
          <w:rFonts w:cs="Times New Roman"/>
          <w:szCs w:val="24"/>
        </w:rPr>
        <w:t>2631m]</w:t>
      </w:r>
      <w:r w:rsidR="00580C8A">
        <w:rPr>
          <w:rFonts w:cs="Times New Roman"/>
          <w:szCs w:val="24"/>
        </w:rPr>
        <w:t xml:space="preserve"> as shown in below figure</w:t>
      </w:r>
      <w:r w:rsidR="00223F8B">
        <w:rPr>
          <w:rFonts w:cs="Times New Roman"/>
          <w:szCs w:val="24"/>
        </w:rPr>
        <w:t xml:space="preserve">. </w:t>
      </w:r>
      <w:r w:rsidR="00580C8A">
        <w:rPr>
          <w:rFonts w:cs="Times New Roman"/>
          <w:szCs w:val="24"/>
        </w:rPr>
        <w:t xml:space="preserve">The income statement of the company BT also indicates that profit for the year of the company is increased </w:t>
      </w:r>
      <w:r w:rsidR="00381A92" w:rsidRPr="001F2DCD">
        <w:rPr>
          <w:rFonts w:cs="Times New Roman"/>
          <w:szCs w:val="24"/>
        </w:rPr>
        <w:t>£</w:t>
      </w:r>
      <w:r w:rsidR="00381A92">
        <w:rPr>
          <w:rFonts w:cs="Times New Roman"/>
          <w:szCs w:val="24"/>
        </w:rPr>
        <w:t xml:space="preserve">2744m to </w:t>
      </w:r>
      <w:r w:rsidR="00381A92" w:rsidRPr="001F2DCD">
        <w:rPr>
          <w:rFonts w:cs="Times New Roman"/>
          <w:szCs w:val="24"/>
        </w:rPr>
        <w:t>£</w:t>
      </w:r>
      <w:r w:rsidR="00381A92">
        <w:rPr>
          <w:rFonts w:cs="Times New Roman"/>
          <w:szCs w:val="24"/>
        </w:rPr>
        <w:t xml:space="preserve">2869m from FY2015/16 to FY2016/17. </w:t>
      </w:r>
    </w:p>
    <w:p w:rsidR="00520CD9" w:rsidRDefault="00381A92" w:rsidP="001B6E02">
      <w:pPr>
        <w:jc w:val="center"/>
        <w:rPr>
          <w:rFonts w:cs="Times New Roman"/>
          <w:noProof/>
          <w:szCs w:val="24"/>
        </w:rPr>
      </w:pPr>
      <w:r>
        <w:rPr>
          <w:rFonts w:cs="Times New Roman"/>
          <w:noProof/>
          <w:szCs w:val="24"/>
          <w:lang w:val="en-IN" w:eastAsia="en-IN"/>
        </w:rPr>
        <w:drawing>
          <wp:inline distT="0" distB="0" distL="0" distR="0">
            <wp:extent cx="2354745" cy="1743740"/>
            <wp:effectExtent l="19050" t="0" r="74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2354429" cy="1743506"/>
                    </a:xfrm>
                    <a:prstGeom prst="rect">
                      <a:avLst/>
                    </a:prstGeom>
                    <a:noFill/>
                    <a:ln w="9525">
                      <a:noFill/>
                      <a:miter lim="800000"/>
                      <a:headEnd/>
                      <a:tailEnd/>
                    </a:ln>
                  </pic:spPr>
                </pic:pic>
              </a:graphicData>
            </a:graphic>
          </wp:inline>
        </w:drawing>
      </w:r>
      <w:r>
        <w:rPr>
          <w:rFonts w:cs="Times New Roman"/>
          <w:noProof/>
          <w:szCs w:val="24"/>
          <w:lang w:val="en-IN" w:eastAsia="en-IN"/>
        </w:rPr>
        <w:drawing>
          <wp:inline distT="0" distB="0" distL="0" distR="0">
            <wp:extent cx="2709980" cy="1456660"/>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2709661" cy="1456489"/>
                    </a:xfrm>
                    <a:prstGeom prst="rect">
                      <a:avLst/>
                    </a:prstGeom>
                    <a:noFill/>
                    <a:ln w="9525">
                      <a:noFill/>
                      <a:miter lim="800000"/>
                      <a:headEnd/>
                      <a:tailEnd/>
                    </a:ln>
                  </pic:spPr>
                </pic:pic>
              </a:graphicData>
            </a:graphic>
          </wp:inline>
        </w:drawing>
      </w:r>
    </w:p>
    <w:p w:rsidR="00520CD9" w:rsidRPr="00520CD9" w:rsidRDefault="00520CD9" w:rsidP="00520CD9">
      <w:pPr>
        <w:pStyle w:val="Heading2"/>
        <w:rPr>
          <w:noProof/>
        </w:rPr>
      </w:pPr>
      <w:bookmarkStart w:id="5" w:name="_Toc502770440"/>
      <w:r>
        <w:rPr>
          <w:noProof/>
        </w:rPr>
        <w:lastRenderedPageBreak/>
        <w:t xml:space="preserve">2.4 </w:t>
      </w:r>
      <w:r w:rsidRPr="00520CD9">
        <w:rPr>
          <w:noProof/>
        </w:rPr>
        <w:t>Segmenation information</w:t>
      </w:r>
      <w:bookmarkEnd w:id="5"/>
      <w:r w:rsidRPr="00520CD9">
        <w:rPr>
          <w:noProof/>
        </w:rPr>
        <w:t xml:space="preserve"> </w:t>
      </w:r>
    </w:p>
    <w:p w:rsidR="00845625" w:rsidRDefault="000D180F" w:rsidP="00845625">
      <w:pPr>
        <w:rPr>
          <w:rFonts w:cs="Times New Roman"/>
          <w:szCs w:val="24"/>
        </w:rPr>
      </w:pPr>
      <w:r>
        <w:rPr>
          <w:rFonts w:cs="Times New Roman"/>
          <w:szCs w:val="24"/>
        </w:rPr>
        <w:t xml:space="preserve">As per the figure represented in below it is seen that company segmentation revenues and profits for year 2017 </w:t>
      </w:r>
      <w:r w:rsidR="00717B86">
        <w:rPr>
          <w:rFonts w:cs="Times New Roman"/>
          <w:szCs w:val="24"/>
        </w:rPr>
        <w:t xml:space="preserve">of consumer was </w:t>
      </w:r>
      <w:r w:rsidR="00717B86" w:rsidRPr="001F2DCD">
        <w:rPr>
          <w:rFonts w:cs="Times New Roman"/>
          <w:szCs w:val="24"/>
        </w:rPr>
        <w:t>£</w:t>
      </w:r>
      <w:r w:rsidR="00717B86">
        <w:rPr>
          <w:rFonts w:cs="Times New Roman"/>
          <w:szCs w:val="24"/>
        </w:rPr>
        <w:t xml:space="preserve">4934m increased by about 6.5% from </w:t>
      </w:r>
      <w:r w:rsidR="00D92998">
        <w:rPr>
          <w:rFonts w:cs="Times New Roman"/>
          <w:szCs w:val="24"/>
        </w:rPr>
        <w:t>FY2016 [</w:t>
      </w:r>
      <w:r w:rsidR="00D92998" w:rsidRPr="001F2DCD">
        <w:rPr>
          <w:rFonts w:cs="Times New Roman"/>
          <w:szCs w:val="24"/>
        </w:rPr>
        <w:t>£</w:t>
      </w:r>
      <w:r w:rsidR="00D92998">
        <w:rPr>
          <w:rFonts w:cs="Times New Roman"/>
          <w:szCs w:val="24"/>
        </w:rPr>
        <w:t xml:space="preserve">4608m]. The performance of the company in terms of business and public sectors was increased about 7%, global services </w:t>
      </w:r>
      <w:r w:rsidR="00431C7B">
        <w:rPr>
          <w:rFonts w:cs="Times New Roman"/>
          <w:szCs w:val="24"/>
        </w:rPr>
        <w:t>was increased about 8.12%, wholesales and ventures was decreased about 4.5% respectively[Business and publics sectors</w:t>
      </w:r>
      <w:r w:rsidR="00BF2CD2">
        <w:rPr>
          <w:rFonts w:cs="Times New Roman"/>
          <w:szCs w:val="24"/>
        </w:rPr>
        <w:t>(Y2016/17;</w:t>
      </w:r>
      <w:r w:rsidR="00BF2CD2" w:rsidRPr="001F2DCD">
        <w:rPr>
          <w:rFonts w:cs="Times New Roman"/>
          <w:szCs w:val="24"/>
        </w:rPr>
        <w:t xml:space="preserve"> £</w:t>
      </w:r>
      <w:r w:rsidR="00BF2CD2">
        <w:rPr>
          <w:rFonts w:cs="Times New Roman"/>
          <w:szCs w:val="24"/>
        </w:rPr>
        <w:t xml:space="preserve">4758m, FY2015/16; </w:t>
      </w:r>
      <w:r w:rsidR="00BF2CD2" w:rsidRPr="001F2DCD">
        <w:rPr>
          <w:rFonts w:cs="Times New Roman"/>
          <w:szCs w:val="24"/>
        </w:rPr>
        <w:t>£</w:t>
      </w:r>
      <w:r w:rsidR="00BF2CD2">
        <w:rPr>
          <w:rFonts w:cs="Times New Roman"/>
          <w:szCs w:val="24"/>
        </w:rPr>
        <w:t>4294m),global services</w:t>
      </w:r>
      <w:r w:rsidR="00545BB7">
        <w:rPr>
          <w:rFonts w:cs="Times New Roman"/>
          <w:szCs w:val="24"/>
        </w:rPr>
        <w:t>(</w:t>
      </w:r>
      <w:r w:rsidR="00BF2CD2">
        <w:rPr>
          <w:rFonts w:cs="Times New Roman"/>
          <w:szCs w:val="24"/>
        </w:rPr>
        <w:t>FY2016/17;</w:t>
      </w:r>
      <w:r w:rsidR="00BF2CD2" w:rsidRPr="001F2DCD">
        <w:rPr>
          <w:rFonts w:cs="Times New Roman"/>
          <w:szCs w:val="24"/>
        </w:rPr>
        <w:t xml:space="preserve"> £</w:t>
      </w:r>
      <w:r w:rsidR="00BF2CD2">
        <w:rPr>
          <w:rFonts w:cs="Times New Roman"/>
          <w:szCs w:val="24"/>
        </w:rPr>
        <w:t xml:space="preserve">5479m, FY2015/16; </w:t>
      </w:r>
      <w:r w:rsidR="00BF2CD2" w:rsidRPr="001F2DCD">
        <w:rPr>
          <w:rFonts w:cs="Times New Roman"/>
          <w:szCs w:val="24"/>
        </w:rPr>
        <w:t>£</w:t>
      </w:r>
      <w:r w:rsidR="00BF2CD2">
        <w:rPr>
          <w:rFonts w:cs="Times New Roman"/>
          <w:szCs w:val="24"/>
        </w:rPr>
        <w:t>5047m</w:t>
      </w:r>
      <w:r w:rsidR="00545BB7">
        <w:rPr>
          <w:rFonts w:cs="Times New Roman"/>
          <w:szCs w:val="24"/>
        </w:rPr>
        <w:t>)</w:t>
      </w:r>
      <w:r w:rsidR="00BF2CD2">
        <w:rPr>
          <w:rFonts w:cs="Times New Roman"/>
          <w:szCs w:val="24"/>
        </w:rPr>
        <w:t xml:space="preserve"> </w:t>
      </w:r>
      <w:r w:rsidR="00545BB7">
        <w:rPr>
          <w:rFonts w:cs="Times New Roman"/>
          <w:szCs w:val="24"/>
        </w:rPr>
        <w:t>and wholesales and ventures(FY2016/17;</w:t>
      </w:r>
      <w:r w:rsidR="00545BB7" w:rsidRPr="001F2DCD">
        <w:rPr>
          <w:rFonts w:cs="Times New Roman"/>
          <w:szCs w:val="24"/>
        </w:rPr>
        <w:t xml:space="preserve"> £</w:t>
      </w:r>
      <w:r w:rsidR="00545BB7">
        <w:rPr>
          <w:rFonts w:cs="Times New Roman"/>
          <w:szCs w:val="24"/>
        </w:rPr>
        <w:t xml:space="preserve">2109m, FY2015/16; </w:t>
      </w:r>
      <w:r w:rsidR="00545BB7" w:rsidRPr="001F2DCD">
        <w:rPr>
          <w:rFonts w:cs="Times New Roman"/>
          <w:szCs w:val="24"/>
        </w:rPr>
        <w:t>£</w:t>
      </w:r>
      <w:r w:rsidR="00545BB7">
        <w:rPr>
          <w:rFonts w:cs="Times New Roman"/>
          <w:szCs w:val="24"/>
        </w:rPr>
        <w:t>2274m)]</w:t>
      </w:r>
      <w:r w:rsidR="006B758E" w:rsidRPr="006B758E">
        <w:t xml:space="preserve"> </w:t>
      </w:r>
      <w:r w:rsidR="006B758E" w:rsidRPr="006B758E">
        <w:rPr>
          <w:rFonts w:cs="Times New Roman"/>
          <w:szCs w:val="24"/>
        </w:rPr>
        <w:t>(</w:t>
      </w:r>
      <w:proofErr w:type="spellStart"/>
      <w:r w:rsidR="006B758E" w:rsidRPr="006B758E">
        <w:rPr>
          <w:rFonts w:cs="Times New Roman"/>
          <w:szCs w:val="24"/>
        </w:rPr>
        <w:t>btplc</w:t>
      </w:r>
      <w:proofErr w:type="spellEnd"/>
      <w:r w:rsidR="006B758E" w:rsidRPr="006B758E">
        <w:rPr>
          <w:rFonts w:cs="Times New Roman"/>
          <w:szCs w:val="24"/>
        </w:rPr>
        <w:t>, 2017)</w:t>
      </w:r>
      <w:r w:rsidR="00545BB7">
        <w:rPr>
          <w:rFonts w:cs="Times New Roman"/>
          <w:szCs w:val="24"/>
        </w:rPr>
        <w:t xml:space="preserve">. </w:t>
      </w:r>
    </w:p>
    <w:p w:rsidR="00FC19E0" w:rsidRDefault="00FC19E0" w:rsidP="00FC19E0">
      <w:pPr>
        <w:jc w:val="center"/>
        <w:rPr>
          <w:rFonts w:cs="Times New Roman"/>
          <w:szCs w:val="24"/>
        </w:rPr>
      </w:pPr>
      <w:r>
        <w:rPr>
          <w:rFonts w:cs="Times New Roman"/>
          <w:noProof/>
          <w:szCs w:val="24"/>
          <w:lang w:val="en-IN" w:eastAsia="en-IN"/>
        </w:rPr>
        <w:drawing>
          <wp:inline distT="0" distB="0" distL="0" distR="0">
            <wp:extent cx="1329055" cy="212725"/>
            <wp:effectExtent l="19050" t="0" r="444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1329055" cy="212725"/>
                    </a:xfrm>
                    <a:prstGeom prst="rect">
                      <a:avLst/>
                    </a:prstGeom>
                    <a:noFill/>
                    <a:ln w="9525">
                      <a:noFill/>
                      <a:miter lim="800000"/>
                      <a:headEnd/>
                      <a:tailEnd/>
                    </a:ln>
                  </pic:spPr>
                </pic:pic>
              </a:graphicData>
            </a:graphic>
          </wp:inline>
        </w:drawing>
      </w:r>
    </w:p>
    <w:p w:rsidR="00545BB7" w:rsidRDefault="00545BB7" w:rsidP="00845625">
      <w:pPr>
        <w:rPr>
          <w:rFonts w:cs="Times New Roman"/>
          <w:szCs w:val="24"/>
        </w:rPr>
      </w:pPr>
      <w:r>
        <w:rPr>
          <w:rFonts w:cs="Times New Roman"/>
          <w:noProof/>
          <w:szCs w:val="24"/>
          <w:lang w:val="en-IN" w:eastAsia="en-IN"/>
        </w:rPr>
        <w:drawing>
          <wp:inline distT="0" distB="0" distL="0" distR="0">
            <wp:extent cx="5937885" cy="2161540"/>
            <wp:effectExtent l="19050" t="0" r="571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srcRect/>
                    <a:stretch>
                      <a:fillRect/>
                    </a:stretch>
                  </pic:blipFill>
                  <pic:spPr bwMode="auto">
                    <a:xfrm>
                      <a:off x="0" y="0"/>
                      <a:ext cx="5937885" cy="2161540"/>
                    </a:xfrm>
                    <a:prstGeom prst="rect">
                      <a:avLst/>
                    </a:prstGeom>
                    <a:noFill/>
                    <a:ln w="9525">
                      <a:noFill/>
                      <a:miter lim="800000"/>
                      <a:headEnd/>
                      <a:tailEnd/>
                    </a:ln>
                  </pic:spPr>
                </pic:pic>
              </a:graphicData>
            </a:graphic>
          </wp:inline>
        </w:drawing>
      </w:r>
    </w:p>
    <w:p w:rsidR="00545BB7" w:rsidRDefault="00545BB7" w:rsidP="00845625">
      <w:pPr>
        <w:rPr>
          <w:rFonts w:cs="Times New Roman"/>
          <w:szCs w:val="24"/>
        </w:rPr>
      </w:pPr>
      <w:r>
        <w:rPr>
          <w:rFonts w:cs="Times New Roman"/>
          <w:noProof/>
          <w:szCs w:val="24"/>
          <w:lang w:val="en-IN" w:eastAsia="en-IN"/>
        </w:rPr>
        <w:drawing>
          <wp:inline distT="0" distB="0" distL="0" distR="0">
            <wp:extent cx="5943600" cy="2286000"/>
            <wp:effectExtent l="1905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srcRect/>
                    <a:stretch>
                      <a:fillRect/>
                    </a:stretch>
                  </pic:blipFill>
                  <pic:spPr bwMode="auto">
                    <a:xfrm>
                      <a:off x="0" y="0"/>
                      <a:ext cx="5943600" cy="2286000"/>
                    </a:xfrm>
                    <a:prstGeom prst="rect">
                      <a:avLst/>
                    </a:prstGeom>
                    <a:noFill/>
                    <a:ln w="9525">
                      <a:noFill/>
                      <a:miter lim="800000"/>
                      <a:headEnd/>
                      <a:tailEnd/>
                    </a:ln>
                  </pic:spPr>
                </pic:pic>
              </a:graphicData>
            </a:graphic>
          </wp:inline>
        </w:drawing>
      </w:r>
    </w:p>
    <w:p w:rsidR="00545BB7" w:rsidRPr="00845625" w:rsidRDefault="00545BB7" w:rsidP="00845625">
      <w:pPr>
        <w:rPr>
          <w:rFonts w:cs="Times New Roman"/>
          <w:szCs w:val="24"/>
        </w:rPr>
      </w:pPr>
    </w:p>
    <w:p w:rsidR="00107D0F" w:rsidRDefault="00086570" w:rsidP="00107D0F">
      <w:pPr>
        <w:pStyle w:val="Heading1"/>
      </w:pPr>
      <w:bookmarkStart w:id="6" w:name="_Toc502770441"/>
      <w:r>
        <w:lastRenderedPageBreak/>
        <w:t xml:space="preserve">3.0 </w:t>
      </w:r>
      <w:r w:rsidR="00107D0F">
        <w:t>Ratios analysis of British telecommunication</w:t>
      </w:r>
      <w:bookmarkEnd w:id="6"/>
      <w:r w:rsidR="00107D0F">
        <w:t xml:space="preserve"> </w:t>
      </w:r>
    </w:p>
    <w:p w:rsidR="000E625A" w:rsidRPr="000E625A" w:rsidRDefault="00F9215D" w:rsidP="000E625A">
      <w:pPr>
        <w:rPr>
          <w:rFonts w:cs="Times New Roman"/>
          <w:szCs w:val="24"/>
        </w:rPr>
      </w:pPr>
      <w:r>
        <w:rPr>
          <w:rFonts w:cs="Times New Roman"/>
          <w:szCs w:val="24"/>
        </w:rPr>
        <w:t>Financial performance of the company helps the management to determine organization performance trends, competitiveness environment</w:t>
      </w:r>
      <w:r w:rsidR="0002582D">
        <w:rPr>
          <w:rFonts w:cs="Times New Roman"/>
          <w:szCs w:val="24"/>
        </w:rPr>
        <w:t xml:space="preserve">, and reliability of the present and upcoming economic and financial performance of the company in successful manner. The present section deals with the financial analysis performance of the organization British Telecommunication for a year of FY2012 to FY2016. Profitability, liquidity, efficiency and gearing ratios analysis performance have been conducted in present section which helps them to determine organization performance in last few years in successful manner.           </w:t>
      </w:r>
      <w:r>
        <w:rPr>
          <w:rFonts w:cs="Times New Roman"/>
          <w:szCs w:val="24"/>
        </w:rPr>
        <w:t xml:space="preserve"> </w:t>
      </w:r>
    </w:p>
    <w:p w:rsidR="00352DA5" w:rsidRDefault="00086570" w:rsidP="00BD15A2">
      <w:pPr>
        <w:pStyle w:val="Heading2"/>
      </w:pPr>
      <w:bookmarkStart w:id="7" w:name="_Toc502770442"/>
      <w:r>
        <w:t>3.1 Profitability analysis</w:t>
      </w:r>
      <w:bookmarkEnd w:id="7"/>
      <w:r>
        <w:t xml:space="preserve"> </w:t>
      </w:r>
    </w:p>
    <w:p w:rsidR="0002582D" w:rsidRDefault="0002582D" w:rsidP="00086570">
      <w:pPr>
        <w:rPr>
          <w:rFonts w:cs="Times New Roman"/>
          <w:szCs w:val="24"/>
        </w:rPr>
      </w:pPr>
      <w:r>
        <w:rPr>
          <w:rFonts w:cs="Times New Roman"/>
          <w:szCs w:val="24"/>
        </w:rPr>
        <w:t xml:space="preserve">According to </w:t>
      </w:r>
      <w:r w:rsidR="006B758E" w:rsidRPr="006B758E">
        <w:rPr>
          <w:rFonts w:cs="Times New Roman"/>
          <w:szCs w:val="24"/>
        </w:rPr>
        <w:t xml:space="preserve">Healy, </w:t>
      </w:r>
      <w:r w:rsidR="006B758E">
        <w:rPr>
          <w:rFonts w:cs="Times New Roman"/>
          <w:szCs w:val="24"/>
        </w:rPr>
        <w:t>and Palepu, (2012),</w:t>
      </w:r>
      <w:r w:rsidR="006B758E" w:rsidRPr="006B758E">
        <w:rPr>
          <w:rFonts w:cs="Times New Roman"/>
          <w:szCs w:val="24"/>
        </w:rPr>
        <w:t xml:space="preserve"> </w:t>
      </w:r>
      <w:r w:rsidR="007B4FA0">
        <w:rPr>
          <w:rFonts w:cs="Times New Roman"/>
          <w:szCs w:val="24"/>
        </w:rPr>
        <w:t xml:space="preserve">profitability financial analysis is performed by the management to find out the company performance in terms of revenues and performance. </w:t>
      </w:r>
      <w:r w:rsidR="007C2C54">
        <w:rPr>
          <w:rFonts w:cs="Times New Roman"/>
          <w:szCs w:val="24"/>
        </w:rPr>
        <w:t xml:space="preserve">The potential investors and stakeholders have vital concern regarding their investment and the profitability performance analysis is providing information to them regarding organization is generating sufficient return or not.      </w:t>
      </w:r>
    </w:p>
    <w:p w:rsidR="006F7170" w:rsidRDefault="003D502F" w:rsidP="00086570">
      <w:pPr>
        <w:rPr>
          <w:rFonts w:cs="Times New Roman"/>
          <w:szCs w:val="24"/>
        </w:rPr>
      </w:pPr>
      <w:r w:rsidRPr="003D502F">
        <w:rPr>
          <w:rFonts w:cs="Times New Roman"/>
          <w:noProof/>
          <w:szCs w:val="24"/>
          <w:lang w:val="en-IN" w:eastAsia="en-IN"/>
        </w:rPr>
        <w:drawing>
          <wp:inline distT="0" distB="0" distL="0" distR="0">
            <wp:extent cx="4572000" cy="2743200"/>
            <wp:effectExtent l="57150" t="0" r="38100" b="38100"/>
            <wp:docPr id="9"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tbl>
      <w:tblPr>
        <w:tblW w:w="8940" w:type="dxa"/>
        <w:tblInd w:w="103" w:type="dxa"/>
        <w:tblLook w:val="04A0" w:firstRow="1" w:lastRow="0" w:firstColumn="1" w:lastColumn="0" w:noHBand="0" w:noVBand="1"/>
      </w:tblPr>
      <w:tblGrid>
        <w:gridCol w:w="3980"/>
        <w:gridCol w:w="1063"/>
        <w:gridCol w:w="1063"/>
        <w:gridCol w:w="1063"/>
        <w:gridCol w:w="1063"/>
        <w:gridCol w:w="1063"/>
      </w:tblGrid>
      <w:tr w:rsidR="00DD17DA" w:rsidRPr="003F2D0C" w:rsidTr="00124D54">
        <w:trPr>
          <w:trHeight w:val="300"/>
        </w:trPr>
        <w:tc>
          <w:tcPr>
            <w:tcW w:w="3980" w:type="dxa"/>
            <w:tcBorders>
              <w:top w:val="single" w:sz="4" w:space="0" w:color="auto"/>
              <w:left w:val="single" w:sz="4" w:space="0" w:color="auto"/>
              <w:bottom w:val="single" w:sz="4" w:space="0" w:color="auto"/>
              <w:right w:val="single" w:sz="4" w:space="0" w:color="auto"/>
            </w:tcBorders>
            <w:shd w:val="clear" w:color="000000" w:fill="DBE5F1"/>
            <w:noWrap/>
            <w:vAlign w:val="bottom"/>
            <w:hideMark/>
          </w:tcPr>
          <w:p w:rsidR="00DD17DA" w:rsidRPr="003F2D0C" w:rsidRDefault="00DD17DA" w:rsidP="00DD17DA">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financial statement  items</w:t>
            </w:r>
          </w:p>
        </w:tc>
        <w:tc>
          <w:tcPr>
            <w:tcW w:w="992" w:type="dxa"/>
            <w:tcBorders>
              <w:top w:val="single" w:sz="4" w:space="0" w:color="auto"/>
              <w:left w:val="nil"/>
              <w:bottom w:val="single" w:sz="4" w:space="0" w:color="auto"/>
              <w:right w:val="single" w:sz="4" w:space="0" w:color="auto"/>
            </w:tcBorders>
            <w:shd w:val="clear" w:color="000000" w:fill="DBE5F1"/>
            <w:noWrap/>
            <w:vAlign w:val="bottom"/>
            <w:hideMark/>
          </w:tcPr>
          <w:p w:rsidR="00DD17DA" w:rsidRPr="003F2D0C" w:rsidRDefault="00DD17DA" w:rsidP="00DD17DA">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£,million</w:t>
            </w:r>
          </w:p>
        </w:tc>
        <w:tc>
          <w:tcPr>
            <w:tcW w:w="992" w:type="dxa"/>
            <w:tcBorders>
              <w:top w:val="single" w:sz="4" w:space="0" w:color="auto"/>
              <w:left w:val="nil"/>
              <w:bottom w:val="single" w:sz="4" w:space="0" w:color="auto"/>
              <w:right w:val="single" w:sz="4" w:space="0" w:color="auto"/>
            </w:tcBorders>
            <w:shd w:val="clear" w:color="000000" w:fill="DBE5F1"/>
            <w:noWrap/>
            <w:vAlign w:val="bottom"/>
            <w:hideMark/>
          </w:tcPr>
          <w:p w:rsidR="00DD17DA" w:rsidRPr="003F2D0C" w:rsidRDefault="00DD17DA" w:rsidP="00DD17DA">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£,million</w:t>
            </w:r>
          </w:p>
        </w:tc>
        <w:tc>
          <w:tcPr>
            <w:tcW w:w="992" w:type="dxa"/>
            <w:tcBorders>
              <w:top w:val="single" w:sz="4" w:space="0" w:color="auto"/>
              <w:left w:val="nil"/>
              <w:bottom w:val="single" w:sz="4" w:space="0" w:color="auto"/>
              <w:right w:val="single" w:sz="4" w:space="0" w:color="auto"/>
            </w:tcBorders>
            <w:shd w:val="clear" w:color="000000" w:fill="DBE5F1"/>
            <w:noWrap/>
            <w:vAlign w:val="bottom"/>
            <w:hideMark/>
          </w:tcPr>
          <w:p w:rsidR="00DD17DA" w:rsidRPr="003F2D0C" w:rsidRDefault="00DD17DA" w:rsidP="00DD17DA">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£,million</w:t>
            </w:r>
          </w:p>
        </w:tc>
        <w:tc>
          <w:tcPr>
            <w:tcW w:w="992" w:type="dxa"/>
            <w:tcBorders>
              <w:top w:val="single" w:sz="4" w:space="0" w:color="auto"/>
              <w:left w:val="nil"/>
              <w:bottom w:val="single" w:sz="4" w:space="0" w:color="auto"/>
              <w:right w:val="single" w:sz="4" w:space="0" w:color="auto"/>
            </w:tcBorders>
            <w:shd w:val="clear" w:color="000000" w:fill="DBE5F1"/>
            <w:noWrap/>
            <w:vAlign w:val="bottom"/>
            <w:hideMark/>
          </w:tcPr>
          <w:p w:rsidR="00DD17DA" w:rsidRPr="003F2D0C" w:rsidRDefault="00DD17DA" w:rsidP="00DD17DA">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£,million</w:t>
            </w:r>
          </w:p>
        </w:tc>
        <w:tc>
          <w:tcPr>
            <w:tcW w:w="992" w:type="dxa"/>
            <w:tcBorders>
              <w:top w:val="single" w:sz="4" w:space="0" w:color="auto"/>
              <w:left w:val="nil"/>
              <w:bottom w:val="single" w:sz="4" w:space="0" w:color="auto"/>
              <w:right w:val="single" w:sz="4" w:space="0" w:color="auto"/>
            </w:tcBorders>
            <w:shd w:val="clear" w:color="000000" w:fill="DBE5F1"/>
            <w:noWrap/>
            <w:vAlign w:val="bottom"/>
            <w:hideMark/>
          </w:tcPr>
          <w:p w:rsidR="00DD17DA" w:rsidRPr="003F2D0C" w:rsidRDefault="00DD17DA" w:rsidP="00DD17DA">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£,million</w:t>
            </w:r>
          </w:p>
        </w:tc>
      </w:tr>
      <w:tr w:rsidR="00DD17DA" w:rsidRPr="003F2D0C" w:rsidTr="00124D54">
        <w:trPr>
          <w:trHeight w:val="300"/>
        </w:trPr>
        <w:tc>
          <w:tcPr>
            <w:tcW w:w="3980" w:type="dxa"/>
            <w:tcBorders>
              <w:top w:val="nil"/>
              <w:left w:val="single" w:sz="4" w:space="0" w:color="auto"/>
              <w:bottom w:val="single" w:sz="4" w:space="0" w:color="auto"/>
              <w:right w:val="single" w:sz="4" w:space="0" w:color="auto"/>
            </w:tcBorders>
            <w:shd w:val="clear" w:color="000000" w:fill="CCC0DA"/>
            <w:noWrap/>
            <w:vAlign w:val="bottom"/>
            <w:hideMark/>
          </w:tcPr>
          <w:p w:rsidR="00DD17DA" w:rsidRPr="003F2D0C" w:rsidRDefault="00DD17DA" w:rsidP="00DD17DA">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 </w:t>
            </w:r>
          </w:p>
        </w:tc>
        <w:tc>
          <w:tcPr>
            <w:tcW w:w="992" w:type="dxa"/>
            <w:tcBorders>
              <w:top w:val="nil"/>
              <w:left w:val="nil"/>
              <w:bottom w:val="single" w:sz="4" w:space="0" w:color="auto"/>
              <w:right w:val="single" w:sz="4" w:space="0" w:color="auto"/>
            </w:tcBorders>
            <w:shd w:val="clear" w:color="000000" w:fill="CCC0DA"/>
            <w:noWrap/>
            <w:vAlign w:val="bottom"/>
            <w:hideMark/>
          </w:tcPr>
          <w:p w:rsidR="00DD17DA" w:rsidRPr="003F2D0C" w:rsidRDefault="00DD17DA" w:rsidP="00DD17DA">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2012</w:t>
            </w:r>
          </w:p>
        </w:tc>
        <w:tc>
          <w:tcPr>
            <w:tcW w:w="992" w:type="dxa"/>
            <w:tcBorders>
              <w:top w:val="nil"/>
              <w:left w:val="nil"/>
              <w:bottom w:val="single" w:sz="4" w:space="0" w:color="auto"/>
              <w:right w:val="single" w:sz="4" w:space="0" w:color="auto"/>
            </w:tcBorders>
            <w:shd w:val="clear" w:color="000000" w:fill="CCC0DA"/>
            <w:noWrap/>
            <w:vAlign w:val="bottom"/>
            <w:hideMark/>
          </w:tcPr>
          <w:p w:rsidR="00DD17DA" w:rsidRPr="003F2D0C" w:rsidRDefault="00DD17DA" w:rsidP="00DD17DA">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2013</w:t>
            </w:r>
          </w:p>
        </w:tc>
        <w:tc>
          <w:tcPr>
            <w:tcW w:w="992" w:type="dxa"/>
            <w:tcBorders>
              <w:top w:val="nil"/>
              <w:left w:val="nil"/>
              <w:bottom w:val="single" w:sz="4" w:space="0" w:color="auto"/>
              <w:right w:val="single" w:sz="4" w:space="0" w:color="auto"/>
            </w:tcBorders>
            <w:shd w:val="clear" w:color="000000" w:fill="CCC0DA"/>
            <w:noWrap/>
            <w:vAlign w:val="bottom"/>
            <w:hideMark/>
          </w:tcPr>
          <w:p w:rsidR="00DD17DA" w:rsidRPr="003F2D0C" w:rsidRDefault="00DD17DA" w:rsidP="00DD17DA">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2014</w:t>
            </w:r>
          </w:p>
        </w:tc>
        <w:tc>
          <w:tcPr>
            <w:tcW w:w="992" w:type="dxa"/>
            <w:tcBorders>
              <w:top w:val="nil"/>
              <w:left w:val="nil"/>
              <w:bottom w:val="single" w:sz="4" w:space="0" w:color="auto"/>
              <w:right w:val="single" w:sz="4" w:space="0" w:color="auto"/>
            </w:tcBorders>
            <w:shd w:val="clear" w:color="000000" w:fill="CCC0DA"/>
            <w:noWrap/>
            <w:vAlign w:val="bottom"/>
            <w:hideMark/>
          </w:tcPr>
          <w:p w:rsidR="00DD17DA" w:rsidRPr="003F2D0C" w:rsidRDefault="00DD17DA" w:rsidP="00DD17DA">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2015</w:t>
            </w:r>
          </w:p>
        </w:tc>
        <w:tc>
          <w:tcPr>
            <w:tcW w:w="992" w:type="dxa"/>
            <w:tcBorders>
              <w:top w:val="nil"/>
              <w:left w:val="nil"/>
              <w:bottom w:val="single" w:sz="4" w:space="0" w:color="auto"/>
              <w:right w:val="single" w:sz="4" w:space="0" w:color="auto"/>
            </w:tcBorders>
            <w:shd w:val="clear" w:color="000000" w:fill="CCC0DA"/>
            <w:noWrap/>
            <w:vAlign w:val="bottom"/>
            <w:hideMark/>
          </w:tcPr>
          <w:p w:rsidR="00DD17DA" w:rsidRPr="003F2D0C" w:rsidRDefault="00DD17DA" w:rsidP="00DD17DA">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2016</w:t>
            </w:r>
          </w:p>
        </w:tc>
      </w:tr>
      <w:tr w:rsidR="00DD17DA" w:rsidRPr="003F2D0C" w:rsidTr="00124D54">
        <w:trPr>
          <w:trHeight w:val="300"/>
        </w:trPr>
        <w:tc>
          <w:tcPr>
            <w:tcW w:w="3980" w:type="dxa"/>
            <w:tcBorders>
              <w:top w:val="nil"/>
              <w:left w:val="single" w:sz="4" w:space="0" w:color="auto"/>
              <w:bottom w:val="single" w:sz="4" w:space="0" w:color="auto"/>
              <w:right w:val="single" w:sz="4" w:space="0" w:color="auto"/>
            </w:tcBorders>
            <w:shd w:val="clear" w:color="auto" w:fill="auto"/>
            <w:noWrap/>
            <w:vAlign w:val="bottom"/>
            <w:hideMark/>
          </w:tcPr>
          <w:p w:rsidR="00DD17DA" w:rsidRPr="003F2D0C" w:rsidRDefault="00DD17DA" w:rsidP="00DD17DA">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Total revenue earned</w:t>
            </w:r>
          </w:p>
        </w:tc>
        <w:tc>
          <w:tcPr>
            <w:tcW w:w="992" w:type="dxa"/>
            <w:tcBorders>
              <w:top w:val="nil"/>
              <w:left w:val="nil"/>
              <w:bottom w:val="single" w:sz="4" w:space="0" w:color="auto"/>
              <w:right w:val="single" w:sz="4" w:space="0" w:color="auto"/>
            </w:tcBorders>
            <w:shd w:val="clear" w:color="000000" w:fill="EEECE1"/>
            <w:noWrap/>
            <w:vAlign w:val="center"/>
            <w:hideMark/>
          </w:tcPr>
          <w:p w:rsidR="00DD17DA" w:rsidRPr="003F2D0C" w:rsidRDefault="00DD17DA" w:rsidP="00DD17DA">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18,987</w:t>
            </w:r>
          </w:p>
        </w:tc>
        <w:tc>
          <w:tcPr>
            <w:tcW w:w="992" w:type="dxa"/>
            <w:tcBorders>
              <w:top w:val="nil"/>
              <w:left w:val="nil"/>
              <w:bottom w:val="single" w:sz="4" w:space="0" w:color="auto"/>
              <w:right w:val="single" w:sz="4" w:space="0" w:color="auto"/>
            </w:tcBorders>
            <w:shd w:val="clear" w:color="000000" w:fill="EEECE1"/>
            <w:noWrap/>
            <w:vAlign w:val="center"/>
            <w:hideMark/>
          </w:tcPr>
          <w:p w:rsidR="00DD17DA" w:rsidRPr="003F2D0C" w:rsidRDefault="00DD17DA" w:rsidP="00DD17DA">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18,103</w:t>
            </w:r>
          </w:p>
        </w:tc>
        <w:tc>
          <w:tcPr>
            <w:tcW w:w="992" w:type="dxa"/>
            <w:tcBorders>
              <w:top w:val="nil"/>
              <w:left w:val="nil"/>
              <w:bottom w:val="single" w:sz="4" w:space="0" w:color="auto"/>
              <w:right w:val="single" w:sz="4" w:space="0" w:color="auto"/>
            </w:tcBorders>
            <w:shd w:val="clear" w:color="000000" w:fill="EEECE1"/>
            <w:noWrap/>
            <w:vAlign w:val="center"/>
            <w:hideMark/>
          </w:tcPr>
          <w:p w:rsidR="00DD17DA" w:rsidRPr="003F2D0C" w:rsidRDefault="00DD17DA" w:rsidP="00DD17DA">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18,287</w:t>
            </w:r>
          </w:p>
        </w:tc>
        <w:tc>
          <w:tcPr>
            <w:tcW w:w="992" w:type="dxa"/>
            <w:tcBorders>
              <w:top w:val="nil"/>
              <w:left w:val="nil"/>
              <w:bottom w:val="single" w:sz="4" w:space="0" w:color="auto"/>
              <w:right w:val="single" w:sz="4" w:space="0" w:color="auto"/>
            </w:tcBorders>
            <w:shd w:val="clear" w:color="000000" w:fill="EEECE1"/>
            <w:noWrap/>
            <w:vAlign w:val="center"/>
            <w:hideMark/>
          </w:tcPr>
          <w:p w:rsidR="00DD17DA" w:rsidRPr="003F2D0C" w:rsidRDefault="00DD17DA" w:rsidP="00DD17DA">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17,979</w:t>
            </w:r>
          </w:p>
        </w:tc>
        <w:tc>
          <w:tcPr>
            <w:tcW w:w="992" w:type="dxa"/>
            <w:tcBorders>
              <w:top w:val="nil"/>
              <w:left w:val="nil"/>
              <w:bottom w:val="single" w:sz="4" w:space="0" w:color="auto"/>
              <w:right w:val="single" w:sz="4" w:space="0" w:color="auto"/>
            </w:tcBorders>
            <w:shd w:val="clear" w:color="000000" w:fill="EEECE1"/>
            <w:noWrap/>
            <w:vAlign w:val="center"/>
            <w:hideMark/>
          </w:tcPr>
          <w:p w:rsidR="00DD17DA" w:rsidRPr="003F2D0C" w:rsidRDefault="00DD17DA" w:rsidP="00DD17DA">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19,042</w:t>
            </w:r>
          </w:p>
        </w:tc>
      </w:tr>
      <w:tr w:rsidR="00DD17DA" w:rsidRPr="003F2D0C" w:rsidTr="00124D54">
        <w:trPr>
          <w:trHeight w:val="300"/>
        </w:trPr>
        <w:tc>
          <w:tcPr>
            <w:tcW w:w="3980" w:type="dxa"/>
            <w:tcBorders>
              <w:top w:val="nil"/>
              <w:left w:val="single" w:sz="4" w:space="0" w:color="auto"/>
              <w:bottom w:val="single" w:sz="4" w:space="0" w:color="auto"/>
              <w:right w:val="single" w:sz="4" w:space="0" w:color="auto"/>
            </w:tcBorders>
            <w:shd w:val="clear" w:color="auto" w:fill="auto"/>
            <w:noWrap/>
            <w:vAlign w:val="bottom"/>
            <w:hideMark/>
          </w:tcPr>
          <w:p w:rsidR="00DD17DA" w:rsidRPr="003F2D0C" w:rsidRDefault="00DD17DA" w:rsidP="00DD17DA">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Net profit, PAT</w:t>
            </w:r>
          </w:p>
        </w:tc>
        <w:tc>
          <w:tcPr>
            <w:tcW w:w="992" w:type="dxa"/>
            <w:tcBorders>
              <w:top w:val="nil"/>
              <w:left w:val="nil"/>
              <w:bottom w:val="single" w:sz="4" w:space="0" w:color="auto"/>
              <w:right w:val="single" w:sz="4" w:space="0" w:color="auto"/>
            </w:tcBorders>
            <w:shd w:val="clear" w:color="000000" w:fill="EEECE1"/>
            <w:noWrap/>
            <w:vAlign w:val="center"/>
            <w:hideMark/>
          </w:tcPr>
          <w:p w:rsidR="00DD17DA" w:rsidRPr="003F2D0C" w:rsidRDefault="00DD17DA" w:rsidP="00DD17DA">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1,974</w:t>
            </w:r>
          </w:p>
        </w:tc>
        <w:tc>
          <w:tcPr>
            <w:tcW w:w="992" w:type="dxa"/>
            <w:tcBorders>
              <w:top w:val="nil"/>
              <w:left w:val="nil"/>
              <w:bottom w:val="single" w:sz="4" w:space="0" w:color="auto"/>
              <w:right w:val="single" w:sz="4" w:space="0" w:color="auto"/>
            </w:tcBorders>
            <w:shd w:val="clear" w:color="000000" w:fill="EEECE1"/>
            <w:noWrap/>
            <w:vAlign w:val="center"/>
            <w:hideMark/>
          </w:tcPr>
          <w:p w:rsidR="00DD17DA" w:rsidRPr="003F2D0C" w:rsidRDefault="00DD17DA" w:rsidP="00DD17DA">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2,149</w:t>
            </w:r>
          </w:p>
        </w:tc>
        <w:tc>
          <w:tcPr>
            <w:tcW w:w="992" w:type="dxa"/>
            <w:tcBorders>
              <w:top w:val="nil"/>
              <w:left w:val="nil"/>
              <w:bottom w:val="single" w:sz="4" w:space="0" w:color="auto"/>
              <w:right w:val="single" w:sz="4" w:space="0" w:color="auto"/>
            </w:tcBorders>
            <w:shd w:val="clear" w:color="000000" w:fill="EEECE1"/>
            <w:noWrap/>
            <w:vAlign w:val="center"/>
            <w:hideMark/>
          </w:tcPr>
          <w:p w:rsidR="00DD17DA" w:rsidRPr="003F2D0C" w:rsidRDefault="00DD17DA" w:rsidP="00DD17DA">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2,179</w:t>
            </w:r>
          </w:p>
        </w:tc>
        <w:tc>
          <w:tcPr>
            <w:tcW w:w="992" w:type="dxa"/>
            <w:tcBorders>
              <w:top w:val="nil"/>
              <w:left w:val="nil"/>
              <w:bottom w:val="single" w:sz="4" w:space="0" w:color="auto"/>
              <w:right w:val="single" w:sz="4" w:space="0" w:color="auto"/>
            </w:tcBorders>
            <w:shd w:val="clear" w:color="000000" w:fill="EEECE1"/>
            <w:noWrap/>
            <w:vAlign w:val="center"/>
            <w:hideMark/>
          </w:tcPr>
          <w:p w:rsidR="00DD17DA" w:rsidRPr="003F2D0C" w:rsidRDefault="00DD17DA" w:rsidP="00DD17DA">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2,310</w:t>
            </w:r>
          </w:p>
        </w:tc>
        <w:tc>
          <w:tcPr>
            <w:tcW w:w="992" w:type="dxa"/>
            <w:tcBorders>
              <w:top w:val="nil"/>
              <w:left w:val="nil"/>
              <w:bottom w:val="single" w:sz="4" w:space="0" w:color="auto"/>
              <w:right w:val="single" w:sz="4" w:space="0" w:color="auto"/>
            </w:tcBorders>
            <w:shd w:val="clear" w:color="000000" w:fill="EEECE1"/>
            <w:noWrap/>
            <w:vAlign w:val="center"/>
            <w:hideMark/>
          </w:tcPr>
          <w:p w:rsidR="00DD17DA" w:rsidRPr="003F2D0C" w:rsidRDefault="00DD17DA" w:rsidP="00DD17DA">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2,855</w:t>
            </w:r>
          </w:p>
        </w:tc>
      </w:tr>
      <w:tr w:rsidR="00DD17DA" w:rsidRPr="003F2D0C" w:rsidTr="00124D54">
        <w:trPr>
          <w:trHeight w:val="300"/>
        </w:trPr>
        <w:tc>
          <w:tcPr>
            <w:tcW w:w="3980" w:type="dxa"/>
            <w:tcBorders>
              <w:top w:val="nil"/>
              <w:left w:val="single" w:sz="4" w:space="0" w:color="auto"/>
              <w:bottom w:val="single" w:sz="4" w:space="0" w:color="auto"/>
              <w:right w:val="single" w:sz="4" w:space="0" w:color="auto"/>
            </w:tcBorders>
            <w:shd w:val="clear" w:color="auto" w:fill="auto"/>
            <w:noWrap/>
            <w:vAlign w:val="bottom"/>
            <w:hideMark/>
          </w:tcPr>
          <w:p w:rsidR="00DD17DA" w:rsidRPr="003F2D0C" w:rsidRDefault="00DD17DA" w:rsidP="00DD17DA">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EBIT/Operating profit</w:t>
            </w:r>
          </w:p>
        </w:tc>
        <w:tc>
          <w:tcPr>
            <w:tcW w:w="992" w:type="dxa"/>
            <w:tcBorders>
              <w:top w:val="nil"/>
              <w:left w:val="nil"/>
              <w:bottom w:val="single" w:sz="4" w:space="0" w:color="auto"/>
              <w:right w:val="single" w:sz="4" w:space="0" w:color="auto"/>
            </w:tcBorders>
            <w:shd w:val="clear" w:color="000000" w:fill="EEECE1"/>
            <w:noWrap/>
            <w:vAlign w:val="center"/>
            <w:hideMark/>
          </w:tcPr>
          <w:p w:rsidR="00DD17DA" w:rsidRPr="003F2D0C" w:rsidRDefault="00DD17DA" w:rsidP="00DD17DA">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2893</w:t>
            </w:r>
          </w:p>
        </w:tc>
        <w:tc>
          <w:tcPr>
            <w:tcW w:w="992" w:type="dxa"/>
            <w:tcBorders>
              <w:top w:val="nil"/>
              <w:left w:val="nil"/>
              <w:bottom w:val="single" w:sz="4" w:space="0" w:color="auto"/>
              <w:right w:val="single" w:sz="4" w:space="0" w:color="auto"/>
            </w:tcBorders>
            <w:shd w:val="clear" w:color="000000" w:fill="EEECE1"/>
            <w:noWrap/>
            <w:vAlign w:val="center"/>
            <w:hideMark/>
          </w:tcPr>
          <w:p w:rsidR="00DD17DA" w:rsidRPr="003F2D0C" w:rsidRDefault="00DD17DA" w:rsidP="00DD17DA">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2,952</w:t>
            </w:r>
          </w:p>
        </w:tc>
        <w:tc>
          <w:tcPr>
            <w:tcW w:w="992" w:type="dxa"/>
            <w:tcBorders>
              <w:top w:val="nil"/>
              <w:left w:val="nil"/>
              <w:bottom w:val="single" w:sz="4" w:space="0" w:color="auto"/>
              <w:right w:val="single" w:sz="4" w:space="0" w:color="auto"/>
            </w:tcBorders>
            <w:shd w:val="clear" w:color="000000" w:fill="EEECE1"/>
            <w:noWrap/>
            <w:vAlign w:val="center"/>
            <w:hideMark/>
          </w:tcPr>
          <w:p w:rsidR="00DD17DA" w:rsidRPr="003F2D0C" w:rsidRDefault="00DD17DA" w:rsidP="00DD17DA">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3,147</w:t>
            </w:r>
          </w:p>
        </w:tc>
        <w:tc>
          <w:tcPr>
            <w:tcW w:w="992" w:type="dxa"/>
            <w:tcBorders>
              <w:top w:val="nil"/>
              <w:left w:val="nil"/>
              <w:bottom w:val="single" w:sz="4" w:space="0" w:color="auto"/>
              <w:right w:val="single" w:sz="4" w:space="0" w:color="auto"/>
            </w:tcBorders>
            <w:shd w:val="clear" w:color="000000" w:fill="EEECE1"/>
            <w:noWrap/>
            <w:vAlign w:val="center"/>
            <w:hideMark/>
          </w:tcPr>
          <w:p w:rsidR="00DD17DA" w:rsidRPr="003F2D0C" w:rsidRDefault="00DD17DA" w:rsidP="00DD17DA">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3,486</w:t>
            </w:r>
          </w:p>
        </w:tc>
        <w:tc>
          <w:tcPr>
            <w:tcW w:w="992" w:type="dxa"/>
            <w:tcBorders>
              <w:top w:val="nil"/>
              <w:left w:val="nil"/>
              <w:bottom w:val="single" w:sz="4" w:space="0" w:color="auto"/>
              <w:right w:val="single" w:sz="4" w:space="0" w:color="auto"/>
            </w:tcBorders>
            <w:shd w:val="clear" w:color="000000" w:fill="EEECE1"/>
            <w:noWrap/>
            <w:vAlign w:val="center"/>
            <w:hideMark/>
          </w:tcPr>
          <w:p w:rsidR="00DD17DA" w:rsidRPr="003F2D0C" w:rsidRDefault="00DD17DA" w:rsidP="00DD17DA">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3,737</w:t>
            </w:r>
          </w:p>
        </w:tc>
      </w:tr>
      <w:tr w:rsidR="00DD17DA" w:rsidRPr="003F2D0C" w:rsidTr="00124D54">
        <w:trPr>
          <w:trHeight w:val="300"/>
        </w:trPr>
        <w:tc>
          <w:tcPr>
            <w:tcW w:w="3980" w:type="dxa"/>
            <w:tcBorders>
              <w:top w:val="nil"/>
              <w:left w:val="single" w:sz="4" w:space="0" w:color="auto"/>
              <w:bottom w:val="single" w:sz="4" w:space="0" w:color="auto"/>
              <w:right w:val="single" w:sz="4" w:space="0" w:color="auto"/>
            </w:tcBorders>
            <w:shd w:val="clear" w:color="auto" w:fill="auto"/>
            <w:noWrap/>
            <w:vAlign w:val="bottom"/>
            <w:hideMark/>
          </w:tcPr>
          <w:p w:rsidR="00DD17DA" w:rsidRPr="003F2D0C" w:rsidRDefault="00DD17DA" w:rsidP="00DD17DA">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Profitability Ratios</w:t>
            </w:r>
          </w:p>
        </w:tc>
        <w:tc>
          <w:tcPr>
            <w:tcW w:w="992" w:type="dxa"/>
            <w:tcBorders>
              <w:top w:val="nil"/>
              <w:left w:val="nil"/>
              <w:bottom w:val="single" w:sz="4" w:space="0" w:color="auto"/>
              <w:right w:val="single" w:sz="4" w:space="0" w:color="auto"/>
            </w:tcBorders>
            <w:shd w:val="clear" w:color="auto" w:fill="auto"/>
            <w:noWrap/>
            <w:vAlign w:val="center"/>
            <w:hideMark/>
          </w:tcPr>
          <w:p w:rsidR="00DD17DA" w:rsidRPr="003F2D0C" w:rsidRDefault="00DD17DA" w:rsidP="00DD17DA">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 </w:t>
            </w:r>
          </w:p>
        </w:tc>
        <w:tc>
          <w:tcPr>
            <w:tcW w:w="992" w:type="dxa"/>
            <w:tcBorders>
              <w:top w:val="nil"/>
              <w:left w:val="nil"/>
              <w:bottom w:val="single" w:sz="4" w:space="0" w:color="auto"/>
              <w:right w:val="single" w:sz="4" w:space="0" w:color="auto"/>
            </w:tcBorders>
            <w:shd w:val="clear" w:color="auto" w:fill="auto"/>
            <w:noWrap/>
            <w:vAlign w:val="center"/>
            <w:hideMark/>
          </w:tcPr>
          <w:p w:rsidR="00DD17DA" w:rsidRPr="003F2D0C" w:rsidRDefault="00DD17DA" w:rsidP="00DD17DA">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 </w:t>
            </w:r>
          </w:p>
        </w:tc>
        <w:tc>
          <w:tcPr>
            <w:tcW w:w="992" w:type="dxa"/>
            <w:tcBorders>
              <w:top w:val="nil"/>
              <w:left w:val="nil"/>
              <w:bottom w:val="single" w:sz="4" w:space="0" w:color="auto"/>
              <w:right w:val="single" w:sz="4" w:space="0" w:color="auto"/>
            </w:tcBorders>
            <w:shd w:val="clear" w:color="auto" w:fill="auto"/>
            <w:noWrap/>
            <w:vAlign w:val="center"/>
            <w:hideMark/>
          </w:tcPr>
          <w:p w:rsidR="00DD17DA" w:rsidRPr="003F2D0C" w:rsidRDefault="00DD17DA" w:rsidP="00DD17DA">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 </w:t>
            </w:r>
          </w:p>
        </w:tc>
        <w:tc>
          <w:tcPr>
            <w:tcW w:w="992" w:type="dxa"/>
            <w:tcBorders>
              <w:top w:val="nil"/>
              <w:left w:val="nil"/>
              <w:bottom w:val="single" w:sz="4" w:space="0" w:color="auto"/>
              <w:right w:val="single" w:sz="4" w:space="0" w:color="auto"/>
            </w:tcBorders>
            <w:shd w:val="clear" w:color="auto" w:fill="auto"/>
            <w:noWrap/>
            <w:vAlign w:val="center"/>
            <w:hideMark/>
          </w:tcPr>
          <w:p w:rsidR="00DD17DA" w:rsidRPr="003F2D0C" w:rsidRDefault="00DD17DA" w:rsidP="00DD17DA">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 </w:t>
            </w:r>
          </w:p>
        </w:tc>
        <w:tc>
          <w:tcPr>
            <w:tcW w:w="992" w:type="dxa"/>
            <w:tcBorders>
              <w:top w:val="nil"/>
              <w:left w:val="nil"/>
              <w:bottom w:val="single" w:sz="4" w:space="0" w:color="auto"/>
              <w:right w:val="single" w:sz="4" w:space="0" w:color="auto"/>
            </w:tcBorders>
            <w:shd w:val="clear" w:color="auto" w:fill="auto"/>
            <w:noWrap/>
            <w:vAlign w:val="center"/>
            <w:hideMark/>
          </w:tcPr>
          <w:p w:rsidR="00DD17DA" w:rsidRPr="003F2D0C" w:rsidRDefault="00DD17DA" w:rsidP="00DD17DA">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 </w:t>
            </w:r>
          </w:p>
        </w:tc>
      </w:tr>
      <w:tr w:rsidR="00124D54" w:rsidRPr="003F2D0C" w:rsidTr="00124D54">
        <w:trPr>
          <w:trHeight w:val="600"/>
        </w:trPr>
        <w:tc>
          <w:tcPr>
            <w:tcW w:w="3980" w:type="dxa"/>
            <w:tcBorders>
              <w:top w:val="nil"/>
              <w:left w:val="single" w:sz="4" w:space="0" w:color="auto"/>
              <w:bottom w:val="single" w:sz="4" w:space="0" w:color="auto"/>
              <w:right w:val="single" w:sz="4" w:space="0" w:color="auto"/>
            </w:tcBorders>
            <w:shd w:val="clear" w:color="auto" w:fill="auto"/>
            <w:vAlign w:val="bottom"/>
            <w:hideMark/>
          </w:tcPr>
          <w:p w:rsidR="00124D54" w:rsidRPr="003F2D0C" w:rsidRDefault="00124D54" w:rsidP="00DD17DA">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lastRenderedPageBreak/>
              <w:t xml:space="preserve"> Operating profit margin ([Gross profit /Net sales]*100) </w:t>
            </w:r>
          </w:p>
        </w:tc>
        <w:tc>
          <w:tcPr>
            <w:tcW w:w="992" w:type="dxa"/>
            <w:tcBorders>
              <w:top w:val="nil"/>
              <w:left w:val="nil"/>
              <w:bottom w:val="single" w:sz="4" w:space="0" w:color="auto"/>
              <w:right w:val="single" w:sz="4" w:space="0" w:color="auto"/>
            </w:tcBorders>
            <w:shd w:val="clear" w:color="auto" w:fill="auto"/>
            <w:noWrap/>
            <w:vAlign w:val="bottom"/>
            <w:hideMark/>
          </w:tcPr>
          <w:p w:rsidR="00124D54" w:rsidRDefault="00124D54">
            <w:pPr>
              <w:jc w:val="right"/>
              <w:rPr>
                <w:rFonts w:ascii="Calibri" w:hAnsi="Calibri"/>
                <w:color w:val="000000"/>
              </w:rPr>
            </w:pPr>
            <w:r>
              <w:rPr>
                <w:rFonts w:ascii="Calibri" w:hAnsi="Calibri"/>
                <w:color w:val="000000"/>
              </w:rPr>
              <w:t>15%</w:t>
            </w:r>
          </w:p>
        </w:tc>
        <w:tc>
          <w:tcPr>
            <w:tcW w:w="992" w:type="dxa"/>
            <w:tcBorders>
              <w:top w:val="nil"/>
              <w:left w:val="nil"/>
              <w:bottom w:val="single" w:sz="4" w:space="0" w:color="auto"/>
              <w:right w:val="single" w:sz="4" w:space="0" w:color="auto"/>
            </w:tcBorders>
            <w:shd w:val="clear" w:color="auto" w:fill="auto"/>
            <w:noWrap/>
            <w:vAlign w:val="bottom"/>
            <w:hideMark/>
          </w:tcPr>
          <w:p w:rsidR="00124D54" w:rsidRDefault="00124D54">
            <w:pPr>
              <w:jc w:val="right"/>
              <w:rPr>
                <w:rFonts w:ascii="Calibri" w:hAnsi="Calibri"/>
                <w:color w:val="000000"/>
              </w:rPr>
            </w:pPr>
            <w:r>
              <w:rPr>
                <w:rFonts w:ascii="Calibri" w:hAnsi="Calibri"/>
                <w:color w:val="000000"/>
              </w:rPr>
              <w:t>16%</w:t>
            </w:r>
          </w:p>
        </w:tc>
        <w:tc>
          <w:tcPr>
            <w:tcW w:w="992" w:type="dxa"/>
            <w:tcBorders>
              <w:top w:val="nil"/>
              <w:left w:val="nil"/>
              <w:bottom w:val="single" w:sz="4" w:space="0" w:color="auto"/>
              <w:right w:val="single" w:sz="4" w:space="0" w:color="auto"/>
            </w:tcBorders>
            <w:shd w:val="clear" w:color="auto" w:fill="auto"/>
            <w:noWrap/>
            <w:vAlign w:val="bottom"/>
            <w:hideMark/>
          </w:tcPr>
          <w:p w:rsidR="00124D54" w:rsidRDefault="00124D54">
            <w:pPr>
              <w:jc w:val="right"/>
              <w:rPr>
                <w:rFonts w:ascii="Calibri" w:hAnsi="Calibri"/>
                <w:color w:val="000000"/>
              </w:rPr>
            </w:pPr>
            <w:r>
              <w:rPr>
                <w:rFonts w:ascii="Calibri" w:hAnsi="Calibri"/>
                <w:color w:val="000000"/>
              </w:rPr>
              <w:t>17%</w:t>
            </w:r>
          </w:p>
        </w:tc>
        <w:tc>
          <w:tcPr>
            <w:tcW w:w="992" w:type="dxa"/>
            <w:tcBorders>
              <w:top w:val="nil"/>
              <w:left w:val="nil"/>
              <w:bottom w:val="single" w:sz="4" w:space="0" w:color="auto"/>
              <w:right w:val="single" w:sz="4" w:space="0" w:color="auto"/>
            </w:tcBorders>
            <w:shd w:val="clear" w:color="auto" w:fill="auto"/>
            <w:noWrap/>
            <w:vAlign w:val="bottom"/>
            <w:hideMark/>
          </w:tcPr>
          <w:p w:rsidR="00124D54" w:rsidRDefault="00124D54">
            <w:pPr>
              <w:jc w:val="right"/>
              <w:rPr>
                <w:rFonts w:ascii="Calibri" w:hAnsi="Calibri"/>
                <w:color w:val="000000"/>
              </w:rPr>
            </w:pPr>
            <w:r>
              <w:rPr>
                <w:rFonts w:ascii="Calibri" w:hAnsi="Calibri"/>
                <w:color w:val="000000"/>
              </w:rPr>
              <w:t>19%</w:t>
            </w:r>
          </w:p>
        </w:tc>
        <w:tc>
          <w:tcPr>
            <w:tcW w:w="992" w:type="dxa"/>
            <w:tcBorders>
              <w:top w:val="nil"/>
              <w:left w:val="nil"/>
              <w:bottom w:val="single" w:sz="4" w:space="0" w:color="auto"/>
              <w:right w:val="single" w:sz="4" w:space="0" w:color="auto"/>
            </w:tcBorders>
            <w:shd w:val="clear" w:color="auto" w:fill="auto"/>
            <w:noWrap/>
            <w:vAlign w:val="bottom"/>
            <w:hideMark/>
          </w:tcPr>
          <w:p w:rsidR="00124D54" w:rsidRDefault="00124D54">
            <w:pPr>
              <w:jc w:val="right"/>
              <w:rPr>
                <w:rFonts w:ascii="Calibri" w:hAnsi="Calibri"/>
                <w:color w:val="000000"/>
              </w:rPr>
            </w:pPr>
            <w:r>
              <w:rPr>
                <w:rFonts w:ascii="Calibri" w:hAnsi="Calibri"/>
                <w:color w:val="000000"/>
              </w:rPr>
              <w:t>20%</w:t>
            </w:r>
          </w:p>
        </w:tc>
      </w:tr>
      <w:tr w:rsidR="00124D54" w:rsidRPr="003F2D0C" w:rsidTr="00124D54">
        <w:trPr>
          <w:trHeight w:val="600"/>
        </w:trPr>
        <w:tc>
          <w:tcPr>
            <w:tcW w:w="3980" w:type="dxa"/>
            <w:tcBorders>
              <w:top w:val="nil"/>
              <w:left w:val="single" w:sz="4" w:space="0" w:color="auto"/>
              <w:bottom w:val="single" w:sz="4" w:space="0" w:color="auto"/>
              <w:right w:val="single" w:sz="4" w:space="0" w:color="auto"/>
            </w:tcBorders>
            <w:shd w:val="clear" w:color="auto" w:fill="auto"/>
            <w:vAlign w:val="bottom"/>
            <w:hideMark/>
          </w:tcPr>
          <w:p w:rsidR="00124D54" w:rsidRPr="003F2D0C" w:rsidRDefault="00124D54" w:rsidP="00DD17DA">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 xml:space="preserve">Net Profit margin (Net profit or PAT/Net sales): </w:t>
            </w:r>
          </w:p>
        </w:tc>
        <w:tc>
          <w:tcPr>
            <w:tcW w:w="992" w:type="dxa"/>
            <w:tcBorders>
              <w:top w:val="nil"/>
              <w:left w:val="nil"/>
              <w:bottom w:val="single" w:sz="4" w:space="0" w:color="auto"/>
              <w:right w:val="single" w:sz="4" w:space="0" w:color="auto"/>
            </w:tcBorders>
            <w:shd w:val="clear" w:color="auto" w:fill="auto"/>
            <w:noWrap/>
            <w:vAlign w:val="center"/>
            <w:hideMark/>
          </w:tcPr>
          <w:p w:rsidR="00124D54" w:rsidRDefault="00124D54">
            <w:pPr>
              <w:jc w:val="right"/>
              <w:rPr>
                <w:rFonts w:ascii="Calibri" w:hAnsi="Calibri"/>
                <w:color w:val="000000"/>
              </w:rPr>
            </w:pPr>
            <w:r>
              <w:rPr>
                <w:rFonts w:ascii="Calibri" w:hAnsi="Calibri"/>
                <w:color w:val="000000"/>
              </w:rPr>
              <w:t>10%</w:t>
            </w:r>
          </w:p>
        </w:tc>
        <w:tc>
          <w:tcPr>
            <w:tcW w:w="992" w:type="dxa"/>
            <w:tcBorders>
              <w:top w:val="nil"/>
              <w:left w:val="nil"/>
              <w:bottom w:val="single" w:sz="4" w:space="0" w:color="auto"/>
              <w:right w:val="single" w:sz="4" w:space="0" w:color="auto"/>
            </w:tcBorders>
            <w:shd w:val="clear" w:color="auto" w:fill="auto"/>
            <w:noWrap/>
            <w:vAlign w:val="center"/>
            <w:hideMark/>
          </w:tcPr>
          <w:p w:rsidR="00124D54" w:rsidRDefault="00124D54">
            <w:pPr>
              <w:jc w:val="right"/>
              <w:rPr>
                <w:rFonts w:ascii="Calibri" w:hAnsi="Calibri"/>
                <w:color w:val="000000"/>
              </w:rPr>
            </w:pPr>
            <w:r>
              <w:rPr>
                <w:rFonts w:ascii="Calibri" w:hAnsi="Calibri"/>
                <w:color w:val="000000"/>
              </w:rPr>
              <w:t>12%</w:t>
            </w:r>
          </w:p>
        </w:tc>
        <w:tc>
          <w:tcPr>
            <w:tcW w:w="992" w:type="dxa"/>
            <w:tcBorders>
              <w:top w:val="nil"/>
              <w:left w:val="nil"/>
              <w:bottom w:val="single" w:sz="4" w:space="0" w:color="auto"/>
              <w:right w:val="single" w:sz="4" w:space="0" w:color="auto"/>
            </w:tcBorders>
            <w:shd w:val="clear" w:color="auto" w:fill="auto"/>
            <w:noWrap/>
            <w:vAlign w:val="center"/>
            <w:hideMark/>
          </w:tcPr>
          <w:p w:rsidR="00124D54" w:rsidRDefault="00124D54">
            <w:pPr>
              <w:jc w:val="right"/>
              <w:rPr>
                <w:rFonts w:ascii="Calibri" w:hAnsi="Calibri"/>
                <w:color w:val="000000"/>
              </w:rPr>
            </w:pPr>
            <w:r>
              <w:rPr>
                <w:rFonts w:ascii="Calibri" w:hAnsi="Calibri"/>
                <w:color w:val="000000"/>
              </w:rPr>
              <w:t>12%</w:t>
            </w:r>
          </w:p>
        </w:tc>
        <w:tc>
          <w:tcPr>
            <w:tcW w:w="992" w:type="dxa"/>
            <w:tcBorders>
              <w:top w:val="nil"/>
              <w:left w:val="nil"/>
              <w:bottom w:val="single" w:sz="4" w:space="0" w:color="auto"/>
              <w:right w:val="single" w:sz="4" w:space="0" w:color="auto"/>
            </w:tcBorders>
            <w:shd w:val="clear" w:color="auto" w:fill="auto"/>
            <w:noWrap/>
            <w:vAlign w:val="center"/>
            <w:hideMark/>
          </w:tcPr>
          <w:p w:rsidR="00124D54" w:rsidRDefault="00124D54">
            <w:pPr>
              <w:jc w:val="right"/>
              <w:rPr>
                <w:rFonts w:ascii="Calibri" w:hAnsi="Calibri"/>
                <w:color w:val="000000"/>
              </w:rPr>
            </w:pPr>
            <w:r>
              <w:rPr>
                <w:rFonts w:ascii="Calibri" w:hAnsi="Calibri"/>
                <w:color w:val="000000"/>
              </w:rPr>
              <w:t>13%</w:t>
            </w:r>
          </w:p>
        </w:tc>
        <w:tc>
          <w:tcPr>
            <w:tcW w:w="992" w:type="dxa"/>
            <w:tcBorders>
              <w:top w:val="nil"/>
              <w:left w:val="nil"/>
              <w:bottom w:val="single" w:sz="4" w:space="0" w:color="auto"/>
              <w:right w:val="single" w:sz="4" w:space="0" w:color="auto"/>
            </w:tcBorders>
            <w:shd w:val="clear" w:color="auto" w:fill="auto"/>
            <w:noWrap/>
            <w:vAlign w:val="center"/>
            <w:hideMark/>
          </w:tcPr>
          <w:p w:rsidR="00124D54" w:rsidRDefault="00124D54">
            <w:pPr>
              <w:jc w:val="right"/>
              <w:rPr>
                <w:rFonts w:ascii="Calibri" w:hAnsi="Calibri"/>
                <w:color w:val="000000"/>
              </w:rPr>
            </w:pPr>
            <w:r>
              <w:rPr>
                <w:rFonts w:ascii="Calibri" w:hAnsi="Calibri"/>
                <w:color w:val="000000"/>
              </w:rPr>
              <w:t>15%</w:t>
            </w:r>
          </w:p>
        </w:tc>
      </w:tr>
    </w:tbl>
    <w:p w:rsidR="003D502F" w:rsidRDefault="003D502F" w:rsidP="00086570">
      <w:pPr>
        <w:rPr>
          <w:rFonts w:cs="Times New Roman"/>
          <w:szCs w:val="24"/>
        </w:rPr>
      </w:pPr>
    </w:p>
    <w:p w:rsidR="007C2C54" w:rsidRDefault="003657EB" w:rsidP="00086570">
      <w:pPr>
        <w:rPr>
          <w:rFonts w:cs="Times New Roman"/>
          <w:szCs w:val="24"/>
        </w:rPr>
      </w:pPr>
      <w:r>
        <w:rPr>
          <w:rFonts w:cs="Times New Roman"/>
          <w:szCs w:val="24"/>
        </w:rPr>
        <w:t xml:space="preserve">From the findings and observation it has been seen that organization operating profits trend </w:t>
      </w:r>
      <w:r w:rsidR="004D426F">
        <w:rPr>
          <w:rFonts w:cs="Times New Roman"/>
          <w:szCs w:val="24"/>
        </w:rPr>
        <w:t>was</w:t>
      </w:r>
      <w:r>
        <w:rPr>
          <w:rFonts w:cs="Times New Roman"/>
          <w:szCs w:val="24"/>
        </w:rPr>
        <w:t xml:space="preserve"> increasing in positive manner from FY2012 to FY2016 respectively. The reason of the increasing operating profit margin is that </w:t>
      </w:r>
      <w:r w:rsidR="008B043B">
        <w:rPr>
          <w:rFonts w:cs="Times New Roman"/>
          <w:szCs w:val="24"/>
        </w:rPr>
        <w:t xml:space="preserve">the trend of the performance of the gross profits margin and net sales is same. </w:t>
      </w:r>
      <w:r w:rsidR="00A403F9">
        <w:rPr>
          <w:rFonts w:cs="Times New Roman"/>
          <w:szCs w:val="24"/>
        </w:rPr>
        <w:t xml:space="preserve">The </w:t>
      </w:r>
      <w:r w:rsidR="003C1A1A">
        <w:rPr>
          <w:rFonts w:cs="Times New Roman"/>
          <w:szCs w:val="24"/>
        </w:rPr>
        <w:t xml:space="preserve">revenues of the organization from FY2015 to FY2016 </w:t>
      </w:r>
      <w:r w:rsidR="00001564">
        <w:rPr>
          <w:rFonts w:cs="Times New Roman"/>
          <w:szCs w:val="24"/>
        </w:rPr>
        <w:t>were</w:t>
      </w:r>
      <w:r w:rsidR="00A403F9">
        <w:rPr>
          <w:rFonts w:cs="Times New Roman"/>
          <w:szCs w:val="24"/>
        </w:rPr>
        <w:t xml:space="preserve"> increasing about 1.4% [FY2015;</w:t>
      </w:r>
      <w:r w:rsidR="00A403F9" w:rsidRPr="00A403F9">
        <w:rPr>
          <w:rFonts w:cs="Times New Roman"/>
          <w:szCs w:val="24"/>
        </w:rPr>
        <w:t xml:space="preserve"> </w:t>
      </w:r>
      <w:r w:rsidR="00A403F9" w:rsidRPr="001F2DCD">
        <w:rPr>
          <w:rFonts w:cs="Times New Roman"/>
          <w:szCs w:val="24"/>
        </w:rPr>
        <w:t>£</w:t>
      </w:r>
      <w:r w:rsidR="00A403F9">
        <w:rPr>
          <w:rFonts w:cs="Times New Roman"/>
          <w:szCs w:val="24"/>
        </w:rPr>
        <w:t>17979</w:t>
      </w:r>
      <w:r w:rsidR="003C1A1A">
        <w:rPr>
          <w:rFonts w:cs="Times New Roman"/>
          <w:szCs w:val="24"/>
        </w:rPr>
        <w:t>m</w:t>
      </w:r>
      <w:r w:rsidR="00A403F9">
        <w:rPr>
          <w:rFonts w:cs="Times New Roman"/>
          <w:szCs w:val="24"/>
        </w:rPr>
        <w:t>, FY2016</w:t>
      </w:r>
      <w:r w:rsidR="003C1A1A">
        <w:rPr>
          <w:rFonts w:cs="Times New Roman"/>
          <w:szCs w:val="24"/>
        </w:rPr>
        <w:t xml:space="preserve">; 19042m). Moreover the observation also shows that performance of the company in terms of net profit margin is significantly increased from FY2014 to FY2016 respectively. In the year of FY2013 and FY2014 </w:t>
      </w:r>
      <w:r w:rsidR="00423D23">
        <w:rPr>
          <w:rFonts w:cs="Times New Roman"/>
          <w:szCs w:val="24"/>
        </w:rPr>
        <w:t>Company</w:t>
      </w:r>
      <w:r w:rsidR="003C1A1A">
        <w:rPr>
          <w:rFonts w:cs="Times New Roman"/>
          <w:szCs w:val="24"/>
        </w:rPr>
        <w:t xml:space="preserve"> performance in terms of net </w:t>
      </w:r>
      <w:r w:rsidR="00001564">
        <w:rPr>
          <w:rFonts w:cs="Times New Roman"/>
          <w:szCs w:val="24"/>
        </w:rPr>
        <w:t>was</w:t>
      </w:r>
      <w:r w:rsidR="003C1A1A">
        <w:rPr>
          <w:rFonts w:cs="Times New Roman"/>
          <w:szCs w:val="24"/>
        </w:rPr>
        <w:t xml:space="preserve"> constant 12% this is because of fact that </w:t>
      </w:r>
      <w:r w:rsidR="00423D23">
        <w:rPr>
          <w:rFonts w:cs="Times New Roman"/>
          <w:szCs w:val="24"/>
        </w:rPr>
        <w:t xml:space="preserve">in FY2013 company performance in terms of revenues was decreased from </w:t>
      </w:r>
      <w:r w:rsidR="00423D23" w:rsidRPr="001F2DCD">
        <w:rPr>
          <w:rFonts w:cs="Times New Roman"/>
          <w:szCs w:val="24"/>
        </w:rPr>
        <w:t>£</w:t>
      </w:r>
      <w:r w:rsidR="00423D23">
        <w:rPr>
          <w:rFonts w:cs="Times New Roman"/>
          <w:szCs w:val="24"/>
        </w:rPr>
        <w:t xml:space="preserve">18987m to </w:t>
      </w:r>
      <w:r w:rsidR="00423D23" w:rsidRPr="001F2DCD">
        <w:rPr>
          <w:rFonts w:cs="Times New Roman"/>
          <w:szCs w:val="24"/>
        </w:rPr>
        <w:t>£</w:t>
      </w:r>
      <w:r w:rsidR="00423D23">
        <w:rPr>
          <w:rFonts w:cs="Times New Roman"/>
          <w:szCs w:val="24"/>
        </w:rPr>
        <w:t>18103m; and in same year net profit of the company is increased about 1.13%.</w:t>
      </w:r>
      <w:r w:rsidR="00112593">
        <w:rPr>
          <w:rFonts w:cs="Times New Roman"/>
          <w:szCs w:val="24"/>
        </w:rPr>
        <w:t xml:space="preserve"> </w:t>
      </w:r>
      <w:r w:rsidR="00E27923">
        <w:rPr>
          <w:rFonts w:cs="Times New Roman"/>
          <w:szCs w:val="24"/>
        </w:rPr>
        <w:t xml:space="preserve">Increasing trends in terms of both net profit margin and operating profits margin signifies that BT is performing well and implementing good </w:t>
      </w:r>
      <w:r w:rsidR="007F28C9">
        <w:rPr>
          <w:rFonts w:cs="Times New Roman"/>
          <w:szCs w:val="24"/>
        </w:rPr>
        <w:t xml:space="preserve">strategy. The observation also indicates that organization is effectively able to utilize </w:t>
      </w:r>
      <w:r w:rsidR="001D031D">
        <w:rPr>
          <w:rFonts w:cs="Times New Roman"/>
          <w:szCs w:val="24"/>
        </w:rPr>
        <w:t>its resources that help</w:t>
      </w:r>
      <w:r w:rsidR="007F28C9">
        <w:rPr>
          <w:rFonts w:cs="Times New Roman"/>
          <w:szCs w:val="24"/>
        </w:rPr>
        <w:t xml:space="preserve"> them to create</w:t>
      </w:r>
      <w:r w:rsidR="001D031D">
        <w:rPr>
          <w:rFonts w:cs="Times New Roman"/>
          <w:szCs w:val="24"/>
        </w:rPr>
        <w:t xml:space="preserve"> increase revenues in successful manner.</w:t>
      </w:r>
      <w:r w:rsidR="005A2693">
        <w:rPr>
          <w:rFonts w:cs="Times New Roman"/>
          <w:szCs w:val="24"/>
        </w:rPr>
        <w:t xml:space="preserve"> Moreover it is suggested that in order to accomplish more benefits and performance the management of the organization needs to utilize</w:t>
      </w:r>
      <w:r w:rsidR="00001564">
        <w:rPr>
          <w:rFonts w:cs="Times New Roman"/>
          <w:szCs w:val="24"/>
        </w:rPr>
        <w:t xml:space="preserve"> an effective management strategies and offering better quality of services without compromising standards that helps the organization to increase performance in better manner.    </w:t>
      </w:r>
      <w:r w:rsidR="005A2693">
        <w:rPr>
          <w:rFonts w:cs="Times New Roman"/>
          <w:szCs w:val="24"/>
        </w:rPr>
        <w:t xml:space="preserve">   </w:t>
      </w:r>
      <w:r w:rsidR="001D031D">
        <w:rPr>
          <w:rFonts w:cs="Times New Roman"/>
          <w:szCs w:val="24"/>
        </w:rPr>
        <w:t xml:space="preserve">    </w:t>
      </w:r>
      <w:r w:rsidR="007F28C9">
        <w:rPr>
          <w:rFonts w:cs="Times New Roman"/>
          <w:szCs w:val="24"/>
        </w:rPr>
        <w:t xml:space="preserve">  </w:t>
      </w:r>
      <w:r w:rsidR="00E27923">
        <w:rPr>
          <w:rFonts w:cs="Times New Roman"/>
          <w:szCs w:val="24"/>
        </w:rPr>
        <w:t xml:space="preserve"> </w:t>
      </w:r>
      <w:r w:rsidR="003C1A1A">
        <w:rPr>
          <w:rFonts w:cs="Times New Roman"/>
          <w:szCs w:val="24"/>
        </w:rPr>
        <w:t xml:space="preserve">  </w:t>
      </w:r>
      <w:r w:rsidR="00A403F9">
        <w:rPr>
          <w:rFonts w:cs="Times New Roman"/>
          <w:szCs w:val="24"/>
        </w:rPr>
        <w:t xml:space="preserve">   </w:t>
      </w:r>
      <w:r w:rsidR="008B043B">
        <w:rPr>
          <w:rFonts w:cs="Times New Roman"/>
          <w:szCs w:val="24"/>
        </w:rPr>
        <w:t xml:space="preserve">  </w:t>
      </w:r>
      <w:r>
        <w:rPr>
          <w:rFonts w:cs="Times New Roman"/>
          <w:szCs w:val="24"/>
        </w:rPr>
        <w:t xml:space="preserve">    </w:t>
      </w:r>
      <w:r w:rsidR="008B5D66">
        <w:rPr>
          <w:rFonts w:cs="Times New Roman"/>
          <w:szCs w:val="24"/>
        </w:rPr>
        <w:tab/>
      </w:r>
    </w:p>
    <w:p w:rsidR="00086570" w:rsidRDefault="00086570" w:rsidP="00BD15A2">
      <w:pPr>
        <w:pStyle w:val="Heading2"/>
      </w:pPr>
      <w:bookmarkStart w:id="8" w:name="_Toc502770443"/>
      <w:r>
        <w:t>3.2 Liquidity analysis</w:t>
      </w:r>
      <w:bookmarkEnd w:id="8"/>
      <w:r>
        <w:t xml:space="preserve"> </w:t>
      </w:r>
    </w:p>
    <w:p w:rsidR="00B23305" w:rsidRDefault="00B23305" w:rsidP="00086570">
      <w:pPr>
        <w:rPr>
          <w:rFonts w:cs="Times New Roman"/>
          <w:szCs w:val="24"/>
        </w:rPr>
      </w:pPr>
      <w:r>
        <w:rPr>
          <w:rFonts w:cs="Times New Roman"/>
          <w:szCs w:val="24"/>
        </w:rPr>
        <w:t xml:space="preserve">According to </w:t>
      </w:r>
      <w:r w:rsidR="006B758E" w:rsidRPr="006B758E">
        <w:rPr>
          <w:rFonts w:cs="Times New Roman"/>
          <w:szCs w:val="24"/>
        </w:rPr>
        <w:t>Chandra, P. (2011)</w:t>
      </w:r>
      <w:r w:rsidR="006B758E">
        <w:rPr>
          <w:rFonts w:cs="Times New Roman"/>
          <w:szCs w:val="24"/>
        </w:rPr>
        <w:t>, liquidity</w:t>
      </w:r>
      <w:r>
        <w:rPr>
          <w:rFonts w:cs="Times New Roman"/>
          <w:szCs w:val="24"/>
        </w:rPr>
        <w:t xml:space="preserve"> ratios explains the capability of the organization to meet their </w:t>
      </w:r>
      <w:r w:rsidR="00754B1D">
        <w:rPr>
          <w:rFonts w:cs="Times New Roman"/>
          <w:szCs w:val="24"/>
        </w:rPr>
        <w:t xml:space="preserve">short term needs with the available of short term assets. The main purpose of the findings liquidity ratios by the management of the BT is that it helps </w:t>
      </w:r>
      <w:r w:rsidR="00D9004B">
        <w:rPr>
          <w:rFonts w:cs="Times New Roman"/>
          <w:szCs w:val="24"/>
        </w:rPr>
        <w:t>them to</w:t>
      </w:r>
      <w:r w:rsidR="007A1663">
        <w:rPr>
          <w:rFonts w:cs="Times New Roman"/>
          <w:szCs w:val="24"/>
        </w:rPr>
        <w:t xml:space="preserve"> determine out the solvency positions of the company in effectively manner.  </w:t>
      </w:r>
      <w:r w:rsidR="00754B1D">
        <w:rPr>
          <w:rFonts w:cs="Times New Roman"/>
          <w:szCs w:val="24"/>
        </w:rPr>
        <w:t xml:space="preserve">    </w:t>
      </w:r>
      <w:r>
        <w:rPr>
          <w:rFonts w:cs="Times New Roman"/>
          <w:szCs w:val="24"/>
        </w:rPr>
        <w:t xml:space="preserve">  </w:t>
      </w:r>
    </w:p>
    <w:p w:rsidR="006F7170" w:rsidRDefault="006F7170" w:rsidP="00086570">
      <w:pPr>
        <w:rPr>
          <w:rFonts w:cs="Times New Roman"/>
          <w:szCs w:val="24"/>
        </w:rPr>
      </w:pPr>
      <w:r w:rsidRPr="006F7170">
        <w:rPr>
          <w:rFonts w:cs="Times New Roman"/>
          <w:noProof/>
          <w:szCs w:val="24"/>
          <w:lang w:val="en-IN" w:eastAsia="en-IN"/>
        </w:rPr>
        <w:lastRenderedPageBreak/>
        <w:drawing>
          <wp:inline distT="0" distB="0" distL="0" distR="0">
            <wp:extent cx="4572000" cy="2738438"/>
            <wp:effectExtent l="57150" t="0" r="38100" b="42862"/>
            <wp:docPr id="8"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6F7170" w:rsidRPr="00AE048B" w:rsidRDefault="00AE048B" w:rsidP="00086570">
      <w:pPr>
        <w:rPr>
          <w:rFonts w:cs="Times New Roman"/>
          <w:b/>
          <w:szCs w:val="24"/>
        </w:rPr>
      </w:pPr>
      <w:r w:rsidRPr="00AE048B">
        <w:rPr>
          <w:rFonts w:cs="Times New Roman"/>
          <w:b/>
          <w:szCs w:val="24"/>
        </w:rPr>
        <w:t xml:space="preserve"> </w:t>
      </w:r>
    </w:p>
    <w:tbl>
      <w:tblPr>
        <w:tblW w:w="7840" w:type="dxa"/>
        <w:tblInd w:w="103" w:type="dxa"/>
        <w:tblLook w:val="04A0" w:firstRow="1" w:lastRow="0" w:firstColumn="1" w:lastColumn="0" w:noHBand="0" w:noVBand="1"/>
      </w:tblPr>
      <w:tblGrid>
        <w:gridCol w:w="3040"/>
        <w:gridCol w:w="1063"/>
        <w:gridCol w:w="1063"/>
        <w:gridCol w:w="1063"/>
        <w:gridCol w:w="1063"/>
        <w:gridCol w:w="1063"/>
      </w:tblGrid>
      <w:tr w:rsidR="006F7170" w:rsidRPr="003F2D0C" w:rsidTr="006F7170">
        <w:trPr>
          <w:trHeight w:val="300"/>
        </w:trPr>
        <w:tc>
          <w:tcPr>
            <w:tcW w:w="3040" w:type="dxa"/>
            <w:tcBorders>
              <w:top w:val="single" w:sz="4" w:space="0" w:color="auto"/>
              <w:left w:val="single" w:sz="4" w:space="0" w:color="auto"/>
              <w:bottom w:val="single" w:sz="4" w:space="0" w:color="auto"/>
              <w:right w:val="single" w:sz="4" w:space="0" w:color="auto"/>
            </w:tcBorders>
            <w:shd w:val="clear" w:color="000000" w:fill="DBE5F1"/>
            <w:noWrap/>
            <w:vAlign w:val="bottom"/>
            <w:hideMark/>
          </w:tcPr>
          <w:p w:rsidR="006F7170" w:rsidRPr="003F2D0C" w:rsidRDefault="006F7170" w:rsidP="006F7170">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financial statement  items</w:t>
            </w:r>
          </w:p>
        </w:tc>
        <w:tc>
          <w:tcPr>
            <w:tcW w:w="960" w:type="dxa"/>
            <w:tcBorders>
              <w:top w:val="single" w:sz="4" w:space="0" w:color="auto"/>
              <w:left w:val="nil"/>
              <w:bottom w:val="single" w:sz="4" w:space="0" w:color="auto"/>
              <w:right w:val="single" w:sz="4" w:space="0" w:color="auto"/>
            </w:tcBorders>
            <w:shd w:val="clear" w:color="000000" w:fill="DBE5F1"/>
            <w:noWrap/>
            <w:vAlign w:val="bottom"/>
            <w:hideMark/>
          </w:tcPr>
          <w:p w:rsidR="006F7170" w:rsidRPr="003F2D0C" w:rsidRDefault="006F7170" w:rsidP="006F7170">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£,million</w:t>
            </w:r>
          </w:p>
        </w:tc>
        <w:tc>
          <w:tcPr>
            <w:tcW w:w="960" w:type="dxa"/>
            <w:tcBorders>
              <w:top w:val="single" w:sz="4" w:space="0" w:color="auto"/>
              <w:left w:val="nil"/>
              <w:bottom w:val="single" w:sz="4" w:space="0" w:color="auto"/>
              <w:right w:val="single" w:sz="4" w:space="0" w:color="auto"/>
            </w:tcBorders>
            <w:shd w:val="clear" w:color="000000" w:fill="DBE5F1"/>
            <w:noWrap/>
            <w:vAlign w:val="bottom"/>
            <w:hideMark/>
          </w:tcPr>
          <w:p w:rsidR="006F7170" w:rsidRPr="003F2D0C" w:rsidRDefault="006F7170" w:rsidP="006F7170">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£,million</w:t>
            </w:r>
          </w:p>
        </w:tc>
        <w:tc>
          <w:tcPr>
            <w:tcW w:w="960" w:type="dxa"/>
            <w:tcBorders>
              <w:top w:val="single" w:sz="4" w:space="0" w:color="auto"/>
              <w:left w:val="nil"/>
              <w:bottom w:val="single" w:sz="4" w:space="0" w:color="auto"/>
              <w:right w:val="single" w:sz="4" w:space="0" w:color="auto"/>
            </w:tcBorders>
            <w:shd w:val="clear" w:color="000000" w:fill="DBE5F1"/>
            <w:noWrap/>
            <w:vAlign w:val="bottom"/>
            <w:hideMark/>
          </w:tcPr>
          <w:p w:rsidR="006F7170" w:rsidRPr="003F2D0C" w:rsidRDefault="006F7170" w:rsidP="006F7170">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£,million</w:t>
            </w:r>
          </w:p>
        </w:tc>
        <w:tc>
          <w:tcPr>
            <w:tcW w:w="960" w:type="dxa"/>
            <w:tcBorders>
              <w:top w:val="single" w:sz="4" w:space="0" w:color="auto"/>
              <w:left w:val="nil"/>
              <w:bottom w:val="single" w:sz="4" w:space="0" w:color="auto"/>
              <w:right w:val="single" w:sz="4" w:space="0" w:color="auto"/>
            </w:tcBorders>
            <w:shd w:val="clear" w:color="000000" w:fill="DBE5F1"/>
            <w:noWrap/>
            <w:vAlign w:val="bottom"/>
            <w:hideMark/>
          </w:tcPr>
          <w:p w:rsidR="006F7170" w:rsidRPr="003F2D0C" w:rsidRDefault="006F7170" w:rsidP="006F7170">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£,million</w:t>
            </w:r>
          </w:p>
        </w:tc>
        <w:tc>
          <w:tcPr>
            <w:tcW w:w="960" w:type="dxa"/>
            <w:tcBorders>
              <w:top w:val="single" w:sz="4" w:space="0" w:color="auto"/>
              <w:left w:val="nil"/>
              <w:bottom w:val="single" w:sz="4" w:space="0" w:color="auto"/>
              <w:right w:val="single" w:sz="4" w:space="0" w:color="auto"/>
            </w:tcBorders>
            <w:shd w:val="clear" w:color="000000" w:fill="DBE5F1"/>
            <w:noWrap/>
            <w:vAlign w:val="bottom"/>
            <w:hideMark/>
          </w:tcPr>
          <w:p w:rsidR="006F7170" w:rsidRPr="003F2D0C" w:rsidRDefault="006F7170" w:rsidP="006F7170">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£,million</w:t>
            </w:r>
          </w:p>
        </w:tc>
      </w:tr>
      <w:tr w:rsidR="006F7170" w:rsidRPr="003F2D0C" w:rsidTr="006F7170">
        <w:trPr>
          <w:trHeight w:val="300"/>
        </w:trPr>
        <w:tc>
          <w:tcPr>
            <w:tcW w:w="3040" w:type="dxa"/>
            <w:tcBorders>
              <w:top w:val="nil"/>
              <w:left w:val="single" w:sz="4" w:space="0" w:color="auto"/>
              <w:bottom w:val="single" w:sz="4" w:space="0" w:color="auto"/>
              <w:right w:val="single" w:sz="4" w:space="0" w:color="auto"/>
            </w:tcBorders>
            <w:shd w:val="clear" w:color="000000" w:fill="CCC0DA"/>
            <w:noWrap/>
            <w:vAlign w:val="bottom"/>
            <w:hideMark/>
          </w:tcPr>
          <w:p w:rsidR="006F7170" w:rsidRPr="003F2D0C" w:rsidRDefault="006F7170" w:rsidP="006F7170">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 </w:t>
            </w:r>
          </w:p>
        </w:tc>
        <w:tc>
          <w:tcPr>
            <w:tcW w:w="960" w:type="dxa"/>
            <w:tcBorders>
              <w:top w:val="nil"/>
              <w:left w:val="nil"/>
              <w:bottom w:val="single" w:sz="4" w:space="0" w:color="auto"/>
              <w:right w:val="single" w:sz="4" w:space="0" w:color="auto"/>
            </w:tcBorders>
            <w:shd w:val="clear" w:color="000000" w:fill="CCC0DA"/>
            <w:noWrap/>
            <w:vAlign w:val="bottom"/>
            <w:hideMark/>
          </w:tcPr>
          <w:p w:rsidR="006F7170" w:rsidRPr="003F2D0C" w:rsidRDefault="006F7170" w:rsidP="006F7170">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2012</w:t>
            </w:r>
          </w:p>
        </w:tc>
        <w:tc>
          <w:tcPr>
            <w:tcW w:w="960" w:type="dxa"/>
            <w:tcBorders>
              <w:top w:val="nil"/>
              <w:left w:val="nil"/>
              <w:bottom w:val="single" w:sz="4" w:space="0" w:color="auto"/>
              <w:right w:val="single" w:sz="4" w:space="0" w:color="auto"/>
            </w:tcBorders>
            <w:shd w:val="clear" w:color="000000" w:fill="CCC0DA"/>
            <w:noWrap/>
            <w:vAlign w:val="bottom"/>
            <w:hideMark/>
          </w:tcPr>
          <w:p w:rsidR="006F7170" w:rsidRPr="003F2D0C" w:rsidRDefault="006F7170" w:rsidP="006F7170">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2013</w:t>
            </w:r>
          </w:p>
        </w:tc>
        <w:tc>
          <w:tcPr>
            <w:tcW w:w="960" w:type="dxa"/>
            <w:tcBorders>
              <w:top w:val="nil"/>
              <w:left w:val="nil"/>
              <w:bottom w:val="single" w:sz="4" w:space="0" w:color="auto"/>
              <w:right w:val="single" w:sz="4" w:space="0" w:color="auto"/>
            </w:tcBorders>
            <w:shd w:val="clear" w:color="000000" w:fill="CCC0DA"/>
            <w:noWrap/>
            <w:vAlign w:val="bottom"/>
            <w:hideMark/>
          </w:tcPr>
          <w:p w:rsidR="006F7170" w:rsidRPr="003F2D0C" w:rsidRDefault="006F7170" w:rsidP="006F7170">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2014</w:t>
            </w:r>
          </w:p>
        </w:tc>
        <w:tc>
          <w:tcPr>
            <w:tcW w:w="960" w:type="dxa"/>
            <w:tcBorders>
              <w:top w:val="nil"/>
              <w:left w:val="nil"/>
              <w:bottom w:val="single" w:sz="4" w:space="0" w:color="auto"/>
              <w:right w:val="single" w:sz="4" w:space="0" w:color="auto"/>
            </w:tcBorders>
            <w:shd w:val="clear" w:color="000000" w:fill="CCC0DA"/>
            <w:noWrap/>
            <w:vAlign w:val="bottom"/>
            <w:hideMark/>
          </w:tcPr>
          <w:p w:rsidR="006F7170" w:rsidRPr="003F2D0C" w:rsidRDefault="006F7170" w:rsidP="006F7170">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2015</w:t>
            </w:r>
          </w:p>
        </w:tc>
        <w:tc>
          <w:tcPr>
            <w:tcW w:w="960" w:type="dxa"/>
            <w:tcBorders>
              <w:top w:val="nil"/>
              <w:left w:val="nil"/>
              <w:bottom w:val="single" w:sz="4" w:space="0" w:color="auto"/>
              <w:right w:val="single" w:sz="4" w:space="0" w:color="auto"/>
            </w:tcBorders>
            <w:shd w:val="clear" w:color="000000" w:fill="CCC0DA"/>
            <w:noWrap/>
            <w:vAlign w:val="bottom"/>
            <w:hideMark/>
          </w:tcPr>
          <w:p w:rsidR="006F7170" w:rsidRPr="003F2D0C" w:rsidRDefault="006F7170" w:rsidP="006F7170">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2016</w:t>
            </w:r>
          </w:p>
        </w:tc>
      </w:tr>
      <w:tr w:rsidR="006F7170" w:rsidRPr="003F2D0C" w:rsidTr="006F7170">
        <w:trPr>
          <w:trHeight w:val="300"/>
        </w:trPr>
        <w:tc>
          <w:tcPr>
            <w:tcW w:w="3040" w:type="dxa"/>
            <w:tcBorders>
              <w:top w:val="nil"/>
              <w:left w:val="single" w:sz="4" w:space="0" w:color="auto"/>
              <w:bottom w:val="single" w:sz="4" w:space="0" w:color="auto"/>
              <w:right w:val="single" w:sz="4" w:space="0" w:color="auto"/>
            </w:tcBorders>
            <w:shd w:val="clear" w:color="auto" w:fill="auto"/>
            <w:noWrap/>
            <w:vAlign w:val="bottom"/>
            <w:hideMark/>
          </w:tcPr>
          <w:p w:rsidR="006F7170" w:rsidRPr="003F2D0C" w:rsidRDefault="006F7170" w:rsidP="006F7170">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Current asset</w:t>
            </w:r>
          </w:p>
        </w:tc>
        <w:tc>
          <w:tcPr>
            <w:tcW w:w="960" w:type="dxa"/>
            <w:tcBorders>
              <w:top w:val="nil"/>
              <w:left w:val="nil"/>
              <w:bottom w:val="single" w:sz="4" w:space="0" w:color="auto"/>
              <w:right w:val="single" w:sz="4" w:space="0" w:color="auto"/>
            </w:tcBorders>
            <w:shd w:val="clear" w:color="000000" w:fill="EEECE1"/>
            <w:noWrap/>
            <w:vAlign w:val="bottom"/>
            <w:hideMark/>
          </w:tcPr>
          <w:p w:rsidR="006F7170" w:rsidRPr="003F2D0C" w:rsidRDefault="006F7170" w:rsidP="006F7170">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4,531</w:t>
            </w:r>
          </w:p>
        </w:tc>
        <w:tc>
          <w:tcPr>
            <w:tcW w:w="960" w:type="dxa"/>
            <w:tcBorders>
              <w:top w:val="nil"/>
              <w:left w:val="nil"/>
              <w:bottom w:val="single" w:sz="4" w:space="0" w:color="auto"/>
              <w:right w:val="single" w:sz="4" w:space="0" w:color="auto"/>
            </w:tcBorders>
            <w:shd w:val="clear" w:color="000000" w:fill="EEECE1"/>
            <w:noWrap/>
            <w:vAlign w:val="bottom"/>
            <w:hideMark/>
          </w:tcPr>
          <w:p w:rsidR="006F7170" w:rsidRPr="003F2D0C" w:rsidRDefault="006F7170" w:rsidP="006F7170">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5,417</w:t>
            </w:r>
          </w:p>
        </w:tc>
        <w:tc>
          <w:tcPr>
            <w:tcW w:w="960" w:type="dxa"/>
            <w:tcBorders>
              <w:top w:val="nil"/>
              <w:left w:val="nil"/>
              <w:bottom w:val="single" w:sz="4" w:space="0" w:color="auto"/>
              <w:right w:val="single" w:sz="4" w:space="0" w:color="auto"/>
            </w:tcBorders>
            <w:shd w:val="clear" w:color="000000" w:fill="EEECE1"/>
            <w:noWrap/>
            <w:vAlign w:val="bottom"/>
            <w:hideMark/>
          </w:tcPr>
          <w:p w:rsidR="006F7170" w:rsidRPr="003F2D0C" w:rsidRDefault="006F7170" w:rsidP="006F7170">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6,483</w:t>
            </w:r>
          </w:p>
        </w:tc>
        <w:tc>
          <w:tcPr>
            <w:tcW w:w="960" w:type="dxa"/>
            <w:tcBorders>
              <w:top w:val="nil"/>
              <w:left w:val="nil"/>
              <w:bottom w:val="single" w:sz="4" w:space="0" w:color="auto"/>
              <w:right w:val="single" w:sz="4" w:space="0" w:color="auto"/>
            </w:tcBorders>
            <w:shd w:val="clear" w:color="000000" w:fill="EEECE1"/>
            <w:noWrap/>
            <w:vAlign w:val="bottom"/>
            <w:hideMark/>
          </w:tcPr>
          <w:p w:rsidR="006F7170" w:rsidRPr="003F2D0C" w:rsidRDefault="006F7170" w:rsidP="006F7170">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7,515</w:t>
            </w:r>
          </w:p>
        </w:tc>
        <w:tc>
          <w:tcPr>
            <w:tcW w:w="960" w:type="dxa"/>
            <w:tcBorders>
              <w:top w:val="nil"/>
              <w:left w:val="nil"/>
              <w:bottom w:val="single" w:sz="4" w:space="0" w:color="auto"/>
              <w:right w:val="single" w:sz="4" w:space="0" w:color="auto"/>
            </w:tcBorders>
            <w:shd w:val="clear" w:color="000000" w:fill="EEECE1"/>
            <w:noWrap/>
            <w:vAlign w:val="bottom"/>
            <w:hideMark/>
          </w:tcPr>
          <w:p w:rsidR="006F7170" w:rsidRPr="003F2D0C" w:rsidRDefault="006F7170" w:rsidP="006F7170">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8,489</w:t>
            </w:r>
          </w:p>
        </w:tc>
      </w:tr>
      <w:tr w:rsidR="006F7170" w:rsidRPr="003F2D0C" w:rsidTr="006F7170">
        <w:trPr>
          <w:trHeight w:val="300"/>
        </w:trPr>
        <w:tc>
          <w:tcPr>
            <w:tcW w:w="3040" w:type="dxa"/>
            <w:tcBorders>
              <w:top w:val="nil"/>
              <w:left w:val="single" w:sz="4" w:space="0" w:color="auto"/>
              <w:bottom w:val="single" w:sz="4" w:space="0" w:color="auto"/>
              <w:right w:val="single" w:sz="4" w:space="0" w:color="auto"/>
            </w:tcBorders>
            <w:shd w:val="clear" w:color="auto" w:fill="auto"/>
            <w:noWrap/>
            <w:vAlign w:val="bottom"/>
            <w:hideMark/>
          </w:tcPr>
          <w:p w:rsidR="006F7170" w:rsidRPr="003F2D0C" w:rsidRDefault="006F7170" w:rsidP="006F7170">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Current liability</w:t>
            </w:r>
          </w:p>
        </w:tc>
        <w:tc>
          <w:tcPr>
            <w:tcW w:w="960" w:type="dxa"/>
            <w:tcBorders>
              <w:top w:val="nil"/>
              <w:left w:val="nil"/>
              <w:bottom w:val="single" w:sz="4" w:space="0" w:color="auto"/>
              <w:right w:val="single" w:sz="4" w:space="0" w:color="auto"/>
            </w:tcBorders>
            <w:shd w:val="clear" w:color="000000" w:fill="EEECE1"/>
            <w:noWrap/>
            <w:vAlign w:val="bottom"/>
            <w:hideMark/>
          </w:tcPr>
          <w:p w:rsidR="006F7170" w:rsidRPr="003F2D0C" w:rsidRDefault="006F7170" w:rsidP="006F7170">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9,255</w:t>
            </w:r>
          </w:p>
        </w:tc>
        <w:tc>
          <w:tcPr>
            <w:tcW w:w="960" w:type="dxa"/>
            <w:tcBorders>
              <w:top w:val="nil"/>
              <w:left w:val="nil"/>
              <w:bottom w:val="single" w:sz="4" w:space="0" w:color="auto"/>
              <w:right w:val="single" w:sz="4" w:space="0" w:color="auto"/>
            </w:tcBorders>
            <w:shd w:val="clear" w:color="000000" w:fill="EEECE1"/>
            <w:noWrap/>
            <w:vAlign w:val="bottom"/>
            <w:hideMark/>
          </w:tcPr>
          <w:p w:rsidR="006F7170" w:rsidRPr="003F2D0C" w:rsidRDefault="006F7170" w:rsidP="006F7170">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7,644</w:t>
            </w:r>
          </w:p>
        </w:tc>
        <w:tc>
          <w:tcPr>
            <w:tcW w:w="960" w:type="dxa"/>
            <w:tcBorders>
              <w:top w:val="nil"/>
              <w:left w:val="nil"/>
              <w:bottom w:val="single" w:sz="4" w:space="0" w:color="auto"/>
              <w:right w:val="single" w:sz="4" w:space="0" w:color="auto"/>
            </w:tcBorders>
            <w:shd w:val="clear" w:color="000000" w:fill="EEECE1"/>
            <w:noWrap/>
            <w:vAlign w:val="bottom"/>
            <w:hideMark/>
          </w:tcPr>
          <w:p w:rsidR="006F7170" w:rsidRPr="003F2D0C" w:rsidRDefault="006F7170" w:rsidP="006F7170">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7,709</w:t>
            </w:r>
          </w:p>
        </w:tc>
        <w:tc>
          <w:tcPr>
            <w:tcW w:w="960" w:type="dxa"/>
            <w:tcBorders>
              <w:top w:val="nil"/>
              <w:left w:val="nil"/>
              <w:bottom w:val="single" w:sz="4" w:space="0" w:color="auto"/>
              <w:right w:val="single" w:sz="4" w:space="0" w:color="auto"/>
            </w:tcBorders>
            <w:shd w:val="clear" w:color="000000" w:fill="EEECE1"/>
            <w:noWrap/>
            <w:vAlign w:val="bottom"/>
            <w:hideMark/>
          </w:tcPr>
          <w:p w:rsidR="006F7170" w:rsidRPr="003F2D0C" w:rsidRDefault="006F7170" w:rsidP="006F7170">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7,731</w:t>
            </w:r>
          </w:p>
        </w:tc>
        <w:tc>
          <w:tcPr>
            <w:tcW w:w="960" w:type="dxa"/>
            <w:tcBorders>
              <w:top w:val="nil"/>
              <w:left w:val="nil"/>
              <w:bottom w:val="single" w:sz="4" w:space="0" w:color="auto"/>
              <w:right w:val="single" w:sz="4" w:space="0" w:color="auto"/>
            </w:tcBorders>
            <w:shd w:val="clear" w:color="000000" w:fill="EEECE1"/>
            <w:noWrap/>
            <w:vAlign w:val="bottom"/>
            <w:hideMark/>
          </w:tcPr>
          <w:p w:rsidR="006F7170" w:rsidRPr="003F2D0C" w:rsidRDefault="006F7170" w:rsidP="006F7170">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11,081</w:t>
            </w:r>
          </w:p>
        </w:tc>
      </w:tr>
      <w:tr w:rsidR="006F7170" w:rsidRPr="003F2D0C" w:rsidTr="006F7170">
        <w:trPr>
          <w:trHeight w:val="300"/>
        </w:trPr>
        <w:tc>
          <w:tcPr>
            <w:tcW w:w="3040" w:type="dxa"/>
            <w:tcBorders>
              <w:top w:val="nil"/>
              <w:left w:val="single" w:sz="4" w:space="0" w:color="auto"/>
              <w:bottom w:val="single" w:sz="4" w:space="0" w:color="auto"/>
              <w:right w:val="single" w:sz="4" w:space="0" w:color="auto"/>
            </w:tcBorders>
            <w:shd w:val="clear" w:color="auto" w:fill="auto"/>
            <w:noWrap/>
            <w:vAlign w:val="bottom"/>
            <w:hideMark/>
          </w:tcPr>
          <w:p w:rsidR="006F7170" w:rsidRPr="003F2D0C" w:rsidRDefault="006F7170" w:rsidP="006F7170">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Average Inventory holding</w:t>
            </w:r>
          </w:p>
        </w:tc>
        <w:tc>
          <w:tcPr>
            <w:tcW w:w="960" w:type="dxa"/>
            <w:tcBorders>
              <w:top w:val="nil"/>
              <w:left w:val="nil"/>
              <w:bottom w:val="single" w:sz="4" w:space="0" w:color="auto"/>
              <w:right w:val="single" w:sz="4" w:space="0" w:color="auto"/>
            </w:tcBorders>
            <w:shd w:val="clear" w:color="000000" w:fill="EEECE1"/>
            <w:noWrap/>
            <w:vAlign w:val="bottom"/>
            <w:hideMark/>
          </w:tcPr>
          <w:p w:rsidR="006F7170" w:rsidRPr="003F2D0C" w:rsidRDefault="006F7170" w:rsidP="006F7170">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104</w:t>
            </w:r>
          </w:p>
        </w:tc>
        <w:tc>
          <w:tcPr>
            <w:tcW w:w="960" w:type="dxa"/>
            <w:tcBorders>
              <w:top w:val="nil"/>
              <w:left w:val="nil"/>
              <w:bottom w:val="single" w:sz="4" w:space="0" w:color="auto"/>
              <w:right w:val="single" w:sz="4" w:space="0" w:color="auto"/>
            </w:tcBorders>
            <w:shd w:val="clear" w:color="000000" w:fill="EEECE1"/>
            <w:noWrap/>
            <w:vAlign w:val="bottom"/>
            <w:hideMark/>
          </w:tcPr>
          <w:p w:rsidR="006F7170" w:rsidRPr="003F2D0C" w:rsidRDefault="006F7170" w:rsidP="006F7170">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103</w:t>
            </w:r>
          </w:p>
        </w:tc>
        <w:tc>
          <w:tcPr>
            <w:tcW w:w="960" w:type="dxa"/>
            <w:tcBorders>
              <w:top w:val="nil"/>
              <w:left w:val="nil"/>
              <w:bottom w:val="single" w:sz="4" w:space="0" w:color="auto"/>
              <w:right w:val="single" w:sz="4" w:space="0" w:color="auto"/>
            </w:tcBorders>
            <w:shd w:val="clear" w:color="000000" w:fill="EEECE1"/>
            <w:noWrap/>
            <w:vAlign w:val="bottom"/>
            <w:hideMark/>
          </w:tcPr>
          <w:p w:rsidR="006F7170" w:rsidRPr="003F2D0C" w:rsidRDefault="006F7170" w:rsidP="006F7170">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82</w:t>
            </w:r>
          </w:p>
        </w:tc>
        <w:tc>
          <w:tcPr>
            <w:tcW w:w="960" w:type="dxa"/>
            <w:tcBorders>
              <w:top w:val="nil"/>
              <w:left w:val="nil"/>
              <w:bottom w:val="single" w:sz="4" w:space="0" w:color="auto"/>
              <w:right w:val="single" w:sz="4" w:space="0" w:color="auto"/>
            </w:tcBorders>
            <w:shd w:val="clear" w:color="000000" w:fill="EEECE1"/>
            <w:noWrap/>
            <w:vAlign w:val="bottom"/>
            <w:hideMark/>
          </w:tcPr>
          <w:p w:rsidR="006F7170" w:rsidRPr="003F2D0C" w:rsidRDefault="006F7170" w:rsidP="006F7170">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94</w:t>
            </w:r>
          </w:p>
        </w:tc>
        <w:tc>
          <w:tcPr>
            <w:tcW w:w="960" w:type="dxa"/>
            <w:tcBorders>
              <w:top w:val="nil"/>
              <w:left w:val="nil"/>
              <w:bottom w:val="single" w:sz="4" w:space="0" w:color="auto"/>
              <w:right w:val="single" w:sz="4" w:space="0" w:color="auto"/>
            </w:tcBorders>
            <w:shd w:val="clear" w:color="000000" w:fill="EEECE1"/>
            <w:noWrap/>
            <w:vAlign w:val="bottom"/>
            <w:hideMark/>
          </w:tcPr>
          <w:p w:rsidR="006F7170" w:rsidRPr="003F2D0C" w:rsidRDefault="006F7170" w:rsidP="006F7170">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189</w:t>
            </w:r>
          </w:p>
        </w:tc>
      </w:tr>
      <w:tr w:rsidR="006F7170" w:rsidRPr="003F2D0C" w:rsidTr="006F7170">
        <w:trPr>
          <w:trHeight w:val="915"/>
        </w:trPr>
        <w:tc>
          <w:tcPr>
            <w:tcW w:w="3040" w:type="dxa"/>
            <w:tcBorders>
              <w:top w:val="nil"/>
              <w:left w:val="single" w:sz="4" w:space="0" w:color="auto"/>
              <w:bottom w:val="single" w:sz="4" w:space="0" w:color="auto"/>
              <w:right w:val="single" w:sz="4" w:space="0" w:color="auto"/>
            </w:tcBorders>
            <w:shd w:val="clear" w:color="000000" w:fill="E6B9B8"/>
            <w:vAlign w:val="bottom"/>
            <w:hideMark/>
          </w:tcPr>
          <w:p w:rsidR="006F7170" w:rsidRPr="003F2D0C" w:rsidRDefault="006F7170" w:rsidP="006F7170">
            <w:pPr>
              <w:spacing w:after="0" w:line="240" w:lineRule="auto"/>
              <w:rPr>
                <w:rFonts w:eastAsia="Times New Roman" w:cs="Times New Roman"/>
                <w:b/>
                <w:bCs/>
                <w:color w:val="000000" w:themeColor="text1"/>
                <w:szCs w:val="24"/>
              </w:rPr>
            </w:pPr>
            <w:r w:rsidRPr="003F2D0C">
              <w:rPr>
                <w:rFonts w:eastAsia="Times New Roman" w:cs="Times New Roman"/>
                <w:b/>
                <w:bCs/>
                <w:color w:val="000000" w:themeColor="text1"/>
                <w:szCs w:val="24"/>
              </w:rPr>
              <w:t>Quick Ratio</w:t>
            </w:r>
            <w:r w:rsidRPr="003F2D0C">
              <w:rPr>
                <w:rFonts w:ascii="Calibri" w:eastAsia="Times New Roman" w:hAnsi="Calibri" w:cs="Times New Roman"/>
                <w:color w:val="000000" w:themeColor="text1"/>
              </w:rPr>
              <w:t xml:space="preserve"> ([Current asset-Inventories]/ Current liability*100) </w:t>
            </w:r>
          </w:p>
        </w:tc>
        <w:tc>
          <w:tcPr>
            <w:tcW w:w="960" w:type="dxa"/>
            <w:tcBorders>
              <w:top w:val="nil"/>
              <w:left w:val="nil"/>
              <w:bottom w:val="single" w:sz="4" w:space="0" w:color="auto"/>
              <w:right w:val="single" w:sz="4" w:space="0" w:color="auto"/>
            </w:tcBorders>
            <w:shd w:val="clear" w:color="auto" w:fill="auto"/>
            <w:noWrap/>
            <w:vAlign w:val="bottom"/>
            <w:hideMark/>
          </w:tcPr>
          <w:p w:rsidR="006F7170" w:rsidRPr="003F2D0C" w:rsidRDefault="006F7170" w:rsidP="006F7170">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0.48</w:t>
            </w:r>
          </w:p>
        </w:tc>
        <w:tc>
          <w:tcPr>
            <w:tcW w:w="960" w:type="dxa"/>
            <w:tcBorders>
              <w:top w:val="nil"/>
              <w:left w:val="nil"/>
              <w:bottom w:val="single" w:sz="4" w:space="0" w:color="auto"/>
              <w:right w:val="single" w:sz="4" w:space="0" w:color="auto"/>
            </w:tcBorders>
            <w:shd w:val="clear" w:color="auto" w:fill="auto"/>
            <w:noWrap/>
            <w:vAlign w:val="bottom"/>
            <w:hideMark/>
          </w:tcPr>
          <w:p w:rsidR="006F7170" w:rsidRPr="003F2D0C" w:rsidRDefault="006F7170" w:rsidP="006F7170">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0.70</w:t>
            </w:r>
          </w:p>
        </w:tc>
        <w:tc>
          <w:tcPr>
            <w:tcW w:w="960" w:type="dxa"/>
            <w:tcBorders>
              <w:top w:val="nil"/>
              <w:left w:val="nil"/>
              <w:bottom w:val="single" w:sz="4" w:space="0" w:color="auto"/>
              <w:right w:val="single" w:sz="4" w:space="0" w:color="auto"/>
            </w:tcBorders>
            <w:shd w:val="clear" w:color="auto" w:fill="auto"/>
            <w:noWrap/>
            <w:vAlign w:val="bottom"/>
            <w:hideMark/>
          </w:tcPr>
          <w:p w:rsidR="006F7170" w:rsidRPr="003F2D0C" w:rsidRDefault="006F7170" w:rsidP="006F7170">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0.83</w:t>
            </w:r>
          </w:p>
        </w:tc>
        <w:tc>
          <w:tcPr>
            <w:tcW w:w="960" w:type="dxa"/>
            <w:tcBorders>
              <w:top w:val="nil"/>
              <w:left w:val="nil"/>
              <w:bottom w:val="single" w:sz="4" w:space="0" w:color="auto"/>
              <w:right w:val="single" w:sz="4" w:space="0" w:color="auto"/>
            </w:tcBorders>
            <w:shd w:val="clear" w:color="auto" w:fill="auto"/>
            <w:noWrap/>
            <w:vAlign w:val="bottom"/>
            <w:hideMark/>
          </w:tcPr>
          <w:p w:rsidR="006F7170" w:rsidRPr="003F2D0C" w:rsidRDefault="006F7170" w:rsidP="006F7170">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0.96</w:t>
            </w:r>
          </w:p>
        </w:tc>
        <w:tc>
          <w:tcPr>
            <w:tcW w:w="960" w:type="dxa"/>
            <w:tcBorders>
              <w:top w:val="nil"/>
              <w:left w:val="nil"/>
              <w:bottom w:val="single" w:sz="4" w:space="0" w:color="auto"/>
              <w:right w:val="single" w:sz="4" w:space="0" w:color="auto"/>
            </w:tcBorders>
            <w:shd w:val="clear" w:color="auto" w:fill="auto"/>
            <w:noWrap/>
            <w:vAlign w:val="bottom"/>
            <w:hideMark/>
          </w:tcPr>
          <w:p w:rsidR="006F7170" w:rsidRPr="003F2D0C" w:rsidRDefault="006F7170" w:rsidP="006F7170">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0.75</w:t>
            </w:r>
          </w:p>
        </w:tc>
      </w:tr>
      <w:tr w:rsidR="006F7170" w:rsidRPr="003F2D0C" w:rsidTr="006F7170">
        <w:trPr>
          <w:trHeight w:val="600"/>
        </w:trPr>
        <w:tc>
          <w:tcPr>
            <w:tcW w:w="3040" w:type="dxa"/>
            <w:tcBorders>
              <w:top w:val="nil"/>
              <w:left w:val="single" w:sz="4" w:space="0" w:color="auto"/>
              <w:bottom w:val="single" w:sz="4" w:space="0" w:color="auto"/>
              <w:right w:val="single" w:sz="4" w:space="0" w:color="auto"/>
            </w:tcBorders>
            <w:shd w:val="clear" w:color="auto" w:fill="auto"/>
            <w:vAlign w:val="bottom"/>
            <w:hideMark/>
          </w:tcPr>
          <w:p w:rsidR="006F7170" w:rsidRPr="003F2D0C" w:rsidRDefault="006F7170" w:rsidP="006F7170">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 xml:space="preserve">Current Ratio ([Current asset/Current liability]*100): </w:t>
            </w:r>
          </w:p>
        </w:tc>
        <w:tc>
          <w:tcPr>
            <w:tcW w:w="960" w:type="dxa"/>
            <w:tcBorders>
              <w:top w:val="nil"/>
              <w:left w:val="nil"/>
              <w:bottom w:val="single" w:sz="4" w:space="0" w:color="auto"/>
              <w:right w:val="single" w:sz="4" w:space="0" w:color="auto"/>
            </w:tcBorders>
            <w:shd w:val="clear" w:color="auto" w:fill="auto"/>
            <w:noWrap/>
            <w:vAlign w:val="bottom"/>
            <w:hideMark/>
          </w:tcPr>
          <w:p w:rsidR="006F7170" w:rsidRPr="003F2D0C" w:rsidRDefault="006F7170" w:rsidP="006F7170">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0.49</w:t>
            </w:r>
          </w:p>
        </w:tc>
        <w:tc>
          <w:tcPr>
            <w:tcW w:w="960" w:type="dxa"/>
            <w:tcBorders>
              <w:top w:val="nil"/>
              <w:left w:val="nil"/>
              <w:bottom w:val="single" w:sz="4" w:space="0" w:color="auto"/>
              <w:right w:val="single" w:sz="4" w:space="0" w:color="auto"/>
            </w:tcBorders>
            <w:shd w:val="clear" w:color="auto" w:fill="auto"/>
            <w:noWrap/>
            <w:vAlign w:val="bottom"/>
            <w:hideMark/>
          </w:tcPr>
          <w:p w:rsidR="006F7170" w:rsidRPr="003F2D0C" w:rsidRDefault="006F7170" w:rsidP="006F7170">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0.71</w:t>
            </w:r>
          </w:p>
        </w:tc>
        <w:tc>
          <w:tcPr>
            <w:tcW w:w="960" w:type="dxa"/>
            <w:tcBorders>
              <w:top w:val="nil"/>
              <w:left w:val="nil"/>
              <w:bottom w:val="single" w:sz="4" w:space="0" w:color="auto"/>
              <w:right w:val="single" w:sz="4" w:space="0" w:color="auto"/>
            </w:tcBorders>
            <w:shd w:val="clear" w:color="auto" w:fill="auto"/>
            <w:noWrap/>
            <w:vAlign w:val="bottom"/>
            <w:hideMark/>
          </w:tcPr>
          <w:p w:rsidR="006F7170" w:rsidRPr="003F2D0C" w:rsidRDefault="006F7170" w:rsidP="006F7170">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0.84</w:t>
            </w:r>
          </w:p>
        </w:tc>
        <w:tc>
          <w:tcPr>
            <w:tcW w:w="960" w:type="dxa"/>
            <w:tcBorders>
              <w:top w:val="nil"/>
              <w:left w:val="nil"/>
              <w:bottom w:val="single" w:sz="4" w:space="0" w:color="auto"/>
              <w:right w:val="single" w:sz="4" w:space="0" w:color="auto"/>
            </w:tcBorders>
            <w:shd w:val="clear" w:color="auto" w:fill="auto"/>
            <w:noWrap/>
            <w:vAlign w:val="bottom"/>
            <w:hideMark/>
          </w:tcPr>
          <w:p w:rsidR="006F7170" w:rsidRPr="003F2D0C" w:rsidRDefault="006F7170" w:rsidP="006F7170">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0.97</w:t>
            </w:r>
          </w:p>
        </w:tc>
        <w:tc>
          <w:tcPr>
            <w:tcW w:w="960" w:type="dxa"/>
            <w:tcBorders>
              <w:top w:val="nil"/>
              <w:left w:val="nil"/>
              <w:bottom w:val="single" w:sz="4" w:space="0" w:color="auto"/>
              <w:right w:val="single" w:sz="4" w:space="0" w:color="auto"/>
            </w:tcBorders>
            <w:shd w:val="clear" w:color="auto" w:fill="auto"/>
            <w:noWrap/>
            <w:vAlign w:val="bottom"/>
            <w:hideMark/>
          </w:tcPr>
          <w:p w:rsidR="006F7170" w:rsidRPr="003F2D0C" w:rsidRDefault="006F7170" w:rsidP="006F7170">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0.77</w:t>
            </w:r>
          </w:p>
        </w:tc>
      </w:tr>
    </w:tbl>
    <w:p w:rsidR="006F7170" w:rsidRDefault="00AE048B" w:rsidP="00086570">
      <w:pPr>
        <w:rPr>
          <w:rFonts w:cs="Times New Roman"/>
          <w:b/>
          <w:szCs w:val="24"/>
        </w:rPr>
      </w:pPr>
      <w:r>
        <w:rPr>
          <w:rFonts w:cs="Times New Roman"/>
          <w:szCs w:val="24"/>
        </w:rPr>
        <w:t xml:space="preserve"> </w:t>
      </w:r>
    </w:p>
    <w:p w:rsidR="00192543" w:rsidRDefault="003D08B2" w:rsidP="00086570">
      <w:pPr>
        <w:rPr>
          <w:rFonts w:cs="Times New Roman"/>
          <w:szCs w:val="24"/>
        </w:rPr>
      </w:pPr>
      <w:r>
        <w:rPr>
          <w:rFonts w:cs="Times New Roman"/>
          <w:szCs w:val="24"/>
        </w:rPr>
        <w:t xml:space="preserve">From the above table and chart, BT current </w:t>
      </w:r>
      <w:r w:rsidR="001A1D9F">
        <w:rPr>
          <w:rFonts w:cs="Times New Roman"/>
          <w:szCs w:val="24"/>
        </w:rPr>
        <w:t>ratios appear</w:t>
      </w:r>
      <w:r>
        <w:rPr>
          <w:rFonts w:cs="Times New Roman"/>
          <w:szCs w:val="24"/>
        </w:rPr>
        <w:t xml:space="preserve"> to be increased continuously from FY2012 to FY2015 respectively</w:t>
      </w:r>
      <w:r w:rsidR="001A1D9F">
        <w:rPr>
          <w:rFonts w:cs="Times New Roman"/>
          <w:szCs w:val="24"/>
        </w:rPr>
        <w:t>. Moreover in year of FY2016 performance of current ratios was decreased about 0.21 from FY2015 (0.9</w:t>
      </w:r>
      <w:r w:rsidR="00E100A0">
        <w:rPr>
          <w:rFonts w:cs="Times New Roman"/>
          <w:szCs w:val="24"/>
        </w:rPr>
        <w:t>7</w:t>
      </w:r>
      <w:r w:rsidR="001A1D9F">
        <w:rPr>
          <w:rFonts w:cs="Times New Roman"/>
          <w:szCs w:val="24"/>
        </w:rPr>
        <w:t>:1) and FY2016 (0.7</w:t>
      </w:r>
      <w:r w:rsidR="00E100A0">
        <w:rPr>
          <w:rFonts w:cs="Times New Roman"/>
          <w:szCs w:val="24"/>
        </w:rPr>
        <w:t>7</w:t>
      </w:r>
      <w:r w:rsidR="001A1D9F">
        <w:rPr>
          <w:rFonts w:cs="Times New Roman"/>
          <w:szCs w:val="24"/>
        </w:rPr>
        <w:t xml:space="preserve">:1) respectively. The observation at the end of 2016 reveals that each one pound of liabilities British telecommunication organization be obligated in short term it has </w:t>
      </w:r>
      <w:r w:rsidR="00E100A0">
        <w:rPr>
          <w:rFonts w:cs="Times New Roman"/>
          <w:szCs w:val="24"/>
        </w:rPr>
        <w:t>77</w:t>
      </w:r>
      <w:r w:rsidR="001A1D9F">
        <w:rPr>
          <w:rFonts w:cs="Times New Roman"/>
          <w:szCs w:val="24"/>
        </w:rPr>
        <w:t xml:space="preserve"> pence to meet its needs or short term liabilities. </w:t>
      </w:r>
      <w:r w:rsidR="00A25184">
        <w:rPr>
          <w:rFonts w:cs="Times New Roman"/>
          <w:szCs w:val="24"/>
        </w:rPr>
        <w:t xml:space="preserve">The stagnancy </w:t>
      </w:r>
      <w:r w:rsidR="0068345E">
        <w:rPr>
          <w:rFonts w:cs="Times New Roman"/>
          <w:szCs w:val="24"/>
        </w:rPr>
        <w:t xml:space="preserve">in the year of FY2015 and FY2016 </w:t>
      </w:r>
      <w:r w:rsidR="00A25184">
        <w:rPr>
          <w:rFonts w:cs="Times New Roman"/>
          <w:szCs w:val="24"/>
        </w:rPr>
        <w:t>in the current ratios c</w:t>
      </w:r>
      <w:r w:rsidR="000A4341">
        <w:rPr>
          <w:rFonts w:cs="Times New Roman"/>
          <w:szCs w:val="24"/>
        </w:rPr>
        <w:t>ould</w:t>
      </w:r>
      <w:r w:rsidR="00A25184">
        <w:rPr>
          <w:rFonts w:cs="Times New Roman"/>
          <w:szCs w:val="24"/>
        </w:rPr>
        <w:t xml:space="preserve"> </w:t>
      </w:r>
      <w:r w:rsidR="00EB37A7">
        <w:rPr>
          <w:rFonts w:cs="Times New Roman"/>
          <w:szCs w:val="24"/>
        </w:rPr>
        <w:t>is</w:t>
      </w:r>
      <w:r w:rsidR="00A25184">
        <w:rPr>
          <w:rFonts w:cs="Times New Roman"/>
          <w:szCs w:val="24"/>
        </w:rPr>
        <w:t xml:space="preserve"> attributed same deduction in both current liabilities and current assets </w:t>
      </w:r>
      <w:r w:rsidR="0068345E">
        <w:rPr>
          <w:rFonts w:cs="Times New Roman"/>
          <w:szCs w:val="24"/>
        </w:rPr>
        <w:t>by 7.3%</w:t>
      </w:r>
      <w:r w:rsidR="00192543">
        <w:rPr>
          <w:rFonts w:cs="Times New Roman"/>
          <w:szCs w:val="24"/>
        </w:rPr>
        <w:t xml:space="preserve">. </w:t>
      </w:r>
      <w:r w:rsidR="00B92215">
        <w:rPr>
          <w:rFonts w:cs="Times New Roman"/>
          <w:szCs w:val="24"/>
        </w:rPr>
        <w:t xml:space="preserve">Performance of quick ratios from FY2102 to FY2015 represents the same trends as in current ratios. Organization BT performance in terms of quick ratios was decreased by </w:t>
      </w:r>
      <w:r w:rsidR="00E100A0">
        <w:rPr>
          <w:rFonts w:cs="Times New Roman"/>
          <w:szCs w:val="24"/>
        </w:rPr>
        <w:t xml:space="preserve">2.13% from FY2015 to FY2016; which shows that </w:t>
      </w:r>
      <w:r w:rsidR="00E100A0">
        <w:rPr>
          <w:rFonts w:cs="Times New Roman"/>
          <w:szCs w:val="24"/>
        </w:rPr>
        <w:lastRenderedPageBreak/>
        <w:t xml:space="preserve">performance of the company in terms of solvency in not good. </w:t>
      </w:r>
      <w:r w:rsidR="000C1633">
        <w:rPr>
          <w:rFonts w:cs="Times New Roman"/>
          <w:szCs w:val="24"/>
        </w:rPr>
        <w:t xml:space="preserve">Therefore from the findings and observation it has been said that due to weak performance in liquid positions the organization BT is </w:t>
      </w:r>
      <w:r w:rsidR="00723270">
        <w:rPr>
          <w:rFonts w:cs="Times New Roman"/>
          <w:szCs w:val="24"/>
        </w:rPr>
        <w:t xml:space="preserve">suffered from the high security issues, potential issues of obsolesces and solvency issues. Therefore in order to solve </w:t>
      </w:r>
      <w:r w:rsidR="00DE76E6">
        <w:rPr>
          <w:rFonts w:cs="Times New Roman"/>
          <w:szCs w:val="24"/>
        </w:rPr>
        <w:t>these issues</w:t>
      </w:r>
      <w:r w:rsidR="00723270">
        <w:rPr>
          <w:rFonts w:cs="Times New Roman"/>
          <w:szCs w:val="24"/>
        </w:rPr>
        <w:t xml:space="preserve"> it has been recommended that the organization BT needs to implement</w:t>
      </w:r>
      <w:r w:rsidR="007C0F11">
        <w:rPr>
          <w:rFonts w:cs="Times New Roman"/>
          <w:szCs w:val="24"/>
        </w:rPr>
        <w:t xml:space="preserve"> an effective management strategies and cost cutting approach in its organization.  </w:t>
      </w:r>
      <w:r w:rsidR="00723270">
        <w:rPr>
          <w:rFonts w:cs="Times New Roman"/>
          <w:szCs w:val="24"/>
        </w:rPr>
        <w:t xml:space="preserve">       </w:t>
      </w:r>
      <w:r w:rsidR="000C1633">
        <w:rPr>
          <w:rFonts w:cs="Times New Roman"/>
          <w:szCs w:val="24"/>
        </w:rPr>
        <w:t xml:space="preserve">       </w:t>
      </w:r>
      <w:r w:rsidR="00B92215">
        <w:rPr>
          <w:rFonts w:cs="Times New Roman"/>
          <w:szCs w:val="24"/>
        </w:rPr>
        <w:t xml:space="preserve">    </w:t>
      </w:r>
    </w:p>
    <w:p w:rsidR="00086570" w:rsidRDefault="00086570" w:rsidP="00F76A6C">
      <w:pPr>
        <w:pStyle w:val="Heading2"/>
      </w:pPr>
      <w:bookmarkStart w:id="9" w:name="_Toc502770444"/>
      <w:r>
        <w:t>3.3 Efficenceny analysis</w:t>
      </w:r>
      <w:bookmarkEnd w:id="9"/>
      <w:r>
        <w:t xml:space="preserve"> </w:t>
      </w:r>
    </w:p>
    <w:p w:rsidR="007C0F11" w:rsidRDefault="00215BD2" w:rsidP="00086570">
      <w:pPr>
        <w:rPr>
          <w:rFonts w:cs="Times New Roman"/>
          <w:szCs w:val="24"/>
        </w:rPr>
      </w:pPr>
      <w:r>
        <w:rPr>
          <w:rFonts w:cs="Times New Roman"/>
          <w:szCs w:val="24"/>
        </w:rPr>
        <w:t xml:space="preserve">According to </w:t>
      </w:r>
      <w:r w:rsidR="006B758E" w:rsidRPr="006B758E">
        <w:rPr>
          <w:rFonts w:cs="Times New Roman"/>
          <w:szCs w:val="24"/>
        </w:rPr>
        <w:t>Brigham, and Houston, (2012)</w:t>
      </w:r>
      <w:r w:rsidR="006B758E">
        <w:rPr>
          <w:rFonts w:cs="Times New Roman"/>
          <w:szCs w:val="24"/>
        </w:rPr>
        <w:t>, efficiency</w:t>
      </w:r>
      <w:r>
        <w:rPr>
          <w:rFonts w:cs="Times New Roman"/>
          <w:szCs w:val="24"/>
        </w:rPr>
        <w:t xml:space="preserve"> ratios is mainly utilized by the association to evaluate and analyze how effective an organization utilizes its liabilities and assets internally. An efficiency</w:t>
      </w:r>
      <w:r w:rsidR="000B5F84">
        <w:rPr>
          <w:rFonts w:cs="Times New Roman"/>
          <w:szCs w:val="24"/>
        </w:rPr>
        <w:t xml:space="preserve"> ratios can be computed the repayment of liabilities, turnover of receivable, usage and quality of equity as well as general utilization of machinery and inventory.      </w:t>
      </w:r>
    </w:p>
    <w:p w:rsidR="00DD17DA" w:rsidRDefault="00AD2352" w:rsidP="00086570">
      <w:pPr>
        <w:rPr>
          <w:rFonts w:cs="Times New Roman"/>
          <w:szCs w:val="24"/>
        </w:rPr>
      </w:pPr>
      <w:r w:rsidRPr="00AD2352">
        <w:rPr>
          <w:rFonts w:cs="Times New Roman"/>
          <w:noProof/>
          <w:szCs w:val="24"/>
          <w:lang w:val="en-IN" w:eastAsia="en-IN"/>
        </w:rPr>
        <w:drawing>
          <wp:inline distT="0" distB="0" distL="0" distR="0">
            <wp:extent cx="4572000" cy="2743200"/>
            <wp:effectExtent l="57150" t="0" r="38100" b="38100"/>
            <wp:docPr id="10"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tbl>
      <w:tblPr>
        <w:tblW w:w="9370" w:type="dxa"/>
        <w:tblInd w:w="103" w:type="dxa"/>
        <w:tblLook w:val="04A0" w:firstRow="1" w:lastRow="0" w:firstColumn="1" w:lastColumn="0" w:noHBand="0" w:noVBand="1"/>
      </w:tblPr>
      <w:tblGrid>
        <w:gridCol w:w="4658"/>
        <w:gridCol w:w="963"/>
        <w:gridCol w:w="963"/>
        <w:gridCol w:w="963"/>
        <w:gridCol w:w="963"/>
        <w:gridCol w:w="963"/>
      </w:tblGrid>
      <w:tr w:rsidR="00AD2352" w:rsidRPr="003F2D0C" w:rsidTr="00AD2352">
        <w:trPr>
          <w:trHeight w:val="300"/>
        </w:trPr>
        <w:tc>
          <w:tcPr>
            <w:tcW w:w="5256" w:type="dxa"/>
            <w:tcBorders>
              <w:top w:val="single" w:sz="4" w:space="0" w:color="auto"/>
              <w:left w:val="single" w:sz="4" w:space="0" w:color="auto"/>
              <w:bottom w:val="single" w:sz="4" w:space="0" w:color="auto"/>
              <w:right w:val="single" w:sz="4" w:space="0" w:color="auto"/>
            </w:tcBorders>
            <w:shd w:val="clear" w:color="000000" w:fill="DBE5F1"/>
            <w:noWrap/>
            <w:vAlign w:val="bottom"/>
            <w:hideMark/>
          </w:tcPr>
          <w:p w:rsidR="00AD2352" w:rsidRPr="003F2D0C" w:rsidRDefault="00AD2352" w:rsidP="00AD2352">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financial statement  items</w:t>
            </w:r>
          </w:p>
        </w:tc>
        <w:tc>
          <w:tcPr>
            <w:tcW w:w="822" w:type="dxa"/>
            <w:tcBorders>
              <w:top w:val="single" w:sz="4" w:space="0" w:color="auto"/>
              <w:left w:val="nil"/>
              <w:bottom w:val="single" w:sz="4" w:space="0" w:color="auto"/>
              <w:right w:val="single" w:sz="4" w:space="0" w:color="auto"/>
            </w:tcBorders>
            <w:shd w:val="clear" w:color="000000" w:fill="DBE5F1"/>
            <w:noWrap/>
            <w:vAlign w:val="bottom"/>
            <w:hideMark/>
          </w:tcPr>
          <w:p w:rsidR="00AD2352" w:rsidRPr="003F2D0C" w:rsidRDefault="00AD2352" w:rsidP="00AD2352">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£,million</w:t>
            </w:r>
          </w:p>
        </w:tc>
        <w:tc>
          <w:tcPr>
            <w:tcW w:w="823" w:type="dxa"/>
            <w:tcBorders>
              <w:top w:val="single" w:sz="4" w:space="0" w:color="auto"/>
              <w:left w:val="nil"/>
              <w:bottom w:val="single" w:sz="4" w:space="0" w:color="auto"/>
              <w:right w:val="single" w:sz="4" w:space="0" w:color="auto"/>
            </w:tcBorders>
            <w:shd w:val="clear" w:color="000000" w:fill="DBE5F1"/>
            <w:noWrap/>
            <w:vAlign w:val="bottom"/>
            <w:hideMark/>
          </w:tcPr>
          <w:p w:rsidR="00AD2352" w:rsidRPr="003F2D0C" w:rsidRDefault="00AD2352" w:rsidP="00AD2352">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£,million</w:t>
            </w:r>
          </w:p>
        </w:tc>
        <w:tc>
          <w:tcPr>
            <w:tcW w:w="823" w:type="dxa"/>
            <w:tcBorders>
              <w:top w:val="single" w:sz="4" w:space="0" w:color="auto"/>
              <w:left w:val="nil"/>
              <w:bottom w:val="single" w:sz="4" w:space="0" w:color="auto"/>
              <w:right w:val="single" w:sz="4" w:space="0" w:color="auto"/>
            </w:tcBorders>
            <w:shd w:val="clear" w:color="000000" w:fill="DBE5F1"/>
            <w:noWrap/>
            <w:vAlign w:val="bottom"/>
            <w:hideMark/>
          </w:tcPr>
          <w:p w:rsidR="00AD2352" w:rsidRPr="003F2D0C" w:rsidRDefault="00AD2352" w:rsidP="00AD2352">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£,million</w:t>
            </w:r>
          </w:p>
        </w:tc>
        <w:tc>
          <w:tcPr>
            <w:tcW w:w="823" w:type="dxa"/>
            <w:tcBorders>
              <w:top w:val="single" w:sz="4" w:space="0" w:color="auto"/>
              <w:left w:val="nil"/>
              <w:bottom w:val="single" w:sz="4" w:space="0" w:color="auto"/>
              <w:right w:val="single" w:sz="4" w:space="0" w:color="auto"/>
            </w:tcBorders>
            <w:shd w:val="clear" w:color="000000" w:fill="DBE5F1"/>
            <w:noWrap/>
            <w:vAlign w:val="bottom"/>
            <w:hideMark/>
          </w:tcPr>
          <w:p w:rsidR="00AD2352" w:rsidRPr="003F2D0C" w:rsidRDefault="00AD2352" w:rsidP="00AD2352">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£,million</w:t>
            </w:r>
          </w:p>
        </w:tc>
        <w:tc>
          <w:tcPr>
            <w:tcW w:w="823" w:type="dxa"/>
            <w:tcBorders>
              <w:top w:val="single" w:sz="4" w:space="0" w:color="auto"/>
              <w:left w:val="nil"/>
              <w:bottom w:val="single" w:sz="4" w:space="0" w:color="auto"/>
              <w:right w:val="single" w:sz="4" w:space="0" w:color="auto"/>
            </w:tcBorders>
            <w:shd w:val="clear" w:color="000000" w:fill="DBE5F1"/>
            <w:noWrap/>
            <w:vAlign w:val="bottom"/>
            <w:hideMark/>
          </w:tcPr>
          <w:p w:rsidR="00AD2352" w:rsidRPr="003F2D0C" w:rsidRDefault="00AD2352" w:rsidP="00AD2352">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£,million</w:t>
            </w:r>
          </w:p>
        </w:tc>
      </w:tr>
      <w:tr w:rsidR="00AD2352" w:rsidRPr="003F2D0C" w:rsidTr="00AD2352">
        <w:trPr>
          <w:trHeight w:val="300"/>
        </w:trPr>
        <w:tc>
          <w:tcPr>
            <w:tcW w:w="5256" w:type="dxa"/>
            <w:tcBorders>
              <w:top w:val="nil"/>
              <w:left w:val="single" w:sz="4" w:space="0" w:color="auto"/>
              <w:bottom w:val="single" w:sz="4" w:space="0" w:color="auto"/>
              <w:right w:val="single" w:sz="4" w:space="0" w:color="auto"/>
            </w:tcBorders>
            <w:shd w:val="clear" w:color="000000" w:fill="CCC0DA"/>
            <w:noWrap/>
            <w:vAlign w:val="bottom"/>
            <w:hideMark/>
          </w:tcPr>
          <w:p w:rsidR="00AD2352" w:rsidRPr="003F2D0C" w:rsidRDefault="00AD2352" w:rsidP="00AD2352">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 </w:t>
            </w:r>
          </w:p>
        </w:tc>
        <w:tc>
          <w:tcPr>
            <w:tcW w:w="822" w:type="dxa"/>
            <w:tcBorders>
              <w:top w:val="nil"/>
              <w:left w:val="nil"/>
              <w:bottom w:val="single" w:sz="4" w:space="0" w:color="auto"/>
              <w:right w:val="single" w:sz="4" w:space="0" w:color="auto"/>
            </w:tcBorders>
            <w:shd w:val="clear" w:color="000000" w:fill="CCC0DA"/>
            <w:noWrap/>
            <w:vAlign w:val="bottom"/>
            <w:hideMark/>
          </w:tcPr>
          <w:p w:rsidR="00AD2352" w:rsidRPr="003F2D0C" w:rsidRDefault="00AD2352" w:rsidP="00AD2352">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2012</w:t>
            </w:r>
          </w:p>
        </w:tc>
        <w:tc>
          <w:tcPr>
            <w:tcW w:w="823" w:type="dxa"/>
            <w:tcBorders>
              <w:top w:val="nil"/>
              <w:left w:val="nil"/>
              <w:bottom w:val="single" w:sz="4" w:space="0" w:color="auto"/>
              <w:right w:val="single" w:sz="4" w:space="0" w:color="auto"/>
            </w:tcBorders>
            <w:shd w:val="clear" w:color="000000" w:fill="CCC0DA"/>
            <w:noWrap/>
            <w:vAlign w:val="bottom"/>
            <w:hideMark/>
          </w:tcPr>
          <w:p w:rsidR="00AD2352" w:rsidRPr="003F2D0C" w:rsidRDefault="00AD2352" w:rsidP="00AD2352">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2013</w:t>
            </w:r>
          </w:p>
        </w:tc>
        <w:tc>
          <w:tcPr>
            <w:tcW w:w="823" w:type="dxa"/>
            <w:tcBorders>
              <w:top w:val="nil"/>
              <w:left w:val="nil"/>
              <w:bottom w:val="single" w:sz="4" w:space="0" w:color="auto"/>
              <w:right w:val="single" w:sz="4" w:space="0" w:color="auto"/>
            </w:tcBorders>
            <w:shd w:val="clear" w:color="000000" w:fill="CCC0DA"/>
            <w:noWrap/>
            <w:vAlign w:val="bottom"/>
            <w:hideMark/>
          </w:tcPr>
          <w:p w:rsidR="00AD2352" w:rsidRPr="003F2D0C" w:rsidRDefault="00AD2352" w:rsidP="00AD2352">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2014</w:t>
            </w:r>
          </w:p>
        </w:tc>
        <w:tc>
          <w:tcPr>
            <w:tcW w:w="823" w:type="dxa"/>
            <w:tcBorders>
              <w:top w:val="nil"/>
              <w:left w:val="nil"/>
              <w:bottom w:val="single" w:sz="4" w:space="0" w:color="auto"/>
              <w:right w:val="single" w:sz="4" w:space="0" w:color="auto"/>
            </w:tcBorders>
            <w:shd w:val="clear" w:color="000000" w:fill="CCC0DA"/>
            <w:noWrap/>
            <w:vAlign w:val="bottom"/>
            <w:hideMark/>
          </w:tcPr>
          <w:p w:rsidR="00AD2352" w:rsidRPr="003F2D0C" w:rsidRDefault="00AD2352" w:rsidP="00AD2352">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2015</w:t>
            </w:r>
          </w:p>
        </w:tc>
        <w:tc>
          <w:tcPr>
            <w:tcW w:w="823" w:type="dxa"/>
            <w:tcBorders>
              <w:top w:val="nil"/>
              <w:left w:val="nil"/>
              <w:bottom w:val="single" w:sz="4" w:space="0" w:color="auto"/>
              <w:right w:val="single" w:sz="4" w:space="0" w:color="auto"/>
            </w:tcBorders>
            <w:shd w:val="clear" w:color="000000" w:fill="CCC0DA"/>
            <w:noWrap/>
            <w:vAlign w:val="bottom"/>
            <w:hideMark/>
          </w:tcPr>
          <w:p w:rsidR="00AD2352" w:rsidRPr="003F2D0C" w:rsidRDefault="00AD2352" w:rsidP="00AD2352">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2016</w:t>
            </w:r>
          </w:p>
        </w:tc>
      </w:tr>
      <w:tr w:rsidR="00AD2352" w:rsidRPr="003F2D0C" w:rsidTr="00AD2352">
        <w:trPr>
          <w:trHeight w:val="300"/>
        </w:trPr>
        <w:tc>
          <w:tcPr>
            <w:tcW w:w="5256" w:type="dxa"/>
            <w:tcBorders>
              <w:top w:val="nil"/>
              <w:left w:val="single" w:sz="4" w:space="0" w:color="auto"/>
              <w:bottom w:val="single" w:sz="4" w:space="0" w:color="auto"/>
              <w:right w:val="single" w:sz="4" w:space="0" w:color="auto"/>
            </w:tcBorders>
            <w:shd w:val="clear" w:color="auto" w:fill="auto"/>
            <w:noWrap/>
            <w:vAlign w:val="bottom"/>
            <w:hideMark/>
          </w:tcPr>
          <w:p w:rsidR="00AD2352" w:rsidRPr="003F2D0C" w:rsidRDefault="00AD2352" w:rsidP="00AD2352">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Total revenue earned</w:t>
            </w:r>
          </w:p>
        </w:tc>
        <w:tc>
          <w:tcPr>
            <w:tcW w:w="822" w:type="dxa"/>
            <w:tcBorders>
              <w:top w:val="nil"/>
              <w:left w:val="nil"/>
              <w:bottom w:val="single" w:sz="4" w:space="0" w:color="auto"/>
              <w:right w:val="single" w:sz="4" w:space="0" w:color="auto"/>
            </w:tcBorders>
            <w:shd w:val="clear" w:color="000000" w:fill="EEECE1"/>
            <w:noWrap/>
            <w:vAlign w:val="bottom"/>
            <w:hideMark/>
          </w:tcPr>
          <w:p w:rsidR="00AD2352" w:rsidRPr="003F2D0C" w:rsidRDefault="00AD2352" w:rsidP="00AD2352">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18,987</w:t>
            </w:r>
          </w:p>
        </w:tc>
        <w:tc>
          <w:tcPr>
            <w:tcW w:w="823" w:type="dxa"/>
            <w:tcBorders>
              <w:top w:val="nil"/>
              <w:left w:val="nil"/>
              <w:bottom w:val="single" w:sz="4" w:space="0" w:color="auto"/>
              <w:right w:val="single" w:sz="4" w:space="0" w:color="auto"/>
            </w:tcBorders>
            <w:shd w:val="clear" w:color="000000" w:fill="EEECE1"/>
            <w:noWrap/>
            <w:vAlign w:val="bottom"/>
            <w:hideMark/>
          </w:tcPr>
          <w:p w:rsidR="00AD2352" w:rsidRPr="003F2D0C" w:rsidRDefault="00AD2352" w:rsidP="00AD2352">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18,103</w:t>
            </w:r>
          </w:p>
        </w:tc>
        <w:tc>
          <w:tcPr>
            <w:tcW w:w="823" w:type="dxa"/>
            <w:tcBorders>
              <w:top w:val="nil"/>
              <w:left w:val="nil"/>
              <w:bottom w:val="single" w:sz="4" w:space="0" w:color="auto"/>
              <w:right w:val="single" w:sz="4" w:space="0" w:color="auto"/>
            </w:tcBorders>
            <w:shd w:val="clear" w:color="000000" w:fill="EEECE1"/>
            <w:noWrap/>
            <w:vAlign w:val="bottom"/>
            <w:hideMark/>
          </w:tcPr>
          <w:p w:rsidR="00AD2352" w:rsidRPr="003F2D0C" w:rsidRDefault="00AD2352" w:rsidP="00AD2352">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18,287</w:t>
            </w:r>
          </w:p>
        </w:tc>
        <w:tc>
          <w:tcPr>
            <w:tcW w:w="823" w:type="dxa"/>
            <w:tcBorders>
              <w:top w:val="nil"/>
              <w:left w:val="nil"/>
              <w:bottom w:val="single" w:sz="4" w:space="0" w:color="auto"/>
              <w:right w:val="single" w:sz="4" w:space="0" w:color="auto"/>
            </w:tcBorders>
            <w:shd w:val="clear" w:color="000000" w:fill="EEECE1"/>
            <w:noWrap/>
            <w:vAlign w:val="bottom"/>
            <w:hideMark/>
          </w:tcPr>
          <w:p w:rsidR="00AD2352" w:rsidRPr="003F2D0C" w:rsidRDefault="00AD2352" w:rsidP="00AD2352">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17,979</w:t>
            </w:r>
          </w:p>
        </w:tc>
        <w:tc>
          <w:tcPr>
            <w:tcW w:w="823" w:type="dxa"/>
            <w:tcBorders>
              <w:top w:val="nil"/>
              <w:left w:val="nil"/>
              <w:bottom w:val="single" w:sz="4" w:space="0" w:color="auto"/>
              <w:right w:val="single" w:sz="4" w:space="0" w:color="auto"/>
            </w:tcBorders>
            <w:shd w:val="clear" w:color="000000" w:fill="EEECE1"/>
            <w:noWrap/>
            <w:vAlign w:val="bottom"/>
            <w:hideMark/>
          </w:tcPr>
          <w:p w:rsidR="00AD2352" w:rsidRPr="003F2D0C" w:rsidRDefault="00AD2352" w:rsidP="00AD2352">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19,042</w:t>
            </w:r>
          </w:p>
        </w:tc>
      </w:tr>
      <w:tr w:rsidR="00AD2352" w:rsidRPr="003F2D0C" w:rsidTr="00AD2352">
        <w:trPr>
          <w:trHeight w:val="300"/>
        </w:trPr>
        <w:tc>
          <w:tcPr>
            <w:tcW w:w="5256" w:type="dxa"/>
            <w:tcBorders>
              <w:top w:val="nil"/>
              <w:left w:val="single" w:sz="4" w:space="0" w:color="auto"/>
              <w:bottom w:val="single" w:sz="4" w:space="0" w:color="auto"/>
              <w:right w:val="single" w:sz="4" w:space="0" w:color="auto"/>
            </w:tcBorders>
            <w:shd w:val="clear" w:color="auto" w:fill="auto"/>
            <w:noWrap/>
            <w:vAlign w:val="bottom"/>
            <w:hideMark/>
          </w:tcPr>
          <w:p w:rsidR="00AD2352" w:rsidRPr="003F2D0C" w:rsidRDefault="00AD2352" w:rsidP="00AD2352">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EBIT/Operating profit</w:t>
            </w:r>
          </w:p>
        </w:tc>
        <w:tc>
          <w:tcPr>
            <w:tcW w:w="822" w:type="dxa"/>
            <w:tcBorders>
              <w:top w:val="nil"/>
              <w:left w:val="nil"/>
              <w:bottom w:val="single" w:sz="4" w:space="0" w:color="auto"/>
              <w:right w:val="single" w:sz="4" w:space="0" w:color="auto"/>
            </w:tcBorders>
            <w:shd w:val="clear" w:color="000000" w:fill="EEECE1"/>
            <w:noWrap/>
            <w:vAlign w:val="bottom"/>
            <w:hideMark/>
          </w:tcPr>
          <w:p w:rsidR="00AD2352" w:rsidRPr="003F2D0C" w:rsidRDefault="00AD2352" w:rsidP="00AD2352">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2893</w:t>
            </w:r>
          </w:p>
        </w:tc>
        <w:tc>
          <w:tcPr>
            <w:tcW w:w="823" w:type="dxa"/>
            <w:tcBorders>
              <w:top w:val="nil"/>
              <w:left w:val="nil"/>
              <w:bottom w:val="single" w:sz="4" w:space="0" w:color="auto"/>
              <w:right w:val="single" w:sz="4" w:space="0" w:color="auto"/>
            </w:tcBorders>
            <w:shd w:val="clear" w:color="000000" w:fill="EEECE1"/>
            <w:noWrap/>
            <w:vAlign w:val="bottom"/>
            <w:hideMark/>
          </w:tcPr>
          <w:p w:rsidR="00AD2352" w:rsidRPr="003F2D0C" w:rsidRDefault="00AD2352" w:rsidP="00AD2352">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2,952</w:t>
            </w:r>
          </w:p>
        </w:tc>
        <w:tc>
          <w:tcPr>
            <w:tcW w:w="823" w:type="dxa"/>
            <w:tcBorders>
              <w:top w:val="nil"/>
              <w:left w:val="nil"/>
              <w:bottom w:val="single" w:sz="4" w:space="0" w:color="auto"/>
              <w:right w:val="single" w:sz="4" w:space="0" w:color="auto"/>
            </w:tcBorders>
            <w:shd w:val="clear" w:color="000000" w:fill="EEECE1"/>
            <w:noWrap/>
            <w:vAlign w:val="bottom"/>
            <w:hideMark/>
          </w:tcPr>
          <w:p w:rsidR="00AD2352" w:rsidRPr="003F2D0C" w:rsidRDefault="00AD2352" w:rsidP="00AD2352">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3,147</w:t>
            </w:r>
          </w:p>
        </w:tc>
        <w:tc>
          <w:tcPr>
            <w:tcW w:w="823" w:type="dxa"/>
            <w:tcBorders>
              <w:top w:val="nil"/>
              <w:left w:val="nil"/>
              <w:bottom w:val="single" w:sz="4" w:space="0" w:color="auto"/>
              <w:right w:val="single" w:sz="4" w:space="0" w:color="auto"/>
            </w:tcBorders>
            <w:shd w:val="clear" w:color="000000" w:fill="EEECE1"/>
            <w:noWrap/>
            <w:vAlign w:val="bottom"/>
            <w:hideMark/>
          </w:tcPr>
          <w:p w:rsidR="00AD2352" w:rsidRPr="003F2D0C" w:rsidRDefault="00AD2352" w:rsidP="00AD2352">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3,486</w:t>
            </w:r>
          </w:p>
        </w:tc>
        <w:tc>
          <w:tcPr>
            <w:tcW w:w="823" w:type="dxa"/>
            <w:tcBorders>
              <w:top w:val="nil"/>
              <w:left w:val="nil"/>
              <w:bottom w:val="single" w:sz="4" w:space="0" w:color="auto"/>
              <w:right w:val="single" w:sz="4" w:space="0" w:color="auto"/>
            </w:tcBorders>
            <w:shd w:val="clear" w:color="000000" w:fill="EEECE1"/>
            <w:noWrap/>
            <w:vAlign w:val="bottom"/>
            <w:hideMark/>
          </w:tcPr>
          <w:p w:rsidR="00AD2352" w:rsidRPr="003F2D0C" w:rsidRDefault="00AD2352" w:rsidP="00AD2352">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3,737</w:t>
            </w:r>
          </w:p>
        </w:tc>
      </w:tr>
      <w:tr w:rsidR="00AD2352" w:rsidRPr="003F2D0C" w:rsidTr="00AD2352">
        <w:trPr>
          <w:trHeight w:val="300"/>
        </w:trPr>
        <w:tc>
          <w:tcPr>
            <w:tcW w:w="5256" w:type="dxa"/>
            <w:tcBorders>
              <w:top w:val="nil"/>
              <w:left w:val="single" w:sz="4" w:space="0" w:color="auto"/>
              <w:bottom w:val="single" w:sz="4" w:space="0" w:color="auto"/>
              <w:right w:val="single" w:sz="4" w:space="0" w:color="auto"/>
            </w:tcBorders>
            <w:shd w:val="clear" w:color="auto" w:fill="auto"/>
            <w:noWrap/>
            <w:vAlign w:val="bottom"/>
            <w:hideMark/>
          </w:tcPr>
          <w:p w:rsidR="00AD2352" w:rsidRPr="003F2D0C" w:rsidRDefault="00AD2352" w:rsidP="00AD2352">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Total average asset</w:t>
            </w:r>
          </w:p>
        </w:tc>
        <w:tc>
          <w:tcPr>
            <w:tcW w:w="822" w:type="dxa"/>
            <w:tcBorders>
              <w:top w:val="nil"/>
              <w:left w:val="nil"/>
              <w:bottom w:val="single" w:sz="4" w:space="0" w:color="auto"/>
              <w:right w:val="single" w:sz="4" w:space="0" w:color="auto"/>
            </w:tcBorders>
            <w:shd w:val="clear" w:color="000000" w:fill="EEECE1"/>
            <w:noWrap/>
            <w:vAlign w:val="bottom"/>
            <w:hideMark/>
          </w:tcPr>
          <w:p w:rsidR="00AD2352" w:rsidRPr="003F2D0C" w:rsidRDefault="00AD2352" w:rsidP="00AD2352">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23948</w:t>
            </w:r>
          </w:p>
        </w:tc>
        <w:tc>
          <w:tcPr>
            <w:tcW w:w="823" w:type="dxa"/>
            <w:tcBorders>
              <w:top w:val="nil"/>
              <w:left w:val="nil"/>
              <w:bottom w:val="single" w:sz="4" w:space="0" w:color="auto"/>
              <w:right w:val="single" w:sz="4" w:space="0" w:color="auto"/>
            </w:tcBorders>
            <w:shd w:val="clear" w:color="000000" w:fill="EEECE1"/>
            <w:noWrap/>
            <w:vAlign w:val="bottom"/>
            <w:hideMark/>
          </w:tcPr>
          <w:p w:rsidR="00AD2352" w:rsidRPr="003F2D0C" w:rsidRDefault="00AD2352" w:rsidP="00AD2352">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44,629</w:t>
            </w:r>
          </w:p>
        </w:tc>
        <w:tc>
          <w:tcPr>
            <w:tcW w:w="823" w:type="dxa"/>
            <w:tcBorders>
              <w:top w:val="nil"/>
              <w:left w:val="nil"/>
              <w:bottom w:val="single" w:sz="4" w:space="0" w:color="auto"/>
              <w:right w:val="single" w:sz="4" w:space="0" w:color="auto"/>
            </w:tcBorders>
            <w:shd w:val="clear" w:color="000000" w:fill="EEECE1"/>
            <w:noWrap/>
            <w:vAlign w:val="bottom"/>
            <w:hideMark/>
          </w:tcPr>
          <w:p w:rsidR="00AD2352" w:rsidRPr="003F2D0C" w:rsidRDefault="00AD2352" w:rsidP="00AD2352">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44,495</w:t>
            </w:r>
          </w:p>
        </w:tc>
        <w:tc>
          <w:tcPr>
            <w:tcW w:w="823" w:type="dxa"/>
            <w:tcBorders>
              <w:top w:val="nil"/>
              <w:left w:val="nil"/>
              <w:bottom w:val="single" w:sz="4" w:space="0" w:color="auto"/>
              <w:right w:val="single" w:sz="4" w:space="0" w:color="auto"/>
            </w:tcBorders>
            <w:shd w:val="clear" w:color="000000" w:fill="EEECE1"/>
            <w:noWrap/>
            <w:vAlign w:val="bottom"/>
            <w:hideMark/>
          </w:tcPr>
          <w:p w:rsidR="00AD2352" w:rsidRPr="003F2D0C" w:rsidRDefault="00AD2352" w:rsidP="00AD2352">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46,813</w:t>
            </w:r>
          </w:p>
        </w:tc>
        <w:tc>
          <w:tcPr>
            <w:tcW w:w="823" w:type="dxa"/>
            <w:tcBorders>
              <w:top w:val="nil"/>
              <w:left w:val="nil"/>
              <w:bottom w:val="single" w:sz="4" w:space="0" w:color="auto"/>
              <w:right w:val="single" w:sz="4" w:space="0" w:color="auto"/>
            </w:tcBorders>
            <w:shd w:val="clear" w:color="000000" w:fill="EEECE1"/>
            <w:noWrap/>
            <w:vAlign w:val="bottom"/>
            <w:hideMark/>
          </w:tcPr>
          <w:p w:rsidR="00AD2352" w:rsidRPr="003F2D0C" w:rsidRDefault="00AD2352" w:rsidP="00AD2352">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54,874</w:t>
            </w:r>
          </w:p>
        </w:tc>
      </w:tr>
      <w:tr w:rsidR="00AD2352" w:rsidRPr="003F2D0C" w:rsidTr="00AD2352">
        <w:trPr>
          <w:trHeight w:val="300"/>
        </w:trPr>
        <w:tc>
          <w:tcPr>
            <w:tcW w:w="5256" w:type="dxa"/>
            <w:tcBorders>
              <w:top w:val="nil"/>
              <w:left w:val="single" w:sz="4" w:space="0" w:color="auto"/>
              <w:bottom w:val="single" w:sz="4" w:space="0" w:color="auto"/>
              <w:right w:val="single" w:sz="4" w:space="0" w:color="auto"/>
            </w:tcBorders>
            <w:shd w:val="clear" w:color="auto" w:fill="auto"/>
            <w:noWrap/>
            <w:vAlign w:val="bottom"/>
            <w:hideMark/>
          </w:tcPr>
          <w:p w:rsidR="00AD2352" w:rsidRPr="003F2D0C" w:rsidRDefault="00AD2352" w:rsidP="00AD2352">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capital employed</w:t>
            </w:r>
          </w:p>
        </w:tc>
        <w:tc>
          <w:tcPr>
            <w:tcW w:w="822" w:type="dxa"/>
            <w:tcBorders>
              <w:top w:val="nil"/>
              <w:left w:val="nil"/>
              <w:bottom w:val="single" w:sz="4" w:space="0" w:color="auto"/>
              <w:right w:val="single" w:sz="4" w:space="0" w:color="auto"/>
            </w:tcBorders>
            <w:shd w:val="clear" w:color="auto" w:fill="auto"/>
            <w:noWrap/>
            <w:vAlign w:val="bottom"/>
            <w:hideMark/>
          </w:tcPr>
          <w:p w:rsidR="00AD2352" w:rsidRPr="003F2D0C" w:rsidRDefault="00AD2352" w:rsidP="00AD2352">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45,828</w:t>
            </w:r>
          </w:p>
        </w:tc>
        <w:tc>
          <w:tcPr>
            <w:tcW w:w="823" w:type="dxa"/>
            <w:tcBorders>
              <w:top w:val="nil"/>
              <w:left w:val="nil"/>
              <w:bottom w:val="single" w:sz="4" w:space="0" w:color="auto"/>
              <w:right w:val="single" w:sz="4" w:space="0" w:color="auto"/>
            </w:tcBorders>
            <w:shd w:val="clear" w:color="auto" w:fill="auto"/>
            <w:noWrap/>
            <w:vAlign w:val="bottom"/>
            <w:hideMark/>
          </w:tcPr>
          <w:p w:rsidR="00AD2352" w:rsidRPr="003F2D0C" w:rsidRDefault="00AD2352" w:rsidP="00AD2352">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65,684</w:t>
            </w:r>
          </w:p>
        </w:tc>
        <w:tc>
          <w:tcPr>
            <w:tcW w:w="823" w:type="dxa"/>
            <w:tcBorders>
              <w:top w:val="nil"/>
              <w:left w:val="nil"/>
              <w:bottom w:val="single" w:sz="4" w:space="0" w:color="auto"/>
              <w:right w:val="single" w:sz="4" w:space="0" w:color="auto"/>
            </w:tcBorders>
            <w:shd w:val="clear" w:color="auto" w:fill="auto"/>
            <w:noWrap/>
            <w:vAlign w:val="bottom"/>
            <w:hideMark/>
          </w:tcPr>
          <w:p w:rsidR="00AD2352" w:rsidRPr="003F2D0C" w:rsidRDefault="00AD2352" w:rsidP="00AD2352">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65,929</w:t>
            </w:r>
          </w:p>
        </w:tc>
        <w:tc>
          <w:tcPr>
            <w:tcW w:w="823" w:type="dxa"/>
            <w:tcBorders>
              <w:top w:val="nil"/>
              <w:left w:val="nil"/>
              <w:bottom w:val="single" w:sz="4" w:space="0" w:color="auto"/>
              <w:right w:val="single" w:sz="4" w:space="0" w:color="auto"/>
            </w:tcBorders>
            <w:shd w:val="clear" w:color="auto" w:fill="auto"/>
            <w:noWrap/>
            <w:vAlign w:val="bottom"/>
            <w:hideMark/>
          </w:tcPr>
          <w:p w:rsidR="00AD2352" w:rsidRPr="003F2D0C" w:rsidRDefault="00AD2352" w:rsidP="00AD2352">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68,278</w:t>
            </w:r>
          </w:p>
        </w:tc>
        <w:tc>
          <w:tcPr>
            <w:tcW w:w="823" w:type="dxa"/>
            <w:tcBorders>
              <w:top w:val="nil"/>
              <w:left w:val="nil"/>
              <w:bottom w:val="single" w:sz="4" w:space="0" w:color="auto"/>
              <w:right w:val="single" w:sz="4" w:space="0" w:color="auto"/>
            </w:tcBorders>
            <w:shd w:val="clear" w:color="auto" w:fill="auto"/>
            <w:noWrap/>
            <w:vAlign w:val="bottom"/>
            <w:hideMark/>
          </w:tcPr>
          <w:p w:rsidR="00AD2352" w:rsidRPr="003F2D0C" w:rsidRDefault="00AD2352" w:rsidP="00AD2352">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77,653</w:t>
            </w:r>
          </w:p>
        </w:tc>
      </w:tr>
      <w:tr w:rsidR="00AD2352" w:rsidRPr="003F2D0C" w:rsidTr="00AD2352">
        <w:trPr>
          <w:trHeight w:val="300"/>
        </w:trPr>
        <w:tc>
          <w:tcPr>
            <w:tcW w:w="5256" w:type="dxa"/>
            <w:tcBorders>
              <w:top w:val="nil"/>
              <w:left w:val="single" w:sz="4" w:space="0" w:color="auto"/>
              <w:bottom w:val="single" w:sz="4" w:space="0" w:color="auto"/>
              <w:right w:val="single" w:sz="4" w:space="0" w:color="auto"/>
            </w:tcBorders>
            <w:shd w:val="clear" w:color="auto" w:fill="auto"/>
            <w:noWrap/>
            <w:vAlign w:val="bottom"/>
            <w:hideMark/>
          </w:tcPr>
          <w:p w:rsidR="00AD2352" w:rsidRPr="003F2D0C" w:rsidRDefault="00AD2352" w:rsidP="00AD2352">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Efficiency ratio</w:t>
            </w:r>
          </w:p>
        </w:tc>
        <w:tc>
          <w:tcPr>
            <w:tcW w:w="822" w:type="dxa"/>
            <w:tcBorders>
              <w:top w:val="nil"/>
              <w:left w:val="nil"/>
              <w:bottom w:val="single" w:sz="4" w:space="0" w:color="auto"/>
              <w:right w:val="single" w:sz="4" w:space="0" w:color="auto"/>
            </w:tcBorders>
            <w:shd w:val="clear" w:color="auto" w:fill="auto"/>
            <w:noWrap/>
            <w:vAlign w:val="bottom"/>
            <w:hideMark/>
          </w:tcPr>
          <w:p w:rsidR="00AD2352" w:rsidRPr="003F2D0C" w:rsidRDefault="00AD2352" w:rsidP="00AD2352">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 </w:t>
            </w:r>
          </w:p>
        </w:tc>
        <w:tc>
          <w:tcPr>
            <w:tcW w:w="823" w:type="dxa"/>
            <w:tcBorders>
              <w:top w:val="nil"/>
              <w:left w:val="nil"/>
              <w:bottom w:val="single" w:sz="4" w:space="0" w:color="auto"/>
              <w:right w:val="single" w:sz="4" w:space="0" w:color="auto"/>
            </w:tcBorders>
            <w:shd w:val="clear" w:color="auto" w:fill="auto"/>
            <w:noWrap/>
            <w:vAlign w:val="bottom"/>
            <w:hideMark/>
          </w:tcPr>
          <w:p w:rsidR="00AD2352" w:rsidRPr="003F2D0C" w:rsidRDefault="00AD2352" w:rsidP="00AD2352">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 </w:t>
            </w:r>
          </w:p>
        </w:tc>
        <w:tc>
          <w:tcPr>
            <w:tcW w:w="823" w:type="dxa"/>
            <w:tcBorders>
              <w:top w:val="nil"/>
              <w:left w:val="nil"/>
              <w:bottom w:val="single" w:sz="4" w:space="0" w:color="auto"/>
              <w:right w:val="single" w:sz="4" w:space="0" w:color="auto"/>
            </w:tcBorders>
            <w:shd w:val="clear" w:color="auto" w:fill="auto"/>
            <w:noWrap/>
            <w:vAlign w:val="bottom"/>
            <w:hideMark/>
          </w:tcPr>
          <w:p w:rsidR="00AD2352" w:rsidRPr="003F2D0C" w:rsidRDefault="00AD2352" w:rsidP="00AD2352">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 </w:t>
            </w:r>
          </w:p>
        </w:tc>
        <w:tc>
          <w:tcPr>
            <w:tcW w:w="823" w:type="dxa"/>
            <w:tcBorders>
              <w:top w:val="nil"/>
              <w:left w:val="nil"/>
              <w:bottom w:val="single" w:sz="4" w:space="0" w:color="auto"/>
              <w:right w:val="single" w:sz="4" w:space="0" w:color="auto"/>
            </w:tcBorders>
            <w:shd w:val="clear" w:color="auto" w:fill="auto"/>
            <w:noWrap/>
            <w:vAlign w:val="bottom"/>
            <w:hideMark/>
          </w:tcPr>
          <w:p w:rsidR="00AD2352" w:rsidRPr="003F2D0C" w:rsidRDefault="00AD2352" w:rsidP="00AD2352">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 </w:t>
            </w:r>
          </w:p>
        </w:tc>
        <w:tc>
          <w:tcPr>
            <w:tcW w:w="823" w:type="dxa"/>
            <w:tcBorders>
              <w:top w:val="nil"/>
              <w:left w:val="nil"/>
              <w:bottom w:val="single" w:sz="4" w:space="0" w:color="auto"/>
              <w:right w:val="single" w:sz="4" w:space="0" w:color="auto"/>
            </w:tcBorders>
            <w:shd w:val="clear" w:color="auto" w:fill="auto"/>
            <w:noWrap/>
            <w:vAlign w:val="bottom"/>
            <w:hideMark/>
          </w:tcPr>
          <w:p w:rsidR="00AD2352" w:rsidRPr="003F2D0C" w:rsidRDefault="00AD2352" w:rsidP="00AD2352">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 </w:t>
            </w:r>
          </w:p>
        </w:tc>
      </w:tr>
      <w:tr w:rsidR="00AD2352" w:rsidRPr="003F2D0C" w:rsidTr="00AD2352">
        <w:trPr>
          <w:trHeight w:val="300"/>
        </w:trPr>
        <w:tc>
          <w:tcPr>
            <w:tcW w:w="5256" w:type="dxa"/>
            <w:tcBorders>
              <w:top w:val="nil"/>
              <w:left w:val="single" w:sz="4" w:space="0" w:color="auto"/>
              <w:bottom w:val="single" w:sz="4" w:space="0" w:color="auto"/>
              <w:right w:val="single" w:sz="4" w:space="0" w:color="auto"/>
            </w:tcBorders>
            <w:shd w:val="clear" w:color="auto" w:fill="auto"/>
            <w:noWrap/>
            <w:vAlign w:val="bottom"/>
            <w:hideMark/>
          </w:tcPr>
          <w:p w:rsidR="00AD2352" w:rsidRPr="003F2D0C" w:rsidRDefault="00AD2352" w:rsidP="00AD2352">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 xml:space="preserve">Return on capital employed(ROCE)[EBIT/capital </w:t>
            </w:r>
            <w:r w:rsidR="003F2D0C" w:rsidRPr="003F2D0C">
              <w:rPr>
                <w:rFonts w:ascii="Calibri" w:eastAsia="Times New Roman" w:hAnsi="Calibri" w:cs="Times New Roman"/>
                <w:color w:val="000000" w:themeColor="text1"/>
              </w:rPr>
              <w:t>employed</w:t>
            </w:r>
            <w:r w:rsidRPr="003F2D0C">
              <w:rPr>
                <w:rFonts w:ascii="Calibri" w:eastAsia="Times New Roman" w:hAnsi="Calibri" w:cs="Times New Roman"/>
                <w:color w:val="000000" w:themeColor="text1"/>
              </w:rPr>
              <w:t>]</w:t>
            </w:r>
          </w:p>
        </w:tc>
        <w:tc>
          <w:tcPr>
            <w:tcW w:w="822" w:type="dxa"/>
            <w:tcBorders>
              <w:top w:val="nil"/>
              <w:left w:val="nil"/>
              <w:bottom w:val="single" w:sz="4" w:space="0" w:color="auto"/>
              <w:right w:val="single" w:sz="4" w:space="0" w:color="auto"/>
            </w:tcBorders>
            <w:shd w:val="clear" w:color="auto" w:fill="auto"/>
            <w:noWrap/>
            <w:vAlign w:val="bottom"/>
            <w:hideMark/>
          </w:tcPr>
          <w:p w:rsidR="00AD2352" w:rsidRPr="003F2D0C" w:rsidRDefault="00AD2352" w:rsidP="00AD2352">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0.21</w:t>
            </w:r>
          </w:p>
        </w:tc>
        <w:tc>
          <w:tcPr>
            <w:tcW w:w="823" w:type="dxa"/>
            <w:tcBorders>
              <w:top w:val="nil"/>
              <w:left w:val="nil"/>
              <w:bottom w:val="single" w:sz="4" w:space="0" w:color="auto"/>
              <w:right w:val="single" w:sz="4" w:space="0" w:color="auto"/>
            </w:tcBorders>
            <w:shd w:val="clear" w:color="auto" w:fill="auto"/>
            <w:noWrap/>
            <w:vAlign w:val="bottom"/>
            <w:hideMark/>
          </w:tcPr>
          <w:p w:rsidR="00AD2352" w:rsidRPr="003F2D0C" w:rsidRDefault="00AD2352" w:rsidP="00AD2352">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0.11</w:t>
            </w:r>
          </w:p>
        </w:tc>
        <w:tc>
          <w:tcPr>
            <w:tcW w:w="823" w:type="dxa"/>
            <w:tcBorders>
              <w:top w:val="nil"/>
              <w:left w:val="nil"/>
              <w:bottom w:val="single" w:sz="4" w:space="0" w:color="auto"/>
              <w:right w:val="single" w:sz="4" w:space="0" w:color="auto"/>
            </w:tcBorders>
            <w:shd w:val="clear" w:color="auto" w:fill="auto"/>
            <w:noWrap/>
            <w:vAlign w:val="bottom"/>
            <w:hideMark/>
          </w:tcPr>
          <w:p w:rsidR="00AD2352" w:rsidRPr="003F2D0C" w:rsidRDefault="00AD2352" w:rsidP="00AD2352">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0.11</w:t>
            </w:r>
          </w:p>
        </w:tc>
        <w:tc>
          <w:tcPr>
            <w:tcW w:w="823" w:type="dxa"/>
            <w:tcBorders>
              <w:top w:val="nil"/>
              <w:left w:val="nil"/>
              <w:bottom w:val="single" w:sz="4" w:space="0" w:color="auto"/>
              <w:right w:val="single" w:sz="4" w:space="0" w:color="auto"/>
            </w:tcBorders>
            <w:shd w:val="clear" w:color="auto" w:fill="auto"/>
            <w:noWrap/>
            <w:vAlign w:val="bottom"/>
            <w:hideMark/>
          </w:tcPr>
          <w:p w:rsidR="00AD2352" w:rsidRPr="003F2D0C" w:rsidRDefault="00AD2352" w:rsidP="00AD2352">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0.12</w:t>
            </w:r>
          </w:p>
        </w:tc>
        <w:tc>
          <w:tcPr>
            <w:tcW w:w="823" w:type="dxa"/>
            <w:tcBorders>
              <w:top w:val="nil"/>
              <w:left w:val="nil"/>
              <w:bottom w:val="single" w:sz="4" w:space="0" w:color="auto"/>
              <w:right w:val="single" w:sz="4" w:space="0" w:color="auto"/>
            </w:tcBorders>
            <w:shd w:val="clear" w:color="auto" w:fill="auto"/>
            <w:noWrap/>
            <w:vAlign w:val="bottom"/>
            <w:hideMark/>
          </w:tcPr>
          <w:p w:rsidR="00AD2352" w:rsidRPr="003F2D0C" w:rsidRDefault="00AD2352" w:rsidP="00AD2352">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0.11</w:t>
            </w:r>
          </w:p>
        </w:tc>
      </w:tr>
      <w:tr w:rsidR="00AD2352" w:rsidRPr="003F2D0C" w:rsidTr="00AD2352">
        <w:trPr>
          <w:trHeight w:val="300"/>
        </w:trPr>
        <w:tc>
          <w:tcPr>
            <w:tcW w:w="5256" w:type="dxa"/>
            <w:tcBorders>
              <w:top w:val="nil"/>
              <w:left w:val="single" w:sz="4" w:space="0" w:color="auto"/>
              <w:bottom w:val="single" w:sz="4" w:space="0" w:color="auto"/>
              <w:right w:val="single" w:sz="4" w:space="0" w:color="auto"/>
            </w:tcBorders>
            <w:shd w:val="clear" w:color="auto" w:fill="auto"/>
            <w:noWrap/>
            <w:vAlign w:val="bottom"/>
            <w:hideMark/>
          </w:tcPr>
          <w:p w:rsidR="00AD2352" w:rsidRPr="003F2D0C" w:rsidRDefault="00AD2352" w:rsidP="00AD2352">
            <w:pPr>
              <w:spacing w:after="0" w:line="240" w:lineRule="auto"/>
              <w:rPr>
                <w:rFonts w:ascii="Calibri" w:eastAsia="Times New Roman" w:hAnsi="Calibri" w:cs="Times New Roman"/>
                <w:color w:val="000000" w:themeColor="text1"/>
              </w:rPr>
            </w:pPr>
            <w:r w:rsidRPr="003F2D0C">
              <w:rPr>
                <w:rFonts w:ascii="Calibri" w:eastAsia="Times New Roman" w:hAnsi="Calibri" w:cs="Times New Roman"/>
                <w:color w:val="000000" w:themeColor="text1"/>
              </w:rPr>
              <w:t xml:space="preserve">Total asset </w:t>
            </w:r>
            <w:r w:rsidR="003F2D0C" w:rsidRPr="003F2D0C">
              <w:rPr>
                <w:rFonts w:ascii="Calibri" w:eastAsia="Times New Roman" w:hAnsi="Calibri" w:cs="Times New Roman"/>
                <w:color w:val="000000" w:themeColor="text1"/>
              </w:rPr>
              <w:t>turnover</w:t>
            </w:r>
            <w:r w:rsidRPr="003F2D0C">
              <w:rPr>
                <w:rFonts w:ascii="Calibri" w:eastAsia="Times New Roman" w:hAnsi="Calibri" w:cs="Times New Roman"/>
                <w:color w:val="000000" w:themeColor="text1"/>
              </w:rPr>
              <w:t xml:space="preserve"> ratio(net sales or revenue/Total average asset)</w:t>
            </w:r>
          </w:p>
        </w:tc>
        <w:tc>
          <w:tcPr>
            <w:tcW w:w="822" w:type="dxa"/>
            <w:tcBorders>
              <w:top w:val="nil"/>
              <w:left w:val="nil"/>
              <w:bottom w:val="single" w:sz="4" w:space="0" w:color="auto"/>
              <w:right w:val="single" w:sz="4" w:space="0" w:color="auto"/>
            </w:tcBorders>
            <w:shd w:val="clear" w:color="auto" w:fill="auto"/>
            <w:noWrap/>
            <w:vAlign w:val="bottom"/>
            <w:hideMark/>
          </w:tcPr>
          <w:p w:rsidR="00AD2352" w:rsidRPr="003F2D0C" w:rsidRDefault="00AD2352" w:rsidP="00AD2352">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0.79</w:t>
            </w:r>
          </w:p>
        </w:tc>
        <w:tc>
          <w:tcPr>
            <w:tcW w:w="823" w:type="dxa"/>
            <w:tcBorders>
              <w:top w:val="nil"/>
              <w:left w:val="nil"/>
              <w:bottom w:val="single" w:sz="4" w:space="0" w:color="auto"/>
              <w:right w:val="single" w:sz="4" w:space="0" w:color="auto"/>
            </w:tcBorders>
            <w:shd w:val="clear" w:color="auto" w:fill="auto"/>
            <w:noWrap/>
            <w:vAlign w:val="bottom"/>
            <w:hideMark/>
          </w:tcPr>
          <w:p w:rsidR="00AD2352" w:rsidRPr="003F2D0C" w:rsidRDefault="00AD2352" w:rsidP="00AD2352">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0.41</w:t>
            </w:r>
          </w:p>
        </w:tc>
        <w:tc>
          <w:tcPr>
            <w:tcW w:w="823" w:type="dxa"/>
            <w:tcBorders>
              <w:top w:val="nil"/>
              <w:left w:val="nil"/>
              <w:bottom w:val="single" w:sz="4" w:space="0" w:color="auto"/>
              <w:right w:val="single" w:sz="4" w:space="0" w:color="auto"/>
            </w:tcBorders>
            <w:shd w:val="clear" w:color="auto" w:fill="auto"/>
            <w:noWrap/>
            <w:vAlign w:val="bottom"/>
            <w:hideMark/>
          </w:tcPr>
          <w:p w:rsidR="00AD2352" w:rsidRPr="003F2D0C" w:rsidRDefault="00AD2352" w:rsidP="00AD2352">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0.41</w:t>
            </w:r>
          </w:p>
        </w:tc>
        <w:tc>
          <w:tcPr>
            <w:tcW w:w="823" w:type="dxa"/>
            <w:tcBorders>
              <w:top w:val="nil"/>
              <w:left w:val="nil"/>
              <w:bottom w:val="single" w:sz="4" w:space="0" w:color="auto"/>
              <w:right w:val="single" w:sz="4" w:space="0" w:color="auto"/>
            </w:tcBorders>
            <w:shd w:val="clear" w:color="auto" w:fill="auto"/>
            <w:noWrap/>
            <w:vAlign w:val="bottom"/>
            <w:hideMark/>
          </w:tcPr>
          <w:p w:rsidR="00AD2352" w:rsidRPr="003F2D0C" w:rsidRDefault="00AD2352" w:rsidP="00AD2352">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0.38</w:t>
            </w:r>
          </w:p>
        </w:tc>
        <w:tc>
          <w:tcPr>
            <w:tcW w:w="823" w:type="dxa"/>
            <w:tcBorders>
              <w:top w:val="nil"/>
              <w:left w:val="nil"/>
              <w:bottom w:val="single" w:sz="4" w:space="0" w:color="auto"/>
              <w:right w:val="single" w:sz="4" w:space="0" w:color="auto"/>
            </w:tcBorders>
            <w:shd w:val="clear" w:color="auto" w:fill="auto"/>
            <w:noWrap/>
            <w:vAlign w:val="bottom"/>
            <w:hideMark/>
          </w:tcPr>
          <w:p w:rsidR="00AD2352" w:rsidRPr="003F2D0C" w:rsidRDefault="00AD2352" w:rsidP="00AD2352">
            <w:pPr>
              <w:spacing w:after="0" w:line="240" w:lineRule="auto"/>
              <w:jc w:val="right"/>
              <w:rPr>
                <w:rFonts w:ascii="Calibri" w:eastAsia="Times New Roman" w:hAnsi="Calibri" w:cs="Times New Roman"/>
                <w:color w:val="000000" w:themeColor="text1"/>
              </w:rPr>
            </w:pPr>
            <w:r w:rsidRPr="003F2D0C">
              <w:rPr>
                <w:rFonts w:ascii="Calibri" w:eastAsia="Times New Roman" w:hAnsi="Calibri" w:cs="Times New Roman"/>
                <w:color w:val="000000" w:themeColor="text1"/>
              </w:rPr>
              <w:t>0.35</w:t>
            </w:r>
          </w:p>
        </w:tc>
      </w:tr>
    </w:tbl>
    <w:p w:rsidR="00AD2352" w:rsidRDefault="00AD2352" w:rsidP="00086570">
      <w:pPr>
        <w:rPr>
          <w:rFonts w:cs="Times New Roman"/>
          <w:szCs w:val="24"/>
        </w:rPr>
      </w:pPr>
    </w:p>
    <w:p w:rsidR="00DD17DA" w:rsidRDefault="003D749F" w:rsidP="00086570">
      <w:pPr>
        <w:rPr>
          <w:rFonts w:cs="Times New Roman"/>
          <w:szCs w:val="24"/>
        </w:rPr>
      </w:pPr>
      <w:r>
        <w:rPr>
          <w:rFonts w:cs="Times New Roman"/>
          <w:szCs w:val="24"/>
        </w:rPr>
        <w:t xml:space="preserve">Return on capital employed ratios analysis is mainly utilized by the financial manager of the company in order to find out the efficiency of the organization generate profits from capital employed with the help of the comparison of the net operating profits to employ.  As per the above table it is seen that performance of ROCE was constant in year of 2013 and 2014 whereas it </w:t>
      </w:r>
      <w:r w:rsidR="00F65C84">
        <w:rPr>
          <w:rFonts w:cs="Times New Roman"/>
          <w:szCs w:val="24"/>
        </w:rPr>
        <w:t xml:space="preserve">increases 10% from FY2014 to FY2015 respectively. In year of FY2016 performance of ROCE is decreased about 0.8% as compared to previous years. The main </w:t>
      </w:r>
      <w:r w:rsidR="00D843E4">
        <w:rPr>
          <w:rFonts w:cs="Times New Roman"/>
          <w:szCs w:val="24"/>
        </w:rPr>
        <w:t xml:space="preserve">reason of the decrement of the performance in terms of ROCE was due to impact of the foreign exchange rate in 2015. </w:t>
      </w:r>
      <w:r w:rsidR="00AA0E6C">
        <w:rPr>
          <w:rFonts w:cs="Times New Roman"/>
          <w:szCs w:val="24"/>
        </w:rPr>
        <w:t xml:space="preserve">According to </w:t>
      </w:r>
      <w:r w:rsidR="00BD15A2" w:rsidRPr="00BD15A2">
        <w:rPr>
          <w:rFonts w:cs="Times New Roman"/>
          <w:szCs w:val="24"/>
        </w:rPr>
        <w:t>Horrigan, (2012)</w:t>
      </w:r>
      <w:r w:rsidR="00BD15A2">
        <w:rPr>
          <w:rFonts w:cs="Times New Roman"/>
          <w:szCs w:val="24"/>
        </w:rPr>
        <w:t>,</w:t>
      </w:r>
      <w:r w:rsidR="00AA0E6C">
        <w:rPr>
          <w:rFonts w:cs="Times New Roman"/>
          <w:szCs w:val="24"/>
        </w:rPr>
        <w:t xml:space="preserve"> total assets turnover ratios is the efficiency ratios that helps the investor and stakeholders to measure an organization’s capability to create sales from assets with the help of comparing net sales with total assets. </w:t>
      </w:r>
      <w:r w:rsidR="00184EDC">
        <w:rPr>
          <w:rFonts w:cs="Times New Roman"/>
          <w:szCs w:val="24"/>
        </w:rPr>
        <w:t>The values of the total assets turnover in FY2012, 2013, 2014, 2015 and 2016 were 0.79, 0.41, .41, 0.38 and 0.34</w:t>
      </w:r>
      <w:r w:rsidR="00AA0E6C">
        <w:rPr>
          <w:rFonts w:cs="Times New Roman"/>
          <w:szCs w:val="24"/>
        </w:rPr>
        <w:t xml:space="preserve"> </w:t>
      </w:r>
      <w:r w:rsidR="00184EDC">
        <w:rPr>
          <w:rFonts w:cs="Times New Roman"/>
          <w:szCs w:val="24"/>
        </w:rPr>
        <w:t>respectively. The observation indicates that performance of the total assets turnover of the company is not up to the mark which signifies that company is not very efficient</w:t>
      </w:r>
      <w:r w:rsidR="00C2191C">
        <w:rPr>
          <w:rFonts w:cs="Times New Roman"/>
          <w:szCs w:val="24"/>
        </w:rPr>
        <w:t xml:space="preserve"> to utilize its available resources most likely the organization suffered from the management or production issues problems. </w:t>
      </w:r>
      <w:r w:rsidR="00FD5A02">
        <w:rPr>
          <w:rFonts w:cs="Times New Roman"/>
          <w:szCs w:val="24"/>
        </w:rPr>
        <w:t xml:space="preserve">Therefore from the observation it has been suggested that management of BT needs to enhance inventory turnover days that aids them to achieve higher performance.     </w:t>
      </w:r>
      <w:r w:rsidR="00C2191C">
        <w:rPr>
          <w:rFonts w:cs="Times New Roman"/>
          <w:szCs w:val="24"/>
        </w:rPr>
        <w:t xml:space="preserve">    </w:t>
      </w:r>
      <w:r w:rsidR="00184EDC">
        <w:rPr>
          <w:rFonts w:cs="Times New Roman"/>
          <w:szCs w:val="24"/>
        </w:rPr>
        <w:t xml:space="preserve">    </w:t>
      </w:r>
      <w:r w:rsidR="00AA0E6C">
        <w:rPr>
          <w:rFonts w:cs="Times New Roman"/>
          <w:szCs w:val="24"/>
        </w:rPr>
        <w:t xml:space="preserve">      </w:t>
      </w:r>
    </w:p>
    <w:p w:rsidR="00086570" w:rsidRDefault="00086570" w:rsidP="00BD15A2">
      <w:pPr>
        <w:pStyle w:val="Heading2"/>
      </w:pPr>
      <w:bookmarkStart w:id="10" w:name="_Toc502770445"/>
      <w:r>
        <w:t>3.4 Gearing ratios analysis</w:t>
      </w:r>
      <w:bookmarkEnd w:id="10"/>
      <w:r>
        <w:t xml:space="preserve">   </w:t>
      </w:r>
    </w:p>
    <w:p w:rsidR="001D629C" w:rsidRDefault="004647BF" w:rsidP="00086570">
      <w:pPr>
        <w:rPr>
          <w:rFonts w:cs="Times New Roman"/>
          <w:szCs w:val="24"/>
        </w:rPr>
      </w:pPr>
      <w:r>
        <w:rPr>
          <w:rFonts w:cs="Times New Roman"/>
          <w:szCs w:val="24"/>
        </w:rPr>
        <w:t xml:space="preserve">As stated by </w:t>
      </w:r>
      <w:r w:rsidR="00BD15A2" w:rsidRPr="00BD15A2">
        <w:rPr>
          <w:rFonts w:cs="Times New Roman"/>
          <w:szCs w:val="24"/>
        </w:rPr>
        <w:t>Palmer, (2009)</w:t>
      </w:r>
      <w:r w:rsidR="00BD15A2">
        <w:rPr>
          <w:rFonts w:cs="Times New Roman"/>
          <w:szCs w:val="24"/>
        </w:rPr>
        <w:t>, gearing</w:t>
      </w:r>
      <w:r>
        <w:rPr>
          <w:rFonts w:cs="Times New Roman"/>
          <w:szCs w:val="24"/>
        </w:rPr>
        <w:t xml:space="preserve"> financial ratios is used to measure </w:t>
      </w:r>
      <w:r w:rsidR="006355A2">
        <w:rPr>
          <w:rFonts w:cs="Times New Roman"/>
          <w:szCs w:val="24"/>
        </w:rPr>
        <w:t>the proportion of the organization’s borrowed fund to its equity. The main objective of the findings gearing ratios by the financial management of the organization is that it helps them to determine financial issues to which the organization is subjected</w:t>
      </w:r>
      <w:r w:rsidR="00E75EF1">
        <w:rPr>
          <w:rFonts w:cs="Times New Roman"/>
          <w:szCs w:val="24"/>
        </w:rPr>
        <w:t xml:space="preserve">. It is most vital for the management to use as techniques for comparison. </w:t>
      </w:r>
    </w:p>
    <w:p w:rsidR="001D629C" w:rsidRDefault="001D629C" w:rsidP="001D629C">
      <w:pPr>
        <w:pStyle w:val="Title"/>
        <w:jc w:val="center"/>
      </w:pPr>
      <w:r>
        <w:t>Corporate Financial Analysis</w:t>
      </w:r>
    </w:p>
    <w:p w:rsidR="001D629C" w:rsidRDefault="001D629C" w:rsidP="001D629C">
      <w:pPr>
        <w:pStyle w:val="Heading1"/>
      </w:pPr>
      <w:bookmarkStart w:id="11" w:name="_Toc502770446"/>
      <w:r>
        <w:t>4.0 Identification of the underlying reasons for which the ratios are changing over years For British Telecommunication:</w:t>
      </w:r>
      <w:bookmarkEnd w:id="11"/>
    </w:p>
    <w:p w:rsidR="001D629C" w:rsidRDefault="001D629C" w:rsidP="001D629C"/>
    <w:p w:rsidR="001D629C" w:rsidRPr="00C73C63" w:rsidRDefault="001D629C" w:rsidP="001D629C">
      <w:pPr>
        <w:rPr>
          <w:b/>
        </w:rPr>
      </w:pPr>
      <w:r w:rsidRPr="00C73C63">
        <w:rPr>
          <w:b/>
        </w:rPr>
        <w:lastRenderedPageBreak/>
        <w:t>Operating Profit Margin:</w:t>
      </w:r>
    </w:p>
    <w:tbl>
      <w:tblPr>
        <w:tblStyle w:val="TableGrid"/>
        <w:tblW w:w="8940" w:type="dxa"/>
        <w:tblLook w:val="04A0" w:firstRow="1" w:lastRow="0" w:firstColumn="1" w:lastColumn="0" w:noHBand="0" w:noVBand="1"/>
      </w:tblPr>
      <w:tblGrid>
        <w:gridCol w:w="3320"/>
        <w:gridCol w:w="1124"/>
        <w:gridCol w:w="1124"/>
        <w:gridCol w:w="1124"/>
        <w:gridCol w:w="1124"/>
        <w:gridCol w:w="1124"/>
      </w:tblGrid>
      <w:tr w:rsidR="001D629C" w:rsidRPr="003C6205" w:rsidTr="001D629C">
        <w:trPr>
          <w:trHeight w:val="330"/>
        </w:trPr>
        <w:tc>
          <w:tcPr>
            <w:tcW w:w="8940" w:type="dxa"/>
            <w:gridSpan w:val="6"/>
            <w:shd w:val="clear" w:color="auto" w:fill="948A54" w:themeFill="background2" w:themeFillShade="80"/>
            <w:noWrap/>
            <w:hideMark/>
          </w:tcPr>
          <w:p w:rsidR="001D629C" w:rsidRPr="003C6205" w:rsidRDefault="001D629C" w:rsidP="001D629C">
            <w:pPr>
              <w:jc w:val="center"/>
              <w:rPr>
                <w:rFonts w:eastAsia="Times New Roman" w:cs="Times New Roman"/>
                <w:b/>
                <w:bCs/>
                <w:color w:val="000000"/>
                <w:szCs w:val="24"/>
              </w:rPr>
            </w:pPr>
            <w:r w:rsidRPr="003C6205">
              <w:rPr>
                <w:rFonts w:eastAsia="Times New Roman" w:cs="Times New Roman"/>
                <w:b/>
                <w:bCs/>
                <w:color w:val="000000"/>
                <w:szCs w:val="24"/>
              </w:rPr>
              <w:t>British telecom(BT) Ratio Analysis</w:t>
            </w:r>
          </w:p>
        </w:tc>
      </w:tr>
      <w:tr w:rsidR="001D629C" w:rsidRPr="003C6205" w:rsidTr="001D629C">
        <w:trPr>
          <w:trHeight w:val="315"/>
        </w:trPr>
        <w:tc>
          <w:tcPr>
            <w:tcW w:w="3320" w:type="dxa"/>
            <w:shd w:val="clear" w:color="auto" w:fill="948A54" w:themeFill="background2" w:themeFillShade="80"/>
            <w:noWrap/>
            <w:hideMark/>
          </w:tcPr>
          <w:p w:rsidR="001D629C" w:rsidRPr="003C6205" w:rsidRDefault="001D629C" w:rsidP="001D629C">
            <w:pPr>
              <w:rPr>
                <w:rFonts w:eastAsia="Times New Roman" w:cs="Times New Roman"/>
                <w:b/>
                <w:color w:val="000000"/>
                <w:szCs w:val="24"/>
              </w:rPr>
            </w:pPr>
            <w:r w:rsidRPr="00AB2079">
              <w:rPr>
                <w:rFonts w:eastAsia="Times New Roman" w:cs="Times New Roman"/>
                <w:b/>
                <w:color w:val="000000"/>
                <w:szCs w:val="24"/>
              </w:rPr>
              <w:t xml:space="preserve">Items of </w:t>
            </w:r>
            <w:r w:rsidRPr="003C6205">
              <w:rPr>
                <w:rFonts w:eastAsia="Times New Roman" w:cs="Times New Roman"/>
                <w:b/>
                <w:color w:val="000000"/>
                <w:szCs w:val="24"/>
              </w:rPr>
              <w:t xml:space="preserve">financial statement  </w:t>
            </w:r>
          </w:p>
        </w:tc>
        <w:tc>
          <w:tcPr>
            <w:tcW w:w="1124" w:type="dxa"/>
            <w:shd w:val="clear" w:color="auto" w:fill="948A54" w:themeFill="background2" w:themeFillShade="80"/>
            <w:noWrap/>
            <w:hideMark/>
          </w:tcPr>
          <w:p w:rsidR="001D629C" w:rsidRPr="003C6205" w:rsidRDefault="001D629C" w:rsidP="001D629C">
            <w:pPr>
              <w:rPr>
                <w:rFonts w:eastAsia="Times New Roman" w:cs="Times New Roman"/>
                <w:color w:val="000000"/>
                <w:szCs w:val="24"/>
              </w:rPr>
            </w:pPr>
            <w:r w:rsidRPr="003C6205">
              <w:rPr>
                <w:rFonts w:eastAsia="Times New Roman" w:cs="Times New Roman"/>
                <w:color w:val="000000"/>
                <w:szCs w:val="24"/>
              </w:rPr>
              <w:t>£,million</w:t>
            </w:r>
          </w:p>
        </w:tc>
        <w:tc>
          <w:tcPr>
            <w:tcW w:w="1124" w:type="dxa"/>
            <w:shd w:val="clear" w:color="auto" w:fill="948A54" w:themeFill="background2" w:themeFillShade="80"/>
            <w:noWrap/>
            <w:hideMark/>
          </w:tcPr>
          <w:p w:rsidR="001D629C" w:rsidRPr="003C6205" w:rsidRDefault="001D629C" w:rsidP="001D629C">
            <w:pPr>
              <w:rPr>
                <w:rFonts w:eastAsia="Times New Roman" w:cs="Times New Roman"/>
                <w:color w:val="000000"/>
                <w:szCs w:val="24"/>
              </w:rPr>
            </w:pPr>
            <w:r w:rsidRPr="003C6205">
              <w:rPr>
                <w:rFonts w:eastAsia="Times New Roman" w:cs="Times New Roman"/>
                <w:color w:val="000000"/>
                <w:szCs w:val="24"/>
              </w:rPr>
              <w:t>£,million</w:t>
            </w:r>
          </w:p>
        </w:tc>
        <w:tc>
          <w:tcPr>
            <w:tcW w:w="1124" w:type="dxa"/>
            <w:shd w:val="clear" w:color="auto" w:fill="948A54" w:themeFill="background2" w:themeFillShade="80"/>
            <w:noWrap/>
            <w:hideMark/>
          </w:tcPr>
          <w:p w:rsidR="001D629C" w:rsidRPr="003C6205" w:rsidRDefault="001D629C" w:rsidP="001D629C">
            <w:pPr>
              <w:rPr>
                <w:rFonts w:eastAsia="Times New Roman" w:cs="Times New Roman"/>
                <w:color w:val="000000"/>
                <w:szCs w:val="24"/>
              </w:rPr>
            </w:pPr>
            <w:r w:rsidRPr="003C6205">
              <w:rPr>
                <w:rFonts w:eastAsia="Times New Roman" w:cs="Times New Roman"/>
                <w:color w:val="000000"/>
                <w:szCs w:val="24"/>
              </w:rPr>
              <w:t>£,million</w:t>
            </w:r>
          </w:p>
        </w:tc>
        <w:tc>
          <w:tcPr>
            <w:tcW w:w="1124" w:type="dxa"/>
            <w:shd w:val="clear" w:color="auto" w:fill="948A54" w:themeFill="background2" w:themeFillShade="80"/>
            <w:noWrap/>
            <w:hideMark/>
          </w:tcPr>
          <w:p w:rsidR="001D629C" w:rsidRPr="003C6205" w:rsidRDefault="001D629C" w:rsidP="001D629C">
            <w:pPr>
              <w:rPr>
                <w:rFonts w:eastAsia="Times New Roman" w:cs="Times New Roman"/>
                <w:color w:val="000000"/>
                <w:szCs w:val="24"/>
              </w:rPr>
            </w:pPr>
            <w:r w:rsidRPr="003C6205">
              <w:rPr>
                <w:rFonts w:eastAsia="Times New Roman" w:cs="Times New Roman"/>
                <w:color w:val="000000"/>
                <w:szCs w:val="24"/>
              </w:rPr>
              <w:t>£,million</w:t>
            </w:r>
          </w:p>
        </w:tc>
        <w:tc>
          <w:tcPr>
            <w:tcW w:w="1124" w:type="dxa"/>
            <w:shd w:val="clear" w:color="auto" w:fill="948A54" w:themeFill="background2" w:themeFillShade="80"/>
            <w:noWrap/>
            <w:hideMark/>
          </w:tcPr>
          <w:p w:rsidR="001D629C" w:rsidRPr="003C6205" w:rsidRDefault="001D629C" w:rsidP="001D629C">
            <w:pPr>
              <w:rPr>
                <w:rFonts w:eastAsia="Times New Roman" w:cs="Times New Roman"/>
                <w:color w:val="000000"/>
                <w:szCs w:val="24"/>
              </w:rPr>
            </w:pPr>
            <w:r w:rsidRPr="003C6205">
              <w:rPr>
                <w:rFonts w:eastAsia="Times New Roman" w:cs="Times New Roman"/>
                <w:color w:val="000000"/>
                <w:szCs w:val="24"/>
              </w:rPr>
              <w:t>£,million</w:t>
            </w:r>
          </w:p>
        </w:tc>
      </w:tr>
      <w:tr w:rsidR="001D629C" w:rsidRPr="003C6205" w:rsidTr="001D629C">
        <w:trPr>
          <w:trHeight w:val="315"/>
        </w:trPr>
        <w:tc>
          <w:tcPr>
            <w:tcW w:w="3320" w:type="dxa"/>
            <w:shd w:val="clear" w:color="auto" w:fill="948A54" w:themeFill="background2" w:themeFillShade="80"/>
            <w:noWrap/>
            <w:hideMark/>
          </w:tcPr>
          <w:p w:rsidR="001D629C" w:rsidRPr="003C6205" w:rsidRDefault="001D629C" w:rsidP="001D629C">
            <w:pPr>
              <w:rPr>
                <w:rFonts w:eastAsia="Times New Roman" w:cs="Times New Roman"/>
                <w:b/>
                <w:bCs/>
                <w:color w:val="000000"/>
                <w:szCs w:val="24"/>
              </w:rPr>
            </w:pPr>
            <w:r w:rsidRPr="003C6205">
              <w:rPr>
                <w:rFonts w:eastAsia="Times New Roman" w:cs="Times New Roman"/>
                <w:b/>
                <w:bCs/>
                <w:color w:val="000000"/>
                <w:szCs w:val="24"/>
              </w:rPr>
              <w:t>Years</w:t>
            </w:r>
          </w:p>
        </w:tc>
        <w:tc>
          <w:tcPr>
            <w:tcW w:w="1124" w:type="dxa"/>
            <w:shd w:val="clear" w:color="auto" w:fill="948A54" w:themeFill="background2" w:themeFillShade="80"/>
            <w:noWrap/>
            <w:hideMark/>
          </w:tcPr>
          <w:p w:rsidR="001D629C" w:rsidRPr="003C6205" w:rsidRDefault="001D629C" w:rsidP="001D629C">
            <w:pPr>
              <w:jc w:val="right"/>
              <w:rPr>
                <w:rFonts w:eastAsia="Times New Roman" w:cs="Times New Roman"/>
                <w:b/>
                <w:bCs/>
                <w:color w:val="000000"/>
                <w:szCs w:val="24"/>
              </w:rPr>
            </w:pPr>
            <w:r w:rsidRPr="003C6205">
              <w:rPr>
                <w:rFonts w:eastAsia="Times New Roman" w:cs="Times New Roman"/>
                <w:b/>
                <w:bCs/>
                <w:color w:val="000000"/>
                <w:szCs w:val="24"/>
              </w:rPr>
              <w:t>2012</w:t>
            </w:r>
          </w:p>
        </w:tc>
        <w:tc>
          <w:tcPr>
            <w:tcW w:w="1124" w:type="dxa"/>
            <w:shd w:val="clear" w:color="auto" w:fill="948A54" w:themeFill="background2" w:themeFillShade="80"/>
            <w:noWrap/>
            <w:hideMark/>
          </w:tcPr>
          <w:p w:rsidR="001D629C" w:rsidRPr="003C6205" w:rsidRDefault="001D629C" w:rsidP="001D629C">
            <w:pPr>
              <w:jc w:val="right"/>
              <w:rPr>
                <w:rFonts w:eastAsia="Times New Roman" w:cs="Times New Roman"/>
                <w:b/>
                <w:bCs/>
                <w:color w:val="000000"/>
                <w:szCs w:val="24"/>
              </w:rPr>
            </w:pPr>
            <w:r w:rsidRPr="003C6205">
              <w:rPr>
                <w:rFonts w:eastAsia="Times New Roman" w:cs="Times New Roman"/>
                <w:b/>
                <w:bCs/>
                <w:color w:val="000000"/>
                <w:szCs w:val="24"/>
              </w:rPr>
              <w:t>2013</w:t>
            </w:r>
          </w:p>
        </w:tc>
        <w:tc>
          <w:tcPr>
            <w:tcW w:w="1124" w:type="dxa"/>
            <w:shd w:val="clear" w:color="auto" w:fill="948A54" w:themeFill="background2" w:themeFillShade="80"/>
            <w:noWrap/>
            <w:hideMark/>
          </w:tcPr>
          <w:p w:rsidR="001D629C" w:rsidRPr="003C6205" w:rsidRDefault="001D629C" w:rsidP="001D629C">
            <w:pPr>
              <w:jc w:val="right"/>
              <w:rPr>
                <w:rFonts w:eastAsia="Times New Roman" w:cs="Times New Roman"/>
                <w:b/>
                <w:bCs/>
                <w:color w:val="000000"/>
                <w:szCs w:val="24"/>
              </w:rPr>
            </w:pPr>
            <w:r w:rsidRPr="003C6205">
              <w:rPr>
                <w:rFonts w:eastAsia="Times New Roman" w:cs="Times New Roman"/>
                <w:b/>
                <w:bCs/>
                <w:color w:val="000000"/>
                <w:szCs w:val="24"/>
              </w:rPr>
              <w:t>2014</w:t>
            </w:r>
          </w:p>
        </w:tc>
        <w:tc>
          <w:tcPr>
            <w:tcW w:w="1124" w:type="dxa"/>
            <w:shd w:val="clear" w:color="auto" w:fill="948A54" w:themeFill="background2" w:themeFillShade="80"/>
            <w:noWrap/>
            <w:hideMark/>
          </w:tcPr>
          <w:p w:rsidR="001D629C" w:rsidRPr="003C6205" w:rsidRDefault="001D629C" w:rsidP="001D629C">
            <w:pPr>
              <w:jc w:val="right"/>
              <w:rPr>
                <w:rFonts w:eastAsia="Times New Roman" w:cs="Times New Roman"/>
                <w:b/>
                <w:bCs/>
                <w:color w:val="000000"/>
                <w:szCs w:val="24"/>
              </w:rPr>
            </w:pPr>
            <w:r w:rsidRPr="003C6205">
              <w:rPr>
                <w:rFonts w:eastAsia="Times New Roman" w:cs="Times New Roman"/>
                <w:b/>
                <w:bCs/>
                <w:color w:val="000000"/>
                <w:szCs w:val="24"/>
              </w:rPr>
              <w:t>2015</w:t>
            </w:r>
          </w:p>
        </w:tc>
        <w:tc>
          <w:tcPr>
            <w:tcW w:w="1124" w:type="dxa"/>
            <w:shd w:val="clear" w:color="auto" w:fill="948A54" w:themeFill="background2" w:themeFillShade="80"/>
            <w:noWrap/>
            <w:hideMark/>
          </w:tcPr>
          <w:p w:rsidR="001D629C" w:rsidRPr="003C6205" w:rsidRDefault="001D629C" w:rsidP="001D629C">
            <w:pPr>
              <w:jc w:val="right"/>
              <w:rPr>
                <w:rFonts w:eastAsia="Times New Roman" w:cs="Times New Roman"/>
                <w:b/>
                <w:bCs/>
                <w:color w:val="000000"/>
                <w:szCs w:val="24"/>
              </w:rPr>
            </w:pPr>
            <w:r w:rsidRPr="003C6205">
              <w:rPr>
                <w:rFonts w:eastAsia="Times New Roman" w:cs="Times New Roman"/>
                <w:b/>
                <w:bCs/>
                <w:color w:val="000000"/>
                <w:szCs w:val="24"/>
              </w:rPr>
              <w:t>2016</w:t>
            </w:r>
          </w:p>
        </w:tc>
      </w:tr>
      <w:tr w:rsidR="001D629C" w:rsidRPr="003C6205" w:rsidTr="001D629C">
        <w:trPr>
          <w:trHeight w:val="315"/>
        </w:trPr>
        <w:tc>
          <w:tcPr>
            <w:tcW w:w="3320" w:type="dxa"/>
            <w:shd w:val="clear" w:color="auto" w:fill="948A54" w:themeFill="background2" w:themeFillShade="80"/>
            <w:noWrap/>
            <w:hideMark/>
          </w:tcPr>
          <w:p w:rsidR="001D629C" w:rsidRPr="003C6205" w:rsidRDefault="001D629C" w:rsidP="001D629C">
            <w:pPr>
              <w:rPr>
                <w:rFonts w:eastAsia="Times New Roman" w:cs="Times New Roman"/>
                <w:color w:val="000000"/>
                <w:szCs w:val="24"/>
              </w:rPr>
            </w:pPr>
            <w:r w:rsidRPr="003C6205">
              <w:rPr>
                <w:rFonts w:eastAsia="Times New Roman" w:cs="Times New Roman"/>
                <w:color w:val="000000"/>
                <w:szCs w:val="24"/>
              </w:rPr>
              <w:t>Total revenue earned</w:t>
            </w:r>
          </w:p>
        </w:tc>
        <w:tc>
          <w:tcPr>
            <w:tcW w:w="1124" w:type="dxa"/>
            <w:shd w:val="clear" w:color="auto" w:fill="948A54" w:themeFill="background2" w:themeFillShade="80"/>
            <w:noWrap/>
            <w:hideMark/>
          </w:tcPr>
          <w:p w:rsidR="001D629C" w:rsidRPr="003C6205" w:rsidRDefault="001D629C" w:rsidP="001D629C">
            <w:pPr>
              <w:jc w:val="right"/>
              <w:rPr>
                <w:rFonts w:eastAsia="Times New Roman" w:cs="Times New Roman"/>
                <w:color w:val="000000"/>
                <w:szCs w:val="24"/>
              </w:rPr>
            </w:pPr>
            <w:r w:rsidRPr="003C6205">
              <w:rPr>
                <w:rFonts w:eastAsia="Times New Roman" w:cs="Times New Roman"/>
                <w:color w:val="000000"/>
                <w:szCs w:val="24"/>
              </w:rPr>
              <w:t>18,987</w:t>
            </w:r>
          </w:p>
        </w:tc>
        <w:tc>
          <w:tcPr>
            <w:tcW w:w="1124" w:type="dxa"/>
            <w:shd w:val="clear" w:color="auto" w:fill="948A54" w:themeFill="background2" w:themeFillShade="80"/>
            <w:noWrap/>
            <w:hideMark/>
          </w:tcPr>
          <w:p w:rsidR="001D629C" w:rsidRPr="003C6205" w:rsidRDefault="001D629C" w:rsidP="001D629C">
            <w:pPr>
              <w:jc w:val="right"/>
              <w:rPr>
                <w:rFonts w:eastAsia="Times New Roman" w:cs="Times New Roman"/>
                <w:color w:val="000000"/>
                <w:szCs w:val="24"/>
              </w:rPr>
            </w:pPr>
            <w:r w:rsidRPr="003C6205">
              <w:rPr>
                <w:rFonts w:eastAsia="Times New Roman" w:cs="Times New Roman"/>
                <w:color w:val="000000"/>
                <w:szCs w:val="24"/>
              </w:rPr>
              <w:t>18,103</w:t>
            </w:r>
          </w:p>
        </w:tc>
        <w:tc>
          <w:tcPr>
            <w:tcW w:w="1124" w:type="dxa"/>
            <w:shd w:val="clear" w:color="auto" w:fill="948A54" w:themeFill="background2" w:themeFillShade="80"/>
            <w:noWrap/>
            <w:hideMark/>
          </w:tcPr>
          <w:p w:rsidR="001D629C" w:rsidRPr="003C6205" w:rsidRDefault="001D629C" w:rsidP="001D629C">
            <w:pPr>
              <w:jc w:val="right"/>
              <w:rPr>
                <w:rFonts w:eastAsia="Times New Roman" w:cs="Times New Roman"/>
                <w:color w:val="000000"/>
                <w:szCs w:val="24"/>
              </w:rPr>
            </w:pPr>
            <w:r w:rsidRPr="003C6205">
              <w:rPr>
                <w:rFonts w:eastAsia="Times New Roman" w:cs="Times New Roman"/>
                <w:color w:val="000000"/>
                <w:szCs w:val="24"/>
              </w:rPr>
              <w:t>18,287</w:t>
            </w:r>
          </w:p>
        </w:tc>
        <w:tc>
          <w:tcPr>
            <w:tcW w:w="1124" w:type="dxa"/>
            <w:shd w:val="clear" w:color="auto" w:fill="948A54" w:themeFill="background2" w:themeFillShade="80"/>
            <w:noWrap/>
            <w:hideMark/>
          </w:tcPr>
          <w:p w:rsidR="001D629C" w:rsidRPr="003C6205" w:rsidRDefault="001D629C" w:rsidP="001D629C">
            <w:pPr>
              <w:jc w:val="right"/>
              <w:rPr>
                <w:rFonts w:eastAsia="Times New Roman" w:cs="Times New Roman"/>
                <w:color w:val="000000"/>
                <w:szCs w:val="24"/>
              </w:rPr>
            </w:pPr>
            <w:r w:rsidRPr="003C6205">
              <w:rPr>
                <w:rFonts w:eastAsia="Times New Roman" w:cs="Times New Roman"/>
                <w:color w:val="000000"/>
                <w:szCs w:val="24"/>
              </w:rPr>
              <w:t>17,979</w:t>
            </w:r>
          </w:p>
        </w:tc>
        <w:tc>
          <w:tcPr>
            <w:tcW w:w="1124" w:type="dxa"/>
            <w:shd w:val="clear" w:color="auto" w:fill="948A54" w:themeFill="background2" w:themeFillShade="80"/>
            <w:noWrap/>
            <w:hideMark/>
          </w:tcPr>
          <w:p w:rsidR="001D629C" w:rsidRPr="003C6205" w:rsidRDefault="001D629C" w:rsidP="001D629C">
            <w:pPr>
              <w:jc w:val="right"/>
              <w:rPr>
                <w:rFonts w:eastAsia="Times New Roman" w:cs="Times New Roman"/>
                <w:color w:val="000000"/>
                <w:szCs w:val="24"/>
              </w:rPr>
            </w:pPr>
            <w:r w:rsidRPr="003C6205">
              <w:rPr>
                <w:rFonts w:eastAsia="Times New Roman" w:cs="Times New Roman"/>
                <w:color w:val="000000"/>
                <w:szCs w:val="24"/>
              </w:rPr>
              <w:t>19,042</w:t>
            </w:r>
          </w:p>
        </w:tc>
      </w:tr>
      <w:tr w:rsidR="001D629C" w:rsidRPr="003C6205" w:rsidTr="001D629C">
        <w:trPr>
          <w:trHeight w:val="315"/>
        </w:trPr>
        <w:tc>
          <w:tcPr>
            <w:tcW w:w="3320" w:type="dxa"/>
            <w:shd w:val="clear" w:color="auto" w:fill="948A54" w:themeFill="background2" w:themeFillShade="80"/>
            <w:noWrap/>
            <w:hideMark/>
          </w:tcPr>
          <w:p w:rsidR="001D629C" w:rsidRPr="003C6205" w:rsidRDefault="001D629C" w:rsidP="001D629C">
            <w:pPr>
              <w:rPr>
                <w:rFonts w:eastAsia="Times New Roman" w:cs="Times New Roman"/>
                <w:color w:val="000000"/>
                <w:szCs w:val="24"/>
              </w:rPr>
            </w:pPr>
            <w:r w:rsidRPr="003C6205">
              <w:rPr>
                <w:rFonts w:eastAsia="Times New Roman" w:cs="Times New Roman"/>
                <w:color w:val="000000"/>
                <w:szCs w:val="24"/>
              </w:rPr>
              <w:t>EBIT/Operating profit</w:t>
            </w:r>
          </w:p>
        </w:tc>
        <w:tc>
          <w:tcPr>
            <w:tcW w:w="1124" w:type="dxa"/>
            <w:shd w:val="clear" w:color="auto" w:fill="948A54" w:themeFill="background2" w:themeFillShade="80"/>
            <w:noWrap/>
            <w:hideMark/>
          </w:tcPr>
          <w:p w:rsidR="001D629C" w:rsidRPr="003C6205" w:rsidRDefault="001D629C" w:rsidP="001D629C">
            <w:pPr>
              <w:jc w:val="right"/>
              <w:rPr>
                <w:rFonts w:eastAsia="Times New Roman" w:cs="Times New Roman"/>
                <w:color w:val="000000"/>
                <w:szCs w:val="24"/>
              </w:rPr>
            </w:pPr>
            <w:r w:rsidRPr="003C6205">
              <w:rPr>
                <w:rFonts w:eastAsia="Times New Roman" w:cs="Times New Roman"/>
                <w:color w:val="000000"/>
                <w:szCs w:val="24"/>
              </w:rPr>
              <w:t>2893</w:t>
            </w:r>
          </w:p>
        </w:tc>
        <w:tc>
          <w:tcPr>
            <w:tcW w:w="1124" w:type="dxa"/>
            <w:shd w:val="clear" w:color="auto" w:fill="948A54" w:themeFill="background2" w:themeFillShade="80"/>
            <w:noWrap/>
            <w:hideMark/>
          </w:tcPr>
          <w:p w:rsidR="001D629C" w:rsidRPr="003C6205" w:rsidRDefault="001D629C" w:rsidP="001D629C">
            <w:pPr>
              <w:jc w:val="right"/>
              <w:rPr>
                <w:rFonts w:eastAsia="Times New Roman" w:cs="Times New Roman"/>
                <w:color w:val="000000"/>
                <w:szCs w:val="24"/>
              </w:rPr>
            </w:pPr>
            <w:r w:rsidRPr="003C6205">
              <w:rPr>
                <w:rFonts w:eastAsia="Times New Roman" w:cs="Times New Roman"/>
                <w:color w:val="000000"/>
                <w:szCs w:val="24"/>
              </w:rPr>
              <w:t>2,952</w:t>
            </w:r>
          </w:p>
        </w:tc>
        <w:tc>
          <w:tcPr>
            <w:tcW w:w="1124" w:type="dxa"/>
            <w:shd w:val="clear" w:color="auto" w:fill="948A54" w:themeFill="background2" w:themeFillShade="80"/>
            <w:noWrap/>
            <w:hideMark/>
          </w:tcPr>
          <w:p w:rsidR="001D629C" w:rsidRPr="003C6205" w:rsidRDefault="001D629C" w:rsidP="001D629C">
            <w:pPr>
              <w:jc w:val="right"/>
              <w:rPr>
                <w:rFonts w:eastAsia="Times New Roman" w:cs="Times New Roman"/>
                <w:color w:val="000000"/>
                <w:szCs w:val="24"/>
              </w:rPr>
            </w:pPr>
            <w:r w:rsidRPr="003C6205">
              <w:rPr>
                <w:rFonts w:eastAsia="Times New Roman" w:cs="Times New Roman"/>
                <w:color w:val="000000"/>
                <w:szCs w:val="24"/>
              </w:rPr>
              <w:t>3,147</w:t>
            </w:r>
          </w:p>
        </w:tc>
        <w:tc>
          <w:tcPr>
            <w:tcW w:w="1124" w:type="dxa"/>
            <w:shd w:val="clear" w:color="auto" w:fill="948A54" w:themeFill="background2" w:themeFillShade="80"/>
            <w:noWrap/>
            <w:hideMark/>
          </w:tcPr>
          <w:p w:rsidR="001D629C" w:rsidRPr="003C6205" w:rsidRDefault="001D629C" w:rsidP="001D629C">
            <w:pPr>
              <w:jc w:val="right"/>
              <w:rPr>
                <w:rFonts w:eastAsia="Times New Roman" w:cs="Times New Roman"/>
                <w:color w:val="000000"/>
                <w:szCs w:val="24"/>
              </w:rPr>
            </w:pPr>
            <w:r w:rsidRPr="003C6205">
              <w:rPr>
                <w:rFonts w:eastAsia="Times New Roman" w:cs="Times New Roman"/>
                <w:color w:val="000000"/>
                <w:szCs w:val="24"/>
              </w:rPr>
              <w:t>3,486</w:t>
            </w:r>
          </w:p>
        </w:tc>
        <w:tc>
          <w:tcPr>
            <w:tcW w:w="1124" w:type="dxa"/>
            <w:shd w:val="clear" w:color="auto" w:fill="948A54" w:themeFill="background2" w:themeFillShade="80"/>
            <w:noWrap/>
            <w:hideMark/>
          </w:tcPr>
          <w:p w:rsidR="001D629C" w:rsidRPr="003C6205" w:rsidRDefault="001D629C" w:rsidP="001D629C">
            <w:pPr>
              <w:jc w:val="right"/>
              <w:rPr>
                <w:rFonts w:eastAsia="Times New Roman" w:cs="Times New Roman"/>
                <w:color w:val="000000"/>
                <w:szCs w:val="24"/>
              </w:rPr>
            </w:pPr>
            <w:r w:rsidRPr="003C6205">
              <w:rPr>
                <w:rFonts w:eastAsia="Times New Roman" w:cs="Times New Roman"/>
                <w:color w:val="000000"/>
                <w:szCs w:val="24"/>
              </w:rPr>
              <w:t>3,737</w:t>
            </w:r>
          </w:p>
        </w:tc>
      </w:tr>
      <w:tr w:rsidR="001D629C" w:rsidRPr="003C6205" w:rsidTr="001D629C">
        <w:trPr>
          <w:trHeight w:val="315"/>
        </w:trPr>
        <w:tc>
          <w:tcPr>
            <w:tcW w:w="3320" w:type="dxa"/>
            <w:shd w:val="clear" w:color="auto" w:fill="948A54" w:themeFill="background2" w:themeFillShade="80"/>
            <w:noWrap/>
            <w:hideMark/>
          </w:tcPr>
          <w:p w:rsidR="001D629C" w:rsidRPr="003C6205" w:rsidRDefault="001D629C" w:rsidP="001D629C">
            <w:pPr>
              <w:rPr>
                <w:rFonts w:eastAsia="Times New Roman" w:cs="Times New Roman"/>
                <w:b/>
                <w:color w:val="000000"/>
                <w:szCs w:val="24"/>
              </w:rPr>
            </w:pPr>
            <w:r w:rsidRPr="003C6205">
              <w:rPr>
                <w:rFonts w:eastAsia="Times New Roman" w:cs="Times New Roman"/>
                <w:b/>
                <w:color w:val="000000"/>
                <w:szCs w:val="24"/>
              </w:rPr>
              <w:t>Years</w:t>
            </w:r>
          </w:p>
        </w:tc>
        <w:tc>
          <w:tcPr>
            <w:tcW w:w="1124" w:type="dxa"/>
            <w:shd w:val="clear" w:color="auto" w:fill="948A54" w:themeFill="background2" w:themeFillShade="80"/>
            <w:noWrap/>
            <w:hideMark/>
          </w:tcPr>
          <w:p w:rsidR="001D629C" w:rsidRPr="003C6205" w:rsidRDefault="001D629C" w:rsidP="001D629C">
            <w:pPr>
              <w:jc w:val="right"/>
              <w:rPr>
                <w:rFonts w:eastAsia="Times New Roman" w:cs="Times New Roman"/>
                <w:b/>
                <w:color w:val="000000"/>
                <w:szCs w:val="24"/>
              </w:rPr>
            </w:pPr>
            <w:r w:rsidRPr="003C6205">
              <w:rPr>
                <w:rFonts w:eastAsia="Times New Roman" w:cs="Times New Roman"/>
                <w:b/>
                <w:color w:val="000000"/>
                <w:szCs w:val="24"/>
              </w:rPr>
              <w:t>2012</w:t>
            </w:r>
          </w:p>
        </w:tc>
        <w:tc>
          <w:tcPr>
            <w:tcW w:w="1124" w:type="dxa"/>
            <w:shd w:val="clear" w:color="auto" w:fill="948A54" w:themeFill="background2" w:themeFillShade="80"/>
            <w:noWrap/>
            <w:hideMark/>
          </w:tcPr>
          <w:p w:rsidR="001D629C" w:rsidRPr="003C6205" w:rsidRDefault="001D629C" w:rsidP="001D629C">
            <w:pPr>
              <w:jc w:val="right"/>
              <w:rPr>
                <w:rFonts w:eastAsia="Times New Roman" w:cs="Times New Roman"/>
                <w:b/>
                <w:color w:val="000000"/>
                <w:szCs w:val="24"/>
              </w:rPr>
            </w:pPr>
            <w:r w:rsidRPr="003C6205">
              <w:rPr>
                <w:rFonts w:eastAsia="Times New Roman" w:cs="Times New Roman"/>
                <w:b/>
                <w:color w:val="000000"/>
                <w:szCs w:val="24"/>
              </w:rPr>
              <w:t>2013</w:t>
            </w:r>
          </w:p>
        </w:tc>
        <w:tc>
          <w:tcPr>
            <w:tcW w:w="1124" w:type="dxa"/>
            <w:shd w:val="clear" w:color="auto" w:fill="948A54" w:themeFill="background2" w:themeFillShade="80"/>
            <w:noWrap/>
            <w:hideMark/>
          </w:tcPr>
          <w:p w:rsidR="001D629C" w:rsidRPr="003C6205" w:rsidRDefault="001D629C" w:rsidP="001D629C">
            <w:pPr>
              <w:jc w:val="right"/>
              <w:rPr>
                <w:rFonts w:eastAsia="Times New Roman" w:cs="Times New Roman"/>
                <w:b/>
                <w:color w:val="000000"/>
                <w:szCs w:val="24"/>
              </w:rPr>
            </w:pPr>
            <w:r w:rsidRPr="003C6205">
              <w:rPr>
                <w:rFonts w:eastAsia="Times New Roman" w:cs="Times New Roman"/>
                <w:b/>
                <w:color w:val="000000"/>
                <w:szCs w:val="24"/>
              </w:rPr>
              <w:t>2014</w:t>
            </w:r>
          </w:p>
        </w:tc>
        <w:tc>
          <w:tcPr>
            <w:tcW w:w="1124" w:type="dxa"/>
            <w:shd w:val="clear" w:color="auto" w:fill="948A54" w:themeFill="background2" w:themeFillShade="80"/>
            <w:noWrap/>
            <w:hideMark/>
          </w:tcPr>
          <w:p w:rsidR="001D629C" w:rsidRPr="003C6205" w:rsidRDefault="001D629C" w:rsidP="001D629C">
            <w:pPr>
              <w:jc w:val="right"/>
              <w:rPr>
                <w:rFonts w:eastAsia="Times New Roman" w:cs="Times New Roman"/>
                <w:b/>
                <w:color w:val="000000"/>
                <w:szCs w:val="24"/>
              </w:rPr>
            </w:pPr>
            <w:r w:rsidRPr="003C6205">
              <w:rPr>
                <w:rFonts w:eastAsia="Times New Roman" w:cs="Times New Roman"/>
                <w:b/>
                <w:color w:val="000000"/>
                <w:szCs w:val="24"/>
              </w:rPr>
              <w:t>2015</w:t>
            </w:r>
          </w:p>
        </w:tc>
        <w:tc>
          <w:tcPr>
            <w:tcW w:w="1124" w:type="dxa"/>
            <w:shd w:val="clear" w:color="auto" w:fill="948A54" w:themeFill="background2" w:themeFillShade="80"/>
            <w:noWrap/>
            <w:hideMark/>
          </w:tcPr>
          <w:p w:rsidR="001D629C" w:rsidRPr="003C6205" w:rsidRDefault="001D629C" w:rsidP="001D629C">
            <w:pPr>
              <w:jc w:val="right"/>
              <w:rPr>
                <w:rFonts w:eastAsia="Times New Roman" w:cs="Times New Roman"/>
                <w:b/>
                <w:color w:val="000000"/>
                <w:szCs w:val="24"/>
              </w:rPr>
            </w:pPr>
            <w:r w:rsidRPr="003C6205">
              <w:rPr>
                <w:rFonts w:eastAsia="Times New Roman" w:cs="Times New Roman"/>
                <w:b/>
                <w:color w:val="000000"/>
                <w:szCs w:val="24"/>
              </w:rPr>
              <w:t>2016</w:t>
            </w:r>
          </w:p>
        </w:tc>
      </w:tr>
      <w:tr w:rsidR="001D629C" w:rsidRPr="003C6205" w:rsidTr="001D629C">
        <w:trPr>
          <w:trHeight w:val="315"/>
        </w:trPr>
        <w:tc>
          <w:tcPr>
            <w:tcW w:w="3320" w:type="dxa"/>
            <w:shd w:val="clear" w:color="auto" w:fill="948A54" w:themeFill="background2" w:themeFillShade="80"/>
            <w:noWrap/>
            <w:hideMark/>
          </w:tcPr>
          <w:p w:rsidR="001D629C" w:rsidRPr="003C6205" w:rsidRDefault="001D629C" w:rsidP="001D629C">
            <w:pPr>
              <w:rPr>
                <w:rFonts w:eastAsia="Times New Roman" w:cs="Times New Roman"/>
                <w:b/>
                <w:color w:val="000000"/>
                <w:szCs w:val="24"/>
              </w:rPr>
            </w:pPr>
            <w:r w:rsidRPr="003C6205">
              <w:rPr>
                <w:rFonts w:eastAsia="Times New Roman" w:cs="Times New Roman"/>
                <w:b/>
                <w:color w:val="000000"/>
                <w:szCs w:val="24"/>
              </w:rPr>
              <w:t>Profitability Ratios</w:t>
            </w:r>
          </w:p>
        </w:tc>
        <w:tc>
          <w:tcPr>
            <w:tcW w:w="1124" w:type="dxa"/>
            <w:shd w:val="clear" w:color="auto" w:fill="948A54" w:themeFill="background2" w:themeFillShade="80"/>
            <w:noWrap/>
            <w:hideMark/>
          </w:tcPr>
          <w:p w:rsidR="001D629C" w:rsidRPr="003C6205" w:rsidRDefault="001D629C" w:rsidP="001D629C">
            <w:pPr>
              <w:jc w:val="right"/>
              <w:rPr>
                <w:rFonts w:eastAsia="Times New Roman" w:cs="Times New Roman"/>
                <w:color w:val="000000"/>
                <w:szCs w:val="24"/>
              </w:rPr>
            </w:pPr>
            <w:r w:rsidRPr="003C6205">
              <w:rPr>
                <w:rFonts w:eastAsia="Times New Roman" w:cs="Times New Roman"/>
                <w:color w:val="000000"/>
                <w:szCs w:val="24"/>
              </w:rPr>
              <w:t> </w:t>
            </w:r>
          </w:p>
        </w:tc>
        <w:tc>
          <w:tcPr>
            <w:tcW w:w="1124" w:type="dxa"/>
            <w:shd w:val="clear" w:color="auto" w:fill="948A54" w:themeFill="background2" w:themeFillShade="80"/>
            <w:noWrap/>
            <w:hideMark/>
          </w:tcPr>
          <w:p w:rsidR="001D629C" w:rsidRPr="003C6205" w:rsidRDefault="001D629C" w:rsidP="001D629C">
            <w:pPr>
              <w:jc w:val="right"/>
              <w:rPr>
                <w:rFonts w:eastAsia="Times New Roman" w:cs="Times New Roman"/>
                <w:color w:val="000000"/>
                <w:szCs w:val="24"/>
              </w:rPr>
            </w:pPr>
            <w:r w:rsidRPr="003C6205">
              <w:rPr>
                <w:rFonts w:eastAsia="Times New Roman" w:cs="Times New Roman"/>
                <w:color w:val="000000"/>
                <w:szCs w:val="24"/>
              </w:rPr>
              <w:t> </w:t>
            </w:r>
          </w:p>
        </w:tc>
        <w:tc>
          <w:tcPr>
            <w:tcW w:w="1124" w:type="dxa"/>
            <w:shd w:val="clear" w:color="auto" w:fill="948A54" w:themeFill="background2" w:themeFillShade="80"/>
            <w:noWrap/>
            <w:hideMark/>
          </w:tcPr>
          <w:p w:rsidR="001D629C" w:rsidRPr="003C6205" w:rsidRDefault="001D629C" w:rsidP="001D629C">
            <w:pPr>
              <w:jc w:val="right"/>
              <w:rPr>
                <w:rFonts w:eastAsia="Times New Roman" w:cs="Times New Roman"/>
                <w:color w:val="000000"/>
                <w:szCs w:val="24"/>
              </w:rPr>
            </w:pPr>
            <w:r w:rsidRPr="003C6205">
              <w:rPr>
                <w:rFonts w:eastAsia="Times New Roman" w:cs="Times New Roman"/>
                <w:color w:val="000000"/>
                <w:szCs w:val="24"/>
              </w:rPr>
              <w:t> </w:t>
            </w:r>
          </w:p>
        </w:tc>
        <w:tc>
          <w:tcPr>
            <w:tcW w:w="1124" w:type="dxa"/>
            <w:shd w:val="clear" w:color="auto" w:fill="948A54" w:themeFill="background2" w:themeFillShade="80"/>
            <w:noWrap/>
            <w:hideMark/>
          </w:tcPr>
          <w:p w:rsidR="001D629C" w:rsidRPr="003C6205" w:rsidRDefault="001D629C" w:rsidP="001D629C">
            <w:pPr>
              <w:jc w:val="right"/>
              <w:rPr>
                <w:rFonts w:eastAsia="Times New Roman" w:cs="Times New Roman"/>
                <w:color w:val="000000"/>
                <w:szCs w:val="24"/>
              </w:rPr>
            </w:pPr>
            <w:r w:rsidRPr="003C6205">
              <w:rPr>
                <w:rFonts w:eastAsia="Times New Roman" w:cs="Times New Roman"/>
                <w:color w:val="000000"/>
                <w:szCs w:val="24"/>
              </w:rPr>
              <w:t> </w:t>
            </w:r>
          </w:p>
        </w:tc>
        <w:tc>
          <w:tcPr>
            <w:tcW w:w="1124" w:type="dxa"/>
            <w:shd w:val="clear" w:color="auto" w:fill="948A54" w:themeFill="background2" w:themeFillShade="80"/>
            <w:noWrap/>
            <w:hideMark/>
          </w:tcPr>
          <w:p w:rsidR="001D629C" w:rsidRPr="003C6205" w:rsidRDefault="001D629C" w:rsidP="001D629C">
            <w:pPr>
              <w:jc w:val="right"/>
              <w:rPr>
                <w:rFonts w:eastAsia="Times New Roman" w:cs="Times New Roman"/>
                <w:color w:val="000000"/>
                <w:szCs w:val="24"/>
              </w:rPr>
            </w:pPr>
            <w:r w:rsidRPr="003C6205">
              <w:rPr>
                <w:rFonts w:eastAsia="Times New Roman" w:cs="Times New Roman"/>
                <w:color w:val="000000"/>
                <w:szCs w:val="24"/>
              </w:rPr>
              <w:t> </w:t>
            </w:r>
          </w:p>
        </w:tc>
      </w:tr>
      <w:tr w:rsidR="001D629C" w:rsidRPr="003C6205" w:rsidTr="001D629C">
        <w:trPr>
          <w:trHeight w:val="315"/>
        </w:trPr>
        <w:tc>
          <w:tcPr>
            <w:tcW w:w="3320" w:type="dxa"/>
            <w:shd w:val="clear" w:color="auto" w:fill="948A54" w:themeFill="background2" w:themeFillShade="80"/>
            <w:noWrap/>
            <w:hideMark/>
          </w:tcPr>
          <w:p w:rsidR="001D629C" w:rsidRPr="003C6205" w:rsidRDefault="001D629C" w:rsidP="001D629C">
            <w:pPr>
              <w:rPr>
                <w:rFonts w:eastAsia="Times New Roman" w:cs="Times New Roman"/>
                <w:color w:val="000000"/>
                <w:szCs w:val="24"/>
              </w:rPr>
            </w:pPr>
            <w:r w:rsidRPr="003C6205">
              <w:rPr>
                <w:rFonts w:eastAsia="Times New Roman" w:cs="Times New Roman"/>
                <w:color w:val="000000"/>
                <w:szCs w:val="24"/>
              </w:rPr>
              <w:t xml:space="preserve"> Operating profit margin ([Operating  profit /Net sales]*100) </w:t>
            </w:r>
          </w:p>
        </w:tc>
        <w:tc>
          <w:tcPr>
            <w:tcW w:w="1124" w:type="dxa"/>
            <w:shd w:val="clear" w:color="auto" w:fill="948A54" w:themeFill="background2" w:themeFillShade="80"/>
            <w:noWrap/>
            <w:hideMark/>
          </w:tcPr>
          <w:p w:rsidR="001D629C" w:rsidRPr="003C6205" w:rsidRDefault="001D629C" w:rsidP="001D629C">
            <w:pPr>
              <w:jc w:val="right"/>
              <w:rPr>
                <w:rFonts w:eastAsia="Times New Roman" w:cs="Times New Roman"/>
                <w:color w:val="000000"/>
                <w:szCs w:val="24"/>
              </w:rPr>
            </w:pPr>
            <w:r w:rsidRPr="003C6205">
              <w:rPr>
                <w:rFonts w:eastAsia="Times New Roman" w:cs="Times New Roman"/>
                <w:color w:val="000000"/>
                <w:szCs w:val="24"/>
              </w:rPr>
              <w:t>15%</w:t>
            </w:r>
          </w:p>
        </w:tc>
        <w:tc>
          <w:tcPr>
            <w:tcW w:w="1124" w:type="dxa"/>
            <w:shd w:val="clear" w:color="auto" w:fill="948A54" w:themeFill="background2" w:themeFillShade="80"/>
            <w:noWrap/>
            <w:hideMark/>
          </w:tcPr>
          <w:p w:rsidR="001D629C" w:rsidRPr="003C6205" w:rsidRDefault="001D629C" w:rsidP="001D629C">
            <w:pPr>
              <w:jc w:val="right"/>
              <w:rPr>
                <w:rFonts w:eastAsia="Times New Roman" w:cs="Times New Roman"/>
                <w:color w:val="000000"/>
                <w:szCs w:val="24"/>
              </w:rPr>
            </w:pPr>
            <w:r w:rsidRPr="003C6205">
              <w:rPr>
                <w:rFonts w:eastAsia="Times New Roman" w:cs="Times New Roman"/>
                <w:color w:val="000000"/>
                <w:szCs w:val="24"/>
              </w:rPr>
              <w:t>16%</w:t>
            </w:r>
          </w:p>
        </w:tc>
        <w:tc>
          <w:tcPr>
            <w:tcW w:w="1124" w:type="dxa"/>
            <w:shd w:val="clear" w:color="auto" w:fill="948A54" w:themeFill="background2" w:themeFillShade="80"/>
            <w:noWrap/>
            <w:hideMark/>
          </w:tcPr>
          <w:p w:rsidR="001D629C" w:rsidRPr="003C6205" w:rsidRDefault="001D629C" w:rsidP="001D629C">
            <w:pPr>
              <w:jc w:val="right"/>
              <w:rPr>
                <w:rFonts w:eastAsia="Times New Roman" w:cs="Times New Roman"/>
                <w:color w:val="000000"/>
                <w:szCs w:val="24"/>
              </w:rPr>
            </w:pPr>
            <w:r w:rsidRPr="003C6205">
              <w:rPr>
                <w:rFonts w:eastAsia="Times New Roman" w:cs="Times New Roman"/>
                <w:color w:val="000000"/>
                <w:szCs w:val="24"/>
              </w:rPr>
              <w:t>17%</w:t>
            </w:r>
          </w:p>
        </w:tc>
        <w:tc>
          <w:tcPr>
            <w:tcW w:w="1124" w:type="dxa"/>
            <w:shd w:val="clear" w:color="auto" w:fill="948A54" w:themeFill="background2" w:themeFillShade="80"/>
            <w:noWrap/>
            <w:hideMark/>
          </w:tcPr>
          <w:p w:rsidR="001D629C" w:rsidRPr="003C6205" w:rsidRDefault="001D629C" w:rsidP="001D629C">
            <w:pPr>
              <w:jc w:val="right"/>
              <w:rPr>
                <w:rFonts w:eastAsia="Times New Roman" w:cs="Times New Roman"/>
                <w:color w:val="000000"/>
                <w:szCs w:val="24"/>
              </w:rPr>
            </w:pPr>
            <w:r w:rsidRPr="003C6205">
              <w:rPr>
                <w:rFonts w:eastAsia="Times New Roman" w:cs="Times New Roman"/>
                <w:color w:val="000000"/>
                <w:szCs w:val="24"/>
              </w:rPr>
              <w:t>19%</w:t>
            </w:r>
          </w:p>
        </w:tc>
        <w:tc>
          <w:tcPr>
            <w:tcW w:w="1124" w:type="dxa"/>
            <w:shd w:val="clear" w:color="auto" w:fill="948A54" w:themeFill="background2" w:themeFillShade="80"/>
            <w:noWrap/>
            <w:hideMark/>
          </w:tcPr>
          <w:p w:rsidR="001D629C" w:rsidRPr="003C6205" w:rsidRDefault="001D629C" w:rsidP="001D629C">
            <w:pPr>
              <w:jc w:val="right"/>
              <w:rPr>
                <w:rFonts w:eastAsia="Times New Roman" w:cs="Times New Roman"/>
                <w:color w:val="000000"/>
                <w:szCs w:val="24"/>
              </w:rPr>
            </w:pPr>
            <w:r w:rsidRPr="003C6205">
              <w:rPr>
                <w:rFonts w:eastAsia="Times New Roman" w:cs="Times New Roman"/>
                <w:color w:val="000000"/>
                <w:szCs w:val="24"/>
              </w:rPr>
              <w:t>20%</w:t>
            </w:r>
          </w:p>
        </w:tc>
      </w:tr>
    </w:tbl>
    <w:p w:rsidR="001D629C" w:rsidRDefault="001D629C" w:rsidP="001D629C"/>
    <w:p w:rsidR="001D629C" w:rsidRDefault="001D629C" w:rsidP="001D629C">
      <w:r>
        <w:t xml:space="preserve">The operating profit margin has registered a steady growing trend over years staring from 2012-2016 which is the period of study. In 2013 the revenue earnings of the organization declined by an amount of 2% over the previous year due to the negative impacts of the foreign exchange movements and also due to the reduction of the transit revenue. But in 2013 the operating profit margin of the organization has increased as the organization has managed to control their operation expenses due to the successful application of the cost transformation </w:t>
      </w:r>
      <w:proofErr w:type="spellStart"/>
      <w:r>
        <w:t>programme</w:t>
      </w:r>
      <w:proofErr w:type="spellEnd"/>
      <w:r>
        <w:t xml:space="preserve">. </w:t>
      </w:r>
      <w:proofErr w:type="gramStart"/>
      <w:r>
        <w:t>However from 2014 onwards the business has registered a sustainable and profitable growth of revenue by making useful investments in expanding the bandwidth and enhancing the speed of broadband</w:t>
      </w:r>
      <w:r w:rsidRPr="009216F2">
        <w:t xml:space="preserve"> (Btplc.com, 2014)</w:t>
      </w:r>
      <w:r>
        <w:t>.</w:t>
      </w:r>
      <w:proofErr w:type="gramEnd"/>
      <w:r>
        <w:t xml:space="preserve"> With growing revenue and controlled growth of the operational expenses that have generated a slow but stable growth of operational </w:t>
      </w:r>
      <w:proofErr w:type="gramStart"/>
      <w:r>
        <w:t>profit(</w:t>
      </w:r>
      <w:proofErr w:type="gramEnd"/>
      <w:r>
        <w:t>that was around 3000 million pound during the study period of 2014-2016) the business has registered a stable growth in the operating profit margin of the organization</w:t>
      </w:r>
    </w:p>
    <w:p w:rsidR="001D629C" w:rsidRDefault="001D629C" w:rsidP="001D629C">
      <w:pPr>
        <w:rPr>
          <w:b/>
        </w:rPr>
      </w:pPr>
      <w:r w:rsidRPr="003F09B6">
        <w:rPr>
          <w:b/>
        </w:rPr>
        <w:t>Net Profit Margin:</w:t>
      </w:r>
    </w:p>
    <w:tbl>
      <w:tblPr>
        <w:tblW w:w="8960" w:type="dxa"/>
        <w:tblInd w:w="98" w:type="dxa"/>
        <w:tblLook w:val="04A0" w:firstRow="1" w:lastRow="0" w:firstColumn="1" w:lastColumn="0" w:noHBand="0" w:noVBand="1"/>
      </w:tblPr>
      <w:tblGrid>
        <w:gridCol w:w="3510"/>
        <w:gridCol w:w="1090"/>
        <w:gridCol w:w="1090"/>
        <w:gridCol w:w="1090"/>
        <w:gridCol w:w="1090"/>
        <w:gridCol w:w="1090"/>
      </w:tblGrid>
      <w:tr w:rsidR="001D629C" w:rsidRPr="000C767F" w:rsidTr="001D629C">
        <w:trPr>
          <w:trHeight w:val="330"/>
        </w:trPr>
        <w:tc>
          <w:tcPr>
            <w:tcW w:w="8960" w:type="dxa"/>
            <w:gridSpan w:val="6"/>
            <w:tcBorders>
              <w:top w:val="single" w:sz="8" w:space="0" w:color="auto"/>
              <w:left w:val="single" w:sz="8" w:space="0" w:color="auto"/>
              <w:bottom w:val="single" w:sz="8" w:space="0" w:color="auto"/>
              <w:right w:val="single" w:sz="8" w:space="0" w:color="000000"/>
            </w:tcBorders>
            <w:shd w:val="clear" w:color="000000" w:fill="FFC000"/>
            <w:noWrap/>
            <w:vAlign w:val="bottom"/>
            <w:hideMark/>
          </w:tcPr>
          <w:p w:rsidR="001D629C" w:rsidRPr="000C767F" w:rsidRDefault="001D629C" w:rsidP="001D629C">
            <w:pPr>
              <w:spacing w:after="0" w:line="240" w:lineRule="auto"/>
              <w:jc w:val="center"/>
              <w:rPr>
                <w:rFonts w:eastAsia="Times New Roman" w:cs="Times New Roman"/>
                <w:b/>
                <w:bCs/>
                <w:color w:val="000000"/>
                <w:szCs w:val="24"/>
              </w:rPr>
            </w:pPr>
            <w:r w:rsidRPr="000C767F">
              <w:rPr>
                <w:rFonts w:eastAsia="Times New Roman" w:cs="Times New Roman"/>
                <w:b/>
                <w:bCs/>
                <w:color w:val="000000"/>
                <w:szCs w:val="24"/>
              </w:rPr>
              <w:t>British telecom(BT) Ratio Analysis</w:t>
            </w:r>
          </w:p>
        </w:tc>
      </w:tr>
      <w:tr w:rsidR="001D629C" w:rsidRPr="000C767F" w:rsidTr="001D629C">
        <w:trPr>
          <w:trHeight w:val="315"/>
        </w:trPr>
        <w:tc>
          <w:tcPr>
            <w:tcW w:w="3510" w:type="dxa"/>
            <w:tcBorders>
              <w:top w:val="nil"/>
              <w:left w:val="single" w:sz="4" w:space="0" w:color="auto"/>
              <w:bottom w:val="single" w:sz="4" w:space="0" w:color="auto"/>
              <w:right w:val="single" w:sz="4" w:space="0" w:color="auto"/>
            </w:tcBorders>
            <w:shd w:val="clear" w:color="000000" w:fill="DBE5F1"/>
            <w:noWrap/>
            <w:vAlign w:val="bottom"/>
            <w:hideMark/>
          </w:tcPr>
          <w:p w:rsidR="001D629C" w:rsidRPr="000C767F" w:rsidRDefault="001D629C" w:rsidP="001D629C">
            <w:pPr>
              <w:spacing w:after="0" w:line="240" w:lineRule="auto"/>
              <w:rPr>
                <w:rFonts w:eastAsia="Times New Roman" w:cs="Times New Roman"/>
                <w:b/>
                <w:bCs/>
                <w:color w:val="000000"/>
                <w:szCs w:val="24"/>
              </w:rPr>
            </w:pPr>
            <w:r w:rsidRPr="000C767F">
              <w:rPr>
                <w:rFonts w:eastAsia="Times New Roman" w:cs="Times New Roman"/>
                <w:b/>
                <w:bCs/>
                <w:color w:val="000000"/>
                <w:szCs w:val="24"/>
              </w:rPr>
              <w:t xml:space="preserve">Items of financial statement  </w:t>
            </w:r>
          </w:p>
        </w:tc>
        <w:tc>
          <w:tcPr>
            <w:tcW w:w="1090" w:type="dxa"/>
            <w:tcBorders>
              <w:top w:val="nil"/>
              <w:left w:val="nil"/>
              <w:bottom w:val="single" w:sz="4" w:space="0" w:color="auto"/>
              <w:right w:val="single" w:sz="4" w:space="0" w:color="auto"/>
            </w:tcBorders>
            <w:shd w:val="clear" w:color="000000" w:fill="DBE5F1"/>
            <w:noWrap/>
            <w:vAlign w:val="bottom"/>
            <w:hideMark/>
          </w:tcPr>
          <w:p w:rsidR="001D629C" w:rsidRPr="000C767F" w:rsidRDefault="001D629C" w:rsidP="001D629C">
            <w:pPr>
              <w:spacing w:after="0" w:line="240" w:lineRule="auto"/>
              <w:rPr>
                <w:rFonts w:eastAsia="Times New Roman" w:cs="Times New Roman"/>
                <w:color w:val="000000"/>
                <w:szCs w:val="24"/>
              </w:rPr>
            </w:pPr>
            <w:r w:rsidRPr="000C767F">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1D629C" w:rsidRPr="000C767F" w:rsidRDefault="001D629C" w:rsidP="001D629C">
            <w:pPr>
              <w:spacing w:after="0" w:line="240" w:lineRule="auto"/>
              <w:rPr>
                <w:rFonts w:eastAsia="Times New Roman" w:cs="Times New Roman"/>
                <w:color w:val="000000"/>
                <w:szCs w:val="24"/>
              </w:rPr>
            </w:pPr>
            <w:r w:rsidRPr="000C767F">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1D629C" w:rsidRPr="000C767F" w:rsidRDefault="001D629C" w:rsidP="001D629C">
            <w:pPr>
              <w:spacing w:after="0" w:line="240" w:lineRule="auto"/>
              <w:rPr>
                <w:rFonts w:eastAsia="Times New Roman" w:cs="Times New Roman"/>
                <w:color w:val="000000"/>
                <w:szCs w:val="24"/>
              </w:rPr>
            </w:pPr>
            <w:r w:rsidRPr="000C767F">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1D629C" w:rsidRPr="000C767F" w:rsidRDefault="001D629C" w:rsidP="001D629C">
            <w:pPr>
              <w:spacing w:after="0" w:line="240" w:lineRule="auto"/>
              <w:rPr>
                <w:rFonts w:eastAsia="Times New Roman" w:cs="Times New Roman"/>
                <w:color w:val="000000"/>
                <w:szCs w:val="24"/>
              </w:rPr>
            </w:pPr>
            <w:r w:rsidRPr="000C767F">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1D629C" w:rsidRPr="000C767F" w:rsidRDefault="001D629C" w:rsidP="001D629C">
            <w:pPr>
              <w:spacing w:after="0" w:line="240" w:lineRule="auto"/>
              <w:rPr>
                <w:rFonts w:eastAsia="Times New Roman" w:cs="Times New Roman"/>
                <w:color w:val="000000"/>
                <w:szCs w:val="24"/>
              </w:rPr>
            </w:pPr>
            <w:r w:rsidRPr="000C767F">
              <w:rPr>
                <w:rFonts w:eastAsia="Times New Roman" w:cs="Times New Roman"/>
                <w:color w:val="000000"/>
                <w:szCs w:val="24"/>
              </w:rPr>
              <w:t>£,million</w:t>
            </w:r>
          </w:p>
        </w:tc>
      </w:tr>
      <w:tr w:rsidR="001D629C" w:rsidRPr="000C767F" w:rsidTr="001D629C">
        <w:trPr>
          <w:trHeight w:val="315"/>
        </w:trPr>
        <w:tc>
          <w:tcPr>
            <w:tcW w:w="3510" w:type="dxa"/>
            <w:tcBorders>
              <w:top w:val="nil"/>
              <w:left w:val="single" w:sz="4" w:space="0" w:color="auto"/>
              <w:bottom w:val="single" w:sz="4" w:space="0" w:color="auto"/>
              <w:right w:val="single" w:sz="4" w:space="0" w:color="auto"/>
            </w:tcBorders>
            <w:shd w:val="clear" w:color="000000" w:fill="FFC000"/>
            <w:noWrap/>
            <w:vAlign w:val="bottom"/>
            <w:hideMark/>
          </w:tcPr>
          <w:p w:rsidR="001D629C" w:rsidRPr="000C767F" w:rsidRDefault="001D629C" w:rsidP="001D629C">
            <w:pPr>
              <w:spacing w:after="0" w:line="240" w:lineRule="auto"/>
              <w:rPr>
                <w:rFonts w:eastAsia="Times New Roman" w:cs="Times New Roman"/>
                <w:b/>
                <w:bCs/>
                <w:color w:val="000000"/>
                <w:szCs w:val="24"/>
              </w:rPr>
            </w:pPr>
            <w:r w:rsidRPr="000C767F">
              <w:rPr>
                <w:rFonts w:eastAsia="Times New Roman" w:cs="Times New Roman"/>
                <w:b/>
                <w:bCs/>
                <w:color w:val="000000"/>
                <w:szCs w:val="24"/>
              </w:rPr>
              <w:t>Years</w:t>
            </w:r>
          </w:p>
        </w:tc>
        <w:tc>
          <w:tcPr>
            <w:tcW w:w="1090" w:type="dxa"/>
            <w:tcBorders>
              <w:top w:val="nil"/>
              <w:left w:val="nil"/>
              <w:bottom w:val="single" w:sz="4" w:space="0" w:color="auto"/>
              <w:right w:val="single" w:sz="4" w:space="0" w:color="auto"/>
            </w:tcBorders>
            <w:shd w:val="clear" w:color="000000" w:fill="FFC000"/>
            <w:noWrap/>
            <w:vAlign w:val="bottom"/>
            <w:hideMark/>
          </w:tcPr>
          <w:p w:rsidR="001D629C" w:rsidRPr="000C767F" w:rsidRDefault="001D629C" w:rsidP="001D629C">
            <w:pPr>
              <w:spacing w:after="0" w:line="240" w:lineRule="auto"/>
              <w:jc w:val="right"/>
              <w:rPr>
                <w:rFonts w:eastAsia="Times New Roman" w:cs="Times New Roman"/>
                <w:b/>
                <w:bCs/>
                <w:color w:val="000000"/>
                <w:szCs w:val="24"/>
              </w:rPr>
            </w:pPr>
            <w:r w:rsidRPr="000C767F">
              <w:rPr>
                <w:rFonts w:eastAsia="Times New Roman" w:cs="Times New Roman"/>
                <w:b/>
                <w:bCs/>
                <w:color w:val="000000"/>
                <w:szCs w:val="24"/>
              </w:rPr>
              <w:t>2012</w:t>
            </w:r>
          </w:p>
        </w:tc>
        <w:tc>
          <w:tcPr>
            <w:tcW w:w="1090" w:type="dxa"/>
            <w:tcBorders>
              <w:top w:val="nil"/>
              <w:left w:val="nil"/>
              <w:bottom w:val="single" w:sz="4" w:space="0" w:color="auto"/>
              <w:right w:val="single" w:sz="4" w:space="0" w:color="auto"/>
            </w:tcBorders>
            <w:shd w:val="clear" w:color="000000" w:fill="FFC000"/>
            <w:noWrap/>
            <w:vAlign w:val="bottom"/>
            <w:hideMark/>
          </w:tcPr>
          <w:p w:rsidR="001D629C" w:rsidRPr="000C767F" w:rsidRDefault="001D629C" w:rsidP="001D629C">
            <w:pPr>
              <w:spacing w:after="0" w:line="240" w:lineRule="auto"/>
              <w:jc w:val="right"/>
              <w:rPr>
                <w:rFonts w:eastAsia="Times New Roman" w:cs="Times New Roman"/>
                <w:b/>
                <w:bCs/>
                <w:color w:val="000000"/>
                <w:szCs w:val="24"/>
              </w:rPr>
            </w:pPr>
            <w:r w:rsidRPr="000C767F">
              <w:rPr>
                <w:rFonts w:eastAsia="Times New Roman" w:cs="Times New Roman"/>
                <w:b/>
                <w:bCs/>
                <w:color w:val="000000"/>
                <w:szCs w:val="24"/>
              </w:rPr>
              <w:t>2013</w:t>
            </w:r>
          </w:p>
        </w:tc>
        <w:tc>
          <w:tcPr>
            <w:tcW w:w="1090" w:type="dxa"/>
            <w:tcBorders>
              <w:top w:val="nil"/>
              <w:left w:val="nil"/>
              <w:bottom w:val="single" w:sz="4" w:space="0" w:color="auto"/>
              <w:right w:val="single" w:sz="4" w:space="0" w:color="auto"/>
            </w:tcBorders>
            <w:shd w:val="clear" w:color="000000" w:fill="FFC000"/>
            <w:noWrap/>
            <w:vAlign w:val="bottom"/>
            <w:hideMark/>
          </w:tcPr>
          <w:p w:rsidR="001D629C" w:rsidRPr="000C767F" w:rsidRDefault="001D629C" w:rsidP="001D629C">
            <w:pPr>
              <w:spacing w:after="0" w:line="240" w:lineRule="auto"/>
              <w:jc w:val="right"/>
              <w:rPr>
                <w:rFonts w:eastAsia="Times New Roman" w:cs="Times New Roman"/>
                <w:b/>
                <w:bCs/>
                <w:color w:val="000000"/>
                <w:szCs w:val="24"/>
              </w:rPr>
            </w:pPr>
            <w:r w:rsidRPr="000C767F">
              <w:rPr>
                <w:rFonts w:eastAsia="Times New Roman" w:cs="Times New Roman"/>
                <w:b/>
                <w:bCs/>
                <w:color w:val="000000"/>
                <w:szCs w:val="24"/>
              </w:rPr>
              <w:t>2014</w:t>
            </w:r>
          </w:p>
        </w:tc>
        <w:tc>
          <w:tcPr>
            <w:tcW w:w="1090" w:type="dxa"/>
            <w:tcBorders>
              <w:top w:val="nil"/>
              <w:left w:val="nil"/>
              <w:bottom w:val="single" w:sz="4" w:space="0" w:color="auto"/>
              <w:right w:val="single" w:sz="4" w:space="0" w:color="auto"/>
            </w:tcBorders>
            <w:shd w:val="clear" w:color="000000" w:fill="FFC000"/>
            <w:noWrap/>
            <w:vAlign w:val="bottom"/>
            <w:hideMark/>
          </w:tcPr>
          <w:p w:rsidR="001D629C" w:rsidRPr="000C767F" w:rsidRDefault="001D629C" w:rsidP="001D629C">
            <w:pPr>
              <w:spacing w:after="0" w:line="240" w:lineRule="auto"/>
              <w:jc w:val="right"/>
              <w:rPr>
                <w:rFonts w:eastAsia="Times New Roman" w:cs="Times New Roman"/>
                <w:b/>
                <w:bCs/>
                <w:color w:val="000000"/>
                <w:szCs w:val="24"/>
              </w:rPr>
            </w:pPr>
            <w:r w:rsidRPr="000C767F">
              <w:rPr>
                <w:rFonts w:eastAsia="Times New Roman" w:cs="Times New Roman"/>
                <w:b/>
                <w:bCs/>
                <w:color w:val="000000"/>
                <w:szCs w:val="24"/>
              </w:rPr>
              <w:t>2015</w:t>
            </w:r>
          </w:p>
        </w:tc>
        <w:tc>
          <w:tcPr>
            <w:tcW w:w="1090" w:type="dxa"/>
            <w:tcBorders>
              <w:top w:val="nil"/>
              <w:left w:val="nil"/>
              <w:bottom w:val="single" w:sz="4" w:space="0" w:color="auto"/>
              <w:right w:val="single" w:sz="4" w:space="0" w:color="auto"/>
            </w:tcBorders>
            <w:shd w:val="clear" w:color="000000" w:fill="FFC000"/>
            <w:noWrap/>
            <w:vAlign w:val="bottom"/>
            <w:hideMark/>
          </w:tcPr>
          <w:p w:rsidR="001D629C" w:rsidRPr="000C767F" w:rsidRDefault="001D629C" w:rsidP="001D629C">
            <w:pPr>
              <w:spacing w:after="0" w:line="240" w:lineRule="auto"/>
              <w:jc w:val="right"/>
              <w:rPr>
                <w:rFonts w:eastAsia="Times New Roman" w:cs="Times New Roman"/>
                <w:b/>
                <w:bCs/>
                <w:color w:val="000000"/>
                <w:szCs w:val="24"/>
              </w:rPr>
            </w:pPr>
            <w:r w:rsidRPr="000C767F">
              <w:rPr>
                <w:rFonts w:eastAsia="Times New Roman" w:cs="Times New Roman"/>
                <w:b/>
                <w:bCs/>
                <w:color w:val="000000"/>
                <w:szCs w:val="24"/>
              </w:rPr>
              <w:t>2016</w:t>
            </w:r>
          </w:p>
        </w:tc>
      </w:tr>
      <w:tr w:rsidR="001D629C" w:rsidRPr="000C767F" w:rsidTr="001D629C">
        <w:trPr>
          <w:trHeight w:val="315"/>
        </w:trPr>
        <w:tc>
          <w:tcPr>
            <w:tcW w:w="3510" w:type="dxa"/>
            <w:tcBorders>
              <w:top w:val="nil"/>
              <w:left w:val="single" w:sz="4" w:space="0" w:color="auto"/>
              <w:bottom w:val="single" w:sz="4" w:space="0" w:color="auto"/>
              <w:right w:val="single" w:sz="4" w:space="0" w:color="auto"/>
            </w:tcBorders>
            <w:shd w:val="clear" w:color="000000" w:fill="C5BE97"/>
            <w:noWrap/>
            <w:vAlign w:val="bottom"/>
            <w:hideMark/>
          </w:tcPr>
          <w:p w:rsidR="001D629C" w:rsidRPr="000C767F" w:rsidRDefault="001D629C" w:rsidP="001D629C">
            <w:pPr>
              <w:spacing w:after="0" w:line="240" w:lineRule="auto"/>
              <w:rPr>
                <w:rFonts w:eastAsia="Times New Roman" w:cs="Times New Roman"/>
                <w:color w:val="000000"/>
                <w:szCs w:val="24"/>
              </w:rPr>
            </w:pPr>
            <w:r w:rsidRPr="000C767F">
              <w:rPr>
                <w:rFonts w:eastAsia="Times New Roman" w:cs="Times New Roman"/>
                <w:color w:val="000000"/>
                <w:szCs w:val="24"/>
              </w:rPr>
              <w:t>Total revenue earned</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0C767F" w:rsidRDefault="001D629C" w:rsidP="001D629C">
            <w:pPr>
              <w:spacing w:after="0" w:line="240" w:lineRule="auto"/>
              <w:jc w:val="right"/>
              <w:rPr>
                <w:rFonts w:eastAsia="Times New Roman" w:cs="Times New Roman"/>
                <w:color w:val="000000"/>
                <w:szCs w:val="24"/>
              </w:rPr>
            </w:pPr>
            <w:r w:rsidRPr="000C767F">
              <w:rPr>
                <w:rFonts w:eastAsia="Times New Roman" w:cs="Times New Roman"/>
                <w:color w:val="000000"/>
                <w:szCs w:val="24"/>
              </w:rPr>
              <w:t>18,987</w:t>
            </w:r>
          </w:p>
        </w:tc>
        <w:tc>
          <w:tcPr>
            <w:tcW w:w="1090" w:type="dxa"/>
            <w:tcBorders>
              <w:top w:val="nil"/>
              <w:left w:val="nil"/>
              <w:bottom w:val="nil"/>
              <w:right w:val="nil"/>
            </w:tcBorders>
            <w:shd w:val="clear" w:color="000000" w:fill="C5BE97"/>
            <w:noWrap/>
            <w:vAlign w:val="bottom"/>
            <w:hideMark/>
          </w:tcPr>
          <w:p w:rsidR="001D629C" w:rsidRPr="000C767F" w:rsidRDefault="001D629C" w:rsidP="001D629C">
            <w:pPr>
              <w:spacing w:after="0" w:line="240" w:lineRule="auto"/>
              <w:jc w:val="right"/>
              <w:rPr>
                <w:rFonts w:eastAsia="Times New Roman" w:cs="Times New Roman"/>
                <w:color w:val="000000"/>
                <w:szCs w:val="24"/>
              </w:rPr>
            </w:pPr>
            <w:r w:rsidRPr="000C767F">
              <w:rPr>
                <w:rFonts w:eastAsia="Times New Roman" w:cs="Times New Roman"/>
                <w:color w:val="000000"/>
                <w:szCs w:val="24"/>
              </w:rPr>
              <w:t>18,103</w:t>
            </w:r>
          </w:p>
        </w:tc>
        <w:tc>
          <w:tcPr>
            <w:tcW w:w="1090" w:type="dxa"/>
            <w:tcBorders>
              <w:top w:val="nil"/>
              <w:left w:val="single" w:sz="4" w:space="0" w:color="auto"/>
              <w:bottom w:val="single" w:sz="4" w:space="0" w:color="auto"/>
              <w:right w:val="single" w:sz="4" w:space="0" w:color="auto"/>
            </w:tcBorders>
            <w:shd w:val="clear" w:color="000000" w:fill="C5BE97"/>
            <w:noWrap/>
            <w:vAlign w:val="bottom"/>
            <w:hideMark/>
          </w:tcPr>
          <w:p w:rsidR="001D629C" w:rsidRPr="000C767F" w:rsidRDefault="001D629C" w:rsidP="001D629C">
            <w:pPr>
              <w:spacing w:after="0" w:line="240" w:lineRule="auto"/>
              <w:jc w:val="right"/>
              <w:rPr>
                <w:rFonts w:eastAsia="Times New Roman" w:cs="Times New Roman"/>
                <w:color w:val="000000"/>
                <w:szCs w:val="24"/>
              </w:rPr>
            </w:pPr>
            <w:r w:rsidRPr="000C767F">
              <w:rPr>
                <w:rFonts w:eastAsia="Times New Roman" w:cs="Times New Roman"/>
                <w:color w:val="000000"/>
                <w:szCs w:val="24"/>
              </w:rPr>
              <w:t>18,287</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0C767F" w:rsidRDefault="001D629C" w:rsidP="001D629C">
            <w:pPr>
              <w:spacing w:after="0" w:line="240" w:lineRule="auto"/>
              <w:jc w:val="right"/>
              <w:rPr>
                <w:rFonts w:eastAsia="Times New Roman" w:cs="Times New Roman"/>
                <w:color w:val="000000"/>
                <w:szCs w:val="24"/>
              </w:rPr>
            </w:pPr>
            <w:r w:rsidRPr="000C767F">
              <w:rPr>
                <w:rFonts w:eastAsia="Times New Roman" w:cs="Times New Roman"/>
                <w:color w:val="000000"/>
                <w:szCs w:val="24"/>
              </w:rPr>
              <w:t>17,979</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0C767F" w:rsidRDefault="001D629C" w:rsidP="001D629C">
            <w:pPr>
              <w:spacing w:after="0" w:line="240" w:lineRule="auto"/>
              <w:jc w:val="right"/>
              <w:rPr>
                <w:rFonts w:eastAsia="Times New Roman" w:cs="Times New Roman"/>
                <w:color w:val="000000"/>
                <w:szCs w:val="24"/>
              </w:rPr>
            </w:pPr>
            <w:r w:rsidRPr="000C767F">
              <w:rPr>
                <w:rFonts w:eastAsia="Times New Roman" w:cs="Times New Roman"/>
                <w:color w:val="000000"/>
                <w:szCs w:val="24"/>
              </w:rPr>
              <w:t>19,042</w:t>
            </w:r>
          </w:p>
        </w:tc>
      </w:tr>
      <w:tr w:rsidR="001D629C" w:rsidRPr="000C767F" w:rsidTr="001D629C">
        <w:trPr>
          <w:trHeight w:val="315"/>
        </w:trPr>
        <w:tc>
          <w:tcPr>
            <w:tcW w:w="3510" w:type="dxa"/>
            <w:tcBorders>
              <w:top w:val="nil"/>
              <w:left w:val="single" w:sz="4" w:space="0" w:color="auto"/>
              <w:bottom w:val="single" w:sz="4" w:space="0" w:color="auto"/>
              <w:right w:val="single" w:sz="4" w:space="0" w:color="auto"/>
            </w:tcBorders>
            <w:shd w:val="clear" w:color="000000" w:fill="C5BE97"/>
            <w:noWrap/>
            <w:vAlign w:val="bottom"/>
            <w:hideMark/>
          </w:tcPr>
          <w:p w:rsidR="001D629C" w:rsidRPr="000C767F" w:rsidRDefault="001D629C" w:rsidP="001D629C">
            <w:pPr>
              <w:spacing w:after="0" w:line="240" w:lineRule="auto"/>
              <w:rPr>
                <w:rFonts w:eastAsia="Times New Roman" w:cs="Times New Roman"/>
                <w:color w:val="000000"/>
                <w:szCs w:val="24"/>
              </w:rPr>
            </w:pPr>
            <w:r w:rsidRPr="000C767F">
              <w:rPr>
                <w:rFonts w:eastAsia="Times New Roman" w:cs="Times New Roman"/>
                <w:color w:val="000000"/>
                <w:szCs w:val="24"/>
              </w:rPr>
              <w:t>Net profit, PAT</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0C767F" w:rsidRDefault="001D629C" w:rsidP="001D629C">
            <w:pPr>
              <w:spacing w:after="0" w:line="240" w:lineRule="auto"/>
              <w:jc w:val="right"/>
              <w:rPr>
                <w:rFonts w:eastAsia="Times New Roman" w:cs="Times New Roman"/>
                <w:color w:val="000000"/>
                <w:szCs w:val="24"/>
              </w:rPr>
            </w:pPr>
            <w:r w:rsidRPr="000C767F">
              <w:rPr>
                <w:rFonts w:eastAsia="Times New Roman" w:cs="Times New Roman"/>
                <w:color w:val="000000"/>
                <w:szCs w:val="24"/>
              </w:rPr>
              <w:t>1,974</w:t>
            </w:r>
          </w:p>
        </w:tc>
        <w:tc>
          <w:tcPr>
            <w:tcW w:w="1090" w:type="dxa"/>
            <w:tcBorders>
              <w:top w:val="single" w:sz="4" w:space="0" w:color="auto"/>
              <w:left w:val="nil"/>
              <w:bottom w:val="single" w:sz="4" w:space="0" w:color="auto"/>
              <w:right w:val="single" w:sz="4" w:space="0" w:color="auto"/>
            </w:tcBorders>
            <w:shd w:val="clear" w:color="000000" w:fill="C5BE97"/>
            <w:noWrap/>
            <w:vAlign w:val="bottom"/>
            <w:hideMark/>
          </w:tcPr>
          <w:p w:rsidR="001D629C" w:rsidRPr="000C767F" w:rsidRDefault="001D629C" w:rsidP="001D629C">
            <w:pPr>
              <w:spacing w:after="0" w:line="240" w:lineRule="auto"/>
              <w:jc w:val="right"/>
              <w:rPr>
                <w:rFonts w:eastAsia="Times New Roman" w:cs="Times New Roman"/>
                <w:color w:val="000000"/>
                <w:szCs w:val="24"/>
              </w:rPr>
            </w:pPr>
            <w:r w:rsidRPr="000C767F">
              <w:rPr>
                <w:rFonts w:eastAsia="Times New Roman" w:cs="Times New Roman"/>
                <w:color w:val="000000"/>
                <w:szCs w:val="24"/>
              </w:rPr>
              <w:t>2,149</w:t>
            </w:r>
          </w:p>
        </w:tc>
        <w:tc>
          <w:tcPr>
            <w:tcW w:w="1090" w:type="dxa"/>
            <w:tcBorders>
              <w:top w:val="single" w:sz="4" w:space="0" w:color="auto"/>
              <w:left w:val="nil"/>
              <w:bottom w:val="single" w:sz="4" w:space="0" w:color="auto"/>
              <w:right w:val="nil"/>
            </w:tcBorders>
            <w:shd w:val="clear" w:color="000000" w:fill="C5BE97"/>
            <w:noWrap/>
            <w:vAlign w:val="bottom"/>
            <w:hideMark/>
          </w:tcPr>
          <w:p w:rsidR="001D629C" w:rsidRPr="000C767F" w:rsidRDefault="001D629C" w:rsidP="001D629C">
            <w:pPr>
              <w:spacing w:after="0" w:line="240" w:lineRule="auto"/>
              <w:jc w:val="right"/>
              <w:rPr>
                <w:rFonts w:eastAsia="Times New Roman" w:cs="Times New Roman"/>
                <w:color w:val="000000"/>
                <w:szCs w:val="24"/>
              </w:rPr>
            </w:pPr>
            <w:r w:rsidRPr="000C767F">
              <w:rPr>
                <w:rFonts w:eastAsia="Times New Roman" w:cs="Times New Roman"/>
                <w:color w:val="000000"/>
                <w:szCs w:val="24"/>
              </w:rPr>
              <w:t>2,179</w:t>
            </w:r>
          </w:p>
        </w:tc>
        <w:tc>
          <w:tcPr>
            <w:tcW w:w="1090" w:type="dxa"/>
            <w:tcBorders>
              <w:top w:val="nil"/>
              <w:left w:val="single" w:sz="4" w:space="0" w:color="auto"/>
              <w:bottom w:val="single" w:sz="4" w:space="0" w:color="auto"/>
              <w:right w:val="single" w:sz="4" w:space="0" w:color="auto"/>
            </w:tcBorders>
            <w:shd w:val="clear" w:color="000000" w:fill="C5BE97"/>
            <w:noWrap/>
            <w:vAlign w:val="bottom"/>
            <w:hideMark/>
          </w:tcPr>
          <w:p w:rsidR="001D629C" w:rsidRPr="000C767F" w:rsidRDefault="001D629C" w:rsidP="001D629C">
            <w:pPr>
              <w:spacing w:after="0" w:line="240" w:lineRule="auto"/>
              <w:jc w:val="right"/>
              <w:rPr>
                <w:rFonts w:eastAsia="Times New Roman" w:cs="Times New Roman"/>
                <w:color w:val="000000"/>
                <w:szCs w:val="24"/>
              </w:rPr>
            </w:pPr>
            <w:r w:rsidRPr="000C767F">
              <w:rPr>
                <w:rFonts w:eastAsia="Times New Roman" w:cs="Times New Roman"/>
                <w:color w:val="000000"/>
                <w:szCs w:val="24"/>
              </w:rPr>
              <w:t>2,310</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0C767F" w:rsidRDefault="001D629C" w:rsidP="001D629C">
            <w:pPr>
              <w:spacing w:after="0" w:line="240" w:lineRule="auto"/>
              <w:jc w:val="right"/>
              <w:rPr>
                <w:rFonts w:eastAsia="Times New Roman" w:cs="Times New Roman"/>
                <w:color w:val="000000"/>
                <w:szCs w:val="24"/>
              </w:rPr>
            </w:pPr>
            <w:r w:rsidRPr="000C767F">
              <w:rPr>
                <w:rFonts w:eastAsia="Times New Roman" w:cs="Times New Roman"/>
                <w:color w:val="000000"/>
                <w:szCs w:val="24"/>
              </w:rPr>
              <w:t>2,855</w:t>
            </w:r>
          </w:p>
        </w:tc>
      </w:tr>
      <w:tr w:rsidR="001D629C" w:rsidRPr="000C767F" w:rsidTr="001D629C">
        <w:trPr>
          <w:trHeight w:val="315"/>
        </w:trPr>
        <w:tc>
          <w:tcPr>
            <w:tcW w:w="3510" w:type="dxa"/>
            <w:tcBorders>
              <w:top w:val="nil"/>
              <w:left w:val="single" w:sz="4" w:space="0" w:color="auto"/>
              <w:bottom w:val="single" w:sz="4" w:space="0" w:color="auto"/>
              <w:right w:val="single" w:sz="4" w:space="0" w:color="auto"/>
            </w:tcBorders>
            <w:shd w:val="clear" w:color="000000" w:fill="C5BE97"/>
            <w:noWrap/>
            <w:vAlign w:val="bottom"/>
            <w:hideMark/>
          </w:tcPr>
          <w:p w:rsidR="001D629C" w:rsidRPr="000C767F" w:rsidRDefault="001D629C" w:rsidP="001D629C">
            <w:pPr>
              <w:spacing w:after="0" w:line="240" w:lineRule="auto"/>
              <w:rPr>
                <w:rFonts w:eastAsia="Times New Roman" w:cs="Times New Roman"/>
                <w:color w:val="000000"/>
                <w:szCs w:val="24"/>
              </w:rPr>
            </w:pPr>
            <w:r w:rsidRPr="000C767F">
              <w:rPr>
                <w:rFonts w:eastAsia="Times New Roman" w:cs="Times New Roman"/>
                <w:color w:val="000000"/>
                <w:szCs w:val="24"/>
              </w:rPr>
              <w:lastRenderedPageBreak/>
              <w:t xml:space="preserve">Net Profit margin (Net profit or PAT/Net sales): </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0C767F" w:rsidRDefault="001D629C" w:rsidP="001D629C">
            <w:pPr>
              <w:spacing w:after="0" w:line="240" w:lineRule="auto"/>
              <w:jc w:val="right"/>
              <w:rPr>
                <w:rFonts w:eastAsia="Times New Roman" w:cs="Times New Roman"/>
                <w:color w:val="000000"/>
                <w:szCs w:val="24"/>
              </w:rPr>
            </w:pPr>
            <w:r w:rsidRPr="000C767F">
              <w:rPr>
                <w:rFonts w:eastAsia="Times New Roman" w:cs="Times New Roman"/>
                <w:color w:val="000000"/>
                <w:szCs w:val="24"/>
              </w:rPr>
              <w:t>10%</w:t>
            </w:r>
          </w:p>
        </w:tc>
        <w:tc>
          <w:tcPr>
            <w:tcW w:w="1090" w:type="dxa"/>
            <w:tcBorders>
              <w:top w:val="single" w:sz="4" w:space="0" w:color="auto"/>
              <w:left w:val="nil"/>
              <w:bottom w:val="single" w:sz="4" w:space="0" w:color="auto"/>
              <w:right w:val="single" w:sz="4" w:space="0" w:color="auto"/>
            </w:tcBorders>
            <w:shd w:val="clear" w:color="000000" w:fill="C5BE97"/>
            <w:noWrap/>
            <w:vAlign w:val="bottom"/>
            <w:hideMark/>
          </w:tcPr>
          <w:p w:rsidR="001D629C" w:rsidRPr="000C767F" w:rsidRDefault="001D629C" w:rsidP="001D629C">
            <w:pPr>
              <w:spacing w:after="0" w:line="240" w:lineRule="auto"/>
              <w:jc w:val="right"/>
              <w:rPr>
                <w:rFonts w:eastAsia="Times New Roman" w:cs="Times New Roman"/>
                <w:color w:val="000000"/>
                <w:szCs w:val="24"/>
              </w:rPr>
            </w:pPr>
            <w:r w:rsidRPr="000C767F">
              <w:rPr>
                <w:rFonts w:eastAsia="Times New Roman" w:cs="Times New Roman"/>
                <w:color w:val="000000"/>
                <w:szCs w:val="24"/>
              </w:rPr>
              <w:t>12%</w:t>
            </w:r>
          </w:p>
        </w:tc>
        <w:tc>
          <w:tcPr>
            <w:tcW w:w="1090" w:type="dxa"/>
            <w:tcBorders>
              <w:top w:val="single" w:sz="4" w:space="0" w:color="auto"/>
              <w:left w:val="nil"/>
              <w:bottom w:val="nil"/>
              <w:right w:val="nil"/>
            </w:tcBorders>
            <w:shd w:val="clear" w:color="000000" w:fill="C5BE97"/>
            <w:noWrap/>
            <w:vAlign w:val="bottom"/>
            <w:hideMark/>
          </w:tcPr>
          <w:p w:rsidR="001D629C" w:rsidRPr="000C767F" w:rsidRDefault="001D629C" w:rsidP="001D629C">
            <w:pPr>
              <w:spacing w:after="0" w:line="240" w:lineRule="auto"/>
              <w:jc w:val="right"/>
              <w:rPr>
                <w:rFonts w:eastAsia="Times New Roman" w:cs="Times New Roman"/>
                <w:color w:val="000000"/>
                <w:szCs w:val="24"/>
              </w:rPr>
            </w:pPr>
            <w:r w:rsidRPr="000C767F">
              <w:rPr>
                <w:rFonts w:eastAsia="Times New Roman" w:cs="Times New Roman"/>
                <w:color w:val="000000"/>
                <w:szCs w:val="24"/>
              </w:rPr>
              <w:t>12%</w:t>
            </w:r>
          </w:p>
        </w:tc>
        <w:tc>
          <w:tcPr>
            <w:tcW w:w="1090" w:type="dxa"/>
            <w:tcBorders>
              <w:top w:val="nil"/>
              <w:left w:val="single" w:sz="4" w:space="0" w:color="auto"/>
              <w:bottom w:val="single" w:sz="4" w:space="0" w:color="auto"/>
              <w:right w:val="single" w:sz="4" w:space="0" w:color="auto"/>
            </w:tcBorders>
            <w:shd w:val="clear" w:color="000000" w:fill="C5BE97"/>
            <w:noWrap/>
            <w:vAlign w:val="bottom"/>
            <w:hideMark/>
          </w:tcPr>
          <w:p w:rsidR="001D629C" w:rsidRPr="000C767F" w:rsidRDefault="001D629C" w:rsidP="001D629C">
            <w:pPr>
              <w:spacing w:after="0" w:line="240" w:lineRule="auto"/>
              <w:jc w:val="right"/>
              <w:rPr>
                <w:rFonts w:eastAsia="Times New Roman" w:cs="Times New Roman"/>
                <w:color w:val="000000"/>
                <w:szCs w:val="24"/>
              </w:rPr>
            </w:pPr>
            <w:r w:rsidRPr="000C767F">
              <w:rPr>
                <w:rFonts w:eastAsia="Times New Roman" w:cs="Times New Roman"/>
                <w:color w:val="000000"/>
                <w:szCs w:val="24"/>
              </w:rPr>
              <w:t>13%</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0C767F" w:rsidRDefault="001D629C" w:rsidP="001D629C">
            <w:pPr>
              <w:spacing w:after="0" w:line="240" w:lineRule="auto"/>
              <w:jc w:val="right"/>
              <w:rPr>
                <w:rFonts w:eastAsia="Times New Roman" w:cs="Times New Roman"/>
                <w:color w:val="000000"/>
                <w:szCs w:val="24"/>
              </w:rPr>
            </w:pPr>
            <w:r w:rsidRPr="000C767F">
              <w:rPr>
                <w:rFonts w:eastAsia="Times New Roman" w:cs="Times New Roman"/>
                <w:color w:val="000000"/>
                <w:szCs w:val="24"/>
              </w:rPr>
              <w:t>15%</w:t>
            </w:r>
          </w:p>
        </w:tc>
      </w:tr>
    </w:tbl>
    <w:p w:rsidR="001D629C" w:rsidRDefault="001D629C" w:rsidP="001D629C">
      <w:pPr>
        <w:rPr>
          <w:b/>
        </w:rPr>
      </w:pPr>
    </w:p>
    <w:p w:rsidR="001D629C" w:rsidRDefault="001D629C" w:rsidP="001D629C">
      <w:r w:rsidRPr="00F73248">
        <w:t>The Net profit margin of the organization</w:t>
      </w:r>
      <w:r>
        <w:t xml:space="preserve"> has also registered a similar trend just like the operating profit margin and has depicted a pattern of stable to slow growth over years. Looking at the sales revenue earning patterns of the organization it can be seen that the revenue earning in 2013 has declined by 5% over the previous years and has shown a slight recovery with a growth of 1% in 2014 and again declined by 2% 2015 and again attained a growth of 6% in 2016.The underlying reason that can be identified is that the business has continually suffered due to the negative impact of the exchange rate which has prevented the business to make a strong revenue earnings. But as the efficiency of the business in controlling both the operational expenses as well as the overhead expenses has helped the business to earn a stable and growing net profit an d the net profit has grown at a rate of 9% in 2013, 1% in 2014, 6% in 2015 and in 24% in 2016.Thus even if with a very little growth or sometimes no growth in the revenue earnings the business has managed to generate a growing net profit margin over years during the study period of 2012-2016 due to the cost controlling efficiency</w:t>
      </w:r>
      <w:r w:rsidRPr="009216F2">
        <w:t xml:space="preserve"> (Btplc.com, 2015)</w:t>
      </w:r>
      <w:r>
        <w:t>.</w:t>
      </w:r>
    </w:p>
    <w:p w:rsidR="001D629C" w:rsidRPr="00826D6F" w:rsidRDefault="001D629C" w:rsidP="001D629C">
      <w:pPr>
        <w:rPr>
          <w:b/>
        </w:rPr>
      </w:pPr>
      <w:r w:rsidRPr="00826D6F">
        <w:rPr>
          <w:b/>
        </w:rPr>
        <w:t>Current Ratio:</w:t>
      </w:r>
    </w:p>
    <w:tbl>
      <w:tblPr>
        <w:tblW w:w="8960" w:type="dxa"/>
        <w:tblInd w:w="98" w:type="dxa"/>
        <w:tblLook w:val="04A0" w:firstRow="1" w:lastRow="0" w:firstColumn="1" w:lastColumn="0" w:noHBand="0" w:noVBand="1"/>
      </w:tblPr>
      <w:tblGrid>
        <w:gridCol w:w="3510"/>
        <w:gridCol w:w="1090"/>
        <w:gridCol w:w="1090"/>
        <w:gridCol w:w="1090"/>
        <w:gridCol w:w="1090"/>
        <w:gridCol w:w="1090"/>
      </w:tblGrid>
      <w:tr w:rsidR="001D629C" w:rsidRPr="00FD54A2" w:rsidTr="001D629C">
        <w:trPr>
          <w:trHeight w:val="330"/>
        </w:trPr>
        <w:tc>
          <w:tcPr>
            <w:tcW w:w="8960" w:type="dxa"/>
            <w:gridSpan w:val="6"/>
            <w:tcBorders>
              <w:top w:val="single" w:sz="8" w:space="0" w:color="auto"/>
              <w:left w:val="single" w:sz="8" w:space="0" w:color="auto"/>
              <w:bottom w:val="single" w:sz="8" w:space="0" w:color="auto"/>
              <w:right w:val="single" w:sz="8" w:space="0" w:color="000000"/>
            </w:tcBorders>
            <w:shd w:val="clear" w:color="000000" w:fill="FFC000"/>
            <w:noWrap/>
            <w:vAlign w:val="bottom"/>
            <w:hideMark/>
          </w:tcPr>
          <w:p w:rsidR="001D629C" w:rsidRPr="00FD54A2" w:rsidRDefault="001D629C" w:rsidP="001D629C">
            <w:pPr>
              <w:spacing w:after="0" w:line="240" w:lineRule="auto"/>
              <w:jc w:val="center"/>
              <w:rPr>
                <w:rFonts w:eastAsia="Times New Roman" w:cs="Times New Roman"/>
                <w:b/>
                <w:bCs/>
                <w:color w:val="000000"/>
                <w:szCs w:val="24"/>
              </w:rPr>
            </w:pPr>
            <w:r w:rsidRPr="00FD54A2">
              <w:rPr>
                <w:rFonts w:eastAsia="Times New Roman" w:cs="Times New Roman"/>
                <w:b/>
                <w:bCs/>
                <w:color w:val="000000"/>
                <w:szCs w:val="24"/>
              </w:rPr>
              <w:t>British telecom(BT) Ratio Analysis</w:t>
            </w:r>
          </w:p>
        </w:tc>
      </w:tr>
      <w:tr w:rsidR="001D629C" w:rsidRPr="00FD54A2" w:rsidTr="001D629C">
        <w:trPr>
          <w:trHeight w:val="315"/>
        </w:trPr>
        <w:tc>
          <w:tcPr>
            <w:tcW w:w="3510" w:type="dxa"/>
            <w:tcBorders>
              <w:top w:val="nil"/>
              <w:left w:val="single" w:sz="4" w:space="0" w:color="auto"/>
              <w:bottom w:val="single" w:sz="4" w:space="0" w:color="auto"/>
              <w:right w:val="single" w:sz="4" w:space="0" w:color="auto"/>
            </w:tcBorders>
            <w:shd w:val="clear" w:color="000000" w:fill="DBE5F1"/>
            <w:noWrap/>
            <w:vAlign w:val="bottom"/>
            <w:hideMark/>
          </w:tcPr>
          <w:p w:rsidR="001D629C" w:rsidRPr="00FD54A2" w:rsidRDefault="001D629C" w:rsidP="001D629C">
            <w:pPr>
              <w:spacing w:after="0" w:line="240" w:lineRule="auto"/>
              <w:rPr>
                <w:rFonts w:eastAsia="Times New Roman" w:cs="Times New Roman"/>
                <w:b/>
                <w:bCs/>
                <w:color w:val="000000"/>
                <w:szCs w:val="24"/>
              </w:rPr>
            </w:pPr>
            <w:r w:rsidRPr="00FD54A2">
              <w:rPr>
                <w:rFonts w:eastAsia="Times New Roman" w:cs="Times New Roman"/>
                <w:b/>
                <w:bCs/>
                <w:color w:val="000000"/>
                <w:szCs w:val="24"/>
              </w:rPr>
              <w:t xml:space="preserve">Items of financial statement  </w:t>
            </w:r>
          </w:p>
        </w:tc>
        <w:tc>
          <w:tcPr>
            <w:tcW w:w="1090" w:type="dxa"/>
            <w:tcBorders>
              <w:top w:val="nil"/>
              <w:left w:val="nil"/>
              <w:bottom w:val="single" w:sz="4" w:space="0" w:color="auto"/>
              <w:right w:val="single" w:sz="4" w:space="0" w:color="auto"/>
            </w:tcBorders>
            <w:shd w:val="clear" w:color="000000" w:fill="DBE5F1"/>
            <w:noWrap/>
            <w:vAlign w:val="bottom"/>
            <w:hideMark/>
          </w:tcPr>
          <w:p w:rsidR="001D629C" w:rsidRPr="00FD54A2" w:rsidRDefault="001D629C" w:rsidP="001D629C">
            <w:pPr>
              <w:spacing w:after="0" w:line="240" w:lineRule="auto"/>
              <w:rPr>
                <w:rFonts w:eastAsia="Times New Roman" w:cs="Times New Roman"/>
                <w:color w:val="000000"/>
                <w:szCs w:val="24"/>
              </w:rPr>
            </w:pPr>
            <w:r w:rsidRPr="00FD54A2">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1D629C" w:rsidRPr="00FD54A2" w:rsidRDefault="001D629C" w:rsidP="001D629C">
            <w:pPr>
              <w:spacing w:after="0" w:line="240" w:lineRule="auto"/>
              <w:rPr>
                <w:rFonts w:eastAsia="Times New Roman" w:cs="Times New Roman"/>
                <w:color w:val="000000"/>
                <w:szCs w:val="24"/>
              </w:rPr>
            </w:pPr>
            <w:r w:rsidRPr="00FD54A2">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1D629C" w:rsidRPr="00FD54A2" w:rsidRDefault="001D629C" w:rsidP="001D629C">
            <w:pPr>
              <w:spacing w:after="0" w:line="240" w:lineRule="auto"/>
              <w:rPr>
                <w:rFonts w:eastAsia="Times New Roman" w:cs="Times New Roman"/>
                <w:color w:val="000000"/>
                <w:szCs w:val="24"/>
              </w:rPr>
            </w:pPr>
            <w:r w:rsidRPr="00FD54A2">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1D629C" w:rsidRPr="00FD54A2" w:rsidRDefault="001D629C" w:rsidP="001D629C">
            <w:pPr>
              <w:spacing w:after="0" w:line="240" w:lineRule="auto"/>
              <w:rPr>
                <w:rFonts w:eastAsia="Times New Roman" w:cs="Times New Roman"/>
                <w:color w:val="000000"/>
                <w:szCs w:val="24"/>
              </w:rPr>
            </w:pPr>
            <w:r w:rsidRPr="00FD54A2">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1D629C" w:rsidRPr="00FD54A2" w:rsidRDefault="001D629C" w:rsidP="001D629C">
            <w:pPr>
              <w:spacing w:after="0" w:line="240" w:lineRule="auto"/>
              <w:rPr>
                <w:rFonts w:eastAsia="Times New Roman" w:cs="Times New Roman"/>
                <w:color w:val="000000"/>
                <w:szCs w:val="24"/>
              </w:rPr>
            </w:pPr>
            <w:r w:rsidRPr="00FD54A2">
              <w:rPr>
                <w:rFonts w:eastAsia="Times New Roman" w:cs="Times New Roman"/>
                <w:color w:val="000000"/>
                <w:szCs w:val="24"/>
              </w:rPr>
              <w:t>£,million</w:t>
            </w:r>
          </w:p>
        </w:tc>
      </w:tr>
      <w:tr w:rsidR="001D629C" w:rsidRPr="00FD54A2" w:rsidTr="001D629C">
        <w:trPr>
          <w:trHeight w:val="315"/>
        </w:trPr>
        <w:tc>
          <w:tcPr>
            <w:tcW w:w="3510" w:type="dxa"/>
            <w:tcBorders>
              <w:top w:val="nil"/>
              <w:left w:val="single" w:sz="4" w:space="0" w:color="auto"/>
              <w:bottom w:val="single" w:sz="4" w:space="0" w:color="auto"/>
              <w:right w:val="single" w:sz="4" w:space="0" w:color="auto"/>
            </w:tcBorders>
            <w:shd w:val="clear" w:color="000000" w:fill="FFC000"/>
            <w:noWrap/>
            <w:vAlign w:val="bottom"/>
            <w:hideMark/>
          </w:tcPr>
          <w:p w:rsidR="001D629C" w:rsidRPr="00FD54A2" w:rsidRDefault="001D629C" w:rsidP="001D629C">
            <w:pPr>
              <w:spacing w:after="0" w:line="240" w:lineRule="auto"/>
              <w:rPr>
                <w:rFonts w:eastAsia="Times New Roman" w:cs="Times New Roman"/>
                <w:b/>
                <w:bCs/>
                <w:color w:val="000000"/>
                <w:szCs w:val="24"/>
              </w:rPr>
            </w:pPr>
            <w:r w:rsidRPr="00FD54A2">
              <w:rPr>
                <w:rFonts w:eastAsia="Times New Roman" w:cs="Times New Roman"/>
                <w:b/>
                <w:bCs/>
                <w:color w:val="000000"/>
                <w:szCs w:val="24"/>
              </w:rPr>
              <w:t>Years</w:t>
            </w:r>
          </w:p>
        </w:tc>
        <w:tc>
          <w:tcPr>
            <w:tcW w:w="1090" w:type="dxa"/>
            <w:tcBorders>
              <w:top w:val="nil"/>
              <w:left w:val="nil"/>
              <w:bottom w:val="single" w:sz="4" w:space="0" w:color="auto"/>
              <w:right w:val="single" w:sz="4" w:space="0" w:color="auto"/>
            </w:tcBorders>
            <w:shd w:val="clear" w:color="000000" w:fill="FFC000"/>
            <w:noWrap/>
            <w:vAlign w:val="bottom"/>
            <w:hideMark/>
          </w:tcPr>
          <w:p w:rsidR="001D629C" w:rsidRPr="00FD54A2" w:rsidRDefault="001D629C" w:rsidP="001D629C">
            <w:pPr>
              <w:spacing w:after="0" w:line="240" w:lineRule="auto"/>
              <w:jc w:val="right"/>
              <w:rPr>
                <w:rFonts w:eastAsia="Times New Roman" w:cs="Times New Roman"/>
                <w:b/>
                <w:bCs/>
                <w:color w:val="000000"/>
                <w:szCs w:val="24"/>
              </w:rPr>
            </w:pPr>
            <w:r w:rsidRPr="00FD54A2">
              <w:rPr>
                <w:rFonts w:eastAsia="Times New Roman" w:cs="Times New Roman"/>
                <w:b/>
                <w:bCs/>
                <w:color w:val="000000"/>
                <w:szCs w:val="24"/>
              </w:rPr>
              <w:t>2012</w:t>
            </w:r>
          </w:p>
        </w:tc>
        <w:tc>
          <w:tcPr>
            <w:tcW w:w="1090" w:type="dxa"/>
            <w:tcBorders>
              <w:top w:val="nil"/>
              <w:left w:val="nil"/>
              <w:bottom w:val="single" w:sz="4" w:space="0" w:color="auto"/>
              <w:right w:val="single" w:sz="4" w:space="0" w:color="auto"/>
            </w:tcBorders>
            <w:shd w:val="clear" w:color="000000" w:fill="FFC000"/>
            <w:noWrap/>
            <w:vAlign w:val="bottom"/>
            <w:hideMark/>
          </w:tcPr>
          <w:p w:rsidR="001D629C" w:rsidRPr="00FD54A2" w:rsidRDefault="001D629C" w:rsidP="001D629C">
            <w:pPr>
              <w:spacing w:after="0" w:line="240" w:lineRule="auto"/>
              <w:jc w:val="right"/>
              <w:rPr>
                <w:rFonts w:eastAsia="Times New Roman" w:cs="Times New Roman"/>
                <w:b/>
                <w:bCs/>
                <w:color w:val="000000"/>
                <w:szCs w:val="24"/>
              </w:rPr>
            </w:pPr>
            <w:r w:rsidRPr="00FD54A2">
              <w:rPr>
                <w:rFonts w:eastAsia="Times New Roman" w:cs="Times New Roman"/>
                <w:b/>
                <w:bCs/>
                <w:color w:val="000000"/>
                <w:szCs w:val="24"/>
              </w:rPr>
              <w:t>2013</w:t>
            </w:r>
          </w:p>
        </w:tc>
        <w:tc>
          <w:tcPr>
            <w:tcW w:w="1090" w:type="dxa"/>
            <w:tcBorders>
              <w:top w:val="nil"/>
              <w:left w:val="nil"/>
              <w:bottom w:val="single" w:sz="4" w:space="0" w:color="auto"/>
              <w:right w:val="single" w:sz="4" w:space="0" w:color="auto"/>
            </w:tcBorders>
            <w:shd w:val="clear" w:color="000000" w:fill="FFC000"/>
            <w:noWrap/>
            <w:vAlign w:val="bottom"/>
            <w:hideMark/>
          </w:tcPr>
          <w:p w:rsidR="001D629C" w:rsidRPr="00FD54A2" w:rsidRDefault="001D629C" w:rsidP="001D629C">
            <w:pPr>
              <w:spacing w:after="0" w:line="240" w:lineRule="auto"/>
              <w:jc w:val="right"/>
              <w:rPr>
                <w:rFonts w:eastAsia="Times New Roman" w:cs="Times New Roman"/>
                <w:b/>
                <w:bCs/>
                <w:color w:val="000000"/>
                <w:szCs w:val="24"/>
              </w:rPr>
            </w:pPr>
            <w:r w:rsidRPr="00FD54A2">
              <w:rPr>
                <w:rFonts w:eastAsia="Times New Roman" w:cs="Times New Roman"/>
                <w:b/>
                <w:bCs/>
                <w:color w:val="000000"/>
                <w:szCs w:val="24"/>
              </w:rPr>
              <w:t>2014</w:t>
            </w:r>
          </w:p>
        </w:tc>
        <w:tc>
          <w:tcPr>
            <w:tcW w:w="1090" w:type="dxa"/>
            <w:tcBorders>
              <w:top w:val="nil"/>
              <w:left w:val="nil"/>
              <w:bottom w:val="single" w:sz="4" w:space="0" w:color="auto"/>
              <w:right w:val="single" w:sz="4" w:space="0" w:color="auto"/>
            </w:tcBorders>
            <w:shd w:val="clear" w:color="000000" w:fill="FFC000"/>
            <w:noWrap/>
            <w:vAlign w:val="bottom"/>
            <w:hideMark/>
          </w:tcPr>
          <w:p w:rsidR="001D629C" w:rsidRPr="00FD54A2" w:rsidRDefault="001D629C" w:rsidP="001D629C">
            <w:pPr>
              <w:spacing w:after="0" w:line="240" w:lineRule="auto"/>
              <w:jc w:val="right"/>
              <w:rPr>
                <w:rFonts w:eastAsia="Times New Roman" w:cs="Times New Roman"/>
                <w:b/>
                <w:bCs/>
                <w:color w:val="000000"/>
                <w:szCs w:val="24"/>
              </w:rPr>
            </w:pPr>
            <w:r w:rsidRPr="00FD54A2">
              <w:rPr>
                <w:rFonts w:eastAsia="Times New Roman" w:cs="Times New Roman"/>
                <w:b/>
                <w:bCs/>
                <w:color w:val="000000"/>
                <w:szCs w:val="24"/>
              </w:rPr>
              <w:t>2015</w:t>
            </w:r>
          </w:p>
        </w:tc>
        <w:tc>
          <w:tcPr>
            <w:tcW w:w="1090" w:type="dxa"/>
            <w:tcBorders>
              <w:top w:val="nil"/>
              <w:left w:val="nil"/>
              <w:bottom w:val="single" w:sz="4" w:space="0" w:color="auto"/>
              <w:right w:val="single" w:sz="4" w:space="0" w:color="auto"/>
            </w:tcBorders>
            <w:shd w:val="clear" w:color="000000" w:fill="FFC000"/>
            <w:noWrap/>
            <w:vAlign w:val="bottom"/>
            <w:hideMark/>
          </w:tcPr>
          <w:p w:rsidR="001D629C" w:rsidRPr="00FD54A2" w:rsidRDefault="001D629C" w:rsidP="001D629C">
            <w:pPr>
              <w:spacing w:after="0" w:line="240" w:lineRule="auto"/>
              <w:jc w:val="right"/>
              <w:rPr>
                <w:rFonts w:eastAsia="Times New Roman" w:cs="Times New Roman"/>
                <w:b/>
                <w:bCs/>
                <w:color w:val="000000"/>
                <w:szCs w:val="24"/>
              </w:rPr>
            </w:pPr>
            <w:r w:rsidRPr="00FD54A2">
              <w:rPr>
                <w:rFonts w:eastAsia="Times New Roman" w:cs="Times New Roman"/>
                <w:b/>
                <w:bCs/>
                <w:color w:val="000000"/>
                <w:szCs w:val="24"/>
              </w:rPr>
              <w:t>2016</w:t>
            </w:r>
          </w:p>
        </w:tc>
      </w:tr>
      <w:tr w:rsidR="001D629C" w:rsidRPr="00FD54A2" w:rsidTr="001D629C">
        <w:trPr>
          <w:trHeight w:val="315"/>
        </w:trPr>
        <w:tc>
          <w:tcPr>
            <w:tcW w:w="3510" w:type="dxa"/>
            <w:tcBorders>
              <w:top w:val="nil"/>
              <w:left w:val="single" w:sz="4" w:space="0" w:color="auto"/>
              <w:bottom w:val="single" w:sz="4" w:space="0" w:color="auto"/>
              <w:right w:val="single" w:sz="4" w:space="0" w:color="auto"/>
            </w:tcBorders>
            <w:shd w:val="clear" w:color="000000" w:fill="C5BE97"/>
            <w:noWrap/>
            <w:vAlign w:val="bottom"/>
            <w:hideMark/>
          </w:tcPr>
          <w:p w:rsidR="001D629C" w:rsidRPr="00FD54A2" w:rsidRDefault="001D629C" w:rsidP="001D629C">
            <w:pPr>
              <w:spacing w:after="0" w:line="240" w:lineRule="auto"/>
              <w:rPr>
                <w:rFonts w:eastAsia="Times New Roman" w:cs="Times New Roman"/>
                <w:color w:val="000000"/>
                <w:szCs w:val="24"/>
              </w:rPr>
            </w:pPr>
            <w:r w:rsidRPr="00FD54A2">
              <w:rPr>
                <w:rFonts w:eastAsia="Times New Roman" w:cs="Times New Roman"/>
                <w:color w:val="000000"/>
                <w:szCs w:val="24"/>
              </w:rPr>
              <w:t>Current asset</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FD54A2" w:rsidRDefault="001D629C" w:rsidP="001D629C">
            <w:pPr>
              <w:spacing w:after="0" w:line="240" w:lineRule="auto"/>
              <w:jc w:val="right"/>
              <w:rPr>
                <w:rFonts w:eastAsia="Times New Roman" w:cs="Times New Roman"/>
                <w:color w:val="000000"/>
                <w:szCs w:val="24"/>
              </w:rPr>
            </w:pPr>
            <w:r w:rsidRPr="00FD54A2">
              <w:rPr>
                <w:rFonts w:eastAsia="Times New Roman" w:cs="Times New Roman"/>
                <w:color w:val="000000"/>
                <w:szCs w:val="24"/>
              </w:rPr>
              <w:t>4,531</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FD54A2" w:rsidRDefault="001D629C" w:rsidP="001D629C">
            <w:pPr>
              <w:spacing w:after="0" w:line="240" w:lineRule="auto"/>
              <w:jc w:val="right"/>
              <w:rPr>
                <w:rFonts w:eastAsia="Times New Roman" w:cs="Times New Roman"/>
                <w:color w:val="000000"/>
                <w:szCs w:val="24"/>
              </w:rPr>
            </w:pPr>
            <w:r w:rsidRPr="00FD54A2">
              <w:rPr>
                <w:rFonts w:eastAsia="Times New Roman" w:cs="Times New Roman"/>
                <w:color w:val="000000"/>
                <w:szCs w:val="24"/>
              </w:rPr>
              <w:t>5,417</w:t>
            </w:r>
          </w:p>
        </w:tc>
        <w:tc>
          <w:tcPr>
            <w:tcW w:w="1090" w:type="dxa"/>
            <w:tcBorders>
              <w:top w:val="single" w:sz="4" w:space="0" w:color="auto"/>
              <w:left w:val="nil"/>
              <w:bottom w:val="single" w:sz="4" w:space="0" w:color="auto"/>
              <w:right w:val="single" w:sz="4" w:space="0" w:color="auto"/>
            </w:tcBorders>
            <w:shd w:val="clear" w:color="000000" w:fill="C5BE97"/>
            <w:noWrap/>
            <w:vAlign w:val="bottom"/>
            <w:hideMark/>
          </w:tcPr>
          <w:p w:rsidR="001D629C" w:rsidRPr="00FD54A2" w:rsidRDefault="001D629C" w:rsidP="001D629C">
            <w:pPr>
              <w:spacing w:after="0" w:line="240" w:lineRule="auto"/>
              <w:jc w:val="right"/>
              <w:rPr>
                <w:rFonts w:eastAsia="Times New Roman" w:cs="Times New Roman"/>
                <w:color w:val="000000"/>
                <w:szCs w:val="24"/>
              </w:rPr>
            </w:pPr>
            <w:r w:rsidRPr="00FD54A2">
              <w:rPr>
                <w:rFonts w:eastAsia="Times New Roman" w:cs="Times New Roman"/>
                <w:color w:val="000000"/>
                <w:szCs w:val="24"/>
              </w:rPr>
              <w:t>6,483</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FD54A2" w:rsidRDefault="001D629C" w:rsidP="001D629C">
            <w:pPr>
              <w:spacing w:after="0" w:line="240" w:lineRule="auto"/>
              <w:jc w:val="right"/>
              <w:rPr>
                <w:rFonts w:eastAsia="Times New Roman" w:cs="Times New Roman"/>
                <w:color w:val="000000"/>
                <w:szCs w:val="24"/>
              </w:rPr>
            </w:pPr>
            <w:r w:rsidRPr="00FD54A2">
              <w:rPr>
                <w:rFonts w:eastAsia="Times New Roman" w:cs="Times New Roman"/>
                <w:color w:val="000000"/>
                <w:szCs w:val="24"/>
              </w:rPr>
              <w:t>7,515</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FD54A2" w:rsidRDefault="001D629C" w:rsidP="001D629C">
            <w:pPr>
              <w:spacing w:after="0" w:line="240" w:lineRule="auto"/>
              <w:jc w:val="right"/>
              <w:rPr>
                <w:rFonts w:eastAsia="Times New Roman" w:cs="Times New Roman"/>
                <w:color w:val="000000"/>
                <w:szCs w:val="24"/>
              </w:rPr>
            </w:pPr>
            <w:r w:rsidRPr="00FD54A2">
              <w:rPr>
                <w:rFonts w:eastAsia="Times New Roman" w:cs="Times New Roman"/>
                <w:color w:val="000000"/>
                <w:szCs w:val="24"/>
              </w:rPr>
              <w:t>8,489</w:t>
            </w:r>
          </w:p>
        </w:tc>
      </w:tr>
      <w:tr w:rsidR="001D629C" w:rsidRPr="00FD54A2" w:rsidTr="001D629C">
        <w:trPr>
          <w:trHeight w:val="315"/>
        </w:trPr>
        <w:tc>
          <w:tcPr>
            <w:tcW w:w="3510" w:type="dxa"/>
            <w:tcBorders>
              <w:top w:val="nil"/>
              <w:left w:val="single" w:sz="4" w:space="0" w:color="auto"/>
              <w:bottom w:val="single" w:sz="4" w:space="0" w:color="auto"/>
              <w:right w:val="single" w:sz="4" w:space="0" w:color="auto"/>
            </w:tcBorders>
            <w:shd w:val="clear" w:color="000000" w:fill="C5BE97"/>
            <w:noWrap/>
            <w:vAlign w:val="bottom"/>
            <w:hideMark/>
          </w:tcPr>
          <w:p w:rsidR="001D629C" w:rsidRPr="00FD54A2" w:rsidRDefault="001D629C" w:rsidP="001D629C">
            <w:pPr>
              <w:spacing w:after="0" w:line="240" w:lineRule="auto"/>
              <w:rPr>
                <w:rFonts w:eastAsia="Times New Roman" w:cs="Times New Roman"/>
                <w:color w:val="000000"/>
                <w:szCs w:val="24"/>
              </w:rPr>
            </w:pPr>
            <w:r w:rsidRPr="00FD54A2">
              <w:rPr>
                <w:rFonts w:eastAsia="Times New Roman" w:cs="Times New Roman"/>
                <w:color w:val="000000"/>
                <w:szCs w:val="24"/>
              </w:rPr>
              <w:t>Current liability</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FD54A2" w:rsidRDefault="001D629C" w:rsidP="001D629C">
            <w:pPr>
              <w:spacing w:after="0" w:line="240" w:lineRule="auto"/>
              <w:jc w:val="right"/>
              <w:rPr>
                <w:rFonts w:eastAsia="Times New Roman" w:cs="Times New Roman"/>
                <w:color w:val="000000"/>
                <w:szCs w:val="24"/>
              </w:rPr>
            </w:pPr>
            <w:r w:rsidRPr="00FD54A2">
              <w:rPr>
                <w:rFonts w:eastAsia="Times New Roman" w:cs="Times New Roman"/>
                <w:color w:val="000000"/>
                <w:szCs w:val="24"/>
              </w:rPr>
              <w:t>9,255</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FD54A2" w:rsidRDefault="001D629C" w:rsidP="001D629C">
            <w:pPr>
              <w:spacing w:after="0" w:line="240" w:lineRule="auto"/>
              <w:jc w:val="right"/>
              <w:rPr>
                <w:rFonts w:eastAsia="Times New Roman" w:cs="Times New Roman"/>
                <w:color w:val="000000"/>
                <w:szCs w:val="24"/>
              </w:rPr>
            </w:pPr>
            <w:r w:rsidRPr="00FD54A2">
              <w:rPr>
                <w:rFonts w:eastAsia="Times New Roman" w:cs="Times New Roman"/>
                <w:color w:val="000000"/>
                <w:szCs w:val="24"/>
              </w:rPr>
              <w:t>7,644</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FD54A2" w:rsidRDefault="001D629C" w:rsidP="001D629C">
            <w:pPr>
              <w:spacing w:after="0" w:line="240" w:lineRule="auto"/>
              <w:jc w:val="right"/>
              <w:rPr>
                <w:rFonts w:eastAsia="Times New Roman" w:cs="Times New Roman"/>
                <w:color w:val="000000"/>
                <w:szCs w:val="24"/>
              </w:rPr>
            </w:pPr>
            <w:r w:rsidRPr="00FD54A2">
              <w:rPr>
                <w:rFonts w:eastAsia="Times New Roman" w:cs="Times New Roman"/>
                <w:color w:val="000000"/>
                <w:szCs w:val="24"/>
              </w:rPr>
              <w:t>7,709</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FD54A2" w:rsidRDefault="001D629C" w:rsidP="001D629C">
            <w:pPr>
              <w:spacing w:after="0" w:line="240" w:lineRule="auto"/>
              <w:jc w:val="right"/>
              <w:rPr>
                <w:rFonts w:eastAsia="Times New Roman" w:cs="Times New Roman"/>
                <w:color w:val="000000"/>
                <w:szCs w:val="24"/>
              </w:rPr>
            </w:pPr>
            <w:r w:rsidRPr="00FD54A2">
              <w:rPr>
                <w:rFonts w:eastAsia="Times New Roman" w:cs="Times New Roman"/>
                <w:color w:val="000000"/>
                <w:szCs w:val="24"/>
              </w:rPr>
              <w:t>7,731</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FD54A2" w:rsidRDefault="001D629C" w:rsidP="001D629C">
            <w:pPr>
              <w:spacing w:after="0" w:line="240" w:lineRule="auto"/>
              <w:jc w:val="right"/>
              <w:rPr>
                <w:rFonts w:eastAsia="Times New Roman" w:cs="Times New Roman"/>
                <w:color w:val="000000"/>
                <w:szCs w:val="24"/>
              </w:rPr>
            </w:pPr>
            <w:r w:rsidRPr="00FD54A2">
              <w:rPr>
                <w:rFonts w:eastAsia="Times New Roman" w:cs="Times New Roman"/>
                <w:color w:val="000000"/>
                <w:szCs w:val="24"/>
              </w:rPr>
              <w:t>11,081</w:t>
            </w:r>
          </w:p>
        </w:tc>
      </w:tr>
      <w:tr w:rsidR="001D629C" w:rsidRPr="003457B4" w:rsidTr="001D629C">
        <w:trPr>
          <w:trHeight w:val="315"/>
        </w:trPr>
        <w:tc>
          <w:tcPr>
            <w:tcW w:w="3510" w:type="dxa"/>
            <w:tcBorders>
              <w:top w:val="nil"/>
              <w:left w:val="single" w:sz="4" w:space="0" w:color="auto"/>
              <w:bottom w:val="single" w:sz="4" w:space="0" w:color="auto"/>
              <w:right w:val="single" w:sz="4" w:space="0" w:color="auto"/>
            </w:tcBorders>
            <w:shd w:val="clear" w:color="auto" w:fill="CCC0D9" w:themeFill="accent4" w:themeFillTint="66"/>
            <w:noWrap/>
            <w:vAlign w:val="bottom"/>
            <w:hideMark/>
          </w:tcPr>
          <w:p w:rsidR="001D629C" w:rsidRPr="003457B4" w:rsidRDefault="001D629C" w:rsidP="001D629C">
            <w:pPr>
              <w:spacing w:after="0" w:line="240" w:lineRule="auto"/>
              <w:rPr>
                <w:rFonts w:eastAsia="Times New Roman" w:cs="Times New Roman"/>
                <w:color w:val="000000"/>
                <w:szCs w:val="24"/>
              </w:rPr>
            </w:pPr>
            <w:r w:rsidRPr="003457B4">
              <w:rPr>
                <w:rFonts w:eastAsia="Times New Roman" w:cs="Times New Roman"/>
                <w:color w:val="000000"/>
                <w:szCs w:val="24"/>
              </w:rPr>
              <w:t xml:space="preserve">Current Ratio ([Current asset/Current liability]*100): </w:t>
            </w:r>
          </w:p>
        </w:tc>
        <w:tc>
          <w:tcPr>
            <w:tcW w:w="1090" w:type="dxa"/>
            <w:tcBorders>
              <w:top w:val="nil"/>
              <w:left w:val="nil"/>
              <w:bottom w:val="single" w:sz="4" w:space="0" w:color="auto"/>
              <w:right w:val="single" w:sz="4" w:space="0" w:color="auto"/>
            </w:tcBorders>
            <w:shd w:val="clear" w:color="auto" w:fill="CCC0D9" w:themeFill="accent4" w:themeFillTint="66"/>
            <w:noWrap/>
            <w:vAlign w:val="bottom"/>
            <w:hideMark/>
          </w:tcPr>
          <w:p w:rsidR="001D629C" w:rsidRPr="003457B4" w:rsidRDefault="001D629C" w:rsidP="001D629C">
            <w:pPr>
              <w:spacing w:after="0" w:line="240" w:lineRule="auto"/>
              <w:jc w:val="right"/>
              <w:rPr>
                <w:rFonts w:eastAsia="Times New Roman" w:cs="Times New Roman"/>
                <w:color w:val="000000"/>
                <w:szCs w:val="24"/>
              </w:rPr>
            </w:pPr>
            <w:r w:rsidRPr="003457B4">
              <w:rPr>
                <w:rFonts w:eastAsia="Times New Roman" w:cs="Times New Roman"/>
                <w:color w:val="000000"/>
                <w:szCs w:val="24"/>
              </w:rPr>
              <w:t>0.49</w:t>
            </w:r>
          </w:p>
        </w:tc>
        <w:tc>
          <w:tcPr>
            <w:tcW w:w="1090" w:type="dxa"/>
            <w:tcBorders>
              <w:top w:val="nil"/>
              <w:left w:val="nil"/>
              <w:bottom w:val="single" w:sz="4" w:space="0" w:color="auto"/>
              <w:right w:val="single" w:sz="4" w:space="0" w:color="auto"/>
            </w:tcBorders>
            <w:shd w:val="clear" w:color="auto" w:fill="CCC0D9" w:themeFill="accent4" w:themeFillTint="66"/>
            <w:noWrap/>
            <w:vAlign w:val="bottom"/>
            <w:hideMark/>
          </w:tcPr>
          <w:p w:rsidR="001D629C" w:rsidRPr="003457B4" w:rsidRDefault="001D629C" w:rsidP="001D629C">
            <w:pPr>
              <w:spacing w:after="0" w:line="240" w:lineRule="auto"/>
              <w:jc w:val="right"/>
              <w:rPr>
                <w:rFonts w:eastAsia="Times New Roman" w:cs="Times New Roman"/>
                <w:color w:val="000000"/>
                <w:szCs w:val="24"/>
              </w:rPr>
            </w:pPr>
            <w:r w:rsidRPr="003457B4">
              <w:rPr>
                <w:rFonts w:eastAsia="Times New Roman" w:cs="Times New Roman"/>
                <w:color w:val="000000"/>
                <w:szCs w:val="24"/>
              </w:rPr>
              <w:t>0.71</w:t>
            </w:r>
          </w:p>
        </w:tc>
        <w:tc>
          <w:tcPr>
            <w:tcW w:w="1090" w:type="dxa"/>
            <w:tcBorders>
              <w:top w:val="nil"/>
              <w:left w:val="nil"/>
              <w:bottom w:val="single" w:sz="4" w:space="0" w:color="auto"/>
              <w:right w:val="single" w:sz="4" w:space="0" w:color="auto"/>
            </w:tcBorders>
            <w:shd w:val="clear" w:color="auto" w:fill="CCC0D9" w:themeFill="accent4" w:themeFillTint="66"/>
            <w:noWrap/>
            <w:vAlign w:val="bottom"/>
            <w:hideMark/>
          </w:tcPr>
          <w:p w:rsidR="001D629C" w:rsidRPr="003457B4" w:rsidRDefault="001D629C" w:rsidP="001D629C">
            <w:pPr>
              <w:spacing w:after="0" w:line="240" w:lineRule="auto"/>
              <w:jc w:val="right"/>
              <w:rPr>
                <w:rFonts w:eastAsia="Times New Roman" w:cs="Times New Roman"/>
                <w:color w:val="000000"/>
                <w:szCs w:val="24"/>
              </w:rPr>
            </w:pPr>
            <w:r w:rsidRPr="003457B4">
              <w:rPr>
                <w:rFonts w:eastAsia="Times New Roman" w:cs="Times New Roman"/>
                <w:color w:val="000000"/>
                <w:szCs w:val="24"/>
              </w:rPr>
              <w:t>0.84</w:t>
            </w:r>
          </w:p>
        </w:tc>
        <w:tc>
          <w:tcPr>
            <w:tcW w:w="1090" w:type="dxa"/>
            <w:tcBorders>
              <w:top w:val="nil"/>
              <w:left w:val="nil"/>
              <w:bottom w:val="single" w:sz="4" w:space="0" w:color="auto"/>
              <w:right w:val="single" w:sz="4" w:space="0" w:color="auto"/>
            </w:tcBorders>
            <w:shd w:val="clear" w:color="auto" w:fill="CCC0D9" w:themeFill="accent4" w:themeFillTint="66"/>
            <w:noWrap/>
            <w:vAlign w:val="bottom"/>
            <w:hideMark/>
          </w:tcPr>
          <w:p w:rsidR="001D629C" w:rsidRPr="003457B4" w:rsidRDefault="001D629C" w:rsidP="001D629C">
            <w:pPr>
              <w:spacing w:after="0" w:line="240" w:lineRule="auto"/>
              <w:jc w:val="right"/>
              <w:rPr>
                <w:rFonts w:eastAsia="Times New Roman" w:cs="Times New Roman"/>
                <w:color w:val="000000"/>
                <w:szCs w:val="24"/>
              </w:rPr>
            </w:pPr>
            <w:r w:rsidRPr="003457B4">
              <w:rPr>
                <w:rFonts w:eastAsia="Times New Roman" w:cs="Times New Roman"/>
                <w:color w:val="000000"/>
                <w:szCs w:val="24"/>
              </w:rPr>
              <w:t>0.97</w:t>
            </w:r>
          </w:p>
        </w:tc>
        <w:tc>
          <w:tcPr>
            <w:tcW w:w="1090" w:type="dxa"/>
            <w:tcBorders>
              <w:top w:val="nil"/>
              <w:left w:val="nil"/>
              <w:bottom w:val="single" w:sz="4" w:space="0" w:color="auto"/>
              <w:right w:val="single" w:sz="4" w:space="0" w:color="auto"/>
            </w:tcBorders>
            <w:shd w:val="clear" w:color="auto" w:fill="CCC0D9" w:themeFill="accent4" w:themeFillTint="66"/>
            <w:noWrap/>
            <w:vAlign w:val="bottom"/>
            <w:hideMark/>
          </w:tcPr>
          <w:p w:rsidR="001D629C" w:rsidRPr="003457B4" w:rsidRDefault="001D629C" w:rsidP="001D629C">
            <w:pPr>
              <w:spacing w:after="0" w:line="240" w:lineRule="auto"/>
              <w:jc w:val="right"/>
              <w:rPr>
                <w:rFonts w:eastAsia="Times New Roman" w:cs="Times New Roman"/>
                <w:color w:val="000000"/>
                <w:szCs w:val="24"/>
              </w:rPr>
            </w:pPr>
            <w:r w:rsidRPr="003457B4">
              <w:rPr>
                <w:rFonts w:eastAsia="Times New Roman" w:cs="Times New Roman"/>
                <w:color w:val="000000"/>
                <w:szCs w:val="24"/>
              </w:rPr>
              <w:t>0.77</w:t>
            </w:r>
          </w:p>
        </w:tc>
      </w:tr>
    </w:tbl>
    <w:p w:rsidR="001D629C" w:rsidRDefault="001D629C" w:rsidP="001D629C"/>
    <w:p w:rsidR="001D629C" w:rsidRDefault="001D629C" w:rsidP="001D629C">
      <w:r>
        <w:t xml:space="preserve">Looking at the current ratio of the organization it can be seen that the current ratio of the organization was quiet week in 2012(.49) &amp; 2013(.71).That is in 2012 the available current asset of the organization was capable to serve 49% of the current liability of the organization and in 2013 the current asset of the organization was only capable to serve 71% of the current liability of the organization. But from 2014 onwards the current ratio of the organization has registered a steady growth and has increased from 0.84 in 2014 to 0.97 in 2015 and again slightly dipped to </w:t>
      </w:r>
      <w:r>
        <w:lastRenderedPageBreak/>
        <w:t>0.77 in 2016.Thye underlying reason can be identified as the growth of the current asset during 2014, 2015, due to the increase in the money volume of the trade receivables as well as the marketable securities</w:t>
      </w:r>
      <w:r w:rsidRPr="009216F2">
        <w:t xml:space="preserve"> (Btplc.com, 2016)</w:t>
      </w:r>
      <w:r>
        <w:t>. However in 2016 the ratio has declined slightly due to the decline in the investment of the marketable securities which has reduced the proportion of the current assets with respect to the current liability of the organization.</w:t>
      </w:r>
    </w:p>
    <w:p w:rsidR="001D629C" w:rsidRDefault="001D629C" w:rsidP="001D629C">
      <w:pPr>
        <w:rPr>
          <w:b/>
        </w:rPr>
      </w:pPr>
      <w:r w:rsidRPr="00FB520D">
        <w:rPr>
          <w:b/>
        </w:rPr>
        <w:t xml:space="preserve">Quick Ratio: </w:t>
      </w:r>
    </w:p>
    <w:tbl>
      <w:tblPr>
        <w:tblW w:w="8960" w:type="dxa"/>
        <w:tblInd w:w="98" w:type="dxa"/>
        <w:tblLook w:val="04A0" w:firstRow="1" w:lastRow="0" w:firstColumn="1" w:lastColumn="0" w:noHBand="0" w:noVBand="1"/>
      </w:tblPr>
      <w:tblGrid>
        <w:gridCol w:w="3510"/>
        <w:gridCol w:w="1090"/>
        <w:gridCol w:w="1090"/>
        <w:gridCol w:w="1090"/>
        <w:gridCol w:w="1090"/>
        <w:gridCol w:w="1090"/>
      </w:tblGrid>
      <w:tr w:rsidR="001D629C" w:rsidRPr="00FB520D" w:rsidTr="001D629C">
        <w:trPr>
          <w:trHeight w:val="330"/>
        </w:trPr>
        <w:tc>
          <w:tcPr>
            <w:tcW w:w="8960" w:type="dxa"/>
            <w:gridSpan w:val="6"/>
            <w:tcBorders>
              <w:top w:val="single" w:sz="8" w:space="0" w:color="auto"/>
              <w:left w:val="single" w:sz="8" w:space="0" w:color="auto"/>
              <w:bottom w:val="single" w:sz="8" w:space="0" w:color="auto"/>
              <w:right w:val="single" w:sz="8" w:space="0" w:color="000000"/>
            </w:tcBorders>
            <w:shd w:val="clear" w:color="000000" w:fill="FFC000"/>
            <w:noWrap/>
            <w:vAlign w:val="bottom"/>
            <w:hideMark/>
          </w:tcPr>
          <w:p w:rsidR="001D629C" w:rsidRPr="00FB520D" w:rsidRDefault="001D629C" w:rsidP="001D629C">
            <w:pPr>
              <w:spacing w:after="0" w:line="240" w:lineRule="auto"/>
              <w:jc w:val="center"/>
              <w:rPr>
                <w:rFonts w:eastAsia="Times New Roman" w:cs="Times New Roman"/>
                <w:b/>
                <w:bCs/>
                <w:color w:val="000000"/>
                <w:szCs w:val="24"/>
              </w:rPr>
            </w:pPr>
            <w:r w:rsidRPr="00FB520D">
              <w:rPr>
                <w:rFonts w:eastAsia="Times New Roman" w:cs="Times New Roman"/>
                <w:b/>
                <w:bCs/>
                <w:color w:val="000000"/>
                <w:szCs w:val="24"/>
              </w:rPr>
              <w:t>British telecom(BT) Ratio Analysis</w:t>
            </w:r>
          </w:p>
        </w:tc>
      </w:tr>
      <w:tr w:rsidR="001D629C" w:rsidRPr="00FB520D" w:rsidTr="001D629C">
        <w:trPr>
          <w:trHeight w:val="315"/>
        </w:trPr>
        <w:tc>
          <w:tcPr>
            <w:tcW w:w="3510" w:type="dxa"/>
            <w:tcBorders>
              <w:top w:val="nil"/>
              <w:left w:val="single" w:sz="4" w:space="0" w:color="auto"/>
              <w:bottom w:val="single" w:sz="4" w:space="0" w:color="auto"/>
              <w:right w:val="single" w:sz="4" w:space="0" w:color="auto"/>
            </w:tcBorders>
            <w:shd w:val="clear" w:color="000000" w:fill="DBE5F1"/>
            <w:noWrap/>
            <w:vAlign w:val="bottom"/>
            <w:hideMark/>
          </w:tcPr>
          <w:p w:rsidR="001D629C" w:rsidRPr="00FB520D" w:rsidRDefault="001D629C" w:rsidP="001D629C">
            <w:pPr>
              <w:spacing w:after="0" w:line="240" w:lineRule="auto"/>
              <w:rPr>
                <w:rFonts w:eastAsia="Times New Roman" w:cs="Times New Roman"/>
                <w:b/>
                <w:bCs/>
                <w:color w:val="000000"/>
                <w:szCs w:val="24"/>
              </w:rPr>
            </w:pPr>
            <w:r w:rsidRPr="00FB520D">
              <w:rPr>
                <w:rFonts w:eastAsia="Times New Roman" w:cs="Times New Roman"/>
                <w:b/>
                <w:bCs/>
                <w:color w:val="000000"/>
                <w:szCs w:val="24"/>
              </w:rPr>
              <w:t xml:space="preserve">Items of financial statement  </w:t>
            </w:r>
          </w:p>
        </w:tc>
        <w:tc>
          <w:tcPr>
            <w:tcW w:w="1090" w:type="dxa"/>
            <w:tcBorders>
              <w:top w:val="nil"/>
              <w:left w:val="nil"/>
              <w:bottom w:val="single" w:sz="4" w:space="0" w:color="auto"/>
              <w:right w:val="single" w:sz="4" w:space="0" w:color="auto"/>
            </w:tcBorders>
            <w:shd w:val="clear" w:color="000000" w:fill="DBE5F1"/>
            <w:noWrap/>
            <w:vAlign w:val="bottom"/>
            <w:hideMark/>
          </w:tcPr>
          <w:p w:rsidR="001D629C" w:rsidRPr="00FB520D" w:rsidRDefault="001D629C" w:rsidP="001D629C">
            <w:pPr>
              <w:spacing w:after="0" w:line="240" w:lineRule="auto"/>
              <w:rPr>
                <w:rFonts w:eastAsia="Times New Roman" w:cs="Times New Roman"/>
                <w:color w:val="000000"/>
                <w:szCs w:val="24"/>
              </w:rPr>
            </w:pPr>
            <w:r w:rsidRPr="00FB520D">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1D629C" w:rsidRPr="00FB520D" w:rsidRDefault="001D629C" w:rsidP="001D629C">
            <w:pPr>
              <w:spacing w:after="0" w:line="240" w:lineRule="auto"/>
              <w:rPr>
                <w:rFonts w:eastAsia="Times New Roman" w:cs="Times New Roman"/>
                <w:color w:val="000000"/>
                <w:szCs w:val="24"/>
              </w:rPr>
            </w:pPr>
            <w:r w:rsidRPr="00FB520D">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1D629C" w:rsidRPr="00FB520D" w:rsidRDefault="001D629C" w:rsidP="001D629C">
            <w:pPr>
              <w:spacing w:after="0" w:line="240" w:lineRule="auto"/>
              <w:rPr>
                <w:rFonts w:eastAsia="Times New Roman" w:cs="Times New Roman"/>
                <w:color w:val="000000"/>
                <w:szCs w:val="24"/>
              </w:rPr>
            </w:pPr>
            <w:r w:rsidRPr="00FB520D">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1D629C" w:rsidRPr="00FB520D" w:rsidRDefault="001D629C" w:rsidP="001D629C">
            <w:pPr>
              <w:spacing w:after="0" w:line="240" w:lineRule="auto"/>
              <w:rPr>
                <w:rFonts w:eastAsia="Times New Roman" w:cs="Times New Roman"/>
                <w:color w:val="000000"/>
                <w:szCs w:val="24"/>
              </w:rPr>
            </w:pPr>
            <w:r w:rsidRPr="00FB520D">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1D629C" w:rsidRPr="00FB520D" w:rsidRDefault="001D629C" w:rsidP="001D629C">
            <w:pPr>
              <w:spacing w:after="0" w:line="240" w:lineRule="auto"/>
              <w:rPr>
                <w:rFonts w:eastAsia="Times New Roman" w:cs="Times New Roman"/>
                <w:color w:val="000000"/>
                <w:szCs w:val="24"/>
              </w:rPr>
            </w:pPr>
            <w:r w:rsidRPr="00FB520D">
              <w:rPr>
                <w:rFonts w:eastAsia="Times New Roman" w:cs="Times New Roman"/>
                <w:color w:val="000000"/>
                <w:szCs w:val="24"/>
              </w:rPr>
              <w:t>£,million</w:t>
            </w:r>
          </w:p>
        </w:tc>
      </w:tr>
      <w:tr w:rsidR="001D629C" w:rsidRPr="00FB520D" w:rsidTr="001D629C">
        <w:trPr>
          <w:trHeight w:val="315"/>
        </w:trPr>
        <w:tc>
          <w:tcPr>
            <w:tcW w:w="3510" w:type="dxa"/>
            <w:tcBorders>
              <w:top w:val="nil"/>
              <w:left w:val="single" w:sz="4" w:space="0" w:color="auto"/>
              <w:bottom w:val="single" w:sz="4" w:space="0" w:color="auto"/>
              <w:right w:val="single" w:sz="4" w:space="0" w:color="auto"/>
            </w:tcBorders>
            <w:shd w:val="clear" w:color="000000" w:fill="FFC000"/>
            <w:noWrap/>
            <w:vAlign w:val="bottom"/>
            <w:hideMark/>
          </w:tcPr>
          <w:p w:rsidR="001D629C" w:rsidRPr="00FB520D" w:rsidRDefault="001D629C" w:rsidP="001D629C">
            <w:pPr>
              <w:spacing w:after="0" w:line="240" w:lineRule="auto"/>
              <w:rPr>
                <w:rFonts w:eastAsia="Times New Roman" w:cs="Times New Roman"/>
                <w:b/>
                <w:bCs/>
                <w:color w:val="000000"/>
                <w:szCs w:val="24"/>
              </w:rPr>
            </w:pPr>
            <w:r w:rsidRPr="00FB520D">
              <w:rPr>
                <w:rFonts w:eastAsia="Times New Roman" w:cs="Times New Roman"/>
                <w:b/>
                <w:bCs/>
                <w:color w:val="000000"/>
                <w:szCs w:val="24"/>
              </w:rPr>
              <w:t>Years</w:t>
            </w:r>
          </w:p>
        </w:tc>
        <w:tc>
          <w:tcPr>
            <w:tcW w:w="1090" w:type="dxa"/>
            <w:tcBorders>
              <w:top w:val="nil"/>
              <w:left w:val="nil"/>
              <w:bottom w:val="single" w:sz="4" w:space="0" w:color="auto"/>
              <w:right w:val="single" w:sz="4" w:space="0" w:color="auto"/>
            </w:tcBorders>
            <w:shd w:val="clear" w:color="000000" w:fill="FFC000"/>
            <w:noWrap/>
            <w:vAlign w:val="bottom"/>
            <w:hideMark/>
          </w:tcPr>
          <w:p w:rsidR="001D629C" w:rsidRPr="00FB520D" w:rsidRDefault="001D629C" w:rsidP="001D629C">
            <w:pPr>
              <w:spacing w:after="0" w:line="240" w:lineRule="auto"/>
              <w:jc w:val="right"/>
              <w:rPr>
                <w:rFonts w:eastAsia="Times New Roman" w:cs="Times New Roman"/>
                <w:b/>
                <w:bCs/>
                <w:color w:val="000000"/>
                <w:szCs w:val="24"/>
              </w:rPr>
            </w:pPr>
            <w:r w:rsidRPr="00FB520D">
              <w:rPr>
                <w:rFonts w:eastAsia="Times New Roman" w:cs="Times New Roman"/>
                <w:b/>
                <w:bCs/>
                <w:color w:val="000000"/>
                <w:szCs w:val="24"/>
              </w:rPr>
              <w:t>2012</w:t>
            </w:r>
          </w:p>
        </w:tc>
        <w:tc>
          <w:tcPr>
            <w:tcW w:w="1090" w:type="dxa"/>
            <w:tcBorders>
              <w:top w:val="nil"/>
              <w:left w:val="nil"/>
              <w:bottom w:val="single" w:sz="4" w:space="0" w:color="auto"/>
              <w:right w:val="single" w:sz="4" w:space="0" w:color="auto"/>
            </w:tcBorders>
            <w:shd w:val="clear" w:color="000000" w:fill="FFC000"/>
            <w:noWrap/>
            <w:vAlign w:val="bottom"/>
            <w:hideMark/>
          </w:tcPr>
          <w:p w:rsidR="001D629C" w:rsidRPr="00FB520D" w:rsidRDefault="001D629C" w:rsidP="001D629C">
            <w:pPr>
              <w:spacing w:after="0" w:line="240" w:lineRule="auto"/>
              <w:jc w:val="right"/>
              <w:rPr>
                <w:rFonts w:eastAsia="Times New Roman" w:cs="Times New Roman"/>
                <w:b/>
                <w:bCs/>
                <w:color w:val="000000"/>
                <w:szCs w:val="24"/>
              </w:rPr>
            </w:pPr>
            <w:r w:rsidRPr="00FB520D">
              <w:rPr>
                <w:rFonts w:eastAsia="Times New Roman" w:cs="Times New Roman"/>
                <w:b/>
                <w:bCs/>
                <w:color w:val="000000"/>
                <w:szCs w:val="24"/>
              </w:rPr>
              <w:t>2013</w:t>
            </w:r>
          </w:p>
        </w:tc>
        <w:tc>
          <w:tcPr>
            <w:tcW w:w="1090" w:type="dxa"/>
            <w:tcBorders>
              <w:top w:val="nil"/>
              <w:left w:val="nil"/>
              <w:bottom w:val="single" w:sz="4" w:space="0" w:color="auto"/>
              <w:right w:val="single" w:sz="4" w:space="0" w:color="auto"/>
            </w:tcBorders>
            <w:shd w:val="clear" w:color="000000" w:fill="FFC000"/>
            <w:noWrap/>
            <w:vAlign w:val="bottom"/>
            <w:hideMark/>
          </w:tcPr>
          <w:p w:rsidR="001D629C" w:rsidRPr="00FB520D" w:rsidRDefault="001D629C" w:rsidP="001D629C">
            <w:pPr>
              <w:spacing w:after="0" w:line="240" w:lineRule="auto"/>
              <w:jc w:val="right"/>
              <w:rPr>
                <w:rFonts w:eastAsia="Times New Roman" w:cs="Times New Roman"/>
                <w:b/>
                <w:bCs/>
                <w:color w:val="000000"/>
                <w:szCs w:val="24"/>
              </w:rPr>
            </w:pPr>
            <w:r w:rsidRPr="00FB520D">
              <w:rPr>
                <w:rFonts w:eastAsia="Times New Roman" w:cs="Times New Roman"/>
                <w:b/>
                <w:bCs/>
                <w:color w:val="000000"/>
                <w:szCs w:val="24"/>
              </w:rPr>
              <w:t>2014</w:t>
            </w:r>
          </w:p>
        </w:tc>
        <w:tc>
          <w:tcPr>
            <w:tcW w:w="1090" w:type="dxa"/>
            <w:tcBorders>
              <w:top w:val="nil"/>
              <w:left w:val="nil"/>
              <w:bottom w:val="single" w:sz="4" w:space="0" w:color="auto"/>
              <w:right w:val="single" w:sz="4" w:space="0" w:color="auto"/>
            </w:tcBorders>
            <w:shd w:val="clear" w:color="000000" w:fill="FFC000"/>
            <w:noWrap/>
            <w:vAlign w:val="bottom"/>
            <w:hideMark/>
          </w:tcPr>
          <w:p w:rsidR="001D629C" w:rsidRPr="00FB520D" w:rsidRDefault="001D629C" w:rsidP="001D629C">
            <w:pPr>
              <w:spacing w:after="0" w:line="240" w:lineRule="auto"/>
              <w:jc w:val="right"/>
              <w:rPr>
                <w:rFonts w:eastAsia="Times New Roman" w:cs="Times New Roman"/>
                <w:b/>
                <w:bCs/>
                <w:color w:val="000000"/>
                <w:szCs w:val="24"/>
              </w:rPr>
            </w:pPr>
            <w:r w:rsidRPr="00FB520D">
              <w:rPr>
                <w:rFonts w:eastAsia="Times New Roman" w:cs="Times New Roman"/>
                <w:b/>
                <w:bCs/>
                <w:color w:val="000000"/>
                <w:szCs w:val="24"/>
              </w:rPr>
              <w:t>2015</w:t>
            </w:r>
          </w:p>
        </w:tc>
        <w:tc>
          <w:tcPr>
            <w:tcW w:w="1090" w:type="dxa"/>
            <w:tcBorders>
              <w:top w:val="nil"/>
              <w:left w:val="nil"/>
              <w:bottom w:val="single" w:sz="4" w:space="0" w:color="auto"/>
              <w:right w:val="single" w:sz="4" w:space="0" w:color="auto"/>
            </w:tcBorders>
            <w:shd w:val="clear" w:color="000000" w:fill="FFC000"/>
            <w:noWrap/>
            <w:vAlign w:val="bottom"/>
            <w:hideMark/>
          </w:tcPr>
          <w:p w:rsidR="001D629C" w:rsidRPr="00FB520D" w:rsidRDefault="001D629C" w:rsidP="001D629C">
            <w:pPr>
              <w:spacing w:after="0" w:line="240" w:lineRule="auto"/>
              <w:jc w:val="right"/>
              <w:rPr>
                <w:rFonts w:eastAsia="Times New Roman" w:cs="Times New Roman"/>
                <w:b/>
                <w:bCs/>
                <w:color w:val="000000"/>
                <w:szCs w:val="24"/>
              </w:rPr>
            </w:pPr>
            <w:r w:rsidRPr="00FB520D">
              <w:rPr>
                <w:rFonts w:eastAsia="Times New Roman" w:cs="Times New Roman"/>
                <w:b/>
                <w:bCs/>
                <w:color w:val="000000"/>
                <w:szCs w:val="24"/>
              </w:rPr>
              <w:t>2016</w:t>
            </w:r>
          </w:p>
        </w:tc>
      </w:tr>
      <w:tr w:rsidR="001D629C" w:rsidRPr="00FB520D" w:rsidTr="001D629C">
        <w:trPr>
          <w:trHeight w:val="315"/>
        </w:trPr>
        <w:tc>
          <w:tcPr>
            <w:tcW w:w="3510" w:type="dxa"/>
            <w:tcBorders>
              <w:top w:val="nil"/>
              <w:left w:val="single" w:sz="4" w:space="0" w:color="auto"/>
              <w:bottom w:val="single" w:sz="4" w:space="0" w:color="auto"/>
              <w:right w:val="single" w:sz="4" w:space="0" w:color="auto"/>
            </w:tcBorders>
            <w:shd w:val="clear" w:color="000000" w:fill="C5BE97"/>
            <w:noWrap/>
            <w:vAlign w:val="bottom"/>
            <w:hideMark/>
          </w:tcPr>
          <w:p w:rsidR="001D629C" w:rsidRPr="00FB520D" w:rsidRDefault="001D629C" w:rsidP="001D629C">
            <w:pPr>
              <w:spacing w:after="0" w:line="240" w:lineRule="auto"/>
              <w:rPr>
                <w:rFonts w:eastAsia="Times New Roman" w:cs="Times New Roman"/>
                <w:color w:val="000000"/>
                <w:szCs w:val="24"/>
              </w:rPr>
            </w:pPr>
            <w:r w:rsidRPr="00FB520D">
              <w:rPr>
                <w:rFonts w:eastAsia="Times New Roman" w:cs="Times New Roman"/>
                <w:color w:val="000000"/>
                <w:szCs w:val="24"/>
              </w:rPr>
              <w:t>Current asset</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FB520D" w:rsidRDefault="001D629C" w:rsidP="001D629C">
            <w:pPr>
              <w:spacing w:after="0" w:line="240" w:lineRule="auto"/>
              <w:jc w:val="right"/>
              <w:rPr>
                <w:rFonts w:eastAsia="Times New Roman" w:cs="Times New Roman"/>
                <w:color w:val="000000"/>
                <w:szCs w:val="24"/>
              </w:rPr>
            </w:pPr>
            <w:r w:rsidRPr="00FB520D">
              <w:rPr>
                <w:rFonts w:eastAsia="Times New Roman" w:cs="Times New Roman"/>
                <w:color w:val="000000"/>
                <w:szCs w:val="24"/>
              </w:rPr>
              <w:t>4,531</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FB520D" w:rsidRDefault="001D629C" w:rsidP="001D629C">
            <w:pPr>
              <w:spacing w:after="0" w:line="240" w:lineRule="auto"/>
              <w:jc w:val="right"/>
              <w:rPr>
                <w:rFonts w:eastAsia="Times New Roman" w:cs="Times New Roman"/>
                <w:color w:val="000000"/>
                <w:szCs w:val="24"/>
              </w:rPr>
            </w:pPr>
            <w:r w:rsidRPr="00FB520D">
              <w:rPr>
                <w:rFonts w:eastAsia="Times New Roman" w:cs="Times New Roman"/>
                <w:color w:val="000000"/>
                <w:szCs w:val="24"/>
              </w:rPr>
              <w:t>5,417</w:t>
            </w:r>
          </w:p>
        </w:tc>
        <w:tc>
          <w:tcPr>
            <w:tcW w:w="1090" w:type="dxa"/>
            <w:tcBorders>
              <w:top w:val="single" w:sz="4" w:space="0" w:color="auto"/>
              <w:left w:val="nil"/>
              <w:bottom w:val="single" w:sz="4" w:space="0" w:color="auto"/>
              <w:right w:val="single" w:sz="4" w:space="0" w:color="auto"/>
            </w:tcBorders>
            <w:shd w:val="clear" w:color="000000" w:fill="C5BE97"/>
            <w:noWrap/>
            <w:vAlign w:val="bottom"/>
            <w:hideMark/>
          </w:tcPr>
          <w:p w:rsidR="001D629C" w:rsidRPr="00FB520D" w:rsidRDefault="001D629C" w:rsidP="001D629C">
            <w:pPr>
              <w:spacing w:after="0" w:line="240" w:lineRule="auto"/>
              <w:jc w:val="right"/>
              <w:rPr>
                <w:rFonts w:eastAsia="Times New Roman" w:cs="Times New Roman"/>
                <w:color w:val="000000"/>
                <w:szCs w:val="24"/>
              </w:rPr>
            </w:pPr>
            <w:r w:rsidRPr="00FB520D">
              <w:rPr>
                <w:rFonts w:eastAsia="Times New Roman" w:cs="Times New Roman"/>
                <w:color w:val="000000"/>
                <w:szCs w:val="24"/>
              </w:rPr>
              <w:t>6,483</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FB520D" w:rsidRDefault="001D629C" w:rsidP="001D629C">
            <w:pPr>
              <w:spacing w:after="0" w:line="240" w:lineRule="auto"/>
              <w:jc w:val="right"/>
              <w:rPr>
                <w:rFonts w:eastAsia="Times New Roman" w:cs="Times New Roman"/>
                <w:color w:val="000000"/>
                <w:szCs w:val="24"/>
              </w:rPr>
            </w:pPr>
            <w:r w:rsidRPr="00FB520D">
              <w:rPr>
                <w:rFonts w:eastAsia="Times New Roman" w:cs="Times New Roman"/>
                <w:color w:val="000000"/>
                <w:szCs w:val="24"/>
              </w:rPr>
              <w:t>7,515</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FB520D" w:rsidRDefault="001D629C" w:rsidP="001D629C">
            <w:pPr>
              <w:spacing w:after="0" w:line="240" w:lineRule="auto"/>
              <w:jc w:val="right"/>
              <w:rPr>
                <w:rFonts w:eastAsia="Times New Roman" w:cs="Times New Roman"/>
                <w:color w:val="000000"/>
                <w:szCs w:val="24"/>
              </w:rPr>
            </w:pPr>
            <w:r w:rsidRPr="00FB520D">
              <w:rPr>
                <w:rFonts w:eastAsia="Times New Roman" w:cs="Times New Roman"/>
                <w:color w:val="000000"/>
                <w:szCs w:val="24"/>
              </w:rPr>
              <w:t>8,489</w:t>
            </w:r>
          </w:p>
        </w:tc>
      </w:tr>
      <w:tr w:rsidR="001D629C" w:rsidRPr="00FB520D" w:rsidTr="001D629C">
        <w:trPr>
          <w:trHeight w:val="315"/>
        </w:trPr>
        <w:tc>
          <w:tcPr>
            <w:tcW w:w="3510" w:type="dxa"/>
            <w:tcBorders>
              <w:top w:val="nil"/>
              <w:left w:val="single" w:sz="4" w:space="0" w:color="auto"/>
              <w:bottom w:val="single" w:sz="4" w:space="0" w:color="auto"/>
              <w:right w:val="single" w:sz="4" w:space="0" w:color="auto"/>
            </w:tcBorders>
            <w:shd w:val="clear" w:color="000000" w:fill="C5BE97"/>
            <w:noWrap/>
            <w:vAlign w:val="bottom"/>
            <w:hideMark/>
          </w:tcPr>
          <w:p w:rsidR="001D629C" w:rsidRPr="00FB520D" w:rsidRDefault="001D629C" w:rsidP="001D629C">
            <w:pPr>
              <w:spacing w:after="0" w:line="240" w:lineRule="auto"/>
              <w:rPr>
                <w:rFonts w:eastAsia="Times New Roman" w:cs="Times New Roman"/>
                <w:color w:val="000000"/>
                <w:szCs w:val="24"/>
              </w:rPr>
            </w:pPr>
            <w:r w:rsidRPr="00FB520D">
              <w:rPr>
                <w:rFonts w:eastAsia="Times New Roman" w:cs="Times New Roman"/>
                <w:color w:val="000000"/>
                <w:szCs w:val="24"/>
              </w:rPr>
              <w:t>Current liability</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FB520D" w:rsidRDefault="001D629C" w:rsidP="001D629C">
            <w:pPr>
              <w:spacing w:after="0" w:line="240" w:lineRule="auto"/>
              <w:jc w:val="right"/>
              <w:rPr>
                <w:rFonts w:eastAsia="Times New Roman" w:cs="Times New Roman"/>
                <w:color w:val="000000"/>
                <w:szCs w:val="24"/>
              </w:rPr>
            </w:pPr>
            <w:r w:rsidRPr="00FB520D">
              <w:rPr>
                <w:rFonts w:eastAsia="Times New Roman" w:cs="Times New Roman"/>
                <w:color w:val="000000"/>
                <w:szCs w:val="24"/>
              </w:rPr>
              <w:t>9,255</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FB520D" w:rsidRDefault="001D629C" w:rsidP="001D629C">
            <w:pPr>
              <w:spacing w:after="0" w:line="240" w:lineRule="auto"/>
              <w:jc w:val="right"/>
              <w:rPr>
                <w:rFonts w:eastAsia="Times New Roman" w:cs="Times New Roman"/>
                <w:color w:val="000000"/>
                <w:szCs w:val="24"/>
              </w:rPr>
            </w:pPr>
            <w:r w:rsidRPr="00FB520D">
              <w:rPr>
                <w:rFonts w:eastAsia="Times New Roman" w:cs="Times New Roman"/>
                <w:color w:val="000000"/>
                <w:szCs w:val="24"/>
              </w:rPr>
              <w:t>7,644</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FB520D" w:rsidRDefault="001D629C" w:rsidP="001D629C">
            <w:pPr>
              <w:spacing w:after="0" w:line="240" w:lineRule="auto"/>
              <w:jc w:val="right"/>
              <w:rPr>
                <w:rFonts w:eastAsia="Times New Roman" w:cs="Times New Roman"/>
                <w:color w:val="000000"/>
                <w:szCs w:val="24"/>
              </w:rPr>
            </w:pPr>
            <w:r w:rsidRPr="00FB520D">
              <w:rPr>
                <w:rFonts w:eastAsia="Times New Roman" w:cs="Times New Roman"/>
                <w:color w:val="000000"/>
                <w:szCs w:val="24"/>
              </w:rPr>
              <w:t>7,709</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FB520D" w:rsidRDefault="001D629C" w:rsidP="001D629C">
            <w:pPr>
              <w:spacing w:after="0" w:line="240" w:lineRule="auto"/>
              <w:jc w:val="right"/>
              <w:rPr>
                <w:rFonts w:eastAsia="Times New Roman" w:cs="Times New Roman"/>
                <w:color w:val="000000"/>
                <w:szCs w:val="24"/>
              </w:rPr>
            </w:pPr>
            <w:r w:rsidRPr="00FB520D">
              <w:rPr>
                <w:rFonts w:eastAsia="Times New Roman" w:cs="Times New Roman"/>
                <w:color w:val="000000"/>
                <w:szCs w:val="24"/>
              </w:rPr>
              <w:t>7,731</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FB520D" w:rsidRDefault="001D629C" w:rsidP="001D629C">
            <w:pPr>
              <w:spacing w:after="0" w:line="240" w:lineRule="auto"/>
              <w:jc w:val="right"/>
              <w:rPr>
                <w:rFonts w:eastAsia="Times New Roman" w:cs="Times New Roman"/>
                <w:color w:val="000000"/>
                <w:szCs w:val="24"/>
              </w:rPr>
            </w:pPr>
            <w:r w:rsidRPr="00FB520D">
              <w:rPr>
                <w:rFonts w:eastAsia="Times New Roman" w:cs="Times New Roman"/>
                <w:color w:val="000000"/>
                <w:szCs w:val="24"/>
              </w:rPr>
              <w:t>11,081</w:t>
            </w:r>
          </w:p>
        </w:tc>
      </w:tr>
      <w:tr w:rsidR="001D629C" w:rsidRPr="00FB520D" w:rsidTr="001D629C">
        <w:trPr>
          <w:trHeight w:val="315"/>
        </w:trPr>
        <w:tc>
          <w:tcPr>
            <w:tcW w:w="3510" w:type="dxa"/>
            <w:tcBorders>
              <w:top w:val="nil"/>
              <w:left w:val="single" w:sz="4" w:space="0" w:color="auto"/>
              <w:bottom w:val="single" w:sz="4" w:space="0" w:color="auto"/>
              <w:right w:val="single" w:sz="4" w:space="0" w:color="auto"/>
            </w:tcBorders>
            <w:shd w:val="clear" w:color="000000" w:fill="C5BE97"/>
            <w:noWrap/>
            <w:vAlign w:val="bottom"/>
            <w:hideMark/>
          </w:tcPr>
          <w:p w:rsidR="001D629C" w:rsidRPr="00FB520D" w:rsidRDefault="001D629C" w:rsidP="001D629C">
            <w:pPr>
              <w:spacing w:after="0" w:line="240" w:lineRule="auto"/>
              <w:rPr>
                <w:rFonts w:eastAsia="Times New Roman" w:cs="Times New Roman"/>
                <w:color w:val="000000"/>
                <w:szCs w:val="24"/>
              </w:rPr>
            </w:pPr>
            <w:r w:rsidRPr="00FB520D">
              <w:rPr>
                <w:rFonts w:eastAsia="Times New Roman" w:cs="Times New Roman"/>
                <w:color w:val="000000"/>
                <w:szCs w:val="24"/>
              </w:rPr>
              <w:t>Average Inventory holding</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FB520D" w:rsidRDefault="001D629C" w:rsidP="001D629C">
            <w:pPr>
              <w:spacing w:after="0" w:line="240" w:lineRule="auto"/>
              <w:jc w:val="right"/>
              <w:rPr>
                <w:rFonts w:eastAsia="Times New Roman" w:cs="Times New Roman"/>
                <w:color w:val="000000"/>
                <w:szCs w:val="24"/>
              </w:rPr>
            </w:pPr>
            <w:r w:rsidRPr="00FB520D">
              <w:rPr>
                <w:rFonts w:eastAsia="Times New Roman" w:cs="Times New Roman"/>
                <w:color w:val="000000"/>
                <w:szCs w:val="24"/>
              </w:rPr>
              <w:t>104</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FB520D" w:rsidRDefault="001D629C" w:rsidP="001D629C">
            <w:pPr>
              <w:spacing w:after="0" w:line="240" w:lineRule="auto"/>
              <w:jc w:val="right"/>
              <w:rPr>
                <w:rFonts w:eastAsia="Times New Roman" w:cs="Times New Roman"/>
                <w:color w:val="000000"/>
                <w:szCs w:val="24"/>
              </w:rPr>
            </w:pPr>
            <w:r w:rsidRPr="00FB520D">
              <w:rPr>
                <w:rFonts w:eastAsia="Times New Roman" w:cs="Times New Roman"/>
                <w:color w:val="000000"/>
                <w:szCs w:val="24"/>
              </w:rPr>
              <w:t>103</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FB520D" w:rsidRDefault="001D629C" w:rsidP="001D629C">
            <w:pPr>
              <w:spacing w:after="0" w:line="240" w:lineRule="auto"/>
              <w:jc w:val="right"/>
              <w:rPr>
                <w:rFonts w:eastAsia="Times New Roman" w:cs="Times New Roman"/>
                <w:color w:val="000000"/>
                <w:szCs w:val="24"/>
              </w:rPr>
            </w:pPr>
            <w:r w:rsidRPr="00FB520D">
              <w:rPr>
                <w:rFonts w:eastAsia="Times New Roman" w:cs="Times New Roman"/>
                <w:color w:val="000000"/>
                <w:szCs w:val="24"/>
              </w:rPr>
              <w:t>82</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FB520D" w:rsidRDefault="001D629C" w:rsidP="001D629C">
            <w:pPr>
              <w:spacing w:after="0" w:line="240" w:lineRule="auto"/>
              <w:jc w:val="right"/>
              <w:rPr>
                <w:rFonts w:eastAsia="Times New Roman" w:cs="Times New Roman"/>
                <w:color w:val="000000"/>
                <w:szCs w:val="24"/>
              </w:rPr>
            </w:pPr>
            <w:r w:rsidRPr="00FB520D">
              <w:rPr>
                <w:rFonts w:eastAsia="Times New Roman" w:cs="Times New Roman"/>
                <w:color w:val="000000"/>
                <w:szCs w:val="24"/>
              </w:rPr>
              <w:t>94</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FB520D" w:rsidRDefault="001D629C" w:rsidP="001D629C">
            <w:pPr>
              <w:spacing w:after="0" w:line="240" w:lineRule="auto"/>
              <w:jc w:val="right"/>
              <w:rPr>
                <w:rFonts w:eastAsia="Times New Roman" w:cs="Times New Roman"/>
                <w:color w:val="000000"/>
                <w:szCs w:val="24"/>
              </w:rPr>
            </w:pPr>
            <w:r w:rsidRPr="00FB520D">
              <w:rPr>
                <w:rFonts w:eastAsia="Times New Roman" w:cs="Times New Roman"/>
                <w:color w:val="000000"/>
                <w:szCs w:val="24"/>
              </w:rPr>
              <w:t>189</w:t>
            </w:r>
          </w:p>
        </w:tc>
      </w:tr>
      <w:tr w:rsidR="001D629C" w:rsidRPr="00EC4A73" w:rsidTr="001D629C">
        <w:trPr>
          <w:trHeight w:val="315"/>
        </w:trPr>
        <w:tc>
          <w:tcPr>
            <w:tcW w:w="3510" w:type="dxa"/>
            <w:tcBorders>
              <w:top w:val="nil"/>
              <w:left w:val="single" w:sz="4" w:space="0" w:color="auto"/>
              <w:bottom w:val="single" w:sz="4" w:space="0" w:color="auto"/>
              <w:right w:val="single" w:sz="4" w:space="0" w:color="auto"/>
            </w:tcBorders>
            <w:shd w:val="clear" w:color="auto" w:fill="E5B8B7" w:themeFill="accent2" w:themeFillTint="66"/>
            <w:noWrap/>
            <w:vAlign w:val="bottom"/>
            <w:hideMark/>
          </w:tcPr>
          <w:p w:rsidR="001D629C" w:rsidRPr="00EC4A73" w:rsidRDefault="001D629C" w:rsidP="001D629C">
            <w:pPr>
              <w:spacing w:after="0" w:line="240" w:lineRule="auto"/>
              <w:rPr>
                <w:rFonts w:eastAsia="Times New Roman" w:cs="Times New Roman"/>
                <w:color w:val="000000"/>
                <w:szCs w:val="24"/>
              </w:rPr>
            </w:pPr>
            <w:r w:rsidRPr="00EC4A73">
              <w:rPr>
                <w:rFonts w:eastAsia="Times New Roman" w:cs="Times New Roman"/>
                <w:color w:val="000000"/>
                <w:szCs w:val="24"/>
              </w:rPr>
              <w:t xml:space="preserve">Quick Ratio ([Current asset-Inventories]/ Current liability*100) </w:t>
            </w:r>
          </w:p>
        </w:tc>
        <w:tc>
          <w:tcPr>
            <w:tcW w:w="1090" w:type="dxa"/>
            <w:tcBorders>
              <w:top w:val="nil"/>
              <w:left w:val="nil"/>
              <w:bottom w:val="single" w:sz="4" w:space="0" w:color="auto"/>
              <w:right w:val="single" w:sz="4" w:space="0" w:color="auto"/>
            </w:tcBorders>
            <w:shd w:val="clear" w:color="auto" w:fill="E5B8B7" w:themeFill="accent2" w:themeFillTint="66"/>
            <w:noWrap/>
            <w:vAlign w:val="bottom"/>
            <w:hideMark/>
          </w:tcPr>
          <w:p w:rsidR="001D629C" w:rsidRPr="00EC4A73" w:rsidRDefault="001D629C" w:rsidP="001D629C">
            <w:pPr>
              <w:spacing w:after="0" w:line="240" w:lineRule="auto"/>
              <w:jc w:val="right"/>
              <w:rPr>
                <w:rFonts w:eastAsia="Times New Roman" w:cs="Times New Roman"/>
                <w:color w:val="000000"/>
                <w:szCs w:val="24"/>
              </w:rPr>
            </w:pPr>
            <w:r w:rsidRPr="00EC4A73">
              <w:rPr>
                <w:rFonts w:eastAsia="Times New Roman" w:cs="Times New Roman"/>
                <w:color w:val="000000"/>
                <w:szCs w:val="24"/>
              </w:rPr>
              <w:t>0.48</w:t>
            </w:r>
          </w:p>
        </w:tc>
        <w:tc>
          <w:tcPr>
            <w:tcW w:w="1090" w:type="dxa"/>
            <w:tcBorders>
              <w:top w:val="nil"/>
              <w:left w:val="nil"/>
              <w:bottom w:val="single" w:sz="4" w:space="0" w:color="auto"/>
              <w:right w:val="single" w:sz="4" w:space="0" w:color="auto"/>
            </w:tcBorders>
            <w:shd w:val="clear" w:color="auto" w:fill="E5B8B7" w:themeFill="accent2" w:themeFillTint="66"/>
            <w:noWrap/>
            <w:vAlign w:val="bottom"/>
            <w:hideMark/>
          </w:tcPr>
          <w:p w:rsidR="001D629C" w:rsidRPr="00EC4A73" w:rsidRDefault="001D629C" w:rsidP="001D629C">
            <w:pPr>
              <w:spacing w:after="0" w:line="240" w:lineRule="auto"/>
              <w:jc w:val="right"/>
              <w:rPr>
                <w:rFonts w:eastAsia="Times New Roman" w:cs="Times New Roman"/>
                <w:color w:val="000000"/>
                <w:szCs w:val="24"/>
              </w:rPr>
            </w:pPr>
            <w:r w:rsidRPr="00EC4A73">
              <w:rPr>
                <w:rFonts w:eastAsia="Times New Roman" w:cs="Times New Roman"/>
                <w:color w:val="000000"/>
                <w:szCs w:val="24"/>
              </w:rPr>
              <w:t>0.70</w:t>
            </w:r>
          </w:p>
        </w:tc>
        <w:tc>
          <w:tcPr>
            <w:tcW w:w="1090" w:type="dxa"/>
            <w:tcBorders>
              <w:top w:val="nil"/>
              <w:left w:val="nil"/>
              <w:bottom w:val="single" w:sz="4" w:space="0" w:color="auto"/>
              <w:right w:val="single" w:sz="4" w:space="0" w:color="auto"/>
            </w:tcBorders>
            <w:shd w:val="clear" w:color="auto" w:fill="E5B8B7" w:themeFill="accent2" w:themeFillTint="66"/>
            <w:noWrap/>
            <w:vAlign w:val="bottom"/>
            <w:hideMark/>
          </w:tcPr>
          <w:p w:rsidR="001D629C" w:rsidRPr="00EC4A73" w:rsidRDefault="001D629C" w:rsidP="001D629C">
            <w:pPr>
              <w:spacing w:after="0" w:line="240" w:lineRule="auto"/>
              <w:jc w:val="right"/>
              <w:rPr>
                <w:rFonts w:eastAsia="Times New Roman" w:cs="Times New Roman"/>
                <w:color w:val="000000"/>
                <w:szCs w:val="24"/>
              </w:rPr>
            </w:pPr>
            <w:r w:rsidRPr="00EC4A73">
              <w:rPr>
                <w:rFonts w:eastAsia="Times New Roman" w:cs="Times New Roman"/>
                <w:color w:val="000000"/>
                <w:szCs w:val="24"/>
              </w:rPr>
              <w:t>0.83</w:t>
            </w:r>
          </w:p>
        </w:tc>
        <w:tc>
          <w:tcPr>
            <w:tcW w:w="1090" w:type="dxa"/>
            <w:tcBorders>
              <w:top w:val="nil"/>
              <w:left w:val="nil"/>
              <w:bottom w:val="single" w:sz="4" w:space="0" w:color="auto"/>
              <w:right w:val="single" w:sz="4" w:space="0" w:color="auto"/>
            </w:tcBorders>
            <w:shd w:val="clear" w:color="auto" w:fill="E5B8B7" w:themeFill="accent2" w:themeFillTint="66"/>
            <w:noWrap/>
            <w:vAlign w:val="bottom"/>
            <w:hideMark/>
          </w:tcPr>
          <w:p w:rsidR="001D629C" w:rsidRPr="00EC4A73" w:rsidRDefault="001D629C" w:rsidP="001D629C">
            <w:pPr>
              <w:spacing w:after="0" w:line="240" w:lineRule="auto"/>
              <w:jc w:val="right"/>
              <w:rPr>
                <w:rFonts w:eastAsia="Times New Roman" w:cs="Times New Roman"/>
                <w:color w:val="000000"/>
                <w:szCs w:val="24"/>
              </w:rPr>
            </w:pPr>
            <w:r w:rsidRPr="00EC4A73">
              <w:rPr>
                <w:rFonts w:eastAsia="Times New Roman" w:cs="Times New Roman"/>
                <w:color w:val="000000"/>
                <w:szCs w:val="24"/>
              </w:rPr>
              <w:t>0.96</w:t>
            </w:r>
          </w:p>
        </w:tc>
        <w:tc>
          <w:tcPr>
            <w:tcW w:w="1090" w:type="dxa"/>
            <w:tcBorders>
              <w:top w:val="nil"/>
              <w:left w:val="nil"/>
              <w:bottom w:val="single" w:sz="4" w:space="0" w:color="auto"/>
              <w:right w:val="single" w:sz="4" w:space="0" w:color="auto"/>
            </w:tcBorders>
            <w:shd w:val="clear" w:color="auto" w:fill="E5B8B7" w:themeFill="accent2" w:themeFillTint="66"/>
            <w:noWrap/>
            <w:vAlign w:val="bottom"/>
            <w:hideMark/>
          </w:tcPr>
          <w:p w:rsidR="001D629C" w:rsidRPr="00EC4A73" w:rsidRDefault="001D629C" w:rsidP="001D629C">
            <w:pPr>
              <w:spacing w:after="0" w:line="240" w:lineRule="auto"/>
              <w:jc w:val="right"/>
              <w:rPr>
                <w:rFonts w:eastAsia="Times New Roman" w:cs="Times New Roman"/>
                <w:color w:val="000000"/>
                <w:szCs w:val="24"/>
              </w:rPr>
            </w:pPr>
            <w:r w:rsidRPr="00EC4A73">
              <w:rPr>
                <w:rFonts w:eastAsia="Times New Roman" w:cs="Times New Roman"/>
                <w:color w:val="000000"/>
                <w:szCs w:val="24"/>
              </w:rPr>
              <w:t>0.75</w:t>
            </w:r>
          </w:p>
        </w:tc>
      </w:tr>
    </w:tbl>
    <w:p w:rsidR="001D629C" w:rsidRDefault="001D629C" w:rsidP="001D629C">
      <w:pPr>
        <w:rPr>
          <w:b/>
        </w:rPr>
      </w:pPr>
    </w:p>
    <w:p w:rsidR="001D629C" w:rsidRDefault="001D629C" w:rsidP="001D629C">
      <w:r w:rsidRPr="0013193E">
        <w:t xml:space="preserve">While calculating the quick ratio as only the </w:t>
      </w:r>
      <w:r>
        <w:t>quick asset or only those current assets are considered which can be readily converted in to cash which is the most liquid form of the current asset, the ratio follows more all less the same changing pattern over years. Here it has been assumed that apart from the inventories all other current assets of the organization are quick in nature. So looking at the quick ratios it can be seen that there is not much difference in the quick and current ratios of the organization over years and this clearly indicates that the proportion of the inventory holding is negligible with respect to the total current asset holding of the organization and the organization has demonstrated its efficiency in generating trade receivables through the selling of those inventories duri8ng the period of study from 2012-2016.</w:t>
      </w:r>
    </w:p>
    <w:p w:rsidR="001D629C" w:rsidRPr="004A70E2" w:rsidRDefault="001D629C" w:rsidP="001D629C">
      <w:pPr>
        <w:rPr>
          <w:b/>
        </w:rPr>
      </w:pPr>
      <w:r w:rsidRPr="004A70E2">
        <w:rPr>
          <w:b/>
        </w:rPr>
        <w:t>Return on Capital employed:</w:t>
      </w:r>
    </w:p>
    <w:tbl>
      <w:tblPr>
        <w:tblW w:w="8960" w:type="dxa"/>
        <w:tblInd w:w="98" w:type="dxa"/>
        <w:tblLook w:val="04A0" w:firstRow="1" w:lastRow="0" w:firstColumn="1" w:lastColumn="0" w:noHBand="0" w:noVBand="1"/>
      </w:tblPr>
      <w:tblGrid>
        <w:gridCol w:w="3510"/>
        <w:gridCol w:w="1090"/>
        <w:gridCol w:w="1090"/>
        <w:gridCol w:w="1090"/>
        <w:gridCol w:w="1090"/>
        <w:gridCol w:w="1090"/>
      </w:tblGrid>
      <w:tr w:rsidR="001D629C" w:rsidRPr="00CF0AB8" w:rsidTr="001D629C">
        <w:trPr>
          <w:trHeight w:val="330"/>
        </w:trPr>
        <w:tc>
          <w:tcPr>
            <w:tcW w:w="8960" w:type="dxa"/>
            <w:gridSpan w:val="6"/>
            <w:tcBorders>
              <w:top w:val="single" w:sz="8" w:space="0" w:color="auto"/>
              <w:left w:val="single" w:sz="8" w:space="0" w:color="auto"/>
              <w:bottom w:val="single" w:sz="8" w:space="0" w:color="auto"/>
              <w:right w:val="single" w:sz="8" w:space="0" w:color="000000"/>
            </w:tcBorders>
            <w:shd w:val="clear" w:color="000000" w:fill="FFC000"/>
            <w:noWrap/>
            <w:vAlign w:val="bottom"/>
            <w:hideMark/>
          </w:tcPr>
          <w:p w:rsidR="001D629C" w:rsidRPr="00CF0AB8" w:rsidRDefault="001D629C" w:rsidP="001D629C">
            <w:pPr>
              <w:spacing w:after="0" w:line="240" w:lineRule="auto"/>
              <w:jc w:val="center"/>
              <w:rPr>
                <w:rFonts w:eastAsia="Times New Roman" w:cs="Times New Roman"/>
                <w:b/>
                <w:bCs/>
                <w:color w:val="000000"/>
                <w:szCs w:val="24"/>
              </w:rPr>
            </w:pPr>
            <w:r w:rsidRPr="00CF0AB8">
              <w:rPr>
                <w:rFonts w:eastAsia="Times New Roman" w:cs="Times New Roman"/>
                <w:b/>
                <w:bCs/>
                <w:color w:val="000000"/>
                <w:szCs w:val="24"/>
              </w:rPr>
              <w:t>British telecom(BT) Ratio Analysis</w:t>
            </w:r>
          </w:p>
        </w:tc>
      </w:tr>
      <w:tr w:rsidR="001D629C" w:rsidRPr="00CF0AB8" w:rsidTr="001D629C">
        <w:trPr>
          <w:trHeight w:val="315"/>
        </w:trPr>
        <w:tc>
          <w:tcPr>
            <w:tcW w:w="3510" w:type="dxa"/>
            <w:tcBorders>
              <w:top w:val="nil"/>
              <w:left w:val="single" w:sz="4" w:space="0" w:color="auto"/>
              <w:bottom w:val="single" w:sz="4" w:space="0" w:color="auto"/>
              <w:right w:val="single" w:sz="4" w:space="0" w:color="auto"/>
            </w:tcBorders>
            <w:shd w:val="clear" w:color="000000" w:fill="DBE5F1"/>
            <w:noWrap/>
            <w:vAlign w:val="bottom"/>
            <w:hideMark/>
          </w:tcPr>
          <w:p w:rsidR="001D629C" w:rsidRPr="00CF0AB8" w:rsidRDefault="001D629C" w:rsidP="001D629C">
            <w:pPr>
              <w:spacing w:after="0" w:line="240" w:lineRule="auto"/>
              <w:rPr>
                <w:rFonts w:eastAsia="Times New Roman" w:cs="Times New Roman"/>
                <w:b/>
                <w:bCs/>
                <w:color w:val="000000"/>
                <w:szCs w:val="24"/>
              </w:rPr>
            </w:pPr>
            <w:r w:rsidRPr="00CF0AB8">
              <w:rPr>
                <w:rFonts w:eastAsia="Times New Roman" w:cs="Times New Roman"/>
                <w:b/>
                <w:bCs/>
                <w:color w:val="000000"/>
                <w:szCs w:val="24"/>
              </w:rPr>
              <w:t xml:space="preserve">Items of financial statement  </w:t>
            </w:r>
          </w:p>
        </w:tc>
        <w:tc>
          <w:tcPr>
            <w:tcW w:w="1090" w:type="dxa"/>
            <w:tcBorders>
              <w:top w:val="nil"/>
              <w:left w:val="nil"/>
              <w:bottom w:val="single" w:sz="4" w:space="0" w:color="auto"/>
              <w:right w:val="single" w:sz="4" w:space="0" w:color="auto"/>
            </w:tcBorders>
            <w:shd w:val="clear" w:color="000000" w:fill="DBE5F1"/>
            <w:noWrap/>
            <w:vAlign w:val="bottom"/>
            <w:hideMark/>
          </w:tcPr>
          <w:p w:rsidR="001D629C" w:rsidRPr="00CF0AB8" w:rsidRDefault="001D629C" w:rsidP="001D629C">
            <w:pPr>
              <w:spacing w:after="0" w:line="240" w:lineRule="auto"/>
              <w:rPr>
                <w:rFonts w:eastAsia="Times New Roman" w:cs="Times New Roman"/>
                <w:color w:val="000000"/>
                <w:szCs w:val="24"/>
              </w:rPr>
            </w:pPr>
            <w:r w:rsidRPr="00CF0AB8">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1D629C" w:rsidRPr="00CF0AB8" w:rsidRDefault="001D629C" w:rsidP="001D629C">
            <w:pPr>
              <w:spacing w:after="0" w:line="240" w:lineRule="auto"/>
              <w:rPr>
                <w:rFonts w:eastAsia="Times New Roman" w:cs="Times New Roman"/>
                <w:color w:val="000000"/>
                <w:szCs w:val="24"/>
              </w:rPr>
            </w:pPr>
            <w:r w:rsidRPr="00CF0AB8">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1D629C" w:rsidRPr="00CF0AB8" w:rsidRDefault="001D629C" w:rsidP="001D629C">
            <w:pPr>
              <w:spacing w:after="0" w:line="240" w:lineRule="auto"/>
              <w:rPr>
                <w:rFonts w:eastAsia="Times New Roman" w:cs="Times New Roman"/>
                <w:color w:val="000000"/>
                <w:szCs w:val="24"/>
              </w:rPr>
            </w:pPr>
            <w:r w:rsidRPr="00CF0AB8">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1D629C" w:rsidRPr="00CF0AB8" w:rsidRDefault="001D629C" w:rsidP="001D629C">
            <w:pPr>
              <w:spacing w:after="0" w:line="240" w:lineRule="auto"/>
              <w:rPr>
                <w:rFonts w:eastAsia="Times New Roman" w:cs="Times New Roman"/>
                <w:color w:val="000000"/>
                <w:szCs w:val="24"/>
              </w:rPr>
            </w:pPr>
            <w:r w:rsidRPr="00CF0AB8">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1D629C" w:rsidRPr="00CF0AB8" w:rsidRDefault="001D629C" w:rsidP="001D629C">
            <w:pPr>
              <w:spacing w:after="0" w:line="240" w:lineRule="auto"/>
              <w:rPr>
                <w:rFonts w:eastAsia="Times New Roman" w:cs="Times New Roman"/>
                <w:color w:val="000000"/>
                <w:szCs w:val="24"/>
              </w:rPr>
            </w:pPr>
            <w:r w:rsidRPr="00CF0AB8">
              <w:rPr>
                <w:rFonts w:eastAsia="Times New Roman" w:cs="Times New Roman"/>
                <w:color w:val="000000"/>
                <w:szCs w:val="24"/>
              </w:rPr>
              <w:t>£,million</w:t>
            </w:r>
          </w:p>
        </w:tc>
      </w:tr>
      <w:tr w:rsidR="001D629C" w:rsidRPr="00CF0AB8" w:rsidTr="001D629C">
        <w:trPr>
          <w:trHeight w:val="315"/>
        </w:trPr>
        <w:tc>
          <w:tcPr>
            <w:tcW w:w="3510" w:type="dxa"/>
            <w:tcBorders>
              <w:top w:val="nil"/>
              <w:left w:val="single" w:sz="4" w:space="0" w:color="auto"/>
              <w:bottom w:val="single" w:sz="4" w:space="0" w:color="auto"/>
              <w:right w:val="single" w:sz="4" w:space="0" w:color="auto"/>
            </w:tcBorders>
            <w:shd w:val="clear" w:color="000000" w:fill="FFC000"/>
            <w:noWrap/>
            <w:vAlign w:val="bottom"/>
            <w:hideMark/>
          </w:tcPr>
          <w:p w:rsidR="001D629C" w:rsidRPr="00CF0AB8" w:rsidRDefault="001D629C" w:rsidP="001D629C">
            <w:pPr>
              <w:spacing w:after="0" w:line="240" w:lineRule="auto"/>
              <w:rPr>
                <w:rFonts w:eastAsia="Times New Roman" w:cs="Times New Roman"/>
                <w:b/>
                <w:bCs/>
                <w:color w:val="000000"/>
                <w:szCs w:val="24"/>
              </w:rPr>
            </w:pPr>
            <w:r w:rsidRPr="00CF0AB8">
              <w:rPr>
                <w:rFonts w:eastAsia="Times New Roman" w:cs="Times New Roman"/>
                <w:b/>
                <w:bCs/>
                <w:color w:val="000000"/>
                <w:szCs w:val="24"/>
              </w:rPr>
              <w:t>Years</w:t>
            </w:r>
          </w:p>
        </w:tc>
        <w:tc>
          <w:tcPr>
            <w:tcW w:w="1090" w:type="dxa"/>
            <w:tcBorders>
              <w:top w:val="nil"/>
              <w:left w:val="nil"/>
              <w:bottom w:val="single" w:sz="4" w:space="0" w:color="auto"/>
              <w:right w:val="single" w:sz="4" w:space="0" w:color="auto"/>
            </w:tcBorders>
            <w:shd w:val="clear" w:color="000000" w:fill="FFC000"/>
            <w:noWrap/>
            <w:vAlign w:val="bottom"/>
            <w:hideMark/>
          </w:tcPr>
          <w:p w:rsidR="001D629C" w:rsidRPr="00CF0AB8" w:rsidRDefault="001D629C" w:rsidP="001D629C">
            <w:pPr>
              <w:spacing w:after="0" w:line="240" w:lineRule="auto"/>
              <w:jc w:val="right"/>
              <w:rPr>
                <w:rFonts w:eastAsia="Times New Roman" w:cs="Times New Roman"/>
                <w:b/>
                <w:bCs/>
                <w:color w:val="000000"/>
                <w:szCs w:val="24"/>
              </w:rPr>
            </w:pPr>
            <w:r w:rsidRPr="00CF0AB8">
              <w:rPr>
                <w:rFonts w:eastAsia="Times New Roman" w:cs="Times New Roman"/>
                <w:b/>
                <w:bCs/>
                <w:color w:val="000000"/>
                <w:szCs w:val="24"/>
              </w:rPr>
              <w:t>2012</w:t>
            </w:r>
          </w:p>
        </w:tc>
        <w:tc>
          <w:tcPr>
            <w:tcW w:w="1090" w:type="dxa"/>
            <w:tcBorders>
              <w:top w:val="nil"/>
              <w:left w:val="nil"/>
              <w:bottom w:val="single" w:sz="4" w:space="0" w:color="auto"/>
              <w:right w:val="single" w:sz="4" w:space="0" w:color="auto"/>
            </w:tcBorders>
            <w:shd w:val="clear" w:color="000000" w:fill="FFC000"/>
            <w:noWrap/>
            <w:vAlign w:val="bottom"/>
            <w:hideMark/>
          </w:tcPr>
          <w:p w:rsidR="001D629C" w:rsidRPr="00CF0AB8" w:rsidRDefault="001D629C" w:rsidP="001D629C">
            <w:pPr>
              <w:spacing w:after="0" w:line="240" w:lineRule="auto"/>
              <w:jc w:val="right"/>
              <w:rPr>
                <w:rFonts w:eastAsia="Times New Roman" w:cs="Times New Roman"/>
                <w:b/>
                <w:bCs/>
                <w:color w:val="000000"/>
                <w:szCs w:val="24"/>
              </w:rPr>
            </w:pPr>
            <w:r w:rsidRPr="00CF0AB8">
              <w:rPr>
                <w:rFonts w:eastAsia="Times New Roman" w:cs="Times New Roman"/>
                <w:b/>
                <w:bCs/>
                <w:color w:val="000000"/>
                <w:szCs w:val="24"/>
              </w:rPr>
              <w:t>2013</w:t>
            </w:r>
          </w:p>
        </w:tc>
        <w:tc>
          <w:tcPr>
            <w:tcW w:w="1090" w:type="dxa"/>
            <w:tcBorders>
              <w:top w:val="nil"/>
              <w:left w:val="nil"/>
              <w:bottom w:val="single" w:sz="4" w:space="0" w:color="auto"/>
              <w:right w:val="single" w:sz="4" w:space="0" w:color="auto"/>
            </w:tcBorders>
            <w:shd w:val="clear" w:color="000000" w:fill="FFC000"/>
            <w:noWrap/>
            <w:vAlign w:val="bottom"/>
            <w:hideMark/>
          </w:tcPr>
          <w:p w:rsidR="001D629C" w:rsidRPr="00CF0AB8" w:rsidRDefault="001D629C" w:rsidP="001D629C">
            <w:pPr>
              <w:spacing w:after="0" w:line="240" w:lineRule="auto"/>
              <w:jc w:val="right"/>
              <w:rPr>
                <w:rFonts w:eastAsia="Times New Roman" w:cs="Times New Roman"/>
                <w:b/>
                <w:bCs/>
                <w:color w:val="000000"/>
                <w:szCs w:val="24"/>
              </w:rPr>
            </w:pPr>
            <w:r w:rsidRPr="00CF0AB8">
              <w:rPr>
                <w:rFonts w:eastAsia="Times New Roman" w:cs="Times New Roman"/>
                <w:b/>
                <w:bCs/>
                <w:color w:val="000000"/>
                <w:szCs w:val="24"/>
              </w:rPr>
              <w:t>2014</w:t>
            </w:r>
          </w:p>
        </w:tc>
        <w:tc>
          <w:tcPr>
            <w:tcW w:w="1090" w:type="dxa"/>
            <w:tcBorders>
              <w:top w:val="nil"/>
              <w:left w:val="nil"/>
              <w:bottom w:val="single" w:sz="4" w:space="0" w:color="auto"/>
              <w:right w:val="single" w:sz="4" w:space="0" w:color="auto"/>
            </w:tcBorders>
            <w:shd w:val="clear" w:color="000000" w:fill="FFC000"/>
            <w:noWrap/>
            <w:vAlign w:val="bottom"/>
            <w:hideMark/>
          </w:tcPr>
          <w:p w:rsidR="001D629C" w:rsidRPr="00CF0AB8" w:rsidRDefault="001D629C" w:rsidP="001D629C">
            <w:pPr>
              <w:spacing w:after="0" w:line="240" w:lineRule="auto"/>
              <w:jc w:val="right"/>
              <w:rPr>
                <w:rFonts w:eastAsia="Times New Roman" w:cs="Times New Roman"/>
                <w:b/>
                <w:bCs/>
                <w:color w:val="000000"/>
                <w:szCs w:val="24"/>
              </w:rPr>
            </w:pPr>
            <w:r w:rsidRPr="00CF0AB8">
              <w:rPr>
                <w:rFonts w:eastAsia="Times New Roman" w:cs="Times New Roman"/>
                <w:b/>
                <w:bCs/>
                <w:color w:val="000000"/>
                <w:szCs w:val="24"/>
              </w:rPr>
              <w:t>2015</w:t>
            </w:r>
          </w:p>
        </w:tc>
        <w:tc>
          <w:tcPr>
            <w:tcW w:w="1090" w:type="dxa"/>
            <w:tcBorders>
              <w:top w:val="nil"/>
              <w:left w:val="nil"/>
              <w:bottom w:val="single" w:sz="4" w:space="0" w:color="auto"/>
              <w:right w:val="single" w:sz="4" w:space="0" w:color="auto"/>
            </w:tcBorders>
            <w:shd w:val="clear" w:color="000000" w:fill="FFC000"/>
            <w:noWrap/>
            <w:vAlign w:val="bottom"/>
            <w:hideMark/>
          </w:tcPr>
          <w:p w:rsidR="001D629C" w:rsidRPr="00CF0AB8" w:rsidRDefault="001D629C" w:rsidP="001D629C">
            <w:pPr>
              <w:spacing w:after="0" w:line="240" w:lineRule="auto"/>
              <w:jc w:val="right"/>
              <w:rPr>
                <w:rFonts w:eastAsia="Times New Roman" w:cs="Times New Roman"/>
                <w:b/>
                <w:bCs/>
                <w:color w:val="000000"/>
                <w:szCs w:val="24"/>
              </w:rPr>
            </w:pPr>
            <w:r w:rsidRPr="00CF0AB8">
              <w:rPr>
                <w:rFonts w:eastAsia="Times New Roman" w:cs="Times New Roman"/>
                <w:b/>
                <w:bCs/>
                <w:color w:val="000000"/>
                <w:szCs w:val="24"/>
              </w:rPr>
              <w:t>2016</w:t>
            </w:r>
          </w:p>
        </w:tc>
      </w:tr>
      <w:tr w:rsidR="001D629C" w:rsidRPr="00CF0AB8" w:rsidTr="001D629C">
        <w:trPr>
          <w:trHeight w:val="315"/>
        </w:trPr>
        <w:tc>
          <w:tcPr>
            <w:tcW w:w="3510" w:type="dxa"/>
            <w:tcBorders>
              <w:top w:val="nil"/>
              <w:left w:val="single" w:sz="4" w:space="0" w:color="auto"/>
              <w:bottom w:val="single" w:sz="4" w:space="0" w:color="auto"/>
              <w:right w:val="single" w:sz="4" w:space="0" w:color="auto"/>
            </w:tcBorders>
            <w:shd w:val="clear" w:color="000000" w:fill="C5BE97"/>
            <w:noWrap/>
            <w:vAlign w:val="bottom"/>
            <w:hideMark/>
          </w:tcPr>
          <w:p w:rsidR="001D629C" w:rsidRPr="00CF0AB8" w:rsidRDefault="001D629C" w:rsidP="001D629C">
            <w:pPr>
              <w:spacing w:after="0" w:line="240" w:lineRule="auto"/>
              <w:rPr>
                <w:rFonts w:eastAsia="Times New Roman" w:cs="Times New Roman"/>
                <w:color w:val="000000"/>
                <w:szCs w:val="24"/>
              </w:rPr>
            </w:pPr>
            <w:r w:rsidRPr="00CF0AB8">
              <w:rPr>
                <w:rFonts w:eastAsia="Times New Roman" w:cs="Times New Roman"/>
                <w:color w:val="000000"/>
                <w:szCs w:val="24"/>
              </w:rPr>
              <w:t>Capital Employed</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CF0AB8" w:rsidRDefault="001D629C" w:rsidP="001D629C">
            <w:pPr>
              <w:spacing w:after="0" w:line="240" w:lineRule="auto"/>
              <w:jc w:val="right"/>
              <w:rPr>
                <w:rFonts w:eastAsia="Times New Roman" w:cs="Times New Roman"/>
                <w:color w:val="4F81BD"/>
                <w:szCs w:val="24"/>
              </w:rPr>
            </w:pPr>
            <w:r w:rsidRPr="00CF0AB8">
              <w:rPr>
                <w:rFonts w:eastAsia="Times New Roman" w:cs="Times New Roman"/>
                <w:color w:val="4F81BD"/>
                <w:szCs w:val="24"/>
              </w:rPr>
              <w:t>13,882</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CF0AB8" w:rsidRDefault="001D629C" w:rsidP="001D629C">
            <w:pPr>
              <w:spacing w:after="0" w:line="240" w:lineRule="auto"/>
              <w:jc w:val="right"/>
              <w:rPr>
                <w:rFonts w:eastAsia="Times New Roman" w:cs="Times New Roman"/>
                <w:color w:val="4F81BD"/>
                <w:szCs w:val="24"/>
              </w:rPr>
            </w:pPr>
            <w:r w:rsidRPr="00CF0AB8">
              <w:rPr>
                <w:rFonts w:eastAsia="Times New Roman" w:cs="Times New Roman"/>
                <w:color w:val="4F81BD"/>
                <w:szCs w:val="24"/>
              </w:rPr>
              <w:t>27,486</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CF0AB8" w:rsidRDefault="001D629C" w:rsidP="001D629C">
            <w:pPr>
              <w:spacing w:after="0" w:line="240" w:lineRule="auto"/>
              <w:jc w:val="right"/>
              <w:rPr>
                <w:rFonts w:eastAsia="Times New Roman" w:cs="Times New Roman"/>
                <w:color w:val="4F81BD"/>
                <w:szCs w:val="24"/>
              </w:rPr>
            </w:pPr>
            <w:r w:rsidRPr="00CF0AB8">
              <w:rPr>
                <w:rFonts w:eastAsia="Times New Roman" w:cs="Times New Roman"/>
                <w:color w:val="4F81BD"/>
                <w:szCs w:val="24"/>
              </w:rPr>
              <w:t>27,630</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CF0AB8" w:rsidRDefault="001D629C" w:rsidP="001D629C">
            <w:pPr>
              <w:spacing w:after="0" w:line="240" w:lineRule="auto"/>
              <w:jc w:val="right"/>
              <w:rPr>
                <w:rFonts w:eastAsia="Times New Roman" w:cs="Times New Roman"/>
                <w:color w:val="4F81BD"/>
                <w:szCs w:val="24"/>
              </w:rPr>
            </w:pPr>
            <w:r w:rsidRPr="00CF0AB8">
              <w:rPr>
                <w:rFonts w:eastAsia="Times New Roman" w:cs="Times New Roman"/>
                <w:color w:val="4F81BD"/>
                <w:szCs w:val="24"/>
              </w:rPr>
              <w:t>29,888</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CF0AB8" w:rsidRDefault="001D629C" w:rsidP="001D629C">
            <w:pPr>
              <w:spacing w:after="0" w:line="240" w:lineRule="auto"/>
              <w:jc w:val="right"/>
              <w:rPr>
                <w:rFonts w:eastAsia="Times New Roman" w:cs="Times New Roman"/>
                <w:color w:val="4F81BD"/>
                <w:szCs w:val="24"/>
              </w:rPr>
            </w:pPr>
            <w:r w:rsidRPr="00CF0AB8">
              <w:rPr>
                <w:rFonts w:eastAsia="Times New Roman" w:cs="Times New Roman"/>
                <w:color w:val="4F81BD"/>
                <w:szCs w:val="24"/>
              </w:rPr>
              <w:t>34,396</w:t>
            </w:r>
          </w:p>
        </w:tc>
      </w:tr>
      <w:tr w:rsidR="001D629C" w:rsidRPr="00CF0AB8" w:rsidTr="001D629C">
        <w:trPr>
          <w:trHeight w:val="315"/>
        </w:trPr>
        <w:tc>
          <w:tcPr>
            <w:tcW w:w="3510" w:type="dxa"/>
            <w:tcBorders>
              <w:top w:val="nil"/>
              <w:left w:val="single" w:sz="4" w:space="0" w:color="auto"/>
              <w:bottom w:val="single" w:sz="4" w:space="0" w:color="auto"/>
              <w:right w:val="single" w:sz="4" w:space="0" w:color="auto"/>
            </w:tcBorders>
            <w:shd w:val="clear" w:color="000000" w:fill="C5BE97"/>
            <w:noWrap/>
            <w:vAlign w:val="bottom"/>
            <w:hideMark/>
          </w:tcPr>
          <w:p w:rsidR="001D629C" w:rsidRPr="00CF0AB8" w:rsidRDefault="001D629C" w:rsidP="001D629C">
            <w:pPr>
              <w:spacing w:after="0" w:line="240" w:lineRule="auto"/>
              <w:rPr>
                <w:rFonts w:eastAsia="Times New Roman" w:cs="Times New Roman"/>
                <w:color w:val="000000"/>
                <w:szCs w:val="24"/>
              </w:rPr>
            </w:pPr>
            <w:r w:rsidRPr="00CF0AB8">
              <w:rPr>
                <w:rFonts w:eastAsia="Times New Roman" w:cs="Times New Roman"/>
                <w:color w:val="000000"/>
                <w:szCs w:val="24"/>
              </w:rPr>
              <w:t>EBIT/Operating profit</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CF0AB8" w:rsidRDefault="001D629C" w:rsidP="001D629C">
            <w:pPr>
              <w:spacing w:after="0" w:line="240" w:lineRule="auto"/>
              <w:jc w:val="right"/>
              <w:rPr>
                <w:rFonts w:eastAsia="Times New Roman" w:cs="Times New Roman"/>
                <w:color w:val="000000"/>
                <w:szCs w:val="24"/>
              </w:rPr>
            </w:pPr>
            <w:r w:rsidRPr="00CF0AB8">
              <w:rPr>
                <w:rFonts w:eastAsia="Times New Roman" w:cs="Times New Roman"/>
                <w:color w:val="000000"/>
                <w:szCs w:val="24"/>
              </w:rPr>
              <w:t>2893</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CF0AB8" w:rsidRDefault="001D629C" w:rsidP="001D629C">
            <w:pPr>
              <w:spacing w:after="0" w:line="240" w:lineRule="auto"/>
              <w:jc w:val="right"/>
              <w:rPr>
                <w:rFonts w:eastAsia="Times New Roman" w:cs="Times New Roman"/>
                <w:color w:val="000000"/>
                <w:szCs w:val="24"/>
              </w:rPr>
            </w:pPr>
            <w:r w:rsidRPr="00CF0AB8">
              <w:rPr>
                <w:rFonts w:eastAsia="Times New Roman" w:cs="Times New Roman"/>
                <w:color w:val="000000"/>
                <w:szCs w:val="24"/>
              </w:rPr>
              <w:t>2,952</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CF0AB8" w:rsidRDefault="001D629C" w:rsidP="001D629C">
            <w:pPr>
              <w:spacing w:after="0" w:line="240" w:lineRule="auto"/>
              <w:jc w:val="right"/>
              <w:rPr>
                <w:rFonts w:eastAsia="Times New Roman" w:cs="Times New Roman"/>
                <w:color w:val="000000"/>
                <w:szCs w:val="24"/>
              </w:rPr>
            </w:pPr>
            <w:r w:rsidRPr="00CF0AB8">
              <w:rPr>
                <w:rFonts w:eastAsia="Times New Roman" w:cs="Times New Roman"/>
                <w:color w:val="000000"/>
                <w:szCs w:val="24"/>
              </w:rPr>
              <w:t>3,147</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CF0AB8" w:rsidRDefault="001D629C" w:rsidP="001D629C">
            <w:pPr>
              <w:spacing w:after="0" w:line="240" w:lineRule="auto"/>
              <w:jc w:val="right"/>
              <w:rPr>
                <w:rFonts w:eastAsia="Times New Roman" w:cs="Times New Roman"/>
                <w:color w:val="000000"/>
                <w:szCs w:val="24"/>
              </w:rPr>
            </w:pPr>
            <w:r w:rsidRPr="00CF0AB8">
              <w:rPr>
                <w:rFonts w:eastAsia="Times New Roman" w:cs="Times New Roman"/>
                <w:color w:val="000000"/>
                <w:szCs w:val="24"/>
              </w:rPr>
              <w:t>3,486</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CF0AB8" w:rsidRDefault="001D629C" w:rsidP="001D629C">
            <w:pPr>
              <w:spacing w:after="0" w:line="240" w:lineRule="auto"/>
              <w:jc w:val="right"/>
              <w:rPr>
                <w:rFonts w:eastAsia="Times New Roman" w:cs="Times New Roman"/>
                <w:color w:val="000000"/>
                <w:szCs w:val="24"/>
              </w:rPr>
            </w:pPr>
            <w:r w:rsidRPr="00CF0AB8">
              <w:rPr>
                <w:rFonts w:eastAsia="Times New Roman" w:cs="Times New Roman"/>
                <w:color w:val="000000"/>
                <w:szCs w:val="24"/>
              </w:rPr>
              <w:t>3,737</w:t>
            </w:r>
          </w:p>
        </w:tc>
      </w:tr>
      <w:tr w:rsidR="001D629C" w:rsidRPr="00CF0AB8" w:rsidTr="001D629C">
        <w:trPr>
          <w:trHeight w:val="315"/>
        </w:trPr>
        <w:tc>
          <w:tcPr>
            <w:tcW w:w="3510" w:type="dxa"/>
            <w:tcBorders>
              <w:top w:val="nil"/>
              <w:left w:val="single" w:sz="4" w:space="0" w:color="auto"/>
              <w:bottom w:val="single" w:sz="4" w:space="0" w:color="auto"/>
              <w:right w:val="single" w:sz="4" w:space="0" w:color="auto"/>
            </w:tcBorders>
            <w:shd w:val="clear" w:color="auto" w:fill="9BBB59" w:themeFill="accent3"/>
            <w:noWrap/>
            <w:vAlign w:val="bottom"/>
            <w:hideMark/>
          </w:tcPr>
          <w:p w:rsidR="001D629C" w:rsidRPr="00CF0AB8" w:rsidRDefault="001D629C" w:rsidP="001D629C">
            <w:pPr>
              <w:spacing w:after="0" w:line="240" w:lineRule="auto"/>
              <w:rPr>
                <w:rFonts w:eastAsia="Times New Roman" w:cs="Times New Roman"/>
                <w:color w:val="000000"/>
                <w:szCs w:val="24"/>
              </w:rPr>
            </w:pPr>
            <w:r w:rsidRPr="00CF0AB8">
              <w:rPr>
                <w:rFonts w:eastAsia="Times New Roman" w:cs="Times New Roman"/>
                <w:color w:val="000000"/>
                <w:szCs w:val="24"/>
              </w:rPr>
              <w:t xml:space="preserve">Return on capital </w:t>
            </w:r>
            <w:r w:rsidRPr="00CF0AB8">
              <w:rPr>
                <w:rFonts w:eastAsia="Times New Roman" w:cs="Times New Roman"/>
                <w:color w:val="000000"/>
                <w:szCs w:val="24"/>
              </w:rPr>
              <w:lastRenderedPageBreak/>
              <w:t>employed(ROCE)[EBIT/capital employed]</w:t>
            </w:r>
          </w:p>
        </w:tc>
        <w:tc>
          <w:tcPr>
            <w:tcW w:w="1090" w:type="dxa"/>
            <w:tcBorders>
              <w:top w:val="nil"/>
              <w:left w:val="nil"/>
              <w:bottom w:val="single" w:sz="4" w:space="0" w:color="auto"/>
              <w:right w:val="single" w:sz="4" w:space="0" w:color="auto"/>
            </w:tcBorders>
            <w:shd w:val="clear" w:color="auto" w:fill="9BBB59" w:themeFill="accent3"/>
            <w:noWrap/>
            <w:vAlign w:val="bottom"/>
            <w:hideMark/>
          </w:tcPr>
          <w:p w:rsidR="001D629C" w:rsidRPr="00CF0AB8" w:rsidRDefault="001D629C" w:rsidP="001D629C">
            <w:pPr>
              <w:spacing w:after="0" w:line="240" w:lineRule="auto"/>
              <w:jc w:val="right"/>
              <w:rPr>
                <w:rFonts w:eastAsia="Times New Roman" w:cs="Times New Roman"/>
                <w:color w:val="000000"/>
                <w:szCs w:val="24"/>
              </w:rPr>
            </w:pPr>
            <w:r w:rsidRPr="00CF0AB8">
              <w:rPr>
                <w:rFonts w:eastAsia="Times New Roman" w:cs="Times New Roman"/>
                <w:color w:val="000000"/>
                <w:szCs w:val="24"/>
              </w:rPr>
              <w:lastRenderedPageBreak/>
              <w:t>0.21</w:t>
            </w:r>
          </w:p>
        </w:tc>
        <w:tc>
          <w:tcPr>
            <w:tcW w:w="1090" w:type="dxa"/>
            <w:tcBorders>
              <w:top w:val="nil"/>
              <w:left w:val="nil"/>
              <w:bottom w:val="single" w:sz="4" w:space="0" w:color="auto"/>
              <w:right w:val="single" w:sz="4" w:space="0" w:color="auto"/>
            </w:tcBorders>
            <w:shd w:val="clear" w:color="auto" w:fill="9BBB59" w:themeFill="accent3"/>
            <w:noWrap/>
            <w:vAlign w:val="bottom"/>
            <w:hideMark/>
          </w:tcPr>
          <w:p w:rsidR="001D629C" w:rsidRPr="00CF0AB8" w:rsidRDefault="001D629C" w:rsidP="001D629C">
            <w:pPr>
              <w:spacing w:after="0" w:line="240" w:lineRule="auto"/>
              <w:jc w:val="right"/>
              <w:rPr>
                <w:rFonts w:eastAsia="Times New Roman" w:cs="Times New Roman"/>
                <w:color w:val="000000"/>
                <w:szCs w:val="24"/>
              </w:rPr>
            </w:pPr>
            <w:r w:rsidRPr="00CF0AB8">
              <w:rPr>
                <w:rFonts w:eastAsia="Times New Roman" w:cs="Times New Roman"/>
                <w:color w:val="000000"/>
                <w:szCs w:val="24"/>
              </w:rPr>
              <w:t>0.11</w:t>
            </w:r>
          </w:p>
        </w:tc>
        <w:tc>
          <w:tcPr>
            <w:tcW w:w="1090" w:type="dxa"/>
            <w:tcBorders>
              <w:top w:val="nil"/>
              <w:left w:val="nil"/>
              <w:bottom w:val="single" w:sz="4" w:space="0" w:color="auto"/>
              <w:right w:val="single" w:sz="4" w:space="0" w:color="auto"/>
            </w:tcBorders>
            <w:shd w:val="clear" w:color="auto" w:fill="9BBB59" w:themeFill="accent3"/>
            <w:noWrap/>
            <w:vAlign w:val="bottom"/>
            <w:hideMark/>
          </w:tcPr>
          <w:p w:rsidR="001D629C" w:rsidRPr="00CF0AB8" w:rsidRDefault="001D629C" w:rsidP="001D629C">
            <w:pPr>
              <w:spacing w:after="0" w:line="240" w:lineRule="auto"/>
              <w:jc w:val="right"/>
              <w:rPr>
                <w:rFonts w:eastAsia="Times New Roman" w:cs="Times New Roman"/>
                <w:color w:val="000000"/>
                <w:szCs w:val="24"/>
              </w:rPr>
            </w:pPr>
            <w:r w:rsidRPr="00CF0AB8">
              <w:rPr>
                <w:rFonts w:eastAsia="Times New Roman" w:cs="Times New Roman"/>
                <w:color w:val="000000"/>
                <w:szCs w:val="24"/>
              </w:rPr>
              <w:t>0.11</w:t>
            </w:r>
          </w:p>
        </w:tc>
        <w:tc>
          <w:tcPr>
            <w:tcW w:w="1090" w:type="dxa"/>
            <w:tcBorders>
              <w:top w:val="nil"/>
              <w:left w:val="nil"/>
              <w:bottom w:val="single" w:sz="4" w:space="0" w:color="auto"/>
              <w:right w:val="single" w:sz="4" w:space="0" w:color="auto"/>
            </w:tcBorders>
            <w:shd w:val="clear" w:color="auto" w:fill="9BBB59" w:themeFill="accent3"/>
            <w:noWrap/>
            <w:vAlign w:val="bottom"/>
            <w:hideMark/>
          </w:tcPr>
          <w:p w:rsidR="001D629C" w:rsidRPr="00CF0AB8" w:rsidRDefault="001D629C" w:rsidP="001D629C">
            <w:pPr>
              <w:spacing w:after="0" w:line="240" w:lineRule="auto"/>
              <w:jc w:val="right"/>
              <w:rPr>
                <w:rFonts w:eastAsia="Times New Roman" w:cs="Times New Roman"/>
                <w:color w:val="000000"/>
                <w:szCs w:val="24"/>
              </w:rPr>
            </w:pPr>
            <w:r w:rsidRPr="00CF0AB8">
              <w:rPr>
                <w:rFonts w:eastAsia="Times New Roman" w:cs="Times New Roman"/>
                <w:color w:val="000000"/>
                <w:szCs w:val="24"/>
              </w:rPr>
              <w:t>0.12</w:t>
            </w:r>
          </w:p>
        </w:tc>
        <w:tc>
          <w:tcPr>
            <w:tcW w:w="1090" w:type="dxa"/>
            <w:tcBorders>
              <w:top w:val="nil"/>
              <w:left w:val="nil"/>
              <w:bottom w:val="single" w:sz="4" w:space="0" w:color="auto"/>
              <w:right w:val="single" w:sz="4" w:space="0" w:color="auto"/>
            </w:tcBorders>
            <w:shd w:val="clear" w:color="auto" w:fill="9BBB59" w:themeFill="accent3"/>
            <w:noWrap/>
            <w:vAlign w:val="bottom"/>
            <w:hideMark/>
          </w:tcPr>
          <w:p w:rsidR="001D629C" w:rsidRPr="00CF0AB8" w:rsidRDefault="001D629C" w:rsidP="001D629C">
            <w:pPr>
              <w:spacing w:after="0" w:line="240" w:lineRule="auto"/>
              <w:jc w:val="right"/>
              <w:rPr>
                <w:rFonts w:eastAsia="Times New Roman" w:cs="Times New Roman"/>
                <w:color w:val="000000"/>
                <w:szCs w:val="24"/>
              </w:rPr>
            </w:pPr>
            <w:r w:rsidRPr="00CF0AB8">
              <w:rPr>
                <w:rFonts w:eastAsia="Times New Roman" w:cs="Times New Roman"/>
                <w:color w:val="000000"/>
                <w:szCs w:val="24"/>
              </w:rPr>
              <w:t>0.11</w:t>
            </w:r>
          </w:p>
        </w:tc>
      </w:tr>
    </w:tbl>
    <w:p w:rsidR="001D629C" w:rsidRDefault="001D629C" w:rsidP="001D629C"/>
    <w:p w:rsidR="001D629C" w:rsidRDefault="001D629C" w:rsidP="001D629C">
      <w:r>
        <w:t>It is true that good efficiency of controlling the operational cost and overhead expense has helped the organization to generate a good growth in operating profit as well as net-profit of the organization; but in addition to this income from other sources has also added to the growth to the overall profit figures of the organization. But as the company is heavily dependent over long term borrowing that is why the capital employed of the organization has grown (average growth rate of the study period is 30%) at a higher rate than the growth of the operating profit of the organization (average growth rate of the study period is 7%).That is why the ratio has registered a very low to stable declining trend and is more or less stable around 0.11</w:t>
      </w:r>
    </w:p>
    <w:p w:rsidR="001D629C" w:rsidRDefault="001D629C" w:rsidP="001D629C"/>
    <w:p w:rsidR="001D629C" w:rsidRDefault="001D629C" w:rsidP="001D629C">
      <w:pPr>
        <w:rPr>
          <w:b/>
        </w:rPr>
      </w:pPr>
    </w:p>
    <w:p w:rsidR="001D629C" w:rsidRPr="003B216B" w:rsidRDefault="001D629C" w:rsidP="001D629C">
      <w:pPr>
        <w:rPr>
          <w:b/>
        </w:rPr>
      </w:pPr>
      <w:r w:rsidRPr="003B216B">
        <w:rPr>
          <w:b/>
        </w:rPr>
        <w:t>Asset Turnover Ratio:</w:t>
      </w:r>
    </w:p>
    <w:tbl>
      <w:tblPr>
        <w:tblW w:w="8960" w:type="dxa"/>
        <w:tblInd w:w="98" w:type="dxa"/>
        <w:tblLook w:val="04A0" w:firstRow="1" w:lastRow="0" w:firstColumn="1" w:lastColumn="0" w:noHBand="0" w:noVBand="1"/>
      </w:tblPr>
      <w:tblGrid>
        <w:gridCol w:w="3510"/>
        <w:gridCol w:w="1090"/>
        <w:gridCol w:w="1090"/>
        <w:gridCol w:w="1090"/>
        <w:gridCol w:w="1090"/>
        <w:gridCol w:w="1090"/>
      </w:tblGrid>
      <w:tr w:rsidR="001D629C" w:rsidRPr="004A70E2" w:rsidTr="001D629C">
        <w:trPr>
          <w:trHeight w:val="330"/>
        </w:trPr>
        <w:tc>
          <w:tcPr>
            <w:tcW w:w="8960" w:type="dxa"/>
            <w:gridSpan w:val="6"/>
            <w:tcBorders>
              <w:top w:val="single" w:sz="8" w:space="0" w:color="auto"/>
              <w:left w:val="single" w:sz="8" w:space="0" w:color="auto"/>
              <w:bottom w:val="single" w:sz="8" w:space="0" w:color="auto"/>
              <w:right w:val="single" w:sz="8" w:space="0" w:color="000000"/>
            </w:tcBorders>
            <w:shd w:val="clear" w:color="000000" w:fill="FFC000"/>
            <w:noWrap/>
            <w:vAlign w:val="bottom"/>
            <w:hideMark/>
          </w:tcPr>
          <w:p w:rsidR="001D629C" w:rsidRPr="004A70E2" w:rsidRDefault="001D629C" w:rsidP="001D629C">
            <w:pPr>
              <w:spacing w:after="0" w:line="240" w:lineRule="auto"/>
              <w:jc w:val="center"/>
              <w:rPr>
                <w:rFonts w:eastAsia="Times New Roman" w:cs="Times New Roman"/>
                <w:b/>
                <w:bCs/>
                <w:color w:val="000000"/>
                <w:szCs w:val="24"/>
              </w:rPr>
            </w:pPr>
            <w:r w:rsidRPr="004A70E2">
              <w:rPr>
                <w:rFonts w:eastAsia="Times New Roman" w:cs="Times New Roman"/>
                <w:b/>
                <w:bCs/>
                <w:color w:val="000000"/>
                <w:szCs w:val="24"/>
              </w:rPr>
              <w:t>British telecom(BT) Ratio Analysis</w:t>
            </w:r>
          </w:p>
        </w:tc>
      </w:tr>
      <w:tr w:rsidR="001D629C" w:rsidRPr="004A70E2" w:rsidTr="001D629C">
        <w:trPr>
          <w:trHeight w:val="315"/>
        </w:trPr>
        <w:tc>
          <w:tcPr>
            <w:tcW w:w="3510" w:type="dxa"/>
            <w:tcBorders>
              <w:top w:val="nil"/>
              <w:left w:val="single" w:sz="4" w:space="0" w:color="auto"/>
              <w:bottom w:val="single" w:sz="4" w:space="0" w:color="auto"/>
              <w:right w:val="single" w:sz="4" w:space="0" w:color="auto"/>
            </w:tcBorders>
            <w:shd w:val="clear" w:color="000000" w:fill="DBE5F1"/>
            <w:noWrap/>
            <w:vAlign w:val="bottom"/>
            <w:hideMark/>
          </w:tcPr>
          <w:p w:rsidR="001D629C" w:rsidRPr="004A70E2" w:rsidRDefault="001D629C" w:rsidP="001D629C">
            <w:pPr>
              <w:spacing w:after="0" w:line="240" w:lineRule="auto"/>
              <w:rPr>
                <w:rFonts w:eastAsia="Times New Roman" w:cs="Times New Roman"/>
                <w:b/>
                <w:bCs/>
                <w:color w:val="000000"/>
                <w:szCs w:val="24"/>
              </w:rPr>
            </w:pPr>
            <w:r w:rsidRPr="004A70E2">
              <w:rPr>
                <w:rFonts w:eastAsia="Times New Roman" w:cs="Times New Roman"/>
                <w:b/>
                <w:bCs/>
                <w:color w:val="000000"/>
                <w:szCs w:val="24"/>
              </w:rPr>
              <w:t xml:space="preserve">Items of financial statement  </w:t>
            </w:r>
          </w:p>
        </w:tc>
        <w:tc>
          <w:tcPr>
            <w:tcW w:w="1090" w:type="dxa"/>
            <w:tcBorders>
              <w:top w:val="nil"/>
              <w:left w:val="nil"/>
              <w:bottom w:val="single" w:sz="4" w:space="0" w:color="auto"/>
              <w:right w:val="single" w:sz="4" w:space="0" w:color="auto"/>
            </w:tcBorders>
            <w:shd w:val="clear" w:color="000000" w:fill="DBE5F1"/>
            <w:noWrap/>
            <w:vAlign w:val="bottom"/>
            <w:hideMark/>
          </w:tcPr>
          <w:p w:rsidR="001D629C" w:rsidRPr="004A70E2" w:rsidRDefault="001D629C" w:rsidP="001D629C">
            <w:pPr>
              <w:spacing w:after="0" w:line="240" w:lineRule="auto"/>
              <w:rPr>
                <w:rFonts w:eastAsia="Times New Roman" w:cs="Times New Roman"/>
                <w:color w:val="000000"/>
                <w:szCs w:val="24"/>
              </w:rPr>
            </w:pPr>
            <w:r w:rsidRPr="004A70E2">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1D629C" w:rsidRPr="004A70E2" w:rsidRDefault="001D629C" w:rsidP="001D629C">
            <w:pPr>
              <w:spacing w:after="0" w:line="240" w:lineRule="auto"/>
              <w:rPr>
                <w:rFonts w:eastAsia="Times New Roman" w:cs="Times New Roman"/>
                <w:color w:val="000000"/>
                <w:szCs w:val="24"/>
              </w:rPr>
            </w:pPr>
            <w:r w:rsidRPr="004A70E2">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1D629C" w:rsidRPr="004A70E2" w:rsidRDefault="001D629C" w:rsidP="001D629C">
            <w:pPr>
              <w:spacing w:after="0" w:line="240" w:lineRule="auto"/>
              <w:rPr>
                <w:rFonts w:eastAsia="Times New Roman" w:cs="Times New Roman"/>
                <w:color w:val="000000"/>
                <w:szCs w:val="24"/>
              </w:rPr>
            </w:pPr>
            <w:r w:rsidRPr="004A70E2">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1D629C" w:rsidRPr="004A70E2" w:rsidRDefault="001D629C" w:rsidP="001D629C">
            <w:pPr>
              <w:spacing w:after="0" w:line="240" w:lineRule="auto"/>
              <w:rPr>
                <w:rFonts w:eastAsia="Times New Roman" w:cs="Times New Roman"/>
                <w:color w:val="000000"/>
                <w:szCs w:val="24"/>
              </w:rPr>
            </w:pPr>
            <w:r w:rsidRPr="004A70E2">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1D629C" w:rsidRPr="004A70E2" w:rsidRDefault="001D629C" w:rsidP="001D629C">
            <w:pPr>
              <w:spacing w:after="0" w:line="240" w:lineRule="auto"/>
              <w:rPr>
                <w:rFonts w:eastAsia="Times New Roman" w:cs="Times New Roman"/>
                <w:color w:val="000000"/>
                <w:szCs w:val="24"/>
              </w:rPr>
            </w:pPr>
            <w:r w:rsidRPr="004A70E2">
              <w:rPr>
                <w:rFonts w:eastAsia="Times New Roman" w:cs="Times New Roman"/>
                <w:color w:val="000000"/>
                <w:szCs w:val="24"/>
              </w:rPr>
              <w:t>£,million</w:t>
            </w:r>
          </w:p>
        </w:tc>
      </w:tr>
      <w:tr w:rsidR="001D629C" w:rsidRPr="004A70E2" w:rsidTr="001D629C">
        <w:trPr>
          <w:trHeight w:val="315"/>
        </w:trPr>
        <w:tc>
          <w:tcPr>
            <w:tcW w:w="3510" w:type="dxa"/>
            <w:tcBorders>
              <w:top w:val="nil"/>
              <w:left w:val="single" w:sz="4" w:space="0" w:color="auto"/>
              <w:bottom w:val="single" w:sz="4" w:space="0" w:color="auto"/>
              <w:right w:val="single" w:sz="4" w:space="0" w:color="auto"/>
            </w:tcBorders>
            <w:shd w:val="clear" w:color="000000" w:fill="FFC000"/>
            <w:noWrap/>
            <w:vAlign w:val="bottom"/>
            <w:hideMark/>
          </w:tcPr>
          <w:p w:rsidR="001D629C" w:rsidRPr="004A70E2" w:rsidRDefault="001D629C" w:rsidP="001D629C">
            <w:pPr>
              <w:spacing w:after="0" w:line="240" w:lineRule="auto"/>
              <w:rPr>
                <w:rFonts w:eastAsia="Times New Roman" w:cs="Times New Roman"/>
                <w:b/>
                <w:bCs/>
                <w:color w:val="000000"/>
                <w:szCs w:val="24"/>
              </w:rPr>
            </w:pPr>
            <w:r w:rsidRPr="004A70E2">
              <w:rPr>
                <w:rFonts w:eastAsia="Times New Roman" w:cs="Times New Roman"/>
                <w:b/>
                <w:bCs/>
                <w:color w:val="000000"/>
                <w:szCs w:val="24"/>
              </w:rPr>
              <w:t>Years</w:t>
            </w:r>
          </w:p>
        </w:tc>
        <w:tc>
          <w:tcPr>
            <w:tcW w:w="1090" w:type="dxa"/>
            <w:tcBorders>
              <w:top w:val="nil"/>
              <w:left w:val="nil"/>
              <w:bottom w:val="single" w:sz="4" w:space="0" w:color="auto"/>
              <w:right w:val="single" w:sz="4" w:space="0" w:color="auto"/>
            </w:tcBorders>
            <w:shd w:val="clear" w:color="000000" w:fill="FFC000"/>
            <w:noWrap/>
            <w:vAlign w:val="bottom"/>
            <w:hideMark/>
          </w:tcPr>
          <w:p w:rsidR="001D629C" w:rsidRPr="004A70E2" w:rsidRDefault="001D629C" w:rsidP="001D629C">
            <w:pPr>
              <w:spacing w:after="0" w:line="240" w:lineRule="auto"/>
              <w:jc w:val="right"/>
              <w:rPr>
                <w:rFonts w:eastAsia="Times New Roman" w:cs="Times New Roman"/>
                <w:b/>
                <w:bCs/>
                <w:color w:val="000000"/>
                <w:szCs w:val="24"/>
              </w:rPr>
            </w:pPr>
            <w:r w:rsidRPr="004A70E2">
              <w:rPr>
                <w:rFonts w:eastAsia="Times New Roman" w:cs="Times New Roman"/>
                <w:b/>
                <w:bCs/>
                <w:color w:val="000000"/>
                <w:szCs w:val="24"/>
              </w:rPr>
              <w:t>2012</w:t>
            </w:r>
          </w:p>
        </w:tc>
        <w:tc>
          <w:tcPr>
            <w:tcW w:w="1090" w:type="dxa"/>
            <w:tcBorders>
              <w:top w:val="nil"/>
              <w:left w:val="nil"/>
              <w:bottom w:val="single" w:sz="4" w:space="0" w:color="auto"/>
              <w:right w:val="single" w:sz="4" w:space="0" w:color="auto"/>
            </w:tcBorders>
            <w:shd w:val="clear" w:color="000000" w:fill="FFC000"/>
            <w:noWrap/>
            <w:vAlign w:val="bottom"/>
            <w:hideMark/>
          </w:tcPr>
          <w:p w:rsidR="001D629C" w:rsidRPr="004A70E2" w:rsidRDefault="001D629C" w:rsidP="001D629C">
            <w:pPr>
              <w:spacing w:after="0" w:line="240" w:lineRule="auto"/>
              <w:jc w:val="right"/>
              <w:rPr>
                <w:rFonts w:eastAsia="Times New Roman" w:cs="Times New Roman"/>
                <w:b/>
                <w:bCs/>
                <w:color w:val="000000"/>
                <w:szCs w:val="24"/>
              </w:rPr>
            </w:pPr>
            <w:r w:rsidRPr="004A70E2">
              <w:rPr>
                <w:rFonts w:eastAsia="Times New Roman" w:cs="Times New Roman"/>
                <w:b/>
                <w:bCs/>
                <w:color w:val="000000"/>
                <w:szCs w:val="24"/>
              </w:rPr>
              <w:t>2013</w:t>
            </w:r>
          </w:p>
        </w:tc>
        <w:tc>
          <w:tcPr>
            <w:tcW w:w="1090" w:type="dxa"/>
            <w:tcBorders>
              <w:top w:val="nil"/>
              <w:left w:val="nil"/>
              <w:bottom w:val="single" w:sz="4" w:space="0" w:color="auto"/>
              <w:right w:val="single" w:sz="4" w:space="0" w:color="auto"/>
            </w:tcBorders>
            <w:shd w:val="clear" w:color="000000" w:fill="FFC000"/>
            <w:noWrap/>
            <w:vAlign w:val="bottom"/>
            <w:hideMark/>
          </w:tcPr>
          <w:p w:rsidR="001D629C" w:rsidRPr="004A70E2" w:rsidRDefault="001D629C" w:rsidP="001D629C">
            <w:pPr>
              <w:spacing w:after="0" w:line="240" w:lineRule="auto"/>
              <w:jc w:val="right"/>
              <w:rPr>
                <w:rFonts w:eastAsia="Times New Roman" w:cs="Times New Roman"/>
                <w:b/>
                <w:bCs/>
                <w:color w:val="000000"/>
                <w:szCs w:val="24"/>
              </w:rPr>
            </w:pPr>
            <w:r w:rsidRPr="004A70E2">
              <w:rPr>
                <w:rFonts w:eastAsia="Times New Roman" w:cs="Times New Roman"/>
                <w:b/>
                <w:bCs/>
                <w:color w:val="000000"/>
                <w:szCs w:val="24"/>
              </w:rPr>
              <w:t>2014</w:t>
            </w:r>
          </w:p>
        </w:tc>
        <w:tc>
          <w:tcPr>
            <w:tcW w:w="1090" w:type="dxa"/>
            <w:tcBorders>
              <w:top w:val="nil"/>
              <w:left w:val="nil"/>
              <w:bottom w:val="single" w:sz="4" w:space="0" w:color="auto"/>
              <w:right w:val="single" w:sz="4" w:space="0" w:color="auto"/>
            </w:tcBorders>
            <w:shd w:val="clear" w:color="000000" w:fill="FFC000"/>
            <w:noWrap/>
            <w:vAlign w:val="bottom"/>
            <w:hideMark/>
          </w:tcPr>
          <w:p w:rsidR="001D629C" w:rsidRPr="004A70E2" w:rsidRDefault="001D629C" w:rsidP="001D629C">
            <w:pPr>
              <w:spacing w:after="0" w:line="240" w:lineRule="auto"/>
              <w:jc w:val="right"/>
              <w:rPr>
                <w:rFonts w:eastAsia="Times New Roman" w:cs="Times New Roman"/>
                <w:b/>
                <w:bCs/>
                <w:color w:val="000000"/>
                <w:szCs w:val="24"/>
              </w:rPr>
            </w:pPr>
            <w:r w:rsidRPr="004A70E2">
              <w:rPr>
                <w:rFonts w:eastAsia="Times New Roman" w:cs="Times New Roman"/>
                <w:b/>
                <w:bCs/>
                <w:color w:val="000000"/>
                <w:szCs w:val="24"/>
              </w:rPr>
              <w:t>2015</w:t>
            </w:r>
          </w:p>
        </w:tc>
        <w:tc>
          <w:tcPr>
            <w:tcW w:w="1090" w:type="dxa"/>
            <w:tcBorders>
              <w:top w:val="nil"/>
              <w:left w:val="nil"/>
              <w:bottom w:val="single" w:sz="4" w:space="0" w:color="auto"/>
              <w:right w:val="single" w:sz="4" w:space="0" w:color="auto"/>
            </w:tcBorders>
            <w:shd w:val="clear" w:color="000000" w:fill="FFC000"/>
            <w:noWrap/>
            <w:vAlign w:val="bottom"/>
            <w:hideMark/>
          </w:tcPr>
          <w:p w:rsidR="001D629C" w:rsidRPr="004A70E2" w:rsidRDefault="001D629C" w:rsidP="001D629C">
            <w:pPr>
              <w:spacing w:after="0" w:line="240" w:lineRule="auto"/>
              <w:jc w:val="right"/>
              <w:rPr>
                <w:rFonts w:eastAsia="Times New Roman" w:cs="Times New Roman"/>
                <w:b/>
                <w:bCs/>
                <w:color w:val="000000"/>
                <w:szCs w:val="24"/>
              </w:rPr>
            </w:pPr>
            <w:r w:rsidRPr="004A70E2">
              <w:rPr>
                <w:rFonts w:eastAsia="Times New Roman" w:cs="Times New Roman"/>
                <w:b/>
                <w:bCs/>
                <w:color w:val="000000"/>
                <w:szCs w:val="24"/>
              </w:rPr>
              <w:t>2016</w:t>
            </w:r>
          </w:p>
        </w:tc>
      </w:tr>
      <w:tr w:rsidR="001D629C" w:rsidRPr="004A70E2" w:rsidTr="001D629C">
        <w:trPr>
          <w:trHeight w:val="315"/>
        </w:trPr>
        <w:tc>
          <w:tcPr>
            <w:tcW w:w="3510" w:type="dxa"/>
            <w:tcBorders>
              <w:top w:val="nil"/>
              <w:left w:val="single" w:sz="4" w:space="0" w:color="auto"/>
              <w:bottom w:val="single" w:sz="4" w:space="0" w:color="auto"/>
              <w:right w:val="single" w:sz="4" w:space="0" w:color="auto"/>
            </w:tcBorders>
            <w:shd w:val="clear" w:color="000000" w:fill="C5BE97"/>
            <w:noWrap/>
            <w:vAlign w:val="bottom"/>
            <w:hideMark/>
          </w:tcPr>
          <w:p w:rsidR="001D629C" w:rsidRPr="004A70E2" w:rsidRDefault="001D629C" w:rsidP="001D629C">
            <w:pPr>
              <w:spacing w:after="0" w:line="240" w:lineRule="auto"/>
              <w:rPr>
                <w:rFonts w:eastAsia="Times New Roman" w:cs="Times New Roman"/>
                <w:color w:val="000000"/>
                <w:szCs w:val="24"/>
              </w:rPr>
            </w:pPr>
            <w:r w:rsidRPr="004A70E2">
              <w:rPr>
                <w:rFonts w:eastAsia="Times New Roman" w:cs="Times New Roman"/>
                <w:color w:val="000000"/>
                <w:szCs w:val="24"/>
              </w:rPr>
              <w:t>Total revenue earned</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4A70E2" w:rsidRDefault="001D629C" w:rsidP="001D629C">
            <w:pPr>
              <w:spacing w:after="0" w:line="240" w:lineRule="auto"/>
              <w:jc w:val="right"/>
              <w:rPr>
                <w:rFonts w:eastAsia="Times New Roman" w:cs="Times New Roman"/>
                <w:color w:val="000000"/>
                <w:szCs w:val="24"/>
              </w:rPr>
            </w:pPr>
            <w:r w:rsidRPr="004A70E2">
              <w:rPr>
                <w:rFonts w:eastAsia="Times New Roman" w:cs="Times New Roman"/>
                <w:color w:val="000000"/>
                <w:szCs w:val="24"/>
              </w:rPr>
              <w:t>18,987</w:t>
            </w:r>
          </w:p>
        </w:tc>
        <w:tc>
          <w:tcPr>
            <w:tcW w:w="1090" w:type="dxa"/>
            <w:tcBorders>
              <w:top w:val="single" w:sz="4" w:space="0" w:color="auto"/>
              <w:left w:val="nil"/>
              <w:bottom w:val="single" w:sz="4" w:space="0" w:color="auto"/>
              <w:right w:val="nil"/>
            </w:tcBorders>
            <w:shd w:val="clear" w:color="000000" w:fill="C5BE97"/>
            <w:noWrap/>
            <w:vAlign w:val="bottom"/>
            <w:hideMark/>
          </w:tcPr>
          <w:p w:rsidR="001D629C" w:rsidRPr="004A70E2" w:rsidRDefault="001D629C" w:rsidP="001D629C">
            <w:pPr>
              <w:spacing w:after="0" w:line="240" w:lineRule="auto"/>
              <w:jc w:val="right"/>
              <w:rPr>
                <w:rFonts w:eastAsia="Times New Roman" w:cs="Times New Roman"/>
                <w:color w:val="000000"/>
                <w:szCs w:val="24"/>
              </w:rPr>
            </w:pPr>
            <w:r w:rsidRPr="004A70E2">
              <w:rPr>
                <w:rFonts w:eastAsia="Times New Roman" w:cs="Times New Roman"/>
                <w:color w:val="000000"/>
                <w:szCs w:val="24"/>
              </w:rPr>
              <w:t>18,103</w:t>
            </w:r>
          </w:p>
        </w:tc>
        <w:tc>
          <w:tcPr>
            <w:tcW w:w="1090" w:type="dxa"/>
            <w:tcBorders>
              <w:top w:val="nil"/>
              <w:left w:val="single" w:sz="4" w:space="0" w:color="auto"/>
              <w:bottom w:val="single" w:sz="4" w:space="0" w:color="auto"/>
              <w:right w:val="single" w:sz="4" w:space="0" w:color="auto"/>
            </w:tcBorders>
            <w:shd w:val="clear" w:color="000000" w:fill="C5BE97"/>
            <w:noWrap/>
            <w:vAlign w:val="bottom"/>
            <w:hideMark/>
          </w:tcPr>
          <w:p w:rsidR="001D629C" w:rsidRPr="004A70E2" w:rsidRDefault="001D629C" w:rsidP="001D629C">
            <w:pPr>
              <w:spacing w:after="0" w:line="240" w:lineRule="auto"/>
              <w:jc w:val="right"/>
              <w:rPr>
                <w:rFonts w:eastAsia="Times New Roman" w:cs="Times New Roman"/>
                <w:color w:val="000000"/>
                <w:szCs w:val="24"/>
              </w:rPr>
            </w:pPr>
            <w:r w:rsidRPr="004A70E2">
              <w:rPr>
                <w:rFonts w:eastAsia="Times New Roman" w:cs="Times New Roman"/>
                <w:color w:val="000000"/>
                <w:szCs w:val="24"/>
              </w:rPr>
              <w:t>18,287</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4A70E2" w:rsidRDefault="001D629C" w:rsidP="001D629C">
            <w:pPr>
              <w:spacing w:after="0" w:line="240" w:lineRule="auto"/>
              <w:jc w:val="right"/>
              <w:rPr>
                <w:rFonts w:eastAsia="Times New Roman" w:cs="Times New Roman"/>
                <w:color w:val="000000"/>
                <w:szCs w:val="24"/>
              </w:rPr>
            </w:pPr>
            <w:r w:rsidRPr="004A70E2">
              <w:rPr>
                <w:rFonts w:eastAsia="Times New Roman" w:cs="Times New Roman"/>
                <w:color w:val="000000"/>
                <w:szCs w:val="24"/>
              </w:rPr>
              <w:t>17,979</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4A70E2" w:rsidRDefault="001D629C" w:rsidP="001D629C">
            <w:pPr>
              <w:spacing w:after="0" w:line="240" w:lineRule="auto"/>
              <w:jc w:val="right"/>
              <w:rPr>
                <w:rFonts w:eastAsia="Times New Roman" w:cs="Times New Roman"/>
                <w:color w:val="000000"/>
                <w:szCs w:val="24"/>
              </w:rPr>
            </w:pPr>
            <w:r w:rsidRPr="004A70E2">
              <w:rPr>
                <w:rFonts w:eastAsia="Times New Roman" w:cs="Times New Roman"/>
                <w:color w:val="000000"/>
                <w:szCs w:val="24"/>
              </w:rPr>
              <w:t>19,042</w:t>
            </w:r>
          </w:p>
        </w:tc>
      </w:tr>
      <w:tr w:rsidR="001D629C" w:rsidRPr="004A70E2" w:rsidTr="001D629C">
        <w:trPr>
          <w:trHeight w:val="315"/>
        </w:trPr>
        <w:tc>
          <w:tcPr>
            <w:tcW w:w="3510" w:type="dxa"/>
            <w:tcBorders>
              <w:top w:val="nil"/>
              <w:left w:val="single" w:sz="4" w:space="0" w:color="auto"/>
              <w:bottom w:val="single" w:sz="4" w:space="0" w:color="auto"/>
              <w:right w:val="single" w:sz="4" w:space="0" w:color="auto"/>
            </w:tcBorders>
            <w:shd w:val="clear" w:color="000000" w:fill="C5BE97"/>
            <w:noWrap/>
            <w:vAlign w:val="bottom"/>
            <w:hideMark/>
          </w:tcPr>
          <w:p w:rsidR="001D629C" w:rsidRPr="004A70E2" w:rsidRDefault="001D629C" w:rsidP="001D629C">
            <w:pPr>
              <w:spacing w:after="0" w:line="240" w:lineRule="auto"/>
              <w:rPr>
                <w:rFonts w:eastAsia="Times New Roman" w:cs="Times New Roman"/>
                <w:color w:val="000000"/>
                <w:szCs w:val="24"/>
              </w:rPr>
            </w:pPr>
            <w:r w:rsidRPr="004A70E2">
              <w:rPr>
                <w:rFonts w:eastAsia="Times New Roman" w:cs="Times New Roman"/>
                <w:color w:val="000000"/>
                <w:szCs w:val="24"/>
              </w:rPr>
              <w:t>Total average asset</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4A70E2" w:rsidRDefault="001D629C" w:rsidP="001D629C">
            <w:pPr>
              <w:spacing w:after="0" w:line="240" w:lineRule="auto"/>
              <w:jc w:val="right"/>
              <w:rPr>
                <w:rFonts w:eastAsia="Times New Roman" w:cs="Times New Roman"/>
                <w:color w:val="000000"/>
                <w:szCs w:val="24"/>
              </w:rPr>
            </w:pPr>
            <w:r w:rsidRPr="004A70E2">
              <w:rPr>
                <w:rFonts w:eastAsia="Times New Roman" w:cs="Times New Roman"/>
                <w:color w:val="000000"/>
                <w:szCs w:val="24"/>
              </w:rPr>
              <w:t>23948</w:t>
            </w:r>
          </w:p>
        </w:tc>
        <w:tc>
          <w:tcPr>
            <w:tcW w:w="1090" w:type="dxa"/>
            <w:tcBorders>
              <w:top w:val="single" w:sz="4" w:space="0" w:color="auto"/>
              <w:left w:val="nil"/>
              <w:bottom w:val="single" w:sz="4" w:space="0" w:color="auto"/>
              <w:right w:val="single" w:sz="4" w:space="0" w:color="auto"/>
            </w:tcBorders>
            <w:shd w:val="clear" w:color="000000" w:fill="C5BE97"/>
            <w:noWrap/>
            <w:vAlign w:val="bottom"/>
            <w:hideMark/>
          </w:tcPr>
          <w:p w:rsidR="001D629C" w:rsidRPr="004A70E2" w:rsidRDefault="001D629C" w:rsidP="001D629C">
            <w:pPr>
              <w:spacing w:after="0" w:line="240" w:lineRule="auto"/>
              <w:jc w:val="right"/>
              <w:rPr>
                <w:rFonts w:eastAsia="Times New Roman" w:cs="Times New Roman"/>
                <w:color w:val="000000"/>
                <w:szCs w:val="24"/>
              </w:rPr>
            </w:pPr>
            <w:r w:rsidRPr="004A70E2">
              <w:rPr>
                <w:rFonts w:eastAsia="Times New Roman" w:cs="Times New Roman"/>
                <w:color w:val="000000"/>
                <w:szCs w:val="24"/>
              </w:rPr>
              <w:t>44,629</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4A70E2" w:rsidRDefault="001D629C" w:rsidP="001D629C">
            <w:pPr>
              <w:spacing w:after="0" w:line="240" w:lineRule="auto"/>
              <w:jc w:val="right"/>
              <w:rPr>
                <w:rFonts w:eastAsia="Times New Roman" w:cs="Times New Roman"/>
                <w:color w:val="000000"/>
                <w:szCs w:val="24"/>
              </w:rPr>
            </w:pPr>
            <w:r w:rsidRPr="004A70E2">
              <w:rPr>
                <w:rFonts w:eastAsia="Times New Roman" w:cs="Times New Roman"/>
                <w:color w:val="000000"/>
                <w:szCs w:val="24"/>
              </w:rPr>
              <w:t>44,495</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4A70E2" w:rsidRDefault="001D629C" w:rsidP="001D629C">
            <w:pPr>
              <w:spacing w:after="0" w:line="240" w:lineRule="auto"/>
              <w:jc w:val="right"/>
              <w:rPr>
                <w:rFonts w:eastAsia="Times New Roman" w:cs="Times New Roman"/>
                <w:color w:val="000000"/>
                <w:szCs w:val="24"/>
              </w:rPr>
            </w:pPr>
            <w:r w:rsidRPr="004A70E2">
              <w:rPr>
                <w:rFonts w:eastAsia="Times New Roman" w:cs="Times New Roman"/>
                <w:color w:val="000000"/>
                <w:szCs w:val="24"/>
              </w:rPr>
              <w:t>46,813</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4A70E2" w:rsidRDefault="001D629C" w:rsidP="001D629C">
            <w:pPr>
              <w:spacing w:after="0" w:line="240" w:lineRule="auto"/>
              <w:jc w:val="right"/>
              <w:rPr>
                <w:rFonts w:eastAsia="Times New Roman" w:cs="Times New Roman"/>
                <w:color w:val="000000"/>
                <w:szCs w:val="24"/>
              </w:rPr>
            </w:pPr>
            <w:r w:rsidRPr="004A70E2">
              <w:rPr>
                <w:rFonts w:eastAsia="Times New Roman" w:cs="Times New Roman"/>
                <w:color w:val="000000"/>
                <w:szCs w:val="24"/>
              </w:rPr>
              <w:t>54,874</w:t>
            </w:r>
          </w:p>
        </w:tc>
      </w:tr>
      <w:tr w:rsidR="001D629C" w:rsidRPr="00B10413" w:rsidTr="001D629C">
        <w:trPr>
          <w:trHeight w:val="315"/>
        </w:trPr>
        <w:tc>
          <w:tcPr>
            <w:tcW w:w="3510" w:type="dxa"/>
            <w:tcBorders>
              <w:top w:val="nil"/>
              <w:left w:val="single" w:sz="4" w:space="0" w:color="auto"/>
              <w:bottom w:val="single" w:sz="4" w:space="0" w:color="auto"/>
              <w:right w:val="single" w:sz="4" w:space="0" w:color="auto"/>
            </w:tcBorders>
            <w:shd w:val="clear" w:color="auto" w:fill="C0ED6F"/>
            <w:noWrap/>
            <w:vAlign w:val="bottom"/>
            <w:hideMark/>
          </w:tcPr>
          <w:p w:rsidR="001D629C" w:rsidRPr="00B10413" w:rsidRDefault="001D629C" w:rsidP="001D629C">
            <w:pPr>
              <w:spacing w:after="0" w:line="240" w:lineRule="auto"/>
              <w:rPr>
                <w:rFonts w:eastAsia="Times New Roman" w:cs="Times New Roman"/>
                <w:color w:val="000000"/>
                <w:szCs w:val="24"/>
              </w:rPr>
            </w:pPr>
            <w:r w:rsidRPr="00B10413">
              <w:rPr>
                <w:rFonts w:eastAsia="Times New Roman" w:cs="Times New Roman"/>
                <w:color w:val="000000"/>
                <w:szCs w:val="24"/>
              </w:rPr>
              <w:t>Total asset turnover ratio(net sales or revenue/Total average asset)</w:t>
            </w:r>
          </w:p>
        </w:tc>
        <w:tc>
          <w:tcPr>
            <w:tcW w:w="1090" w:type="dxa"/>
            <w:tcBorders>
              <w:top w:val="nil"/>
              <w:left w:val="nil"/>
              <w:bottom w:val="single" w:sz="4" w:space="0" w:color="auto"/>
              <w:right w:val="single" w:sz="4" w:space="0" w:color="auto"/>
            </w:tcBorders>
            <w:shd w:val="clear" w:color="auto" w:fill="C0ED6F"/>
            <w:noWrap/>
            <w:vAlign w:val="bottom"/>
            <w:hideMark/>
          </w:tcPr>
          <w:p w:rsidR="001D629C" w:rsidRPr="00B10413" w:rsidRDefault="001D629C" w:rsidP="001D629C">
            <w:pPr>
              <w:spacing w:after="0" w:line="240" w:lineRule="auto"/>
              <w:jc w:val="right"/>
              <w:rPr>
                <w:rFonts w:eastAsia="Times New Roman" w:cs="Times New Roman"/>
                <w:color w:val="000000"/>
                <w:szCs w:val="24"/>
              </w:rPr>
            </w:pPr>
            <w:r w:rsidRPr="00B10413">
              <w:rPr>
                <w:rFonts w:eastAsia="Times New Roman" w:cs="Times New Roman"/>
                <w:color w:val="000000"/>
                <w:szCs w:val="24"/>
              </w:rPr>
              <w:t>0.79</w:t>
            </w:r>
          </w:p>
        </w:tc>
        <w:tc>
          <w:tcPr>
            <w:tcW w:w="1090" w:type="dxa"/>
            <w:tcBorders>
              <w:top w:val="nil"/>
              <w:left w:val="nil"/>
              <w:bottom w:val="single" w:sz="4" w:space="0" w:color="auto"/>
              <w:right w:val="single" w:sz="4" w:space="0" w:color="auto"/>
            </w:tcBorders>
            <w:shd w:val="clear" w:color="auto" w:fill="C0ED6F"/>
            <w:noWrap/>
            <w:vAlign w:val="bottom"/>
            <w:hideMark/>
          </w:tcPr>
          <w:p w:rsidR="001D629C" w:rsidRPr="00B10413" w:rsidRDefault="001D629C" w:rsidP="001D629C">
            <w:pPr>
              <w:spacing w:after="0" w:line="240" w:lineRule="auto"/>
              <w:jc w:val="right"/>
              <w:rPr>
                <w:rFonts w:eastAsia="Times New Roman" w:cs="Times New Roman"/>
                <w:color w:val="000000"/>
                <w:szCs w:val="24"/>
              </w:rPr>
            </w:pPr>
            <w:r w:rsidRPr="00B10413">
              <w:rPr>
                <w:rFonts w:eastAsia="Times New Roman" w:cs="Times New Roman"/>
                <w:color w:val="000000"/>
                <w:szCs w:val="24"/>
              </w:rPr>
              <w:t>0.41</w:t>
            </w:r>
          </w:p>
        </w:tc>
        <w:tc>
          <w:tcPr>
            <w:tcW w:w="1090" w:type="dxa"/>
            <w:tcBorders>
              <w:top w:val="nil"/>
              <w:left w:val="nil"/>
              <w:bottom w:val="single" w:sz="4" w:space="0" w:color="auto"/>
              <w:right w:val="single" w:sz="4" w:space="0" w:color="auto"/>
            </w:tcBorders>
            <w:shd w:val="clear" w:color="auto" w:fill="C0ED6F"/>
            <w:noWrap/>
            <w:vAlign w:val="bottom"/>
            <w:hideMark/>
          </w:tcPr>
          <w:p w:rsidR="001D629C" w:rsidRPr="00B10413" w:rsidRDefault="001D629C" w:rsidP="001D629C">
            <w:pPr>
              <w:spacing w:after="0" w:line="240" w:lineRule="auto"/>
              <w:jc w:val="right"/>
              <w:rPr>
                <w:rFonts w:eastAsia="Times New Roman" w:cs="Times New Roman"/>
                <w:color w:val="000000"/>
                <w:szCs w:val="24"/>
              </w:rPr>
            </w:pPr>
            <w:r w:rsidRPr="00B10413">
              <w:rPr>
                <w:rFonts w:eastAsia="Times New Roman" w:cs="Times New Roman"/>
                <w:color w:val="000000"/>
                <w:szCs w:val="24"/>
              </w:rPr>
              <w:t>0.41</w:t>
            </w:r>
          </w:p>
        </w:tc>
        <w:tc>
          <w:tcPr>
            <w:tcW w:w="1090" w:type="dxa"/>
            <w:tcBorders>
              <w:top w:val="nil"/>
              <w:left w:val="nil"/>
              <w:bottom w:val="single" w:sz="4" w:space="0" w:color="auto"/>
              <w:right w:val="single" w:sz="4" w:space="0" w:color="auto"/>
            </w:tcBorders>
            <w:shd w:val="clear" w:color="auto" w:fill="C0ED6F"/>
            <w:noWrap/>
            <w:vAlign w:val="bottom"/>
            <w:hideMark/>
          </w:tcPr>
          <w:p w:rsidR="001D629C" w:rsidRPr="00B10413" w:rsidRDefault="001D629C" w:rsidP="001D629C">
            <w:pPr>
              <w:spacing w:after="0" w:line="240" w:lineRule="auto"/>
              <w:jc w:val="right"/>
              <w:rPr>
                <w:rFonts w:eastAsia="Times New Roman" w:cs="Times New Roman"/>
                <w:color w:val="000000"/>
                <w:szCs w:val="24"/>
              </w:rPr>
            </w:pPr>
            <w:r w:rsidRPr="00B10413">
              <w:rPr>
                <w:rFonts w:eastAsia="Times New Roman" w:cs="Times New Roman"/>
                <w:color w:val="000000"/>
                <w:szCs w:val="24"/>
              </w:rPr>
              <w:t>0.38</w:t>
            </w:r>
          </w:p>
        </w:tc>
        <w:tc>
          <w:tcPr>
            <w:tcW w:w="1090" w:type="dxa"/>
            <w:tcBorders>
              <w:top w:val="nil"/>
              <w:left w:val="nil"/>
              <w:bottom w:val="single" w:sz="4" w:space="0" w:color="auto"/>
              <w:right w:val="single" w:sz="4" w:space="0" w:color="auto"/>
            </w:tcBorders>
            <w:shd w:val="clear" w:color="auto" w:fill="C0ED6F"/>
            <w:noWrap/>
            <w:vAlign w:val="bottom"/>
            <w:hideMark/>
          </w:tcPr>
          <w:p w:rsidR="001D629C" w:rsidRPr="00B10413" w:rsidRDefault="001D629C" w:rsidP="001D629C">
            <w:pPr>
              <w:spacing w:after="0" w:line="240" w:lineRule="auto"/>
              <w:jc w:val="right"/>
              <w:rPr>
                <w:rFonts w:eastAsia="Times New Roman" w:cs="Times New Roman"/>
                <w:color w:val="000000"/>
                <w:szCs w:val="24"/>
              </w:rPr>
            </w:pPr>
            <w:r w:rsidRPr="00B10413">
              <w:rPr>
                <w:rFonts w:eastAsia="Times New Roman" w:cs="Times New Roman"/>
                <w:color w:val="000000"/>
                <w:szCs w:val="24"/>
              </w:rPr>
              <w:t>0.35</w:t>
            </w:r>
          </w:p>
        </w:tc>
      </w:tr>
    </w:tbl>
    <w:p w:rsidR="001D629C" w:rsidRDefault="001D629C" w:rsidP="001D629C"/>
    <w:p w:rsidR="001D629C" w:rsidRDefault="001D629C" w:rsidP="001D629C">
      <w:r>
        <w:t>The asset turnover ratio which is the ratio of the sales turn over achieved by the organization over years to the total asset employed is also quite low which indicates low return generation efficiency of the organization per unit of money invested in acquiring the asset. The underlying reason that can be identified is that the average growth rate of sales revenue earnings during the period of study is almost negligible and is around 0.05%, where during the study period the total asset employed has grown at a n average rate of 27%, which indicates that though the cost controlling efficiency of the organization is good but the return generation efficiency out of the total asset employed by the organization is quite low.</w:t>
      </w:r>
    </w:p>
    <w:p w:rsidR="001D629C" w:rsidRDefault="001D629C" w:rsidP="001D629C">
      <w:pPr>
        <w:rPr>
          <w:b/>
        </w:rPr>
      </w:pPr>
      <w:r w:rsidRPr="00DC5D23">
        <w:rPr>
          <w:b/>
        </w:rPr>
        <w:lastRenderedPageBreak/>
        <w:t>Gering Ratio:</w:t>
      </w:r>
    </w:p>
    <w:tbl>
      <w:tblPr>
        <w:tblW w:w="8960" w:type="dxa"/>
        <w:tblInd w:w="98" w:type="dxa"/>
        <w:tblLook w:val="04A0" w:firstRow="1" w:lastRow="0" w:firstColumn="1" w:lastColumn="0" w:noHBand="0" w:noVBand="1"/>
      </w:tblPr>
      <w:tblGrid>
        <w:gridCol w:w="3510"/>
        <w:gridCol w:w="1090"/>
        <w:gridCol w:w="1090"/>
        <w:gridCol w:w="1090"/>
        <w:gridCol w:w="1090"/>
        <w:gridCol w:w="1090"/>
      </w:tblGrid>
      <w:tr w:rsidR="001D629C" w:rsidRPr="007078E0" w:rsidTr="001D629C">
        <w:trPr>
          <w:trHeight w:val="330"/>
        </w:trPr>
        <w:tc>
          <w:tcPr>
            <w:tcW w:w="8960" w:type="dxa"/>
            <w:gridSpan w:val="6"/>
            <w:tcBorders>
              <w:top w:val="single" w:sz="8" w:space="0" w:color="auto"/>
              <w:left w:val="single" w:sz="8" w:space="0" w:color="auto"/>
              <w:bottom w:val="single" w:sz="8" w:space="0" w:color="auto"/>
              <w:right w:val="single" w:sz="8" w:space="0" w:color="000000"/>
            </w:tcBorders>
            <w:shd w:val="clear" w:color="000000" w:fill="FFC000"/>
            <w:noWrap/>
            <w:vAlign w:val="bottom"/>
            <w:hideMark/>
          </w:tcPr>
          <w:p w:rsidR="001D629C" w:rsidRPr="007078E0" w:rsidRDefault="001D629C" w:rsidP="001D629C">
            <w:pPr>
              <w:spacing w:after="0" w:line="240" w:lineRule="auto"/>
              <w:jc w:val="center"/>
              <w:rPr>
                <w:rFonts w:eastAsia="Times New Roman" w:cs="Times New Roman"/>
                <w:b/>
                <w:bCs/>
                <w:color w:val="000000"/>
                <w:szCs w:val="24"/>
              </w:rPr>
            </w:pPr>
            <w:r w:rsidRPr="007078E0">
              <w:rPr>
                <w:rFonts w:eastAsia="Times New Roman" w:cs="Times New Roman"/>
                <w:b/>
                <w:bCs/>
                <w:color w:val="000000"/>
                <w:szCs w:val="24"/>
              </w:rPr>
              <w:t>British telecom(BT) Ratio Analysis</w:t>
            </w:r>
          </w:p>
        </w:tc>
      </w:tr>
      <w:tr w:rsidR="001D629C" w:rsidRPr="007078E0" w:rsidTr="001D629C">
        <w:trPr>
          <w:trHeight w:val="315"/>
        </w:trPr>
        <w:tc>
          <w:tcPr>
            <w:tcW w:w="3510" w:type="dxa"/>
            <w:tcBorders>
              <w:top w:val="nil"/>
              <w:left w:val="single" w:sz="4" w:space="0" w:color="auto"/>
              <w:bottom w:val="single" w:sz="4" w:space="0" w:color="auto"/>
              <w:right w:val="single" w:sz="4" w:space="0" w:color="auto"/>
            </w:tcBorders>
            <w:shd w:val="clear" w:color="000000" w:fill="DBE5F1"/>
            <w:noWrap/>
            <w:vAlign w:val="bottom"/>
            <w:hideMark/>
          </w:tcPr>
          <w:p w:rsidR="001D629C" w:rsidRPr="007078E0" w:rsidRDefault="001D629C" w:rsidP="001D629C">
            <w:pPr>
              <w:spacing w:after="0" w:line="240" w:lineRule="auto"/>
              <w:rPr>
                <w:rFonts w:eastAsia="Times New Roman" w:cs="Times New Roman"/>
                <w:b/>
                <w:bCs/>
                <w:color w:val="000000"/>
                <w:szCs w:val="24"/>
              </w:rPr>
            </w:pPr>
            <w:r w:rsidRPr="007078E0">
              <w:rPr>
                <w:rFonts w:eastAsia="Times New Roman" w:cs="Times New Roman"/>
                <w:b/>
                <w:bCs/>
                <w:color w:val="000000"/>
                <w:szCs w:val="24"/>
              </w:rPr>
              <w:t xml:space="preserve">Items of financial statement  </w:t>
            </w:r>
          </w:p>
        </w:tc>
        <w:tc>
          <w:tcPr>
            <w:tcW w:w="1090" w:type="dxa"/>
            <w:tcBorders>
              <w:top w:val="nil"/>
              <w:left w:val="nil"/>
              <w:bottom w:val="single" w:sz="4" w:space="0" w:color="auto"/>
              <w:right w:val="single" w:sz="4" w:space="0" w:color="auto"/>
            </w:tcBorders>
            <w:shd w:val="clear" w:color="000000" w:fill="DBE5F1"/>
            <w:noWrap/>
            <w:vAlign w:val="bottom"/>
            <w:hideMark/>
          </w:tcPr>
          <w:p w:rsidR="001D629C" w:rsidRPr="007078E0" w:rsidRDefault="001D629C" w:rsidP="001D629C">
            <w:pPr>
              <w:spacing w:after="0" w:line="240" w:lineRule="auto"/>
              <w:rPr>
                <w:rFonts w:eastAsia="Times New Roman" w:cs="Times New Roman"/>
                <w:color w:val="000000"/>
                <w:szCs w:val="24"/>
              </w:rPr>
            </w:pPr>
            <w:r w:rsidRPr="007078E0">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1D629C" w:rsidRPr="007078E0" w:rsidRDefault="001D629C" w:rsidP="001D629C">
            <w:pPr>
              <w:spacing w:after="0" w:line="240" w:lineRule="auto"/>
              <w:rPr>
                <w:rFonts w:eastAsia="Times New Roman" w:cs="Times New Roman"/>
                <w:color w:val="000000"/>
                <w:szCs w:val="24"/>
              </w:rPr>
            </w:pPr>
            <w:r w:rsidRPr="007078E0">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1D629C" w:rsidRPr="007078E0" w:rsidRDefault="001D629C" w:rsidP="001D629C">
            <w:pPr>
              <w:spacing w:after="0" w:line="240" w:lineRule="auto"/>
              <w:rPr>
                <w:rFonts w:eastAsia="Times New Roman" w:cs="Times New Roman"/>
                <w:color w:val="000000"/>
                <w:szCs w:val="24"/>
              </w:rPr>
            </w:pPr>
            <w:r w:rsidRPr="007078E0">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1D629C" w:rsidRPr="007078E0" w:rsidRDefault="001D629C" w:rsidP="001D629C">
            <w:pPr>
              <w:spacing w:after="0" w:line="240" w:lineRule="auto"/>
              <w:rPr>
                <w:rFonts w:eastAsia="Times New Roman" w:cs="Times New Roman"/>
                <w:color w:val="000000"/>
                <w:szCs w:val="24"/>
              </w:rPr>
            </w:pPr>
            <w:r w:rsidRPr="007078E0">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1D629C" w:rsidRPr="007078E0" w:rsidRDefault="001D629C" w:rsidP="001D629C">
            <w:pPr>
              <w:spacing w:after="0" w:line="240" w:lineRule="auto"/>
              <w:rPr>
                <w:rFonts w:eastAsia="Times New Roman" w:cs="Times New Roman"/>
                <w:color w:val="000000"/>
                <w:szCs w:val="24"/>
              </w:rPr>
            </w:pPr>
            <w:r w:rsidRPr="007078E0">
              <w:rPr>
                <w:rFonts w:eastAsia="Times New Roman" w:cs="Times New Roman"/>
                <w:color w:val="000000"/>
                <w:szCs w:val="24"/>
              </w:rPr>
              <w:t>£,million</w:t>
            </w:r>
          </w:p>
        </w:tc>
      </w:tr>
      <w:tr w:rsidR="001D629C" w:rsidRPr="007078E0" w:rsidTr="001D629C">
        <w:trPr>
          <w:trHeight w:val="315"/>
        </w:trPr>
        <w:tc>
          <w:tcPr>
            <w:tcW w:w="3510" w:type="dxa"/>
            <w:tcBorders>
              <w:top w:val="nil"/>
              <w:left w:val="single" w:sz="4" w:space="0" w:color="auto"/>
              <w:bottom w:val="single" w:sz="4" w:space="0" w:color="auto"/>
              <w:right w:val="single" w:sz="4" w:space="0" w:color="auto"/>
            </w:tcBorders>
            <w:shd w:val="clear" w:color="000000" w:fill="FFC000"/>
            <w:noWrap/>
            <w:vAlign w:val="bottom"/>
            <w:hideMark/>
          </w:tcPr>
          <w:p w:rsidR="001D629C" w:rsidRPr="007078E0" w:rsidRDefault="001D629C" w:rsidP="001D629C">
            <w:pPr>
              <w:spacing w:after="0" w:line="240" w:lineRule="auto"/>
              <w:rPr>
                <w:rFonts w:eastAsia="Times New Roman" w:cs="Times New Roman"/>
                <w:b/>
                <w:bCs/>
                <w:color w:val="000000"/>
                <w:szCs w:val="24"/>
              </w:rPr>
            </w:pPr>
            <w:r w:rsidRPr="007078E0">
              <w:rPr>
                <w:rFonts w:eastAsia="Times New Roman" w:cs="Times New Roman"/>
                <w:b/>
                <w:bCs/>
                <w:color w:val="000000"/>
                <w:szCs w:val="24"/>
              </w:rPr>
              <w:t>Years</w:t>
            </w:r>
          </w:p>
        </w:tc>
        <w:tc>
          <w:tcPr>
            <w:tcW w:w="1090" w:type="dxa"/>
            <w:tcBorders>
              <w:top w:val="nil"/>
              <w:left w:val="nil"/>
              <w:bottom w:val="single" w:sz="4" w:space="0" w:color="auto"/>
              <w:right w:val="single" w:sz="4" w:space="0" w:color="auto"/>
            </w:tcBorders>
            <w:shd w:val="clear" w:color="000000" w:fill="FFC000"/>
            <w:noWrap/>
            <w:vAlign w:val="bottom"/>
            <w:hideMark/>
          </w:tcPr>
          <w:p w:rsidR="001D629C" w:rsidRPr="007078E0" w:rsidRDefault="001D629C" w:rsidP="001D629C">
            <w:pPr>
              <w:spacing w:after="0" w:line="240" w:lineRule="auto"/>
              <w:jc w:val="right"/>
              <w:rPr>
                <w:rFonts w:eastAsia="Times New Roman" w:cs="Times New Roman"/>
                <w:b/>
                <w:bCs/>
                <w:color w:val="000000"/>
                <w:szCs w:val="24"/>
              </w:rPr>
            </w:pPr>
            <w:r w:rsidRPr="007078E0">
              <w:rPr>
                <w:rFonts w:eastAsia="Times New Roman" w:cs="Times New Roman"/>
                <w:b/>
                <w:bCs/>
                <w:color w:val="000000"/>
                <w:szCs w:val="24"/>
              </w:rPr>
              <w:t>2012</w:t>
            </w:r>
          </w:p>
        </w:tc>
        <w:tc>
          <w:tcPr>
            <w:tcW w:w="1090" w:type="dxa"/>
            <w:tcBorders>
              <w:top w:val="nil"/>
              <w:left w:val="nil"/>
              <w:bottom w:val="single" w:sz="4" w:space="0" w:color="auto"/>
              <w:right w:val="single" w:sz="4" w:space="0" w:color="auto"/>
            </w:tcBorders>
            <w:shd w:val="clear" w:color="000000" w:fill="FFC000"/>
            <w:noWrap/>
            <w:vAlign w:val="bottom"/>
            <w:hideMark/>
          </w:tcPr>
          <w:p w:rsidR="001D629C" w:rsidRPr="007078E0" w:rsidRDefault="001D629C" w:rsidP="001D629C">
            <w:pPr>
              <w:spacing w:after="0" w:line="240" w:lineRule="auto"/>
              <w:jc w:val="right"/>
              <w:rPr>
                <w:rFonts w:eastAsia="Times New Roman" w:cs="Times New Roman"/>
                <w:b/>
                <w:bCs/>
                <w:color w:val="000000"/>
                <w:szCs w:val="24"/>
              </w:rPr>
            </w:pPr>
            <w:r w:rsidRPr="007078E0">
              <w:rPr>
                <w:rFonts w:eastAsia="Times New Roman" w:cs="Times New Roman"/>
                <w:b/>
                <w:bCs/>
                <w:color w:val="000000"/>
                <w:szCs w:val="24"/>
              </w:rPr>
              <w:t>2013</w:t>
            </w:r>
          </w:p>
        </w:tc>
        <w:tc>
          <w:tcPr>
            <w:tcW w:w="1090" w:type="dxa"/>
            <w:tcBorders>
              <w:top w:val="nil"/>
              <w:left w:val="nil"/>
              <w:bottom w:val="single" w:sz="4" w:space="0" w:color="auto"/>
              <w:right w:val="single" w:sz="4" w:space="0" w:color="auto"/>
            </w:tcBorders>
            <w:shd w:val="clear" w:color="000000" w:fill="FFC000"/>
            <w:noWrap/>
            <w:vAlign w:val="bottom"/>
            <w:hideMark/>
          </w:tcPr>
          <w:p w:rsidR="001D629C" w:rsidRPr="007078E0" w:rsidRDefault="001D629C" w:rsidP="001D629C">
            <w:pPr>
              <w:spacing w:after="0" w:line="240" w:lineRule="auto"/>
              <w:jc w:val="right"/>
              <w:rPr>
                <w:rFonts w:eastAsia="Times New Roman" w:cs="Times New Roman"/>
                <w:b/>
                <w:bCs/>
                <w:color w:val="000000"/>
                <w:szCs w:val="24"/>
              </w:rPr>
            </w:pPr>
            <w:r w:rsidRPr="007078E0">
              <w:rPr>
                <w:rFonts w:eastAsia="Times New Roman" w:cs="Times New Roman"/>
                <w:b/>
                <w:bCs/>
                <w:color w:val="000000"/>
                <w:szCs w:val="24"/>
              </w:rPr>
              <w:t>2014</w:t>
            </w:r>
          </w:p>
        </w:tc>
        <w:tc>
          <w:tcPr>
            <w:tcW w:w="1090" w:type="dxa"/>
            <w:tcBorders>
              <w:top w:val="nil"/>
              <w:left w:val="nil"/>
              <w:bottom w:val="single" w:sz="4" w:space="0" w:color="auto"/>
              <w:right w:val="single" w:sz="4" w:space="0" w:color="auto"/>
            </w:tcBorders>
            <w:shd w:val="clear" w:color="000000" w:fill="FFC000"/>
            <w:noWrap/>
            <w:vAlign w:val="bottom"/>
            <w:hideMark/>
          </w:tcPr>
          <w:p w:rsidR="001D629C" w:rsidRPr="007078E0" w:rsidRDefault="001D629C" w:rsidP="001D629C">
            <w:pPr>
              <w:spacing w:after="0" w:line="240" w:lineRule="auto"/>
              <w:jc w:val="right"/>
              <w:rPr>
                <w:rFonts w:eastAsia="Times New Roman" w:cs="Times New Roman"/>
                <w:b/>
                <w:bCs/>
                <w:color w:val="000000"/>
                <w:szCs w:val="24"/>
              </w:rPr>
            </w:pPr>
            <w:r w:rsidRPr="007078E0">
              <w:rPr>
                <w:rFonts w:eastAsia="Times New Roman" w:cs="Times New Roman"/>
                <w:b/>
                <w:bCs/>
                <w:color w:val="000000"/>
                <w:szCs w:val="24"/>
              </w:rPr>
              <w:t>2015</w:t>
            </w:r>
          </w:p>
        </w:tc>
        <w:tc>
          <w:tcPr>
            <w:tcW w:w="1090" w:type="dxa"/>
            <w:tcBorders>
              <w:top w:val="nil"/>
              <w:left w:val="nil"/>
              <w:bottom w:val="single" w:sz="4" w:space="0" w:color="auto"/>
              <w:right w:val="single" w:sz="4" w:space="0" w:color="auto"/>
            </w:tcBorders>
            <w:shd w:val="clear" w:color="000000" w:fill="FFC000"/>
            <w:noWrap/>
            <w:vAlign w:val="bottom"/>
            <w:hideMark/>
          </w:tcPr>
          <w:p w:rsidR="001D629C" w:rsidRPr="007078E0" w:rsidRDefault="001D629C" w:rsidP="001D629C">
            <w:pPr>
              <w:spacing w:after="0" w:line="240" w:lineRule="auto"/>
              <w:jc w:val="right"/>
              <w:rPr>
                <w:rFonts w:eastAsia="Times New Roman" w:cs="Times New Roman"/>
                <w:b/>
                <w:bCs/>
                <w:color w:val="000000"/>
                <w:szCs w:val="24"/>
              </w:rPr>
            </w:pPr>
            <w:r w:rsidRPr="007078E0">
              <w:rPr>
                <w:rFonts w:eastAsia="Times New Roman" w:cs="Times New Roman"/>
                <w:b/>
                <w:bCs/>
                <w:color w:val="000000"/>
                <w:szCs w:val="24"/>
              </w:rPr>
              <w:t>2016</w:t>
            </w:r>
          </w:p>
        </w:tc>
      </w:tr>
      <w:tr w:rsidR="001D629C" w:rsidRPr="007078E0" w:rsidTr="001D629C">
        <w:trPr>
          <w:trHeight w:val="315"/>
        </w:trPr>
        <w:tc>
          <w:tcPr>
            <w:tcW w:w="3510" w:type="dxa"/>
            <w:tcBorders>
              <w:top w:val="nil"/>
              <w:left w:val="single" w:sz="4" w:space="0" w:color="auto"/>
              <w:bottom w:val="single" w:sz="4" w:space="0" w:color="auto"/>
              <w:right w:val="single" w:sz="4" w:space="0" w:color="auto"/>
            </w:tcBorders>
            <w:shd w:val="clear" w:color="000000" w:fill="C5BE97"/>
            <w:noWrap/>
            <w:vAlign w:val="bottom"/>
            <w:hideMark/>
          </w:tcPr>
          <w:p w:rsidR="001D629C" w:rsidRPr="007078E0" w:rsidRDefault="001D629C" w:rsidP="001D629C">
            <w:pPr>
              <w:spacing w:after="0" w:line="240" w:lineRule="auto"/>
              <w:rPr>
                <w:rFonts w:eastAsia="Times New Roman" w:cs="Times New Roman"/>
                <w:color w:val="000000"/>
                <w:szCs w:val="24"/>
              </w:rPr>
            </w:pPr>
            <w:r w:rsidRPr="007078E0">
              <w:rPr>
                <w:rFonts w:eastAsia="Times New Roman" w:cs="Times New Roman"/>
                <w:color w:val="000000"/>
                <w:szCs w:val="24"/>
              </w:rPr>
              <w:t>share capital</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7078E0" w:rsidRDefault="001D629C" w:rsidP="001D629C">
            <w:pPr>
              <w:spacing w:after="0" w:line="240" w:lineRule="auto"/>
              <w:jc w:val="right"/>
              <w:rPr>
                <w:rFonts w:eastAsia="Times New Roman" w:cs="Times New Roman"/>
                <w:color w:val="000000"/>
                <w:szCs w:val="24"/>
              </w:rPr>
            </w:pPr>
            <w:r w:rsidRPr="007078E0">
              <w:rPr>
                <w:rFonts w:eastAsia="Times New Roman" w:cs="Times New Roman"/>
                <w:color w:val="000000"/>
                <w:szCs w:val="24"/>
              </w:rPr>
              <w:t>408</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7078E0" w:rsidRDefault="001D629C" w:rsidP="001D629C">
            <w:pPr>
              <w:spacing w:after="0" w:line="240" w:lineRule="auto"/>
              <w:jc w:val="right"/>
              <w:rPr>
                <w:rFonts w:eastAsia="Times New Roman" w:cs="Times New Roman"/>
                <w:color w:val="000000"/>
                <w:szCs w:val="24"/>
              </w:rPr>
            </w:pPr>
            <w:r w:rsidRPr="007078E0">
              <w:rPr>
                <w:rFonts w:eastAsia="Times New Roman" w:cs="Times New Roman"/>
                <w:color w:val="000000"/>
                <w:szCs w:val="24"/>
              </w:rPr>
              <w:t>2,172</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7078E0" w:rsidRDefault="001D629C" w:rsidP="001D629C">
            <w:pPr>
              <w:spacing w:after="0" w:line="240" w:lineRule="auto"/>
              <w:jc w:val="right"/>
              <w:rPr>
                <w:rFonts w:eastAsia="Times New Roman" w:cs="Times New Roman"/>
                <w:color w:val="000000"/>
                <w:szCs w:val="24"/>
              </w:rPr>
            </w:pPr>
            <w:r w:rsidRPr="007078E0">
              <w:rPr>
                <w:rFonts w:eastAsia="Times New Roman" w:cs="Times New Roman"/>
                <w:color w:val="000000"/>
                <w:szCs w:val="24"/>
              </w:rPr>
              <w:t>2,172</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7078E0" w:rsidRDefault="001D629C" w:rsidP="001D629C">
            <w:pPr>
              <w:spacing w:after="0" w:line="240" w:lineRule="auto"/>
              <w:jc w:val="right"/>
              <w:rPr>
                <w:rFonts w:eastAsia="Times New Roman" w:cs="Times New Roman"/>
                <w:color w:val="000000"/>
                <w:szCs w:val="24"/>
              </w:rPr>
            </w:pPr>
            <w:r w:rsidRPr="007078E0">
              <w:rPr>
                <w:rFonts w:eastAsia="Times New Roman" w:cs="Times New Roman"/>
                <w:color w:val="000000"/>
                <w:szCs w:val="24"/>
              </w:rPr>
              <w:t>2172</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7078E0" w:rsidRDefault="001D629C" w:rsidP="001D629C">
            <w:pPr>
              <w:spacing w:after="0" w:line="240" w:lineRule="auto"/>
              <w:jc w:val="right"/>
              <w:rPr>
                <w:rFonts w:eastAsia="Times New Roman" w:cs="Times New Roman"/>
                <w:color w:val="000000"/>
                <w:szCs w:val="24"/>
              </w:rPr>
            </w:pPr>
            <w:r w:rsidRPr="007078E0">
              <w:rPr>
                <w:rFonts w:eastAsia="Times New Roman" w:cs="Times New Roman"/>
                <w:color w:val="000000"/>
                <w:szCs w:val="24"/>
              </w:rPr>
              <w:t>2172</w:t>
            </w:r>
          </w:p>
        </w:tc>
      </w:tr>
      <w:tr w:rsidR="001D629C" w:rsidRPr="007078E0" w:rsidTr="001D629C">
        <w:trPr>
          <w:trHeight w:val="315"/>
        </w:trPr>
        <w:tc>
          <w:tcPr>
            <w:tcW w:w="3510" w:type="dxa"/>
            <w:tcBorders>
              <w:top w:val="nil"/>
              <w:left w:val="single" w:sz="4" w:space="0" w:color="auto"/>
              <w:bottom w:val="single" w:sz="4" w:space="0" w:color="auto"/>
              <w:right w:val="single" w:sz="4" w:space="0" w:color="auto"/>
            </w:tcBorders>
            <w:shd w:val="clear" w:color="000000" w:fill="C5BE97"/>
            <w:noWrap/>
            <w:vAlign w:val="bottom"/>
            <w:hideMark/>
          </w:tcPr>
          <w:p w:rsidR="001D629C" w:rsidRPr="007078E0" w:rsidRDefault="001D629C" w:rsidP="001D629C">
            <w:pPr>
              <w:spacing w:after="0" w:line="240" w:lineRule="auto"/>
              <w:rPr>
                <w:rFonts w:eastAsia="Times New Roman" w:cs="Times New Roman"/>
                <w:color w:val="000000"/>
                <w:szCs w:val="24"/>
              </w:rPr>
            </w:pPr>
            <w:r w:rsidRPr="007078E0">
              <w:rPr>
                <w:rFonts w:eastAsia="Times New Roman" w:cs="Times New Roman"/>
                <w:color w:val="000000"/>
                <w:szCs w:val="24"/>
              </w:rPr>
              <w:t>Retained earning</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7078E0" w:rsidRDefault="001D629C" w:rsidP="001D629C">
            <w:pPr>
              <w:spacing w:after="0" w:line="240" w:lineRule="auto"/>
              <w:jc w:val="right"/>
              <w:rPr>
                <w:rFonts w:eastAsia="Times New Roman" w:cs="Times New Roman"/>
                <w:color w:val="000000"/>
                <w:szCs w:val="24"/>
              </w:rPr>
            </w:pPr>
            <w:r w:rsidRPr="007078E0">
              <w:rPr>
                <w:rFonts w:eastAsia="Times New Roman" w:cs="Times New Roman"/>
                <w:color w:val="000000"/>
                <w:szCs w:val="24"/>
              </w:rPr>
              <w:t>89</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7078E0" w:rsidRDefault="001D629C" w:rsidP="001D629C">
            <w:pPr>
              <w:spacing w:after="0" w:line="240" w:lineRule="auto"/>
              <w:jc w:val="right"/>
              <w:rPr>
                <w:rFonts w:eastAsia="Times New Roman" w:cs="Times New Roman"/>
                <w:color w:val="000000"/>
                <w:szCs w:val="24"/>
              </w:rPr>
            </w:pPr>
            <w:r w:rsidRPr="007078E0">
              <w:rPr>
                <w:rFonts w:eastAsia="Times New Roman" w:cs="Times New Roman"/>
                <w:color w:val="000000"/>
                <w:szCs w:val="24"/>
              </w:rPr>
              <w:t>7,777</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7078E0" w:rsidRDefault="001D629C" w:rsidP="001D629C">
            <w:pPr>
              <w:spacing w:after="0" w:line="240" w:lineRule="auto"/>
              <w:jc w:val="right"/>
              <w:rPr>
                <w:rFonts w:eastAsia="Times New Roman" w:cs="Times New Roman"/>
                <w:color w:val="000000"/>
                <w:szCs w:val="24"/>
              </w:rPr>
            </w:pPr>
            <w:r w:rsidRPr="007078E0">
              <w:rPr>
                <w:rFonts w:eastAsia="Times New Roman" w:cs="Times New Roman"/>
                <w:color w:val="000000"/>
                <w:szCs w:val="24"/>
              </w:rPr>
              <w:t>7,655</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7078E0" w:rsidRDefault="001D629C" w:rsidP="001D629C">
            <w:pPr>
              <w:spacing w:after="0" w:line="240" w:lineRule="auto"/>
              <w:jc w:val="right"/>
              <w:rPr>
                <w:rFonts w:eastAsia="Times New Roman" w:cs="Times New Roman"/>
                <w:color w:val="000000"/>
                <w:szCs w:val="24"/>
              </w:rPr>
            </w:pPr>
            <w:r w:rsidRPr="007078E0">
              <w:rPr>
                <w:rFonts w:eastAsia="Times New Roman" w:cs="Times New Roman"/>
                <w:color w:val="000000"/>
                <w:szCs w:val="24"/>
              </w:rPr>
              <w:t>8,038</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7078E0" w:rsidRDefault="001D629C" w:rsidP="001D629C">
            <w:pPr>
              <w:spacing w:after="0" w:line="240" w:lineRule="auto"/>
              <w:jc w:val="right"/>
              <w:rPr>
                <w:rFonts w:eastAsia="Times New Roman" w:cs="Times New Roman"/>
                <w:color w:val="000000"/>
                <w:szCs w:val="24"/>
              </w:rPr>
            </w:pPr>
            <w:r w:rsidRPr="007078E0">
              <w:rPr>
                <w:rFonts w:eastAsia="Times New Roman" w:cs="Times New Roman"/>
                <w:color w:val="000000"/>
                <w:szCs w:val="24"/>
              </w:rPr>
              <w:t>10,024</w:t>
            </w:r>
          </w:p>
        </w:tc>
      </w:tr>
      <w:tr w:rsidR="001D629C" w:rsidRPr="007078E0" w:rsidTr="001D629C">
        <w:trPr>
          <w:trHeight w:val="315"/>
        </w:trPr>
        <w:tc>
          <w:tcPr>
            <w:tcW w:w="3510" w:type="dxa"/>
            <w:tcBorders>
              <w:top w:val="nil"/>
              <w:left w:val="single" w:sz="4" w:space="0" w:color="auto"/>
              <w:bottom w:val="single" w:sz="4" w:space="0" w:color="auto"/>
              <w:right w:val="single" w:sz="4" w:space="0" w:color="auto"/>
            </w:tcBorders>
            <w:shd w:val="clear" w:color="000000" w:fill="C5BE97"/>
            <w:noWrap/>
            <w:vAlign w:val="bottom"/>
            <w:hideMark/>
          </w:tcPr>
          <w:p w:rsidR="001D629C" w:rsidRPr="007078E0" w:rsidRDefault="001D629C" w:rsidP="001D629C">
            <w:pPr>
              <w:spacing w:after="0" w:line="240" w:lineRule="auto"/>
              <w:rPr>
                <w:rFonts w:eastAsia="Times New Roman" w:cs="Times New Roman"/>
                <w:color w:val="000000"/>
                <w:szCs w:val="24"/>
              </w:rPr>
            </w:pPr>
            <w:r w:rsidRPr="007078E0">
              <w:rPr>
                <w:rFonts w:eastAsia="Times New Roman" w:cs="Times New Roman"/>
                <w:color w:val="000000"/>
                <w:szCs w:val="24"/>
              </w:rPr>
              <w:t>long term liabilities</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7078E0" w:rsidRDefault="001D629C" w:rsidP="001D629C">
            <w:pPr>
              <w:spacing w:after="0" w:line="240" w:lineRule="auto"/>
              <w:jc w:val="right"/>
              <w:rPr>
                <w:rFonts w:eastAsia="Times New Roman" w:cs="Times New Roman"/>
                <w:color w:val="000000"/>
                <w:szCs w:val="24"/>
              </w:rPr>
            </w:pPr>
            <w:r w:rsidRPr="007078E0">
              <w:rPr>
                <w:rFonts w:eastAsia="Times New Roman" w:cs="Times New Roman"/>
                <w:color w:val="000000"/>
                <w:szCs w:val="24"/>
              </w:rPr>
              <w:t>13,385</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7078E0" w:rsidRDefault="001D629C" w:rsidP="001D629C">
            <w:pPr>
              <w:spacing w:after="0" w:line="240" w:lineRule="auto"/>
              <w:jc w:val="right"/>
              <w:rPr>
                <w:rFonts w:eastAsia="Times New Roman" w:cs="Times New Roman"/>
                <w:color w:val="000000"/>
                <w:szCs w:val="24"/>
              </w:rPr>
            </w:pPr>
            <w:r w:rsidRPr="007078E0">
              <w:rPr>
                <w:rFonts w:eastAsia="Times New Roman" w:cs="Times New Roman"/>
                <w:color w:val="000000"/>
                <w:szCs w:val="24"/>
              </w:rPr>
              <w:t>17,537</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7078E0" w:rsidRDefault="001D629C" w:rsidP="001D629C">
            <w:pPr>
              <w:spacing w:after="0" w:line="240" w:lineRule="auto"/>
              <w:jc w:val="right"/>
              <w:rPr>
                <w:rFonts w:eastAsia="Times New Roman" w:cs="Times New Roman"/>
                <w:color w:val="000000"/>
                <w:szCs w:val="24"/>
              </w:rPr>
            </w:pPr>
            <w:r w:rsidRPr="007078E0">
              <w:rPr>
                <w:rFonts w:eastAsia="Times New Roman" w:cs="Times New Roman"/>
                <w:color w:val="000000"/>
                <w:szCs w:val="24"/>
              </w:rPr>
              <w:t>17,803</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7078E0" w:rsidRDefault="001D629C" w:rsidP="001D629C">
            <w:pPr>
              <w:spacing w:after="0" w:line="240" w:lineRule="auto"/>
              <w:jc w:val="right"/>
              <w:rPr>
                <w:rFonts w:eastAsia="Times New Roman" w:cs="Times New Roman"/>
                <w:color w:val="000000"/>
                <w:szCs w:val="24"/>
              </w:rPr>
            </w:pPr>
            <w:r w:rsidRPr="007078E0">
              <w:rPr>
                <w:rFonts w:eastAsia="Times New Roman" w:cs="Times New Roman"/>
                <w:color w:val="000000"/>
                <w:szCs w:val="24"/>
              </w:rPr>
              <w:t>19,678</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7078E0" w:rsidRDefault="001D629C" w:rsidP="001D629C">
            <w:pPr>
              <w:spacing w:after="0" w:line="240" w:lineRule="auto"/>
              <w:jc w:val="right"/>
              <w:rPr>
                <w:rFonts w:eastAsia="Times New Roman" w:cs="Times New Roman"/>
                <w:color w:val="000000"/>
                <w:szCs w:val="24"/>
              </w:rPr>
            </w:pPr>
            <w:r w:rsidRPr="007078E0">
              <w:rPr>
                <w:rFonts w:eastAsia="Times New Roman" w:cs="Times New Roman"/>
                <w:color w:val="000000"/>
                <w:szCs w:val="24"/>
              </w:rPr>
              <w:t>22,200</w:t>
            </w:r>
          </w:p>
        </w:tc>
      </w:tr>
      <w:tr w:rsidR="001D629C" w:rsidRPr="007078E0" w:rsidTr="001D629C">
        <w:trPr>
          <w:trHeight w:val="315"/>
        </w:trPr>
        <w:tc>
          <w:tcPr>
            <w:tcW w:w="3510" w:type="dxa"/>
            <w:tcBorders>
              <w:top w:val="nil"/>
              <w:left w:val="single" w:sz="4" w:space="0" w:color="auto"/>
              <w:bottom w:val="single" w:sz="4" w:space="0" w:color="auto"/>
              <w:right w:val="single" w:sz="4" w:space="0" w:color="auto"/>
            </w:tcBorders>
            <w:shd w:val="clear" w:color="000000" w:fill="C5BE97"/>
            <w:noWrap/>
            <w:vAlign w:val="bottom"/>
            <w:hideMark/>
          </w:tcPr>
          <w:p w:rsidR="001D629C" w:rsidRPr="007078E0" w:rsidRDefault="001D629C" w:rsidP="001D629C">
            <w:pPr>
              <w:spacing w:after="0" w:line="240" w:lineRule="auto"/>
              <w:rPr>
                <w:rFonts w:eastAsia="Times New Roman" w:cs="Times New Roman"/>
                <w:color w:val="000000"/>
                <w:szCs w:val="24"/>
              </w:rPr>
            </w:pPr>
            <w:r w:rsidRPr="007078E0">
              <w:rPr>
                <w:rFonts w:eastAsia="Times New Roman" w:cs="Times New Roman"/>
                <w:color w:val="000000"/>
                <w:szCs w:val="24"/>
              </w:rPr>
              <w:t>capital employed</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7078E0" w:rsidRDefault="001D629C" w:rsidP="001D629C">
            <w:pPr>
              <w:spacing w:after="0" w:line="240" w:lineRule="auto"/>
              <w:jc w:val="right"/>
              <w:rPr>
                <w:rFonts w:eastAsia="Times New Roman" w:cs="Times New Roman"/>
                <w:color w:val="4F81BD"/>
                <w:szCs w:val="24"/>
              </w:rPr>
            </w:pPr>
            <w:r w:rsidRPr="007078E0">
              <w:rPr>
                <w:rFonts w:eastAsia="Times New Roman" w:cs="Times New Roman"/>
                <w:color w:val="4F81BD"/>
                <w:szCs w:val="24"/>
              </w:rPr>
              <w:t>13,882</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7078E0" w:rsidRDefault="001D629C" w:rsidP="001D629C">
            <w:pPr>
              <w:spacing w:after="0" w:line="240" w:lineRule="auto"/>
              <w:jc w:val="right"/>
              <w:rPr>
                <w:rFonts w:eastAsia="Times New Roman" w:cs="Times New Roman"/>
                <w:color w:val="4F81BD"/>
                <w:szCs w:val="24"/>
              </w:rPr>
            </w:pPr>
            <w:r w:rsidRPr="007078E0">
              <w:rPr>
                <w:rFonts w:eastAsia="Times New Roman" w:cs="Times New Roman"/>
                <w:color w:val="4F81BD"/>
                <w:szCs w:val="24"/>
              </w:rPr>
              <w:t>27,486</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7078E0" w:rsidRDefault="001D629C" w:rsidP="001D629C">
            <w:pPr>
              <w:spacing w:after="0" w:line="240" w:lineRule="auto"/>
              <w:jc w:val="right"/>
              <w:rPr>
                <w:rFonts w:eastAsia="Times New Roman" w:cs="Times New Roman"/>
                <w:color w:val="4F81BD"/>
                <w:szCs w:val="24"/>
              </w:rPr>
            </w:pPr>
            <w:r w:rsidRPr="007078E0">
              <w:rPr>
                <w:rFonts w:eastAsia="Times New Roman" w:cs="Times New Roman"/>
                <w:color w:val="4F81BD"/>
                <w:szCs w:val="24"/>
              </w:rPr>
              <w:t>27,630</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7078E0" w:rsidRDefault="001D629C" w:rsidP="001D629C">
            <w:pPr>
              <w:spacing w:after="0" w:line="240" w:lineRule="auto"/>
              <w:jc w:val="right"/>
              <w:rPr>
                <w:rFonts w:eastAsia="Times New Roman" w:cs="Times New Roman"/>
                <w:color w:val="4F81BD"/>
                <w:szCs w:val="24"/>
              </w:rPr>
            </w:pPr>
            <w:r w:rsidRPr="007078E0">
              <w:rPr>
                <w:rFonts w:eastAsia="Times New Roman" w:cs="Times New Roman"/>
                <w:color w:val="4F81BD"/>
                <w:szCs w:val="24"/>
              </w:rPr>
              <w:t>29,888</w:t>
            </w:r>
          </w:p>
        </w:tc>
        <w:tc>
          <w:tcPr>
            <w:tcW w:w="1090" w:type="dxa"/>
            <w:tcBorders>
              <w:top w:val="nil"/>
              <w:left w:val="nil"/>
              <w:bottom w:val="single" w:sz="4" w:space="0" w:color="auto"/>
              <w:right w:val="single" w:sz="4" w:space="0" w:color="auto"/>
            </w:tcBorders>
            <w:shd w:val="clear" w:color="000000" w:fill="C5BE97"/>
            <w:noWrap/>
            <w:vAlign w:val="bottom"/>
            <w:hideMark/>
          </w:tcPr>
          <w:p w:rsidR="001D629C" w:rsidRPr="007078E0" w:rsidRDefault="001D629C" w:rsidP="001D629C">
            <w:pPr>
              <w:spacing w:after="0" w:line="240" w:lineRule="auto"/>
              <w:jc w:val="right"/>
              <w:rPr>
                <w:rFonts w:eastAsia="Times New Roman" w:cs="Times New Roman"/>
                <w:color w:val="4F81BD"/>
                <w:szCs w:val="24"/>
              </w:rPr>
            </w:pPr>
            <w:r w:rsidRPr="007078E0">
              <w:rPr>
                <w:rFonts w:eastAsia="Times New Roman" w:cs="Times New Roman"/>
                <w:color w:val="4F81BD"/>
                <w:szCs w:val="24"/>
              </w:rPr>
              <w:t>34,396</w:t>
            </w:r>
          </w:p>
        </w:tc>
      </w:tr>
      <w:tr w:rsidR="001D629C" w:rsidRPr="007078E0" w:rsidTr="001D629C">
        <w:trPr>
          <w:trHeight w:val="315"/>
        </w:trPr>
        <w:tc>
          <w:tcPr>
            <w:tcW w:w="3510" w:type="dxa"/>
            <w:tcBorders>
              <w:top w:val="nil"/>
              <w:left w:val="single" w:sz="4" w:space="0" w:color="auto"/>
              <w:bottom w:val="single" w:sz="4" w:space="0" w:color="auto"/>
              <w:right w:val="single" w:sz="4" w:space="0" w:color="auto"/>
            </w:tcBorders>
            <w:shd w:val="clear" w:color="auto" w:fill="DAEEF3" w:themeFill="accent5" w:themeFillTint="33"/>
            <w:noWrap/>
            <w:vAlign w:val="bottom"/>
            <w:hideMark/>
          </w:tcPr>
          <w:p w:rsidR="001D629C" w:rsidRPr="007078E0" w:rsidRDefault="001D629C" w:rsidP="001D629C">
            <w:pPr>
              <w:spacing w:after="0" w:line="240" w:lineRule="auto"/>
              <w:rPr>
                <w:rFonts w:eastAsia="Times New Roman" w:cs="Times New Roman"/>
                <w:color w:val="000000"/>
                <w:szCs w:val="24"/>
              </w:rPr>
            </w:pPr>
            <w:r w:rsidRPr="007078E0">
              <w:rPr>
                <w:rFonts w:eastAsia="Times New Roman" w:cs="Times New Roman"/>
                <w:color w:val="000000"/>
                <w:szCs w:val="24"/>
              </w:rPr>
              <w:t>Gearing Ratio(long term liabilities/capital employed),capital employed=Share capital + retained earnings + long-term liabilities</w:t>
            </w:r>
          </w:p>
        </w:tc>
        <w:tc>
          <w:tcPr>
            <w:tcW w:w="1090" w:type="dxa"/>
            <w:tcBorders>
              <w:top w:val="nil"/>
              <w:left w:val="nil"/>
              <w:bottom w:val="single" w:sz="4" w:space="0" w:color="auto"/>
              <w:right w:val="single" w:sz="4" w:space="0" w:color="auto"/>
            </w:tcBorders>
            <w:shd w:val="clear" w:color="auto" w:fill="DAEEF3" w:themeFill="accent5" w:themeFillTint="33"/>
            <w:noWrap/>
            <w:vAlign w:val="bottom"/>
            <w:hideMark/>
          </w:tcPr>
          <w:p w:rsidR="001D629C" w:rsidRPr="007078E0" w:rsidRDefault="001D629C" w:rsidP="001D629C">
            <w:pPr>
              <w:spacing w:after="0" w:line="240" w:lineRule="auto"/>
              <w:jc w:val="right"/>
              <w:rPr>
                <w:rFonts w:eastAsia="Times New Roman" w:cs="Times New Roman"/>
                <w:szCs w:val="24"/>
              </w:rPr>
            </w:pPr>
            <w:r w:rsidRPr="007078E0">
              <w:rPr>
                <w:rFonts w:eastAsia="Times New Roman" w:cs="Times New Roman"/>
                <w:szCs w:val="24"/>
              </w:rPr>
              <w:t>96%</w:t>
            </w:r>
          </w:p>
        </w:tc>
        <w:tc>
          <w:tcPr>
            <w:tcW w:w="1090" w:type="dxa"/>
            <w:tcBorders>
              <w:top w:val="nil"/>
              <w:left w:val="nil"/>
              <w:bottom w:val="single" w:sz="4" w:space="0" w:color="auto"/>
              <w:right w:val="single" w:sz="4" w:space="0" w:color="auto"/>
            </w:tcBorders>
            <w:shd w:val="clear" w:color="auto" w:fill="DAEEF3" w:themeFill="accent5" w:themeFillTint="33"/>
            <w:noWrap/>
            <w:vAlign w:val="bottom"/>
            <w:hideMark/>
          </w:tcPr>
          <w:p w:rsidR="001D629C" w:rsidRPr="007078E0" w:rsidRDefault="001D629C" w:rsidP="001D629C">
            <w:pPr>
              <w:spacing w:after="0" w:line="240" w:lineRule="auto"/>
              <w:jc w:val="right"/>
              <w:rPr>
                <w:rFonts w:eastAsia="Times New Roman" w:cs="Times New Roman"/>
                <w:szCs w:val="24"/>
              </w:rPr>
            </w:pPr>
            <w:r w:rsidRPr="007078E0">
              <w:rPr>
                <w:rFonts w:eastAsia="Times New Roman" w:cs="Times New Roman"/>
                <w:szCs w:val="24"/>
              </w:rPr>
              <w:t>64%</w:t>
            </w:r>
          </w:p>
        </w:tc>
        <w:tc>
          <w:tcPr>
            <w:tcW w:w="1090" w:type="dxa"/>
            <w:tcBorders>
              <w:top w:val="nil"/>
              <w:left w:val="nil"/>
              <w:bottom w:val="single" w:sz="4" w:space="0" w:color="auto"/>
              <w:right w:val="single" w:sz="4" w:space="0" w:color="auto"/>
            </w:tcBorders>
            <w:shd w:val="clear" w:color="auto" w:fill="DAEEF3" w:themeFill="accent5" w:themeFillTint="33"/>
            <w:noWrap/>
            <w:vAlign w:val="bottom"/>
            <w:hideMark/>
          </w:tcPr>
          <w:p w:rsidR="001D629C" w:rsidRPr="007078E0" w:rsidRDefault="001D629C" w:rsidP="001D629C">
            <w:pPr>
              <w:spacing w:after="0" w:line="240" w:lineRule="auto"/>
              <w:jc w:val="right"/>
              <w:rPr>
                <w:rFonts w:eastAsia="Times New Roman" w:cs="Times New Roman"/>
                <w:szCs w:val="24"/>
              </w:rPr>
            </w:pPr>
            <w:r w:rsidRPr="007078E0">
              <w:rPr>
                <w:rFonts w:eastAsia="Times New Roman" w:cs="Times New Roman"/>
                <w:szCs w:val="24"/>
              </w:rPr>
              <w:t>64%</w:t>
            </w:r>
          </w:p>
        </w:tc>
        <w:tc>
          <w:tcPr>
            <w:tcW w:w="1090" w:type="dxa"/>
            <w:tcBorders>
              <w:top w:val="nil"/>
              <w:left w:val="nil"/>
              <w:bottom w:val="single" w:sz="4" w:space="0" w:color="auto"/>
              <w:right w:val="single" w:sz="4" w:space="0" w:color="auto"/>
            </w:tcBorders>
            <w:shd w:val="clear" w:color="auto" w:fill="DAEEF3" w:themeFill="accent5" w:themeFillTint="33"/>
            <w:noWrap/>
            <w:vAlign w:val="bottom"/>
            <w:hideMark/>
          </w:tcPr>
          <w:p w:rsidR="001D629C" w:rsidRPr="007078E0" w:rsidRDefault="001D629C" w:rsidP="001D629C">
            <w:pPr>
              <w:spacing w:after="0" w:line="240" w:lineRule="auto"/>
              <w:jc w:val="right"/>
              <w:rPr>
                <w:rFonts w:eastAsia="Times New Roman" w:cs="Times New Roman"/>
                <w:szCs w:val="24"/>
              </w:rPr>
            </w:pPr>
            <w:r w:rsidRPr="007078E0">
              <w:rPr>
                <w:rFonts w:eastAsia="Times New Roman" w:cs="Times New Roman"/>
                <w:szCs w:val="24"/>
              </w:rPr>
              <w:t>66%</w:t>
            </w:r>
          </w:p>
        </w:tc>
        <w:tc>
          <w:tcPr>
            <w:tcW w:w="1090" w:type="dxa"/>
            <w:tcBorders>
              <w:top w:val="nil"/>
              <w:left w:val="nil"/>
              <w:bottom w:val="single" w:sz="4" w:space="0" w:color="auto"/>
              <w:right w:val="single" w:sz="4" w:space="0" w:color="auto"/>
            </w:tcBorders>
            <w:shd w:val="clear" w:color="auto" w:fill="DAEEF3" w:themeFill="accent5" w:themeFillTint="33"/>
            <w:noWrap/>
            <w:vAlign w:val="bottom"/>
            <w:hideMark/>
          </w:tcPr>
          <w:p w:rsidR="001D629C" w:rsidRPr="007078E0" w:rsidRDefault="001D629C" w:rsidP="001D629C">
            <w:pPr>
              <w:spacing w:after="0" w:line="240" w:lineRule="auto"/>
              <w:jc w:val="right"/>
              <w:rPr>
                <w:rFonts w:eastAsia="Times New Roman" w:cs="Times New Roman"/>
                <w:szCs w:val="24"/>
              </w:rPr>
            </w:pPr>
            <w:r w:rsidRPr="007078E0">
              <w:rPr>
                <w:rFonts w:eastAsia="Times New Roman" w:cs="Times New Roman"/>
                <w:szCs w:val="24"/>
              </w:rPr>
              <w:t>65%</w:t>
            </w:r>
          </w:p>
        </w:tc>
      </w:tr>
    </w:tbl>
    <w:p w:rsidR="001D629C" w:rsidRDefault="001D629C" w:rsidP="001D629C">
      <w:pPr>
        <w:rPr>
          <w:b/>
        </w:rPr>
      </w:pPr>
    </w:p>
    <w:p w:rsidR="001D629C" w:rsidRPr="007E5502" w:rsidRDefault="001D629C" w:rsidP="001D629C">
      <w:r w:rsidRPr="007E5502">
        <w:t xml:space="preserve">The gearing ratio of the organization </w:t>
      </w:r>
      <w:r>
        <w:t>was around 96% in 2012 and from 2013 onwards the ratio on an average has become stable around 65%. This indicates that the organization is highly geared as the dependency of the organization over long term borrowing is quiet high during the study period</w:t>
      </w:r>
      <w:r w:rsidRPr="00773C72">
        <w:t xml:space="preserve"> (Btplc.com, 2018)</w:t>
      </w:r>
      <w:r>
        <w:t>. The fact of high dependency over the long term borrowing with respect to low profit generation capacity has also led to the low ratios of capital employed for the organization.</w:t>
      </w:r>
    </w:p>
    <w:p w:rsidR="001D629C" w:rsidRDefault="001D629C" w:rsidP="001D629C">
      <w:pPr>
        <w:pStyle w:val="Heading1"/>
      </w:pPr>
      <w:bookmarkStart w:id="12" w:name="_Toc502770447"/>
      <w:r>
        <w:t>5.0 Comparison of the financial performance between BT &amp; Vodafone (One of the major competitor of BT) via ratio analysis</w:t>
      </w:r>
      <w:bookmarkEnd w:id="12"/>
    </w:p>
    <w:p w:rsidR="001D629C" w:rsidRPr="00AE3AD6" w:rsidRDefault="001D629C" w:rsidP="001D629C">
      <w:pPr>
        <w:rPr>
          <w:b/>
          <w:u w:val="single"/>
        </w:rPr>
      </w:pPr>
      <w:r w:rsidRPr="00AE3AD6">
        <w:rPr>
          <w:rFonts w:eastAsia="Times New Roman" w:cs="Times New Roman"/>
          <w:b/>
          <w:color w:val="000000"/>
          <w:u w:val="single"/>
        </w:rPr>
        <w:t>Operating profit margin</w:t>
      </w:r>
    </w:p>
    <w:p w:rsidR="001D629C" w:rsidRPr="007003AE" w:rsidRDefault="001D629C" w:rsidP="001D629C"/>
    <w:tbl>
      <w:tblPr>
        <w:tblStyle w:val="LightGrid-Accent3"/>
        <w:tblW w:w="6480" w:type="dxa"/>
        <w:jc w:val="center"/>
        <w:tblLook w:val="04A0" w:firstRow="1" w:lastRow="0" w:firstColumn="1" w:lastColumn="0" w:noHBand="0" w:noVBand="1"/>
      </w:tblPr>
      <w:tblGrid>
        <w:gridCol w:w="2328"/>
        <w:gridCol w:w="830"/>
        <w:gridCol w:w="830"/>
        <w:gridCol w:w="832"/>
        <w:gridCol w:w="830"/>
        <w:gridCol w:w="830"/>
      </w:tblGrid>
      <w:tr w:rsidR="001D629C" w:rsidRPr="00754CF2" w:rsidTr="001D629C">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6480" w:type="dxa"/>
            <w:gridSpan w:val="6"/>
            <w:noWrap/>
            <w:hideMark/>
          </w:tcPr>
          <w:p w:rsidR="001D629C" w:rsidRPr="00754CF2" w:rsidRDefault="001D629C" w:rsidP="001D629C">
            <w:pPr>
              <w:jc w:val="center"/>
              <w:rPr>
                <w:rFonts w:eastAsia="Times New Roman" w:cs="Times New Roman"/>
                <w:color w:val="000000"/>
              </w:rPr>
            </w:pPr>
            <w:r w:rsidRPr="00754CF2">
              <w:rPr>
                <w:rFonts w:eastAsia="Times New Roman" w:cs="Times New Roman"/>
                <w:color w:val="000000"/>
              </w:rPr>
              <w:t>Operating profit margin</w:t>
            </w:r>
          </w:p>
        </w:tc>
      </w:tr>
      <w:tr w:rsidR="001D629C" w:rsidRPr="00754CF2" w:rsidTr="001D629C">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328" w:type="dxa"/>
            <w:noWrap/>
            <w:hideMark/>
          </w:tcPr>
          <w:p w:rsidR="001D629C" w:rsidRPr="00754CF2" w:rsidRDefault="001D629C" w:rsidP="001D629C">
            <w:pPr>
              <w:rPr>
                <w:rFonts w:eastAsia="Times New Roman" w:cs="Times New Roman"/>
                <w:color w:val="000000"/>
              </w:rPr>
            </w:pPr>
            <w:r w:rsidRPr="00754CF2">
              <w:rPr>
                <w:rFonts w:eastAsia="Times New Roman" w:cs="Times New Roman"/>
                <w:color w:val="000000"/>
              </w:rPr>
              <w:t> </w:t>
            </w:r>
          </w:p>
        </w:tc>
        <w:tc>
          <w:tcPr>
            <w:tcW w:w="830" w:type="dxa"/>
            <w:noWrap/>
            <w:hideMark/>
          </w:tcPr>
          <w:p w:rsidR="001D629C" w:rsidRPr="00754CF2" w:rsidRDefault="001D629C" w:rsidP="001D629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754CF2">
              <w:rPr>
                <w:rFonts w:eastAsia="Times New Roman" w:cs="Times New Roman"/>
                <w:color w:val="000000"/>
              </w:rPr>
              <w:t>2012</w:t>
            </w:r>
          </w:p>
        </w:tc>
        <w:tc>
          <w:tcPr>
            <w:tcW w:w="830" w:type="dxa"/>
            <w:noWrap/>
            <w:hideMark/>
          </w:tcPr>
          <w:p w:rsidR="001D629C" w:rsidRPr="00754CF2" w:rsidRDefault="001D629C" w:rsidP="001D629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754CF2">
              <w:rPr>
                <w:rFonts w:eastAsia="Times New Roman" w:cs="Times New Roman"/>
                <w:color w:val="000000"/>
              </w:rPr>
              <w:t>2013</w:t>
            </w:r>
          </w:p>
        </w:tc>
        <w:tc>
          <w:tcPr>
            <w:tcW w:w="832" w:type="dxa"/>
            <w:noWrap/>
            <w:hideMark/>
          </w:tcPr>
          <w:p w:rsidR="001D629C" w:rsidRPr="00754CF2" w:rsidRDefault="001D629C" w:rsidP="001D629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754CF2">
              <w:rPr>
                <w:rFonts w:eastAsia="Times New Roman" w:cs="Times New Roman"/>
                <w:color w:val="000000"/>
              </w:rPr>
              <w:t>2014</w:t>
            </w:r>
          </w:p>
        </w:tc>
        <w:tc>
          <w:tcPr>
            <w:tcW w:w="830" w:type="dxa"/>
            <w:noWrap/>
            <w:hideMark/>
          </w:tcPr>
          <w:p w:rsidR="001D629C" w:rsidRPr="00754CF2" w:rsidRDefault="001D629C" w:rsidP="001D629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754CF2">
              <w:rPr>
                <w:rFonts w:eastAsia="Times New Roman" w:cs="Times New Roman"/>
                <w:color w:val="000000"/>
              </w:rPr>
              <w:t>2015</w:t>
            </w:r>
          </w:p>
        </w:tc>
        <w:tc>
          <w:tcPr>
            <w:tcW w:w="830" w:type="dxa"/>
            <w:noWrap/>
            <w:hideMark/>
          </w:tcPr>
          <w:p w:rsidR="001D629C" w:rsidRPr="00754CF2" w:rsidRDefault="001D629C" w:rsidP="001D629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754CF2">
              <w:rPr>
                <w:rFonts w:eastAsia="Times New Roman" w:cs="Times New Roman"/>
                <w:color w:val="000000"/>
              </w:rPr>
              <w:t>2016</w:t>
            </w:r>
          </w:p>
        </w:tc>
      </w:tr>
      <w:tr w:rsidR="001D629C" w:rsidRPr="00754CF2" w:rsidTr="001D629C">
        <w:trPr>
          <w:cnfStyle w:val="000000010000" w:firstRow="0" w:lastRow="0" w:firstColumn="0" w:lastColumn="0" w:oddVBand="0" w:evenVBand="0" w:oddHBand="0" w:evenHBand="1" w:firstRowFirstColumn="0" w:firstRowLastColumn="0" w:lastRowFirstColumn="0" w:lastRowLastColumn="0"/>
          <w:trHeight w:val="870"/>
          <w:jc w:val="center"/>
        </w:trPr>
        <w:tc>
          <w:tcPr>
            <w:cnfStyle w:val="001000000000" w:firstRow="0" w:lastRow="0" w:firstColumn="1" w:lastColumn="0" w:oddVBand="0" w:evenVBand="0" w:oddHBand="0" w:evenHBand="0" w:firstRowFirstColumn="0" w:firstRowLastColumn="0" w:lastRowFirstColumn="0" w:lastRowLastColumn="0"/>
            <w:tcW w:w="2328" w:type="dxa"/>
            <w:hideMark/>
          </w:tcPr>
          <w:p w:rsidR="001D629C" w:rsidRPr="00754CF2" w:rsidRDefault="001D629C" w:rsidP="001D629C">
            <w:pPr>
              <w:rPr>
                <w:rFonts w:eastAsia="Times New Roman" w:cs="Times New Roman"/>
                <w:color w:val="000000"/>
              </w:rPr>
            </w:pPr>
            <w:r w:rsidRPr="00754CF2">
              <w:rPr>
                <w:rFonts w:eastAsia="Times New Roman" w:cs="Times New Roman"/>
                <w:color w:val="000000"/>
              </w:rPr>
              <w:t>BT</w:t>
            </w:r>
          </w:p>
        </w:tc>
        <w:tc>
          <w:tcPr>
            <w:tcW w:w="830" w:type="dxa"/>
            <w:noWrap/>
            <w:hideMark/>
          </w:tcPr>
          <w:p w:rsidR="001D629C" w:rsidRPr="00754CF2" w:rsidRDefault="001D629C" w:rsidP="001D629C">
            <w:pPr>
              <w:jc w:val="right"/>
              <w:cnfStyle w:val="000000010000" w:firstRow="0" w:lastRow="0" w:firstColumn="0" w:lastColumn="0" w:oddVBand="0" w:evenVBand="0" w:oddHBand="0" w:evenHBand="1" w:firstRowFirstColumn="0" w:firstRowLastColumn="0" w:lastRowFirstColumn="0" w:lastRowLastColumn="0"/>
              <w:rPr>
                <w:rFonts w:eastAsia="Times New Roman" w:cs="Times New Roman"/>
                <w:color w:val="000000"/>
              </w:rPr>
            </w:pPr>
            <w:r w:rsidRPr="00754CF2">
              <w:rPr>
                <w:rFonts w:eastAsia="Times New Roman" w:cs="Times New Roman"/>
                <w:color w:val="000000"/>
              </w:rPr>
              <w:t>15%</w:t>
            </w:r>
          </w:p>
        </w:tc>
        <w:tc>
          <w:tcPr>
            <w:tcW w:w="830" w:type="dxa"/>
            <w:noWrap/>
            <w:hideMark/>
          </w:tcPr>
          <w:p w:rsidR="001D629C" w:rsidRPr="00754CF2" w:rsidRDefault="001D629C" w:rsidP="001D629C">
            <w:pPr>
              <w:jc w:val="right"/>
              <w:cnfStyle w:val="000000010000" w:firstRow="0" w:lastRow="0" w:firstColumn="0" w:lastColumn="0" w:oddVBand="0" w:evenVBand="0" w:oddHBand="0" w:evenHBand="1" w:firstRowFirstColumn="0" w:firstRowLastColumn="0" w:lastRowFirstColumn="0" w:lastRowLastColumn="0"/>
              <w:rPr>
                <w:rFonts w:eastAsia="Times New Roman" w:cs="Times New Roman"/>
                <w:color w:val="000000"/>
              </w:rPr>
            </w:pPr>
            <w:r w:rsidRPr="00754CF2">
              <w:rPr>
                <w:rFonts w:eastAsia="Times New Roman" w:cs="Times New Roman"/>
                <w:color w:val="000000"/>
              </w:rPr>
              <w:t>16%</w:t>
            </w:r>
          </w:p>
        </w:tc>
        <w:tc>
          <w:tcPr>
            <w:tcW w:w="832" w:type="dxa"/>
            <w:noWrap/>
            <w:hideMark/>
          </w:tcPr>
          <w:p w:rsidR="001D629C" w:rsidRPr="00754CF2" w:rsidRDefault="001D629C" w:rsidP="001D629C">
            <w:pPr>
              <w:jc w:val="right"/>
              <w:cnfStyle w:val="000000010000" w:firstRow="0" w:lastRow="0" w:firstColumn="0" w:lastColumn="0" w:oddVBand="0" w:evenVBand="0" w:oddHBand="0" w:evenHBand="1" w:firstRowFirstColumn="0" w:firstRowLastColumn="0" w:lastRowFirstColumn="0" w:lastRowLastColumn="0"/>
              <w:rPr>
                <w:rFonts w:eastAsia="Times New Roman" w:cs="Times New Roman"/>
                <w:color w:val="000000"/>
              </w:rPr>
            </w:pPr>
            <w:r w:rsidRPr="00754CF2">
              <w:rPr>
                <w:rFonts w:eastAsia="Times New Roman" w:cs="Times New Roman"/>
                <w:color w:val="000000"/>
              </w:rPr>
              <w:t>17%</w:t>
            </w:r>
          </w:p>
        </w:tc>
        <w:tc>
          <w:tcPr>
            <w:tcW w:w="830" w:type="dxa"/>
            <w:noWrap/>
            <w:hideMark/>
          </w:tcPr>
          <w:p w:rsidR="001D629C" w:rsidRPr="00754CF2" w:rsidRDefault="001D629C" w:rsidP="001D629C">
            <w:pPr>
              <w:jc w:val="right"/>
              <w:cnfStyle w:val="000000010000" w:firstRow="0" w:lastRow="0" w:firstColumn="0" w:lastColumn="0" w:oddVBand="0" w:evenVBand="0" w:oddHBand="0" w:evenHBand="1" w:firstRowFirstColumn="0" w:firstRowLastColumn="0" w:lastRowFirstColumn="0" w:lastRowLastColumn="0"/>
              <w:rPr>
                <w:rFonts w:eastAsia="Times New Roman" w:cs="Times New Roman"/>
                <w:color w:val="000000"/>
              </w:rPr>
            </w:pPr>
            <w:r w:rsidRPr="00754CF2">
              <w:rPr>
                <w:rFonts w:eastAsia="Times New Roman" w:cs="Times New Roman"/>
                <w:color w:val="000000"/>
              </w:rPr>
              <w:t>19%</w:t>
            </w:r>
          </w:p>
        </w:tc>
        <w:tc>
          <w:tcPr>
            <w:tcW w:w="830" w:type="dxa"/>
            <w:noWrap/>
            <w:hideMark/>
          </w:tcPr>
          <w:p w:rsidR="001D629C" w:rsidRPr="00754CF2" w:rsidRDefault="001D629C" w:rsidP="001D629C">
            <w:pPr>
              <w:jc w:val="right"/>
              <w:cnfStyle w:val="000000010000" w:firstRow="0" w:lastRow="0" w:firstColumn="0" w:lastColumn="0" w:oddVBand="0" w:evenVBand="0" w:oddHBand="0" w:evenHBand="1" w:firstRowFirstColumn="0" w:firstRowLastColumn="0" w:lastRowFirstColumn="0" w:lastRowLastColumn="0"/>
              <w:rPr>
                <w:rFonts w:eastAsia="Times New Roman" w:cs="Times New Roman"/>
                <w:color w:val="000000"/>
              </w:rPr>
            </w:pPr>
            <w:r w:rsidRPr="00754CF2">
              <w:rPr>
                <w:rFonts w:eastAsia="Times New Roman" w:cs="Times New Roman"/>
                <w:color w:val="000000"/>
              </w:rPr>
              <w:t>20%</w:t>
            </w:r>
          </w:p>
        </w:tc>
      </w:tr>
      <w:tr w:rsidR="001D629C" w:rsidRPr="00754CF2" w:rsidTr="001D629C">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328" w:type="dxa"/>
            <w:noWrap/>
            <w:hideMark/>
          </w:tcPr>
          <w:p w:rsidR="001D629C" w:rsidRPr="00754CF2" w:rsidRDefault="001D629C" w:rsidP="001D629C">
            <w:pPr>
              <w:rPr>
                <w:rFonts w:eastAsia="Times New Roman" w:cs="Times New Roman"/>
                <w:color w:val="000000"/>
              </w:rPr>
            </w:pPr>
            <w:r w:rsidRPr="00754CF2">
              <w:rPr>
                <w:rFonts w:eastAsia="Times New Roman" w:cs="Times New Roman"/>
                <w:color w:val="000000"/>
              </w:rPr>
              <w:t>Vodafone</w:t>
            </w:r>
          </w:p>
        </w:tc>
        <w:tc>
          <w:tcPr>
            <w:tcW w:w="830" w:type="dxa"/>
            <w:noWrap/>
            <w:hideMark/>
          </w:tcPr>
          <w:p w:rsidR="001D629C" w:rsidRPr="00754CF2" w:rsidRDefault="001D629C" w:rsidP="001D629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754CF2">
              <w:rPr>
                <w:rFonts w:eastAsia="Times New Roman" w:cs="Times New Roman"/>
                <w:color w:val="000000"/>
              </w:rPr>
              <w:t>14%</w:t>
            </w:r>
          </w:p>
        </w:tc>
        <w:tc>
          <w:tcPr>
            <w:tcW w:w="830" w:type="dxa"/>
            <w:noWrap/>
            <w:hideMark/>
          </w:tcPr>
          <w:p w:rsidR="001D629C" w:rsidRPr="00754CF2" w:rsidRDefault="001D629C" w:rsidP="001D629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754CF2">
              <w:rPr>
                <w:rFonts w:eastAsia="Times New Roman" w:cs="Times New Roman"/>
                <w:color w:val="000000"/>
              </w:rPr>
              <w:t>-6%</w:t>
            </w:r>
          </w:p>
        </w:tc>
        <w:tc>
          <w:tcPr>
            <w:tcW w:w="832" w:type="dxa"/>
            <w:noWrap/>
            <w:hideMark/>
          </w:tcPr>
          <w:p w:rsidR="001D629C" w:rsidRPr="00754CF2" w:rsidRDefault="001D629C" w:rsidP="001D629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754CF2">
              <w:rPr>
                <w:rFonts w:eastAsia="Times New Roman" w:cs="Times New Roman"/>
                <w:color w:val="000000"/>
              </w:rPr>
              <w:t>-10%</w:t>
            </w:r>
          </w:p>
        </w:tc>
        <w:tc>
          <w:tcPr>
            <w:tcW w:w="830" w:type="dxa"/>
            <w:noWrap/>
            <w:hideMark/>
          </w:tcPr>
          <w:p w:rsidR="001D629C" w:rsidRPr="00754CF2" w:rsidRDefault="001D629C" w:rsidP="001D629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754CF2">
              <w:rPr>
                <w:rFonts w:eastAsia="Times New Roman" w:cs="Times New Roman"/>
                <w:color w:val="000000"/>
              </w:rPr>
              <w:t>5%</w:t>
            </w:r>
          </w:p>
        </w:tc>
        <w:tc>
          <w:tcPr>
            <w:tcW w:w="830" w:type="dxa"/>
            <w:noWrap/>
            <w:hideMark/>
          </w:tcPr>
          <w:p w:rsidR="001D629C" w:rsidRPr="00754CF2" w:rsidRDefault="001D629C" w:rsidP="001D629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754CF2">
              <w:rPr>
                <w:rFonts w:eastAsia="Times New Roman" w:cs="Times New Roman"/>
                <w:color w:val="000000"/>
              </w:rPr>
              <w:t>3%</w:t>
            </w:r>
          </w:p>
        </w:tc>
      </w:tr>
    </w:tbl>
    <w:p w:rsidR="001D629C" w:rsidRDefault="001D629C" w:rsidP="001D629C"/>
    <w:p w:rsidR="001D629C" w:rsidRDefault="001D629C" w:rsidP="001D629C">
      <w:pPr>
        <w:jc w:val="center"/>
      </w:pPr>
      <w:r w:rsidRPr="00AE3AD6">
        <w:rPr>
          <w:noProof/>
          <w:lang w:val="en-IN" w:eastAsia="en-IN"/>
        </w:rPr>
        <w:lastRenderedPageBreak/>
        <w:drawing>
          <wp:inline distT="0" distB="0" distL="0" distR="0">
            <wp:extent cx="3114040" cy="1975485"/>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srcRect/>
                    <a:stretch>
                      <a:fillRect/>
                    </a:stretch>
                  </pic:blipFill>
                  <pic:spPr bwMode="auto">
                    <a:xfrm>
                      <a:off x="0" y="0"/>
                      <a:ext cx="3114040" cy="1975485"/>
                    </a:xfrm>
                    <a:prstGeom prst="rect">
                      <a:avLst/>
                    </a:prstGeom>
                    <a:noFill/>
                    <a:ln w="9525">
                      <a:noFill/>
                      <a:miter lim="800000"/>
                      <a:headEnd/>
                      <a:tailEnd/>
                    </a:ln>
                  </pic:spPr>
                </pic:pic>
              </a:graphicData>
            </a:graphic>
          </wp:inline>
        </w:drawing>
      </w:r>
    </w:p>
    <w:p w:rsidR="001D629C" w:rsidRPr="00E751D6" w:rsidRDefault="001D629C" w:rsidP="001D629C">
      <w:pPr>
        <w:rPr>
          <w:rFonts w:eastAsia="Times New Roman" w:cs="Times New Roman"/>
          <w:color w:val="000000"/>
          <w:szCs w:val="24"/>
        </w:rPr>
      </w:pPr>
      <w:r w:rsidRPr="00E751D6">
        <w:rPr>
          <w:rFonts w:eastAsia="Times New Roman" w:cs="Times New Roman"/>
          <w:color w:val="000000"/>
          <w:szCs w:val="24"/>
        </w:rPr>
        <w:t xml:space="preserve">Looking at the ratios </w:t>
      </w:r>
      <w:r>
        <w:rPr>
          <w:rFonts w:eastAsia="Times New Roman" w:cs="Times New Roman"/>
          <w:color w:val="000000"/>
          <w:szCs w:val="24"/>
        </w:rPr>
        <w:t>it can be seen that British telecom has a stronger and stable opera ting profit margin compared t o that of Vodafone during the period of study. In 2013, 2014 the Vodafone has registered a negative margin as the organization failed to earn the expected service revenue due to high competition regulatory legislations and the political unrest from the European, market. However Vodafone with increase in 4G mobile data usage in European market(from which the organization gathers 66% of the total service revenue) has slightly recovered in 2015, 2016</w:t>
      </w:r>
    </w:p>
    <w:p w:rsidR="001D629C" w:rsidRPr="00E751D6" w:rsidRDefault="001D629C" w:rsidP="001D629C">
      <w:pPr>
        <w:rPr>
          <w:b/>
          <w:u w:val="single"/>
        </w:rPr>
      </w:pPr>
      <w:r w:rsidRPr="00AE3AD6">
        <w:rPr>
          <w:rFonts w:eastAsia="Times New Roman" w:cs="Times New Roman"/>
          <w:b/>
          <w:color w:val="000000"/>
          <w:szCs w:val="24"/>
          <w:u w:val="single"/>
        </w:rPr>
        <w:t>Net profit margin</w:t>
      </w:r>
      <w:r w:rsidRPr="00E751D6">
        <w:rPr>
          <w:rFonts w:eastAsia="Times New Roman" w:cs="Times New Roman"/>
          <w:b/>
          <w:color w:val="000000"/>
          <w:szCs w:val="24"/>
          <w:u w:val="single"/>
        </w:rPr>
        <w:t>:</w:t>
      </w:r>
    </w:p>
    <w:tbl>
      <w:tblPr>
        <w:tblStyle w:val="TableGrid"/>
        <w:tblW w:w="6480" w:type="dxa"/>
        <w:jc w:val="center"/>
        <w:shd w:val="clear" w:color="auto" w:fill="F2DBDB" w:themeFill="accent2" w:themeFillTint="33"/>
        <w:tblLook w:val="04A0" w:firstRow="1" w:lastRow="0" w:firstColumn="1" w:lastColumn="0" w:noHBand="0" w:noVBand="1"/>
      </w:tblPr>
      <w:tblGrid>
        <w:gridCol w:w="2328"/>
        <w:gridCol w:w="830"/>
        <w:gridCol w:w="832"/>
        <w:gridCol w:w="830"/>
        <w:gridCol w:w="830"/>
        <w:gridCol w:w="830"/>
      </w:tblGrid>
      <w:tr w:rsidR="001D629C" w:rsidRPr="00AE3AD6" w:rsidTr="001D629C">
        <w:trPr>
          <w:trHeight w:val="300"/>
          <w:jc w:val="center"/>
        </w:trPr>
        <w:tc>
          <w:tcPr>
            <w:tcW w:w="6480" w:type="dxa"/>
            <w:gridSpan w:val="6"/>
            <w:shd w:val="clear" w:color="auto" w:fill="F2DBDB" w:themeFill="accent2" w:themeFillTint="33"/>
            <w:noWrap/>
            <w:hideMark/>
          </w:tcPr>
          <w:p w:rsidR="001D629C" w:rsidRPr="00AE3AD6" w:rsidRDefault="001D629C" w:rsidP="001D629C">
            <w:pPr>
              <w:jc w:val="center"/>
              <w:rPr>
                <w:rFonts w:eastAsia="Times New Roman" w:cs="Times New Roman"/>
                <w:color w:val="000000"/>
                <w:szCs w:val="24"/>
              </w:rPr>
            </w:pPr>
            <w:r w:rsidRPr="00AE3AD6">
              <w:rPr>
                <w:rFonts w:eastAsia="Times New Roman" w:cs="Times New Roman"/>
                <w:color w:val="000000"/>
                <w:szCs w:val="24"/>
              </w:rPr>
              <w:t>Net profit margin</w:t>
            </w:r>
          </w:p>
        </w:tc>
      </w:tr>
      <w:tr w:rsidR="001D629C" w:rsidRPr="00AE3AD6" w:rsidTr="001D629C">
        <w:trPr>
          <w:trHeight w:val="300"/>
          <w:jc w:val="center"/>
        </w:trPr>
        <w:tc>
          <w:tcPr>
            <w:tcW w:w="2328" w:type="dxa"/>
            <w:shd w:val="clear" w:color="auto" w:fill="F2DBDB" w:themeFill="accent2" w:themeFillTint="33"/>
            <w:noWrap/>
            <w:hideMark/>
          </w:tcPr>
          <w:p w:rsidR="001D629C" w:rsidRPr="00AE3AD6" w:rsidRDefault="001D629C" w:rsidP="001D629C">
            <w:pPr>
              <w:rPr>
                <w:rFonts w:eastAsia="Times New Roman" w:cs="Times New Roman"/>
                <w:color w:val="000000"/>
                <w:szCs w:val="24"/>
              </w:rPr>
            </w:pPr>
            <w:r w:rsidRPr="00AE3AD6">
              <w:rPr>
                <w:rFonts w:eastAsia="Times New Roman" w:cs="Times New Roman"/>
                <w:color w:val="000000"/>
                <w:szCs w:val="24"/>
              </w:rPr>
              <w:t> </w:t>
            </w:r>
          </w:p>
        </w:tc>
        <w:tc>
          <w:tcPr>
            <w:tcW w:w="830" w:type="dxa"/>
            <w:shd w:val="clear" w:color="auto" w:fill="F2DBDB" w:themeFill="accent2" w:themeFillTint="33"/>
            <w:noWrap/>
            <w:hideMark/>
          </w:tcPr>
          <w:p w:rsidR="001D629C" w:rsidRPr="00AE3AD6" w:rsidRDefault="001D629C" w:rsidP="001D629C">
            <w:pPr>
              <w:jc w:val="right"/>
              <w:rPr>
                <w:rFonts w:eastAsia="Times New Roman" w:cs="Times New Roman"/>
                <w:color w:val="000000"/>
                <w:szCs w:val="24"/>
              </w:rPr>
            </w:pPr>
            <w:r w:rsidRPr="00AE3AD6">
              <w:rPr>
                <w:rFonts w:eastAsia="Times New Roman" w:cs="Times New Roman"/>
                <w:color w:val="000000"/>
                <w:szCs w:val="24"/>
              </w:rPr>
              <w:t>2012</w:t>
            </w:r>
          </w:p>
        </w:tc>
        <w:tc>
          <w:tcPr>
            <w:tcW w:w="832" w:type="dxa"/>
            <w:shd w:val="clear" w:color="auto" w:fill="F2DBDB" w:themeFill="accent2" w:themeFillTint="33"/>
            <w:noWrap/>
            <w:hideMark/>
          </w:tcPr>
          <w:p w:rsidR="001D629C" w:rsidRPr="00AE3AD6" w:rsidRDefault="001D629C" w:rsidP="001D629C">
            <w:pPr>
              <w:jc w:val="right"/>
              <w:rPr>
                <w:rFonts w:eastAsia="Times New Roman" w:cs="Times New Roman"/>
                <w:color w:val="000000"/>
                <w:szCs w:val="24"/>
              </w:rPr>
            </w:pPr>
            <w:r w:rsidRPr="00AE3AD6">
              <w:rPr>
                <w:rFonts w:eastAsia="Times New Roman" w:cs="Times New Roman"/>
                <w:color w:val="000000"/>
                <w:szCs w:val="24"/>
              </w:rPr>
              <w:t>2013</w:t>
            </w:r>
          </w:p>
        </w:tc>
        <w:tc>
          <w:tcPr>
            <w:tcW w:w="830" w:type="dxa"/>
            <w:shd w:val="clear" w:color="auto" w:fill="F2DBDB" w:themeFill="accent2" w:themeFillTint="33"/>
            <w:noWrap/>
            <w:hideMark/>
          </w:tcPr>
          <w:p w:rsidR="001D629C" w:rsidRPr="00AE3AD6" w:rsidRDefault="001D629C" w:rsidP="001D629C">
            <w:pPr>
              <w:jc w:val="right"/>
              <w:rPr>
                <w:rFonts w:eastAsia="Times New Roman" w:cs="Times New Roman"/>
                <w:color w:val="000000"/>
                <w:szCs w:val="24"/>
              </w:rPr>
            </w:pPr>
            <w:r w:rsidRPr="00AE3AD6">
              <w:rPr>
                <w:rFonts w:eastAsia="Times New Roman" w:cs="Times New Roman"/>
                <w:color w:val="000000"/>
                <w:szCs w:val="24"/>
              </w:rPr>
              <w:t>2014</w:t>
            </w:r>
          </w:p>
        </w:tc>
        <w:tc>
          <w:tcPr>
            <w:tcW w:w="830" w:type="dxa"/>
            <w:shd w:val="clear" w:color="auto" w:fill="F2DBDB" w:themeFill="accent2" w:themeFillTint="33"/>
            <w:noWrap/>
            <w:hideMark/>
          </w:tcPr>
          <w:p w:rsidR="001D629C" w:rsidRPr="00AE3AD6" w:rsidRDefault="001D629C" w:rsidP="001D629C">
            <w:pPr>
              <w:jc w:val="right"/>
              <w:rPr>
                <w:rFonts w:eastAsia="Times New Roman" w:cs="Times New Roman"/>
                <w:color w:val="000000"/>
                <w:szCs w:val="24"/>
              </w:rPr>
            </w:pPr>
            <w:r w:rsidRPr="00AE3AD6">
              <w:rPr>
                <w:rFonts w:eastAsia="Times New Roman" w:cs="Times New Roman"/>
                <w:color w:val="000000"/>
                <w:szCs w:val="24"/>
              </w:rPr>
              <w:t>2015</w:t>
            </w:r>
          </w:p>
        </w:tc>
        <w:tc>
          <w:tcPr>
            <w:tcW w:w="830" w:type="dxa"/>
            <w:shd w:val="clear" w:color="auto" w:fill="F2DBDB" w:themeFill="accent2" w:themeFillTint="33"/>
            <w:noWrap/>
            <w:hideMark/>
          </w:tcPr>
          <w:p w:rsidR="001D629C" w:rsidRPr="00AE3AD6" w:rsidRDefault="001D629C" w:rsidP="001D629C">
            <w:pPr>
              <w:jc w:val="right"/>
              <w:rPr>
                <w:rFonts w:eastAsia="Times New Roman" w:cs="Times New Roman"/>
                <w:color w:val="000000"/>
                <w:szCs w:val="24"/>
              </w:rPr>
            </w:pPr>
            <w:r w:rsidRPr="00AE3AD6">
              <w:rPr>
                <w:rFonts w:eastAsia="Times New Roman" w:cs="Times New Roman"/>
                <w:color w:val="000000"/>
                <w:szCs w:val="24"/>
              </w:rPr>
              <w:t>2016</w:t>
            </w:r>
          </w:p>
        </w:tc>
      </w:tr>
      <w:tr w:rsidR="001D629C" w:rsidRPr="00AE3AD6" w:rsidTr="001D629C">
        <w:trPr>
          <w:trHeight w:val="300"/>
          <w:jc w:val="center"/>
        </w:trPr>
        <w:tc>
          <w:tcPr>
            <w:tcW w:w="2328" w:type="dxa"/>
            <w:shd w:val="clear" w:color="auto" w:fill="F2DBDB" w:themeFill="accent2" w:themeFillTint="33"/>
            <w:hideMark/>
          </w:tcPr>
          <w:p w:rsidR="001D629C" w:rsidRPr="00AE3AD6" w:rsidRDefault="001D629C" w:rsidP="001D629C">
            <w:pPr>
              <w:rPr>
                <w:rFonts w:eastAsia="Times New Roman" w:cs="Times New Roman"/>
                <w:color w:val="000000"/>
                <w:szCs w:val="24"/>
              </w:rPr>
            </w:pPr>
            <w:r w:rsidRPr="00AE3AD6">
              <w:rPr>
                <w:rFonts w:eastAsia="Times New Roman" w:cs="Times New Roman"/>
                <w:color w:val="000000"/>
                <w:szCs w:val="24"/>
              </w:rPr>
              <w:t>BT</w:t>
            </w:r>
          </w:p>
        </w:tc>
        <w:tc>
          <w:tcPr>
            <w:tcW w:w="830" w:type="dxa"/>
            <w:shd w:val="clear" w:color="auto" w:fill="F2DBDB" w:themeFill="accent2" w:themeFillTint="33"/>
            <w:noWrap/>
            <w:hideMark/>
          </w:tcPr>
          <w:p w:rsidR="001D629C" w:rsidRPr="00AE3AD6" w:rsidRDefault="001D629C" w:rsidP="001D629C">
            <w:pPr>
              <w:jc w:val="right"/>
              <w:rPr>
                <w:rFonts w:eastAsia="Times New Roman" w:cs="Times New Roman"/>
                <w:color w:val="000000"/>
                <w:szCs w:val="24"/>
              </w:rPr>
            </w:pPr>
            <w:r w:rsidRPr="00AE3AD6">
              <w:rPr>
                <w:rFonts w:eastAsia="Times New Roman" w:cs="Times New Roman"/>
                <w:color w:val="000000"/>
                <w:szCs w:val="24"/>
              </w:rPr>
              <w:t>10%</w:t>
            </w:r>
          </w:p>
        </w:tc>
        <w:tc>
          <w:tcPr>
            <w:tcW w:w="832" w:type="dxa"/>
            <w:shd w:val="clear" w:color="auto" w:fill="F2DBDB" w:themeFill="accent2" w:themeFillTint="33"/>
            <w:noWrap/>
            <w:hideMark/>
          </w:tcPr>
          <w:p w:rsidR="001D629C" w:rsidRPr="00AE3AD6" w:rsidRDefault="001D629C" w:rsidP="001D629C">
            <w:pPr>
              <w:jc w:val="right"/>
              <w:rPr>
                <w:rFonts w:eastAsia="Times New Roman" w:cs="Times New Roman"/>
                <w:color w:val="000000"/>
                <w:szCs w:val="24"/>
              </w:rPr>
            </w:pPr>
            <w:r w:rsidRPr="00AE3AD6">
              <w:rPr>
                <w:rFonts w:eastAsia="Times New Roman" w:cs="Times New Roman"/>
                <w:color w:val="000000"/>
                <w:szCs w:val="24"/>
              </w:rPr>
              <w:t>12%</w:t>
            </w:r>
          </w:p>
        </w:tc>
        <w:tc>
          <w:tcPr>
            <w:tcW w:w="830" w:type="dxa"/>
            <w:shd w:val="clear" w:color="auto" w:fill="F2DBDB" w:themeFill="accent2" w:themeFillTint="33"/>
            <w:noWrap/>
            <w:hideMark/>
          </w:tcPr>
          <w:p w:rsidR="001D629C" w:rsidRPr="00AE3AD6" w:rsidRDefault="001D629C" w:rsidP="001D629C">
            <w:pPr>
              <w:jc w:val="right"/>
              <w:rPr>
                <w:rFonts w:eastAsia="Times New Roman" w:cs="Times New Roman"/>
                <w:color w:val="000000"/>
                <w:szCs w:val="24"/>
              </w:rPr>
            </w:pPr>
            <w:r w:rsidRPr="00AE3AD6">
              <w:rPr>
                <w:rFonts w:eastAsia="Times New Roman" w:cs="Times New Roman"/>
                <w:color w:val="000000"/>
                <w:szCs w:val="24"/>
              </w:rPr>
              <w:t>12%</w:t>
            </w:r>
          </w:p>
        </w:tc>
        <w:tc>
          <w:tcPr>
            <w:tcW w:w="830" w:type="dxa"/>
            <w:shd w:val="clear" w:color="auto" w:fill="F2DBDB" w:themeFill="accent2" w:themeFillTint="33"/>
            <w:noWrap/>
            <w:hideMark/>
          </w:tcPr>
          <w:p w:rsidR="001D629C" w:rsidRPr="00AE3AD6" w:rsidRDefault="001D629C" w:rsidP="001D629C">
            <w:pPr>
              <w:jc w:val="right"/>
              <w:rPr>
                <w:rFonts w:eastAsia="Times New Roman" w:cs="Times New Roman"/>
                <w:color w:val="000000"/>
                <w:szCs w:val="24"/>
              </w:rPr>
            </w:pPr>
            <w:r w:rsidRPr="00AE3AD6">
              <w:rPr>
                <w:rFonts w:eastAsia="Times New Roman" w:cs="Times New Roman"/>
                <w:color w:val="000000"/>
                <w:szCs w:val="24"/>
              </w:rPr>
              <w:t>13%</w:t>
            </w:r>
          </w:p>
        </w:tc>
        <w:tc>
          <w:tcPr>
            <w:tcW w:w="830" w:type="dxa"/>
            <w:shd w:val="clear" w:color="auto" w:fill="F2DBDB" w:themeFill="accent2" w:themeFillTint="33"/>
            <w:noWrap/>
            <w:hideMark/>
          </w:tcPr>
          <w:p w:rsidR="001D629C" w:rsidRPr="00AE3AD6" w:rsidRDefault="001D629C" w:rsidP="001D629C">
            <w:pPr>
              <w:jc w:val="right"/>
              <w:rPr>
                <w:rFonts w:eastAsia="Times New Roman" w:cs="Times New Roman"/>
                <w:color w:val="000000"/>
                <w:szCs w:val="24"/>
              </w:rPr>
            </w:pPr>
            <w:r w:rsidRPr="00AE3AD6">
              <w:rPr>
                <w:rFonts w:eastAsia="Times New Roman" w:cs="Times New Roman"/>
                <w:color w:val="000000"/>
                <w:szCs w:val="24"/>
              </w:rPr>
              <w:t>15%</w:t>
            </w:r>
          </w:p>
        </w:tc>
      </w:tr>
      <w:tr w:rsidR="001D629C" w:rsidRPr="00AE3AD6" w:rsidTr="001D629C">
        <w:trPr>
          <w:trHeight w:val="300"/>
          <w:jc w:val="center"/>
        </w:trPr>
        <w:tc>
          <w:tcPr>
            <w:tcW w:w="2328" w:type="dxa"/>
            <w:shd w:val="clear" w:color="auto" w:fill="F2DBDB" w:themeFill="accent2" w:themeFillTint="33"/>
            <w:noWrap/>
            <w:hideMark/>
          </w:tcPr>
          <w:p w:rsidR="001D629C" w:rsidRPr="00AE3AD6" w:rsidRDefault="001D629C" w:rsidP="001D629C">
            <w:pPr>
              <w:rPr>
                <w:rFonts w:eastAsia="Times New Roman" w:cs="Times New Roman"/>
                <w:color w:val="000000"/>
                <w:szCs w:val="24"/>
              </w:rPr>
            </w:pPr>
            <w:r w:rsidRPr="00AE3AD6">
              <w:rPr>
                <w:rFonts w:eastAsia="Times New Roman" w:cs="Times New Roman"/>
                <w:color w:val="000000"/>
                <w:szCs w:val="24"/>
              </w:rPr>
              <w:t>Vodafone</w:t>
            </w:r>
          </w:p>
        </w:tc>
        <w:tc>
          <w:tcPr>
            <w:tcW w:w="830" w:type="dxa"/>
            <w:shd w:val="clear" w:color="auto" w:fill="F2DBDB" w:themeFill="accent2" w:themeFillTint="33"/>
            <w:noWrap/>
            <w:hideMark/>
          </w:tcPr>
          <w:p w:rsidR="001D629C" w:rsidRPr="00AE3AD6" w:rsidRDefault="001D629C" w:rsidP="001D629C">
            <w:pPr>
              <w:jc w:val="right"/>
              <w:rPr>
                <w:rFonts w:eastAsia="Times New Roman" w:cs="Times New Roman"/>
                <w:color w:val="000000"/>
                <w:szCs w:val="24"/>
              </w:rPr>
            </w:pPr>
            <w:r w:rsidRPr="00AE3AD6">
              <w:rPr>
                <w:rFonts w:eastAsia="Times New Roman" w:cs="Times New Roman"/>
                <w:color w:val="000000"/>
                <w:szCs w:val="24"/>
              </w:rPr>
              <w:t>9%</w:t>
            </w:r>
          </w:p>
        </w:tc>
        <w:tc>
          <w:tcPr>
            <w:tcW w:w="832" w:type="dxa"/>
            <w:shd w:val="clear" w:color="auto" w:fill="F2DBDB" w:themeFill="accent2" w:themeFillTint="33"/>
            <w:noWrap/>
            <w:hideMark/>
          </w:tcPr>
          <w:p w:rsidR="001D629C" w:rsidRPr="00AE3AD6" w:rsidRDefault="001D629C" w:rsidP="001D629C">
            <w:pPr>
              <w:jc w:val="right"/>
              <w:rPr>
                <w:rFonts w:eastAsia="Times New Roman" w:cs="Times New Roman"/>
                <w:color w:val="000000"/>
                <w:szCs w:val="24"/>
              </w:rPr>
            </w:pPr>
            <w:r w:rsidRPr="00AE3AD6">
              <w:rPr>
                <w:rFonts w:eastAsia="Times New Roman" w:cs="Times New Roman"/>
                <w:color w:val="000000"/>
                <w:szCs w:val="24"/>
              </w:rPr>
              <w:t>-10%</w:t>
            </w:r>
          </w:p>
        </w:tc>
        <w:tc>
          <w:tcPr>
            <w:tcW w:w="830" w:type="dxa"/>
            <w:shd w:val="clear" w:color="auto" w:fill="F2DBDB" w:themeFill="accent2" w:themeFillTint="33"/>
            <w:noWrap/>
            <w:hideMark/>
          </w:tcPr>
          <w:p w:rsidR="001D629C" w:rsidRPr="00AE3AD6" w:rsidRDefault="001D629C" w:rsidP="001D629C">
            <w:pPr>
              <w:jc w:val="right"/>
              <w:rPr>
                <w:rFonts w:eastAsia="Times New Roman" w:cs="Times New Roman"/>
                <w:color w:val="000000"/>
                <w:szCs w:val="24"/>
              </w:rPr>
            </w:pPr>
            <w:r w:rsidRPr="00AE3AD6">
              <w:rPr>
                <w:rFonts w:eastAsia="Times New Roman" w:cs="Times New Roman"/>
                <w:color w:val="000000"/>
                <w:szCs w:val="24"/>
              </w:rPr>
              <w:t>29%</w:t>
            </w:r>
          </w:p>
        </w:tc>
        <w:tc>
          <w:tcPr>
            <w:tcW w:w="830" w:type="dxa"/>
            <w:shd w:val="clear" w:color="auto" w:fill="F2DBDB" w:themeFill="accent2" w:themeFillTint="33"/>
            <w:noWrap/>
            <w:hideMark/>
          </w:tcPr>
          <w:p w:rsidR="001D629C" w:rsidRPr="00AE3AD6" w:rsidRDefault="001D629C" w:rsidP="001D629C">
            <w:pPr>
              <w:jc w:val="right"/>
              <w:rPr>
                <w:rFonts w:eastAsia="Times New Roman" w:cs="Times New Roman"/>
                <w:color w:val="000000"/>
                <w:szCs w:val="24"/>
              </w:rPr>
            </w:pPr>
            <w:r w:rsidRPr="00AE3AD6">
              <w:rPr>
                <w:rFonts w:eastAsia="Times New Roman" w:cs="Times New Roman"/>
                <w:color w:val="000000"/>
                <w:szCs w:val="24"/>
              </w:rPr>
              <w:t>14%</w:t>
            </w:r>
          </w:p>
        </w:tc>
        <w:tc>
          <w:tcPr>
            <w:tcW w:w="830" w:type="dxa"/>
            <w:shd w:val="clear" w:color="auto" w:fill="F2DBDB" w:themeFill="accent2" w:themeFillTint="33"/>
            <w:noWrap/>
            <w:hideMark/>
          </w:tcPr>
          <w:p w:rsidR="001D629C" w:rsidRPr="00AE3AD6" w:rsidRDefault="001D629C" w:rsidP="001D629C">
            <w:pPr>
              <w:jc w:val="right"/>
              <w:rPr>
                <w:rFonts w:eastAsia="Times New Roman" w:cs="Times New Roman"/>
                <w:color w:val="000000"/>
                <w:szCs w:val="24"/>
              </w:rPr>
            </w:pPr>
            <w:r w:rsidRPr="00AE3AD6">
              <w:rPr>
                <w:rFonts w:eastAsia="Times New Roman" w:cs="Times New Roman"/>
                <w:color w:val="000000"/>
                <w:szCs w:val="24"/>
              </w:rPr>
              <w:t>-9%</w:t>
            </w:r>
          </w:p>
        </w:tc>
      </w:tr>
    </w:tbl>
    <w:p w:rsidR="001D629C" w:rsidRDefault="001D629C" w:rsidP="001D629C"/>
    <w:p w:rsidR="001D629C" w:rsidRDefault="001D629C" w:rsidP="001D629C">
      <w:pPr>
        <w:jc w:val="center"/>
      </w:pPr>
      <w:r w:rsidRPr="00206BBF">
        <w:rPr>
          <w:noProof/>
          <w:lang w:val="en-IN" w:eastAsia="en-IN"/>
        </w:rPr>
        <w:drawing>
          <wp:inline distT="0" distB="0" distL="0" distR="0">
            <wp:extent cx="3114040" cy="1975485"/>
            <wp:effectExtent l="19050" t="0" r="0" b="0"/>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srcRect/>
                    <a:stretch>
                      <a:fillRect/>
                    </a:stretch>
                  </pic:blipFill>
                  <pic:spPr bwMode="auto">
                    <a:xfrm>
                      <a:off x="0" y="0"/>
                      <a:ext cx="3114040" cy="1975485"/>
                    </a:xfrm>
                    <a:prstGeom prst="rect">
                      <a:avLst/>
                    </a:prstGeom>
                    <a:noFill/>
                    <a:ln w="9525">
                      <a:noFill/>
                      <a:miter lim="800000"/>
                      <a:headEnd/>
                      <a:tailEnd/>
                    </a:ln>
                  </pic:spPr>
                </pic:pic>
              </a:graphicData>
            </a:graphic>
          </wp:inline>
        </w:drawing>
      </w:r>
    </w:p>
    <w:p w:rsidR="001D629C" w:rsidRDefault="001D629C" w:rsidP="001D629C">
      <w:r>
        <w:lastRenderedPageBreak/>
        <w:t xml:space="preserve">Looking at the ratios it can be seen that the net profit margin ratios of BT is more stable where of that of Vodafone ins quite erratic (as the ratio is negative in 2013 &amp; 2016, also registers a pike in 2016) in nature as the Vodafone is trying hard to </w:t>
      </w:r>
      <w:proofErr w:type="spellStart"/>
      <w:r>
        <w:t>stabilise</w:t>
      </w:r>
      <w:proofErr w:type="spellEnd"/>
      <w:r>
        <w:t xml:space="preserve"> their service earnings from the different markets of the world and this ratio of Vodafone is in tandem with the </w:t>
      </w:r>
      <w:proofErr w:type="spellStart"/>
      <w:r>
        <w:t>oprating</w:t>
      </w:r>
      <w:proofErr w:type="spellEnd"/>
      <w:r>
        <w:t xml:space="preserve"> profit margin ratio</w:t>
      </w:r>
      <w:r w:rsidRPr="00773C72">
        <w:t xml:space="preserve"> (Vodafone.com, 2012)</w:t>
      </w:r>
      <w:r>
        <w:t>.</w:t>
      </w:r>
    </w:p>
    <w:p w:rsidR="001D629C" w:rsidRPr="00325F42" w:rsidRDefault="001D629C" w:rsidP="001D629C">
      <w:pPr>
        <w:rPr>
          <w:b/>
        </w:rPr>
      </w:pPr>
      <w:r w:rsidRPr="00325F42">
        <w:rPr>
          <w:b/>
        </w:rPr>
        <w:t>Current Ratio:</w:t>
      </w:r>
    </w:p>
    <w:tbl>
      <w:tblPr>
        <w:tblStyle w:val="LightShading-Accent4"/>
        <w:tblW w:w="6482" w:type="dxa"/>
        <w:jc w:val="center"/>
        <w:tblLook w:val="04A0" w:firstRow="1" w:lastRow="0" w:firstColumn="1" w:lastColumn="0" w:noHBand="0" w:noVBand="1"/>
      </w:tblPr>
      <w:tblGrid>
        <w:gridCol w:w="2327"/>
        <w:gridCol w:w="831"/>
        <w:gridCol w:w="831"/>
        <w:gridCol w:w="831"/>
        <w:gridCol w:w="831"/>
        <w:gridCol w:w="831"/>
      </w:tblGrid>
      <w:tr w:rsidR="001D629C" w:rsidRPr="00206BBF" w:rsidTr="001D629C">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6482" w:type="dxa"/>
            <w:gridSpan w:val="6"/>
            <w:noWrap/>
            <w:hideMark/>
          </w:tcPr>
          <w:p w:rsidR="001D629C" w:rsidRPr="00206BBF" w:rsidRDefault="001D629C" w:rsidP="001D629C">
            <w:pPr>
              <w:jc w:val="center"/>
              <w:rPr>
                <w:rFonts w:eastAsia="Times New Roman" w:cs="Times New Roman"/>
                <w:color w:val="000000"/>
              </w:rPr>
            </w:pPr>
            <w:r w:rsidRPr="00206BBF">
              <w:rPr>
                <w:rFonts w:eastAsia="Times New Roman" w:cs="Times New Roman"/>
                <w:color w:val="000000"/>
              </w:rPr>
              <w:t>Current Ratio</w:t>
            </w:r>
          </w:p>
        </w:tc>
      </w:tr>
      <w:tr w:rsidR="001D629C" w:rsidRPr="00206BBF" w:rsidTr="001D629C">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327" w:type="dxa"/>
            <w:noWrap/>
            <w:hideMark/>
          </w:tcPr>
          <w:p w:rsidR="001D629C" w:rsidRPr="00206BBF" w:rsidRDefault="001D629C" w:rsidP="001D629C">
            <w:pPr>
              <w:rPr>
                <w:rFonts w:eastAsia="Times New Roman" w:cs="Times New Roman"/>
                <w:color w:val="000000"/>
              </w:rPr>
            </w:pPr>
            <w:r w:rsidRPr="00206BBF">
              <w:rPr>
                <w:rFonts w:eastAsia="Times New Roman" w:cs="Times New Roman"/>
                <w:color w:val="000000"/>
              </w:rPr>
              <w:t> </w:t>
            </w:r>
          </w:p>
        </w:tc>
        <w:tc>
          <w:tcPr>
            <w:tcW w:w="831" w:type="dxa"/>
            <w:noWrap/>
            <w:hideMark/>
          </w:tcPr>
          <w:p w:rsidR="001D629C" w:rsidRPr="00206BBF" w:rsidRDefault="001D629C" w:rsidP="001D629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206BBF">
              <w:rPr>
                <w:rFonts w:eastAsia="Times New Roman" w:cs="Times New Roman"/>
                <w:color w:val="000000"/>
              </w:rPr>
              <w:t>2012</w:t>
            </w:r>
          </w:p>
        </w:tc>
        <w:tc>
          <w:tcPr>
            <w:tcW w:w="831" w:type="dxa"/>
            <w:noWrap/>
            <w:hideMark/>
          </w:tcPr>
          <w:p w:rsidR="001D629C" w:rsidRPr="00206BBF" w:rsidRDefault="001D629C" w:rsidP="001D629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206BBF">
              <w:rPr>
                <w:rFonts w:eastAsia="Times New Roman" w:cs="Times New Roman"/>
                <w:color w:val="000000"/>
              </w:rPr>
              <w:t>2013</w:t>
            </w:r>
          </w:p>
        </w:tc>
        <w:tc>
          <w:tcPr>
            <w:tcW w:w="831" w:type="dxa"/>
            <w:noWrap/>
            <w:hideMark/>
          </w:tcPr>
          <w:p w:rsidR="001D629C" w:rsidRPr="00206BBF" w:rsidRDefault="001D629C" w:rsidP="001D629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206BBF">
              <w:rPr>
                <w:rFonts w:eastAsia="Times New Roman" w:cs="Times New Roman"/>
                <w:color w:val="000000"/>
              </w:rPr>
              <w:t>2014</w:t>
            </w:r>
          </w:p>
        </w:tc>
        <w:tc>
          <w:tcPr>
            <w:tcW w:w="831" w:type="dxa"/>
            <w:noWrap/>
            <w:hideMark/>
          </w:tcPr>
          <w:p w:rsidR="001D629C" w:rsidRPr="00206BBF" w:rsidRDefault="001D629C" w:rsidP="001D629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206BBF">
              <w:rPr>
                <w:rFonts w:eastAsia="Times New Roman" w:cs="Times New Roman"/>
                <w:color w:val="000000"/>
              </w:rPr>
              <w:t>2015</w:t>
            </w:r>
          </w:p>
        </w:tc>
        <w:tc>
          <w:tcPr>
            <w:tcW w:w="831" w:type="dxa"/>
            <w:noWrap/>
            <w:hideMark/>
          </w:tcPr>
          <w:p w:rsidR="001D629C" w:rsidRPr="00206BBF" w:rsidRDefault="001D629C" w:rsidP="001D629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206BBF">
              <w:rPr>
                <w:rFonts w:eastAsia="Times New Roman" w:cs="Times New Roman"/>
                <w:color w:val="000000"/>
              </w:rPr>
              <w:t>2016</w:t>
            </w:r>
          </w:p>
        </w:tc>
      </w:tr>
      <w:tr w:rsidR="001D629C" w:rsidRPr="00206BBF" w:rsidTr="001D629C">
        <w:trPr>
          <w:trHeight w:val="300"/>
          <w:jc w:val="center"/>
        </w:trPr>
        <w:tc>
          <w:tcPr>
            <w:cnfStyle w:val="001000000000" w:firstRow="0" w:lastRow="0" w:firstColumn="1" w:lastColumn="0" w:oddVBand="0" w:evenVBand="0" w:oddHBand="0" w:evenHBand="0" w:firstRowFirstColumn="0" w:firstRowLastColumn="0" w:lastRowFirstColumn="0" w:lastRowLastColumn="0"/>
            <w:tcW w:w="2327" w:type="dxa"/>
            <w:hideMark/>
          </w:tcPr>
          <w:p w:rsidR="001D629C" w:rsidRPr="00206BBF" w:rsidRDefault="001D629C" w:rsidP="001D629C">
            <w:pPr>
              <w:rPr>
                <w:rFonts w:eastAsia="Times New Roman" w:cs="Times New Roman"/>
                <w:color w:val="000000"/>
              </w:rPr>
            </w:pPr>
            <w:r w:rsidRPr="00206BBF">
              <w:rPr>
                <w:rFonts w:eastAsia="Times New Roman" w:cs="Times New Roman"/>
                <w:color w:val="000000"/>
              </w:rPr>
              <w:t>BT</w:t>
            </w:r>
          </w:p>
        </w:tc>
        <w:tc>
          <w:tcPr>
            <w:tcW w:w="831" w:type="dxa"/>
            <w:noWrap/>
            <w:hideMark/>
          </w:tcPr>
          <w:p w:rsidR="001D629C" w:rsidRPr="00206BBF" w:rsidRDefault="001D629C" w:rsidP="001D629C">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rPr>
            </w:pPr>
            <w:r w:rsidRPr="00206BBF">
              <w:rPr>
                <w:rFonts w:eastAsia="Times New Roman" w:cs="Times New Roman"/>
                <w:color w:val="000000"/>
              </w:rPr>
              <w:t>0.49</w:t>
            </w:r>
          </w:p>
        </w:tc>
        <w:tc>
          <w:tcPr>
            <w:tcW w:w="831" w:type="dxa"/>
            <w:noWrap/>
            <w:hideMark/>
          </w:tcPr>
          <w:p w:rsidR="001D629C" w:rsidRPr="00206BBF" w:rsidRDefault="001D629C" w:rsidP="001D629C">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rPr>
            </w:pPr>
            <w:r w:rsidRPr="00206BBF">
              <w:rPr>
                <w:rFonts w:eastAsia="Times New Roman" w:cs="Times New Roman"/>
                <w:color w:val="000000"/>
              </w:rPr>
              <w:t>0.71</w:t>
            </w:r>
          </w:p>
        </w:tc>
        <w:tc>
          <w:tcPr>
            <w:tcW w:w="831" w:type="dxa"/>
            <w:noWrap/>
            <w:hideMark/>
          </w:tcPr>
          <w:p w:rsidR="001D629C" w:rsidRPr="00206BBF" w:rsidRDefault="001D629C" w:rsidP="001D629C">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rPr>
            </w:pPr>
            <w:r w:rsidRPr="00206BBF">
              <w:rPr>
                <w:rFonts w:eastAsia="Times New Roman" w:cs="Times New Roman"/>
                <w:color w:val="000000"/>
              </w:rPr>
              <w:t>0.84</w:t>
            </w:r>
          </w:p>
        </w:tc>
        <w:tc>
          <w:tcPr>
            <w:tcW w:w="831" w:type="dxa"/>
            <w:noWrap/>
            <w:hideMark/>
          </w:tcPr>
          <w:p w:rsidR="001D629C" w:rsidRPr="00206BBF" w:rsidRDefault="001D629C" w:rsidP="001D629C">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rPr>
            </w:pPr>
            <w:r w:rsidRPr="00206BBF">
              <w:rPr>
                <w:rFonts w:eastAsia="Times New Roman" w:cs="Times New Roman"/>
                <w:color w:val="000000"/>
              </w:rPr>
              <w:t>0.97</w:t>
            </w:r>
          </w:p>
        </w:tc>
        <w:tc>
          <w:tcPr>
            <w:tcW w:w="831" w:type="dxa"/>
            <w:noWrap/>
            <w:hideMark/>
          </w:tcPr>
          <w:p w:rsidR="001D629C" w:rsidRPr="00206BBF" w:rsidRDefault="001D629C" w:rsidP="001D629C">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rPr>
            </w:pPr>
            <w:r w:rsidRPr="00206BBF">
              <w:rPr>
                <w:rFonts w:eastAsia="Times New Roman" w:cs="Times New Roman"/>
                <w:color w:val="000000"/>
              </w:rPr>
              <w:t>0.77</w:t>
            </w:r>
          </w:p>
        </w:tc>
      </w:tr>
      <w:tr w:rsidR="001D629C" w:rsidRPr="00206BBF" w:rsidTr="001D629C">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327" w:type="dxa"/>
            <w:noWrap/>
            <w:hideMark/>
          </w:tcPr>
          <w:p w:rsidR="001D629C" w:rsidRPr="00206BBF" w:rsidRDefault="001D629C" w:rsidP="001D629C">
            <w:pPr>
              <w:rPr>
                <w:rFonts w:eastAsia="Times New Roman" w:cs="Times New Roman"/>
                <w:color w:val="000000"/>
              </w:rPr>
            </w:pPr>
            <w:r w:rsidRPr="00206BBF">
              <w:rPr>
                <w:rFonts w:eastAsia="Times New Roman" w:cs="Times New Roman"/>
                <w:color w:val="000000"/>
              </w:rPr>
              <w:t>Vodafone</w:t>
            </w:r>
          </w:p>
        </w:tc>
        <w:tc>
          <w:tcPr>
            <w:tcW w:w="831" w:type="dxa"/>
            <w:noWrap/>
            <w:hideMark/>
          </w:tcPr>
          <w:p w:rsidR="001D629C" w:rsidRPr="00206BBF" w:rsidRDefault="001D629C" w:rsidP="001D629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206BBF">
              <w:rPr>
                <w:rFonts w:eastAsia="Times New Roman" w:cs="Times New Roman"/>
                <w:color w:val="000000"/>
              </w:rPr>
              <w:t>0.88</w:t>
            </w:r>
          </w:p>
        </w:tc>
        <w:tc>
          <w:tcPr>
            <w:tcW w:w="831" w:type="dxa"/>
            <w:noWrap/>
            <w:hideMark/>
          </w:tcPr>
          <w:p w:rsidR="001D629C" w:rsidRPr="00206BBF" w:rsidRDefault="001D629C" w:rsidP="001D629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206BBF">
              <w:rPr>
                <w:rFonts w:eastAsia="Times New Roman" w:cs="Times New Roman"/>
                <w:color w:val="000000"/>
              </w:rPr>
              <w:t>0.76</w:t>
            </w:r>
          </w:p>
        </w:tc>
        <w:tc>
          <w:tcPr>
            <w:tcW w:w="831" w:type="dxa"/>
            <w:noWrap/>
            <w:hideMark/>
          </w:tcPr>
          <w:p w:rsidR="001D629C" w:rsidRPr="00206BBF" w:rsidRDefault="001D629C" w:rsidP="001D629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206BBF">
              <w:rPr>
                <w:rFonts w:eastAsia="Times New Roman" w:cs="Times New Roman"/>
                <w:color w:val="000000"/>
              </w:rPr>
              <w:t>0.99</w:t>
            </w:r>
          </w:p>
        </w:tc>
        <w:tc>
          <w:tcPr>
            <w:tcW w:w="831" w:type="dxa"/>
            <w:noWrap/>
            <w:hideMark/>
          </w:tcPr>
          <w:p w:rsidR="001D629C" w:rsidRPr="00206BBF" w:rsidRDefault="001D629C" w:rsidP="001D629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206BBF">
              <w:rPr>
                <w:rFonts w:eastAsia="Times New Roman" w:cs="Times New Roman"/>
                <w:color w:val="000000"/>
              </w:rPr>
              <w:t>0.69</w:t>
            </w:r>
          </w:p>
        </w:tc>
        <w:tc>
          <w:tcPr>
            <w:tcW w:w="831" w:type="dxa"/>
            <w:noWrap/>
            <w:hideMark/>
          </w:tcPr>
          <w:p w:rsidR="001D629C" w:rsidRPr="00206BBF" w:rsidRDefault="001D629C" w:rsidP="001D629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206BBF">
              <w:rPr>
                <w:rFonts w:eastAsia="Times New Roman" w:cs="Times New Roman"/>
                <w:color w:val="000000"/>
              </w:rPr>
              <w:t>0.84</w:t>
            </w:r>
          </w:p>
        </w:tc>
      </w:tr>
    </w:tbl>
    <w:p w:rsidR="001D629C" w:rsidRDefault="001D629C" w:rsidP="001D629C">
      <w:pPr>
        <w:jc w:val="center"/>
      </w:pPr>
    </w:p>
    <w:p w:rsidR="001D629C" w:rsidRDefault="001D629C" w:rsidP="001D629C">
      <w:pPr>
        <w:jc w:val="center"/>
      </w:pPr>
      <w:r w:rsidRPr="00C54534">
        <w:rPr>
          <w:noProof/>
          <w:lang w:val="en-IN" w:eastAsia="en-IN"/>
        </w:rPr>
        <w:drawing>
          <wp:inline distT="0" distB="0" distL="0" distR="0">
            <wp:extent cx="3095624" cy="1952625"/>
            <wp:effectExtent l="19050" t="0" r="9526" b="0"/>
            <wp:docPr id="1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1D629C" w:rsidRDefault="001D629C" w:rsidP="001D629C">
      <w:r>
        <w:t>The average Current ratio of BT is around 0.76 for the period of 2012-2016 and that of Vodafone is around 0.83.This indicates that on an average BT is capable to service 76% of the current liability holding of the organization with the available current asset and Vodafone on an average is capable to serve 83% of the current liability of the organization by the available current asset of the organization</w:t>
      </w:r>
      <w:r w:rsidRPr="00773C72">
        <w:t xml:space="preserve"> (Vodafone.com, 2014)</w:t>
      </w:r>
    </w:p>
    <w:p w:rsidR="001D629C" w:rsidRPr="00773E8D" w:rsidRDefault="001D629C" w:rsidP="001D629C">
      <w:pPr>
        <w:rPr>
          <w:b/>
        </w:rPr>
      </w:pPr>
      <w:r w:rsidRPr="00773E8D">
        <w:rPr>
          <w:b/>
        </w:rPr>
        <w:t>Quick Ratio:</w:t>
      </w:r>
    </w:p>
    <w:tbl>
      <w:tblPr>
        <w:tblStyle w:val="ColorfulGrid-Accent5"/>
        <w:tblW w:w="6482" w:type="dxa"/>
        <w:jc w:val="center"/>
        <w:tblLook w:val="04A0" w:firstRow="1" w:lastRow="0" w:firstColumn="1" w:lastColumn="0" w:noHBand="0" w:noVBand="1"/>
      </w:tblPr>
      <w:tblGrid>
        <w:gridCol w:w="2327"/>
        <w:gridCol w:w="831"/>
        <w:gridCol w:w="831"/>
        <w:gridCol w:w="831"/>
        <w:gridCol w:w="831"/>
        <w:gridCol w:w="831"/>
      </w:tblGrid>
      <w:tr w:rsidR="001D629C" w:rsidRPr="00C54534" w:rsidTr="001D629C">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6482" w:type="dxa"/>
            <w:gridSpan w:val="6"/>
            <w:noWrap/>
            <w:hideMark/>
          </w:tcPr>
          <w:p w:rsidR="001D629C" w:rsidRPr="00C54534" w:rsidRDefault="001D629C" w:rsidP="001D629C">
            <w:pPr>
              <w:jc w:val="center"/>
              <w:rPr>
                <w:rFonts w:eastAsia="Times New Roman" w:cs="Times New Roman"/>
                <w:color w:val="000000"/>
              </w:rPr>
            </w:pPr>
            <w:r w:rsidRPr="00C54534">
              <w:rPr>
                <w:rFonts w:eastAsia="Times New Roman" w:cs="Times New Roman"/>
                <w:color w:val="000000"/>
              </w:rPr>
              <w:t>Quick Ratio</w:t>
            </w:r>
          </w:p>
        </w:tc>
      </w:tr>
      <w:tr w:rsidR="001D629C" w:rsidRPr="00C54534" w:rsidTr="001D629C">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327" w:type="dxa"/>
            <w:noWrap/>
            <w:hideMark/>
          </w:tcPr>
          <w:p w:rsidR="001D629C" w:rsidRPr="00C54534" w:rsidRDefault="001D629C" w:rsidP="001D629C">
            <w:pPr>
              <w:rPr>
                <w:rFonts w:eastAsia="Times New Roman" w:cs="Times New Roman"/>
                <w:color w:val="000000"/>
              </w:rPr>
            </w:pPr>
            <w:r w:rsidRPr="00C54534">
              <w:rPr>
                <w:rFonts w:eastAsia="Times New Roman" w:cs="Times New Roman"/>
                <w:color w:val="000000"/>
              </w:rPr>
              <w:t> </w:t>
            </w:r>
          </w:p>
        </w:tc>
        <w:tc>
          <w:tcPr>
            <w:tcW w:w="831" w:type="dxa"/>
            <w:noWrap/>
            <w:hideMark/>
          </w:tcPr>
          <w:p w:rsidR="001D629C" w:rsidRPr="00C54534" w:rsidRDefault="001D629C" w:rsidP="001D629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C54534">
              <w:rPr>
                <w:rFonts w:eastAsia="Times New Roman" w:cs="Times New Roman"/>
                <w:color w:val="000000"/>
              </w:rPr>
              <w:t>2012</w:t>
            </w:r>
          </w:p>
        </w:tc>
        <w:tc>
          <w:tcPr>
            <w:tcW w:w="831" w:type="dxa"/>
            <w:noWrap/>
            <w:hideMark/>
          </w:tcPr>
          <w:p w:rsidR="001D629C" w:rsidRPr="00C54534" w:rsidRDefault="001D629C" w:rsidP="001D629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C54534">
              <w:rPr>
                <w:rFonts w:eastAsia="Times New Roman" w:cs="Times New Roman"/>
                <w:color w:val="000000"/>
              </w:rPr>
              <w:t>2013</w:t>
            </w:r>
          </w:p>
        </w:tc>
        <w:tc>
          <w:tcPr>
            <w:tcW w:w="831" w:type="dxa"/>
            <w:noWrap/>
            <w:hideMark/>
          </w:tcPr>
          <w:p w:rsidR="001D629C" w:rsidRPr="00C54534" w:rsidRDefault="001D629C" w:rsidP="001D629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C54534">
              <w:rPr>
                <w:rFonts w:eastAsia="Times New Roman" w:cs="Times New Roman"/>
                <w:color w:val="000000"/>
              </w:rPr>
              <w:t>2014</w:t>
            </w:r>
          </w:p>
        </w:tc>
        <w:tc>
          <w:tcPr>
            <w:tcW w:w="831" w:type="dxa"/>
            <w:noWrap/>
            <w:hideMark/>
          </w:tcPr>
          <w:p w:rsidR="001D629C" w:rsidRPr="00C54534" w:rsidRDefault="001D629C" w:rsidP="001D629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C54534">
              <w:rPr>
                <w:rFonts w:eastAsia="Times New Roman" w:cs="Times New Roman"/>
                <w:color w:val="000000"/>
              </w:rPr>
              <w:t>2015</w:t>
            </w:r>
          </w:p>
        </w:tc>
        <w:tc>
          <w:tcPr>
            <w:tcW w:w="831" w:type="dxa"/>
            <w:noWrap/>
            <w:hideMark/>
          </w:tcPr>
          <w:p w:rsidR="001D629C" w:rsidRPr="00C54534" w:rsidRDefault="001D629C" w:rsidP="001D629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C54534">
              <w:rPr>
                <w:rFonts w:eastAsia="Times New Roman" w:cs="Times New Roman"/>
                <w:color w:val="000000"/>
              </w:rPr>
              <w:t>2016</w:t>
            </w:r>
          </w:p>
        </w:tc>
      </w:tr>
      <w:tr w:rsidR="001D629C" w:rsidRPr="00C54534" w:rsidTr="001D629C">
        <w:trPr>
          <w:trHeight w:val="300"/>
          <w:jc w:val="center"/>
        </w:trPr>
        <w:tc>
          <w:tcPr>
            <w:cnfStyle w:val="001000000000" w:firstRow="0" w:lastRow="0" w:firstColumn="1" w:lastColumn="0" w:oddVBand="0" w:evenVBand="0" w:oddHBand="0" w:evenHBand="0" w:firstRowFirstColumn="0" w:firstRowLastColumn="0" w:lastRowFirstColumn="0" w:lastRowLastColumn="0"/>
            <w:tcW w:w="2327" w:type="dxa"/>
            <w:hideMark/>
          </w:tcPr>
          <w:p w:rsidR="001D629C" w:rsidRPr="00C54534" w:rsidRDefault="001D629C" w:rsidP="001D629C">
            <w:pPr>
              <w:rPr>
                <w:rFonts w:eastAsia="Times New Roman" w:cs="Times New Roman"/>
                <w:color w:val="000000"/>
              </w:rPr>
            </w:pPr>
            <w:r w:rsidRPr="00C54534">
              <w:rPr>
                <w:rFonts w:eastAsia="Times New Roman" w:cs="Times New Roman"/>
                <w:color w:val="000000"/>
              </w:rPr>
              <w:t>BT</w:t>
            </w:r>
          </w:p>
        </w:tc>
        <w:tc>
          <w:tcPr>
            <w:tcW w:w="831" w:type="dxa"/>
            <w:noWrap/>
            <w:hideMark/>
          </w:tcPr>
          <w:p w:rsidR="001D629C" w:rsidRPr="00C54534" w:rsidRDefault="001D629C" w:rsidP="001D629C">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rPr>
            </w:pPr>
            <w:r w:rsidRPr="00C54534">
              <w:rPr>
                <w:rFonts w:eastAsia="Times New Roman" w:cs="Times New Roman"/>
                <w:color w:val="000000"/>
              </w:rPr>
              <w:t>0.48</w:t>
            </w:r>
          </w:p>
        </w:tc>
        <w:tc>
          <w:tcPr>
            <w:tcW w:w="831" w:type="dxa"/>
            <w:noWrap/>
            <w:hideMark/>
          </w:tcPr>
          <w:p w:rsidR="001D629C" w:rsidRPr="00C54534" w:rsidRDefault="001D629C" w:rsidP="001D629C">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rPr>
            </w:pPr>
            <w:r w:rsidRPr="00C54534">
              <w:rPr>
                <w:rFonts w:eastAsia="Times New Roman" w:cs="Times New Roman"/>
                <w:color w:val="000000"/>
              </w:rPr>
              <w:t>0.70</w:t>
            </w:r>
          </w:p>
        </w:tc>
        <w:tc>
          <w:tcPr>
            <w:tcW w:w="831" w:type="dxa"/>
            <w:noWrap/>
            <w:hideMark/>
          </w:tcPr>
          <w:p w:rsidR="001D629C" w:rsidRPr="00C54534" w:rsidRDefault="001D629C" w:rsidP="001D629C">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rPr>
            </w:pPr>
            <w:r w:rsidRPr="00C54534">
              <w:rPr>
                <w:rFonts w:eastAsia="Times New Roman" w:cs="Times New Roman"/>
                <w:color w:val="000000"/>
              </w:rPr>
              <w:t>0.83</w:t>
            </w:r>
          </w:p>
        </w:tc>
        <w:tc>
          <w:tcPr>
            <w:tcW w:w="831" w:type="dxa"/>
            <w:noWrap/>
            <w:hideMark/>
          </w:tcPr>
          <w:p w:rsidR="001D629C" w:rsidRPr="00C54534" w:rsidRDefault="001D629C" w:rsidP="001D629C">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rPr>
            </w:pPr>
            <w:r w:rsidRPr="00C54534">
              <w:rPr>
                <w:rFonts w:eastAsia="Times New Roman" w:cs="Times New Roman"/>
                <w:color w:val="000000"/>
              </w:rPr>
              <w:t>0.96</w:t>
            </w:r>
          </w:p>
        </w:tc>
        <w:tc>
          <w:tcPr>
            <w:tcW w:w="831" w:type="dxa"/>
            <w:noWrap/>
            <w:hideMark/>
          </w:tcPr>
          <w:p w:rsidR="001D629C" w:rsidRPr="00C54534" w:rsidRDefault="001D629C" w:rsidP="001D629C">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rPr>
            </w:pPr>
            <w:r w:rsidRPr="00C54534">
              <w:rPr>
                <w:rFonts w:eastAsia="Times New Roman" w:cs="Times New Roman"/>
                <w:color w:val="000000"/>
              </w:rPr>
              <w:t>0.75</w:t>
            </w:r>
          </w:p>
        </w:tc>
      </w:tr>
      <w:tr w:rsidR="001D629C" w:rsidRPr="00C54534" w:rsidTr="001D629C">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327" w:type="dxa"/>
            <w:noWrap/>
            <w:hideMark/>
          </w:tcPr>
          <w:p w:rsidR="001D629C" w:rsidRPr="00C54534" w:rsidRDefault="001D629C" w:rsidP="001D629C">
            <w:pPr>
              <w:rPr>
                <w:rFonts w:eastAsia="Times New Roman" w:cs="Times New Roman"/>
                <w:color w:val="000000"/>
              </w:rPr>
            </w:pPr>
            <w:r w:rsidRPr="00C54534">
              <w:rPr>
                <w:rFonts w:eastAsia="Times New Roman" w:cs="Times New Roman"/>
                <w:color w:val="000000"/>
              </w:rPr>
              <w:lastRenderedPageBreak/>
              <w:t>Vodafone</w:t>
            </w:r>
          </w:p>
        </w:tc>
        <w:tc>
          <w:tcPr>
            <w:tcW w:w="831" w:type="dxa"/>
            <w:noWrap/>
            <w:hideMark/>
          </w:tcPr>
          <w:p w:rsidR="001D629C" w:rsidRPr="00C54534" w:rsidRDefault="001D629C" w:rsidP="001D629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C54534">
              <w:rPr>
                <w:rFonts w:eastAsia="Times New Roman" w:cs="Times New Roman"/>
                <w:color w:val="000000"/>
              </w:rPr>
              <w:t>0.86</w:t>
            </w:r>
          </w:p>
        </w:tc>
        <w:tc>
          <w:tcPr>
            <w:tcW w:w="831" w:type="dxa"/>
            <w:noWrap/>
            <w:hideMark/>
          </w:tcPr>
          <w:p w:rsidR="001D629C" w:rsidRPr="00C54534" w:rsidRDefault="001D629C" w:rsidP="001D629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C54534">
              <w:rPr>
                <w:rFonts w:eastAsia="Times New Roman" w:cs="Times New Roman"/>
                <w:color w:val="000000"/>
              </w:rPr>
              <w:t>0.75</w:t>
            </w:r>
          </w:p>
        </w:tc>
        <w:tc>
          <w:tcPr>
            <w:tcW w:w="831" w:type="dxa"/>
            <w:noWrap/>
            <w:hideMark/>
          </w:tcPr>
          <w:p w:rsidR="001D629C" w:rsidRPr="00C54534" w:rsidRDefault="001D629C" w:rsidP="001D629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C54534">
              <w:rPr>
                <w:rFonts w:eastAsia="Times New Roman" w:cs="Times New Roman"/>
                <w:color w:val="000000"/>
              </w:rPr>
              <w:t>0.97</w:t>
            </w:r>
          </w:p>
        </w:tc>
        <w:tc>
          <w:tcPr>
            <w:tcW w:w="831" w:type="dxa"/>
            <w:noWrap/>
            <w:hideMark/>
          </w:tcPr>
          <w:p w:rsidR="001D629C" w:rsidRPr="00C54534" w:rsidRDefault="001D629C" w:rsidP="001D629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C54534">
              <w:rPr>
                <w:rFonts w:eastAsia="Times New Roman" w:cs="Times New Roman"/>
                <w:color w:val="000000"/>
              </w:rPr>
              <w:t>0.67</w:t>
            </w:r>
          </w:p>
        </w:tc>
        <w:tc>
          <w:tcPr>
            <w:tcW w:w="831" w:type="dxa"/>
            <w:noWrap/>
            <w:hideMark/>
          </w:tcPr>
          <w:p w:rsidR="001D629C" w:rsidRPr="00C54534" w:rsidRDefault="001D629C" w:rsidP="001D629C">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C54534">
              <w:rPr>
                <w:rFonts w:eastAsia="Times New Roman" w:cs="Times New Roman"/>
                <w:color w:val="000000"/>
              </w:rPr>
              <w:t>0.83</w:t>
            </w:r>
          </w:p>
        </w:tc>
      </w:tr>
    </w:tbl>
    <w:p w:rsidR="001D629C" w:rsidRDefault="001D629C" w:rsidP="001D629C">
      <w:pPr>
        <w:jc w:val="center"/>
      </w:pPr>
    </w:p>
    <w:p w:rsidR="001D629C" w:rsidRDefault="001D629C" w:rsidP="001D629C">
      <w:pPr>
        <w:jc w:val="center"/>
      </w:pPr>
      <w:r w:rsidRPr="00DA1E39">
        <w:rPr>
          <w:noProof/>
          <w:lang w:val="en-IN" w:eastAsia="en-IN"/>
        </w:rPr>
        <w:drawing>
          <wp:inline distT="0" distB="0" distL="0" distR="0">
            <wp:extent cx="3095624" cy="1952625"/>
            <wp:effectExtent l="19050" t="0" r="9526" b="0"/>
            <wp:docPr id="1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bookmarkStart w:id="13" w:name="_GoBack"/>
      <w:bookmarkEnd w:id="13"/>
    </w:p>
    <w:p w:rsidR="001D629C" w:rsidRDefault="001D629C" w:rsidP="001D629C">
      <w:r>
        <w:t>The average Quick ratio of BT is around 0.74 for the period of 2012-2016 and that of Vodafone is around 0.82.This indicates that on an average BT is capable to service 74% of the current liability holding of the organization with the available quick asset (that are readily convertible in to cash) and Vodafone on an average is capable to serve 82% of the current liability of the organization by the available quick asset of the organization.</w:t>
      </w:r>
    </w:p>
    <w:p w:rsidR="001D629C" w:rsidRDefault="001D629C" w:rsidP="001D629C">
      <w:r>
        <w:t>Thus in both the liquidity ratios are pointing over the fact that Vodafone definitely has a higher liquidity position compared to that of British Telecommunication but as Vodafone is earning the negative profit margin therefore it can be said that the underlying reason of high liquidity of Vodafone is not the cash generation capacity of the organization but the high liquidity position has arise due to the under utilization of the current asset of the organization for the purpose of cash generation.</w:t>
      </w:r>
    </w:p>
    <w:p w:rsidR="001D629C" w:rsidRPr="00773E8D" w:rsidRDefault="001D629C" w:rsidP="001D629C">
      <w:pPr>
        <w:rPr>
          <w:b/>
        </w:rPr>
      </w:pPr>
    </w:p>
    <w:p w:rsidR="001D629C" w:rsidRDefault="001D629C" w:rsidP="001D629C">
      <w:pPr>
        <w:rPr>
          <w:rFonts w:eastAsia="Times New Roman" w:cs="Times New Roman"/>
          <w:b/>
          <w:color w:val="000000"/>
        </w:rPr>
      </w:pPr>
      <w:r w:rsidRPr="00773E8D">
        <w:rPr>
          <w:rFonts w:eastAsia="Times New Roman" w:cs="Times New Roman"/>
          <w:b/>
          <w:color w:val="000000"/>
        </w:rPr>
        <w:t>Return on capital employed (ROCE)</w:t>
      </w:r>
    </w:p>
    <w:p w:rsidR="001D629C" w:rsidRPr="00773E8D" w:rsidRDefault="001D629C" w:rsidP="001D629C">
      <w:pPr>
        <w:rPr>
          <w:rFonts w:cs="Times New Roman"/>
          <w:b/>
          <w:sz w:val="28"/>
        </w:rPr>
      </w:pPr>
    </w:p>
    <w:tbl>
      <w:tblPr>
        <w:tblW w:w="6480" w:type="dxa"/>
        <w:jc w:val="center"/>
        <w:tblInd w:w="103" w:type="dxa"/>
        <w:shd w:val="clear" w:color="auto" w:fill="9999FF"/>
        <w:tblLook w:val="04A0" w:firstRow="1" w:lastRow="0" w:firstColumn="1" w:lastColumn="0" w:noHBand="0" w:noVBand="1"/>
      </w:tblPr>
      <w:tblGrid>
        <w:gridCol w:w="2314"/>
        <w:gridCol w:w="826"/>
        <w:gridCol w:w="845"/>
        <w:gridCol w:w="845"/>
        <w:gridCol w:w="825"/>
        <w:gridCol w:w="825"/>
      </w:tblGrid>
      <w:tr w:rsidR="001D629C" w:rsidRPr="00773E8D" w:rsidTr="001D629C">
        <w:trPr>
          <w:trHeight w:val="300"/>
          <w:jc w:val="center"/>
        </w:trPr>
        <w:tc>
          <w:tcPr>
            <w:tcW w:w="6480" w:type="dxa"/>
            <w:gridSpan w:val="6"/>
            <w:tcBorders>
              <w:top w:val="single" w:sz="4" w:space="0" w:color="auto"/>
              <w:left w:val="single" w:sz="4" w:space="0" w:color="auto"/>
              <w:bottom w:val="single" w:sz="4" w:space="0" w:color="auto"/>
              <w:right w:val="single" w:sz="4" w:space="0" w:color="auto"/>
            </w:tcBorders>
            <w:shd w:val="clear" w:color="auto" w:fill="9999FF"/>
            <w:noWrap/>
            <w:vAlign w:val="bottom"/>
            <w:hideMark/>
          </w:tcPr>
          <w:p w:rsidR="001D629C" w:rsidRPr="00773E8D" w:rsidRDefault="001D629C" w:rsidP="001D629C">
            <w:pPr>
              <w:spacing w:after="0" w:line="240" w:lineRule="auto"/>
              <w:jc w:val="center"/>
              <w:rPr>
                <w:rFonts w:eastAsia="Times New Roman" w:cs="Times New Roman"/>
                <w:color w:val="000000"/>
              </w:rPr>
            </w:pPr>
            <w:r w:rsidRPr="00773E8D">
              <w:rPr>
                <w:rFonts w:eastAsia="Times New Roman" w:cs="Times New Roman"/>
                <w:color w:val="000000"/>
              </w:rPr>
              <w:t>Return on capital employed(ROCE)</w:t>
            </w:r>
          </w:p>
        </w:tc>
      </w:tr>
      <w:tr w:rsidR="001D629C" w:rsidRPr="00773E8D" w:rsidTr="001D629C">
        <w:trPr>
          <w:trHeight w:val="300"/>
          <w:jc w:val="center"/>
        </w:trPr>
        <w:tc>
          <w:tcPr>
            <w:tcW w:w="2314" w:type="dxa"/>
            <w:tcBorders>
              <w:top w:val="nil"/>
              <w:left w:val="single" w:sz="4" w:space="0" w:color="auto"/>
              <w:bottom w:val="single" w:sz="4" w:space="0" w:color="auto"/>
              <w:right w:val="single" w:sz="4" w:space="0" w:color="auto"/>
            </w:tcBorders>
            <w:shd w:val="clear" w:color="auto" w:fill="9999FF"/>
            <w:noWrap/>
            <w:vAlign w:val="bottom"/>
            <w:hideMark/>
          </w:tcPr>
          <w:p w:rsidR="001D629C" w:rsidRPr="00773E8D" w:rsidRDefault="001D629C" w:rsidP="001D629C">
            <w:pPr>
              <w:spacing w:after="0" w:line="240" w:lineRule="auto"/>
              <w:rPr>
                <w:rFonts w:eastAsia="Times New Roman" w:cs="Times New Roman"/>
                <w:color w:val="000000"/>
              </w:rPr>
            </w:pPr>
            <w:r w:rsidRPr="00773E8D">
              <w:rPr>
                <w:rFonts w:eastAsia="Times New Roman" w:cs="Times New Roman"/>
                <w:color w:val="000000"/>
              </w:rPr>
              <w:t> </w:t>
            </w:r>
          </w:p>
        </w:tc>
        <w:tc>
          <w:tcPr>
            <w:tcW w:w="826" w:type="dxa"/>
            <w:tcBorders>
              <w:top w:val="nil"/>
              <w:left w:val="nil"/>
              <w:bottom w:val="single" w:sz="4" w:space="0" w:color="auto"/>
              <w:right w:val="single" w:sz="4" w:space="0" w:color="auto"/>
            </w:tcBorders>
            <w:shd w:val="clear" w:color="auto" w:fill="9999FF"/>
            <w:noWrap/>
            <w:vAlign w:val="bottom"/>
            <w:hideMark/>
          </w:tcPr>
          <w:p w:rsidR="001D629C" w:rsidRPr="00773E8D" w:rsidRDefault="001D629C" w:rsidP="001D629C">
            <w:pPr>
              <w:spacing w:after="0" w:line="240" w:lineRule="auto"/>
              <w:jc w:val="right"/>
              <w:rPr>
                <w:rFonts w:eastAsia="Times New Roman" w:cs="Times New Roman"/>
                <w:color w:val="000000"/>
              </w:rPr>
            </w:pPr>
            <w:r w:rsidRPr="00773E8D">
              <w:rPr>
                <w:rFonts w:eastAsia="Times New Roman" w:cs="Times New Roman"/>
                <w:color w:val="000000"/>
              </w:rPr>
              <w:t>2012</w:t>
            </w:r>
          </w:p>
        </w:tc>
        <w:tc>
          <w:tcPr>
            <w:tcW w:w="845" w:type="dxa"/>
            <w:tcBorders>
              <w:top w:val="nil"/>
              <w:left w:val="nil"/>
              <w:bottom w:val="single" w:sz="4" w:space="0" w:color="auto"/>
              <w:right w:val="single" w:sz="4" w:space="0" w:color="auto"/>
            </w:tcBorders>
            <w:shd w:val="clear" w:color="auto" w:fill="9999FF"/>
            <w:noWrap/>
            <w:vAlign w:val="bottom"/>
            <w:hideMark/>
          </w:tcPr>
          <w:p w:rsidR="001D629C" w:rsidRPr="00773E8D" w:rsidRDefault="001D629C" w:rsidP="001D629C">
            <w:pPr>
              <w:spacing w:after="0" w:line="240" w:lineRule="auto"/>
              <w:jc w:val="right"/>
              <w:rPr>
                <w:rFonts w:eastAsia="Times New Roman" w:cs="Times New Roman"/>
                <w:color w:val="000000"/>
              </w:rPr>
            </w:pPr>
            <w:r w:rsidRPr="00773E8D">
              <w:rPr>
                <w:rFonts w:eastAsia="Times New Roman" w:cs="Times New Roman"/>
                <w:color w:val="000000"/>
              </w:rPr>
              <w:t>2013</w:t>
            </w:r>
          </w:p>
        </w:tc>
        <w:tc>
          <w:tcPr>
            <w:tcW w:w="845" w:type="dxa"/>
            <w:tcBorders>
              <w:top w:val="nil"/>
              <w:left w:val="nil"/>
              <w:bottom w:val="single" w:sz="4" w:space="0" w:color="auto"/>
              <w:right w:val="single" w:sz="4" w:space="0" w:color="auto"/>
            </w:tcBorders>
            <w:shd w:val="clear" w:color="auto" w:fill="9999FF"/>
            <w:noWrap/>
            <w:vAlign w:val="bottom"/>
            <w:hideMark/>
          </w:tcPr>
          <w:p w:rsidR="001D629C" w:rsidRPr="00773E8D" w:rsidRDefault="001D629C" w:rsidP="001D629C">
            <w:pPr>
              <w:spacing w:after="0" w:line="240" w:lineRule="auto"/>
              <w:jc w:val="right"/>
              <w:rPr>
                <w:rFonts w:eastAsia="Times New Roman" w:cs="Times New Roman"/>
                <w:color w:val="000000"/>
              </w:rPr>
            </w:pPr>
            <w:r w:rsidRPr="00773E8D">
              <w:rPr>
                <w:rFonts w:eastAsia="Times New Roman" w:cs="Times New Roman"/>
                <w:color w:val="000000"/>
              </w:rPr>
              <w:t>2014</w:t>
            </w:r>
          </w:p>
        </w:tc>
        <w:tc>
          <w:tcPr>
            <w:tcW w:w="825" w:type="dxa"/>
            <w:tcBorders>
              <w:top w:val="nil"/>
              <w:left w:val="nil"/>
              <w:bottom w:val="single" w:sz="4" w:space="0" w:color="auto"/>
              <w:right w:val="single" w:sz="4" w:space="0" w:color="auto"/>
            </w:tcBorders>
            <w:shd w:val="clear" w:color="auto" w:fill="9999FF"/>
            <w:noWrap/>
            <w:vAlign w:val="bottom"/>
            <w:hideMark/>
          </w:tcPr>
          <w:p w:rsidR="001D629C" w:rsidRPr="00773E8D" w:rsidRDefault="001D629C" w:rsidP="001D629C">
            <w:pPr>
              <w:spacing w:after="0" w:line="240" w:lineRule="auto"/>
              <w:jc w:val="right"/>
              <w:rPr>
                <w:rFonts w:eastAsia="Times New Roman" w:cs="Times New Roman"/>
                <w:color w:val="000000"/>
              </w:rPr>
            </w:pPr>
            <w:r w:rsidRPr="00773E8D">
              <w:rPr>
                <w:rFonts w:eastAsia="Times New Roman" w:cs="Times New Roman"/>
                <w:color w:val="000000"/>
              </w:rPr>
              <w:t>2015</w:t>
            </w:r>
          </w:p>
        </w:tc>
        <w:tc>
          <w:tcPr>
            <w:tcW w:w="825" w:type="dxa"/>
            <w:tcBorders>
              <w:top w:val="nil"/>
              <w:left w:val="nil"/>
              <w:bottom w:val="single" w:sz="4" w:space="0" w:color="auto"/>
              <w:right w:val="single" w:sz="4" w:space="0" w:color="auto"/>
            </w:tcBorders>
            <w:shd w:val="clear" w:color="auto" w:fill="9999FF"/>
            <w:noWrap/>
            <w:vAlign w:val="bottom"/>
            <w:hideMark/>
          </w:tcPr>
          <w:p w:rsidR="001D629C" w:rsidRPr="00773E8D" w:rsidRDefault="001D629C" w:rsidP="001D629C">
            <w:pPr>
              <w:spacing w:after="0" w:line="240" w:lineRule="auto"/>
              <w:jc w:val="right"/>
              <w:rPr>
                <w:rFonts w:eastAsia="Times New Roman" w:cs="Times New Roman"/>
                <w:color w:val="000000"/>
              </w:rPr>
            </w:pPr>
            <w:r w:rsidRPr="00773E8D">
              <w:rPr>
                <w:rFonts w:eastAsia="Times New Roman" w:cs="Times New Roman"/>
                <w:color w:val="000000"/>
              </w:rPr>
              <w:t>2016</w:t>
            </w:r>
          </w:p>
        </w:tc>
      </w:tr>
      <w:tr w:rsidR="001D629C" w:rsidRPr="00773E8D" w:rsidTr="001D629C">
        <w:trPr>
          <w:trHeight w:val="300"/>
          <w:jc w:val="center"/>
        </w:trPr>
        <w:tc>
          <w:tcPr>
            <w:tcW w:w="2314" w:type="dxa"/>
            <w:tcBorders>
              <w:top w:val="nil"/>
              <w:left w:val="single" w:sz="4" w:space="0" w:color="auto"/>
              <w:bottom w:val="single" w:sz="4" w:space="0" w:color="auto"/>
              <w:right w:val="single" w:sz="4" w:space="0" w:color="auto"/>
            </w:tcBorders>
            <w:shd w:val="clear" w:color="auto" w:fill="9999FF"/>
            <w:vAlign w:val="bottom"/>
            <w:hideMark/>
          </w:tcPr>
          <w:p w:rsidR="001D629C" w:rsidRPr="00773E8D" w:rsidRDefault="001D629C" w:rsidP="001D629C">
            <w:pPr>
              <w:spacing w:after="0" w:line="240" w:lineRule="auto"/>
              <w:rPr>
                <w:rFonts w:eastAsia="Times New Roman" w:cs="Times New Roman"/>
                <w:color w:val="000000"/>
              </w:rPr>
            </w:pPr>
            <w:r w:rsidRPr="00773E8D">
              <w:rPr>
                <w:rFonts w:eastAsia="Times New Roman" w:cs="Times New Roman"/>
                <w:color w:val="000000"/>
              </w:rPr>
              <w:t>BT</w:t>
            </w:r>
          </w:p>
        </w:tc>
        <w:tc>
          <w:tcPr>
            <w:tcW w:w="826" w:type="dxa"/>
            <w:tcBorders>
              <w:top w:val="nil"/>
              <w:left w:val="nil"/>
              <w:bottom w:val="single" w:sz="4" w:space="0" w:color="auto"/>
              <w:right w:val="single" w:sz="4" w:space="0" w:color="auto"/>
            </w:tcBorders>
            <w:shd w:val="clear" w:color="auto" w:fill="9999FF"/>
            <w:noWrap/>
            <w:vAlign w:val="bottom"/>
            <w:hideMark/>
          </w:tcPr>
          <w:p w:rsidR="001D629C" w:rsidRPr="00773E8D" w:rsidRDefault="001D629C" w:rsidP="001D629C">
            <w:pPr>
              <w:spacing w:after="0" w:line="240" w:lineRule="auto"/>
              <w:jc w:val="right"/>
              <w:rPr>
                <w:rFonts w:eastAsia="Times New Roman" w:cs="Times New Roman"/>
                <w:color w:val="000000"/>
              </w:rPr>
            </w:pPr>
            <w:r w:rsidRPr="00773E8D">
              <w:rPr>
                <w:rFonts w:eastAsia="Times New Roman" w:cs="Times New Roman"/>
                <w:color w:val="000000"/>
              </w:rPr>
              <w:t>0.21</w:t>
            </w:r>
          </w:p>
        </w:tc>
        <w:tc>
          <w:tcPr>
            <w:tcW w:w="845" w:type="dxa"/>
            <w:tcBorders>
              <w:top w:val="nil"/>
              <w:left w:val="nil"/>
              <w:bottom w:val="single" w:sz="4" w:space="0" w:color="auto"/>
              <w:right w:val="single" w:sz="4" w:space="0" w:color="auto"/>
            </w:tcBorders>
            <w:shd w:val="clear" w:color="auto" w:fill="9999FF"/>
            <w:noWrap/>
            <w:vAlign w:val="bottom"/>
            <w:hideMark/>
          </w:tcPr>
          <w:p w:rsidR="001D629C" w:rsidRPr="00773E8D" w:rsidRDefault="001D629C" w:rsidP="001D629C">
            <w:pPr>
              <w:spacing w:after="0" w:line="240" w:lineRule="auto"/>
              <w:jc w:val="right"/>
              <w:rPr>
                <w:rFonts w:eastAsia="Times New Roman" w:cs="Times New Roman"/>
                <w:color w:val="000000"/>
              </w:rPr>
            </w:pPr>
            <w:r w:rsidRPr="00773E8D">
              <w:rPr>
                <w:rFonts w:eastAsia="Times New Roman" w:cs="Times New Roman"/>
                <w:color w:val="000000"/>
              </w:rPr>
              <w:t>0.11</w:t>
            </w:r>
          </w:p>
        </w:tc>
        <w:tc>
          <w:tcPr>
            <w:tcW w:w="845" w:type="dxa"/>
            <w:tcBorders>
              <w:top w:val="nil"/>
              <w:left w:val="nil"/>
              <w:bottom w:val="single" w:sz="4" w:space="0" w:color="auto"/>
              <w:right w:val="single" w:sz="4" w:space="0" w:color="auto"/>
            </w:tcBorders>
            <w:shd w:val="clear" w:color="auto" w:fill="9999FF"/>
            <w:noWrap/>
            <w:vAlign w:val="bottom"/>
            <w:hideMark/>
          </w:tcPr>
          <w:p w:rsidR="001D629C" w:rsidRPr="00773E8D" w:rsidRDefault="001D629C" w:rsidP="001D629C">
            <w:pPr>
              <w:spacing w:after="0" w:line="240" w:lineRule="auto"/>
              <w:jc w:val="right"/>
              <w:rPr>
                <w:rFonts w:eastAsia="Times New Roman" w:cs="Times New Roman"/>
                <w:color w:val="000000"/>
              </w:rPr>
            </w:pPr>
            <w:r w:rsidRPr="00773E8D">
              <w:rPr>
                <w:rFonts w:eastAsia="Times New Roman" w:cs="Times New Roman"/>
                <w:color w:val="000000"/>
              </w:rPr>
              <w:t>0.11</w:t>
            </w:r>
          </w:p>
        </w:tc>
        <w:tc>
          <w:tcPr>
            <w:tcW w:w="825" w:type="dxa"/>
            <w:tcBorders>
              <w:top w:val="nil"/>
              <w:left w:val="nil"/>
              <w:bottom w:val="single" w:sz="4" w:space="0" w:color="auto"/>
              <w:right w:val="single" w:sz="4" w:space="0" w:color="auto"/>
            </w:tcBorders>
            <w:shd w:val="clear" w:color="auto" w:fill="9999FF"/>
            <w:noWrap/>
            <w:vAlign w:val="bottom"/>
            <w:hideMark/>
          </w:tcPr>
          <w:p w:rsidR="001D629C" w:rsidRPr="00773E8D" w:rsidRDefault="001D629C" w:rsidP="001D629C">
            <w:pPr>
              <w:spacing w:after="0" w:line="240" w:lineRule="auto"/>
              <w:jc w:val="right"/>
              <w:rPr>
                <w:rFonts w:eastAsia="Times New Roman" w:cs="Times New Roman"/>
                <w:color w:val="000000"/>
              </w:rPr>
            </w:pPr>
            <w:r w:rsidRPr="00773E8D">
              <w:rPr>
                <w:rFonts w:eastAsia="Times New Roman" w:cs="Times New Roman"/>
                <w:color w:val="000000"/>
              </w:rPr>
              <w:t>0.12</w:t>
            </w:r>
          </w:p>
        </w:tc>
        <w:tc>
          <w:tcPr>
            <w:tcW w:w="825" w:type="dxa"/>
            <w:tcBorders>
              <w:top w:val="nil"/>
              <w:left w:val="nil"/>
              <w:bottom w:val="single" w:sz="4" w:space="0" w:color="auto"/>
              <w:right w:val="single" w:sz="4" w:space="0" w:color="auto"/>
            </w:tcBorders>
            <w:shd w:val="clear" w:color="auto" w:fill="9999FF"/>
            <w:noWrap/>
            <w:vAlign w:val="bottom"/>
            <w:hideMark/>
          </w:tcPr>
          <w:p w:rsidR="001D629C" w:rsidRPr="00773E8D" w:rsidRDefault="001D629C" w:rsidP="001D629C">
            <w:pPr>
              <w:spacing w:after="0" w:line="240" w:lineRule="auto"/>
              <w:jc w:val="right"/>
              <w:rPr>
                <w:rFonts w:eastAsia="Times New Roman" w:cs="Times New Roman"/>
                <w:color w:val="000000"/>
              </w:rPr>
            </w:pPr>
            <w:r w:rsidRPr="00773E8D">
              <w:rPr>
                <w:rFonts w:eastAsia="Times New Roman" w:cs="Times New Roman"/>
                <w:color w:val="000000"/>
              </w:rPr>
              <w:t>0.11</w:t>
            </w:r>
          </w:p>
        </w:tc>
      </w:tr>
      <w:tr w:rsidR="001D629C" w:rsidRPr="00773E8D" w:rsidTr="001D629C">
        <w:trPr>
          <w:trHeight w:val="300"/>
          <w:jc w:val="center"/>
        </w:trPr>
        <w:tc>
          <w:tcPr>
            <w:tcW w:w="2314" w:type="dxa"/>
            <w:tcBorders>
              <w:top w:val="nil"/>
              <w:left w:val="single" w:sz="4" w:space="0" w:color="auto"/>
              <w:bottom w:val="single" w:sz="4" w:space="0" w:color="auto"/>
              <w:right w:val="single" w:sz="4" w:space="0" w:color="auto"/>
            </w:tcBorders>
            <w:shd w:val="clear" w:color="auto" w:fill="9999FF"/>
            <w:noWrap/>
            <w:vAlign w:val="bottom"/>
            <w:hideMark/>
          </w:tcPr>
          <w:p w:rsidR="001D629C" w:rsidRPr="00773E8D" w:rsidRDefault="001D629C" w:rsidP="001D629C">
            <w:pPr>
              <w:spacing w:after="0" w:line="240" w:lineRule="auto"/>
              <w:rPr>
                <w:rFonts w:eastAsia="Times New Roman" w:cs="Times New Roman"/>
                <w:color w:val="000000"/>
              </w:rPr>
            </w:pPr>
            <w:r w:rsidRPr="00773E8D">
              <w:rPr>
                <w:rFonts w:eastAsia="Times New Roman" w:cs="Times New Roman"/>
                <w:color w:val="000000"/>
              </w:rPr>
              <w:t>Vodafone</w:t>
            </w:r>
          </w:p>
        </w:tc>
        <w:tc>
          <w:tcPr>
            <w:tcW w:w="826" w:type="dxa"/>
            <w:tcBorders>
              <w:top w:val="nil"/>
              <w:left w:val="nil"/>
              <w:bottom w:val="single" w:sz="4" w:space="0" w:color="auto"/>
              <w:right w:val="single" w:sz="4" w:space="0" w:color="auto"/>
            </w:tcBorders>
            <w:shd w:val="clear" w:color="auto" w:fill="9999FF"/>
            <w:noWrap/>
            <w:vAlign w:val="bottom"/>
            <w:hideMark/>
          </w:tcPr>
          <w:p w:rsidR="001D629C" w:rsidRPr="00773E8D" w:rsidRDefault="001D629C" w:rsidP="001D629C">
            <w:pPr>
              <w:spacing w:after="0" w:line="240" w:lineRule="auto"/>
              <w:jc w:val="right"/>
              <w:rPr>
                <w:rFonts w:eastAsia="Times New Roman" w:cs="Times New Roman"/>
                <w:color w:val="000000"/>
              </w:rPr>
            </w:pPr>
            <w:r w:rsidRPr="00773E8D">
              <w:rPr>
                <w:rFonts w:eastAsia="Times New Roman" w:cs="Times New Roman"/>
                <w:color w:val="000000"/>
              </w:rPr>
              <w:t>0.03</w:t>
            </w:r>
          </w:p>
        </w:tc>
        <w:tc>
          <w:tcPr>
            <w:tcW w:w="845" w:type="dxa"/>
            <w:tcBorders>
              <w:top w:val="nil"/>
              <w:left w:val="nil"/>
              <w:bottom w:val="single" w:sz="4" w:space="0" w:color="auto"/>
              <w:right w:val="single" w:sz="4" w:space="0" w:color="auto"/>
            </w:tcBorders>
            <w:shd w:val="clear" w:color="auto" w:fill="9999FF"/>
            <w:noWrap/>
            <w:vAlign w:val="bottom"/>
            <w:hideMark/>
          </w:tcPr>
          <w:p w:rsidR="001D629C" w:rsidRPr="00773E8D" w:rsidRDefault="001D629C" w:rsidP="001D629C">
            <w:pPr>
              <w:spacing w:after="0" w:line="240" w:lineRule="auto"/>
              <w:jc w:val="right"/>
              <w:rPr>
                <w:rFonts w:eastAsia="Times New Roman" w:cs="Times New Roman"/>
                <w:color w:val="000000"/>
              </w:rPr>
            </w:pPr>
            <w:r w:rsidRPr="00773E8D">
              <w:rPr>
                <w:rFonts w:eastAsia="Times New Roman" w:cs="Times New Roman"/>
                <w:color w:val="000000"/>
              </w:rPr>
              <w:t>-0.01</w:t>
            </w:r>
          </w:p>
        </w:tc>
        <w:tc>
          <w:tcPr>
            <w:tcW w:w="845" w:type="dxa"/>
            <w:tcBorders>
              <w:top w:val="nil"/>
              <w:left w:val="nil"/>
              <w:bottom w:val="single" w:sz="4" w:space="0" w:color="auto"/>
              <w:right w:val="single" w:sz="4" w:space="0" w:color="auto"/>
            </w:tcBorders>
            <w:shd w:val="clear" w:color="auto" w:fill="9999FF"/>
            <w:noWrap/>
            <w:vAlign w:val="bottom"/>
            <w:hideMark/>
          </w:tcPr>
          <w:p w:rsidR="001D629C" w:rsidRPr="00773E8D" w:rsidRDefault="001D629C" w:rsidP="001D629C">
            <w:pPr>
              <w:spacing w:after="0" w:line="240" w:lineRule="auto"/>
              <w:jc w:val="right"/>
              <w:rPr>
                <w:rFonts w:eastAsia="Times New Roman" w:cs="Times New Roman"/>
                <w:color w:val="000000"/>
              </w:rPr>
            </w:pPr>
            <w:r w:rsidRPr="00773E8D">
              <w:rPr>
                <w:rFonts w:eastAsia="Times New Roman" w:cs="Times New Roman"/>
                <w:color w:val="000000"/>
              </w:rPr>
              <w:t>-0.02</w:t>
            </w:r>
          </w:p>
        </w:tc>
        <w:tc>
          <w:tcPr>
            <w:tcW w:w="825" w:type="dxa"/>
            <w:tcBorders>
              <w:top w:val="nil"/>
              <w:left w:val="nil"/>
              <w:bottom w:val="single" w:sz="4" w:space="0" w:color="auto"/>
              <w:right w:val="single" w:sz="4" w:space="0" w:color="auto"/>
            </w:tcBorders>
            <w:shd w:val="clear" w:color="auto" w:fill="9999FF"/>
            <w:noWrap/>
            <w:vAlign w:val="bottom"/>
            <w:hideMark/>
          </w:tcPr>
          <w:p w:rsidR="001D629C" w:rsidRPr="00773E8D" w:rsidRDefault="001D629C" w:rsidP="001D629C">
            <w:pPr>
              <w:spacing w:after="0" w:line="240" w:lineRule="auto"/>
              <w:jc w:val="right"/>
              <w:rPr>
                <w:rFonts w:eastAsia="Times New Roman" w:cs="Times New Roman"/>
                <w:color w:val="000000"/>
              </w:rPr>
            </w:pPr>
            <w:r w:rsidRPr="00773E8D">
              <w:rPr>
                <w:rFonts w:eastAsia="Times New Roman" w:cs="Times New Roman"/>
                <w:color w:val="000000"/>
              </w:rPr>
              <w:t>0.01</w:t>
            </w:r>
          </w:p>
        </w:tc>
        <w:tc>
          <w:tcPr>
            <w:tcW w:w="825" w:type="dxa"/>
            <w:tcBorders>
              <w:top w:val="nil"/>
              <w:left w:val="nil"/>
              <w:bottom w:val="single" w:sz="4" w:space="0" w:color="auto"/>
              <w:right w:val="single" w:sz="4" w:space="0" w:color="auto"/>
            </w:tcBorders>
            <w:shd w:val="clear" w:color="auto" w:fill="9999FF"/>
            <w:noWrap/>
            <w:vAlign w:val="bottom"/>
            <w:hideMark/>
          </w:tcPr>
          <w:p w:rsidR="001D629C" w:rsidRPr="00773E8D" w:rsidRDefault="001D629C" w:rsidP="001D629C">
            <w:pPr>
              <w:spacing w:after="0" w:line="240" w:lineRule="auto"/>
              <w:jc w:val="right"/>
              <w:rPr>
                <w:rFonts w:eastAsia="Times New Roman" w:cs="Times New Roman"/>
                <w:color w:val="000000"/>
              </w:rPr>
            </w:pPr>
            <w:r w:rsidRPr="00773E8D">
              <w:rPr>
                <w:rFonts w:eastAsia="Times New Roman" w:cs="Times New Roman"/>
                <w:color w:val="000000"/>
              </w:rPr>
              <w:t>0.01</w:t>
            </w:r>
          </w:p>
        </w:tc>
      </w:tr>
    </w:tbl>
    <w:p w:rsidR="001D629C" w:rsidRDefault="001D629C" w:rsidP="001D629C">
      <w:pPr>
        <w:jc w:val="center"/>
      </w:pPr>
    </w:p>
    <w:p w:rsidR="001D629C" w:rsidRDefault="001D629C" w:rsidP="001D629C">
      <w:pPr>
        <w:jc w:val="center"/>
      </w:pPr>
      <w:r w:rsidRPr="007C4BAD">
        <w:rPr>
          <w:noProof/>
          <w:lang w:val="en-IN" w:eastAsia="en-IN"/>
        </w:rPr>
        <w:lastRenderedPageBreak/>
        <w:drawing>
          <wp:inline distT="0" distB="0" distL="0" distR="0">
            <wp:extent cx="3095624" cy="1952625"/>
            <wp:effectExtent l="19050" t="0" r="9526" b="0"/>
            <wp:docPr id="1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1D629C" w:rsidRDefault="001D629C" w:rsidP="001D629C"/>
    <w:p w:rsidR="001D629C" w:rsidRDefault="001D629C" w:rsidP="001D629C">
      <w:r>
        <w:t xml:space="preserve">The ratio of Return on capital employed of Vodafone is much weaker than that of BT as demonstrated by the above table and the graphical representation. The underlying reason is the profit generation capacity of Vodafone out of the capital employed is much lower to the proportion in which BT generates return over the capital employed. This generates that </w:t>
      </w:r>
      <w:proofErr w:type="gramStart"/>
      <w:r>
        <w:t>Vodafone  has</w:t>
      </w:r>
      <w:proofErr w:type="gramEnd"/>
      <w:r>
        <w:t xml:space="preserve"> much lower ret5urn  generation efficiency out of the capital employed compared to BT</w:t>
      </w:r>
    </w:p>
    <w:p w:rsidR="001D629C" w:rsidRPr="006E6009" w:rsidRDefault="001D629C" w:rsidP="001D629C">
      <w:pPr>
        <w:rPr>
          <w:b/>
        </w:rPr>
      </w:pPr>
      <w:r w:rsidRPr="006E6009">
        <w:rPr>
          <w:rFonts w:eastAsia="Times New Roman" w:cs="Times New Roman"/>
          <w:b/>
          <w:color w:val="000000"/>
        </w:rPr>
        <w:t>Total asset turnover ratio</w:t>
      </w:r>
      <w:r>
        <w:rPr>
          <w:rFonts w:eastAsia="Times New Roman" w:cs="Times New Roman"/>
          <w:b/>
          <w:color w:val="000000"/>
        </w:rPr>
        <w:t>:</w:t>
      </w:r>
    </w:p>
    <w:p w:rsidR="001D629C" w:rsidRDefault="001D629C" w:rsidP="001D629C"/>
    <w:tbl>
      <w:tblPr>
        <w:tblW w:w="6482" w:type="dxa"/>
        <w:jc w:val="center"/>
        <w:tblInd w:w="103" w:type="dxa"/>
        <w:shd w:val="clear" w:color="auto" w:fill="FFCCFF"/>
        <w:tblLook w:val="04A0" w:firstRow="1" w:lastRow="0" w:firstColumn="1" w:lastColumn="0" w:noHBand="0" w:noVBand="1"/>
      </w:tblPr>
      <w:tblGrid>
        <w:gridCol w:w="2327"/>
        <w:gridCol w:w="831"/>
        <w:gridCol w:w="831"/>
        <w:gridCol w:w="831"/>
        <w:gridCol w:w="831"/>
        <w:gridCol w:w="831"/>
      </w:tblGrid>
      <w:tr w:rsidR="001D629C" w:rsidRPr="006E6009" w:rsidTr="001D629C">
        <w:trPr>
          <w:trHeight w:val="300"/>
          <w:jc w:val="center"/>
        </w:trPr>
        <w:tc>
          <w:tcPr>
            <w:tcW w:w="6482" w:type="dxa"/>
            <w:gridSpan w:val="6"/>
            <w:tcBorders>
              <w:top w:val="single" w:sz="4" w:space="0" w:color="auto"/>
              <w:left w:val="single" w:sz="4" w:space="0" w:color="auto"/>
              <w:bottom w:val="single" w:sz="4" w:space="0" w:color="auto"/>
              <w:right w:val="single" w:sz="4" w:space="0" w:color="auto"/>
            </w:tcBorders>
            <w:shd w:val="clear" w:color="auto" w:fill="FFCCFF"/>
            <w:noWrap/>
            <w:vAlign w:val="bottom"/>
            <w:hideMark/>
          </w:tcPr>
          <w:p w:rsidR="001D629C" w:rsidRPr="006E6009" w:rsidRDefault="001D629C" w:rsidP="001D629C">
            <w:pPr>
              <w:spacing w:after="0" w:line="240" w:lineRule="auto"/>
              <w:jc w:val="center"/>
              <w:rPr>
                <w:rFonts w:eastAsia="Times New Roman" w:cs="Times New Roman"/>
                <w:color w:val="000000"/>
              </w:rPr>
            </w:pPr>
            <w:r w:rsidRPr="006E6009">
              <w:rPr>
                <w:rFonts w:eastAsia="Times New Roman" w:cs="Times New Roman"/>
                <w:color w:val="000000"/>
              </w:rPr>
              <w:t>Total asset turnover ratio</w:t>
            </w:r>
          </w:p>
        </w:tc>
      </w:tr>
      <w:tr w:rsidR="001D629C" w:rsidRPr="006E6009" w:rsidTr="001D629C">
        <w:trPr>
          <w:trHeight w:val="300"/>
          <w:jc w:val="center"/>
        </w:trPr>
        <w:tc>
          <w:tcPr>
            <w:tcW w:w="2327" w:type="dxa"/>
            <w:tcBorders>
              <w:top w:val="nil"/>
              <w:left w:val="single" w:sz="4" w:space="0" w:color="auto"/>
              <w:bottom w:val="single" w:sz="4" w:space="0" w:color="auto"/>
              <w:right w:val="single" w:sz="4" w:space="0" w:color="auto"/>
            </w:tcBorders>
            <w:shd w:val="clear" w:color="auto" w:fill="FFCCFF"/>
            <w:noWrap/>
            <w:vAlign w:val="bottom"/>
            <w:hideMark/>
          </w:tcPr>
          <w:p w:rsidR="001D629C" w:rsidRPr="006E6009" w:rsidRDefault="001D629C" w:rsidP="001D629C">
            <w:pPr>
              <w:spacing w:after="0" w:line="240" w:lineRule="auto"/>
              <w:rPr>
                <w:rFonts w:eastAsia="Times New Roman" w:cs="Times New Roman"/>
                <w:color w:val="000000"/>
              </w:rPr>
            </w:pPr>
            <w:r w:rsidRPr="006E6009">
              <w:rPr>
                <w:rFonts w:eastAsia="Times New Roman" w:cs="Times New Roman"/>
                <w:color w:val="000000"/>
              </w:rPr>
              <w:t> </w:t>
            </w:r>
          </w:p>
        </w:tc>
        <w:tc>
          <w:tcPr>
            <w:tcW w:w="831" w:type="dxa"/>
            <w:tcBorders>
              <w:top w:val="nil"/>
              <w:left w:val="nil"/>
              <w:bottom w:val="single" w:sz="4" w:space="0" w:color="auto"/>
              <w:right w:val="single" w:sz="4" w:space="0" w:color="auto"/>
            </w:tcBorders>
            <w:shd w:val="clear" w:color="auto" w:fill="FFCCFF"/>
            <w:noWrap/>
            <w:vAlign w:val="bottom"/>
            <w:hideMark/>
          </w:tcPr>
          <w:p w:rsidR="001D629C" w:rsidRPr="006E6009" w:rsidRDefault="001D629C" w:rsidP="001D629C">
            <w:pPr>
              <w:spacing w:after="0" w:line="240" w:lineRule="auto"/>
              <w:jc w:val="right"/>
              <w:rPr>
                <w:rFonts w:eastAsia="Times New Roman" w:cs="Times New Roman"/>
                <w:color w:val="000000"/>
              </w:rPr>
            </w:pPr>
            <w:r w:rsidRPr="006E6009">
              <w:rPr>
                <w:rFonts w:eastAsia="Times New Roman" w:cs="Times New Roman"/>
                <w:color w:val="000000"/>
              </w:rPr>
              <w:t>2012</w:t>
            </w:r>
          </w:p>
        </w:tc>
        <w:tc>
          <w:tcPr>
            <w:tcW w:w="831" w:type="dxa"/>
            <w:tcBorders>
              <w:top w:val="nil"/>
              <w:left w:val="nil"/>
              <w:bottom w:val="single" w:sz="4" w:space="0" w:color="auto"/>
              <w:right w:val="single" w:sz="4" w:space="0" w:color="auto"/>
            </w:tcBorders>
            <w:shd w:val="clear" w:color="auto" w:fill="FFCCFF"/>
            <w:noWrap/>
            <w:vAlign w:val="bottom"/>
            <w:hideMark/>
          </w:tcPr>
          <w:p w:rsidR="001D629C" w:rsidRPr="006E6009" w:rsidRDefault="001D629C" w:rsidP="001D629C">
            <w:pPr>
              <w:spacing w:after="0" w:line="240" w:lineRule="auto"/>
              <w:jc w:val="right"/>
              <w:rPr>
                <w:rFonts w:eastAsia="Times New Roman" w:cs="Times New Roman"/>
                <w:color w:val="000000"/>
              </w:rPr>
            </w:pPr>
            <w:r w:rsidRPr="006E6009">
              <w:rPr>
                <w:rFonts w:eastAsia="Times New Roman" w:cs="Times New Roman"/>
                <w:color w:val="000000"/>
              </w:rPr>
              <w:t>2013</w:t>
            </w:r>
          </w:p>
        </w:tc>
        <w:tc>
          <w:tcPr>
            <w:tcW w:w="831" w:type="dxa"/>
            <w:tcBorders>
              <w:top w:val="nil"/>
              <w:left w:val="nil"/>
              <w:bottom w:val="single" w:sz="4" w:space="0" w:color="auto"/>
              <w:right w:val="single" w:sz="4" w:space="0" w:color="auto"/>
            </w:tcBorders>
            <w:shd w:val="clear" w:color="auto" w:fill="FFCCFF"/>
            <w:noWrap/>
            <w:vAlign w:val="bottom"/>
            <w:hideMark/>
          </w:tcPr>
          <w:p w:rsidR="001D629C" w:rsidRPr="006E6009" w:rsidRDefault="001D629C" w:rsidP="001D629C">
            <w:pPr>
              <w:spacing w:after="0" w:line="240" w:lineRule="auto"/>
              <w:jc w:val="right"/>
              <w:rPr>
                <w:rFonts w:eastAsia="Times New Roman" w:cs="Times New Roman"/>
                <w:color w:val="000000"/>
              </w:rPr>
            </w:pPr>
            <w:r w:rsidRPr="006E6009">
              <w:rPr>
                <w:rFonts w:eastAsia="Times New Roman" w:cs="Times New Roman"/>
                <w:color w:val="000000"/>
              </w:rPr>
              <w:t>2014</w:t>
            </w:r>
          </w:p>
        </w:tc>
        <w:tc>
          <w:tcPr>
            <w:tcW w:w="831" w:type="dxa"/>
            <w:tcBorders>
              <w:top w:val="nil"/>
              <w:left w:val="nil"/>
              <w:bottom w:val="single" w:sz="4" w:space="0" w:color="auto"/>
              <w:right w:val="single" w:sz="4" w:space="0" w:color="auto"/>
            </w:tcBorders>
            <w:shd w:val="clear" w:color="auto" w:fill="FFCCFF"/>
            <w:noWrap/>
            <w:vAlign w:val="bottom"/>
            <w:hideMark/>
          </w:tcPr>
          <w:p w:rsidR="001D629C" w:rsidRPr="006E6009" w:rsidRDefault="001D629C" w:rsidP="001D629C">
            <w:pPr>
              <w:spacing w:after="0" w:line="240" w:lineRule="auto"/>
              <w:jc w:val="right"/>
              <w:rPr>
                <w:rFonts w:eastAsia="Times New Roman" w:cs="Times New Roman"/>
                <w:color w:val="000000"/>
              </w:rPr>
            </w:pPr>
            <w:r w:rsidRPr="006E6009">
              <w:rPr>
                <w:rFonts w:eastAsia="Times New Roman" w:cs="Times New Roman"/>
                <w:color w:val="000000"/>
              </w:rPr>
              <w:t>2015</w:t>
            </w:r>
          </w:p>
        </w:tc>
        <w:tc>
          <w:tcPr>
            <w:tcW w:w="831" w:type="dxa"/>
            <w:tcBorders>
              <w:top w:val="nil"/>
              <w:left w:val="nil"/>
              <w:bottom w:val="single" w:sz="4" w:space="0" w:color="auto"/>
              <w:right w:val="single" w:sz="4" w:space="0" w:color="auto"/>
            </w:tcBorders>
            <w:shd w:val="clear" w:color="auto" w:fill="FFCCFF"/>
            <w:noWrap/>
            <w:vAlign w:val="bottom"/>
            <w:hideMark/>
          </w:tcPr>
          <w:p w:rsidR="001D629C" w:rsidRPr="006E6009" w:rsidRDefault="001D629C" w:rsidP="001D629C">
            <w:pPr>
              <w:spacing w:after="0" w:line="240" w:lineRule="auto"/>
              <w:jc w:val="right"/>
              <w:rPr>
                <w:rFonts w:eastAsia="Times New Roman" w:cs="Times New Roman"/>
                <w:color w:val="000000"/>
              </w:rPr>
            </w:pPr>
            <w:r w:rsidRPr="006E6009">
              <w:rPr>
                <w:rFonts w:eastAsia="Times New Roman" w:cs="Times New Roman"/>
                <w:color w:val="000000"/>
              </w:rPr>
              <w:t>2016</w:t>
            </w:r>
          </w:p>
        </w:tc>
      </w:tr>
      <w:tr w:rsidR="001D629C" w:rsidRPr="006E6009" w:rsidTr="001D629C">
        <w:trPr>
          <w:trHeight w:val="300"/>
          <w:jc w:val="center"/>
        </w:trPr>
        <w:tc>
          <w:tcPr>
            <w:tcW w:w="2327" w:type="dxa"/>
            <w:tcBorders>
              <w:top w:val="nil"/>
              <w:left w:val="single" w:sz="4" w:space="0" w:color="auto"/>
              <w:bottom w:val="single" w:sz="4" w:space="0" w:color="auto"/>
              <w:right w:val="single" w:sz="4" w:space="0" w:color="auto"/>
            </w:tcBorders>
            <w:shd w:val="clear" w:color="auto" w:fill="FFCCFF"/>
            <w:vAlign w:val="bottom"/>
            <w:hideMark/>
          </w:tcPr>
          <w:p w:rsidR="001D629C" w:rsidRPr="006E6009" w:rsidRDefault="001D629C" w:rsidP="001D629C">
            <w:pPr>
              <w:spacing w:after="0" w:line="240" w:lineRule="auto"/>
              <w:rPr>
                <w:rFonts w:eastAsia="Times New Roman" w:cs="Times New Roman"/>
                <w:color w:val="000000"/>
              </w:rPr>
            </w:pPr>
            <w:r w:rsidRPr="006E6009">
              <w:rPr>
                <w:rFonts w:eastAsia="Times New Roman" w:cs="Times New Roman"/>
                <w:color w:val="000000"/>
              </w:rPr>
              <w:t>BT</w:t>
            </w:r>
          </w:p>
        </w:tc>
        <w:tc>
          <w:tcPr>
            <w:tcW w:w="831" w:type="dxa"/>
            <w:tcBorders>
              <w:top w:val="nil"/>
              <w:left w:val="nil"/>
              <w:bottom w:val="single" w:sz="4" w:space="0" w:color="auto"/>
              <w:right w:val="single" w:sz="4" w:space="0" w:color="auto"/>
            </w:tcBorders>
            <w:shd w:val="clear" w:color="auto" w:fill="FFCCFF"/>
            <w:noWrap/>
            <w:vAlign w:val="bottom"/>
            <w:hideMark/>
          </w:tcPr>
          <w:p w:rsidR="001D629C" w:rsidRPr="006E6009" w:rsidRDefault="001D629C" w:rsidP="001D629C">
            <w:pPr>
              <w:spacing w:after="0" w:line="240" w:lineRule="auto"/>
              <w:jc w:val="right"/>
              <w:rPr>
                <w:rFonts w:eastAsia="Times New Roman" w:cs="Times New Roman"/>
                <w:color w:val="000000"/>
              </w:rPr>
            </w:pPr>
            <w:r w:rsidRPr="006E6009">
              <w:rPr>
                <w:rFonts w:eastAsia="Times New Roman" w:cs="Times New Roman"/>
                <w:color w:val="000000"/>
              </w:rPr>
              <w:t>0.79</w:t>
            </w:r>
          </w:p>
        </w:tc>
        <w:tc>
          <w:tcPr>
            <w:tcW w:w="831" w:type="dxa"/>
            <w:tcBorders>
              <w:top w:val="nil"/>
              <w:left w:val="nil"/>
              <w:bottom w:val="single" w:sz="4" w:space="0" w:color="auto"/>
              <w:right w:val="single" w:sz="4" w:space="0" w:color="auto"/>
            </w:tcBorders>
            <w:shd w:val="clear" w:color="auto" w:fill="FFCCFF"/>
            <w:noWrap/>
            <w:vAlign w:val="bottom"/>
            <w:hideMark/>
          </w:tcPr>
          <w:p w:rsidR="001D629C" w:rsidRPr="006E6009" w:rsidRDefault="001D629C" w:rsidP="001D629C">
            <w:pPr>
              <w:spacing w:after="0" w:line="240" w:lineRule="auto"/>
              <w:jc w:val="right"/>
              <w:rPr>
                <w:rFonts w:eastAsia="Times New Roman" w:cs="Times New Roman"/>
                <w:color w:val="000000"/>
              </w:rPr>
            </w:pPr>
            <w:r w:rsidRPr="006E6009">
              <w:rPr>
                <w:rFonts w:eastAsia="Times New Roman" w:cs="Times New Roman"/>
                <w:color w:val="000000"/>
              </w:rPr>
              <w:t>0.41</w:t>
            </w:r>
          </w:p>
        </w:tc>
        <w:tc>
          <w:tcPr>
            <w:tcW w:w="831" w:type="dxa"/>
            <w:tcBorders>
              <w:top w:val="nil"/>
              <w:left w:val="nil"/>
              <w:bottom w:val="single" w:sz="4" w:space="0" w:color="auto"/>
              <w:right w:val="single" w:sz="4" w:space="0" w:color="auto"/>
            </w:tcBorders>
            <w:shd w:val="clear" w:color="auto" w:fill="FFCCFF"/>
            <w:noWrap/>
            <w:vAlign w:val="bottom"/>
            <w:hideMark/>
          </w:tcPr>
          <w:p w:rsidR="001D629C" w:rsidRPr="006E6009" w:rsidRDefault="001D629C" w:rsidP="001D629C">
            <w:pPr>
              <w:spacing w:after="0" w:line="240" w:lineRule="auto"/>
              <w:jc w:val="right"/>
              <w:rPr>
                <w:rFonts w:eastAsia="Times New Roman" w:cs="Times New Roman"/>
                <w:color w:val="000000"/>
              </w:rPr>
            </w:pPr>
            <w:r w:rsidRPr="006E6009">
              <w:rPr>
                <w:rFonts w:eastAsia="Times New Roman" w:cs="Times New Roman"/>
                <w:color w:val="000000"/>
              </w:rPr>
              <w:t>0.41</w:t>
            </w:r>
          </w:p>
        </w:tc>
        <w:tc>
          <w:tcPr>
            <w:tcW w:w="831" w:type="dxa"/>
            <w:tcBorders>
              <w:top w:val="nil"/>
              <w:left w:val="nil"/>
              <w:bottom w:val="single" w:sz="4" w:space="0" w:color="auto"/>
              <w:right w:val="single" w:sz="4" w:space="0" w:color="auto"/>
            </w:tcBorders>
            <w:shd w:val="clear" w:color="auto" w:fill="FFCCFF"/>
            <w:noWrap/>
            <w:vAlign w:val="bottom"/>
            <w:hideMark/>
          </w:tcPr>
          <w:p w:rsidR="001D629C" w:rsidRPr="006E6009" w:rsidRDefault="001D629C" w:rsidP="001D629C">
            <w:pPr>
              <w:spacing w:after="0" w:line="240" w:lineRule="auto"/>
              <w:jc w:val="right"/>
              <w:rPr>
                <w:rFonts w:eastAsia="Times New Roman" w:cs="Times New Roman"/>
                <w:color w:val="000000"/>
              </w:rPr>
            </w:pPr>
            <w:r w:rsidRPr="006E6009">
              <w:rPr>
                <w:rFonts w:eastAsia="Times New Roman" w:cs="Times New Roman"/>
                <w:color w:val="000000"/>
              </w:rPr>
              <w:t>0.38</w:t>
            </w:r>
          </w:p>
        </w:tc>
        <w:tc>
          <w:tcPr>
            <w:tcW w:w="831" w:type="dxa"/>
            <w:tcBorders>
              <w:top w:val="nil"/>
              <w:left w:val="nil"/>
              <w:bottom w:val="single" w:sz="4" w:space="0" w:color="auto"/>
              <w:right w:val="single" w:sz="4" w:space="0" w:color="auto"/>
            </w:tcBorders>
            <w:shd w:val="clear" w:color="auto" w:fill="FFCCFF"/>
            <w:noWrap/>
            <w:vAlign w:val="bottom"/>
            <w:hideMark/>
          </w:tcPr>
          <w:p w:rsidR="001D629C" w:rsidRPr="006E6009" w:rsidRDefault="001D629C" w:rsidP="001D629C">
            <w:pPr>
              <w:spacing w:after="0" w:line="240" w:lineRule="auto"/>
              <w:jc w:val="right"/>
              <w:rPr>
                <w:rFonts w:eastAsia="Times New Roman" w:cs="Times New Roman"/>
                <w:color w:val="000000"/>
              </w:rPr>
            </w:pPr>
            <w:r w:rsidRPr="006E6009">
              <w:rPr>
                <w:rFonts w:eastAsia="Times New Roman" w:cs="Times New Roman"/>
                <w:color w:val="000000"/>
              </w:rPr>
              <w:t>0.35</w:t>
            </w:r>
          </w:p>
        </w:tc>
      </w:tr>
      <w:tr w:rsidR="001D629C" w:rsidRPr="006E6009" w:rsidTr="001D629C">
        <w:trPr>
          <w:trHeight w:val="300"/>
          <w:jc w:val="center"/>
        </w:trPr>
        <w:tc>
          <w:tcPr>
            <w:tcW w:w="2327" w:type="dxa"/>
            <w:tcBorders>
              <w:top w:val="nil"/>
              <w:left w:val="single" w:sz="4" w:space="0" w:color="auto"/>
              <w:bottom w:val="single" w:sz="4" w:space="0" w:color="auto"/>
              <w:right w:val="single" w:sz="4" w:space="0" w:color="auto"/>
            </w:tcBorders>
            <w:shd w:val="clear" w:color="auto" w:fill="FFCCFF"/>
            <w:noWrap/>
            <w:vAlign w:val="bottom"/>
            <w:hideMark/>
          </w:tcPr>
          <w:p w:rsidR="001D629C" w:rsidRPr="006E6009" w:rsidRDefault="001D629C" w:rsidP="001D629C">
            <w:pPr>
              <w:spacing w:after="0" w:line="240" w:lineRule="auto"/>
              <w:rPr>
                <w:rFonts w:eastAsia="Times New Roman" w:cs="Times New Roman"/>
                <w:color w:val="000000"/>
              </w:rPr>
            </w:pPr>
            <w:r w:rsidRPr="006E6009">
              <w:rPr>
                <w:rFonts w:eastAsia="Times New Roman" w:cs="Times New Roman"/>
                <w:color w:val="000000"/>
              </w:rPr>
              <w:t>Vodafone</w:t>
            </w:r>
          </w:p>
        </w:tc>
        <w:tc>
          <w:tcPr>
            <w:tcW w:w="831" w:type="dxa"/>
            <w:tcBorders>
              <w:top w:val="nil"/>
              <w:left w:val="nil"/>
              <w:bottom w:val="single" w:sz="4" w:space="0" w:color="auto"/>
              <w:right w:val="single" w:sz="4" w:space="0" w:color="auto"/>
            </w:tcBorders>
            <w:shd w:val="clear" w:color="auto" w:fill="FFCCFF"/>
            <w:noWrap/>
            <w:vAlign w:val="bottom"/>
            <w:hideMark/>
          </w:tcPr>
          <w:p w:rsidR="001D629C" w:rsidRPr="006E6009" w:rsidRDefault="001D629C" w:rsidP="001D629C">
            <w:pPr>
              <w:spacing w:after="0" w:line="240" w:lineRule="auto"/>
              <w:jc w:val="right"/>
              <w:rPr>
                <w:rFonts w:eastAsia="Times New Roman" w:cs="Times New Roman"/>
                <w:color w:val="000000"/>
              </w:rPr>
            </w:pPr>
            <w:r w:rsidRPr="006E6009">
              <w:rPr>
                <w:rFonts w:eastAsia="Times New Roman" w:cs="Times New Roman"/>
                <w:color w:val="000000"/>
              </w:rPr>
              <w:t>0.29</w:t>
            </w:r>
          </w:p>
        </w:tc>
        <w:tc>
          <w:tcPr>
            <w:tcW w:w="831" w:type="dxa"/>
            <w:tcBorders>
              <w:top w:val="nil"/>
              <w:left w:val="nil"/>
              <w:bottom w:val="single" w:sz="4" w:space="0" w:color="auto"/>
              <w:right w:val="single" w:sz="4" w:space="0" w:color="auto"/>
            </w:tcBorders>
            <w:shd w:val="clear" w:color="auto" w:fill="FFCCFF"/>
            <w:noWrap/>
            <w:vAlign w:val="bottom"/>
            <w:hideMark/>
          </w:tcPr>
          <w:p w:rsidR="001D629C" w:rsidRPr="006E6009" w:rsidRDefault="001D629C" w:rsidP="001D629C">
            <w:pPr>
              <w:spacing w:after="0" w:line="240" w:lineRule="auto"/>
              <w:jc w:val="right"/>
              <w:rPr>
                <w:rFonts w:eastAsia="Times New Roman" w:cs="Times New Roman"/>
                <w:color w:val="000000"/>
              </w:rPr>
            </w:pPr>
            <w:r w:rsidRPr="006E6009">
              <w:rPr>
                <w:rFonts w:eastAsia="Times New Roman" w:cs="Times New Roman"/>
                <w:color w:val="000000"/>
              </w:rPr>
              <w:t>0.28</w:t>
            </w:r>
          </w:p>
        </w:tc>
        <w:tc>
          <w:tcPr>
            <w:tcW w:w="831" w:type="dxa"/>
            <w:tcBorders>
              <w:top w:val="nil"/>
              <w:left w:val="nil"/>
              <w:bottom w:val="single" w:sz="4" w:space="0" w:color="auto"/>
              <w:right w:val="single" w:sz="4" w:space="0" w:color="auto"/>
            </w:tcBorders>
            <w:shd w:val="clear" w:color="auto" w:fill="FFCCFF"/>
            <w:noWrap/>
            <w:vAlign w:val="bottom"/>
            <w:hideMark/>
          </w:tcPr>
          <w:p w:rsidR="001D629C" w:rsidRPr="006E6009" w:rsidRDefault="001D629C" w:rsidP="001D629C">
            <w:pPr>
              <w:spacing w:after="0" w:line="240" w:lineRule="auto"/>
              <w:jc w:val="right"/>
              <w:rPr>
                <w:rFonts w:eastAsia="Times New Roman" w:cs="Times New Roman"/>
                <w:color w:val="000000"/>
              </w:rPr>
            </w:pPr>
            <w:r w:rsidRPr="006E6009">
              <w:rPr>
                <w:rFonts w:eastAsia="Times New Roman" w:cs="Times New Roman"/>
                <w:color w:val="000000"/>
              </w:rPr>
              <w:t>0.31</w:t>
            </w:r>
          </w:p>
        </w:tc>
        <w:tc>
          <w:tcPr>
            <w:tcW w:w="831" w:type="dxa"/>
            <w:tcBorders>
              <w:top w:val="nil"/>
              <w:left w:val="nil"/>
              <w:bottom w:val="single" w:sz="4" w:space="0" w:color="auto"/>
              <w:right w:val="single" w:sz="4" w:space="0" w:color="auto"/>
            </w:tcBorders>
            <w:shd w:val="clear" w:color="auto" w:fill="FFCCFF"/>
            <w:noWrap/>
            <w:vAlign w:val="bottom"/>
            <w:hideMark/>
          </w:tcPr>
          <w:p w:rsidR="001D629C" w:rsidRPr="006E6009" w:rsidRDefault="001D629C" w:rsidP="001D629C">
            <w:pPr>
              <w:spacing w:after="0" w:line="240" w:lineRule="auto"/>
              <w:jc w:val="right"/>
              <w:rPr>
                <w:rFonts w:eastAsia="Times New Roman" w:cs="Times New Roman"/>
                <w:color w:val="000000"/>
              </w:rPr>
            </w:pPr>
            <w:r w:rsidRPr="006E6009">
              <w:rPr>
                <w:rFonts w:eastAsia="Times New Roman" w:cs="Times New Roman"/>
                <w:color w:val="000000"/>
              </w:rPr>
              <w:t>0.34</w:t>
            </w:r>
          </w:p>
        </w:tc>
        <w:tc>
          <w:tcPr>
            <w:tcW w:w="831" w:type="dxa"/>
            <w:tcBorders>
              <w:top w:val="nil"/>
              <w:left w:val="nil"/>
              <w:bottom w:val="single" w:sz="4" w:space="0" w:color="auto"/>
              <w:right w:val="single" w:sz="4" w:space="0" w:color="auto"/>
            </w:tcBorders>
            <w:shd w:val="clear" w:color="auto" w:fill="FFCCFF"/>
            <w:noWrap/>
            <w:vAlign w:val="bottom"/>
            <w:hideMark/>
          </w:tcPr>
          <w:p w:rsidR="001D629C" w:rsidRPr="006E6009" w:rsidRDefault="001D629C" w:rsidP="001D629C">
            <w:pPr>
              <w:spacing w:after="0" w:line="240" w:lineRule="auto"/>
              <w:jc w:val="right"/>
              <w:rPr>
                <w:rFonts w:eastAsia="Times New Roman" w:cs="Times New Roman"/>
                <w:color w:val="000000"/>
              </w:rPr>
            </w:pPr>
            <w:r w:rsidRPr="006E6009">
              <w:rPr>
                <w:rFonts w:eastAsia="Times New Roman" w:cs="Times New Roman"/>
                <w:color w:val="000000"/>
              </w:rPr>
              <w:t>0.31</w:t>
            </w:r>
          </w:p>
        </w:tc>
      </w:tr>
    </w:tbl>
    <w:p w:rsidR="001D629C" w:rsidRDefault="001D629C" w:rsidP="001D629C">
      <w:pPr>
        <w:jc w:val="center"/>
      </w:pPr>
    </w:p>
    <w:p w:rsidR="001D629C" w:rsidRDefault="001D629C" w:rsidP="001D629C">
      <w:pPr>
        <w:jc w:val="center"/>
      </w:pPr>
      <w:r w:rsidRPr="009F266B">
        <w:rPr>
          <w:noProof/>
          <w:lang w:val="en-IN" w:eastAsia="en-IN"/>
        </w:rPr>
        <w:drawing>
          <wp:inline distT="0" distB="0" distL="0" distR="0">
            <wp:extent cx="3095624" cy="1952625"/>
            <wp:effectExtent l="19050" t="0" r="9526" b="0"/>
            <wp:docPr id="1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1D629C" w:rsidRDefault="001D629C" w:rsidP="001D629C">
      <w:r>
        <w:lastRenderedPageBreak/>
        <w:t>The asset turnover ratio of the organization Vodafone is also weaker than that of BT due to the low revenue generation capacity out of the 5total asset employed by Vodafone as represented by the above table and the graph.</w:t>
      </w:r>
    </w:p>
    <w:p w:rsidR="001D629C" w:rsidRPr="00704425" w:rsidRDefault="001D629C" w:rsidP="001D629C">
      <w:pPr>
        <w:rPr>
          <w:b/>
        </w:rPr>
      </w:pPr>
      <w:r w:rsidRPr="00BE3FE7">
        <w:rPr>
          <w:rFonts w:eastAsia="Times New Roman" w:cs="Times New Roman"/>
          <w:b/>
          <w:color w:val="000000"/>
        </w:rPr>
        <w:t>Gearing Ratio</w:t>
      </w:r>
      <w:r>
        <w:rPr>
          <w:rFonts w:eastAsia="Times New Roman" w:cs="Times New Roman"/>
          <w:b/>
          <w:color w:val="000000"/>
        </w:rPr>
        <w:t>:</w:t>
      </w:r>
    </w:p>
    <w:tbl>
      <w:tblPr>
        <w:tblW w:w="6482" w:type="dxa"/>
        <w:jc w:val="center"/>
        <w:tblInd w:w="103" w:type="dxa"/>
        <w:shd w:val="clear" w:color="auto" w:fill="D9D9D9" w:themeFill="background1" w:themeFillShade="D9"/>
        <w:tblLook w:val="04A0" w:firstRow="1" w:lastRow="0" w:firstColumn="1" w:lastColumn="0" w:noHBand="0" w:noVBand="1"/>
      </w:tblPr>
      <w:tblGrid>
        <w:gridCol w:w="2327"/>
        <w:gridCol w:w="831"/>
        <w:gridCol w:w="831"/>
        <w:gridCol w:w="831"/>
        <w:gridCol w:w="831"/>
        <w:gridCol w:w="831"/>
      </w:tblGrid>
      <w:tr w:rsidR="001D629C" w:rsidRPr="00BE3FE7" w:rsidTr="001D629C">
        <w:trPr>
          <w:trHeight w:val="300"/>
          <w:jc w:val="center"/>
        </w:trPr>
        <w:tc>
          <w:tcPr>
            <w:tcW w:w="6482" w:type="dxa"/>
            <w:gridSpan w:val="6"/>
            <w:tcBorders>
              <w:top w:val="single" w:sz="4" w:space="0" w:color="auto"/>
              <w:left w:val="single" w:sz="4" w:space="0" w:color="auto"/>
              <w:bottom w:val="single" w:sz="4" w:space="0" w:color="auto"/>
              <w:right w:val="single" w:sz="4" w:space="0" w:color="auto"/>
            </w:tcBorders>
            <w:shd w:val="clear" w:color="auto" w:fill="D9D9D9" w:themeFill="background1" w:themeFillShade="D9"/>
            <w:noWrap/>
            <w:vAlign w:val="bottom"/>
            <w:hideMark/>
          </w:tcPr>
          <w:p w:rsidR="001D629C" w:rsidRPr="00BE3FE7" w:rsidRDefault="001D629C" w:rsidP="001D629C">
            <w:pPr>
              <w:spacing w:after="0" w:line="240" w:lineRule="auto"/>
              <w:jc w:val="center"/>
              <w:rPr>
                <w:rFonts w:eastAsia="Times New Roman" w:cs="Times New Roman"/>
                <w:color w:val="000000"/>
              </w:rPr>
            </w:pPr>
            <w:r w:rsidRPr="00BE3FE7">
              <w:rPr>
                <w:rFonts w:eastAsia="Times New Roman" w:cs="Times New Roman"/>
                <w:color w:val="000000"/>
              </w:rPr>
              <w:t>Gearing Ratio</w:t>
            </w:r>
          </w:p>
        </w:tc>
      </w:tr>
      <w:tr w:rsidR="001D629C" w:rsidRPr="00BE3FE7" w:rsidTr="001D629C">
        <w:trPr>
          <w:trHeight w:val="300"/>
          <w:jc w:val="center"/>
        </w:trPr>
        <w:tc>
          <w:tcPr>
            <w:tcW w:w="2327" w:type="dxa"/>
            <w:tcBorders>
              <w:top w:val="nil"/>
              <w:left w:val="single" w:sz="4" w:space="0" w:color="auto"/>
              <w:bottom w:val="single" w:sz="4" w:space="0" w:color="auto"/>
              <w:right w:val="single" w:sz="4" w:space="0" w:color="auto"/>
            </w:tcBorders>
            <w:shd w:val="clear" w:color="auto" w:fill="D9D9D9" w:themeFill="background1" w:themeFillShade="D9"/>
            <w:noWrap/>
            <w:vAlign w:val="bottom"/>
            <w:hideMark/>
          </w:tcPr>
          <w:p w:rsidR="001D629C" w:rsidRPr="00BE3FE7" w:rsidRDefault="001D629C" w:rsidP="001D629C">
            <w:pPr>
              <w:spacing w:after="0" w:line="240" w:lineRule="auto"/>
              <w:rPr>
                <w:rFonts w:eastAsia="Times New Roman" w:cs="Times New Roman"/>
                <w:color w:val="000000"/>
              </w:rPr>
            </w:pPr>
            <w:r w:rsidRPr="00BE3FE7">
              <w:rPr>
                <w:rFonts w:eastAsia="Times New Roman" w:cs="Times New Roman"/>
                <w:color w:val="000000"/>
              </w:rPr>
              <w:t> </w:t>
            </w:r>
          </w:p>
        </w:tc>
        <w:tc>
          <w:tcPr>
            <w:tcW w:w="831" w:type="dxa"/>
            <w:tcBorders>
              <w:top w:val="nil"/>
              <w:left w:val="nil"/>
              <w:bottom w:val="single" w:sz="4" w:space="0" w:color="auto"/>
              <w:right w:val="single" w:sz="4" w:space="0" w:color="auto"/>
            </w:tcBorders>
            <w:shd w:val="clear" w:color="auto" w:fill="D9D9D9" w:themeFill="background1" w:themeFillShade="D9"/>
            <w:noWrap/>
            <w:vAlign w:val="bottom"/>
            <w:hideMark/>
          </w:tcPr>
          <w:p w:rsidR="001D629C" w:rsidRPr="00BE3FE7" w:rsidRDefault="001D629C" w:rsidP="001D629C">
            <w:pPr>
              <w:spacing w:after="0" w:line="240" w:lineRule="auto"/>
              <w:jc w:val="right"/>
              <w:rPr>
                <w:rFonts w:eastAsia="Times New Roman" w:cs="Times New Roman"/>
                <w:color w:val="000000"/>
              </w:rPr>
            </w:pPr>
            <w:r w:rsidRPr="00BE3FE7">
              <w:rPr>
                <w:rFonts w:eastAsia="Times New Roman" w:cs="Times New Roman"/>
                <w:color w:val="000000"/>
              </w:rPr>
              <w:t>2012</w:t>
            </w:r>
          </w:p>
        </w:tc>
        <w:tc>
          <w:tcPr>
            <w:tcW w:w="831" w:type="dxa"/>
            <w:tcBorders>
              <w:top w:val="nil"/>
              <w:left w:val="nil"/>
              <w:bottom w:val="single" w:sz="4" w:space="0" w:color="auto"/>
              <w:right w:val="single" w:sz="4" w:space="0" w:color="auto"/>
            </w:tcBorders>
            <w:shd w:val="clear" w:color="auto" w:fill="D9D9D9" w:themeFill="background1" w:themeFillShade="D9"/>
            <w:noWrap/>
            <w:vAlign w:val="bottom"/>
            <w:hideMark/>
          </w:tcPr>
          <w:p w:rsidR="001D629C" w:rsidRPr="00BE3FE7" w:rsidRDefault="001D629C" w:rsidP="001D629C">
            <w:pPr>
              <w:spacing w:after="0" w:line="240" w:lineRule="auto"/>
              <w:jc w:val="right"/>
              <w:rPr>
                <w:rFonts w:eastAsia="Times New Roman" w:cs="Times New Roman"/>
                <w:color w:val="000000"/>
              </w:rPr>
            </w:pPr>
            <w:r w:rsidRPr="00BE3FE7">
              <w:rPr>
                <w:rFonts w:eastAsia="Times New Roman" w:cs="Times New Roman"/>
                <w:color w:val="000000"/>
              </w:rPr>
              <w:t>2013</w:t>
            </w:r>
          </w:p>
        </w:tc>
        <w:tc>
          <w:tcPr>
            <w:tcW w:w="831" w:type="dxa"/>
            <w:tcBorders>
              <w:top w:val="nil"/>
              <w:left w:val="nil"/>
              <w:bottom w:val="single" w:sz="4" w:space="0" w:color="auto"/>
              <w:right w:val="single" w:sz="4" w:space="0" w:color="auto"/>
            </w:tcBorders>
            <w:shd w:val="clear" w:color="auto" w:fill="D9D9D9" w:themeFill="background1" w:themeFillShade="D9"/>
            <w:noWrap/>
            <w:vAlign w:val="bottom"/>
            <w:hideMark/>
          </w:tcPr>
          <w:p w:rsidR="001D629C" w:rsidRPr="00BE3FE7" w:rsidRDefault="001D629C" w:rsidP="001D629C">
            <w:pPr>
              <w:spacing w:after="0" w:line="240" w:lineRule="auto"/>
              <w:jc w:val="right"/>
              <w:rPr>
                <w:rFonts w:eastAsia="Times New Roman" w:cs="Times New Roman"/>
                <w:color w:val="000000"/>
              </w:rPr>
            </w:pPr>
            <w:r w:rsidRPr="00BE3FE7">
              <w:rPr>
                <w:rFonts w:eastAsia="Times New Roman" w:cs="Times New Roman"/>
                <w:color w:val="000000"/>
              </w:rPr>
              <w:t>2014</w:t>
            </w:r>
          </w:p>
        </w:tc>
        <w:tc>
          <w:tcPr>
            <w:tcW w:w="831" w:type="dxa"/>
            <w:tcBorders>
              <w:top w:val="nil"/>
              <w:left w:val="nil"/>
              <w:bottom w:val="single" w:sz="4" w:space="0" w:color="auto"/>
              <w:right w:val="single" w:sz="4" w:space="0" w:color="auto"/>
            </w:tcBorders>
            <w:shd w:val="clear" w:color="auto" w:fill="D9D9D9" w:themeFill="background1" w:themeFillShade="D9"/>
            <w:noWrap/>
            <w:vAlign w:val="bottom"/>
            <w:hideMark/>
          </w:tcPr>
          <w:p w:rsidR="001D629C" w:rsidRPr="00BE3FE7" w:rsidRDefault="001D629C" w:rsidP="001D629C">
            <w:pPr>
              <w:spacing w:after="0" w:line="240" w:lineRule="auto"/>
              <w:jc w:val="right"/>
              <w:rPr>
                <w:rFonts w:eastAsia="Times New Roman" w:cs="Times New Roman"/>
                <w:color w:val="000000"/>
              </w:rPr>
            </w:pPr>
            <w:r w:rsidRPr="00BE3FE7">
              <w:rPr>
                <w:rFonts w:eastAsia="Times New Roman" w:cs="Times New Roman"/>
                <w:color w:val="000000"/>
              </w:rPr>
              <w:t>2015</w:t>
            </w:r>
          </w:p>
        </w:tc>
        <w:tc>
          <w:tcPr>
            <w:tcW w:w="831" w:type="dxa"/>
            <w:tcBorders>
              <w:top w:val="nil"/>
              <w:left w:val="nil"/>
              <w:bottom w:val="single" w:sz="4" w:space="0" w:color="auto"/>
              <w:right w:val="single" w:sz="4" w:space="0" w:color="auto"/>
            </w:tcBorders>
            <w:shd w:val="clear" w:color="auto" w:fill="D9D9D9" w:themeFill="background1" w:themeFillShade="D9"/>
            <w:noWrap/>
            <w:vAlign w:val="bottom"/>
            <w:hideMark/>
          </w:tcPr>
          <w:p w:rsidR="001D629C" w:rsidRPr="00BE3FE7" w:rsidRDefault="001D629C" w:rsidP="001D629C">
            <w:pPr>
              <w:spacing w:after="0" w:line="240" w:lineRule="auto"/>
              <w:jc w:val="right"/>
              <w:rPr>
                <w:rFonts w:eastAsia="Times New Roman" w:cs="Times New Roman"/>
                <w:color w:val="000000"/>
              </w:rPr>
            </w:pPr>
            <w:r w:rsidRPr="00BE3FE7">
              <w:rPr>
                <w:rFonts w:eastAsia="Times New Roman" w:cs="Times New Roman"/>
                <w:color w:val="000000"/>
              </w:rPr>
              <w:t>2016</w:t>
            </w:r>
          </w:p>
        </w:tc>
      </w:tr>
      <w:tr w:rsidR="001D629C" w:rsidRPr="00BE3FE7" w:rsidTr="001D629C">
        <w:trPr>
          <w:trHeight w:val="300"/>
          <w:jc w:val="center"/>
        </w:trPr>
        <w:tc>
          <w:tcPr>
            <w:tcW w:w="2327" w:type="dxa"/>
            <w:tcBorders>
              <w:top w:val="nil"/>
              <w:left w:val="single" w:sz="4" w:space="0" w:color="auto"/>
              <w:bottom w:val="single" w:sz="4" w:space="0" w:color="auto"/>
              <w:right w:val="single" w:sz="4" w:space="0" w:color="auto"/>
            </w:tcBorders>
            <w:shd w:val="clear" w:color="auto" w:fill="D9D9D9" w:themeFill="background1" w:themeFillShade="D9"/>
            <w:vAlign w:val="bottom"/>
            <w:hideMark/>
          </w:tcPr>
          <w:p w:rsidR="001D629C" w:rsidRPr="00BE3FE7" w:rsidRDefault="001D629C" w:rsidP="001D629C">
            <w:pPr>
              <w:spacing w:after="0" w:line="240" w:lineRule="auto"/>
              <w:rPr>
                <w:rFonts w:eastAsia="Times New Roman" w:cs="Times New Roman"/>
                <w:color w:val="000000"/>
              </w:rPr>
            </w:pPr>
            <w:r w:rsidRPr="00BE3FE7">
              <w:rPr>
                <w:rFonts w:eastAsia="Times New Roman" w:cs="Times New Roman"/>
                <w:color w:val="000000"/>
              </w:rPr>
              <w:t>BT</w:t>
            </w:r>
          </w:p>
        </w:tc>
        <w:tc>
          <w:tcPr>
            <w:tcW w:w="831" w:type="dxa"/>
            <w:tcBorders>
              <w:top w:val="nil"/>
              <w:left w:val="nil"/>
              <w:bottom w:val="single" w:sz="4" w:space="0" w:color="auto"/>
              <w:right w:val="single" w:sz="4" w:space="0" w:color="auto"/>
            </w:tcBorders>
            <w:shd w:val="clear" w:color="auto" w:fill="D9D9D9" w:themeFill="background1" w:themeFillShade="D9"/>
            <w:noWrap/>
            <w:vAlign w:val="bottom"/>
            <w:hideMark/>
          </w:tcPr>
          <w:p w:rsidR="001D629C" w:rsidRPr="00BE3FE7" w:rsidRDefault="001D629C" w:rsidP="001D629C">
            <w:pPr>
              <w:spacing w:after="0" w:line="240" w:lineRule="auto"/>
              <w:jc w:val="right"/>
              <w:rPr>
                <w:rFonts w:eastAsia="Times New Roman" w:cs="Times New Roman"/>
                <w:color w:val="000000"/>
              </w:rPr>
            </w:pPr>
            <w:r w:rsidRPr="00BE3FE7">
              <w:rPr>
                <w:rFonts w:eastAsia="Times New Roman" w:cs="Times New Roman"/>
                <w:color w:val="000000"/>
              </w:rPr>
              <w:t>96%</w:t>
            </w:r>
          </w:p>
        </w:tc>
        <w:tc>
          <w:tcPr>
            <w:tcW w:w="831" w:type="dxa"/>
            <w:tcBorders>
              <w:top w:val="nil"/>
              <w:left w:val="nil"/>
              <w:bottom w:val="single" w:sz="4" w:space="0" w:color="auto"/>
              <w:right w:val="single" w:sz="4" w:space="0" w:color="auto"/>
            </w:tcBorders>
            <w:shd w:val="clear" w:color="auto" w:fill="D9D9D9" w:themeFill="background1" w:themeFillShade="D9"/>
            <w:noWrap/>
            <w:vAlign w:val="bottom"/>
            <w:hideMark/>
          </w:tcPr>
          <w:p w:rsidR="001D629C" w:rsidRPr="00BE3FE7" w:rsidRDefault="001D629C" w:rsidP="001D629C">
            <w:pPr>
              <w:spacing w:after="0" w:line="240" w:lineRule="auto"/>
              <w:jc w:val="right"/>
              <w:rPr>
                <w:rFonts w:eastAsia="Times New Roman" w:cs="Times New Roman"/>
                <w:color w:val="000000"/>
              </w:rPr>
            </w:pPr>
            <w:r w:rsidRPr="00BE3FE7">
              <w:rPr>
                <w:rFonts w:eastAsia="Times New Roman" w:cs="Times New Roman"/>
                <w:color w:val="000000"/>
              </w:rPr>
              <w:t>64%</w:t>
            </w:r>
          </w:p>
        </w:tc>
        <w:tc>
          <w:tcPr>
            <w:tcW w:w="831" w:type="dxa"/>
            <w:tcBorders>
              <w:top w:val="nil"/>
              <w:left w:val="nil"/>
              <w:bottom w:val="single" w:sz="4" w:space="0" w:color="auto"/>
              <w:right w:val="single" w:sz="4" w:space="0" w:color="auto"/>
            </w:tcBorders>
            <w:shd w:val="clear" w:color="auto" w:fill="D9D9D9" w:themeFill="background1" w:themeFillShade="D9"/>
            <w:noWrap/>
            <w:vAlign w:val="bottom"/>
            <w:hideMark/>
          </w:tcPr>
          <w:p w:rsidR="001D629C" w:rsidRPr="00BE3FE7" w:rsidRDefault="001D629C" w:rsidP="001D629C">
            <w:pPr>
              <w:spacing w:after="0" w:line="240" w:lineRule="auto"/>
              <w:jc w:val="right"/>
              <w:rPr>
                <w:rFonts w:eastAsia="Times New Roman" w:cs="Times New Roman"/>
                <w:color w:val="000000"/>
              </w:rPr>
            </w:pPr>
            <w:r w:rsidRPr="00BE3FE7">
              <w:rPr>
                <w:rFonts w:eastAsia="Times New Roman" w:cs="Times New Roman"/>
                <w:color w:val="000000"/>
              </w:rPr>
              <w:t>64%</w:t>
            </w:r>
          </w:p>
        </w:tc>
        <w:tc>
          <w:tcPr>
            <w:tcW w:w="831" w:type="dxa"/>
            <w:tcBorders>
              <w:top w:val="nil"/>
              <w:left w:val="nil"/>
              <w:bottom w:val="single" w:sz="4" w:space="0" w:color="auto"/>
              <w:right w:val="single" w:sz="4" w:space="0" w:color="auto"/>
            </w:tcBorders>
            <w:shd w:val="clear" w:color="auto" w:fill="D9D9D9" w:themeFill="background1" w:themeFillShade="D9"/>
            <w:noWrap/>
            <w:vAlign w:val="bottom"/>
            <w:hideMark/>
          </w:tcPr>
          <w:p w:rsidR="001D629C" w:rsidRPr="00BE3FE7" w:rsidRDefault="001D629C" w:rsidP="001D629C">
            <w:pPr>
              <w:spacing w:after="0" w:line="240" w:lineRule="auto"/>
              <w:jc w:val="right"/>
              <w:rPr>
                <w:rFonts w:eastAsia="Times New Roman" w:cs="Times New Roman"/>
                <w:color w:val="000000"/>
              </w:rPr>
            </w:pPr>
            <w:r w:rsidRPr="00BE3FE7">
              <w:rPr>
                <w:rFonts w:eastAsia="Times New Roman" w:cs="Times New Roman"/>
                <w:color w:val="000000"/>
              </w:rPr>
              <w:t>66%</w:t>
            </w:r>
          </w:p>
        </w:tc>
        <w:tc>
          <w:tcPr>
            <w:tcW w:w="831" w:type="dxa"/>
            <w:tcBorders>
              <w:top w:val="nil"/>
              <w:left w:val="nil"/>
              <w:bottom w:val="single" w:sz="4" w:space="0" w:color="auto"/>
              <w:right w:val="single" w:sz="4" w:space="0" w:color="auto"/>
            </w:tcBorders>
            <w:shd w:val="clear" w:color="auto" w:fill="D9D9D9" w:themeFill="background1" w:themeFillShade="D9"/>
            <w:noWrap/>
            <w:vAlign w:val="bottom"/>
            <w:hideMark/>
          </w:tcPr>
          <w:p w:rsidR="001D629C" w:rsidRPr="00BE3FE7" w:rsidRDefault="001D629C" w:rsidP="001D629C">
            <w:pPr>
              <w:spacing w:after="0" w:line="240" w:lineRule="auto"/>
              <w:jc w:val="right"/>
              <w:rPr>
                <w:rFonts w:eastAsia="Times New Roman" w:cs="Times New Roman"/>
                <w:color w:val="000000"/>
              </w:rPr>
            </w:pPr>
            <w:r w:rsidRPr="00BE3FE7">
              <w:rPr>
                <w:rFonts w:eastAsia="Times New Roman" w:cs="Times New Roman"/>
                <w:color w:val="000000"/>
              </w:rPr>
              <w:t>65%</w:t>
            </w:r>
          </w:p>
        </w:tc>
      </w:tr>
      <w:tr w:rsidR="001D629C" w:rsidRPr="00BE3FE7" w:rsidTr="001D629C">
        <w:trPr>
          <w:trHeight w:val="300"/>
          <w:jc w:val="center"/>
        </w:trPr>
        <w:tc>
          <w:tcPr>
            <w:tcW w:w="2327" w:type="dxa"/>
            <w:tcBorders>
              <w:top w:val="nil"/>
              <w:left w:val="single" w:sz="4" w:space="0" w:color="auto"/>
              <w:bottom w:val="single" w:sz="4" w:space="0" w:color="auto"/>
              <w:right w:val="single" w:sz="4" w:space="0" w:color="auto"/>
            </w:tcBorders>
            <w:shd w:val="clear" w:color="auto" w:fill="D9D9D9" w:themeFill="background1" w:themeFillShade="D9"/>
            <w:noWrap/>
            <w:vAlign w:val="bottom"/>
            <w:hideMark/>
          </w:tcPr>
          <w:p w:rsidR="001D629C" w:rsidRPr="00BE3FE7" w:rsidRDefault="001D629C" w:rsidP="001D629C">
            <w:pPr>
              <w:spacing w:after="0" w:line="240" w:lineRule="auto"/>
              <w:rPr>
                <w:rFonts w:eastAsia="Times New Roman" w:cs="Times New Roman"/>
                <w:color w:val="000000"/>
              </w:rPr>
            </w:pPr>
            <w:r w:rsidRPr="00BE3FE7">
              <w:rPr>
                <w:rFonts w:eastAsia="Times New Roman" w:cs="Times New Roman"/>
                <w:color w:val="000000"/>
              </w:rPr>
              <w:t>Vodafone</w:t>
            </w:r>
          </w:p>
        </w:tc>
        <w:tc>
          <w:tcPr>
            <w:tcW w:w="831" w:type="dxa"/>
            <w:tcBorders>
              <w:top w:val="nil"/>
              <w:left w:val="nil"/>
              <w:bottom w:val="single" w:sz="4" w:space="0" w:color="auto"/>
              <w:right w:val="single" w:sz="4" w:space="0" w:color="auto"/>
            </w:tcBorders>
            <w:shd w:val="clear" w:color="auto" w:fill="D9D9D9" w:themeFill="background1" w:themeFillShade="D9"/>
            <w:noWrap/>
            <w:vAlign w:val="bottom"/>
            <w:hideMark/>
          </w:tcPr>
          <w:p w:rsidR="001D629C" w:rsidRPr="00BE3FE7" w:rsidRDefault="001D629C" w:rsidP="001D629C">
            <w:pPr>
              <w:spacing w:after="0" w:line="240" w:lineRule="auto"/>
              <w:jc w:val="right"/>
              <w:rPr>
                <w:rFonts w:eastAsia="Times New Roman" w:cs="Times New Roman"/>
                <w:color w:val="000000"/>
              </w:rPr>
            </w:pPr>
            <w:r w:rsidRPr="00BE3FE7">
              <w:rPr>
                <w:rFonts w:eastAsia="Times New Roman" w:cs="Times New Roman"/>
                <w:color w:val="000000"/>
              </w:rPr>
              <w:t>18%</w:t>
            </w:r>
          </w:p>
        </w:tc>
        <w:tc>
          <w:tcPr>
            <w:tcW w:w="831" w:type="dxa"/>
            <w:tcBorders>
              <w:top w:val="nil"/>
              <w:left w:val="nil"/>
              <w:bottom w:val="single" w:sz="4" w:space="0" w:color="auto"/>
              <w:right w:val="single" w:sz="4" w:space="0" w:color="auto"/>
            </w:tcBorders>
            <w:shd w:val="clear" w:color="auto" w:fill="D9D9D9" w:themeFill="background1" w:themeFillShade="D9"/>
            <w:noWrap/>
            <w:vAlign w:val="bottom"/>
            <w:hideMark/>
          </w:tcPr>
          <w:p w:rsidR="001D629C" w:rsidRPr="00BE3FE7" w:rsidRDefault="001D629C" w:rsidP="001D629C">
            <w:pPr>
              <w:spacing w:after="0" w:line="240" w:lineRule="auto"/>
              <w:jc w:val="right"/>
              <w:rPr>
                <w:rFonts w:eastAsia="Times New Roman" w:cs="Times New Roman"/>
                <w:color w:val="000000"/>
              </w:rPr>
            </w:pPr>
            <w:r w:rsidRPr="00BE3FE7">
              <w:rPr>
                <w:rFonts w:eastAsia="Times New Roman" w:cs="Times New Roman"/>
                <w:color w:val="000000"/>
              </w:rPr>
              <w:t>19%</w:t>
            </w:r>
          </w:p>
        </w:tc>
        <w:tc>
          <w:tcPr>
            <w:tcW w:w="831" w:type="dxa"/>
            <w:tcBorders>
              <w:top w:val="nil"/>
              <w:left w:val="nil"/>
              <w:bottom w:val="single" w:sz="4" w:space="0" w:color="auto"/>
              <w:right w:val="single" w:sz="4" w:space="0" w:color="auto"/>
            </w:tcBorders>
            <w:shd w:val="clear" w:color="auto" w:fill="D9D9D9" w:themeFill="background1" w:themeFillShade="D9"/>
            <w:noWrap/>
            <w:vAlign w:val="bottom"/>
            <w:hideMark/>
          </w:tcPr>
          <w:p w:rsidR="001D629C" w:rsidRPr="00BE3FE7" w:rsidRDefault="001D629C" w:rsidP="001D629C">
            <w:pPr>
              <w:spacing w:after="0" w:line="240" w:lineRule="auto"/>
              <w:jc w:val="right"/>
              <w:rPr>
                <w:rFonts w:eastAsia="Times New Roman" w:cs="Times New Roman"/>
                <w:color w:val="000000"/>
              </w:rPr>
            </w:pPr>
            <w:r w:rsidRPr="00BE3FE7">
              <w:rPr>
                <w:rFonts w:eastAsia="Times New Roman" w:cs="Times New Roman"/>
                <w:color w:val="000000"/>
              </w:rPr>
              <w:t>12%</w:t>
            </w:r>
          </w:p>
        </w:tc>
        <w:tc>
          <w:tcPr>
            <w:tcW w:w="831" w:type="dxa"/>
            <w:tcBorders>
              <w:top w:val="nil"/>
              <w:left w:val="nil"/>
              <w:bottom w:val="single" w:sz="4" w:space="0" w:color="auto"/>
              <w:right w:val="single" w:sz="4" w:space="0" w:color="auto"/>
            </w:tcBorders>
            <w:shd w:val="clear" w:color="auto" w:fill="D9D9D9" w:themeFill="background1" w:themeFillShade="D9"/>
            <w:noWrap/>
            <w:vAlign w:val="bottom"/>
            <w:hideMark/>
          </w:tcPr>
          <w:p w:rsidR="001D629C" w:rsidRPr="00BE3FE7" w:rsidRDefault="001D629C" w:rsidP="001D629C">
            <w:pPr>
              <w:spacing w:after="0" w:line="240" w:lineRule="auto"/>
              <w:jc w:val="right"/>
              <w:rPr>
                <w:rFonts w:eastAsia="Times New Roman" w:cs="Times New Roman"/>
                <w:color w:val="000000"/>
              </w:rPr>
            </w:pPr>
            <w:r w:rsidRPr="00BE3FE7">
              <w:rPr>
                <w:rFonts w:eastAsia="Times New Roman" w:cs="Times New Roman"/>
                <w:color w:val="000000"/>
              </w:rPr>
              <w:t>51%</w:t>
            </w:r>
          </w:p>
        </w:tc>
        <w:tc>
          <w:tcPr>
            <w:tcW w:w="831" w:type="dxa"/>
            <w:tcBorders>
              <w:top w:val="nil"/>
              <w:left w:val="nil"/>
              <w:bottom w:val="single" w:sz="4" w:space="0" w:color="auto"/>
              <w:right w:val="single" w:sz="4" w:space="0" w:color="auto"/>
            </w:tcBorders>
            <w:shd w:val="clear" w:color="auto" w:fill="D9D9D9" w:themeFill="background1" w:themeFillShade="D9"/>
            <w:noWrap/>
            <w:vAlign w:val="bottom"/>
            <w:hideMark/>
          </w:tcPr>
          <w:p w:rsidR="001D629C" w:rsidRPr="00BE3FE7" w:rsidRDefault="001D629C" w:rsidP="001D629C">
            <w:pPr>
              <w:spacing w:after="0" w:line="240" w:lineRule="auto"/>
              <w:jc w:val="right"/>
              <w:rPr>
                <w:rFonts w:eastAsia="Times New Roman" w:cs="Times New Roman"/>
                <w:color w:val="000000"/>
              </w:rPr>
            </w:pPr>
            <w:r w:rsidRPr="00BE3FE7">
              <w:rPr>
                <w:rFonts w:eastAsia="Times New Roman" w:cs="Times New Roman"/>
                <w:color w:val="000000"/>
              </w:rPr>
              <w:t>52%</w:t>
            </w:r>
          </w:p>
        </w:tc>
      </w:tr>
    </w:tbl>
    <w:p w:rsidR="001D629C" w:rsidRDefault="001D629C" w:rsidP="001D629C">
      <w:pPr>
        <w:jc w:val="center"/>
      </w:pPr>
    </w:p>
    <w:p w:rsidR="001D629C" w:rsidRDefault="001D629C" w:rsidP="001D629C">
      <w:pPr>
        <w:jc w:val="center"/>
      </w:pPr>
      <w:r w:rsidRPr="00704425">
        <w:rPr>
          <w:noProof/>
          <w:lang w:val="en-IN" w:eastAsia="en-IN"/>
        </w:rPr>
        <w:drawing>
          <wp:inline distT="0" distB="0" distL="0" distR="0">
            <wp:extent cx="3095624" cy="1952625"/>
            <wp:effectExtent l="19050" t="0" r="9526" b="0"/>
            <wp:docPr id="1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1D629C" w:rsidRDefault="001D629C" w:rsidP="001D629C">
      <w:pPr>
        <w:jc w:val="center"/>
      </w:pPr>
    </w:p>
    <w:p w:rsidR="001D629C" w:rsidRDefault="001D629C" w:rsidP="001D629C">
      <w:r>
        <w:t>Looking at the gearing ratio it can be seen that on an average Vodafone is less geared than BT. But looking at the gearing pattern or the dependency of the organization over long term borrowings of Vodafone it can be seen that from 2015 onwards the organization has increased their dependency  over long term borrowing for financing the huge infrastructural investments that are required for enhancing the customer revenues who are using the 4G service in the different global market of the organization Vodafone</w:t>
      </w:r>
      <w:r w:rsidRPr="001036D4">
        <w:t xml:space="preserve"> (Vodafone.com, 2016)</w:t>
      </w:r>
      <w:r>
        <w:t>.</w:t>
      </w:r>
    </w:p>
    <w:p w:rsidR="001D629C" w:rsidRDefault="001D629C" w:rsidP="001D629C">
      <w:r>
        <w:t xml:space="preserve">So it can be seen that the burden of long term borrowing is low for Vodafone as it is comparatively less dependent over long term borrowing compared to BT but till during 2015, 2016 Vodafone can be identified as a highly geared company as its gearing ratio is more than 50%. But still Vodafone will be regarded as inefficient compared to BT due to the low profit </w:t>
      </w:r>
      <w:r>
        <w:lastRenderedPageBreak/>
        <w:t xml:space="preserve">generation capability, low return generation capacity over asset and inefficient allocation of the current asset as reflected by the low profit margin and high liquidity ratio </w:t>
      </w:r>
    </w:p>
    <w:p w:rsidR="001D629C" w:rsidRPr="00754CF2" w:rsidRDefault="001D629C" w:rsidP="001D629C">
      <w:pPr>
        <w:jc w:val="center"/>
      </w:pPr>
    </w:p>
    <w:p w:rsidR="001D629C" w:rsidRDefault="001D629C" w:rsidP="001D629C">
      <w:pPr>
        <w:pStyle w:val="Heading1"/>
      </w:pPr>
      <w:bookmarkStart w:id="14" w:name="_Toc502770448"/>
      <w:r>
        <w:t>6.0 Future Prospect OF BT:</w:t>
      </w:r>
      <w:bookmarkEnd w:id="14"/>
    </w:p>
    <w:p w:rsidR="001D629C" w:rsidRDefault="001D629C" w:rsidP="001D629C">
      <w:r>
        <w:t>The organization is efficient in controlling the operational cost but to protect the earnings of the organization it is needed to apply some financial engineering techniques so that the negative impact of exchange rate depreciation can be averted. Besides the organization has to reduce their dependency over long term borrowing for enhancing the return on capital employed and to enhance the return on asset the organization has to focus on efficient utilization of the asset employed. The long term borrowing has helped the organization to gather the required finale that is needed for the up gradation of service but in the long run a substantial portion of the earnings of the organization will be absorbed by the debt burdens of the organization which has to be paid by BT for over longer period. So the organization BT has to be very cautious and focused over generation of substantial revenue so that it can bring a good growth in the margin ratios &amp; the turnover ratios even after making the required payments for servicing the long term debts of the organization.</w:t>
      </w:r>
    </w:p>
    <w:p w:rsidR="001D629C" w:rsidRDefault="001D629C" w:rsidP="001D629C">
      <w:pPr>
        <w:rPr>
          <w:rFonts w:asciiTheme="majorHAnsi" w:eastAsiaTheme="majorEastAsia" w:hAnsiTheme="majorHAnsi" w:cstheme="majorBidi"/>
          <w:b/>
          <w:bCs/>
          <w:color w:val="365F91" w:themeColor="accent1" w:themeShade="BF"/>
          <w:sz w:val="28"/>
          <w:szCs w:val="28"/>
        </w:rPr>
      </w:pPr>
      <w:r>
        <w:br w:type="page"/>
      </w:r>
    </w:p>
    <w:p w:rsidR="001D629C" w:rsidRPr="00FD1071" w:rsidRDefault="001D629C" w:rsidP="001D629C"/>
    <w:p w:rsidR="00C2191C" w:rsidRDefault="00E75EF1" w:rsidP="00086570">
      <w:pPr>
        <w:rPr>
          <w:rFonts w:cs="Times New Roman"/>
          <w:szCs w:val="24"/>
        </w:rPr>
      </w:pPr>
      <w:r>
        <w:rPr>
          <w:rFonts w:cs="Times New Roman"/>
          <w:szCs w:val="24"/>
        </w:rPr>
        <w:t xml:space="preserve"> </w:t>
      </w:r>
      <w:r w:rsidR="006355A2">
        <w:rPr>
          <w:rFonts w:cs="Times New Roman"/>
          <w:szCs w:val="24"/>
        </w:rPr>
        <w:t xml:space="preserve">    </w:t>
      </w:r>
      <w:r w:rsidR="004647BF">
        <w:rPr>
          <w:rFonts w:cs="Times New Roman"/>
          <w:szCs w:val="24"/>
        </w:rPr>
        <w:t xml:space="preserve"> </w:t>
      </w:r>
    </w:p>
    <w:p w:rsidR="003F2D0C" w:rsidRDefault="00DD6F06" w:rsidP="00086570">
      <w:pPr>
        <w:rPr>
          <w:rFonts w:cs="Times New Roman"/>
          <w:szCs w:val="24"/>
        </w:rPr>
      </w:pPr>
      <w:r w:rsidRPr="00DD6F06">
        <w:rPr>
          <w:rFonts w:cs="Times New Roman"/>
          <w:noProof/>
          <w:szCs w:val="24"/>
          <w:lang w:val="en-IN" w:eastAsia="en-IN"/>
        </w:rPr>
        <w:drawing>
          <wp:inline distT="0" distB="0" distL="0" distR="0">
            <wp:extent cx="4572000" cy="2743200"/>
            <wp:effectExtent l="76200" t="19050" r="57150" b="19050"/>
            <wp:docPr id="11"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tbl>
      <w:tblPr>
        <w:tblW w:w="9473" w:type="dxa"/>
        <w:tblInd w:w="103" w:type="dxa"/>
        <w:tblLook w:val="04A0" w:firstRow="1" w:lastRow="0" w:firstColumn="1" w:lastColumn="0" w:noHBand="0" w:noVBand="1"/>
      </w:tblPr>
      <w:tblGrid>
        <w:gridCol w:w="4673"/>
        <w:gridCol w:w="960"/>
        <w:gridCol w:w="960"/>
        <w:gridCol w:w="960"/>
        <w:gridCol w:w="960"/>
        <w:gridCol w:w="960"/>
      </w:tblGrid>
      <w:tr w:rsidR="00DD6F06" w:rsidRPr="00DD6F06" w:rsidTr="003657EB">
        <w:trPr>
          <w:trHeight w:val="300"/>
        </w:trPr>
        <w:tc>
          <w:tcPr>
            <w:tcW w:w="5288" w:type="dxa"/>
            <w:tcBorders>
              <w:top w:val="single" w:sz="4" w:space="0" w:color="auto"/>
              <w:left w:val="single" w:sz="4" w:space="0" w:color="auto"/>
              <w:bottom w:val="single" w:sz="4" w:space="0" w:color="auto"/>
              <w:right w:val="single" w:sz="4" w:space="0" w:color="auto"/>
            </w:tcBorders>
            <w:shd w:val="clear" w:color="000000" w:fill="DBE5F1"/>
            <w:noWrap/>
            <w:vAlign w:val="bottom"/>
            <w:hideMark/>
          </w:tcPr>
          <w:p w:rsidR="00DD6F06" w:rsidRPr="00DD6F06" w:rsidRDefault="00DD6F06" w:rsidP="00DD6F06">
            <w:pPr>
              <w:spacing w:after="0" w:line="240" w:lineRule="auto"/>
              <w:rPr>
                <w:rFonts w:ascii="Calibri" w:eastAsia="Times New Roman" w:hAnsi="Calibri" w:cs="Times New Roman"/>
                <w:color w:val="000000" w:themeColor="text1"/>
              </w:rPr>
            </w:pPr>
            <w:r w:rsidRPr="00DD6F06">
              <w:rPr>
                <w:rFonts w:ascii="Calibri" w:eastAsia="Times New Roman" w:hAnsi="Calibri" w:cs="Times New Roman"/>
                <w:color w:val="000000" w:themeColor="text1"/>
              </w:rPr>
              <w:t>financial statement  items</w:t>
            </w:r>
          </w:p>
        </w:tc>
        <w:tc>
          <w:tcPr>
            <w:tcW w:w="837" w:type="dxa"/>
            <w:tcBorders>
              <w:top w:val="single" w:sz="4" w:space="0" w:color="auto"/>
              <w:left w:val="nil"/>
              <w:bottom w:val="single" w:sz="4" w:space="0" w:color="auto"/>
              <w:right w:val="single" w:sz="4" w:space="0" w:color="auto"/>
            </w:tcBorders>
            <w:shd w:val="clear" w:color="000000" w:fill="DBE5F1"/>
            <w:noWrap/>
            <w:vAlign w:val="bottom"/>
            <w:hideMark/>
          </w:tcPr>
          <w:p w:rsidR="00DD6F06" w:rsidRPr="00DD6F06" w:rsidRDefault="00DD6F06" w:rsidP="00DD6F06">
            <w:pPr>
              <w:spacing w:after="0" w:line="240" w:lineRule="auto"/>
              <w:rPr>
                <w:rFonts w:ascii="Calibri" w:eastAsia="Times New Roman" w:hAnsi="Calibri" w:cs="Times New Roman"/>
                <w:color w:val="000000" w:themeColor="text1"/>
              </w:rPr>
            </w:pPr>
            <w:r w:rsidRPr="00DD6F06">
              <w:rPr>
                <w:rFonts w:ascii="Calibri" w:eastAsia="Times New Roman" w:hAnsi="Calibri" w:cs="Times New Roman"/>
                <w:color w:val="000000" w:themeColor="text1"/>
              </w:rPr>
              <w:t>£,million</w:t>
            </w:r>
          </w:p>
        </w:tc>
        <w:tc>
          <w:tcPr>
            <w:tcW w:w="837" w:type="dxa"/>
            <w:tcBorders>
              <w:top w:val="single" w:sz="4" w:space="0" w:color="auto"/>
              <w:left w:val="nil"/>
              <w:bottom w:val="single" w:sz="4" w:space="0" w:color="auto"/>
              <w:right w:val="single" w:sz="4" w:space="0" w:color="auto"/>
            </w:tcBorders>
            <w:shd w:val="clear" w:color="000000" w:fill="DBE5F1"/>
            <w:noWrap/>
            <w:vAlign w:val="bottom"/>
            <w:hideMark/>
          </w:tcPr>
          <w:p w:rsidR="00DD6F06" w:rsidRPr="00DD6F06" w:rsidRDefault="00DD6F06" w:rsidP="00DD6F06">
            <w:pPr>
              <w:spacing w:after="0" w:line="240" w:lineRule="auto"/>
              <w:rPr>
                <w:rFonts w:ascii="Calibri" w:eastAsia="Times New Roman" w:hAnsi="Calibri" w:cs="Times New Roman"/>
                <w:color w:val="000000" w:themeColor="text1"/>
              </w:rPr>
            </w:pPr>
            <w:r w:rsidRPr="00DD6F06">
              <w:rPr>
                <w:rFonts w:ascii="Calibri" w:eastAsia="Times New Roman" w:hAnsi="Calibri" w:cs="Times New Roman"/>
                <w:color w:val="000000" w:themeColor="text1"/>
              </w:rPr>
              <w:t>£,million</w:t>
            </w:r>
          </w:p>
        </w:tc>
        <w:tc>
          <w:tcPr>
            <w:tcW w:w="837" w:type="dxa"/>
            <w:tcBorders>
              <w:top w:val="single" w:sz="4" w:space="0" w:color="auto"/>
              <w:left w:val="nil"/>
              <w:bottom w:val="single" w:sz="4" w:space="0" w:color="auto"/>
              <w:right w:val="single" w:sz="4" w:space="0" w:color="auto"/>
            </w:tcBorders>
            <w:shd w:val="clear" w:color="000000" w:fill="DBE5F1"/>
            <w:noWrap/>
            <w:vAlign w:val="bottom"/>
            <w:hideMark/>
          </w:tcPr>
          <w:p w:rsidR="00DD6F06" w:rsidRPr="00DD6F06" w:rsidRDefault="00DD6F06" w:rsidP="00DD6F06">
            <w:pPr>
              <w:spacing w:after="0" w:line="240" w:lineRule="auto"/>
              <w:rPr>
                <w:rFonts w:ascii="Calibri" w:eastAsia="Times New Roman" w:hAnsi="Calibri" w:cs="Times New Roman"/>
                <w:color w:val="000000" w:themeColor="text1"/>
              </w:rPr>
            </w:pPr>
            <w:r w:rsidRPr="00DD6F06">
              <w:rPr>
                <w:rFonts w:ascii="Calibri" w:eastAsia="Times New Roman" w:hAnsi="Calibri" w:cs="Times New Roman"/>
                <w:color w:val="000000" w:themeColor="text1"/>
              </w:rPr>
              <w:t>£,million</w:t>
            </w:r>
          </w:p>
        </w:tc>
        <w:tc>
          <w:tcPr>
            <w:tcW w:w="837" w:type="dxa"/>
            <w:tcBorders>
              <w:top w:val="single" w:sz="4" w:space="0" w:color="auto"/>
              <w:left w:val="nil"/>
              <w:bottom w:val="single" w:sz="4" w:space="0" w:color="auto"/>
              <w:right w:val="single" w:sz="4" w:space="0" w:color="auto"/>
            </w:tcBorders>
            <w:shd w:val="clear" w:color="000000" w:fill="DBE5F1"/>
            <w:noWrap/>
            <w:vAlign w:val="bottom"/>
            <w:hideMark/>
          </w:tcPr>
          <w:p w:rsidR="00DD6F06" w:rsidRPr="00DD6F06" w:rsidRDefault="00DD6F06" w:rsidP="00DD6F06">
            <w:pPr>
              <w:spacing w:after="0" w:line="240" w:lineRule="auto"/>
              <w:rPr>
                <w:rFonts w:ascii="Calibri" w:eastAsia="Times New Roman" w:hAnsi="Calibri" w:cs="Times New Roman"/>
                <w:color w:val="000000" w:themeColor="text1"/>
              </w:rPr>
            </w:pPr>
            <w:r w:rsidRPr="00DD6F06">
              <w:rPr>
                <w:rFonts w:ascii="Calibri" w:eastAsia="Times New Roman" w:hAnsi="Calibri" w:cs="Times New Roman"/>
                <w:color w:val="000000" w:themeColor="text1"/>
              </w:rPr>
              <w:t>£,million</w:t>
            </w:r>
          </w:p>
        </w:tc>
        <w:tc>
          <w:tcPr>
            <w:tcW w:w="837" w:type="dxa"/>
            <w:tcBorders>
              <w:top w:val="single" w:sz="4" w:space="0" w:color="auto"/>
              <w:left w:val="nil"/>
              <w:bottom w:val="single" w:sz="4" w:space="0" w:color="auto"/>
              <w:right w:val="single" w:sz="4" w:space="0" w:color="auto"/>
            </w:tcBorders>
            <w:shd w:val="clear" w:color="000000" w:fill="DBE5F1"/>
            <w:noWrap/>
            <w:vAlign w:val="bottom"/>
            <w:hideMark/>
          </w:tcPr>
          <w:p w:rsidR="00DD6F06" w:rsidRPr="00DD6F06" w:rsidRDefault="00DD6F06" w:rsidP="00DD6F06">
            <w:pPr>
              <w:spacing w:after="0" w:line="240" w:lineRule="auto"/>
              <w:rPr>
                <w:rFonts w:ascii="Calibri" w:eastAsia="Times New Roman" w:hAnsi="Calibri" w:cs="Times New Roman"/>
                <w:color w:val="000000" w:themeColor="text1"/>
              </w:rPr>
            </w:pPr>
            <w:r w:rsidRPr="00DD6F06">
              <w:rPr>
                <w:rFonts w:ascii="Calibri" w:eastAsia="Times New Roman" w:hAnsi="Calibri" w:cs="Times New Roman"/>
                <w:color w:val="000000" w:themeColor="text1"/>
              </w:rPr>
              <w:t>£,million</w:t>
            </w:r>
          </w:p>
        </w:tc>
      </w:tr>
      <w:tr w:rsidR="00DD6F06" w:rsidRPr="00DD6F06" w:rsidTr="003657EB">
        <w:trPr>
          <w:trHeight w:val="300"/>
        </w:trPr>
        <w:tc>
          <w:tcPr>
            <w:tcW w:w="5288" w:type="dxa"/>
            <w:tcBorders>
              <w:top w:val="nil"/>
              <w:left w:val="single" w:sz="4" w:space="0" w:color="auto"/>
              <w:bottom w:val="single" w:sz="4" w:space="0" w:color="auto"/>
              <w:right w:val="single" w:sz="4" w:space="0" w:color="auto"/>
            </w:tcBorders>
            <w:shd w:val="clear" w:color="000000" w:fill="CCC0DA"/>
            <w:noWrap/>
            <w:vAlign w:val="bottom"/>
            <w:hideMark/>
          </w:tcPr>
          <w:p w:rsidR="00DD6F06" w:rsidRPr="00DD6F06" w:rsidRDefault="00DD6F06" w:rsidP="00DD6F06">
            <w:pPr>
              <w:spacing w:after="0" w:line="240" w:lineRule="auto"/>
              <w:rPr>
                <w:rFonts w:ascii="Calibri" w:eastAsia="Times New Roman" w:hAnsi="Calibri" w:cs="Times New Roman"/>
                <w:color w:val="000000" w:themeColor="text1"/>
              </w:rPr>
            </w:pPr>
            <w:r w:rsidRPr="00DD6F06">
              <w:rPr>
                <w:rFonts w:ascii="Calibri" w:eastAsia="Times New Roman" w:hAnsi="Calibri" w:cs="Times New Roman"/>
                <w:color w:val="000000" w:themeColor="text1"/>
              </w:rPr>
              <w:t> </w:t>
            </w:r>
          </w:p>
        </w:tc>
        <w:tc>
          <w:tcPr>
            <w:tcW w:w="837" w:type="dxa"/>
            <w:tcBorders>
              <w:top w:val="nil"/>
              <w:left w:val="nil"/>
              <w:bottom w:val="single" w:sz="4" w:space="0" w:color="auto"/>
              <w:right w:val="single" w:sz="4" w:space="0" w:color="auto"/>
            </w:tcBorders>
            <w:shd w:val="clear" w:color="000000" w:fill="CCC0DA"/>
            <w:noWrap/>
            <w:vAlign w:val="bottom"/>
            <w:hideMark/>
          </w:tcPr>
          <w:p w:rsidR="00DD6F06" w:rsidRPr="00DD6F06" w:rsidRDefault="00DD6F06" w:rsidP="00DD6F06">
            <w:pPr>
              <w:spacing w:after="0" w:line="240" w:lineRule="auto"/>
              <w:jc w:val="right"/>
              <w:rPr>
                <w:rFonts w:ascii="Calibri" w:eastAsia="Times New Roman" w:hAnsi="Calibri" w:cs="Times New Roman"/>
                <w:color w:val="000000" w:themeColor="text1"/>
              </w:rPr>
            </w:pPr>
            <w:r w:rsidRPr="00DD6F06">
              <w:rPr>
                <w:rFonts w:ascii="Calibri" w:eastAsia="Times New Roman" w:hAnsi="Calibri" w:cs="Times New Roman"/>
                <w:color w:val="000000" w:themeColor="text1"/>
              </w:rPr>
              <w:t>2012</w:t>
            </w:r>
          </w:p>
        </w:tc>
        <w:tc>
          <w:tcPr>
            <w:tcW w:w="837" w:type="dxa"/>
            <w:tcBorders>
              <w:top w:val="nil"/>
              <w:left w:val="nil"/>
              <w:bottom w:val="single" w:sz="4" w:space="0" w:color="auto"/>
              <w:right w:val="single" w:sz="4" w:space="0" w:color="auto"/>
            </w:tcBorders>
            <w:shd w:val="clear" w:color="000000" w:fill="CCC0DA"/>
            <w:noWrap/>
            <w:vAlign w:val="bottom"/>
            <w:hideMark/>
          </w:tcPr>
          <w:p w:rsidR="00DD6F06" w:rsidRPr="00DD6F06" w:rsidRDefault="00DD6F06" w:rsidP="00DD6F06">
            <w:pPr>
              <w:spacing w:after="0" w:line="240" w:lineRule="auto"/>
              <w:jc w:val="right"/>
              <w:rPr>
                <w:rFonts w:ascii="Calibri" w:eastAsia="Times New Roman" w:hAnsi="Calibri" w:cs="Times New Roman"/>
                <w:color w:val="000000" w:themeColor="text1"/>
              </w:rPr>
            </w:pPr>
            <w:r w:rsidRPr="00DD6F06">
              <w:rPr>
                <w:rFonts w:ascii="Calibri" w:eastAsia="Times New Roman" w:hAnsi="Calibri" w:cs="Times New Roman"/>
                <w:color w:val="000000" w:themeColor="text1"/>
              </w:rPr>
              <w:t>2013</w:t>
            </w:r>
          </w:p>
        </w:tc>
        <w:tc>
          <w:tcPr>
            <w:tcW w:w="837" w:type="dxa"/>
            <w:tcBorders>
              <w:top w:val="nil"/>
              <w:left w:val="nil"/>
              <w:bottom w:val="single" w:sz="4" w:space="0" w:color="auto"/>
              <w:right w:val="single" w:sz="4" w:space="0" w:color="auto"/>
            </w:tcBorders>
            <w:shd w:val="clear" w:color="000000" w:fill="CCC0DA"/>
            <w:noWrap/>
            <w:vAlign w:val="bottom"/>
            <w:hideMark/>
          </w:tcPr>
          <w:p w:rsidR="00DD6F06" w:rsidRPr="00DD6F06" w:rsidRDefault="00DD6F06" w:rsidP="00DD6F06">
            <w:pPr>
              <w:spacing w:after="0" w:line="240" w:lineRule="auto"/>
              <w:jc w:val="right"/>
              <w:rPr>
                <w:rFonts w:ascii="Calibri" w:eastAsia="Times New Roman" w:hAnsi="Calibri" w:cs="Times New Roman"/>
                <w:color w:val="000000" w:themeColor="text1"/>
              </w:rPr>
            </w:pPr>
            <w:r w:rsidRPr="00DD6F06">
              <w:rPr>
                <w:rFonts w:ascii="Calibri" w:eastAsia="Times New Roman" w:hAnsi="Calibri" w:cs="Times New Roman"/>
                <w:color w:val="000000" w:themeColor="text1"/>
              </w:rPr>
              <w:t>2014</w:t>
            </w:r>
          </w:p>
        </w:tc>
        <w:tc>
          <w:tcPr>
            <w:tcW w:w="837" w:type="dxa"/>
            <w:tcBorders>
              <w:top w:val="nil"/>
              <w:left w:val="nil"/>
              <w:bottom w:val="single" w:sz="4" w:space="0" w:color="auto"/>
              <w:right w:val="single" w:sz="4" w:space="0" w:color="auto"/>
            </w:tcBorders>
            <w:shd w:val="clear" w:color="000000" w:fill="CCC0DA"/>
            <w:noWrap/>
            <w:vAlign w:val="bottom"/>
            <w:hideMark/>
          </w:tcPr>
          <w:p w:rsidR="00DD6F06" w:rsidRPr="00DD6F06" w:rsidRDefault="00DD6F06" w:rsidP="00DD6F06">
            <w:pPr>
              <w:spacing w:after="0" w:line="240" w:lineRule="auto"/>
              <w:jc w:val="right"/>
              <w:rPr>
                <w:rFonts w:ascii="Calibri" w:eastAsia="Times New Roman" w:hAnsi="Calibri" w:cs="Times New Roman"/>
                <w:color w:val="000000" w:themeColor="text1"/>
              </w:rPr>
            </w:pPr>
            <w:r w:rsidRPr="00DD6F06">
              <w:rPr>
                <w:rFonts w:ascii="Calibri" w:eastAsia="Times New Roman" w:hAnsi="Calibri" w:cs="Times New Roman"/>
                <w:color w:val="000000" w:themeColor="text1"/>
              </w:rPr>
              <w:t>2015</w:t>
            </w:r>
          </w:p>
        </w:tc>
        <w:tc>
          <w:tcPr>
            <w:tcW w:w="837" w:type="dxa"/>
            <w:tcBorders>
              <w:top w:val="nil"/>
              <w:left w:val="nil"/>
              <w:bottom w:val="single" w:sz="4" w:space="0" w:color="auto"/>
              <w:right w:val="single" w:sz="4" w:space="0" w:color="auto"/>
            </w:tcBorders>
            <w:shd w:val="clear" w:color="000000" w:fill="CCC0DA"/>
            <w:noWrap/>
            <w:vAlign w:val="bottom"/>
            <w:hideMark/>
          </w:tcPr>
          <w:p w:rsidR="00DD6F06" w:rsidRPr="00DD6F06" w:rsidRDefault="00DD6F06" w:rsidP="00DD6F06">
            <w:pPr>
              <w:spacing w:after="0" w:line="240" w:lineRule="auto"/>
              <w:jc w:val="right"/>
              <w:rPr>
                <w:rFonts w:ascii="Calibri" w:eastAsia="Times New Roman" w:hAnsi="Calibri" w:cs="Times New Roman"/>
                <w:color w:val="000000" w:themeColor="text1"/>
              </w:rPr>
            </w:pPr>
            <w:r w:rsidRPr="00DD6F06">
              <w:rPr>
                <w:rFonts w:ascii="Calibri" w:eastAsia="Times New Roman" w:hAnsi="Calibri" w:cs="Times New Roman"/>
                <w:color w:val="000000" w:themeColor="text1"/>
              </w:rPr>
              <w:t>2016</w:t>
            </w:r>
          </w:p>
        </w:tc>
      </w:tr>
      <w:tr w:rsidR="00DD6F06" w:rsidRPr="00DD6F06" w:rsidTr="003657EB">
        <w:trPr>
          <w:trHeight w:val="300"/>
        </w:trPr>
        <w:tc>
          <w:tcPr>
            <w:tcW w:w="5288" w:type="dxa"/>
            <w:tcBorders>
              <w:top w:val="nil"/>
              <w:left w:val="single" w:sz="4" w:space="0" w:color="auto"/>
              <w:bottom w:val="single" w:sz="4" w:space="0" w:color="auto"/>
              <w:right w:val="single" w:sz="4" w:space="0" w:color="auto"/>
            </w:tcBorders>
            <w:shd w:val="clear" w:color="auto" w:fill="auto"/>
            <w:noWrap/>
            <w:vAlign w:val="bottom"/>
            <w:hideMark/>
          </w:tcPr>
          <w:p w:rsidR="00DD6F06" w:rsidRPr="00DD6F06" w:rsidRDefault="00DD6F06" w:rsidP="00DD6F06">
            <w:pPr>
              <w:spacing w:after="0" w:line="240" w:lineRule="auto"/>
              <w:rPr>
                <w:rFonts w:ascii="Calibri" w:eastAsia="Times New Roman" w:hAnsi="Calibri" w:cs="Times New Roman"/>
                <w:color w:val="000000" w:themeColor="text1"/>
              </w:rPr>
            </w:pPr>
            <w:r w:rsidRPr="00DD6F06">
              <w:rPr>
                <w:rFonts w:ascii="Calibri" w:eastAsia="Times New Roman" w:hAnsi="Calibri" w:cs="Times New Roman"/>
                <w:color w:val="000000" w:themeColor="text1"/>
              </w:rPr>
              <w:t>long term liabilities</w:t>
            </w:r>
          </w:p>
        </w:tc>
        <w:tc>
          <w:tcPr>
            <w:tcW w:w="837" w:type="dxa"/>
            <w:tcBorders>
              <w:top w:val="nil"/>
              <w:left w:val="nil"/>
              <w:bottom w:val="single" w:sz="4" w:space="0" w:color="auto"/>
              <w:right w:val="single" w:sz="4" w:space="0" w:color="auto"/>
            </w:tcBorders>
            <w:shd w:val="clear" w:color="000000" w:fill="EEECE1"/>
            <w:noWrap/>
            <w:vAlign w:val="bottom"/>
            <w:hideMark/>
          </w:tcPr>
          <w:p w:rsidR="00DD6F06" w:rsidRPr="00DD6F06" w:rsidRDefault="00DD6F06" w:rsidP="00DD6F06">
            <w:pPr>
              <w:spacing w:after="0" w:line="240" w:lineRule="auto"/>
              <w:jc w:val="right"/>
              <w:rPr>
                <w:rFonts w:ascii="Calibri" w:eastAsia="Times New Roman" w:hAnsi="Calibri" w:cs="Times New Roman"/>
                <w:color w:val="000000" w:themeColor="text1"/>
              </w:rPr>
            </w:pPr>
            <w:r w:rsidRPr="00DD6F06">
              <w:rPr>
                <w:rFonts w:ascii="Calibri" w:eastAsia="Times New Roman" w:hAnsi="Calibri" w:cs="Times New Roman"/>
                <w:color w:val="000000" w:themeColor="text1"/>
              </w:rPr>
              <w:t>13,385</w:t>
            </w:r>
          </w:p>
        </w:tc>
        <w:tc>
          <w:tcPr>
            <w:tcW w:w="837" w:type="dxa"/>
            <w:tcBorders>
              <w:top w:val="nil"/>
              <w:left w:val="nil"/>
              <w:bottom w:val="single" w:sz="4" w:space="0" w:color="auto"/>
              <w:right w:val="single" w:sz="4" w:space="0" w:color="auto"/>
            </w:tcBorders>
            <w:shd w:val="clear" w:color="000000" w:fill="EEECE1"/>
            <w:noWrap/>
            <w:vAlign w:val="bottom"/>
            <w:hideMark/>
          </w:tcPr>
          <w:p w:rsidR="00DD6F06" w:rsidRPr="00DD6F06" w:rsidRDefault="00DD6F06" w:rsidP="00DD6F06">
            <w:pPr>
              <w:spacing w:after="0" w:line="240" w:lineRule="auto"/>
              <w:jc w:val="right"/>
              <w:rPr>
                <w:rFonts w:ascii="Calibri" w:eastAsia="Times New Roman" w:hAnsi="Calibri" w:cs="Times New Roman"/>
                <w:color w:val="000000" w:themeColor="text1"/>
              </w:rPr>
            </w:pPr>
            <w:r w:rsidRPr="00DD6F06">
              <w:rPr>
                <w:rFonts w:ascii="Calibri" w:eastAsia="Times New Roman" w:hAnsi="Calibri" w:cs="Times New Roman"/>
                <w:color w:val="000000" w:themeColor="text1"/>
              </w:rPr>
              <w:t>17,537</w:t>
            </w:r>
          </w:p>
        </w:tc>
        <w:tc>
          <w:tcPr>
            <w:tcW w:w="837" w:type="dxa"/>
            <w:tcBorders>
              <w:top w:val="nil"/>
              <w:left w:val="nil"/>
              <w:bottom w:val="single" w:sz="4" w:space="0" w:color="auto"/>
              <w:right w:val="single" w:sz="4" w:space="0" w:color="auto"/>
            </w:tcBorders>
            <w:shd w:val="clear" w:color="000000" w:fill="EEECE1"/>
            <w:noWrap/>
            <w:vAlign w:val="bottom"/>
            <w:hideMark/>
          </w:tcPr>
          <w:p w:rsidR="00DD6F06" w:rsidRPr="00DD6F06" w:rsidRDefault="00DD6F06" w:rsidP="00DD6F06">
            <w:pPr>
              <w:spacing w:after="0" w:line="240" w:lineRule="auto"/>
              <w:jc w:val="right"/>
              <w:rPr>
                <w:rFonts w:ascii="Calibri" w:eastAsia="Times New Roman" w:hAnsi="Calibri" w:cs="Times New Roman"/>
                <w:color w:val="000000" w:themeColor="text1"/>
              </w:rPr>
            </w:pPr>
            <w:r w:rsidRPr="00DD6F06">
              <w:rPr>
                <w:rFonts w:ascii="Calibri" w:eastAsia="Times New Roman" w:hAnsi="Calibri" w:cs="Times New Roman"/>
                <w:color w:val="000000" w:themeColor="text1"/>
              </w:rPr>
              <w:t>17,803</w:t>
            </w:r>
          </w:p>
        </w:tc>
        <w:tc>
          <w:tcPr>
            <w:tcW w:w="837" w:type="dxa"/>
            <w:tcBorders>
              <w:top w:val="nil"/>
              <w:left w:val="nil"/>
              <w:bottom w:val="single" w:sz="4" w:space="0" w:color="auto"/>
              <w:right w:val="single" w:sz="4" w:space="0" w:color="auto"/>
            </w:tcBorders>
            <w:shd w:val="clear" w:color="000000" w:fill="EEECE1"/>
            <w:noWrap/>
            <w:vAlign w:val="bottom"/>
            <w:hideMark/>
          </w:tcPr>
          <w:p w:rsidR="00DD6F06" w:rsidRPr="00DD6F06" w:rsidRDefault="00DD6F06" w:rsidP="00DD6F06">
            <w:pPr>
              <w:spacing w:after="0" w:line="240" w:lineRule="auto"/>
              <w:jc w:val="right"/>
              <w:rPr>
                <w:rFonts w:ascii="Calibri" w:eastAsia="Times New Roman" w:hAnsi="Calibri" w:cs="Times New Roman"/>
                <w:color w:val="000000" w:themeColor="text1"/>
              </w:rPr>
            </w:pPr>
            <w:r w:rsidRPr="00DD6F06">
              <w:rPr>
                <w:rFonts w:ascii="Calibri" w:eastAsia="Times New Roman" w:hAnsi="Calibri" w:cs="Times New Roman"/>
                <w:color w:val="000000" w:themeColor="text1"/>
              </w:rPr>
              <w:t>19,678</w:t>
            </w:r>
          </w:p>
        </w:tc>
        <w:tc>
          <w:tcPr>
            <w:tcW w:w="837" w:type="dxa"/>
            <w:tcBorders>
              <w:top w:val="nil"/>
              <w:left w:val="nil"/>
              <w:bottom w:val="single" w:sz="4" w:space="0" w:color="auto"/>
              <w:right w:val="single" w:sz="4" w:space="0" w:color="auto"/>
            </w:tcBorders>
            <w:shd w:val="clear" w:color="000000" w:fill="EEECE1"/>
            <w:noWrap/>
            <w:vAlign w:val="bottom"/>
            <w:hideMark/>
          </w:tcPr>
          <w:p w:rsidR="00DD6F06" w:rsidRPr="00DD6F06" w:rsidRDefault="00DD6F06" w:rsidP="00DD6F06">
            <w:pPr>
              <w:spacing w:after="0" w:line="240" w:lineRule="auto"/>
              <w:jc w:val="right"/>
              <w:rPr>
                <w:rFonts w:ascii="Calibri" w:eastAsia="Times New Roman" w:hAnsi="Calibri" w:cs="Times New Roman"/>
                <w:color w:val="000000" w:themeColor="text1"/>
              </w:rPr>
            </w:pPr>
            <w:r w:rsidRPr="00DD6F06">
              <w:rPr>
                <w:rFonts w:ascii="Calibri" w:eastAsia="Times New Roman" w:hAnsi="Calibri" w:cs="Times New Roman"/>
                <w:color w:val="000000" w:themeColor="text1"/>
              </w:rPr>
              <w:t>22,200</w:t>
            </w:r>
          </w:p>
        </w:tc>
      </w:tr>
      <w:tr w:rsidR="00DD6F06" w:rsidRPr="00DD6F06" w:rsidTr="003657EB">
        <w:trPr>
          <w:trHeight w:val="300"/>
        </w:trPr>
        <w:tc>
          <w:tcPr>
            <w:tcW w:w="5288" w:type="dxa"/>
            <w:tcBorders>
              <w:top w:val="nil"/>
              <w:left w:val="single" w:sz="4" w:space="0" w:color="auto"/>
              <w:bottom w:val="single" w:sz="4" w:space="0" w:color="auto"/>
              <w:right w:val="single" w:sz="4" w:space="0" w:color="auto"/>
            </w:tcBorders>
            <w:shd w:val="clear" w:color="auto" w:fill="auto"/>
            <w:noWrap/>
            <w:vAlign w:val="bottom"/>
            <w:hideMark/>
          </w:tcPr>
          <w:p w:rsidR="00DD6F06" w:rsidRPr="00DD6F06" w:rsidRDefault="00DD6F06" w:rsidP="00DD6F06">
            <w:pPr>
              <w:spacing w:after="0" w:line="240" w:lineRule="auto"/>
              <w:rPr>
                <w:rFonts w:ascii="Calibri" w:eastAsia="Times New Roman" w:hAnsi="Calibri" w:cs="Times New Roman"/>
                <w:color w:val="000000" w:themeColor="text1"/>
              </w:rPr>
            </w:pPr>
            <w:r w:rsidRPr="00DD6F06">
              <w:rPr>
                <w:rFonts w:ascii="Calibri" w:eastAsia="Times New Roman" w:hAnsi="Calibri" w:cs="Times New Roman"/>
                <w:color w:val="000000" w:themeColor="text1"/>
              </w:rPr>
              <w:t>capital employed</w:t>
            </w:r>
          </w:p>
        </w:tc>
        <w:tc>
          <w:tcPr>
            <w:tcW w:w="837" w:type="dxa"/>
            <w:tcBorders>
              <w:top w:val="nil"/>
              <w:left w:val="nil"/>
              <w:bottom w:val="single" w:sz="4" w:space="0" w:color="auto"/>
              <w:right w:val="single" w:sz="4" w:space="0" w:color="auto"/>
            </w:tcBorders>
            <w:shd w:val="clear" w:color="auto" w:fill="auto"/>
            <w:noWrap/>
            <w:vAlign w:val="bottom"/>
            <w:hideMark/>
          </w:tcPr>
          <w:p w:rsidR="00DD6F06" w:rsidRPr="00DD6F06" w:rsidRDefault="00DD6F06" w:rsidP="00DD6F06">
            <w:pPr>
              <w:spacing w:after="0" w:line="240" w:lineRule="auto"/>
              <w:jc w:val="right"/>
              <w:rPr>
                <w:rFonts w:ascii="Calibri" w:eastAsia="Times New Roman" w:hAnsi="Calibri" w:cs="Times New Roman"/>
                <w:color w:val="000000" w:themeColor="text1"/>
              </w:rPr>
            </w:pPr>
            <w:r w:rsidRPr="00DD6F06">
              <w:rPr>
                <w:rFonts w:ascii="Calibri" w:eastAsia="Times New Roman" w:hAnsi="Calibri" w:cs="Times New Roman"/>
                <w:color w:val="000000" w:themeColor="text1"/>
              </w:rPr>
              <w:t>13,882</w:t>
            </w:r>
          </w:p>
        </w:tc>
        <w:tc>
          <w:tcPr>
            <w:tcW w:w="837" w:type="dxa"/>
            <w:tcBorders>
              <w:top w:val="nil"/>
              <w:left w:val="nil"/>
              <w:bottom w:val="single" w:sz="4" w:space="0" w:color="auto"/>
              <w:right w:val="single" w:sz="4" w:space="0" w:color="auto"/>
            </w:tcBorders>
            <w:shd w:val="clear" w:color="auto" w:fill="auto"/>
            <w:noWrap/>
            <w:vAlign w:val="bottom"/>
            <w:hideMark/>
          </w:tcPr>
          <w:p w:rsidR="00DD6F06" w:rsidRPr="00DD6F06" w:rsidRDefault="00DD6F06" w:rsidP="00DD6F06">
            <w:pPr>
              <w:spacing w:after="0" w:line="240" w:lineRule="auto"/>
              <w:jc w:val="right"/>
              <w:rPr>
                <w:rFonts w:ascii="Calibri" w:eastAsia="Times New Roman" w:hAnsi="Calibri" w:cs="Times New Roman"/>
                <w:color w:val="000000" w:themeColor="text1"/>
              </w:rPr>
            </w:pPr>
            <w:r w:rsidRPr="00DD6F06">
              <w:rPr>
                <w:rFonts w:ascii="Calibri" w:eastAsia="Times New Roman" w:hAnsi="Calibri" w:cs="Times New Roman"/>
                <w:color w:val="000000" w:themeColor="text1"/>
              </w:rPr>
              <w:t>27,486</w:t>
            </w:r>
          </w:p>
        </w:tc>
        <w:tc>
          <w:tcPr>
            <w:tcW w:w="837" w:type="dxa"/>
            <w:tcBorders>
              <w:top w:val="nil"/>
              <w:left w:val="nil"/>
              <w:bottom w:val="single" w:sz="4" w:space="0" w:color="auto"/>
              <w:right w:val="single" w:sz="4" w:space="0" w:color="auto"/>
            </w:tcBorders>
            <w:shd w:val="clear" w:color="auto" w:fill="auto"/>
            <w:noWrap/>
            <w:vAlign w:val="bottom"/>
            <w:hideMark/>
          </w:tcPr>
          <w:p w:rsidR="00DD6F06" w:rsidRPr="00DD6F06" w:rsidRDefault="00DD6F06" w:rsidP="00DD6F06">
            <w:pPr>
              <w:spacing w:after="0" w:line="240" w:lineRule="auto"/>
              <w:jc w:val="right"/>
              <w:rPr>
                <w:rFonts w:ascii="Calibri" w:eastAsia="Times New Roman" w:hAnsi="Calibri" w:cs="Times New Roman"/>
                <w:color w:val="000000" w:themeColor="text1"/>
              </w:rPr>
            </w:pPr>
            <w:r w:rsidRPr="00DD6F06">
              <w:rPr>
                <w:rFonts w:ascii="Calibri" w:eastAsia="Times New Roman" w:hAnsi="Calibri" w:cs="Times New Roman"/>
                <w:color w:val="000000" w:themeColor="text1"/>
              </w:rPr>
              <w:t>27,630</w:t>
            </w:r>
          </w:p>
        </w:tc>
        <w:tc>
          <w:tcPr>
            <w:tcW w:w="837" w:type="dxa"/>
            <w:tcBorders>
              <w:top w:val="nil"/>
              <w:left w:val="nil"/>
              <w:bottom w:val="single" w:sz="4" w:space="0" w:color="auto"/>
              <w:right w:val="single" w:sz="4" w:space="0" w:color="auto"/>
            </w:tcBorders>
            <w:shd w:val="clear" w:color="auto" w:fill="auto"/>
            <w:noWrap/>
            <w:vAlign w:val="bottom"/>
            <w:hideMark/>
          </w:tcPr>
          <w:p w:rsidR="00DD6F06" w:rsidRPr="00DD6F06" w:rsidRDefault="00DD6F06" w:rsidP="00DD6F06">
            <w:pPr>
              <w:spacing w:after="0" w:line="240" w:lineRule="auto"/>
              <w:jc w:val="right"/>
              <w:rPr>
                <w:rFonts w:ascii="Calibri" w:eastAsia="Times New Roman" w:hAnsi="Calibri" w:cs="Times New Roman"/>
                <w:color w:val="000000" w:themeColor="text1"/>
              </w:rPr>
            </w:pPr>
            <w:r w:rsidRPr="00DD6F06">
              <w:rPr>
                <w:rFonts w:ascii="Calibri" w:eastAsia="Times New Roman" w:hAnsi="Calibri" w:cs="Times New Roman"/>
                <w:color w:val="000000" w:themeColor="text1"/>
              </w:rPr>
              <w:t>29,888</w:t>
            </w:r>
          </w:p>
        </w:tc>
        <w:tc>
          <w:tcPr>
            <w:tcW w:w="837" w:type="dxa"/>
            <w:tcBorders>
              <w:top w:val="nil"/>
              <w:left w:val="nil"/>
              <w:bottom w:val="single" w:sz="4" w:space="0" w:color="auto"/>
              <w:right w:val="single" w:sz="4" w:space="0" w:color="auto"/>
            </w:tcBorders>
            <w:shd w:val="clear" w:color="auto" w:fill="auto"/>
            <w:noWrap/>
            <w:vAlign w:val="bottom"/>
            <w:hideMark/>
          </w:tcPr>
          <w:p w:rsidR="00DD6F06" w:rsidRPr="00DD6F06" w:rsidRDefault="00DD6F06" w:rsidP="00DD6F06">
            <w:pPr>
              <w:spacing w:after="0" w:line="240" w:lineRule="auto"/>
              <w:jc w:val="right"/>
              <w:rPr>
                <w:rFonts w:ascii="Calibri" w:eastAsia="Times New Roman" w:hAnsi="Calibri" w:cs="Times New Roman"/>
                <w:color w:val="000000" w:themeColor="text1"/>
              </w:rPr>
            </w:pPr>
            <w:r w:rsidRPr="00DD6F06">
              <w:rPr>
                <w:rFonts w:ascii="Calibri" w:eastAsia="Times New Roman" w:hAnsi="Calibri" w:cs="Times New Roman"/>
                <w:color w:val="000000" w:themeColor="text1"/>
              </w:rPr>
              <w:t>34,396</w:t>
            </w:r>
          </w:p>
        </w:tc>
      </w:tr>
      <w:tr w:rsidR="00DD6F06" w:rsidRPr="00DD6F06" w:rsidTr="003657EB">
        <w:trPr>
          <w:trHeight w:val="300"/>
        </w:trPr>
        <w:tc>
          <w:tcPr>
            <w:tcW w:w="5288" w:type="dxa"/>
            <w:tcBorders>
              <w:top w:val="nil"/>
              <w:left w:val="single" w:sz="4" w:space="0" w:color="auto"/>
              <w:bottom w:val="single" w:sz="4" w:space="0" w:color="auto"/>
              <w:right w:val="single" w:sz="4" w:space="0" w:color="auto"/>
            </w:tcBorders>
            <w:shd w:val="clear" w:color="auto" w:fill="auto"/>
            <w:noWrap/>
            <w:vAlign w:val="bottom"/>
            <w:hideMark/>
          </w:tcPr>
          <w:p w:rsidR="00DD6F06" w:rsidRPr="00DD6F06" w:rsidRDefault="00DD6F06" w:rsidP="00DD6F06">
            <w:pPr>
              <w:spacing w:after="0" w:line="240" w:lineRule="auto"/>
              <w:rPr>
                <w:rFonts w:ascii="Calibri" w:eastAsia="Times New Roman" w:hAnsi="Calibri" w:cs="Times New Roman"/>
                <w:color w:val="000000" w:themeColor="text1"/>
              </w:rPr>
            </w:pPr>
            <w:r w:rsidRPr="00DD6F06">
              <w:rPr>
                <w:rFonts w:ascii="Calibri" w:eastAsia="Times New Roman" w:hAnsi="Calibri" w:cs="Times New Roman"/>
                <w:color w:val="000000" w:themeColor="text1"/>
              </w:rPr>
              <w:t>Gearing Ratio</w:t>
            </w:r>
          </w:p>
        </w:tc>
        <w:tc>
          <w:tcPr>
            <w:tcW w:w="837" w:type="dxa"/>
            <w:tcBorders>
              <w:top w:val="nil"/>
              <w:left w:val="nil"/>
              <w:bottom w:val="single" w:sz="4" w:space="0" w:color="auto"/>
              <w:right w:val="single" w:sz="4" w:space="0" w:color="auto"/>
            </w:tcBorders>
            <w:shd w:val="clear" w:color="auto" w:fill="auto"/>
            <w:noWrap/>
            <w:vAlign w:val="bottom"/>
            <w:hideMark/>
          </w:tcPr>
          <w:p w:rsidR="00DD6F06" w:rsidRPr="00DD6F06" w:rsidRDefault="00DD6F06" w:rsidP="00DD6F06">
            <w:pPr>
              <w:spacing w:after="0" w:line="240" w:lineRule="auto"/>
              <w:rPr>
                <w:rFonts w:ascii="Calibri" w:eastAsia="Times New Roman" w:hAnsi="Calibri" w:cs="Times New Roman"/>
                <w:color w:val="000000" w:themeColor="text1"/>
              </w:rPr>
            </w:pPr>
            <w:r w:rsidRPr="00DD6F06">
              <w:rPr>
                <w:rFonts w:ascii="Calibri" w:eastAsia="Times New Roman" w:hAnsi="Calibri" w:cs="Times New Roman"/>
                <w:color w:val="000000" w:themeColor="text1"/>
              </w:rPr>
              <w:t> </w:t>
            </w:r>
          </w:p>
        </w:tc>
        <w:tc>
          <w:tcPr>
            <w:tcW w:w="837" w:type="dxa"/>
            <w:tcBorders>
              <w:top w:val="nil"/>
              <w:left w:val="nil"/>
              <w:bottom w:val="single" w:sz="4" w:space="0" w:color="auto"/>
              <w:right w:val="single" w:sz="4" w:space="0" w:color="auto"/>
            </w:tcBorders>
            <w:shd w:val="clear" w:color="auto" w:fill="auto"/>
            <w:noWrap/>
            <w:vAlign w:val="bottom"/>
            <w:hideMark/>
          </w:tcPr>
          <w:p w:rsidR="00DD6F06" w:rsidRPr="00DD6F06" w:rsidRDefault="00DD6F06" w:rsidP="00DD6F06">
            <w:pPr>
              <w:spacing w:after="0" w:line="240" w:lineRule="auto"/>
              <w:rPr>
                <w:rFonts w:ascii="Calibri" w:eastAsia="Times New Roman" w:hAnsi="Calibri" w:cs="Times New Roman"/>
                <w:color w:val="000000" w:themeColor="text1"/>
              </w:rPr>
            </w:pPr>
            <w:r w:rsidRPr="00DD6F06">
              <w:rPr>
                <w:rFonts w:ascii="Calibri" w:eastAsia="Times New Roman" w:hAnsi="Calibri" w:cs="Times New Roman"/>
                <w:color w:val="000000" w:themeColor="text1"/>
              </w:rPr>
              <w:t> </w:t>
            </w:r>
          </w:p>
        </w:tc>
        <w:tc>
          <w:tcPr>
            <w:tcW w:w="837" w:type="dxa"/>
            <w:tcBorders>
              <w:top w:val="nil"/>
              <w:left w:val="nil"/>
              <w:bottom w:val="single" w:sz="4" w:space="0" w:color="auto"/>
              <w:right w:val="single" w:sz="4" w:space="0" w:color="auto"/>
            </w:tcBorders>
            <w:shd w:val="clear" w:color="auto" w:fill="auto"/>
            <w:noWrap/>
            <w:vAlign w:val="bottom"/>
            <w:hideMark/>
          </w:tcPr>
          <w:p w:rsidR="00DD6F06" w:rsidRPr="00DD6F06" w:rsidRDefault="00DD6F06" w:rsidP="00DD6F06">
            <w:pPr>
              <w:spacing w:after="0" w:line="240" w:lineRule="auto"/>
              <w:rPr>
                <w:rFonts w:ascii="Calibri" w:eastAsia="Times New Roman" w:hAnsi="Calibri" w:cs="Times New Roman"/>
                <w:color w:val="000000" w:themeColor="text1"/>
              </w:rPr>
            </w:pPr>
            <w:r w:rsidRPr="00DD6F06">
              <w:rPr>
                <w:rFonts w:ascii="Calibri" w:eastAsia="Times New Roman" w:hAnsi="Calibri" w:cs="Times New Roman"/>
                <w:color w:val="000000" w:themeColor="text1"/>
              </w:rPr>
              <w:t> </w:t>
            </w:r>
          </w:p>
        </w:tc>
        <w:tc>
          <w:tcPr>
            <w:tcW w:w="837" w:type="dxa"/>
            <w:tcBorders>
              <w:top w:val="nil"/>
              <w:left w:val="nil"/>
              <w:bottom w:val="single" w:sz="4" w:space="0" w:color="auto"/>
              <w:right w:val="single" w:sz="4" w:space="0" w:color="auto"/>
            </w:tcBorders>
            <w:shd w:val="clear" w:color="auto" w:fill="auto"/>
            <w:noWrap/>
            <w:vAlign w:val="bottom"/>
            <w:hideMark/>
          </w:tcPr>
          <w:p w:rsidR="00DD6F06" w:rsidRPr="00DD6F06" w:rsidRDefault="00DD6F06" w:rsidP="00DD6F06">
            <w:pPr>
              <w:spacing w:after="0" w:line="240" w:lineRule="auto"/>
              <w:rPr>
                <w:rFonts w:ascii="Calibri" w:eastAsia="Times New Roman" w:hAnsi="Calibri" w:cs="Times New Roman"/>
                <w:color w:val="000000" w:themeColor="text1"/>
              </w:rPr>
            </w:pPr>
            <w:r w:rsidRPr="00DD6F06">
              <w:rPr>
                <w:rFonts w:ascii="Calibri" w:eastAsia="Times New Roman" w:hAnsi="Calibri" w:cs="Times New Roman"/>
                <w:color w:val="000000" w:themeColor="text1"/>
              </w:rPr>
              <w:t> </w:t>
            </w:r>
          </w:p>
        </w:tc>
        <w:tc>
          <w:tcPr>
            <w:tcW w:w="837" w:type="dxa"/>
            <w:tcBorders>
              <w:top w:val="nil"/>
              <w:left w:val="nil"/>
              <w:bottom w:val="single" w:sz="4" w:space="0" w:color="auto"/>
              <w:right w:val="single" w:sz="4" w:space="0" w:color="auto"/>
            </w:tcBorders>
            <w:shd w:val="clear" w:color="auto" w:fill="auto"/>
            <w:noWrap/>
            <w:vAlign w:val="bottom"/>
            <w:hideMark/>
          </w:tcPr>
          <w:p w:rsidR="00DD6F06" w:rsidRPr="00DD6F06" w:rsidRDefault="00DD6F06" w:rsidP="00DD6F06">
            <w:pPr>
              <w:spacing w:after="0" w:line="240" w:lineRule="auto"/>
              <w:rPr>
                <w:rFonts w:ascii="Calibri" w:eastAsia="Times New Roman" w:hAnsi="Calibri" w:cs="Times New Roman"/>
                <w:color w:val="000000" w:themeColor="text1"/>
              </w:rPr>
            </w:pPr>
            <w:r w:rsidRPr="00DD6F06">
              <w:rPr>
                <w:rFonts w:ascii="Calibri" w:eastAsia="Times New Roman" w:hAnsi="Calibri" w:cs="Times New Roman"/>
                <w:color w:val="000000" w:themeColor="text1"/>
              </w:rPr>
              <w:t> </w:t>
            </w:r>
          </w:p>
        </w:tc>
      </w:tr>
      <w:tr w:rsidR="003657EB" w:rsidRPr="00DD6F06" w:rsidTr="003657EB">
        <w:trPr>
          <w:trHeight w:val="300"/>
        </w:trPr>
        <w:tc>
          <w:tcPr>
            <w:tcW w:w="5288" w:type="dxa"/>
            <w:tcBorders>
              <w:top w:val="nil"/>
              <w:left w:val="single" w:sz="4" w:space="0" w:color="auto"/>
              <w:bottom w:val="single" w:sz="4" w:space="0" w:color="auto"/>
              <w:right w:val="single" w:sz="4" w:space="0" w:color="auto"/>
            </w:tcBorders>
            <w:shd w:val="clear" w:color="auto" w:fill="auto"/>
            <w:noWrap/>
            <w:vAlign w:val="bottom"/>
            <w:hideMark/>
          </w:tcPr>
          <w:p w:rsidR="003657EB" w:rsidRPr="00DD6F06" w:rsidRDefault="003657EB" w:rsidP="00DD6F06">
            <w:pPr>
              <w:spacing w:after="0" w:line="240" w:lineRule="auto"/>
              <w:rPr>
                <w:rFonts w:ascii="Calibri" w:eastAsia="Times New Roman" w:hAnsi="Calibri" w:cs="Times New Roman"/>
                <w:color w:val="000000" w:themeColor="text1"/>
              </w:rPr>
            </w:pPr>
            <w:r w:rsidRPr="00DD6F06">
              <w:rPr>
                <w:rFonts w:ascii="Calibri" w:eastAsia="Times New Roman" w:hAnsi="Calibri" w:cs="Times New Roman"/>
                <w:color w:val="000000" w:themeColor="text1"/>
              </w:rPr>
              <w:t>Gearing Ratio(long term liabilities/capital employed),capital employed=Share capital + retained earnings + long-term liabilities</w:t>
            </w:r>
          </w:p>
        </w:tc>
        <w:tc>
          <w:tcPr>
            <w:tcW w:w="837" w:type="dxa"/>
            <w:tcBorders>
              <w:top w:val="nil"/>
              <w:left w:val="nil"/>
              <w:bottom w:val="single" w:sz="4" w:space="0" w:color="auto"/>
              <w:right w:val="single" w:sz="4" w:space="0" w:color="auto"/>
            </w:tcBorders>
            <w:shd w:val="clear" w:color="auto" w:fill="auto"/>
            <w:noWrap/>
            <w:vAlign w:val="bottom"/>
            <w:hideMark/>
          </w:tcPr>
          <w:p w:rsidR="003657EB" w:rsidRDefault="003657EB">
            <w:pPr>
              <w:jc w:val="right"/>
              <w:rPr>
                <w:rFonts w:ascii="Calibri" w:hAnsi="Calibri"/>
                <w:color w:val="000000"/>
              </w:rPr>
            </w:pPr>
            <w:r>
              <w:rPr>
                <w:rFonts w:ascii="Calibri" w:hAnsi="Calibri"/>
                <w:color w:val="000000"/>
              </w:rPr>
              <w:t>96%</w:t>
            </w:r>
          </w:p>
        </w:tc>
        <w:tc>
          <w:tcPr>
            <w:tcW w:w="837" w:type="dxa"/>
            <w:tcBorders>
              <w:top w:val="nil"/>
              <w:left w:val="nil"/>
              <w:bottom w:val="single" w:sz="4" w:space="0" w:color="auto"/>
              <w:right w:val="single" w:sz="4" w:space="0" w:color="auto"/>
            </w:tcBorders>
            <w:shd w:val="clear" w:color="auto" w:fill="auto"/>
            <w:noWrap/>
            <w:vAlign w:val="bottom"/>
            <w:hideMark/>
          </w:tcPr>
          <w:p w:rsidR="003657EB" w:rsidRDefault="003657EB">
            <w:pPr>
              <w:jc w:val="right"/>
              <w:rPr>
                <w:rFonts w:ascii="Calibri" w:hAnsi="Calibri"/>
                <w:color w:val="000000"/>
              </w:rPr>
            </w:pPr>
            <w:r>
              <w:rPr>
                <w:rFonts w:ascii="Calibri" w:hAnsi="Calibri"/>
                <w:color w:val="000000"/>
              </w:rPr>
              <w:t>64%</w:t>
            </w:r>
          </w:p>
        </w:tc>
        <w:tc>
          <w:tcPr>
            <w:tcW w:w="837" w:type="dxa"/>
            <w:tcBorders>
              <w:top w:val="nil"/>
              <w:left w:val="nil"/>
              <w:bottom w:val="single" w:sz="4" w:space="0" w:color="auto"/>
              <w:right w:val="single" w:sz="4" w:space="0" w:color="auto"/>
            </w:tcBorders>
            <w:shd w:val="clear" w:color="auto" w:fill="auto"/>
            <w:noWrap/>
            <w:vAlign w:val="bottom"/>
            <w:hideMark/>
          </w:tcPr>
          <w:p w:rsidR="003657EB" w:rsidRDefault="003657EB">
            <w:pPr>
              <w:jc w:val="right"/>
              <w:rPr>
                <w:rFonts w:ascii="Calibri" w:hAnsi="Calibri"/>
                <w:color w:val="000000"/>
              </w:rPr>
            </w:pPr>
            <w:r>
              <w:rPr>
                <w:rFonts w:ascii="Calibri" w:hAnsi="Calibri"/>
                <w:color w:val="000000"/>
              </w:rPr>
              <w:t>64%</w:t>
            </w:r>
          </w:p>
        </w:tc>
        <w:tc>
          <w:tcPr>
            <w:tcW w:w="837" w:type="dxa"/>
            <w:tcBorders>
              <w:top w:val="nil"/>
              <w:left w:val="nil"/>
              <w:bottom w:val="single" w:sz="4" w:space="0" w:color="auto"/>
              <w:right w:val="single" w:sz="4" w:space="0" w:color="auto"/>
            </w:tcBorders>
            <w:shd w:val="clear" w:color="auto" w:fill="auto"/>
            <w:noWrap/>
            <w:vAlign w:val="bottom"/>
            <w:hideMark/>
          </w:tcPr>
          <w:p w:rsidR="003657EB" w:rsidRDefault="003657EB">
            <w:pPr>
              <w:jc w:val="right"/>
              <w:rPr>
                <w:rFonts w:ascii="Calibri" w:hAnsi="Calibri"/>
                <w:color w:val="000000"/>
              </w:rPr>
            </w:pPr>
            <w:r>
              <w:rPr>
                <w:rFonts w:ascii="Calibri" w:hAnsi="Calibri"/>
                <w:color w:val="000000"/>
              </w:rPr>
              <w:t>66%</w:t>
            </w:r>
          </w:p>
        </w:tc>
        <w:tc>
          <w:tcPr>
            <w:tcW w:w="837" w:type="dxa"/>
            <w:tcBorders>
              <w:top w:val="nil"/>
              <w:left w:val="nil"/>
              <w:bottom w:val="single" w:sz="4" w:space="0" w:color="auto"/>
              <w:right w:val="single" w:sz="4" w:space="0" w:color="auto"/>
            </w:tcBorders>
            <w:shd w:val="clear" w:color="auto" w:fill="auto"/>
            <w:noWrap/>
            <w:vAlign w:val="bottom"/>
            <w:hideMark/>
          </w:tcPr>
          <w:p w:rsidR="003657EB" w:rsidRDefault="003657EB">
            <w:pPr>
              <w:jc w:val="right"/>
              <w:rPr>
                <w:rFonts w:ascii="Calibri" w:hAnsi="Calibri"/>
                <w:color w:val="000000"/>
              </w:rPr>
            </w:pPr>
            <w:r>
              <w:rPr>
                <w:rFonts w:ascii="Calibri" w:hAnsi="Calibri"/>
                <w:color w:val="000000"/>
              </w:rPr>
              <w:t>65%</w:t>
            </w:r>
          </w:p>
        </w:tc>
      </w:tr>
    </w:tbl>
    <w:p w:rsidR="00DD6F06" w:rsidRDefault="00DD6F06" w:rsidP="00086570">
      <w:pPr>
        <w:rPr>
          <w:rFonts w:cs="Times New Roman"/>
          <w:szCs w:val="24"/>
        </w:rPr>
      </w:pPr>
    </w:p>
    <w:p w:rsidR="00DD6F06" w:rsidRPr="00086570" w:rsidRDefault="00D349DA" w:rsidP="00086570">
      <w:pPr>
        <w:rPr>
          <w:rFonts w:cs="Times New Roman"/>
          <w:szCs w:val="24"/>
        </w:rPr>
      </w:pPr>
      <w:r>
        <w:rPr>
          <w:rFonts w:cs="Times New Roman"/>
          <w:szCs w:val="24"/>
        </w:rPr>
        <w:t>From the above table it has been observed that the values of the gearing ratios of the company BT is about 64% to 96% during the financial year 2012 to Financial year 2016</w:t>
      </w:r>
      <w:r w:rsidR="0095091E">
        <w:rPr>
          <w:rFonts w:cs="Times New Roman"/>
          <w:szCs w:val="24"/>
        </w:rPr>
        <w:t xml:space="preserve"> and has registered a slow increased from FY2014 to FY2015(64% to 65%) respectively. </w:t>
      </w:r>
      <w:r w:rsidR="00B232D9">
        <w:rPr>
          <w:rFonts w:cs="Times New Roman"/>
          <w:szCs w:val="24"/>
        </w:rPr>
        <w:t xml:space="preserve">The main reason behind the increment of the gearing ratios of BT in year 2014 to 2015 is that company is performing in terms of capable employed in well. </w:t>
      </w:r>
      <w:r w:rsidR="00791964">
        <w:rPr>
          <w:rFonts w:cs="Times New Roman"/>
          <w:szCs w:val="24"/>
        </w:rPr>
        <w:t>Moreover the observation also indicates that the organization BT has increased its dependency high over borrowing for financial the expenses of several segmentation. Moreover in year of 20</w:t>
      </w:r>
      <w:r w:rsidR="00864449">
        <w:rPr>
          <w:rFonts w:cs="Times New Roman"/>
          <w:szCs w:val="24"/>
        </w:rPr>
        <w:t>16 performance of the company has</w:t>
      </w:r>
      <w:r w:rsidR="00791964">
        <w:rPr>
          <w:rFonts w:cs="Times New Roman"/>
          <w:szCs w:val="24"/>
        </w:rPr>
        <w:t xml:space="preserve"> declined which indicates that company in terms of gearing in not performing well.         </w:t>
      </w:r>
      <w:r w:rsidR="00B232D9">
        <w:rPr>
          <w:rFonts w:cs="Times New Roman"/>
          <w:szCs w:val="24"/>
        </w:rPr>
        <w:t xml:space="preserve">   </w:t>
      </w:r>
      <w:r w:rsidR="0095091E">
        <w:rPr>
          <w:rFonts w:cs="Times New Roman"/>
          <w:szCs w:val="24"/>
        </w:rPr>
        <w:t xml:space="preserve">   </w:t>
      </w:r>
      <w:r>
        <w:rPr>
          <w:rFonts w:cs="Times New Roman"/>
          <w:szCs w:val="24"/>
        </w:rPr>
        <w:t xml:space="preserve"> </w:t>
      </w:r>
    </w:p>
    <w:p w:rsidR="005D564E" w:rsidRDefault="005D564E" w:rsidP="005D564E">
      <w:pPr>
        <w:pStyle w:val="Heading1"/>
      </w:pPr>
      <w:bookmarkStart w:id="15" w:name="_Toc502770449"/>
      <w:r>
        <w:lastRenderedPageBreak/>
        <w:t>4.0 Identification of the underlying reasons for which the ratios are changing over years For British Telecommunication:</w:t>
      </w:r>
      <w:bookmarkEnd w:id="15"/>
    </w:p>
    <w:p w:rsidR="005D564E" w:rsidRDefault="005D564E" w:rsidP="005D564E"/>
    <w:p w:rsidR="005D564E" w:rsidRPr="00C73C63" w:rsidRDefault="005D564E" w:rsidP="005D564E">
      <w:pPr>
        <w:rPr>
          <w:b/>
        </w:rPr>
      </w:pPr>
      <w:r w:rsidRPr="00C73C63">
        <w:rPr>
          <w:b/>
        </w:rPr>
        <w:t>Operating Profit Margin:</w:t>
      </w:r>
    </w:p>
    <w:tbl>
      <w:tblPr>
        <w:tblStyle w:val="TableGrid"/>
        <w:tblW w:w="8940" w:type="dxa"/>
        <w:tblLook w:val="04A0" w:firstRow="1" w:lastRow="0" w:firstColumn="1" w:lastColumn="0" w:noHBand="0" w:noVBand="1"/>
      </w:tblPr>
      <w:tblGrid>
        <w:gridCol w:w="3320"/>
        <w:gridCol w:w="1124"/>
        <w:gridCol w:w="1124"/>
        <w:gridCol w:w="1124"/>
        <w:gridCol w:w="1124"/>
        <w:gridCol w:w="1124"/>
      </w:tblGrid>
      <w:tr w:rsidR="005D564E" w:rsidRPr="003C6205" w:rsidTr="001D7BD6">
        <w:trPr>
          <w:trHeight w:val="330"/>
        </w:trPr>
        <w:tc>
          <w:tcPr>
            <w:tcW w:w="8940" w:type="dxa"/>
            <w:gridSpan w:val="6"/>
            <w:shd w:val="clear" w:color="auto" w:fill="948A54" w:themeFill="background2" w:themeFillShade="80"/>
            <w:noWrap/>
            <w:hideMark/>
          </w:tcPr>
          <w:p w:rsidR="005D564E" w:rsidRPr="003C6205" w:rsidRDefault="005D564E" w:rsidP="001D7BD6">
            <w:pPr>
              <w:spacing w:line="240" w:lineRule="auto"/>
              <w:jc w:val="center"/>
              <w:rPr>
                <w:rFonts w:eastAsia="Times New Roman" w:cs="Times New Roman"/>
                <w:b/>
                <w:bCs/>
                <w:color w:val="000000"/>
                <w:szCs w:val="24"/>
              </w:rPr>
            </w:pPr>
            <w:r w:rsidRPr="003C6205">
              <w:rPr>
                <w:rFonts w:eastAsia="Times New Roman" w:cs="Times New Roman"/>
                <w:b/>
                <w:bCs/>
                <w:color w:val="000000"/>
                <w:szCs w:val="24"/>
              </w:rPr>
              <w:t>British telecom(BT) Ratio Analysis</w:t>
            </w:r>
          </w:p>
        </w:tc>
      </w:tr>
      <w:tr w:rsidR="005D564E" w:rsidRPr="003C6205" w:rsidTr="001D7BD6">
        <w:trPr>
          <w:trHeight w:val="315"/>
        </w:trPr>
        <w:tc>
          <w:tcPr>
            <w:tcW w:w="3320" w:type="dxa"/>
            <w:shd w:val="clear" w:color="auto" w:fill="948A54" w:themeFill="background2" w:themeFillShade="80"/>
            <w:noWrap/>
            <w:hideMark/>
          </w:tcPr>
          <w:p w:rsidR="005D564E" w:rsidRPr="003C6205" w:rsidRDefault="005D564E" w:rsidP="001D7BD6">
            <w:pPr>
              <w:spacing w:line="240" w:lineRule="auto"/>
              <w:rPr>
                <w:rFonts w:eastAsia="Times New Roman" w:cs="Times New Roman"/>
                <w:b/>
                <w:color w:val="000000"/>
                <w:szCs w:val="24"/>
              </w:rPr>
            </w:pPr>
            <w:r w:rsidRPr="00AB2079">
              <w:rPr>
                <w:rFonts w:eastAsia="Times New Roman" w:cs="Times New Roman"/>
                <w:b/>
                <w:color w:val="000000"/>
                <w:szCs w:val="24"/>
              </w:rPr>
              <w:t xml:space="preserve">Items of </w:t>
            </w:r>
            <w:r w:rsidRPr="003C6205">
              <w:rPr>
                <w:rFonts w:eastAsia="Times New Roman" w:cs="Times New Roman"/>
                <w:b/>
                <w:color w:val="000000"/>
                <w:szCs w:val="24"/>
              </w:rPr>
              <w:t xml:space="preserve">financial statement  </w:t>
            </w:r>
          </w:p>
        </w:tc>
        <w:tc>
          <w:tcPr>
            <w:tcW w:w="1124" w:type="dxa"/>
            <w:shd w:val="clear" w:color="auto" w:fill="948A54" w:themeFill="background2" w:themeFillShade="80"/>
            <w:noWrap/>
            <w:hideMark/>
          </w:tcPr>
          <w:p w:rsidR="005D564E" w:rsidRPr="003C6205" w:rsidRDefault="005D564E" w:rsidP="001D7BD6">
            <w:pPr>
              <w:spacing w:line="240" w:lineRule="auto"/>
              <w:rPr>
                <w:rFonts w:eastAsia="Times New Roman" w:cs="Times New Roman"/>
                <w:color w:val="000000"/>
                <w:szCs w:val="24"/>
              </w:rPr>
            </w:pPr>
            <w:r w:rsidRPr="003C6205">
              <w:rPr>
                <w:rFonts w:eastAsia="Times New Roman" w:cs="Times New Roman"/>
                <w:color w:val="000000"/>
                <w:szCs w:val="24"/>
              </w:rPr>
              <w:t>£,million</w:t>
            </w:r>
          </w:p>
        </w:tc>
        <w:tc>
          <w:tcPr>
            <w:tcW w:w="1124" w:type="dxa"/>
            <w:shd w:val="clear" w:color="auto" w:fill="948A54" w:themeFill="background2" w:themeFillShade="80"/>
            <w:noWrap/>
            <w:hideMark/>
          </w:tcPr>
          <w:p w:rsidR="005D564E" w:rsidRPr="003C6205" w:rsidRDefault="005D564E" w:rsidP="001D7BD6">
            <w:pPr>
              <w:spacing w:line="240" w:lineRule="auto"/>
              <w:rPr>
                <w:rFonts w:eastAsia="Times New Roman" w:cs="Times New Roman"/>
                <w:color w:val="000000"/>
                <w:szCs w:val="24"/>
              </w:rPr>
            </w:pPr>
            <w:r w:rsidRPr="003C6205">
              <w:rPr>
                <w:rFonts w:eastAsia="Times New Roman" w:cs="Times New Roman"/>
                <w:color w:val="000000"/>
                <w:szCs w:val="24"/>
              </w:rPr>
              <w:t>£,million</w:t>
            </w:r>
          </w:p>
        </w:tc>
        <w:tc>
          <w:tcPr>
            <w:tcW w:w="1124" w:type="dxa"/>
            <w:shd w:val="clear" w:color="auto" w:fill="948A54" w:themeFill="background2" w:themeFillShade="80"/>
            <w:noWrap/>
            <w:hideMark/>
          </w:tcPr>
          <w:p w:rsidR="005D564E" w:rsidRPr="003C6205" w:rsidRDefault="005D564E" w:rsidP="001D7BD6">
            <w:pPr>
              <w:spacing w:line="240" w:lineRule="auto"/>
              <w:rPr>
                <w:rFonts w:eastAsia="Times New Roman" w:cs="Times New Roman"/>
                <w:color w:val="000000"/>
                <w:szCs w:val="24"/>
              </w:rPr>
            </w:pPr>
            <w:r w:rsidRPr="003C6205">
              <w:rPr>
                <w:rFonts w:eastAsia="Times New Roman" w:cs="Times New Roman"/>
                <w:color w:val="000000"/>
                <w:szCs w:val="24"/>
              </w:rPr>
              <w:t>£,million</w:t>
            </w:r>
          </w:p>
        </w:tc>
        <w:tc>
          <w:tcPr>
            <w:tcW w:w="1124" w:type="dxa"/>
            <w:shd w:val="clear" w:color="auto" w:fill="948A54" w:themeFill="background2" w:themeFillShade="80"/>
            <w:noWrap/>
            <w:hideMark/>
          </w:tcPr>
          <w:p w:rsidR="005D564E" w:rsidRPr="003C6205" w:rsidRDefault="005D564E" w:rsidP="001D7BD6">
            <w:pPr>
              <w:spacing w:line="240" w:lineRule="auto"/>
              <w:rPr>
                <w:rFonts w:eastAsia="Times New Roman" w:cs="Times New Roman"/>
                <w:color w:val="000000"/>
                <w:szCs w:val="24"/>
              </w:rPr>
            </w:pPr>
            <w:r w:rsidRPr="003C6205">
              <w:rPr>
                <w:rFonts w:eastAsia="Times New Roman" w:cs="Times New Roman"/>
                <w:color w:val="000000"/>
                <w:szCs w:val="24"/>
              </w:rPr>
              <w:t>£,million</w:t>
            </w:r>
          </w:p>
        </w:tc>
        <w:tc>
          <w:tcPr>
            <w:tcW w:w="1124" w:type="dxa"/>
            <w:shd w:val="clear" w:color="auto" w:fill="948A54" w:themeFill="background2" w:themeFillShade="80"/>
            <w:noWrap/>
            <w:hideMark/>
          </w:tcPr>
          <w:p w:rsidR="005D564E" w:rsidRPr="003C6205" w:rsidRDefault="005D564E" w:rsidP="001D7BD6">
            <w:pPr>
              <w:spacing w:line="240" w:lineRule="auto"/>
              <w:rPr>
                <w:rFonts w:eastAsia="Times New Roman" w:cs="Times New Roman"/>
                <w:color w:val="000000"/>
                <w:szCs w:val="24"/>
              </w:rPr>
            </w:pPr>
            <w:r w:rsidRPr="003C6205">
              <w:rPr>
                <w:rFonts w:eastAsia="Times New Roman" w:cs="Times New Roman"/>
                <w:color w:val="000000"/>
                <w:szCs w:val="24"/>
              </w:rPr>
              <w:t>£,million</w:t>
            </w:r>
          </w:p>
        </w:tc>
      </w:tr>
      <w:tr w:rsidR="005D564E" w:rsidRPr="003C6205" w:rsidTr="001D7BD6">
        <w:trPr>
          <w:trHeight w:val="315"/>
        </w:trPr>
        <w:tc>
          <w:tcPr>
            <w:tcW w:w="3320" w:type="dxa"/>
            <w:shd w:val="clear" w:color="auto" w:fill="948A54" w:themeFill="background2" w:themeFillShade="80"/>
            <w:noWrap/>
            <w:hideMark/>
          </w:tcPr>
          <w:p w:rsidR="005D564E" w:rsidRPr="003C6205" w:rsidRDefault="005D564E" w:rsidP="001D7BD6">
            <w:pPr>
              <w:spacing w:line="240" w:lineRule="auto"/>
              <w:rPr>
                <w:rFonts w:eastAsia="Times New Roman" w:cs="Times New Roman"/>
                <w:b/>
                <w:bCs/>
                <w:color w:val="000000"/>
                <w:szCs w:val="24"/>
              </w:rPr>
            </w:pPr>
            <w:r w:rsidRPr="003C6205">
              <w:rPr>
                <w:rFonts w:eastAsia="Times New Roman" w:cs="Times New Roman"/>
                <w:b/>
                <w:bCs/>
                <w:color w:val="000000"/>
                <w:szCs w:val="24"/>
              </w:rPr>
              <w:t>Years</w:t>
            </w:r>
          </w:p>
        </w:tc>
        <w:tc>
          <w:tcPr>
            <w:tcW w:w="1124" w:type="dxa"/>
            <w:shd w:val="clear" w:color="auto" w:fill="948A54" w:themeFill="background2" w:themeFillShade="80"/>
            <w:noWrap/>
            <w:hideMark/>
          </w:tcPr>
          <w:p w:rsidR="005D564E" w:rsidRPr="003C6205" w:rsidRDefault="005D564E" w:rsidP="001D7BD6">
            <w:pPr>
              <w:spacing w:line="240" w:lineRule="auto"/>
              <w:jc w:val="right"/>
              <w:rPr>
                <w:rFonts w:eastAsia="Times New Roman" w:cs="Times New Roman"/>
                <w:b/>
                <w:bCs/>
                <w:color w:val="000000"/>
                <w:szCs w:val="24"/>
              </w:rPr>
            </w:pPr>
            <w:r w:rsidRPr="003C6205">
              <w:rPr>
                <w:rFonts w:eastAsia="Times New Roman" w:cs="Times New Roman"/>
                <w:b/>
                <w:bCs/>
                <w:color w:val="000000"/>
                <w:szCs w:val="24"/>
              </w:rPr>
              <w:t>2012</w:t>
            </w:r>
          </w:p>
        </w:tc>
        <w:tc>
          <w:tcPr>
            <w:tcW w:w="1124" w:type="dxa"/>
            <w:shd w:val="clear" w:color="auto" w:fill="948A54" w:themeFill="background2" w:themeFillShade="80"/>
            <w:noWrap/>
            <w:hideMark/>
          </w:tcPr>
          <w:p w:rsidR="005D564E" w:rsidRPr="003C6205" w:rsidRDefault="005D564E" w:rsidP="001D7BD6">
            <w:pPr>
              <w:spacing w:line="240" w:lineRule="auto"/>
              <w:jc w:val="right"/>
              <w:rPr>
                <w:rFonts w:eastAsia="Times New Roman" w:cs="Times New Roman"/>
                <w:b/>
                <w:bCs/>
                <w:color w:val="000000"/>
                <w:szCs w:val="24"/>
              </w:rPr>
            </w:pPr>
            <w:r w:rsidRPr="003C6205">
              <w:rPr>
                <w:rFonts w:eastAsia="Times New Roman" w:cs="Times New Roman"/>
                <w:b/>
                <w:bCs/>
                <w:color w:val="000000"/>
                <w:szCs w:val="24"/>
              </w:rPr>
              <w:t>2013</w:t>
            </w:r>
          </w:p>
        </w:tc>
        <w:tc>
          <w:tcPr>
            <w:tcW w:w="1124" w:type="dxa"/>
            <w:shd w:val="clear" w:color="auto" w:fill="948A54" w:themeFill="background2" w:themeFillShade="80"/>
            <w:noWrap/>
            <w:hideMark/>
          </w:tcPr>
          <w:p w:rsidR="005D564E" w:rsidRPr="003C6205" w:rsidRDefault="005D564E" w:rsidP="001D7BD6">
            <w:pPr>
              <w:spacing w:line="240" w:lineRule="auto"/>
              <w:jc w:val="right"/>
              <w:rPr>
                <w:rFonts w:eastAsia="Times New Roman" w:cs="Times New Roman"/>
                <w:b/>
                <w:bCs/>
                <w:color w:val="000000"/>
                <w:szCs w:val="24"/>
              </w:rPr>
            </w:pPr>
            <w:r w:rsidRPr="003C6205">
              <w:rPr>
                <w:rFonts w:eastAsia="Times New Roman" w:cs="Times New Roman"/>
                <w:b/>
                <w:bCs/>
                <w:color w:val="000000"/>
                <w:szCs w:val="24"/>
              </w:rPr>
              <w:t>2014</w:t>
            </w:r>
          </w:p>
        </w:tc>
        <w:tc>
          <w:tcPr>
            <w:tcW w:w="1124" w:type="dxa"/>
            <w:shd w:val="clear" w:color="auto" w:fill="948A54" w:themeFill="background2" w:themeFillShade="80"/>
            <w:noWrap/>
            <w:hideMark/>
          </w:tcPr>
          <w:p w:rsidR="005D564E" w:rsidRPr="003C6205" w:rsidRDefault="005D564E" w:rsidP="001D7BD6">
            <w:pPr>
              <w:spacing w:line="240" w:lineRule="auto"/>
              <w:jc w:val="right"/>
              <w:rPr>
                <w:rFonts w:eastAsia="Times New Roman" w:cs="Times New Roman"/>
                <w:b/>
                <w:bCs/>
                <w:color w:val="000000"/>
                <w:szCs w:val="24"/>
              </w:rPr>
            </w:pPr>
            <w:r w:rsidRPr="003C6205">
              <w:rPr>
                <w:rFonts w:eastAsia="Times New Roman" w:cs="Times New Roman"/>
                <w:b/>
                <w:bCs/>
                <w:color w:val="000000"/>
                <w:szCs w:val="24"/>
              </w:rPr>
              <w:t>2015</w:t>
            </w:r>
          </w:p>
        </w:tc>
        <w:tc>
          <w:tcPr>
            <w:tcW w:w="1124" w:type="dxa"/>
            <w:shd w:val="clear" w:color="auto" w:fill="948A54" w:themeFill="background2" w:themeFillShade="80"/>
            <w:noWrap/>
            <w:hideMark/>
          </w:tcPr>
          <w:p w:rsidR="005D564E" w:rsidRPr="003C6205" w:rsidRDefault="005D564E" w:rsidP="001D7BD6">
            <w:pPr>
              <w:spacing w:line="240" w:lineRule="auto"/>
              <w:jc w:val="right"/>
              <w:rPr>
                <w:rFonts w:eastAsia="Times New Roman" w:cs="Times New Roman"/>
                <w:b/>
                <w:bCs/>
                <w:color w:val="000000"/>
                <w:szCs w:val="24"/>
              </w:rPr>
            </w:pPr>
            <w:r w:rsidRPr="003C6205">
              <w:rPr>
                <w:rFonts w:eastAsia="Times New Roman" w:cs="Times New Roman"/>
                <w:b/>
                <w:bCs/>
                <w:color w:val="000000"/>
                <w:szCs w:val="24"/>
              </w:rPr>
              <w:t>2016</w:t>
            </w:r>
          </w:p>
        </w:tc>
      </w:tr>
      <w:tr w:rsidR="005D564E" w:rsidRPr="003C6205" w:rsidTr="001D7BD6">
        <w:trPr>
          <w:trHeight w:val="315"/>
        </w:trPr>
        <w:tc>
          <w:tcPr>
            <w:tcW w:w="3320" w:type="dxa"/>
            <w:shd w:val="clear" w:color="auto" w:fill="948A54" w:themeFill="background2" w:themeFillShade="80"/>
            <w:noWrap/>
            <w:hideMark/>
          </w:tcPr>
          <w:p w:rsidR="005D564E" w:rsidRPr="003C6205" w:rsidRDefault="005D564E" w:rsidP="001D7BD6">
            <w:pPr>
              <w:spacing w:line="240" w:lineRule="auto"/>
              <w:rPr>
                <w:rFonts w:eastAsia="Times New Roman" w:cs="Times New Roman"/>
                <w:color w:val="000000"/>
                <w:szCs w:val="24"/>
              </w:rPr>
            </w:pPr>
            <w:r w:rsidRPr="003C6205">
              <w:rPr>
                <w:rFonts w:eastAsia="Times New Roman" w:cs="Times New Roman"/>
                <w:color w:val="000000"/>
                <w:szCs w:val="24"/>
              </w:rPr>
              <w:t>Total revenue earned</w:t>
            </w:r>
          </w:p>
        </w:tc>
        <w:tc>
          <w:tcPr>
            <w:tcW w:w="1124" w:type="dxa"/>
            <w:shd w:val="clear" w:color="auto" w:fill="948A54" w:themeFill="background2" w:themeFillShade="80"/>
            <w:noWrap/>
            <w:hideMark/>
          </w:tcPr>
          <w:p w:rsidR="005D564E" w:rsidRPr="003C6205" w:rsidRDefault="005D564E" w:rsidP="001D7BD6">
            <w:pPr>
              <w:spacing w:line="240" w:lineRule="auto"/>
              <w:jc w:val="right"/>
              <w:rPr>
                <w:rFonts w:eastAsia="Times New Roman" w:cs="Times New Roman"/>
                <w:color w:val="000000"/>
                <w:szCs w:val="24"/>
              </w:rPr>
            </w:pPr>
            <w:r w:rsidRPr="003C6205">
              <w:rPr>
                <w:rFonts w:eastAsia="Times New Roman" w:cs="Times New Roman"/>
                <w:color w:val="000000"/>
                <w:szCs w:val="24"/>
              </w:rPr>
              <w:t>18,987</w:t>
            </w:r>
          </w:p>
        </w:tc>
        <w:tc>
          <w:tcPr>
            <w:tcW w:w="1124" w:type="dxa"/>
            <w:shd w:val="clear" w:color="auto" w:fill="948A54" w:themeFill="background2" w:themeFillShade="80"/>
            <w:noWrap/>
            <w:hideMark/>
          </w:tcPr>
          <w:p w:rsidR="005D564E" w:rsidRPr="003C6205" w:rsidRDefault="005D564E" w:rsidP="001D7BD6">
            <w:pPr>
              <w:spacing w:line="240" w:lineRule="auto"/>
              <w:jc w:val="right"/>
              <w:rPr>
                <w:rFonts w:eastAsia="Times New Roman" w:cs="Times New Roman"/>
                <w:color w:val="000000"/>
                <w:szCs w:val="24"/>
              </w:rPr>
            </w:pPr>
            <w:r w:rsidRPr="003C6205">
              <w:rPr>
                <w:rFonts w:eastAsia="Times New Roman" w:cs="Times New Roman"/>
                <w:color w:val="000000"/>
                <w:szCs w:val="24"/>
              </w:rPr>
              <w:t>18,103</w:t>
            </w:r>
          </w:p>
        </w:tc>
        <w:tc>
          <w:tcPr>
            <w:tcW w:w="1124" w:type="dxa"/>
            <w:shd w:val="clear" w:color="auto" w:fill="948A54" w:themeFill="background2" w:themeFillShade="80"/>
            <w:noWrap/>
            <w:hideMark/>
          </w:tcPr>
          <w:p w:rsidR="005D564E" w:rsidRPr="003C6205" w:rsidRDefault="005D564E" w:rsidP="001D7BD6">
            <w:pPr>
              <w:spacing w:line="240" w:lineRule="auto"/>
              <w:jc w:val="right"/>
              <w:rPr>
                <w:rFonts w:eastAsia="Times New Roman" w:cs="Times New Roman"/>
                <w:color w:val="000000"/>
                <w:szCs w:val="24"/>
              </w:rPr>
            </w:pPr>
            <w:r w:rsidRPr="003C6205">
              <w:rPr>
                <w:rFonts w:eastAsia="Times New Roman" w:cs="Times New Roman"/>
                <w:color w:val="000000"/>
                <w:szCs w:val="24"/>
              </w:rPr>
              <w:t>18,287</w:t>
            </w:r>
          </w:p>
        </w:tc>
        <w:tc>
          <w:tcPr>
            <w:tcW w:w="1124" w:type="dxa"/>
            <w:shd w:val="clear" w:color="auto" w:fill="948A54" w:themeFill="background2" w:themeFillShade="80"/>
            <w:noWrap/>
            <w:hideMark/>
          </w:tcPr>
          <w:p w:rsidR="005D564E" w:rsidRPr="003C6205" w:rsidRDefault="005D564E" w:rsidP="001D7BD6">
            <w:pPr>
              <w:spacing w:line="240" w:lineRule="auto"/>
              <w:jc w:val="right"/>
              <w:rPr>
                <w:rFonts w:eastAsia="Times New Roman" w:cs="Times New Roman"/>
                <w:color w:val="000000"/>
                <w:szCs w:val="24"/>
              </w:rPr>
            </w:pPr>
            <w:r w:rsidRPr="003C6205">
              <w:rPr>
                <w:rFonts w:eastAsia="Times New Roman" w:cs="Times New Roman"/>
                <w:color w:val="000000"/>
                <w:szCs w:val="24"/>
              </w:rPr>
              <w:t>17,979</w:t>
            </w:r>
          </w:p>
        </w:tc>
        <w:tc>
          <w:tcPr>
            <w:tcW w:w="1124" w:type="dxa"/>
            <w:shd w:val="clear" w:color="auto" w:fill="948A54" w:themeFill="background2" w:themeFillShade="80"/>
            <w:noWrap/>
            <w:hideMark/>
          </w:tcPr>
          <w:p w:rsidR="005D564E" w:rsidRPr="003C6205" w:rsidRDefault="005D564E" w:rsidP="001D7BD6">
            <w:pPr>
              <w:spacing w:line="240" w:lineRule="auto"/>
              <w:jc w:val="right"/>
              <w:rPr>
                <w:rFonts w:eastAsia="Times New Roman" w:cs="Times New Roman"/>
                <w:color w:val="000000"/>
                <w:szCs w:val="24"/>
              </w:rPr>
            </w:pPr>
            <w:r w:rsidRPr="003C6205">
              <w:rPr>
                <w:rFonts w:eastAsia="Times New Roman" w:cs="Times New Roman"/>
                <w:color w:val="000000"/>
                <w:szCs w:val="24"/>
              </w:rPr>
              <w:t>19,042</w:t>
            </w:r>
          </w:p>
        </w:tc>
      </w:tr>
      <w:tr w:rsidR="005D564E" w:rsidRPr="003C6205" w:rsidTr="001D7BD6">
        <w:trPr>
          <w:trHeight w:val="315"/>
        </w:trPr>
        <w:tc>
          <w:tcPr>
            <w:tcW w:w="3320" w:type="dxa"/>
            <w:shd w:val="clear" w:color="auto" w:fill="948A54" w:themeFill="background2" w:themeFillShade="80"/>
            <w:noWrap/>
            <w:hideMark/>
          </w:tcPr>
          <w:p w:rsidR="005D564E" w:rsidRPr="003C6205" w:rsidRDefault="005D564E" w:rsidP="001D7BD6">
            <w:pPr>
              <w:spacing w:line="240" w:lineRule="auto"/>
              <w:rPr>
                <w:rFonts w:eastAsia="Times New Roman" w:cs="Times New Roman"/>
                <w:color w:val="000000"/>
                <w:szCs w:val="24"/>
              </w:rPr>
            </w:pPr>
            <w:r w:rsidRPr="003C6205">
              <w:rPr>
                <w:rFonts w:eastAsia="Times New Roman" w:cs="Times New Roman"/>
                <w:color w:val="000000"/>
                <w:szCs w:val="24"/>
              </w:rPr>
              <w:t>EBIT/Operating profit</w:t>
            </w:r>
          </w:p>
        </w:tc>
        <w:tc>
          <w:tcPr>
            <w:tcW w:w="1124" w:type="dxa"/>
            <w:shd w:val="clear" w:color="auto" w:fill="948A54" w:themeFill="background2" w:themeFillShade="80"/>
            <w:noWrap/>
            <w:hideMark/>
          </w:tcPr>
          <w:p w:rsidR="005D564E" w:rsidRPr="003C6205" w:rsidRDefault="005D564E" w:rsidP="001D7BD6">
            <w:pPr>
              <w:spacing w:line="240" w:lineRule="auto"/>
              <w:jc w:val="right"/>
              <w:rPr>
                <w:rFonts w:eastAsia="Times New Roman" w:cs="Times New Roman"/>
                <w:color w:val="000000"/>
                <w:szCs w:val="24"/>
              </w:rPr>
            </w:pPr>
            <w:r w:rsidRPr="003C6205">
              <w:rPr>
                <w:rFonts w:eastAsia="Times New Roman" w:cs="Times New Roman"/>
                <w:color w:val="000000"/>
                <w:szCs w:val="24"/>
              </w:rPr>
              <w:t>2893</w:t>
            </w:r>
          </w:p>
        </w:tc>
        <w:tc>
          <w:tcPr>
            <w:tcW w:w="1124" w:type="dxa"/>
            <w:shd w:val="clear" w:color="auto" w:fill="948A54" w:themeFill="background2" w:themeFillShade="80"/>
            <w:noWrap/>
            <w:hideMark/>
          </w:tcPr>
          <w:p w:rsidR="005D564E" w:rsidRPr="003C6205" w:rsidRDefault="005D564E" w:rsidP="001D7BD6">
            <w:pPr>
              <w:spacing w:line="240" w:lineRule="auto"/>
              <w:jc w:val="right"/>
              <w:rPr>
                <w:rFonts w:eastAsia="Times New Roman" w:cs="Times New Roman"/>
                <w:color w:val="000000"/>
                <w:szCs w:val="24"/>
              </w:rPr>
            </w:pPr>
            <w:r w:rsidRPr="003C6205">
              <w:rPr>
                <w:rFonts w:eastAsia="Times New Roman" w:cs="Times New Roman"/>
                <w:color w:val="000000"/>
                <w:szCs w:val="24"/>
              </w:rPr>
              <w:t>2,952</w:t>
            </w:r>
          </w:p>
        </w:tc>
        <w:tc>
          <w:tcPr>
            <w:tcW w:w="1124" w:type="dxa"/>
            <w:shd w:val="clear" w:color="auto" w:fill="948A54" w:themeFill="background2" w:themeFillShade="80"/>
            <w:noWrap/>
            <w:hideMark/>
          </w:tcPr>
          <w:p w:rsidR="005D564E" w:rsidRPr="003C6205" w:rsidRDefault="005D564E" w:rsidP="001D7BD6">
            <w:pPr>
              <w:spacing w:line="240" w:lineRule="auto"/>
              <w:jc w:val="right"/>
              <w:rPr>
                <w:rFonts w:eastAsia="Times New Roman" w:cs="Times New Roman"/>
                <w:color w:val="000000"/>
                <w:szCs w:val="24"/>
              </w:rPr>
            </w:pPr>
            <w:r w:rsidRPr="003C6205">
              <w:rPr>
                <w:rFonts w:eastAsia="Times New Roman" w:cs="Times New Roman"/>
                <w:color w:val="000000"/>
                <w:szCs w:val="24"/>
              </w:rPr>
              <w:t>3,147</w:t>
            </w:r>
          </w:p>
        </w:tc>
        <w:tc>
          <w:tcPr>
            <w:tcW w:w="1124" w:type="dxa"/>
            <w:shd w:val="clear" w:color="auto" w:fill="948A54" w:themeFill="background2" w:themeFillShade="80"/>
            <w:noWrap/>
            <w:hideMark/>
          </w:tcPr>
          <w:p w:rsidR="005D564E" w:rsidRPr="003C6205" w:rsidRDefault="005D564E" w:rsidP="001D7BD6">
            <w:pPr>
              <w:spacing w:line="240" w:lineRule="auto"/>
              <w:jc w:val="right"/>
              <w:rPr>
                <w:rFonts w:eastAsia="Times New Roman" w:cs="Times New Roman"/>
                <w:color w:val="000000"/>
                <w:szCs w:val="24"/>
              </w:rPr>
            </w:pPr>
            <w:r w:rsidRPr="003C6205">
              <w:rPr>
                <w:rFonts w:eastAsia="Times New Roman" w:cs="Times New Roman"/>
                <w:color w:val="000000"/>
                <w:szCs w:val="24"/>
              </w:rPr>
              <w:t>3,486</w:t>
            </w:r>
          </w:p>
        </w:tc>
        <w:tc>
          <w:tcPr>
            <w:tcW w:w="1124" w:type="dxa"/>
            <w:shd w:val="clear" w:color="auto" w:fill="948A54" w:themeFill="background2" w:themeFillShade="80"/>
            <w:noWrap/>
            <w:hideMark/>
          </w:tcPr>
          <w:p w:rsidR="005D564E" w:rsidRPr="003C6205" w:rsidRDefault="005D564E" w:rsidP="001D7BD6">
            <w:pPr>
              <w:spacing w:line="240" w:lineRule="auto"/>
              <w:jc w:val="right"/>
              <w:rPr>
                <w:rFonts w:eastAsia="Times New Roman" w:cs="Times New Roman"/>
                <w:color w:val="000000"/>
                <w:szCs w:val="24"/>
              </w:rPr>
            </w:pPr>
            <w:r w:rsidRPr="003C6205">
              <w:rPr>
                <w:rFonts w:eastAsia="Times New Roman" w:cs="Times New Roman"/>
                <w:color w:val="000000"/>
                <w:szCs w:val="24"/>
              </w:rPr>
              <w:t>3,737</w:t>
            </w:r>
          </w:p>
        </w:tc>
      </w:tr>
      <w:tr w:rsidR="005D564E" w:rsidRPr="003C6205" w:rsidTr="001D7BD6">
        <w:trPr>
          <w:trHeight w:val="315"/>
        </w:trPr>
        <w:tc>
          <w:tcPr>
            <w:tcW w:w="3320" w:type="dxa"/>
            <w:shd w:val="clear" w:color="auto" w:fill="948A54" w:themeFill="background2" w:themeFillShade="80"/>
            <w:noWrap/>
            <w:hideMark/>
          </w:tcPr>
          <w:p w:rsidR="005D564E" w:rsidRPr="003C6205" w:rsidRDefault="005D564E" w:rsidP="001D7BD6">
            <w:pPr>
              <w:spacing w:line="240" w:lineRule="auto"/>
              <w:rPr>
                <w:rFonts w:eastAsia="Times New Roman" w:cs="Times New Roman"/>
                <w:b/>
                <w:color w:val="000000"/>
                <w:szCs w:val="24"/>
              </w:rPr>
            </w:pPr>
            <w:r w:rsidRPr="003C6205">
              <w:rPr>
                <w:rFonts w:eastAsia="Times New Roman" w:cs="Times New Roman"/>
                <w:b/>
                <w:color w:val="000000"/>
                <w:szCs w:val="24"/>
              </w:rPr>
              <w:t>Years</w:t>
            </w:r>
          </w:p>
        </w:tc>
        <w:tc>
          <w:tcPr>
            <w:tcW w:w="1124" w:type="dxa"/>
            <w:shd w:val="clear" w:color="auto" w:fill="948A54" w:themeFill="background2" w:themeFillShade="80"/>
            <w:noWrap/>
            <w:hideMark/>
          </w:tcPr>
          <w:p w:rsidR="005D564E" w:rsidRPr="003C6205" w:rsidRDefault="005D564E" w:rsidP="001D7BD6">
            <w:pPr>
              <w:spacing w:line="240" w:lineRule="auto"/>
              <w:jc w:val="right"/>
              <w:rPr>
                <w:rFonts w:eastAsia="Times New Roman" w:cs="Times New Roman"/>
                <w:b/>
                <w:color w:val="000000"/>
                <w:szCs w:val="24"/>
              </w:rPr>
            </w:pPr>
            <w:r w:rsidRPr="003C6205">
              <w:rPr>
                <w:rFonts w:eastAsia="Times New Roman" w:cs="Times New Roman"/>
                <w:b/>
                <w:color w:val="000000"/>
                <w:szCs w:val="24"/>
              </w:rPr>
              <w:t>2012</w:t>
            </w:r>
          </w:p>
        </w:tc>
        <w:tc>
          <w:tcPr>
            <w:tcW w:w="1124" w:type="dxa"/>
            <w:shd w:val="clear" w:color="auto" w:fill="948A54" w:themeFill="background2" w:themeFillShade="80"/>
            <w:noWrap/>
            <w:hideMark/>
          </w:tcPr>
          <w:p w:rsidR="005D564E" w:rsidRPr="003C6205" w:rsidRDefault="005D564E" w:rsidP="001D7BD6">
            <w:pPr>
              <w:spacing w:line="240" w:lineRule="auto"/>
              <w:jc w:val="right"/>
              <w:rPr>
                <w:rFonts w:eastAsia="Times New Roman" w:cs="Times New Roman"/>
                <w:b/>
                <w:color w:val="000000"/>
                <w:szCs w:val="24"/>
              </w:rPr>
            </w:pPr>
            <w:r w:rsidRPr="003C6205">
              <w:rPr>
                <w:rFonts w:eastAsia="Times New Roman" w:cs="Times New Roman"/>
                <w:b/>
                <w:color w:val="000000"/>
                <w:szCs w:val="24"/>
              </w:rPr>
              <w:t>2013</w:t>
            </w:r>
          </w:p>
        </w:tc>
        <w:tc>
          <w:tcPr>
            <w:tcW w:w="1124" w:type="dxa"/>
            <w:shd w:val="clear" w:color="auto" w:fill="948A54" w:themeFill="background2" w:themeFillShade="80"/>
            <w:noWrap/>
            <w:hideMark/>
          </w:tcPr>
          <w:p w:rsidR="005D564E" w:rsidRPr="003C6205" w:rsidRDefault="005D564E" w:rsidP="001D7BD6">
            <w:pPr>
              <w:spacing w:line="240" w:lineRule="auto"/>
              <w:jc w:val="right"/>
              <w:rPr>
                <w:rFonts w:eastAsia="Times New Roman" w:cs="Times New Roman"/>
                <w:b/>
                <w:color w:val="000000"/>
                <w:szCs w:val="24"/>
              </w:rPr>
            </w:pPr>
            <w:r w:rsidRPr="003C6205">
              <w:rPr>
                <w:rFonts w:eastAsia="Times New Roman" w:cs="Times New Roman"/>
                <w:b/>
                <w:color w:val="000000"/>
                <w:szCs w:val="24"/>
              </w:rPr>
              <w:t>2014</w:t>
            </w:r>
          </w:p>
        </w:tc>
        <w:tc>
          <w:tcPr>
            <w:tcW w:w="1124" w:type="dxa"/>
            <w:shd w:val="clear" w:color="auto" w:fill="948A54" w:themeFill="background2" w:themeFillShade="80"/>
            <w:noWrap/>
            <w:hideMark/>
          </w:tcPr>
          <w:p w:rsidR="005D564E" w:rsidRPr="003C6205" w:rsidRDefault="005D564E" w:rsidP="001D7BD6">
            <w:pPr>
              <w:spacing w:line="240" w:lineRule="auto"/>
              <w:jc w:val="right"/>
              <w:rPr>
                <w:rFonts w:eastAsia="Times New Roman" w:cs="Times New Roman"/>
                <w:b/>
                <w:color w:val="000000"/>
                <w:szCs w:val="24"/>
              </w:rPr>
            </w:pPr>
            <w:r w:rsidRPr="003C6205">
              <w:rPr>
                <w:rFonts w:eastAsia="Times New Roman" w:cs="Times New Roman"/>
                <w:b/>
                <w:color w:val="000000"/>
                <w:szCs w:val="24"/>
              </w:rPr>
              <w:t>2015</w:t>
            </w:r>
          </w:p>
        </w:tc>
        <w:tc>
          <w:tcPr>
            <w:tcW w:w="1124" w:type="dxa"/>
            <w:shd w:val="clear" w:color="auto" w:fill="948A54" w:themeFill="background2" w:themeFillShade="80"/>
            <w:noWrap/>
            <w:hideMark/>
          </w:tcPr>
          <w:p w:rsidR="005D564E" w:rsidRPr="003C6205" w:rsidRDefault="005D564E" w:rsidP="001D7BD6">
            <w:pPr>
              <w:spacing w:line="240" w:lineRule="auto"/>
              <w:jc w:val="right"/>
              <w:rPr>
                <w:rFonts w:eastAsia="Times New Roman" w:cs="Times New Roman"/>
                <w:b/>
                <w:color w:val="000000"/>
                <w:szCs w:val="24"/>
              </w:rPr>
            </w:pPr>
            <w:r w:rsidRPr="003C6205">
              <w:rPr>
                <w:rFonts w:eastAsia="Times New Roman" w:cs="Times New Roman"/>
                <w:b/>
                <w:color w:val="000000"/>
                <w:szCs w:val="24"/>
              </w:rPr>
              <w:t>2016</w:t>
            </w:r>
          </w:p>
        </w:tc>
      </w:tr>
      <w:tr w:rsidR="005D564E" w:rsidRPr="003C6205" w:rsidTr="001D7BD6">
        <w:trPr>
          <w:trHeight w:val="315"/>
        </w:trPr>
        <w:tc>
          <w:tcPr>
            <w:tcW w:w="3320" w:type="dxa"/>
            <w:shd w:val="clear" w:color="auto" w:fill="948A54" w:themeFill="background2" w:themeFillShade="80"/>
            <w:noWrap/>
            <w:hideMark/>
          </w:tcPr>
          <w:p w:rsidR="005D564E" w:rsidRPr="003C6205" w:rsidRDefault="005D564E" w:rsidP="001D7BD6">
            <w:pPr>
              <w:spacing w:line="240" w:lineRule="auto"/>
              <w:rPr>
                <w:rFonts w:eastAsia="Times New Roman" w:cs="Times New Roman"/>
                <w:b/>
                <w:color w:val="000000"/>
                <w:szCs w:val="24"/>
              </w:rPr>
            </w:pPr>
            <w:r w:rsidRPr="003C6205">
              <w:rPr>
                <w:rFonts w:eastAsia="Times New Roman" w:cs="Times New Roman"/>
                <w:b/>
                <w:color w:val="000000"/>
                <w:szCs w:val="24"/>
              </w:rPr>
              <w:t>Profitability Ratios</w:t>
            </w:r>
          </w:p>
        </w:tc>
        <w:tc>
          <w:tcPr>
            <w:tcW w:w="1124" w:type="dxa"/>
            <w:shd w:val="clear" w:color="auto" w:fill="948A54" w:themeFill="background2" w:themeFillShade="80"/>
            <w:noWrap/>
            <w:hideMark/>
          </w:tcPr>
          <w:p w:rsidR="005D564E" w:rsidRPr="003C6205" w:rsidRDefault="005D564E" w:rsidP="001D7BD6">
            <w:pPr>
              <w:spacing w:line="240" w:lineRule="auto"/>
              <w:jc w:val="right"/>
              <w:rPr>
                <w:rFonts w:eastAsia="Times New Roman" w:cs="Times New Roman"/>
                <w:color w:val="000000"/>
                <w:szCs w:val="24"/>
              </w:rPr>
            </w:pPr>
            <w:r w:rsidRPr="003C6205">
              <w:rPr>
                <w:rFonts w:eastAsia="Times New Roman" w:cs="Times New Roman"/>
                <w:color w:val="000000"/>
                <w:szCs w:val="24"/>
              </w:rPr>
              <w:t> </w:t>
            </w:r>
          </w:p>
        </w:tc>
        <w:tc>
          <w:tcPr>
            <w:tcW w:w="1124" w:type="dxa"/>
            <w:shd w:val="clear" w:color="auto" w:fill="948A54" w:themeFill="background2" w:themeFillShade="80"/>
            <w:noWrap/>
            <w:hideMark/>
          </w:tcPr>
          <w:p w:rsidR="005D564E" w:rsidRPr="003C6205" w:rsidRDefault="005D564E" w:rsidP="001D7BD6">
            <w:pPr>
              <w:spacing w:line="240" w:lineRule="auto"/>
              <w:jc w:val="right"/>
              <w:rPr>
                <w:rFonts w:eastAsia="Times New Roman" w:cs="Times New Roman"/>
                <w:color w:val="000000"/>
                <w:szCs w:val="24"/>
              </w:rPr>
            </w:pPr>
            <w:r w:rsidRPr="003C6205">
              <w:rPr>
                <w:rFonts w:eastAsia="Times New Roman" w:cs="Times New Roman"/>
                <w:color w:val="000000"/>
                <w:szCs w:val="24"/>
              </w:rPr>
              <w:t> </w:t>
            </w:r>
          </w:p>
        </w:tc>
        <w:tc>
          <w:tcPr>
            <w:tcW w:w="1124" w:type="dxa"/>
            <w:shd w:val="clear" w:color="auto" w:fill="948A54" w:themeFill="background2" w:themeFillShade="80"/>
            <w:noWrap/>
            <w:hideMark/>
          </w:tcPr>
          <w:p w:rsidR="005D564E" w:rsidRPr="003C6205" w:rsidRDefault="005D564E" w:rsidP="001D7BD6">
            <w:pPr>
              <w:spacing w:line="240" w:lineRule="auto"/>
              <w:jc w:val="right"/>
              <w:rPr>
                <w:rFonts w:eastAsia="Times New Roman" w:cs="Times New Roman"/>
                <w:color w:val="000000"/>
                <w:szCs w:val="24"/>
              </w:rPr>
            </w:pPr>
            <w:r w:rsidRPr="003C6205">
              <w:rPr>
                <w:rFonts w:eastAsia="Times New Roman" w:cs="Times New Roman"/>
                <w:color w:val="000000"/>
                <w:szCs w:val="24"/>
              </w:rPr>
              <w:t> </w:t>
            </w:r>
          </w:p>
        </w:tc>
        <w:tc>
          <w:tcPr>
            <w:tcW w:w="1124" w:type="dxa"/>
            <w:shd w:val="clear" w:color="auto" w:fill="948A54" w:themeFill="background2" w:themeFillShade="80"/>
            <w:noWrap/>
            <w:hideMark/>
          </w:tcPr>
          <w:p w:rsidR="005D564E" w:rsidRPr="003C6205" w:rsidRDefault="005D564E" w:rsidP="001D7BD6">
            <w:pPr>
              <w:spacing w:line="240" w:lineRule="auto"/>
              <w:jc w:val="right"/>
              <w:rPr>
                <w:rFonts w:eastAsia="Times New Roman" w:cs="Times New Roman"/>
                <w:color w:val="000000"/>
                <w:szCs w:val="24"/>
              </w:rPr>
            </w:pPr>
            <w:r w:rsidRPr="003C6205">
              <w:rPr>
                <w:rFonts w:eastAsia="Times New Roman" w:cs="Times New Roman"/>
                <w:color w:val="000000"/>
                <w:szCs w:val="24"/>
              </w:rPr>
              <w:t> </w:t>
            </w:r>
          </w:p>
        </w:tc>
        <w:tc>
          <w:tcPr>
            <w:tcW w:w="1124" w:type="dxa"/>
            <w:shd w:val="clear" w:color="auto" w:fill="948A54" w:themeFill="background2" w:themeFillShade="80"/>
            <w:noWrap/>
            <w:hideMark/>
          </w:tcPr>
          <w:p w:rsidR="005D564E" w:rsidRPr="003C6205" w:rsidRDefault="005D564E" w:rsidP="001D7BD6">
            <w:pPr>
              <w:spacing w:line="240" w:lineRule="auto"/>
              <w:jc w:val="right"/>
              <w:rPr>
                <w:rFonts w:eastAsia="Times New Roman" w:cs="Times New Roman"/>
                <w:color w:val="000000"/>
                <w:szCs w:val="24"/>
              </w:rPr>
            </w:pPr>
            <w:r w:rsidRPr="003C6205">
              <w:rPr>
                <w:rFonts w:eastAsia="Times New Roman" w:cs="Times New Roman"/>
                <w:color w:val="000000"/>
                <w:szCs w:val="24"/>
              </w:rPr>
              <w:t> </w:t>
            </w:r>
          </w:p>
        </w:tc>
      </w:tr>
      <w:tr w:rsidR="005D564E" w:rsidRPr="003C6205" w:rsidTr="001D7BD6">
        <w:trPr>
          <w:trHeight w:val="315"/>
        </w:trPr>
        <w:tc>
          <w:tcPr>
            <w:tcW w:w="3320" w:type="dxa"/>
            <w:shd w:val="clear" w:color="auto" w:fill="948A54" w:themeFill="background2" w:themeFillShade="80"/>
            <w:noWrap/>
            <w:hideMark/>
          </w:tcPr>
          <w:p w:rsidR="005D564E" w:rsidRPr="003C6205" w:rsidRDefault="005D564E" w:rsidP="001D7BD6">
            <w:pPr>
              <w:spacing w:line="240" w:lineRule="auto"/>
              <w:rPr>
                <w:rFonts w:eastAsia="Times New Roman" w:cs="Times New Roman"/>
                <w:color w:val="000000"/>
                <w:szCs w:val="24"/>
              </w:rPr>
            </w:pPr>
            <w:r w:rsidRPr="003C6205">
              <w:rPr>
                <w:rFonts w:eastAsia="Times New Roman" w:cs="Times New Roman"/>
                <w:color w:val="000000"/>
                <w:szCs w:val="24"/>
              </w:rPr>
              <w:t xml:space="preserve"> Operating profit margin ([Operating  profit /Net sales]*100) </w:t>
            </w:r>
          </w:p>
        </w:tc>
        <w:tc>
          <w:tcPr>
            <w:tcW w:w="1124" w:type="dxa"/>
            <w:shd w:val="clear" w:color="auto" w:fill="948A54" w:themeFill="background2" w:themeFillShade="80"/>
            <w:noWrap/>
            <w:hideMark/>
          </w:tcPr>
          <w:p w:rsidR="005D564E" w:rsidRPr="003C6205" w:rsidRDefault="005D564E" w:rsidP="001D7BD6">
            <w:pPr>
              <w:spacing w:line="240" w:lineRule="auto"/>
              <w:jc w:val="right"/>
              <w:rPr>
                <w:rFonts w:eastAsia="Times New Roman" w:cs="Times New Roman"/>
                <w:color w:val="000000"/>
                <w:szCs w:val="24"/>
              </w:rPr>
            </w:pPr>
            <w:r w:rsidRPr="003C6205">
              <w:rPr>
                <w:rFonts w:eastAsia="Times New Roman" w:cs="Times New Roman"/>
                <w:color w:val="000000"/>
                <w:szCs w:val="24"/>
              </w:rPr>
              <w:t>15%</w:t>
            </w:r>
          </w:p>
        </w:tc>
        <w:tc>
          <w:tcPr>
            <w:tcW w:w="1124" w:type="dxa"/>
            <w:shd w:val="clear" w:color="auto" w:fill="948A54" w:themeFill="background2" w:themeFillShade="80"/>
            <w:noWrap/>
            <w:hideMark/>
          </w:tcPr>
          <w:p w:rsidR="005D564E" w:rsidRPr="003C6205" w:rsidRDefault="005D564E" w:rsidP="001D7BD6">
            <w:pPr>
              <w:spacing w:line="240" w:lineRule="auto"/>
              <w:jc w:val="right"/>
              <w:rPr>
                <w:rFonts w:eastAsia="Times New Roman" w:cs="Times New Roman"/>
                <w:color w:val="000000"/>
                <w:szCs w:val="24"/>
              </w:rPr>
            </w:pPr>
            <w:r w:rsidRPr="003C6205">
              <w:rPr>
                <w:rFonts w:eastAsia="Times New Roman" w:cs="Times New Roman"/>
                <w:color w:val="000000"/>
                <w:szCs w:val="24"/>
              </w:rPr>
              <w:t>16%</w:t>
            </w:r>
          </w:p>
        </w:tc>
        <w:tc>
          <w:tcPr>
            <w:tcW w:w="1124" w:type="dxa"/>
            <w:shd w:val="clear" w:color="auto" w:fill="948A54" w:themeFill="background2" w:themeFillShade="80"/>
            <w:noWrap/>
            <w:hideMark/>
          </w:tcPr>
          <w:p w:rsidR="005D564E" w:rsidRPr="003C6205" w:rsidRDefault="005D564E" w:rsidP="001D7BD6">
            <w:pPr>
              <w:spacing w:line="240" w:lineRule="auto"/>
              <w:jc w:val="right"/>
              <w:rPr>
                <w:rFonts w:eastAsia="Times New Roman" w:cs="Times New Roman"/>
                <w:color w:val="000000"/>
                <w:szCs w:val="24"/>
              </w:rPr>
            </w:pPr>
            <w:r w:rsidRPr="003C6205">
              <w:rPr>
                <w:rFonts w:eastAsia="Times New Roman" w:cs="Times New Roman"/>
                <w:color w:val="000000"/>
                <w:szCs w:val="24"/>
              </w:rPr>
              <w:t>17%</w:t>
            </w:r>
          </w:p>
        </w:tc>
        <w:tc>
          <w:tcPr>
            <w:tcW w:w="1124" w:type="dxa"/>
            <w:shd w:val="clear" w:color="auto" w:fill="948A54" w:themeFill="background2" w:themeFillShade="80"/>
            <w:noWrap/>
            <w:hideMark/>
          </w:tcPr>
          <w:p w:rsidR="005D564E" w:rsidRPr="003C6205" w:rsidRDefault="005D564E" w:rsidP="001D7BD6">
            <w:pPr>
              <w:spacing w:line="240" w:lineRule="auto"/>
              <w:jc w:val="right"/>
              <w:rPr>
                <w:rFonts w:eastAsia="Times New Roman" w:cs="Times New Roman"/>
                <w:color w:val="000000"/>
                <w:szCs w:val="24"/>
              </w:rPr>
            </w:pPr>
            <w:r w:rsidRPr="003C6205">
              <w:rPr>
                <w:rFonts w:eastAsia="Times New Roman" w:cs="Times New Roman"/>
                <w:color w:val="000000"/>
                <w:szCs w:val="24"/>
              </w:rPr>
              <w:t>19%</w:t>
            </w:r>
          </w:p>
        </w:tc>
        <w:tc>
          <w:tcPr>
            <w:tcW w:w="1124" w:type="dxa"/>
            <w:shd w:val="clear" w:color="auto" w:fill="948A54" w:themeFill="background2" w:themeFillShade="80"/>
            <w:noWrap/>
            <w:hideMark/>
          </w:tcPr>
          <w:p w:rsidR="005D564E" w:rsidRPr="003C6205" w:rsidRDefault="005D564E" w:rsidP="001D7BD6">
            <w:pPr>
              <w:spacing w:line="240" w:lineRule="auto"/>
              <w:jc w:val="right"/>
              <w:rPr>
                <w:rFonts w:eastAsia="Times New Roman" w:cs="Times New Roman"/>
                <w:color w:val="000000"/>
                <w:szCs w:val="24"/>
              </w:rPr>
            </w:pPr>
            <w:r w:rsidRPr="003C6205">
              <w:rPr>
                <w:rFonts w:eastAsia="Times New Roman" w:cs="Times New Roman"/>
                <w:color w:val="000000"/>
                <w:szCs w:val="24"/>
              </w:rPr>
              <w:t>20%</w:t>
            </w:r>
          </w:p>
        </w:tc>
      </w:tr>
    </w:tbl>
    <w:p w:rsidR="005D564E" w:rsidRDefault="005D564E" w:rsidP="005D564E"/>
    <w:p w:rsidR="005D564E" w:rsidRDefault="005D564E" w:rsidP="005D564E">
      <w:r>
        <w:t xml:space="preserve">The operating profit margin has registered a steady growing trend over years staring from 2012-2016 which is the period of study. In 2013 the revenue earnings of the organization declined by an amount of 2% over the previous year due to the negative impacts of the foreign exchange movements and also due to the reduction of the transit revenue. But in 2013 the operating profit margin of the organization has increased as the organization has managed to control their operation expenses due to the successful application of the cost transformation </w:t>
      </w:r>
      <w:r w:rsidR="00C157F9">
        <w:t>programmed</w:t>
      </w:r>
      <w:r>
        <w:t>. However</w:t>
      </w:r>
      <w:r w:rsidR="00C157F9">
        <w:t>,</w:t>
      </w:r>
      <w:r>
        <w:t xml:space="preserve"> from 2014 onwards the business has registered a sustainable and profitable growth of revenue by making useful investments in expanding the bandwidth and enhancing the speed of broadband</w:t>
      </w:r>
      <w:r w:rsidRPr="009216F2">
        <w:t xml:space="preserve"> (Btplc.com, 2014)</w:t>
      </w:r>
      <w:r>
        <w:t xml:space="preserve">. With growing revenue and controlled growth of the operational expenses that have generated a slow but stable growth of operational </w:t>
      </w:r>
      <w:proofErr w:type="gramStart"/>
      <w:r>
        <w:t>profit(</w:t>
      </w:r>
      <w:proofErr w:type="gramEnd"/>
      <w:r>
        <w:t>that was around 3000 million pound during the study period of 2014-2016) the business has registered a stable growth in the operating profit margin of the organization</w:t>
      </w:r>
    </w:p>
    <w:p w:rsidR="005D564E" w:rsidRDefault="005D564E" w:rsidP="005D564E">
      <w:pPr>
        <w:rPr>
          <w:b/>
        </w:rPr>
      </w:pPr>
      <w:r w:rsidRPr="003F09B6">
        <w:rPr>
          <w:b/>
        </w:rPr>
        <w:t>Net Profit Margin:</w:t>
      </w:r>
    </w:p>
    <w:tbl>
      <w:tblPr>
        <w:tblW w:w="8960" w:type="dxa"/>
        <w:tblInd w:w="98" w:type="dxa"/>
        <w:tblLook w:val="04A0" w:firstRow="1" w:lastRow="0" w:firstColumn="1" w:lastColumn="0" w:noHBand="0" w:noVBand="1"/>
      </w:tblPr>
      <w:tblGrid>
        <w:gridCol w:w="3510"/>
        <w:gridCol w:w="1090"/>
        <w:gridCol w:w="1090"/>
        <w:gridCol w:w="1090"/>
        <w:gridCol w:w="1090"/>
        <w:gridCol w:w="1090"/>
      </w:tblGrid>
      <w:tr w:rsidR="005D564E" w:rsidRPr="000C767F" w:rsidTr="001D7BD6">
        <w:trPr>
          <w:trHeight w:val="330"/>
        </w:trPr>
        <w:tc>
          <w:tcPr>
            <w:tcW w:w="8960" w:type="dxa"/>
            <w:gridSpan w:val="6"/>
            <w:tcBorders>
              <w:top w:val="single" w:sz="8" w:space="0" w:color="auto"/>
              <w:left w:val="single" w:sz="8" w:space="0" w:color="auto"/>
              <w:bottom w:val="single" w:sz="8" w:space="0" w:color="auto"/>
              <w:right w:val="single" w:sz="8" w:space="0" w:color="000000"/>
            </w:tcBorders>
            <w:shd w:val="clear" w:color="000000" w:fill="FFC000"/>
            <w:noWrap/>
            <w:vAlign w:val="bottom"/>
            <w:hideMark/>
          </w:tcPr>
          <w:p w:rsidR="005D564E" w:rsidRPr="000C767F" w:rsidRDefault="005D564E" w:rsidP="001D7BD6">
            <w:pPr>
              <w:spacing w:after="0" w:line="240" w:lineRule="auto"/>
              <w:jc w:val="center"/>
              <w:rPr>
                <w:rFonts w:eastAsia="Times New Roman" w:cs="Times New Roman"/>
                <w:b/>
                <w:bCs/>
                <w:color w:val="000000"/>
                <w:szCs w:val="24"/>
              </w:rPr>
            </w:pPr>
            <w:r w:rsidRPr="000C767F">
              <w:rPr>
                <w:rFonts w:eastAsia="Times New Roman" w:cs="Times New Roman"/>
                <w:b/>
                <w:bCs/>
                <w:color w:val="000000"/>
                <w:szCs w:val="24"/>
              </w:rPr>
              <w:t>British telecom(BT) Ratio Analysis</w:t>
            </w:r>
          </w:p>
        </w:tc>
      </w:tr>
      <w:tr w:rsidR="005D564E" w:rsidRPr="000C767F" w:rsidTr="001D7BD6">
        <w:trPr>
          <w:trHeight w:val="315"/>
        </w:trPr>
        <w:tc>
          <w:tcPr>
            <w:tcW w:w="3510" w:type="dxa"/>
            <w:tcBorders>
              <w:top w:val="nil"/>
              <w:left w:val="single" w:sz="4" w:space="0" w:color="auto"/>
              <w:bottom w:val="single" w:sz="4" w:space="0" w:color="auto"/>
              <w:right w:val="single" w:sz="4" w:space="0" w:color="auto"/>
            </w:tcBorders>
            <w:shd w:val="clear" w:color="000000" w:fill="DBE5F1"/>
            <w:noWrap/>
            <w:vAlign w:val="bottom"/>
            <w:hideMark/>
          </w:tcPr>
          <w:p w:rsidR="005D564E" w:rsidRPr="000C767F" w:rsidRDefault="005D564E" w:rsidP="001D7BD6">
            <w:pPr>
              <w:spacing w:after="0" w:line="240" w:lineRule="auto"/>
              <w:jc w:val="left"/>
              <w:rPr>
                <w:rFonts w:eastAsia="Times New Roman" w:cs="Times New Roman"/>
                <w:b/>
                <w:bCs/>
                <w:color w:val="000000"/>
                <w:szCs w:val="24"/>
              </w:rPr>
            </w:pPr>
            <w:r w:rsidRPr="000C767F">
              <w:rPr>
                <w:rFonts w:eastAsia="Times New Roman" w:cs="Times New Roman"/>
                <w:b/>
                <w:bCs/>
                <w:color w:val="000000"/>
                <w:szCs w:val="24"/>
              </w:rPr>
              <w:t xml:space="preserve">Items of financial statement  </w:t>
            </w:r>
          </w:p>
        </w:tc>
        <w:tc>
          <w:tcPr>
            <w:tcW w:w="1090" w:type="dxa"/>
            <w:tcBorders>
              <w:top w:val="nil"/>
              <w:left w:val="nil"/>
              <w:bottom w:val="single" w:sz="4" w:space="0" w:color="auto"/>
              <w:right w:val="single" w:sz="4" w:space="0" w:color="auto"/>
            </w:tcBorders>
            <w:shd w:val="clear" w:color="000000" w:fill="DBE5F1"/>
            <w:noWrap/>
            <w:vAlign w:val="bottom"/>
            <w:hideMark/>
          </w:tcPr>
          <w:p w:rsidR="005D564E" w:rsidRPr="000C767F" w:rsidRDefault="005D564E" w:rsidP="001D7BD6">
            <w:pPr>
              <w:spacing w:after="0" w:line="240" w:lineRule="auto"/>
              <w:jc w:val="left"/>
              <w:rPr>
                <w:rFonts w:eastAsia="Times New Roman" w:cs="Times New Roman"/>
                <w:color w:val="000000"/>
                <w:szCs w:val="24"/>
              </w:rPr>
            </w:pPr>
            <w:r w:rsidRPr="000C767F">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5D564E" w:rsidRPr="000C767F" w:rsidRDefault="005D564E" w:rsidP="001D7BD6">
            <w:pPr>
              <w:spacing w:after="0" w:line="240" w:lineRule="auto"/>
              <w:jc w:val="left"/>
              <w:rPr>
                <w:rFonts w:eastAsia="Times New Roman" w:cs="Times New Roman"/>
                <w:color w:val="000000"/>
                <w:szCs w:val="24"/>
              </w:rPr>
            </w:pPr>
            <w:r w:rsidRPr="000C767F">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5D564E" w:rsidRPr="000C767F" w:rsidRDefault="005D564E" w:rsidP="001D7BD6">
            <w:pPr>
              <w:spacing w:after="0" w:line="240" w:lineRule="auto"/>
              <w:jc w:val="left"/>
              <w:rPr>
                <w:rFonts w:eastAsia="Times New Roman" w:cs="Times New Roman"/>
                <w:color w:val="000000"/>
                <w:szCs w:val="24"/>
              </w:rPr>
            </w:pPr>
            <w:r w:rsidRPr="000C767F">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5D564E" w:rsidRPr="000C767F" w:rsidRDefault="005D564E" w:rsidP="001D7BD6">
            <w:pPr>
              <w:spacing w:after="0" w:line="240" w:lineRule="auto"/>
              <w:jc w:val="left"/>
              <w:rPr>
                <w:rFonts w:eastAsia="Times New Roman" w:cs="Times New Roman"/>
                <w:color w:val="000000"/>
                <w:szCs w:val="24"/>
              </w:rPr>
            </w:pPr>
            <w:r w:rsidRPr="000C767F">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5D564E" w:rsidRPr="000C767F" w:rsidRDefault="005D564E" w:rsidP="001D7BD6">
            <w:pPr>
              <w:spacing w:after="0" w:line="240" w:lineRule="auto"/>
              <w:jc w:val="left"/>
              <w:rPr>
                <w:rFonts w:eastAsia="Times New Roman" w:cs="Times New Roman"/>
                <w:color w:val="000000"/>
                <w:szCs w:val="24"/>
              </w:rPr>
            </w:pPr>
            <w:r w:rsidRPr="000C767F">
              <w:rPr>
                <w:rFonts w:eastAsia="Times New Roman" w:cs="Times New Roman"/>
                <w:color w:val="000000"/>
                <w:szCs w:val="24"/>
              </w:rPr>
              <w:t>£,million</w:t>
            </w:r>
          </w:p>
        </w:tc>
      </w:tr>
      <w:tr w:rsidR="005D564E" w:rsidRPr="000C767F" w:rsidTr="001D7BD6">
        <w:trPr>
          <w:trHeight w:val="315"/>
        </w:trPr>
        <w:tc>
          <w:tcPr>
            <w:tcW w:w="3510" w:type="dxa"/>
            <w:tcBorders>
              <w:top w:val="nil"/>
              <w:left w:val="single" w:sz="4" w:space="0" w:color="auto"/>
              <w:bottom w:val="single" w:sz="4" w:space="0" w:color="auto"/>
              <w:right w:val="single" w:sz="4" w:space="0" w:color="auto"/>
            </w:tcBorders>
            <w:shd w:val="clear" w:color="000000" w:fill="FFC000"/>
            <w:noWrap/>
            <w:vAlign w:val="bottom"/>
            <w:hideMark/>
          </w:tcPr>
          <w:p w:rsidR="005D564E" w:rsidRPr="000C767F" w:rsidRDefault="005D564E" w:rsidP="001D7BD6">
            <w:pPr>
              <w:spacing w:after="0" w:line="240" w:lineRule="auto"/>
              <w:jc w:val="left"/>
              <w:rPr>
                <w:rFonts w:eastAsia="Times New Roman" w:cs="Times New Roman"/>
                <w:b/>
                <w:bCs/>
                <w:color w:val="000000"/>
                <w:szCs w:val="24"/>
              </w:rPr>
            </w:pPr>
            <w:r w:rsidRPr="000C767F">
              <w:rPr>
                <w:rFonts w:eastAsia="Times New Roman" w:cs="Times New Roman"/>
                <w:b/>
                <w:bCs/>
                <w:color w:val="000000"/>
                <w:szCs w:val="24"/>
              </w:rPr>
              <w:t>Years</w:t>
            </w:r>
          </w:p>
        </w:tc>
        <w:tc>
          <w:tcPr>
            <w:tcW w:w="1090" w:type="dxa"/>
            <w:tcBorders>
              <w:top w:val="nil"/>
              <w:left w:val="nil"/>
              <w:bottom w:val="single" w:sz="4" w:space="0" w:color="auto"/>
              <w:right w:val="single" w:sz="4" w:space="0" w:color="auto"/>
            </w:tcBorders>
            <w:shd w:val="clear" w:color="000000" w:fill="FFC000"/>
            <w:noWrap/>
            <w:vAlign w:val="bottom"/>
            <w:hideMark/>
          </w:tcPr>
          <w:p w:rsidR="005D564E" w:rsidRPr="000C767F" w:rsidRDefault="005D564E" w:rsidP="001D7BD6">
            <w:pPr>
              <w:spacing w:after="0" w:line="240" w:lineRule="auto"/>
              <w:jc w:val="right"/>
              <w:rPr>
                <w:rFonts w:eastAsia="Times New Roman" w:cs="Times New Roman"/>
                <w:b/>
                <w:bCs/>
                <w:color w:val="000000"/>
                <w:szCs w:val="24"/>
              </w:rPr>
            </w:pPr>
            <w:r w:rsidRPr="000C767F">
              <w:rPr>
                <w:rFonts w:eastAsia="Times New Roman" w:cs="Times New Roman"/>
                <w:b/>
                <w:bCs/>
                <w:color w:val="000000"/>
                <w:szCs w:val="24"/>
              </w:rPr>
              <w:t>2012</w:t>
            </w:r>
          </w:p>
        </w:tc>
        <w:tc>
          <w:tcPr>
            <w:tcW w:w="1090" w:type="dxa"/>
            <w:tcBorders>
              <w:top w:val="nil"/>
              <w:left w:val="nil"/>
              <w:bottom w:val="single" w:sz="4" w:space="0" w:color="auto"/>
              <w:right w:val="single" w:sz="4" w:space="0" w:color="auto"/>
            </w:tcBorders>
            <w:shd w:val="clear" w:color="000000" w:fill="FFC000"/>
            <w:noWrap/>
            <w:vAlign w:val="bottom"/>
            <w:hideMark/>
          </w:tcPr>
          <w:p w:rsidR="005D564E" w:rsidRPr="000C767F" w:rsidRDefault="005D564E" w:rsidP="001D7BD6">
            <w:pPr>
              <w:spacing w:after="0" w:line="240" w:lineRule="auto"/>
              <w:jc w:val="right"/>
              <w:rPr>
                <w:rFonts w:eastAsia="Times New Roman" w:cs="Times New Roman"/>
                <w:b/>
                <w:bCs/>
                <w:color w:val="000000"/>
                <w:szCs w:val="24"/>
              </w:rPr>
            </w:pPr>
            <w:r w:rsidRPr="000C767F">
              <w:rPr>
                <w:rFonts w:eastAsia="Times New Roman" w:cs="Times New Roman"/>
                <w:b/>
                <w:bCs/>
                <w:color w:val="000000"/>
                <w:szCs w:val="24"/>
              </w:rPr>
              <w:t>2013</w:t>
            </w:r>
          </w:p>
        </w:tc>
        <w:tc>
          <w:tcPr>
            <w:tcW w:w="1090" w:type="dxa"/>
            <w:tcBorders>
              <w:top w:val="nil"/>
              <w:left w:val="nil"/>
              <w:bottom w:val="single" w:sz="4" w:space="0" w:color="auto"/>
              <w:right w:val="single" w:sz="4" w:space="0" w:color="auto"/>
            </w:tcBorders>
            <w:shd w:val="clear" w:color="000000" w:fill="FFC000"/>
            <w:noWrap/>
            <w:vAlign w:val="bottom"/>
            <w:hideMark/>
          </w:tcPr>
          <w:p w:rsidR="005D564E" w:rsidRPr="000C767F" w:rsidRDefault="005D564E" w:rsidP="001D7BD6">
            <w:pPr>
              <w:spacing w:after="0" w:line="240" w:lineRule="auto"/>
              <w:jc w:val="right"/>
              <w:rPr>
                <w:rFonts w:eastAsia="Times New Roman" w:cs="Times New Roman"/>
                <w:b/>
                <w:bCs/>
                <w:color w:val="000000"/>
                <w:szCs w:val="24"/>
              </w:rPr>
            </w:pPr>
            <w:r w:rsidRPr="000C767F">
              <w:rPr>
                <w:rFonts w:eastAsia="Times New Roman" w:cs="Times New Roman"/>
                <w:b/>
                <w:bCs/>
                <w:color w:val="000000"/>
                <w:szCs w:val="24"/>
              </w:rPr>
              <w:t>2014</w:t>
            </w:r>
          </w:p>
        </w:tc>
        <w:tc>
          <w:tcPr>
            <w:tcW w:w="1090" w:type="dxa"/>
            <w:tcBorders>
              <w:top w:val="nil"/>
              <w:left w:val="nil"/>
              <w:bottom w:val="single" w:sz="4" w:space="0" w:color="auto"/>
              <w:right w:val="single" w:sz="4" w:space="0" w:color="auto"/>
            </w:tcBorders>
            <w:shd w:val="clear" w:color="000000" w:fill="FFC000"/>
            <w:noWrap/>
            <w:vAlign w:val="bottom"/>
            <w:hideMark/>
          </w:tcPr>
          <w:p w:rsidR="005D564E" w:rsidRPr="000C767F" w:rsidRDefault="005D564E" w:rsidP="001D7BD6">
            <w:pPr>
              <w:spacing w:after="0" w:line="240" w:lineRule="auto"/>
              <w:jc w:val="right"/>
              <w:rPr>
                <w:rFonts w:eastAsia="Times New Roman" w:cs="Times New Roman"/>
                <w:b/>
                <w:bCs/>
                <w:color w:val="000000"/>
                <w:szCs w:val="24"/>
              </w:rPr>
            </w:pPr>
            <w:r w:rsidRPr="000C767F">
              <w:rPr>
                <w:rFonts w:eastAsia="Times New Roman" w:cs="Times New Roman"/>
                <w:b/>
                <w:bCs/>
                <w:color w:val="000000"/>
                <w:szCs w:val="24"/>
              </w:rPr>
              <w:t>2015</w:t>
            </w:r>
          </w:p>
        </w:tc>
        <w:tc>
          <w:tcPr>
            <w:tcW w:w="1090" w:type="dxa"/>
            <w:tcBorders>
              <w:top w:val="nil"/>
              <w:left w:val="nil"/>
              <w:bottom w:val="single" w:sz="4" w:space="0" w:color="auto"/>
              <w:right w:val="single" w:sz="4" w:space="0" w:color="auto"/>
            </w:tcBorders>
            <w:shd w:val="clear" w:color="000000" w:fill="FFC000"/>
            <w:noWrap/>
            <w:vAlign w:val="bottom"/>
            <w:hideMark/>
          </w:tcPr>
          <w:p w:rsidR="005D564E" w:rsidRPr="000C767F" w:rsidRDefault="005D564E" w:rsidP="001D7BD6">
            <w:pPr>
              <w:spacing w:after="0" w:line="240" w:lineRule="auto"/>
              <w:jc w:val="right"/>
              <w:rPr>
                <w:rFonts w:eastAsia="Times New Roman" w:cs="Times New Roman"/>
                <w:b/>
                <w:bCs/>
                <w:color w:val="000000"/>
                <w:szCs w:val="24"/>
              </w:rPr>
            </w:pPr>
            <w:r w:rsidRPr="000C767F">
              <w:rPr>
                <w:rFonts w:eastAsia="Times New Roman" w:cs="Times New Roman"/>
                <w:b/>
                <w:bCs/>
                <w:color w:val="000000"/>
                <w:szCs w:val="24"/>
              </w:rPr>
              <w:t>2016</w:t>
            </w:r>
          </w:p>
        </w:tc>
      </w:tr>
      <w:tr w:rsidR="005D564E" w:rsidRPr="000C767F" w:rsidTr="001D7BD6">
        <w:trPr>
          <w:trHeight w:val="315"/>
        </w:trPr>
        <w:tc>
          <w:tcPr>
            <w:tcW w:w="3510" w:type="dxa"/>
            <w:tcBorders>
              <w:top w:val="nil"/>
              <w:left w:val="single" w:sz="4" w:space="0" w:color="auto"/>
              <w:bottom w:val="single" w:sz="4" w:space="0" w:color="auto"/>
              <w:right w:val="single" w:sz="4" w:space="0" w:color="auto"/>
            </w:tcBorders>
            <w:shd w:val="clear" w:color="000000" w:fill="C5BE97"/>
            <w:noWrap/>
            <w:vAlign w:val="bottom"/>
            <w:hideMark/>
          </w:tcPr>
          <w:p w:rsidR="005D564E" w:rsidRPr="000C767F" w:rsidRDefault="005D564E" w:rsidP="001D7BD6">
            <w:pPr>
              <w:spacing w:after="0" w:line="240" w:lineRule="auto"/>
              <w:jc w:val="left"/>
              <w:rPr>
                <w:rFonts w:eastAsia="Times New Roman" w:cs="Times New Roman"/>
                <w:color w:val="000000"/>
                <w:szCs w:val="24"/>
              </w:rPr>
            </w:pPr>
            <w:r w:rsidRPr="000C767F">
              <w:rPr>
                <w:rFonts w:eastAsia="Times New Roman" w:cs="Times New Roman"/>
                <w:color w:val="000000"/>
                <w:szCs w:val="24"/>
              </w:rPr>
              <w:lastRenderedPageBreak/>
              <w:t>Total revenue earned</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0C767F" w:rsidRDefault="005D564E" w:rsidP="001D7BD6">
            <w:pPr>
              <w:spacing w:after="0" w:line="240" w:lineRule="auto"/>
              <w:jc w:val="right"/>
              <w:rPr>
                <w:rFonts w:eastAsia="Times New Roman" w:cs="Times New Roman"/>
                <w:color w:val="000000"/>
                <w:szCs w:val="24"/>
              </w:rPr>
            </w:pPr>
            <w:r w:rsidRPr="000C767F">
              <w:rPr>
                <w:rFonts w:eastAsia="Times New Roman" w:cs="Times New Roman"/>
                <w:color w:val="000000"/>
                <w:szCs w:val="24"/>
              </w:rPr>
              <w:t>18,987</w:t>
            </w:r>
          </w:p>
        </w:tc>
        <w:tc>
          <w:tcPr>
            <w:tcW w:w="1090" w:type="dxa"/>
            <w:tcBorders>
              <w:top w:val="nil"/>
              <w:left w:val="nil"/>
              <w:bottom w:val="nil"/>
              <w:right w:val="nil"/>
            </w:tcBorders>
            <w:shd w:val="clear" w:color="000000" w:fill="C5BE97"/>
            <w:noWrap/>
            <w:vAlign w:val="bottom"/>
            <w:hideMark/>
          </w:tcPr>
          <w:p w:rsidR="005D564E" w:rsidRPr="000C767F" w:rsidRDefault="005D564E" w:rsidP="001D7BD6">
            <w:pPr>
              <w:spacing w:after="0" w:line="240" w:lineRule="auto"/>
              <w:jc w:val="right"/>
              <w:rPr>
                <w:rFonts w:eastAsia="Times New Roman" w:cs="Times New Roman"/>
                <w:color w:val="000000"/>
                <w:szCs w:val="24"/>
              </w:rPr>
            </w:pPr>
            <w:r w:rsidRPr="000C767F">
              <w:rPr>
                <w:rFonts w:eastAsia="Times New Roman" w:cs="Times New Roman"/>
                <w:color w:val="000000"/>
                <w:szCs w:val="24"/>
              </w:rPr>
              <w:t>18,103</w:t>
            </w:r>
          </w:p>
        </w:tc>
        <w:tc>
          <w:tcPr>
            <w:tcW w:w="1090" w:type="dxa"/>
            <w:tcBorders>
              <w:top w:val="nil"/>
              <w:left w:val="single" w:sz="4" w:space="0" w:color="auto"/>
              <w:bottom w:val="single" w:sz="4" w:space="0" w:color="auto"/>
              <w:right w:val="single" w:sz="4" w:space="0" w:color="auto"/>
            </w:tcBorders>
            <w:shd w:val="clear" w:color="000000" w:fill="C5BE97"/>
            <w:noWrap/>
            <w:vAlign w:val="bottom"/>
            <w:hideMark/>
          </w:tcPr>
          <w:p w:rsidR="005D564E" w:rsidRPr="000C767F" w:rsidRDefault="005D564E" w:rsidP="001D7BD6">
            <w:pPr>
              <w:spacing w:after="0" w:line="240" w:lineRule="auto"/>
              <w:jc w:val="right"/>
              <w:rPr>
                <w:rFonts w:eastAsia="Times New Roman" w:cs="Times New Roman"/>
                <w:color w:val="000000"/>
                <w:szCs w:val="24"/>
              </w:rPr>
            </w:pPr>
            <w:r w:rsidRPr="000C767F">
              <w:rPr>
                <w:rFonts w:eastAsia="Times New Roman" w:cs="Times New Roman"/>
                <w:color w:val="000000"/>
                <w:szCs w:val="24"/>
              </w:rPr>
              <w:t>18,287</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0C767F" w:rsidRDefault="005D564E" w:rsidP="001D7BD6">
            <w:pPr>
              <w:spacing w:after="0" w:line="240" w:lineRule="auto"/>
              <w:jc w:val="right"/>
              <w:rPr>
                <w:rFonts w:eastAsia="Times New Roman" w:cs="Times New Roman"/>
                <w:color w:val="000000"/>
                <w:szCs w:val="24"/>
              </w:rPr>
            </w:pPr>
            <w:r w:rsidRPr="000C767F">
              <w:rPr>
                <w:rFonts w:eastAsia="Times New Roman" w:cs="Times New Roman"/>
                <w:color w:val="000000"/>
                <w:szCs w:val="24"/>
              </w:rPr>
              <w:t>17,979</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0C767F" w:rsidRDefault="005D564E" w:rsidP="001D7BD6">
            <w:pPr>
              <w:spacing w:after="0" w:line="240" w:lineRule="auto"/>
              <w:jc w:val="right"/>
              <w:rPr>
                <w:rFonts w:eastAsia="Times New Roman" w:cs="Times New Roman"/>
                <w:color w:val="000000"/>
                <w:szCs w:val="24"/>
              </w:rPr>
            </w:pPr>
            <w:r w:rsidRPr="000C767F">
              <w:rPr>
                <w:rFonts w:eastAsia="Times New Roman" w:cs="Times New Roman"/>
                <w:color w:val="000000"/>
                <w:szCs w:val="24"/>
              </w:rPr>
              <w:t>19,042</w:t>
            </w:r>
          </w:p>
        </w:tc>
      </w:tr>
      <w:tr w:rsidR="005D564E" w:rsidRPr="000C767F" w:rsidTr="001D7BD6">
        <w:trPr>
          <w:trHeight w:val="315"/>
        </w:trPr>
        <w:tc>
          <w:tcPr>
            <w:tcW w:w="3510" w:type="dxa"/>
            <w:tcBorders>
              <w:top w:val="nil"/>
              <w:left w:val="single" w:sz="4" w:space="0" w:color="auto"/>
              <w:bottom w:val="single" w:sz="4" w:space="0" w:color="auto"/>
              <w:right w:val="single" w:sz="4" w:space="0" w:color="auto"/>
            </w:tcBorders>
            <w:shd w:val="clear" w:color="000000" w:fill="C5BE97"/>
            <w:noWrap/>
            <w:vAlign w:val="bottom"/>
            <w:hideMark/>
          </w:tcPr>
          <w:p w:rsidR="005D564E" w:rsidRPr="000C767F" w:rsidRDefault="005D564E" w:rsidP="001D7BD6">
            <w:pPr>
              <w:spacing w:after="0" w:line="240" w:lineRule="auto"/>
              <w:jc w:val="left"/>
              <w:rPr>
                <w:rFonts w:eastAsia="Times New Roman" w:cs="Times New Roman"/>
                <w:color w:val="000000"/>
                <w:szCs w:val="24"/>
              </w:rPr>
            </w:pPr>
            <w:r w:rsidRPr="000C767F">
              <w:rPr>
                <w:rFonts w:eastAsia="Times New Roman" w:cs="Times New Roman"/>
                <w:color w:val="000000"/>
                <w:szCs w:val="24"/>
              </w:rPr>
              <w:t>Net profit, PAT</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0C767F" w:rsidRDefault="005D564E" w:rsidP="001D7BD6">
            <w:pPr>
              <w:spacing w:after="0" w:line="240" w:lineRule="auto"/>
              <w:jc w:val="right"/>
              <w:rPr>
                <w:rFonts w:eastAsia="Times New Roman" w:cs="Times New Roman"/>
                <w:color w:val="000000"/>
                <w:szCs w:val="24"/>
              </w:rPr>
            </w:pPr>
            <w:r w:rsidRPr="000C767F">
              <w:rPr>
                <w:rFonts w:eastAsia="Times New Roman" w:cs="Times New Roman"/>
                <w:color w:val="000000"/>
                <w:szCs w:val="24"/>
              </w:rPr>
              <w:t>1,974</w:t>
            </w:r>
          </w:p>
        </w:tc>
        <w:tc>
          <w:tcPr>
            <w:tcW w:w="1090" w:type="dxa"/>
            <w:tcBorders>
              <w:top w:val="single" w:sz="4" w:space="0" w:color="auto"/>
              <w:left w:val="nil"/>
              <w:bottom w:val="single" w:sz="4" w:space="0" w:color="auto"/>
              <w:right w:val="single" w:sz="4" w:space="0" w:color="auto"/>
            </w:tcBorders>
            <w:shd w:val="clear" w:color="000000" w:fill="C5BE97"/>
            <w:noWrap/>
            <w:vAlign w:val="bottom"/>
            <w:hideMark/>
          </w:tcPr>
          <w:p w:rsidR="005D564E" w:rsidRPr="000C767F" w:rsidRDefault="005D564E" w:rsidP="001D7BD6">
            <w:pPr>
              <w:spacing w:after="0" w:line="240" w:lineRule="auto"/>
              <w:jc w:val="right"/>
              <w:rPr>
                <w:rFonts w:eastAsia="Times New Roman" w:cs="Times New Roman"/>
                <w:color w:val="000000"/>
                <w:szCs w:val="24"/>
              </w:rPr>
            </w:pPr>
            <w:r w:rsidRPr="000C767F">
              <w:rPr>
                <w:rFonts w:eastAsia="Times New Roman" w:cs="Times New Roman"/>
                <w:color w:val="000000"/>
                <w:szCs w:val="24"/>
              </w:rPr>
              <w:t>2,149</w:t>
            </w:r>
          </w:p>
        </w:tc>
        <w:tc>
          <w:tcPr>
            <w:tcW w:w="1090" w:type="dxa"/>
            <w:tcBorders>
              <w:top w:val="single" w:sz="4" w:space="0" w:color="auto"/>
              <w:left w:val="nil"/>
              <w:bottom w:val="single" w:sz="4" w:space="0" w:color="auto"/>
              <w:right w:val="nil"/>
            </w:tcBorders>
            <w:shd w:val="clear" w:color="000000" w:fill="C5BE97"/>
            <w:noWrap/>
            <w:vAlign w:val="bottom"/>
            <w:hideMark/>
          </w:tcPr>
          <w:p w:rsidR="005D564E" w:rsidRPr="000C767F" w:rsidRDefault="005D564E" w:rsidP="001D7BD6">
            <w:pPr>
              <w:spacing w:after="0" w:line="240" w:lineRule="auto"/>
              <w:jc w:val="right"/>
              <w:rPr>
                <w:rFonts w:eastAsia="Times New Roman" w:cs="Times New Roman"/>
                <w:color w:val="000000"/>
                <w:szCs w:val="24"/>
              </w:rPr>
            </w:pPr>
            <w:r w:rsidRPr="000C767F">
              <w:rPr>
                <w:rFonts w:eastAsia="Times New Roman" w:cs="Times New Roman"/>
                <w:color w:val="000000"/>
                <w:szCs w:val="24"/>
              </w:rPr>
              <w:t>2,179</w:t>
            </w:r>
          </w:p>
        </w:tc>
        <w:tc>
          <w:tcPr>
            <w:tcW w:w="1090" w:type="dxa"/>
            <w:tcBorders>
              <w:top w:val="nil"/>
              <w:left w:val="single" w:sz="4" w:space="0" w:color="auto"/>
              <w:bottom w:val="single" w:sz="4" w:space="0" w:color="auto"/>
              <w:right w:val="single" w:sz="4" w:space="0" w:color="auto"/>
            </w:tcBorders>
            <w:shd w:val="clear" w:color="000000" w:fill="C5BE97"/>
            <w:noWrap/>
            <w:vAlign w:val="bottom"/>
            <w:hideMark/>
          </w:tcPr>
          <w:p w:rsidR="005D564E" w:rsidRPr="000C767F" w:rsidRDefault="005D564E" w:rsidP="001D7BD6">
            <w:pPr>
              <w:spacing w:after="0" w:line="240" w:lineRule="auto"/>
              <w:jc w:val="right"/>
              <w:rPr>
                <w:rFonts w:eastAsia="Times New Roman" w:cs="Times New Roman"/>
                <w:color w:val="000000"/>
                <w:szCs w:val="24"/>
              </w:rPr>
            </w:pPr>
            <w:r w:rsidRPr="000C767F">
              <w:rPr>
                <w:rFonts w:eastAsia="Times New Roman" w:cs="Times New Roman"/>
                <w:color w:val="000000"/>
                <w:szCs w:val="24"/>
              </w:rPr>
              <w:t>2,310</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0C767F" w:rsidRDefault="005D564E" w:rsidP="001D7BD6">
            <w:pPr>
              <w:spacing w:after="0" w:line="240" w:lineRule="auto"/>
              <w:jc w:val="right"/>
              <w:rPr>
                <w:rFonts w:eastAsia="Times New Roman" w:cs="Times New Roman"/>
                <w:color w:val="000000"/>
                <w:szCs w:val="24"/>
              </w:rPr>
            </w:pPr>
            <w:r w:rsidRPr="000C767F">
              <w:rPr>
                <w:rFonts w:eastAsia="Times New Roman" w:cs="Times New Roman"/>
                <w:color w:val="000000"/>
                <w:szCs w:val="24"/>
              </w:rPr>
              <w:t>2,855</w:t>
            </w:r>
          </w:p>
        </w:tc>
      </w:tr>
      <w:tr w:rsidR="005D564E" w:rsidRPr="000C767F" w:rsidTr="001D7BD6">
        <w:trPr>
          <w:trHeight w:val="315"/>
        </w:trPr>
        <w:tc>
          <w:tcPr>
            <w:tcW w:w="3510" w:type="dxa"/>
            <w:tcBorders>
              <w:top w:val="nil"/>
              <w:left w:val="single" w:sz="4" w:space="0" w:color="auto"/>
              <w:bottom w:val="single" w:sz="4" w:space="0" w:color="auto"/>
              <w:right w:val="single" w:sz="4" w:space="0" w:color="auto"/>
            </w:tcBorders>
            <w:shd w:val="clear" w:color="000000" w:fill="C5BE97"/>
            <w:noWrap/>
            <w:vAlign w:val="bottom"/>
            <w:hideMark/>
          </w:tcPr>
          <w:p w:rsidR="005D564E" w:rsidRPr="000C767F" w:rsidRDefault="005D564E" w:rsidP="001D7BD6">
            <w:pPr>
              <w:spacing w:after="0" w:line="240" w:lineRule="auto"/>
              <w:jc w:val="left"/>
              <w:rPr>
                <w:rFonts w:eastAsia="Times New Roman" w:cs="Times New Roman"/>
                <w:color w:val="000000"/>
                <w:szCs w:val="24"/>
              </w:rPr>
            </w:pPr>
            <w:r w:rsidRPr="000C767F">
              <w:rPr>
                <w:rFonts w:eastAsia="Times New Roman" w:cs="Times New Roman"/>
                <w:color w:val="000000"/>
                <w:szCs w:val="24"/>
              </w:rPr>
              <w:t xml:space="preserve">Net Profit margin (Net profit or PAT/Net sales): </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0C767F" w:rsidRDefault="005D564E" w:rsidP="001D7BD6">
            <w:pPr>
              <w:spacing w:after="0" w:line="240" w:lineRule="auto"/>
              <w:jc w:val="right"/>
              <w:rPr>
                <w:rFonts w:eastAsia="Times New Roman" w:cs="Times New Roman"/>
                <w:color w:val="000000"/>
                <w:szCs w:val="24"/>
              </w:rPr>
            </w:pPr>
            <w:r w:rsidRPr="000C767F">
              <w:rPr>
                <w:rFonts w:eastAsia="Times New Roman" w:cs="Times New Roman"/>
                <w:color w:val="000000"/>
                <w:szCs w:val="24"/>
              </w:rPr>
              <w:t>10%</w:t>
            </w:r>
          </w:p>
        </w:tc>
        <w:tc>
          <w:tcPr>
            <w:tcW w:w="1090" w:type="dxa"/>
            <w:tcBorders>
              <w:top w:val="single" w:sz="4" w:space="0" w:color="auto"/>
              <w:left w:val="nil"/>
              <w:bottom w:val="single" w:sz="4" w:space="0" w:color="auto"/>
              <w:right w:val="single" w:sz="4" w:space="0" w:color="auto"/>
            </w:tcBorders>
            <w:shd w:val="clear" w:color="000000" w:fill="C5BE97"/>
            <w:noWrap/>
            <w:vAlign w:val="bottom"/>
            <w:hideMark/>
          </w:tcPr>
          <w:p w:rsidR="005D564E" w:rsidRPr="000C767F" w:rsidRDefault="005D564E" w:rsidP="001D7BD6">
            <w:pPr>
              <w:spacing w:after="0" w:line="240" w:lineRule="auto"/>
              <w:jc w:val="right"/>
              <w:rPr>
                <w:rFonts w:eastAsia="Times New Roman" w:cs="Times New Roman"/>
                <w:color w:val="000000"/>
                <w:szCs w:val="24"/>
              </w:rPr>
            </w:pPr>
            <w:r w:rsidRPr="000C767F">
              <w:rPr>
                <w:rFonts w:eastAsia="Times New Roman" w:cs="Times New Roman"/>
                <w:color w:val="000000"/>
                <w:szCs w:val="24"/>
              </w:rPr>
              <w:t>12%</w:t>
            </w:r>
          </w:p>
        </w:tc>
        <w:tc>
          <w:tcPr>
            <w:tcW w:w="1090" w:type="dxa"/>
            <w:tcBorders>
              <w:top w:val="single" w:sz="4" w:space="0" w:color="auto"/>
              <w:left w:val="nil"/>
              <w:bottom w:val="nil"/>
              <w:right w:val="nil"/>
            </w:tcBorders>
            <w:shd w:val="clear" w:color="000000" w:fill="C5BE97"/>
            <w:noWrap/>
            <w:vAlign w:val="bottom"/>
            <w:hideMark/>
          </w:tcPr>
          <w:p w:rsidR="005D564E" w:rsidRPr="000C767F" w:rsidRDefault="005D564E" w:rsidP="001D7BD6">
            <w:pPr>
              <w:spacing w:after="0" w:line="240" w:lineRule="auto"/>
              <w:jc w:val="right"/>
              <w:rPr>
                <w:rFonts w:eastAsia="Times New Roman" w:cs="Times New Roman"/>
                <w:color w:val="000000"/>
                <w:szCs w:val="24"/>
              </w:rPr>
            </w:pPr>
            <w:r w:rsidRPr="000C767F">
              <w:rPr>
                <w:rFonts w:eastAsia="Times New Roman" w:cs="Times New Roman"/>
                <w:color w:val="000000"/>
                <w:szCs w:val="24"/>
              </w:rPr>
              <w:t>12%</w:t>
            </w:r>
          </w:p>
        </w:tc>
        <w:tc>
          <w:tcPr>
            <w:tcW w:w="1090" w:type="dxa"/>
            <w:tcBorders>
              <w:top w:val="nil"/>
              <w:left w:val="single" w:sz="4" w:space="0" w:color="auto"/>
              <w:bottom w:val="single" w:sz="4" w:space="0" w:color="auto"/>
              <w:right w:val="single" w:sz="4" w:space="0" w:color="auto"/>
            </w:tcBorders>
            <w:shd w:val="clear" w:color="000000" w:fill="C5BE97"/>
            <w:noWrap/>
            <w:vAlign w:val="bottom"/>
            <w:hideMark/>
          </w:tcPr>
          <w:p w:rsidR="005D564E" w:rsidRPr="000C767F" w:rsidRDefault="005D564E" w:rsidP="001D7BD6">
            <w:pPr>
              <w:spacing w:after="0" w:line="240" w:lineRule="auto"/>
              <w:jc w:val="right"/>
              <w:rPr>
                <w:rFonts w:eastAsia="Times New Roman" w:cs="Times New Roman"/>
                <w:color w:val="000000"/>
                <w:szCs w:val="24"/>
              </w:rPr>
            </w:pPr>
            <w:r w:rsidRPr="000C767F">
              <w:rPr>
                <w:rFonts w:eastAsia="Times New Roman" w:cs="Times New Roman"/>
                <w:color w:val="000000"/>
                <w:szCs w:val="24"/>
              </w:rPr>
              <w:t>13%</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0C767F" w:rsidRDefault="005D564E" w:rsidP="001D7BD6">
            <w:pPr>
              <w:spacing w:after="0" w:line="240" w:lineRule="auto"/>
              <w:jc w:val="right"/>
              <w:rPr>
                <w:rFonts w:eastAsia="Times New Roman" w:cs="Times New Roman"/>
                <w:color w:val="000000"/>
                <w:szCs w:val="24"/>
              </w:rPr>
            </w:pPr>
            <w:r w:rsidRPr="000C767F">
              <w:rPr>
                <w:rFonts w:eastAsia="Times New Roman" w:cs="Times New Roman"/>
                <w:color w:val="000000"/>
                <w:szCs w:val="24"/>
              </w:rPr>
              <w:t>15%</w:t>
            </w:r>
          </w:p>
        </w:tc>
      </w:tr>
    </w:tbl>
    <w:p w:rsidR="005D564E" w:rsidRDefault="005D564E" w:rsidP="005D564E">
      <w:pPr>
        <w:rPr>
          <w:b/>
        </w:rPr>
      </w:pPr>
    </w:p>
    <w:p w:rsidR="005D564E" w:rsidRDefault="005D564E" w:rsidP="005D564E">
      <w:r w:rsidRPr="00F73248">
        <w:t>The Net profit margin of the organization</w:t>
      </w:r>
      <w:r>
        <w:t xml:space="preserve"> has also registered a similar trend just like the operating profit margin and has depicted a pattern of stable to slow growth over years. Looking at the sales revenue earning patterns of the organization it can be seen that the revenue earning in 2013 has declined by 5% over the previous years and has shown a slight recovery with a growth of 1% in 2014 and again declined by 2% 2015 and again attained a growth of 6% in 2016.The underlying reason that can be identified is that the business has continually suffered due to the negative impact of the exchange rate which has prevented the business to make a strong revenue earnings. But as the efficiency of the business in controlling both the operational expenses as well as the overhead expenses has helped the business to earn a stable and growing net profit an d the net profit has grown at a rate of 9% in 2013, 1% in 2014, 6% in 2015 and in 24% in 2016.Thus even if with a very little growth or sometimes no growth in the revenue earnings the business has managed to generate a growing net profit margin over years during the study period of 2012-2016 due to the cost controlling efficiency</w:t>
      </w:r>
      <w:r w:rsidRPr="009216F2">
        <w:t xml:space="preserve"> (Btplc.com, 2015)</w:t>
      </w:r>
      <w:r>
        <w:t>.</w:t>
      </w:r>
    </w:p>
    <w:p w:rsidR="005D564E" w:rsidRPr="00826D6F" w:rsidRDefault="005D564E" w:rsidP="005D564E">
      <w:pPr>
        <w:rPr>
          <w:b/>
        </w:rPr>
      </w:pPr>
      <w:r w:rsidRPr="00826D6F">
        <w:rPr>
          <w:b/>
        </w:rPr>
        <w:t>Current Ratio:</w:t>
      </w:r>
    </w:p>
    <w:tbl>
      <w:tblPr>
        <w:tblW w:w="8960" w:type="dxa"/>
        <w:tblInd w:w="98" w:type="dxa"/>
        <w:tblLook w:val="04A0" w:firstRow="1" w:lastRow="0" w:firstColumn="1" w:lastColumn="0" w:noHBand="0" w:noVBand="1"/>
      </w:tblPr>
      <w:tblGrid>
        <w:gridCol w:w="3510"/>
        <w:gridCol w:w="1090"/>
        <w:gridCol w:w="1090"/>
        <w:gridCol w:w="1090"/>
        <w:gridCol w:w="1090"/>
        <w:gridCol w:w="1090"/>
      </w:tblGrid>
      <w:tr w:rsidR="005D564E" w:rsidRPr="00FD54A2" w:rsidTr="001D7BD6">
        <w:trPr>
          <w:trHeight w:val="330"/>
        </w:trPr>
        <w:tc>
          <w:tcPr>
            <w:tcW w:w="8960" w:type="dxa"/>
            <w:gridSpan w:val="6"/>
            <w:tcBorders>
              <w:top w:val="single" w:sz="8" w:space="0" w:color="auto"/>
              <w:left w:val="single" w:sz="8" w:space="0" w:color="auto"/>
              <w:bottom w:val="single" w:sz="8" w:space="0" w:color="auto"/>
              <w:right w:val="single" w:sz="8" w:space="0" w:color="000000"/>
            </w:tcBorders>
            <w:shd w:val="clear" w:color="000000" w:fill="FFC000"/>
            <w:noWrap/>
            <w:vAlign w:val="bottom"/>
            <w:hideMark/>
          </w:tcPr>
          <w:p w:rsidR="005D564E" w:rsidRPr="00FD54A2" w:rsidRDefault="005D564E" w:rsidP="001D7BD6">
            <w:pPr>
              <w:spacing w:after="0" w:line="240" w:lineRule="auto"/>
              <w:jc w:val="center"/>
              <w:rPr>
                <w:rFonts w:eastAsia="Times New Roman" w:cs="Times New Roman"/>
                <w:b/>
                <w:bCs/>
                <w:color w:val="000000"/>
                <w:szCs w:val="24"/>
              </w:rPr>
            </w:pPr>
            <w:r w:rsidRPr="00FD54A2">
              <w:rPr>
                <w:rFonts w:eastAsia="Times New Roman" w:cs="Times New Roman"/>
                <w:b/>
                <w:bCs/>
                <w:color w:val="000000"/>
                <w:szCs w:val="24"/>
              </w:rPr>
              <w:t>British telecom(BT) Ratio Analysis</w:t>
            </w:r>
          </w:p>
        </w:tc>
      </w:tr>
      <w:tr w:rsidR="005D564E" w:rsidRPr="00FD54A2" w:rsidTr="001D7BD6">
        <w:trPr>
          <w:trHeight w:val="315"/>
        </w:trPr>
        <w:tc>
          <w:tcPr>
            <w:tcW w:w="3510" w:type="dxa"/>
            <w:tcBorders>
              <w:top w:val="nil"/>
              <w:left w:val="single" w:sz="4" w:space="0" w:color="auto"/>
              <w:bottom w:val="single" w:sz="4" w:space="0" w:color="auto"/>
              <w:right w:val="single" w:sz="4" w:space="0" w:color="auto"/>
            </w:tcBorders>
            <w:shd w:val="clear" w:color="000000" w:fill="DBE5F1"/>
            <w:noWrap/>
            <w:vAlign w:val="bottom"/>
            <w:hideMark/>
          </w:tcPr>
          <w:p w:rsidR="005D564E" w:rsidRPr="00FD54A2" w:rsidRDefault="005D564E" w:rsidP="001D7BD6">
            <w:pPr>
              <w:spacing w:after="0" w:line="240" w:lineRule="auto"/>
              <w:jc w:val="left"/>
              <w:rPr>
                <w:rFonts w:eastAsia="Times New Roman" w:cs="Times New Roman"/>
                <w:b/>
                <w:bCs/>
                <w:color w:val="000000"/>
                <w:szCs w:val="24"/>
              </w:rPr>
            </w:pPr>
            <w:r w:rsidRPr="00FD54A2">
              <w:rPr>
                <w:rFonts w:eastAsia="Times New Roman" w:cs="Times New Roman"/>
                <w:b/>
                <w:bCs/>
                <w:color w:val="000000"/>
                <w:szCs w:val="24"/>
              </w:rPr>
              <w:t xml:space="preserve">Items of financial statement  </w:t>
            </w:r>
          </w:p>
        </w:tc>
        <w:tc>
          <w:tcPr>
            <w:tcW w:w="1090" w:type="dxa"/>
            <w:tcBorders>
              <w:top w:val="nil"/>
              <w:left w:val="nil"/>
              <w:bottom w:val="single" w:sz="4" w:space="0" w:color="auto"/>
              <w:right w:val="single" w:sz="4" w:space="0" w:color="auto"/>
            </w:tcBorders>
            <w:shd w:val="clear" w:color="000000" w:fill="DBE5F1"/>
            <w:noWrap/>
            <w:vAlign w:val="bottom"/>
            <w:hideMark/>
          </w:tcPr>
          <w:p w:rsidR="005D564E" w:rsidRPr="00FD54A2" w:rsidRDefault="005D564E" w:rsidP="001D7BD6">
            <w:pPr>
              <w:spacing w:after="0" w:line="240" w:lineRule="auto"/>
              <w:jc w:val="left"/>
              <w:rPr>
                <w:rFonts w:eastAsia="Times New Roman" w:cs="Times New Roman"/>
                <w:color w:val="000000"/>
                <w:szCs w:val="24"/>
              </w:rPr>
            </w:pPr>
            <w:r w:rsidRPr="00FD54A2">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5D564E" w:rsidRPr="00FD54A2" w:rsidRDefault="005D564E" w:rsidP="001D7BD6">
            <w:pPr>
              <w:spacing w:after="0" w:line="240" w:lineRule="auto"/>
              <w:jc w:val="left"/>
              <w:rPr>
                <w:rFonts w:eastAsia="Times New Roman" w:cs="Times New Roman"/>
                <w:color w:val="000000"/>
                <w:szCs w:val="24"/>
              </w:rPr>
            </w:pPr>
            <w:r w:rsidRPr="00FD54A2">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5D564E" w:rsidRPr="00FD54A2" w:rsidRDefault="005D564E" w:rsidP="001D7BD6">
            <w:pPr>
              <w:spacing w:after="0" w:line="240" w:lineRule="auto"/>
              <w:jc w:val="left"/>
              <w:rPr>
                <w:rFonts w:eastAsia="Times New Roman" w:cs="Times New Roman"/>
                <w:color w:val="000000"/>
                <w:szCs w:val="24"/>
              </w:rPr>
            </w:pPr>
            <w:r w:rsidRPr="00FD54A2">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5D564E" w:rsidRPr="00FD54A2" w:rsidRDefault="005D564E" w:rsidP="001D7BD6">
            <w:pPr>
              <w:spacing w:after="0" w:line="240" w:lineRule="auto"/>
              <w:jc w:val="left"/>
              <w:rPr>
                <w:rFonts w:eastAsia="Times New Roman" w:cs="Times New Roman"/>
                <w:color w:val="000000"/>
                <w:szCs w:val="24"/>
              </w:rPr>
            </w:pPr>
            <w:r w:rsidRPr="00FD54A2">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5D564E" w:rsidRPr="00FD54A2" w:rsidRDefault="005D564E" w:rsidP="001D7BD6">
            <w:pPr>
              <w:spacing w:after="0" w:line="240" w:lineRule="auto"/>
              <w:jc w:val="left"/>
              <w:rPr>
                <w:rFonts w:eastAsia="Times New Roman" w:cs="Times New Roman"/>
                <w:color w:val="000000"/>
                <w:szCs w:val="24"/>
              </w:rPr>
            </w:pPr>
            <w:r w:rsidRPr="00FD54A2">
              <w:rPr>
                <w:rFonts w:eastAsia="Times New Roman" w:cs="Times New Roman"/>
                <w:color w:val="000000"/>
                <w:szCs w:val="24"/>
              </w:rPr>
              <w:t>£,million</w:t>
            </w:r>
          </w:p>
        </w:tc>
      </w:tr>
      <w:tr w:rsidR="005D564E" w:rsidRPr="00FD54A2" w:rsidTr="001D7BD6">
        <w:trPr>
          <w:trHeight w:val="315"/>
        </w:trPr>
        <w:tc>
          <w:tcPr>
            <w:tcW w:w="3510" w:type="dxa"/>
            <w:tcBorders>
              <w:top w:val="nil"/>
              <w:left w:val="single" w:sz="4" w:space="0" w:color="auto"/>
              <w:bottom w:val="single" w:sz="4" w:space="0" w:color="auto"/>
              <w:right w:val="single" w:sz="4" w:space="0" w:color="auto"/>
            </w:tcBorders>
            <w:shd w:val="clear" w:color="000000" w:fill="FFC000"/>
            <w:noWrap/>
            <w:vAlign w:val="bottom"/>
            <w:hideMark/>
          </w:tcPr>
          <w:p w:rsidR="005D564E" w:rsidRPr="00FD54A2" w:rsidRDefault="005D564E" w:rsidP="001D7BD6">
            <w:pPr>
              <w:spacing w:after="0" w:line="240" w:lineRule="auto"/>
              <w:jc w:val="left"/>
              <w:rPr>
                <w:rFonts w:eastAsia="Times New Roman" w:cs="Times New Roman"/>
                <w:b/>
                <w:bCs/>
                <w:color w:val="000000"/>
                <w:szCs w:val="24"/>
              </w:rPr>
            </w:pPr>
            <w:r w:rsidRPr="00FD54A2">
              <w:rPr>
                <w:rFonts w:eastAsia="Times New Roman" w:cs="Times New Roman"/>
                <w:b/>
                <w:bCs/>
                <w:color w:val="000000"/>
                <w:szCs w:val="24"/>
              </w:rPr>
              <w:t>Years</w:t>
            </w:r>
          </w:p>
        </w:tc>
        <w:tc>
          <w:tcPr>
            <w:tcW w:w="1090" w:type="dxa"/>
            <w:tcBorders>
              <w:top w:val="nil"/>
              <w:left w:val="nil"/>
              <w:bottom w:val="single" w:sz="4" w:space="0" w:color="auto"/>
              <w:right w:val="single" w:sz="4" w:space="0" w:color="auto"/>
            </w:tcBorders>
            <w:shd w:val="clear" w:color="000000" w:fill="FFC000"/>
            <w:noWrap/>
            <w:vAlign w:val="bottom"/>
            <w:hideMark/>
          </w:tcPr>
          <w:p w:rsidR="005D564E" w:rsidRPr="00FD54A2" w:rsidRDefault="005D564E" w:rsidP="001D7BD6">
            <w:pPr>
              <w:spacing w:after="0" w:line="240" w:lineRule="auto"/>
              <w:jc w:val="right"/>
              <w:rPr>
                <w:rFonts w:eastAsia="Times New Roman" w:cs="Times New Roman"/>
                <w:b/>
                <w:bCs/>
                <w:color w:val="000000"/>
                <w:szCs w:val="24"/>
              </w:rPr>
            </w:pPr>
            <w:r w:rsidRPr="00FD54A2">
              <w:rPr>
                <w:rFonts w:eastAsia="Times New Roman" w:cs="Times New Roman"/>
                <w:b/>
                <w:bCs/>
                <w:color w:val="000000"/>
                <w:szCs w:val="24"/>
              </w:rPr>
              <w:t>2012</w:t>
            </w:r>
          </w:p>
        </w:tc>
        <w:tc>
          <w:tcPr>
            <w:tcW w:w="1090" w:type="dxa"/>
            <w:tcBorders>
              <w:top w:val="nil"/>
              <w:left w:val="nil"/>
              <w:bottom w:val="single" w:sz="4" w:space="0" w:color="auto"/>
              <w:right w:val="single" w:sz="4" w:space="0" w:color="auto"/>
            </w:tcBorders>
            <w:shd w:val="clear" w:color="000000" w:fill="FFC000"/>
            <w:noWrap/>
            <w:vAlign w:val="bottom"/>
            <w:hideMark/>
          </w:tcPr>
          <w:p w:rsidR="005D564E" w:rsidRPr="00FD54A2" w:rsidRDefault="005D564E" w:rsidP="001D7BD6">
            <w:pPr>
              <w:spacing w:after="0" w:line="240" w:lineRule="auto"/>
              <w:jc w:val="right"/>
              <w:rPr>
                <w:rFonts w:eastAsia="Times New Roman" w:cs="Times New Roman"/>
                <w:b/>
                <w:bCs/>
                <w:color w:val="000000"/>
                <w:szCs w:val="24"/>
              </w:rPr>
            </w:pPr>
            <w:r w:rsidRPr="00FD54A2">
              <w:rPr>
                <w:rFonts w:eastAsia="Times New Roman" w:cs="Times New Roman"/>
                <w:b/>
                <w:bCs/>
                <w:color w:val="000000"/>
                <w:szCs w:val="24"/>
              </w:rPr>
              <w:t>2013</w:t>
            </w:r>
          </w:p>
        </w:tc>
        <w:tc>
          <w:tcPr>
            <w:tcW w:w="1090" w:type="dxa"/>
            <w:tcBorders>
              <w:top w:val="nil"/>
              <w:left w:val="nil"/>
              <w:bottom w:val="single" w:sz="4" w:space="0" w:color="auto"/>
              <w:right w:val="single" w:sz="4" w:space="0" w:color="auto"/>
            </w:tcBorders>
            <w:shd w:val="clear" w:color="000000" w:fill="FFC000"/>
            <w:noWrap/>
            <w:vAlign w:val="bottom"/>
            <w:hideMark/>
          </w:tcPr>
          <w:p w:rsidR="005D564E" w:rsidRPr="00FD54A2" w:rsidRDefault="005D564E" w:rsidP="001D7BD6">
            <w:pPr>
              <w:spacing w:after="0" w:line="240" w:lineRule="auto"/>
              <w:jc w:val="right"/>
              <w:rPr>
                <w:rFonts w:eastAsia="Times New Roman" w:cs="Times New Roman"/>
                <w:b/>
                <w:bCs/>
                <w:color w:val="000000"/>
                <w:szCs w:val="24"/>
              </w:rPr>
            </w:pPr>
            <w:r w:rsidRPr="00FD54A2">
              <w:rPr>
                <w:rFonts w:eastAsia="Times New Roman" w:cs="Times New Roman"/>
                <w:b/>
                <w:bCs/>
                <w:color w:val="000000"/>
                <w:szCs w:val="24"/>
              </w:rPr>
              <w:t>2014</w:t>
            </w:r>
          </w:p>
        </w:tc>
        <w:tc>
          <w:tcPr>
            <w:tcW w:w="1090" w:type="dxa"/>
            <w:tcBorders>
              <w:top w:val="nil"/>
              <w:left w:val="nil"/>
              <w:bottom w:val="single" w:sz="4" w:space="0" w:color="auto"/>
              <w:right w:val="single" w:sz="4" w:space="0" w:color="auto"/>
            </w:tcBorders>
            <w:shd w:val="clear" w:color="000000" w:fill="FFC000"/>
            <w:noWrap/>
            <w:vAlign w:val="bottom"/>
            <w:hideMark/>
          </w:tcPr>
          <w:p w:rsidR="005D564E" w:rsidRPr="00FD54A2" w:rsidRDefault="005D564E" w:rsidP="001D7BD6">
            <w:pPr>
              <w:spacing w:after="0" w:line="240" w:lineRule="auto"/>
              <w:jc w:val="right"/>
              <w:rPr>
                <w:rFonts w:eastAsia="Times New Roman" w:cs="Times New Roman"/>
                <w:b/>
                <w:bCs/>
                <w:color w:val="000000"/>
                <w:szCs w:val="24"/>
              </w:rPr>
            </w:pPr>
            <w:r w:rsidRPr="00FD54A2">
              <w:rPr>
                <w:rFonts w:eastAsia="Times New Roman" w:cs="Times New Roman"/>
                <w:b/>
                <w:bCs/>
                <w:color w:val="000000"/>
                <w:szCs w:val="24"/>
              </w:rPr>
              <w:t>2015</w:t>
            </w:r>
          </w:p>
        </w:tc>
        <w:tc>
          <w:tcPr>
            <w:tcW w:w="1090" w:type="dxa"/>
            <w:tcBorders>
              <w:top w:val="nil"/>
              <w:left w:val="nil"/>
              <w:bottom w:val="single" w:sz="4" w:space="0" w:color="auto"/>
              <w:right w:val="single" w:sz="4" w:space="0" w:color="auto"/>
            </w:tcBorders>
            <w:shd w:val="clear" w:color="000000" w:fill="FFC000"/>
            <w:noWrap/>
            <w:vAlign w:val="bottom"/>
            <w:hideMark/>
          </w:tcPr>
          <w:p w:rsidR="005D564E" w:rsidRPr="00FD54A2" w:rsidRDefault="005D564E" w:rsidP="001D7BD6">
            <w:pPr>
              <w:spacing w:after="0" w:line="240" w:lineRule="auto"/>
              <w:jc w:val="right"/>
              <w:rPr>
                <w:rFonts w:eastAsia="Times New Roman" w:cs="Times New Roman"/>
                <w:b/>
                <w:bCs/>
                <w:color w:val="000000"/>
                <w:szCs w:val="24"/>
              </w:rPr>
            </w:pPr>
            <w:r w:rsidRPr="00FD54A2">
              <w:rPr>
                <w:rFonts w:eastAsia="Times New Roman" w:cs="Times New Roman"/>
                <w:b/>
                <w:bCs/>
                <w:color w:val="000000"/>
                <w:szCs w:val="24"/>
              </w:rPr>
              <w:t>2016</w:t>
            </w:r>
          </w:p>
        </w:tc>
      </w:tr>
      <w:tr w:rsidR="005D564E" w:rsidRPr="00FD54A2" w:rsidTr="001D7BD6">
        <w:trPr>
          <w:trHeight w:val="315"/>
        </w:trPr>
        <w:tc>
          <w:tcPr>
            <w:tcW w:w="3510" w:type="dxa"/>
            <w:tcBorders>
              <w:top w:val="nil"/>
              <w:left w:val="single" w:sz="4" w:space="0" w:color="auto"/>
              <w:bottom w:val="single" w:sz="4" w:space="0" w:color="auto"/>
              <w:right w:val="single" w:sz="4" w:space="0" w:color="auto"/>
            </w:tcBorders>
            <w:shd w:val="clear" w:color="000000" w:fill="C5BE97"/>
            <w:noWrap/>
            <w:vAlign w:val="bottom"/>
            <w:hideMark/>
          </w:tcPr>
          <w:p w:rsidR="005D564E" w:rsidRPr="00FD54A2" w:rsidRDefault="005D564E" w:rsidP="001D7BD6">
            <w:pPr>
              <w:spacing w:after="0" w:line="240" w:lineRule="auto"/>
              <w:jc w:val="left"/>
              <w:rPr>
                <w:rFonts w:eastAsia="Times New Roman" w:cs="Times New Roman"/>
                <w:color w:val="000000"/>
                <w:szCs w:val="24"/>
              </w:rPr>
            </w:pPr>
            <w:r w:rsidRPr="00FD54A2">
              <w:rPr>
                <w:rFonts w:eastAsia="Times New Roman" w:cs="Times New Roman"/>
                <w:color w:val="000000"/>
                <w:szCs w:val="24"/>
              </w:rPr>
              <w:t>Current asset</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FD54A2" w:rsidRDefault="005D564E" w:rsidP="001D7BD6">
            <w:pPr>
              <w:spacing w:after="0" w:line="240" w:lineRule="auto"/>
              <w:jc w:val="right"/>
              <w:rPr>
                <w:rFonts w:eastAsia="Times New Roman" w:cs="Times New Roman"/>
                <w:color w:val="000000"/>
                <w:szCs w:val="24"/>
              </w:rPr>
            </w:pPr>
            <w:r w:rsidRPr="00FD54A2">
              <w:rPr>
                <w:rFonts w:eastAsia="Times New Roman" w:cs="Times New Roman"/>
                <w:color w:val="000000"/>
                <w:szCs w:val="24"/>
              </w:rPr>
              <w:t>4,531</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FD54A2" w:rsidRDefault="005D564E" w:rsidP="001D7BD6">
            <w:pPr>
              <w:spacing w:after="0" w:line="240" w:lineRule="auto"/>
              <w:jc w:val="right"/>
              <w:rPr>
                <w:rFonts w:eastAsia="Times New Roman" w:cs="Times New Roman"/>
                <w:color w:val="000000"/>
                <w:szCs w:val="24"/>
              </w:rPr>
            </w:pPr>
            <w:r w:rsidRPr="00FD54A2">
              <w:rPr>
                <w:rFonts w:eastAsia="Times New Roman" w:cs="Times New Roman"/>
                <w:color w:val="000000"/>
                <w:szCs w:val="24"/>
              </w:rPr>
              <w:t>5,417</w:t>
            </w:r>
          </w:p>
        </w:tc>
        <w:tc>
          <w:tcPr>
            <w:tcW w:w="1090" w:type="dxa"/>
            <w:tcBorders>
              <w:top w:val="single" w:sz="4" w:space="0" w:color="auto"/>
              <w:left w:val="nil"/>
              <w:bottom w:val="single" w:sz="4" w:space="0" w:color="auto"/>
              <w:right w:val="single" w:sz="4" w:space="0" w:color="auto"/>
            </w:tcBorders>
            <w:shd w:val="clear" w:color="000000" w:fill="C5BE97"/>
            <w:noWrap/>
            <w:vAlign w:val="bottom"/>
            <w:hideMark/>
          </w:tcPr>
          <w:p w:rsidR="005D564E" w:rsidRPr="00FD54A2" w:rsidRDefault="005D564E" w:rsidP="001D7BD6">
            <w:pPr>
              <w:spacing w:after="0" w:line="240" w:lineRule="auto"/>
              <w:jc w:val="right"/>
              <w:rPr>
                <w:rFonts w:eastAsia="Times New Roman" w:cs="Times New Roman"/>
                <w:color w:val="000000"/>
                <w:szCs w:val="24"/>
              </w:rPr>
            </w:pPr>
            <w:r w:rsidRPr="00FD54A2">
              <w:rPr>
                <w:rFonts w:eastAsia="Times New Roman" w:cs="Times New Roman"/>
                <w:color w:val="000000"/>
                <w:szCs w:val="24"/>
              </w:rPr>
              <w:t>6,483</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FD54A2" w:rsidRDefault="005D564E" w:rsidP="001D7BD6">
            <w:pPr>
              <w:spacing w:after="0" w:line="240" w:lineRule="auto"/>
              <w:jc w:val="right"/>
              <w:rPr>
                <w:rFonts w:eastAsia="Times New Roman" w:cs="Times New Roman"/>
                <w:color w:val="000000"/>
                <w:szCs w:val="24"/>
              </w:rPr>
            </w:pPr>
            <w:r w:rsidRPr="00FD54A2">
              <w:rPr>
                <w:rFonts w:eastAsia="Times New Roman" w:cs="Times New Roman"/>
                <w:color w:val="000000"/>
                <w:szCs w:val="24"/>
              </w:rPr>
              <w:t>7,515</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FD54A2" w:rsidRDefault="005D564E" w:rsidP="001D7BD6">
            <w:pPr>
              <w:spacing w:after="0" w:line="240" w:lineRule="auto"/>
              <w:jc w:val="right"/>
              <w:rPr>
                <w:rFonts w:eastAsia="Times New Roman" w:cs="Times New Roman"/>
                <w:color w:val="000000"/>
                <w:szCs w:val="24"/>
              </w:rPr>
            </w:pPr>
            <w:r w:rsidRPr="00FD54A2">
              <w:rPr>
                <w:rFonts w:eastAsia="Times New Roman" w:cs="Times New Roman"/>
                <w:color w:val="000000"/>
                <w:szCs w:val="24"/>
              </w:rPr>
              <w:t>8,489</w:t>
            </w:r>
          </w:p>
        </w:tc>
      </w:tr>
      <w:tr w:rsidR="005D564E" w:rsidRPr="00FD54A2" w:rsidTr="001D7BD6">
        <w:trPr>
          <w:trHeight w:val="315"/>
        </w:trPr>
        <w:tc>
          <w:tcPr>
            <w:tcW w:w="3510" w:type="dxa"/>
            <w:tcBorders>
              <w:top w:val="nil"/>
              <w:left w:val="single" w:sz="4" w:space="0" w:color="auto"/>
              <w:bottom w:val="single" w:sz="4" w:space="0" w:color="auto"/>
              <w:right w:val="single" w:sz="4" w:space="0" w:color="auto"/>
            </w:tcBorders>
            <w:shd w:val="clear" w:color="000000" w:fill="C5BE97"/>
            <w:noWrap/>
            <w:vAlign w:val="bottom"/>
            <w:hideMark/>
          </w:tcPr>
          <w:p w:rsidR="005D564E" w:rsidRPr="00FD54A2" w:rsidRDefault="005D564E" w:rsidP="001D7BD6">
            <w:pPr>
              <w:spacing w:after="0" w:line="240" w:lineRule="auto"/>
              <w:jc w:val="left"/>
              <w:rPr>
                <w:rFonts w:eastAsia="Times New Roman" w:cs="Times New Roman"/>
                <w:color w:val="000000"/>
                <w:szCs w:val="24"/>
              </w:rPr>
            </w:pPr>
            <w:r w:rsidRPr="00FD54A2">
              <w:rPr>
                <w:rFonts w:eastAsia="Times New Roman" w:cs="Times New Roman"/>
                <w:color w:val="000000"/>
                <w:szCs w:val="24"/>
              </w:rPr>
              <w:t>Current liability</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FD54A2" w:rsidRDefault="005D564E" w:rsidP="001D7BD6">
            <w:pPr>
              <w:spacing w:after="0" w:line="240" w:lineRule="auto"/>
              <w:jc w:val="right"/>
              <w:rPr>
                <w:rFonts w:eastAsia="Times New Roman" w:cs="Times New Roman"/>
                <w:color w:val="000000"/>
                <w:szCs w:val="24"/>
              </w:rPr>
            </w:pPr>
            <w:r w:rsidRPr="00FD54A2">
              <w:rPr>
                <w:rFonts w:eastAsia="Times New Roman" w:cs="Times New Roman"/>
                <w:color w:val="000000"/>
                <w:szCs w:val="24"/>
              </w:rPr>
              <w:t>9,255</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FD54A2" w:rsidRDefault="005D564E" w:rsidP="001D7BD6">
            <w:pPr>
              <w:spacing w:after="0" w:line="240" w:lineRule="auto"/>
              <w:jc w:val="right"/>
              <w:rPr>
                <w:rFonts w:eastAsia="Times New Roman" w:cs="Times New Roman"/>
                <w:color w:val="000000"/>
                <w:szCs w:val="24"/>
              </w:rPr>
            </w:pPr>
            <w:r w:rsidRPr="00FD54A2">
              <w:rPr>
                <w:rFonts w:eastAsia="Times New Roman" w:cs="Times New Roman"/>
                <w:color w:val="000000"/>
                <w:szCs w:val="24"/>
              </w:rPr>
              <w:t>7,644</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FD54A2" w:rsidRDefault="005D564E" w:rsidP="001D7BD6">
            <w:pPr>
              <w:spacing w:after="0" w:line="240" w:lineRule="auto"/>
              <w:jc w:val="right"/>
              <w:rPr>
                <w:rFonts w:eastAsia="Times New Roman" w:cs="Times New Roman"/>
                <w:color w:val="000000"/>
                <w:szCs w:val="24"/>
              </w:rPr>
            </w:pPr>
            <w:r w:rsidRPr="00FD54A2">
              <w:rPr>
                <w:rFonts w:eastAsia="Times New Roman" w:cs="Times New Roman"/>
                <w:color w:val="000000"/>
                <w:szCs w:val="24"/>
              </w:rPr>
              <w:t>7,709</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FD54A2" w:rsidRDefault="005D564E" w:rsidP="001D7BD6">
            <w:pPr>
              <w:spacing w:after="0" w:line="240" w:lineRule="auto"/>
              <w:jc w:val="right"/>
              <w:rPr>
                <w:rFonts w:eastAsia="Times New Roman" w:cs="Times New Roman"/>
                <w:color w:val="000000"/>
                <w:szCs w:val="24"/>
              </w:rPr>
            </w:pPr>
            <w:r w:rsidRPr="00FD54A2">
              <w:rPr>
                <w:rFonts w:eastAsia="Times New Roman" w:cs="Times New Roman"/>
                <w:color w:val="000000"/>
                <w:szCs w:val="24"/>
              </w:rPr>
              <w:t>7,731</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FD54A2" w:rsidRDefault="005D564E" w:rsidP="001D7BD6">
            <w:pPr>
              <w:spacing w:after="0" w:line="240" w:lineRule="auto"/>
              <w:jc w:val="right"/>
              <w:rPr>
                <w:rFonts w:eastAsia="Times New Roman" w:cs="Times New Roman"/>
                <w:color w:val="000000"/>
                <w:szCs w:val="24"/>
              </w:rPr>
            </w:pPr>
            <w:r w:rsidRPr="00FD54A2">
              <w:rPr>
                <w:rFonts w:eastAsia="Times New Roman" w:cs="Times New Roman"/>
                <w:color w:val="000000"/>
                <w:szCs w:val="24"/>
              </w:rPr>
              <w:t>11,081</w:t>
            </w:r>
          </w:p>
        </w:tc>
      </w:tr>
      <w:tr w:rsidR="005D564E" w:rsidRPr="003457B4" w:rsidTr="001D7BD6">
        <w:trPr>
          <w:trHeight w:val="315"/>
        </w:trPr>
        <w:tc>
          <w:tcPr>
            <w:tcW w:w="3510" w:type="dxa"/>
            <w:tcBorders>
              <w:top w:val="nil"/>
              <w:left w:val="single" w:sz="4" w:space="0" w:color="auto"/>
              <w:bottom w:val="single" w:sz="4" w:space="0" w:color="auto"/>
              <w:right w:val="single" w:sz="4" w:space="0" w:color="auto"/>
            </w:tcBorders>
            <w:shd w:val="clear" w:color="auto" w:fill="CCC0D9" w:themeFill="accent4" w:themeFillTint="66"/>
            <w:noWrap/>
            <w:vAlign w:val="bottom"/>
            <w:hideMark/>
          </w:tcPr>
          <w:p w:rsidR="005D564E" w:rsidRPr="003457B4" w:rsidRDefault="005D564E" w:rsidP="001D7BD6">
            <w:pPr>
              <w:spacing w:after="0" w:line="240" w:lineRule="auto"/>
              <w:jc w:val="left"/>
              <w:rPr>
                <w:rFonts w:eastAsia="Times New Roman" w:cs="Times New Roman"/>
                <w:color w:val="000000"/>
                <w:szCs w:val="24"/>
              </w:rPr>
            </w:pPr>
            <w:r w:rsidRPr="003457B4">
              <w:rPr>
                <w:rFonts w:eastAsia="Times New Roman" w:cs="Times New Roman"/>
                <w:color w:val="000000"/>
                <w:szCs w:val="24"/>
              </w:rPr>
              <w:t xml:space="preserve">Current Ratio ([Current asset/Current liability]*100): </w:t>
            </w:r>
          </w:p>
        </w:tc>
        <w:tc>
          <w:tcPr>
            <w:tcW w:w="1090" w:type="dxa"/>
            <w:tcBorders>
              <w:top w:val="nil"/>
              <w:left w:val="nil"/>
              <w:bottom w:val="single" w:sz="4" w:space="0" w:color="auto"/>
              <w:right w:val="single" w:sz="4" w:space="0" w:color="auto"/>
            </w:tcBorders>
            <w:shd w:val="clear" w:color="auto" w:fill="CCC0D9" w:themeFill="accent4" w:themeFillTint="66"/>
            <w:noWrap/>
            <w:vAlign w:val="bottom"/>
            <w:hideMark/>
          </w:tcPr>
          <w:p w:rsidR="005D564E" w:rsidRPr="003457B4" w:rsidRDefault="005D564E" w:rsidP="001D7BD6">
            <w:pPr>
              <w:spacing w:after="0" w:line="240" w:lineRule="auto"/>
              <w:jc w:val="right"/>
              <w:rPr>
                <w:rFonts w:eastAsia="Times New Roman" w:cs="Times New Roman"/>
                <w:color w:val="000000"/>
                <w:szCs w:val="24"/>
              </w:rPr>
            </w:pPr>
            <w:r w:rsidRPr="003457B4">
              <w:rPr>
                <w:rFonts w:eastAsia="Times New Roman" w:cs="Times New Roman"/>
                <w:color w:val="000000"/>
                <w:szCs w:val="24"/>
              </w:rPr>
              <w:t>0.49</w:t>
            </w:r>
          </w:p>
        </w:tc>
        <w:tc>
          <w:tcPr>
            <w:tcW w:w="1090" w:type="dxa"/>
            <w:tcBorders>
              <w:top w:val="nil"/>
              <w:left w:val="nil"/>
              <w:bottom w:val="single" w:sz="4" w:space="0" w:color="auto"/>
              <w:right w:val="single" w:sz="4" w:space="0" w:color="auto"/>
            </w:tcBorders>
            <w:shd w:val="clear" w:color="auto" w:fill="CCC0D9" w:themeFill="accent4" w:themeFillTint="66"/>
            <w:noWrap/>
            <w:vAlign w:val="bottom"/>
            <w:hideMark/>
          </w:tcPr>
          <w:p w:rsidR="005D564E" w:rsidRPr="003457B4" w:rsidRDefault="005D564E" w:rsidP="001D7BD6">
            <w:pPr>
              <w:spacing w:after="0" w:line="240" w:lineRule="auto"/>
              <w:jc w:val="right"/>
              <w:rPr>
                <w:rFonts w:eastAsia="Times New Roman" w:cs="Times New Roman"/>
                <w:color w:val="000000"/>
                <w:szCs w:val="24"/>
              </w:rPr>
            </w:pPr>
            <w:r w:rsidRPr="003457B4">
              <w:rPr>
                <w:rFonts w:eastAsia="Times New Roman" w:cs="Times New Roman"/>
                <w:color w:val="000000"/>
                <w:szCs w:val="24"/>
              </w:rPr>
              <w:t>0.71</w:t>
            </w:r>
          </w:p>
        </w:tc>
        <w:tc>
          <w:tcPr>
            <w:tcW w:w="1090" w:type="dxa"/>
            <w:tcBorders>
              <w:top w:val="nil"/>
              <w:left w:val="nil"/>
              <w:bottom w:val="single" w:sz="4" w:space="0" w:color="auto"/>
              <w:right w:val="single" w:sz="4" w:space="0" w:color="auto"/>
            </w:tcBorders>
            <w:shd w:val="clear" w:color="auto" w:fill="CCC0D9" w:themeFill="accent4" w:themeFillTint="66"/>
            <w:noWrap/>
            <w:vAlign w:val="bottom"/>
            <w:hideMark/>
          </w:tcPr>
          <w:p w:rsidR="005D564E" w:rsidRPr="003457B4" w:rsidRDefault="005D564E" w:rsidP="001D7BD6">
            <w:pPr>
              <w:spacing w:after="0" w:line="240" w:lineRule="auto"/>
              <w:jc w:val="right"/>
              <w:rPr>
                <w:rFonts w:eastAsia="Times New Roman" w:cs="Times New Roman"/>
                <w:color w:val="000000"/>
                <w:szCs w:val="24"/>
              </w:rPr>
            </w:pPr>
            <w:r w:rsidRPr="003457B4">
              <w:rPr>
                <w:rFonts w:eastAsia="Times New Roman" w:cs="Times New Roman"/>
                <w:color w:val="000000"/>
                <w:szCs w:val="24"/>
              </w:rPr>
              <w:t>0.84</w:t>
            </w:r>
          </w:p>
        </w:tc>
        <w:tc>
          <w:tcPr>
            <w:tcW w:w="1090" w:type="dxa"/>
            <w:tcBorders>
              <w:top w:val="nil"/>
              <w:left w:val="nil"/>
              <w:bottom w:val="single" w:sz="4" w:space="0" w:color="auto"/>
              <w:right w:val="single" w:sz="4" w:space="0" w:color="auto"/>
            </w:tcBorders>
            <w:shd w:val="clear" w:color="auto" w:fill="CCC0D9" w:themeFill="accent4" w:themeFillTint="66"/>
            <w:noWrap/>
            <w:vAlign w:val="bottom"/>
            <w:hideMark/>
          </w:tcPr>
          <w:p w:rsidR="005D564E" w:rsidRPr="003457B4" w:rsidRDefault="005D564E" w:rsidP="001D7BD6">
            <w:pPr>
              <w:spacing w:after="0" w:line="240" w:lineRule="auto"/>
              <w:jc w:val="right"/>
              <w:rPr>
                <w:rFonts w:eastAsia="Times New Roman" w:cs="Times New Roman"/>
                <w:color w:val="000000"/>
                <w:szCs w:val="24"/>
              </w:rPr>
            </w:pPr>
            <w:r w:rsidRPr="003457B4">
              <w:rPr>
                <w:rFonts w:eastAsia="Times New Roman" w:cs="Times New Roman"/>
                <w:color w:val="000000"/>
                <w:szCs w:val="24"/>
              </w:rPr>
              <w:t>0.97</w:t>
            </w:r>
          </w:p>
        </w:tc>
        <w:tc>
          <w:tcPr>
            <w:tcW w:w="1090" w:type="dxa"/>
            <w:tcBorders>
              <w:top w:val="nil"/>
              <w:left w:val="nil"/>
              <w:bottom w:val="single" w:sz="4" w:space="0" w:color="auto"/>
              <w:right w:val="single" w:sz="4" w:space="0" w:color="auto"/>
            </w:tcBorders>
            <w:shd w:val="clear" w:color="auto" w:fill="CCC0D9" w:themeFill="accent4" w:themeFillTint="66"/>
            <w:noWrap/>
            <w:vAlign w:val="bottom"/>
            <w:hideMark/>
          </w:tcPr>
          <w:p w:rsidR="005D564E" w:rsidRPr="003457B4" w:rsidRDefault="005D564E" w:rsidP="001D7BD6">
            <w:pPr>
              <w:spacing w:after="0" w:line="240" w:lineRule="auto"/>
              <w:jc w:val="right"/>
              <w:rPr>
                <w:rFonts w:eastAsia="Times New Roman" w:cs="Times New Roman"/>
                <w:color w:val="000000"/>
                <w:szCs w:val="24"/>
              </w:rPr>
            </w:pPr>
            <w:r w:rsidRPr="003457B4">
              <w:rPr>
                <w:rFonts w:eastAsia="Times New Roman" w:cs="Times New Roman"/>
                <w:color w:val="000000"/>
                <w:szCs w:val="24"/>
              </w:rPr>
              <w:t>0.77</w:t>
            </w:r>
          </w:p>
        </w:tc>
      </w:tr>
    </w:tbl>
    <w:p w:rsidR="005D564E" w:rsidRDefault="005D564E" w:rsidP="005D564E"/>
    <w:p w:rsidR="005D564E" w:rsidRDefault="005D564E" w:rsidP="005D564E">
      <w:r>
        <w:t xml:space="preserve">Looking at the current ratio of the organization it can be seen that the current ratio of the organization was quiet week in 2012(.49) &amp; 2013(.71).That is in 2012 the available current asset of the organization was capable to serve 49% of the current liability of the organization and in 2013 the current asset of the organization was only capable to serve 71% of the current liability of the organization. But from 2014 onwards the current ratio of the organization has registered a </w:t>
      </w:r>
      <w:r>
        <w:lastRenderedPageBreak/>
        <w:t>steady growth and has increased from 0.84 in 2014 to 0.97 in 2015 and again slightly dipped to 0.77 in 2016.Thye underlying reason can be identified as the growth of the current asset during 2014, 2015, due to the increase in the money volume of the trade receivables as well as the marketable securities</w:t>
      </w:r>
      <w:r w:rsidRPr="009216F2">
        <w:t xml:space="preserve"> (Btplc.com, 2016)</w:t>
      </w:r>
      <w:r>
        <w:t>. However in 2016 the ratio has declined slightly due to the decline in the investment of the marketable securities which has reduced the proportion of the current assets with respect to the current liability of the organization.</w:t>
      </w:r>
    </w:p>
    <w:p w:rsidR="005D564E" w:rsidRDefault="005D564E" w:rsidP="005D564E">
      <w:pPr>
        <w:rPr>
          <w:b/>
        </w:rPr>
      </w:pPr>
      <w:r w:rsidRPr="00FB520D">
        <w:rPr>
          <w:b/>
        </w:rPr>
        <w:t xml:space="preserve">Quick Ratio: </w:t>
      </w:r>
    </w:p>
    <w:tbl>
      <w:tblPr>
        <w:tblW w:w="8960" w:type="dxa"/>
        <w:tblInd w:w="98" w:type="dxa"/>
        <w:tblLook w:val="04A0" w:firstRow="1" w:lastRow="0" w:firstColumn="1" w:lastColumn="0" w:noHBand="0" w:noVBand="1"/>
      </w:tblPr>
      <w:tblGrid>
        <w:gridCol w:w="3510"/>
        <w:gridCol w:w="1090"/>
        <w:gridCol w:w="1090"/>
        <w:gridCol w:w="1090"/>
        <w:gridCol w:w="1090"/>
        <w:gridCol w:w="1090"/>
      </w:tblGrid>
      <w:tr w:rsidR="005D564E" w:rsidRPr="00FB520D" w:rsidTr="001D7BD6">
        <w:trPr>
          <w:trHeight w:val="330"/>
        </w:trPr>
        <w:tc>
          <w:tcPr>
            <w:tcW w:w="8960" w:type="dxa"/>
            <w:gridSpan w:val="6"/>
            <w:tcBorders>
              <w:top w:val="single" w:sz="8" w:space="0" w:color="auto"/>
              <w:left w:val="single" w:sz="8" w:space="0" w:color="auto"/>
              <w:bottom w:val="single" w:sz="8" w:space="0" w:color="auto"/>
              <w:right w:val="single" w:sz="8" w:space="0" w:color="000000"/>
            </w:tcBorders>
            <w:shd w:val="clear" w:color="000000" w:fill="FFC000"/>
            <w:noWrap/>
            <w:vAlign w:val="bottom"/>
            <w:hideMark/>
          </w:tcPr>
          <w:p w:rsidR="005D564E" w:rsidRPr="00FB520D" w:rsidRDefault="005D564E" w:rsidP="001D7BD6">
            <w:pPr>
              <w:spacing w:after="0" w:line="240" w:lineRule="auto"/>
              <w:jc w:val="center"/>
              <w:rPr>
                <w:rFonts w:eastAsia="Times New Roman" w:cs="Times New Roman"/>
                <w:b/>
                <w:bCs/>
                <w:color w:val="000000"/>
                <w:szCs w:val="24"/>
              </w:rPr>
            </w:pPr>
            <w:r w:rsidRPr="00FB520D">
              <w:rPr>
                <w:rFonts w:eastAsia="Times New Roman" w:cs="Times New Roman"/>
                <w:b/>
                <w:bCs/>
                <w:color w:val="000000"/>
                <w:szCs w:val="24"/>
              </w:rPr>
              <w:t>British telecom(BT) Ratio Analysis</w:t>
            </w:r>
          </w:p>
        </w:tc>
      </w:tr>
      <w:tr w:rsidR="005D564E" w:rsidRPr="00FB520D" w:rsidTr="001D7BD6">
        <w:trPr>
          <w:trHeight w:val="315"/>
        </w:trPr>
        <w:tc>
          <w:tcPr>
            <w:tcW w:w="3510" w:type="dxa"/>
            <w:tcBorders>
              <w:top w:val="nil"/>
              <w:left w:val="single" w:sz="4" w:space="0" w:color="auto"/>
              <w:bottom w:val="single" w:sz="4" w:space="0" w:color="auto"/>
              <w:right w:val="single" w:sz="4" w:space="0" w:color="auto"/>
            </w:tcBorders>
            <w:shd w:val="clear" w:color="000000" w:fill="DBE5F1"/>
            <w:noWrap/>
            <w:vAlign w:val="bottom"/>
            <w:hideMark/>
          </w:tcPr>
          <w:p w:rsidR="005D564E" w:rsidRPr="00FB520D" w:rsidRDefault="005D564E" w:rsidP="001D7BD6">
            <w:pPr>
              <w:spacing w:after="0" w:line="240" w:lineRule="auto"/>
              <w:jc w:val="left"/>
              <w:rPr>
                <w:rFonts w:eastAsia="Times New Roman" w:cs="Times New Roman"/>
                <w:b/>
                <w:bCs/>
                <w:color w:val="000000"/>
                <w:szCs w:val="24"/>
              </w:rPr>
            </w:pPr>
            <w:r w:rsidRPr="00FB520D">
              <w:rPr>
                <w:rFonts w:eastAsia="Times New Roman" w:cs="Times New Roman"/>
                <w:b/>
                <w:bCs/>
                <w:color w:val="000000"/>
                <w:szCs w:val="24"/>
              </w:rPr>
              <w:t xml:space="preserve">Items of financial statement  </w:t>
            </w:r>
          </w:p>
        </w:tc>
        <w:tc>
          <w:tcPr>
            <w:tcW w:w="1090" w:type="dxa"/>
            <w:tcBorders>
              <w:top w:val="nil"/>
              <w:left w:val="nil"/>
              <w:bottom w:val="single" w:sz="4" w:space="0" w:color="auto"/>
              <w:right w:val="single" w:sz="4" w:space="0" w:color="auto"/>
            </w:tcBorders>
            <w:shd w:val="clear" w:color="000000" w:fill="DBE5F1"/>
            <w:noWrap/>
            <w:vAlign w:val="bottom"/>
            <w:hideMark/>
          </w:tcPr>
          <w:p w:rsidR="005D564E" w:rsidRPr="00FB520D" w:rsidRDefault="005D564E" w:rsidP="001D7BD6">
            <w:pPr>
              <w:spacing w:after="0" w:line="240" w:lineRule="auto"/>
              <w:jc w:val="left"/>
              <w:rPr>
                <w:rFonts w:eastAsia="Times New Roman" w:cs="Times New Roman"/>
                <w:color w:val="000000"/>
                <w:szCs w:val="24"/>
              </w:rPr>
            </w:pPr>
            <w:r w:rsidRPr="00FB520D">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5D564E" w:rsidRPr="00FB520D" w:rsidRDefault="005D564E" w:rsidP="001D7BD6">
            <w:pPr>
              <w:spacing w:after="0" w:line="240" w:lineRule="auto"/>
              <w:jc w:val="left"/>
              <w:rPr>
                <w:rFonts w:eastAsia="Times New Roman" w:cs="Times New Roman"/>
                <w:color w:val="000000"/>
                <w:szCs w:val="24"/>
              </w:rPr>
            </w:pPr>
            <w:r w:rsidRPr="00FB520D">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5D564E" w:rsidRPr="00FB520D" w:rsidRDefault="005D564E" w:rsidP="001D7BD6">
            <w:pPr>
              <w:spacing w:after="0" w:line="240" w:lineRule="auto"/>
              <w:jc w:val="left"/>
              <w:rPr>
                <w:rFonts w:eastAsia="Times New Roman" w:cs="Times New Roman"/>
                <w:color w:val="000000"/>
                <w:szCs w:val="24"/>
              </w:rPr>
            </w:pPr>
            <w:r w:rsidRPr="00FB520D">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5D564E" w:rsidRPr="00FB520D" w:rsidRDefault="005D564E" w:rsidP="001D7BD6">
            <w:pPr>
              <w:spacing w:after="0" w:line="240" w:lineRule="auto"/>
              <w:jc w:val="left"/>
              <w:rPr>
                <w:rFonts w:eastAsia="Times New Roman" w:cs="Times New Roman"/>
                <w:color w:val="000000"/>
                <w:szCs w:val="24"/>
              </w:rPr>
            </w:pPr>
            <w:r w:rsidRPr="00FB520D">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5D564E" w:rsidRPr="00FB520D" w:rsidRDefault="005D564E" w:rsidP="001D7BD6">
            <w:pPr>
              <w:spacing w:after="0" w:line="240" w:lineRule="auto"/>
              <w:jc w:val="left"/>
              <w:rPr>
                <w:rFonts w:eastAsia="Times New Roman" w:cs="Times New Roman"/>
                <w:color w:val="000000"/>
                <w:szCs w:val="24"/>
              </w:rPr>
            </w:pPr>
            <w:r w:rsidRPr="00FB520D">
              <w:rPr>
                <w:rFonts w:eastAsia="Times New Roman" w:cs="Times New Roman"/>
                <w:color w:val="000000"/>
                <w:szCs w:val="24"/>
              </w:rPr>
              <w:t>£,million</w:t>
            </w:r>
          </w:p>
        </w:tc>
      </w:tr>
      <w:tr w:rsidR="005D564E" w:rsidRPr="00FB520D" w:rsidTr="001D7BD6">
        <w:trPr>
          <w:trHeight w:val="315"/>
        </w:trPr>
        <w:tc>
          <w:tcPr>
            <w:tcW w:w="3510" w:type="dxa"/>
            <w:tcBorders>
              <w:top w:val="nil"/>
              <w:left w:val="single" w:sz="4" w:space="0" w:color="auto"/>
              <w:bottom w:val="single" w:sz="4" w:space="0" w:color="auto"/>
              <w:right w:val="single" w:sz="4" w:space="0" w:color="auto"/>
            </w:tcBorders>
            <w:shd w:val="clear" w:color="000000" w:fill="FFC000"/>
            <w:noWrap/>
            <w:vAlign w:val="bottom"/>
            <w:hideMark/>
          </w:tcPr>
          <w:p w:rsidR="005D564E" w:rsidRPr="00FB520D" w:rsidRDefault="005D564E" w:rsidP="001D7BD6">
            <w:pPr>
              <w:spacing w:after="0" w:line="240" w:lineRule="auto"/>
              <w:jc w:val="left"/>
              <w:rPr>
                <w:rFonts w:eastAsia="Times New Roman" w:cs="Times New Roman"/>
                <w:b/>
                <w:bCs/>
                <w:color w:val="000000"/>
                <w:szCs w:val="24"/>
              </w:rPr>
            </w:pPr>
            <w:r w:rsidRPr="00FB520D">
              <w:rPr>
                <w:rFonts w:eastAsia="Times New Roman" w:cs="Times New Roman"/>
                <w:b/>
                <w:bCs/>
                <w:color w:val="000000"/>
                <w:szCs w:val="24"/>
              </w:rPr>
              <w:t>Years</w:t>
            </w:r>
          </w:p>
        </w:tc>
        <w:tc>
          <w:tcPr>
            <w:tcW w:w="1090" w:type="dxa"/>
            <w:tcBorders>
              <w:top w:val="nil"/>
              <w:left w:val="nil"/>
              <w:bottom w:val="single" w:sz="4" w:space="0" w:color="auto"/>
              <w:right w:val="single" w:sz="4" w:space="0" w:color="auto"/>
            </w:tcBorders>
            <w:shd w:val="clear" w:color="000000" w:fill="FFC000"/>
            <w:noWrap/>
            <w:vAlign w:val="bottom"/>
            <w:hideMark/>
          </w:tcPr>
          <w:p w:rsidR="005D564E" w:rsidRPr="00FB520D" w:rsidRDefault="005D564E" w:rsidP="001D7BD6">
            <w:pPr>
              <w:spacing w:after="0" w:line="240" w:lineRule="auto"/>
              <w:jc w:val="right"/>
              <w:rPr>
                <w:rFonts w:eastAsia="Times New Roman" w:cs="Times New Roman"/>
                <w:b/>
                <w:bCs/>
                <w:color w:val="000000"/>
                <w:szCs w:val="24"/>
              </w:rPr>
            </w:pPr>
            <w:r w:rsidRPr="00FB520D">
              <w:rPr>
                <w:rFonts w:eastAsia="Times New Roman" w:cs="Times New Roman"/>
                <w:b/>
                <w:bCs/>
                <w:color w:val="000000"/>
                <w:szCs w:val="24"/>
              </w:rPr>
              <w:t>2012</w:t>
            </w:r>
          </w:p>
        </w:tc>
        <w:tc>
          <w:tcPr>
            <w:tcW w:w="1090" w:type="dxa"/>
            <w:tcBorders>
              <w:top w:val="nil"/>
              <w:left w:val="nil"/>
              <w:bottom w:val="single" w:sz="4" w:space="0" w:color="auto"/>
              <w:right w:val="single" w:sz="4" w:space="0" w:color="auto"/>
            </w:tcBorders>
            <w:shd w:val="clear" w:color="000000" w:fill="FFC000"/>
            <w:noWrap/>
            <w:vAlign w:val="bottom"/>
            <w:hideMark/>
          </w:tcPr>
          <w:p w:rsidR="005D564E" w:rsidRPr="00FB520D" w:rsidRDefault="005D564E" w:rsidP="001D7BD6">
            <w:pPr>
              <w:spacing w:after="0" w:line="240" w:lineRule="auto"/>
              <w:jc w:val="right"/>
              <w:rPr>
                <w:rFonts w:eastAsia="Times New Roman" w:cs="Times New Roman"/>
                <w:b/>
                <w:bCs/>
                <w:color w:val="000000"/>
                <w:szCs w:val="24"/>
              </w:rPr>
            </w:pPr>
            <w:r w:rsidRPr="00FB520D">
              <w:rPr>
                <w:rFonts w:eastAsia="Times New Roman" w:cs="Times New Roman"/>
                <w:b/>
                <w:bCs/>
                <w:color w:val="000000"/>
                <w:szCs w:val="24"/>
              </w:rPr>
              <w:t>2013</w:t>
            </w:r>
          </w:p>
        </w:tc>
        <w:tc>
          <w:tcPr>
            <w:tcW w:w="1090" w:type="dxa"/>
            <w:tcBorders>
              <w:top w:val="nil"/>
              <w:left w:val="nil"/>
              <w:bottom w:val="single" w:sz="4" w:space="0" w:color="auto"/>
              <w:right w:val="single" w:sz="4" w:space="0" w:color="auto"/>
            </w:tcBorders>
            <w:shd w:val="clear" w:color="000000" w:fill="FFC000"/>
            <w:noWrap/>
            <w:vAlign w:val="bottom"/>
            <w:hideMark/>
          </w:tcPr>
          <w:p w:rsidR="005D564E" w:rsidRPr="00FB520D" w:rsidRDefault="005D564E" w:rsidP="001D7BD6">
            <w:pPr>
              <w:spacing w:after="0" w:line="240" w:lineRule="auto"/>
              <w:jc w:val="right"/>
              <w:rPr>
                <w:rFonts w:eastAsia="Times New Roman" w:cs="Times New Roman"/>
                <w:b/>
                <w:bCs/>
                <w:color w:val="000000"/>
                <w:szCs w:val="24"/>
              </w:rPr>
            </w:pPr>
            <w:r w:rsidRPr="00FB520D">
              <w:rPr>
                <w:rFonts w:eastAsia="Times New Roman" w:cs="Times New Roman"/>
                <w:b/>
                <w:bCs/>
                <w:color w:val="000000"/>
                <w:szCs w:val="24"/>
              </w:rPr>
              <w:t>2014</w:t>
            </w:r>
          </w:p>
        </w:tc>
        <w:tc>
          <w:tcPr>
            <w:tcW w:w="1090" w:type="dxa"/>
            <w:tcBorders>
              <w:top w:val="nil"/>
              <w:left w:val="nil"/>
              <w:bottom w:val="single" w:sz="4" w:space="0" w:color="auto"/>
              <w:right w:val="single" w:sz="4" w:space="0" w:color="auto"/>
            </w:tcBorders>
            <w:shd w:val="clear" w:color="000000" w:fill="FFC000"/>
            <w:noWrap/>
            <w:vAlign w:val="bottom"/>
            <w:hideMark/>
          </w:tcPr>
          <w:p w:rsidR="005D564E" w:rsidRPr="00FB520D" w:rsidRDefault="005D564E" w:rsidP="001D7BD6">
            <w:pPr>
              <w:spacing w:after="0" w:line="240" w:lineRule="auto"/>
              <w:jc w:val="right"/>
              <w:rPr>
                <w:rFonts w:eastAsia="Times New Roman" w:cs="Times New Roman"/>
                <w:b/>
                <w:bCs/>
                <w:color w:val="000000"/>
                <w:szCs w:val="24"/>
              </w:rPr>
            </w:pPr>
            <w:r w:rsidRPr="00FB520D">
              <w:rPr>
                <w:rFonts w:eastAsia="Times New Roman" w:cs="Times New Roman"/>
                <w:b/>
                <w:bCs/>
                <w:color w:val="000000"/>
                <w:szCs w:val="24"/>
              </w:rPr>
              <w:t>2015</w:t>
            </w:r>
          </w:p>
        </w:tc>
        <w:tc>
          <w:tcPr>
            <w:tcW w:w="1090" w:type="dxa"/>
            <w:tcBorders>
              <w:top w:val="nil"/>
              <w:left w:val="nil"/>
              <w:bottom w:val="single" w:sz="4" w:space="0" w:color="auto"/>
              <w:right w:val="single" w:sz="4" w:space="0" w:color="auto"/>
            </w:tcBorders>
            <w:shd w:val="clear" w:color="000000" w:fill="FFC000"/>
            <w:noWrap/>
            <w:vAlign w:val="bottom"/>
            <w:hideMark/>
          </w:tcPr>
          <w:p w:rsidR="005D564E" w:rsidRPr="00FB520D" w:rsidRDefault="005D564E" w:rsidP="001D7BD6">
            <w:pPr>
              <w:spacing w:after="0" w:line="240" w:lineRule="auto"/>
              <w:jc w:val="right"/>
              <w:rPr>
                <w:rFonts w:eastAsia="Times New Roman" w:cs="Times New Roman"/>
                <w:b/>
                <w:bCs/>
                <w:color w:val="000000"/>
                <w:szCs w:val="24"/>
              </w:rPr>
            </w:pPr>
            <w:r w:rsidRPr="00FB520D">
              <w:rPr>
                <w:rFonts w:eastAsia="Times New Roman" w:cs="Times New Roman"/>
                <w:b/>
                <w:bCs/>
                <w:color w:val="000000"/>
                <w:szCs w:val="24"/>
              </w:rPr>
              <w:t>2016</w:t>
            </w:r>
          </w:p>
        </w:tc>
      </w:tr>
      <w:tr w:rsidR="005D564E" w:rsidRPr="00FB520D" w:rsidTr="001D7BD6">
        <w:trPr>
          <w:trHeight w:val="315"/>
        </w:trPr>
        <w:tc>
          <w:tcPr>
            <w:tcW w:w="3510" w:type="dxa"/>
            <w:tcBorders>
              <w:top w:val="nil"/>
              <w:left w:val="single" w:sz="4" w:space="0" w:color="auto"/>
              <w:bottom w:val="single" w:sz="4" w:space="0" w:color="auto"/>
              <w:right w:val="single" w:sz="4" w:space="0" w:color="auto"/>
            </w:tcBorders>
            <w:shd w:val="clear" w:color="000000" w:fill="C5BE97"/>
            <w:noWrap/>
            <w:vAlign w:val="bottom"/>
            <w:hideMark/>
          </w:tcPr>
          <w:p w:rsidR="005D564E" w:rsidRPr="00FB520D" w:rsidRDefault="005D564E" w:rsidP="001D7BD6">
            <w:pPr>
              <w:spacing w:after="0" w:line="240" w:lineRule="auto"/>
              <w:jc w:val="left"/>
              <w:rPr>
                <w:rFonts w:eastAsia="Times New Roman" w:cs="Times New Roman"/>
                <w:color w:val="000000"/>
                <w:szCs w:val="24"/>
              </w:rPr>
            </w:pPr>
            <w:r w:rsidRPr="00FB520D">
              <w:rPr>
                <w:rFonts w:eastAsia="Times New Roman" w:cs="Times New Roman"/>
                <w:color w:val="000000"/>
                <w:szCs w:val="24"/>
              </w:rPr>
              <w:t>Current asset</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FB520D" w:rsidRDefault="005D564E" w:rsidP="001D7BD6">
            <w:pPr>
              <w:spacing w:after="0" w:line="240" w:lineRule="auto"/>
              <w:jc w:val="right"/>
              <w:rPr>
                <w:rFonts w:eastAsia="Times New Roman" w:cs="Times New Roman"/>
                <w:color w:val="000000"/>
                <w:szCs w:val="24"/>
              </w:rPr>
            </w:pPr>
            <w:r w:rsidRPr="00FB520D">
              <w:rPr>
                <w:rFonts w:eastAsia="Times New Roman" w:cs="Times New Roman"/>
                <w:color w:val="000000"/>
                <w:szCs w:val="24"/>
              </w:rPr>
              <w:t>4,531</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FB520D" w:rsidRDefault="005D564E" w:rsidP="001D7BD6">
            <w:pPr>
              <w:spacing w:after="0" w:line="240" w:lineRule="auto"/>
              <w:jc w:val="right"/>
              <w:rPr>
                <w:rFonts w:eastAsia="Times New Roman" w:cs="Times New Roman"/>
                <w:color w:val="000000"/>
                <w:szCs w:val="24"/>
              </w:rPr>
            </w:pPr>
            <w:r w:rsidRPr="00FB520D">
              <w:rPr>
                <w:rFonts w:eastAsia="Times New Roman" w:cs="Times New Roman"/>
                <w:color w:val="000000"/>
                <w:szCs w:val="24"/>
              </w:rPr>
              <w:t>5,417</w:t>
            </w:r>
          </w:p>
        </w:tc>
        <w:tc>
          <w:tcPr>
            <w:tcW w:w="1090" w:type="dxa"/>
            <w:tcBorders>
              <w:top w:val="single" w:sz="4" w:space="0" w:color="auto"/>
              <w:left w:val="nil"/>
              <w:bottom w:val="single" w:sz="4" w:space="0" w:color="auto"/>
              <w:right w:val="single" w:sz="4" w:space="0" w:color="auto"/>
            </w:tcBorders>
            <w:shd w:val="clear" w:color="000000" w:fill="C5BE97"/>
            <w:noWrap/>
            <w:vAlign w:val="bottom"/>
            <w:hideMark/>
          </w:tcPr>
          <w:p w:rsidR="005D564E" w:rsidRPr="00FB520D" w:rsidRDefault="005D564E" w:rsidP="001D7BD6">
            <w:pPr>
              <w:spacing w:after="0" w:line="240" w:lineRule="auto"/>
              <w:jc w:val="right"/>
              <w:rPr>
                <w:rFonts w:eastAsia="Times New Roman" w:cs="Times New Roman"/>
                <w:color w:val="000000"/>
                <w:szCs w:val="24"/>
              </w:rPr>
            </w:pPr>
            <w:r w:rsidRPr="00FB520D">
              <w:rPr>
                <w:rFonts w:eastAsia="Times New Roman" w:cs="Times New Roman"/>
                <w:color w:val="000000"/>
                <w:szCs w:val="24"/>
              </w:rPr>
              <w:t>6,483</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FB520D" w:rsidRDefault="005D564E" w:rsidP="001D7BD6">
            <w:pPr>
              <w:spacing w:after="0" w:line="240" w:lineRule="auto"/>
              <w:jc w:val="right"/>
              <w:rPr>
                <w:rFonts w:eastAsia="Times New Roman" w:cs="Times New Roman"/>
                <w:color w:val="000000"/>
                <w:szCs w:val="24"/>
              </w:rPr>
            </w:pPr>
            <w:r w:rsidRPr="00FB520D">
              <w:rPr>
                <w:rFonts w:eastAsia="Times New Roman" w:cs="Times New Roman"/>
                <w:color w:val="000000"/>
                <w:szCs w:val="24"/>
              </w:rPr>
              <w:t>7,515</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FB520D" w:rsidRDefault="005D564E" w:rsidP="001D7BD6">
            <w:pPr>
              <w:spacing w:after="0" w:line="240" w:lineRule="auto"/>
              <w:jc w:val="right"/>
              <w:rPr>
                <w:rFonts w:eastAsia="Times New Roman" w:cs="Times New Roman"/>
                <w:color w:val="000000"/>
                <w:szCs w:val="24"/>
              </w:rPr>
            </w:pPr>
            <w:r w:rsidRPr="00FB520D">
              <w:rPr>
                <w:rFonts w:eastAsia="Times New Roman" w:cs="Times New Roman"/>
                <w:color w:val="000000"/>
                <w:szCs w:val="24"/>
              </w:rPr>
              <w:t>8,489</w:t>
            </w:r>
          </w:p>
        </w:tc>
      </w:tr>
      <w:tr w:rsidR="005D564E" w:rsidRPr="00FB520D" w:rsidTr="001D7BD6">
        <w:trPr>
          <w:trHeight w:val="315"/>
        </w:trPr>
        <w:tc>
          <w:tcPr>
            <w:tcW w:w="3510" w:type="dxa"/>
            <w:tcBorders>
              <w:top w:val="nil"/>
              <w:left w:val="single" w:sz="4" w:space="0" w:color="auto"/>
              <w:bottom w:val="single" w:sz="4" w:space="0" w:color="auto"/>
              <w:right w:val="single" w:sz="4" w:space="0" w:color="auto"/>
            </w:tcBorders>
            <w:shd w:val="clear" w:color="000000" w:fill="C5BE97"/>
            <w:noWrap/>
            <w:vAlign w:val="bottom"/>
            <w:hideMark/>
          </w:tcPr>
          <w:p w:rsidR="005D564E" w:rsidRPr="00FB520D" w:rsidRDefault="005D564E" w:rsidP="001D7BD6">
            <w:pPr>
              <w:spacing w:after="0" w:line="240" w:lineRule="auto"/>
              <w:jc w:val="left"/>
              <w:rPr>
                <w:rFonts w:eastAsia="Times New Roman" w:cs="Times New Roman"/>
                <w:color w:val="000000"/>
                <w:szCs w:val="24"/>
              </w:rPr>
            </w:pPr>
            <w:r w:rsidRPr="00FB520D">
              <w:rPr>
                <w:rFonts w:eastAsia="Times New Roman" w:cs="Times New Roman"/>
                <w:color w:val="000000"/>
                <w:szCs w:val="24"/>
              </w:rPr>
              <w:t>Current liability</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FB520D" w:rsidRDefault="005D564E" w:rsidP="001D7BD6">
            <w:pPr>
              <w:spacing w:after="0" w:line="240" w:lineRule="auto"/>
              <w:jc w:val="right"/>
              <w:rPr>
                <w:rFonts w:eastAsia="Times New Roman" w:cs="Times New Roman"/>
                <w:color w:val="000000"/>
                <w:szCs w:val="24"/>
              </w:rPr>
            </w:pPr>
            <w:r w:rsidRPr="00FB520D">
              <w:rPr>
                <w:rFonts w:eastAsia="Times New Roman" w:cs="Times New Roman"/>
                <w:color w:val="000000"/>
                <w:szCs w:val="24"/>
              </w:rPr>
              <w:t>9,255</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FB520D" w:rsidRDefault="005D564E" w:rsidP="001D7BD6">
            <w:pPr>
              <w:spacing w:after="0" w:line="240" w:lineRule="auto"/>
              <w:jc w:val="right"/>
              <w:rPr>
                <w:rFonts w:eastAsia="Times New Roman" w:cs="Times New Roman"/>
                <w:color w:val="000000"/>
                <w:szCs w:val="24"/>
              </w:rPr>
            </w:pPr>
            <w:r w:rsidRPr="00FB520D">
              <w:rPr>
                <w:rFonts w:eastAsia="Times New Roman" w:cs="Times New Roman"/>
                <w:color w:val="000000"/>
                <w:szCs w:val="24"/>
              </w:rPr>
              <w:t>7,644</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FB520D" w:rsidRDefault="005D564E" w:rsidP="001D7BD6">
            <w:pPr>
              <w:spacing w:after="0" w:line="240" w:lineRule="auto"/>
              <w:jc w:val="right"/>
              <w:rPr>
                <w:rFonts w:eastAsia="Times New Roman" w:cs="Times New Roman"/>
                <w:color w:val="000000"/>
                <w:szCs w:val="24"/>
              </w:rPr>
            </w:pPr>
            <w:r w:rsidRPr="00FB520D">
              <w:rPr>
                <w:rFonts w:eastAsia="Times New Roman" w:cs="Times New Roman"/>
                <w:color w:val="000000"/>
                <w:szCs w:val="24"/>
              </w:rPr>
              <w:t>7,709</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FB520D" w:rsidRDefault="005D564E" w:rsidP="001D7BD6">
            <w:pPr>
              <w:spacing w:after="0" w:line="240" w:lineRule="auto"/>
              <w:jc w:val="right"/>
              <w:rPr>
                <w:rFonts w:eastAsia="Times New Roman" w:cs="Times New Roman"/>
                <w:color w:val="000000"/>
                <w:szCs w:val="24"/>
              </w:rPr>
            </w:pPr>
            <w:r w:rsidRPr="00FB520D">
              <w:rPr>
                <w:rFonts w:eastAsia="Times New Roman" w:cs="Times New Roman"/>
                <w:color w:val="000000"/>
                <w:szCs w:val="24"/>
              </w:rPr>
              <w:t>7,731</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FB520D" w:rsidRDefault="005D564E" w:rsidP="001D7BD6">
            <w:pPr>
              <w:spacing w:after="0" w:line="240" w:lineRule="auto"/>
              <w:jc w:val="right"/>
              <w:rPr>
                <w:rFonts w:eastAsia="Times New Roman" w:cs="Times New Roman"/>
                <w:color w:val="000000"/>
                <w:szCs w:val="24"/>
              </w:rPr>
            </w:pPr>
            <w:r w:rsidRPr="00FB520D">
              <w:rPr>
                <w:rFonts w:eastAsia="Times New Roman" w:cs="Times New Roman"/>
                <w:color w:val="000000"/>
                <w:szCs w:val="24"/>
              </w:rPr>
              <w:t>11,081</w:t>
            </w:r>
          </w:p>
        </w:tc>
      </w:tr>
      <w:tr w:rsidR="005D564E" w:rsidRPr="00FB520D" w:rsidTr="001D7BD6">
        <w:trPr>
          <w:trHeight w:val="315"/>
        </w:trPr>
        <w:tc>
          <w:tcPr>
            <w:tcW w:w="3510" w:type="dxa"/>
            <w:tcBorders>
              <w:top w:val="nil"/>
              <w:left w:val="single" w:sz="4" w:space="0" w:color="auto"/>
              <w:bottom w:val="single" w:sz="4" w:space="0" w:color="auto"/>
              <w:right w:val="single" w:sz="4" w:space="0" w:color="auto"/>
            </w:tcBorders>
            <w:shd w:val="clear" w:color="000000" w:fill="C5BE97"/>
            <w:noWrap/>
            <w:vAlign w:val="bottom"/>
            <w:hideMark/>
          </w:tcPr>
          <w:p w:rsidR="005D564E" w:rsidRPr="00FB520D" w:rsidRDefault="005D564E" w:rsidP="001D7BD6">
            <w:pPr>
              <w:spacing w:after="0" w:line="240" w:lineRule="auto"/>
              <w:jc w:val="left"/>
              <w:rPr>
                <w:rFonts w:eastAsia="Times New Roman" w:cs="Times New Roman"/>
                <w:color w:val="000000"/>
                <w:szCs w:val="24"/>
              </w:rPr>
            </w:pPr>
            <w:r w:rsidRPr="00FB520D">
              <w:rPr>
                <w:rFonts w:eastAsia="Times New Roman" w:cs="Times New Roman"/>
                <w:color w:val="000000"/>
                <w:szCs w:val="24"/>
              </w:rPr>
              <w:t>Average Inventory holding</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FB520D" w:rsidRDefault="005D564E" w:rsidP="001D7BD6">
            <w:pPr>
              <w:spacing w:after="0" w:line="240" w:lineRule="auto"/>
              <w:jc w:val="right"/>
              <w:rPr>
                <w:rFonts w:eastAsia="Times New Roman" w:cs="Times New Roman"/>
                <w:color w:val="000000"/>
                <w:szCs w:val="24"/>
              </w:rPr>
            </w:pPr>
            <w:r w:rsidRPr="00FB520D">
              <w:rPr>
                <w:rFonts w:eastAsia="Times New Roman" w:cs="Times New Roman"/>
                <w:color w:val="000000"/>
                <w:szCs w:val="24"/>
              </w:rPr>
              <w:t>104</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FB520D" w:rsidRDefault="005D564E" w:rsidP="001D7BD6">
            <w:pPr>
              <w:spacing w:after="0" w:line="240" w:lineRule="auto"/>
              <w:jc w:val="right"/>
              <w:rPr>
                <w:rFonts w:eastAsia="Times New Roman" w:cs="Times New Roman"/>
                <w:color w:val="000000"/>
                <w:szCs w:val="24"/>
              </w:rPr>
            </w:pPr>
            <w:r w:rsidRPr="00FB520D">
              <w:rPr>
                <w:rFonts w:eastAsia="Times New Roman" w:cs="Times New Roman"/>
                <w:color w:val="000000"/>
                <w:szCs w:val="24"/>
              </w:rPr>
              <w:t>103</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FB520D" w:rsidRDefault="005D564E" w:rsidP="001D7BD6">
            <w:pPr>
              <w:spacing w:after="0" w:line="240" w:lineRule="auto"/>
              <w:jc w:val="right"/>
              <w:rPr>
                <w:rFonts w:eastAsia="Times New Roman" w:cs="Times New Roman"/>
                <w:color w:val="000000"/>
                <w:szCs w:val="24"/>
              </w:rPr>
            </w:pPr>
            <w:r w:rsidRPr="00FB520D">
              <w:rPr>
                <w:rFonts w:eastAsia="Times New Roman" w:cs="Times New Roman"/>
                <w:color w:val="000000"/>
                <w:szCs w:val="24"/>
              </w:rPr>
              <w:t>82</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FB520D" w:rsidRDefault="005D564E" w:rsidP="001D7BD6">
            <w:pPr>
              <w:spacing w:after="0" w:line="240" w:lineRule="auto"/>
              <w:jc w:val="right"/>
              <w:rPr>
                <w:rFonts w:eastAsia="Times New Roman" w:cs="Times New Roman"/>
                <w:color w:val="000000"/>
                <w:szCs w:val="24"/>
              </w:rPr>
            </w:pPr>
            <w:r w:rsidRPr="00FB520D">
              <w:rPr>
                <w:rFonts w:eastAsia="Times New Roman" w:cs="Times New Roman"/>
                <w:color w:val="000000"/>
                <w:szCs w:val="24"/>
              </w:rPr>
              <w:t>94</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FB520D" w:rsidRDefault="005D564E" w:rsidP="001D7BD6">
            <w:pPr>
              <w:spacing w:after="0" w:line="240" w:lineRule="auto"/>
              <w:jc w:val="right"/>
              <w:rPr>
                <w:rFonts w:eastAsia="Times New Roman" w:cs="Times New Roman"/>
                <w:color w:val="000000"/>
                <w:szCs w:val="24"/>
              </w:rPr>
            </w:pPr>
            <w:r w:rsidRPr="00FB520D">
              <w:rPr>
                <w:rFonts w:eastAsia="Times New Roman" w:cs="Times New Roman"/>
                <w:color w:val="000000"/>
                <w:szCs w:val="24"/>
              </w:rPr>
              <w:t>189</w:t>
            </w:r>
          </w:p>
        </w:tc>
      </w:tr>
      <w:tr w:rsidR="005D564E" w:rsidRPr="00EC4A73" w:rsidTr="001D7BD6">
        <w:trPr>
          <w:trHeight w:val="315"/>
        </w:trPr>
        <w:tc>
          <w:tcPr>
            <w:tcW w:w="3510" w:type="dxa"/>
            <w:tcBorders>
              <w:top w:val="nil"/>
              <w:left w:val="single" w:sz="4" w:space="0" w:color="auto"/>
              <w:bottom w:val="single" w:sz="4" w:space="0" w:color="auto"/>
              <w:right w:val="single" w:sz="4" w:space="0" w:color="auto"/>
            </w:tcBorders>
            <w:shd w:val="clear" w:color="auto" w:fill="E5B8B7" w:themeFill="accent2" w:themeFillTint="66"/>
            <w:noWrap/>
            <w:vAlign w:val="bottom"/>
            <w:hideMark/>
          </w:tcPr>
          <w:p w:rsidR="005D564E" w:rsidRPr="00EC4A73" w:rsidRDefault="005D564E" w:rsidP="001D7BD6">
            <w:pPr>
              <w:spacing w:after="0" w:line="240" w:lineRule="auto"/>
              <w:jc w:val="left"/>
              <w:rPr>
                <w:rFonts w:eastAsia="Times New Roman" w:cs="Times New Roman"/>
                <w:color w:val="000000"/>
                <w:szCs w:val="24"/>
              </w:rPr>
            </w:pPr>
            <w:r w:rsidRPr="00EC4A73">
              <w:rPr>
                <w:rFonts w:eastAsia="Times New Roman" w:cs="Times New Roman"/>
                <w:color w:val="000000"/>
                <w:szCs w:val="24"/>
              </w:rPr>
              <w:t xml:space="preserve">Quick Ratio ([Current asset-Inventories]/ Current liability*100) </w:t>
            </w:r>
          </w:p>
        </w:tc>
        <w:tc>
          <w:tcPr>
            <w:tcW w:w="1090" w:type="dxa"/>
            <w:tcBorders>
              <w:top w:val="nil"/>
              <w:left w:val="nil"/>
              <w:bottom w:val="single" w:sz="4" w:space="0" w:color="auto"/>
              <w:right w:val="single" w:sz="4" w:space="0" w:color="auto"/>
            </w:tcBorders>
            <w:shd w:val="clear" w:color="auto" w:fill="E5B8B7" w:themeFill="accent2" w:themeFillTint="66"/>
            <w:noWrap/>
            <w:vAlign w:val="bottom"/>
            <w:hideMark/>
          </w:tcPr>
          <w:p w:rsidR="005D564E" w:rsidRPr="00EC4A73" w:rsidRDefault="005D564E" w:rsidP="001D7BD6">
            <w:pPr>
              <w:spacing w:after="0" w:line="240" w:lineRule="auto"/>
              <w:jc w:val="right"/>
              <w:rPr>
                <w:rFonts w:eastAsia="Times New Roman" w:cs="Times New Roman"/>
                <w:color w:val="000000"/>
                <w:szCs w:val="24"/>
              </w:rPr>
            </w:pPr>
            <w:r w:rsidRPr="00EC4A73">
              <w:rPr>
                <w:rFonts w:eastAsia="Times New Roman" w:cs="Times New Roman"/>
                <w:color w:val="000000"/>
                <w:szCs w:val="24"/>
              </w:rPr>
              <w:t>0.48</w:t>
            </w:r>
          </w:p>
        </w:tc>
        <w:tc>
          <w:tcPr>
            <w:tcW w:w="1090" w:type="dxa"/>
            <w:tcBorders>
              <w:top w:val="nil"/>
              <w:left w:val="nil"/>
              <w:bottom w:val="single" w:sz="4" w:space="0" w:color="auto"/>
              <w:right w:val="single" w:sz="4" w:space="0" w:color="auto"/>
            </w:tcBorders>
            <w:shd w:val="clear" w:color="auto" w:fill="E5B8B7" w:themeFill="accent2" w:themeFillTint="66"/>
            <w:noWrap/>
            <w:vAlign w:val="bottom"/>
            <w:hideMark/>
          </w:tcPr>
          <w:p w:rsidR="005D564E" w:rsidRPr="00EC4A73" w:rsidRDefault="005D564E" w:rsidP="001D7BD6">
            <w:pPr>
              <w:spacing w:after="0" w:line="240" w:lineRule="auto"/>
              <w:jc w:val="right"/>
              <w:rPr>
                <w:rFonts w:eastAsia="Times New Roman" w:cs="Times New Roman"/>
                <w:color w:val="000000"/>
                <w:szCs w:val="24"/>
              </w:rPr>
            </w:pPr>
            <w:r w:rsidRPr="00EC4A73">
              <w:rPr>
                <w:rFonts w:eastAsia="Times New Roman" w:cs="Times New Roman"/>
                <w:color w:val="000000"/>
                <w:szCs w:val="24"/>
              </w:rPr>
              <w:t>0.70</w:t>
            </w:r>
          </w:p>
        </w:tc>
        <w:tc>
          <w:tcPr>
            <w:tcW w:w="1090" w:type="dxa"/>
            <w:tcBorders>
              <w:top w:val="nil"/>
              <w:left w:val="nil"/>
              <w:bottom w:val="single" w:sz="4" w:space="0" w:color="auto"/>
              <w:right w:val="single" w:sz="4" w:space="0" w:color="auto"/>
            </w:tcBorders>
            <w:shd w:val="clear" w:color="auto" w:fill="E5B8B7" w:themeFill="accent2" w:themeFillTint="66"/>
            <w:noWrap/>
            <w:vAlign w:val="bottom"/>
            <w:hideMark/>
          </w:tcPr>
          <w:p w:rsidR="005D564E" w:rsidRPr="00EC4A73" w:rsidRDefault="005D564E" w:rsidP="001D7BD6">
            <w:pPr>
              <w:spacing w:after="0" w:line="240" w:lineRule="auto"/>
              <w:jc w:val="right"/>
              <w:rPr>
                <w:rFonts w:eastAsia="Times New Roman" w:cs="Times New Roman"/>
                <w:color w:val="000000"/>
                <w:szCs w:val="24"/>
              </w:rPr>
            </w:pPr>
            <w:r w:rsidRPr="00EC4A73">
              <w:rPr>
                <w:rFonts w:eastAsia="Times New Roman" w:cs="Times New Roman"/>
                <w:color w:val="000000"/>
                <w:szCs w:val="24"/>
              </w:rPr>
              <w:t>0.83</w:t>
            </w:r>
          </w:p>
        </w:tc>
        <w:tc>
          <w:tcPr>
            <w:tcW w:w="1090" w:type="dxa"/>
            <w:tcBorders>
              <w:top w:val="nil"/>
              <w:left w:val="nil"/>
              <w:bottom w:val="single" w:sz="4" w:space="0" w:color="auto"/>
              <w:right w:val="single" w:sz="4" w:space="0" w:color="auto"/>
            </w:tcBorders>
            <w:shd w:val="clear" w:color="auto" w:fill="E5B8B7" w:themeFill="accent2" w:themeFillTint="66"/>
            <w:noWrap/>
            <w:vAlign w:val="bottom"/>
            <w:hideMark/>
          </w:tcPr>
          <w:p w:rsidR="005D564E" w:rsidRPr="00EC4A73" w:rsidRDefault="005D564E" w:rsidP="001D7BD6">
            <w:pPr>
              <w:spacing w:after="0" w:line="240" w:lineRule="auto"/>
              <w:jc w:val="right"/>
              <w:rPr>
                <w:rFonts w:eastAsia="Times New Roman" w:cs="Times New Roman"/>
                <w:color w:val="000000"/>
                <w:szCs w:val="24"/>
              </w:rPr>
            </w:pPr>
            <w:r w:rsidRPr="00EC4A73">
              <w:rPr>
                <w:rFonts w:eastAsia="Times New Roman" w:cs="Times New Roman"/>
                <w:color w:val="000000"/>
                <w:szCs w:val="24"/>
              </w:rPr>
              <w:t>0.96</w:t>
            </w:r>
          </w:p>
        </w:tc>
        <w:tc>
          <w:tcPr>
            <w:tcW w:w="1090" w:type="dxa"/>
            <w:tcBorders>
              <w:top w:val="nil"/>
              <w:left w:val="nil"/>
              <w:bottom w:val="single" w:sz="4" w:space="0" w:color="auto"/>
              <w:right w:val="single" w:sz="4" w:space="0" w:color="auto"/>
            </w:tcBorders>
            <w:shd w:val="clear" w:color="auto" w:fill="E5B8B7" w:themeFill="accent2" w:themeFillTint="66"/>
            <w:noWrap/>
            <w:vAlign w:val="bottom"/>
            <w:hideMark/>
          </w:tcPr>
          <w:p w:rsidR="005D564E" w:rsidRPr="00EC4A73" w:rsidRDefault="005D564E" w:rsidP="001D7BD6">
            <w:pPr>
              <w:spacing w:after="0" w:line="240" w:lineRule="auto"/>
              <w:jc w:val="right"/>
              <w:rPr>
                <w:rFonts w:eastAsia="Times New Roman" w:cs="Times New Roman"/>
                <w:color w:val="000000"/>
                <w:szCs w:val="24"/>
              </w:rPr>
            </w:pPr>
            <w:r w:rsidRPr="00EC4A73">
              <w:rPr>
                <w:rFonts w:eastAsia="Times New Roman" w:cs="Times New Roman"/>
                <w:color w:val="000000"/>
                <w:szCs w:val="24"/>
              </w:rPr>
              <w:t>0.75</w:t>
            </w:r>
          </w:p>
        </w:tc>
      </w:tr>
    </w:tbl>
    <w:p w:rsidR="005D564E" w:rsidRDefault="005D564E" w:rsidP="005D564E">
      <w:pPr>
        <w:rPr>
          <w:b/>
        </w:rPr>
      </w:pPr>
    </w:p>
    <w:p w:rsidR="005D564E" w:rsidRDefault="005D564E" w:rsidP="005D564E">
      <w:r w:rsidRPr="0013193E">
        <w:t xml:space="preserve">While calculating the quick ratio as only the </w:t>
      </w:r>
      <w:r>
        <w:t>quick asset or only those current assets are considered which can be readily converted in to cash which is the most liquid form of the current asset, the ratio follows more all less the same changing pattern over years. Here it has been assumed that apart from the inventories all other current assets of the organization are quick in nature. So looking at the quick ratios it can be seen that there is not much difference in the quick and current ratios of the organization over years and this clearly indicates that the proportion of the inventory holding is negligible with respect to the total current asset holding of the organization and the organization has demonstrated its efficiency in generating trade receivables through the selling of those inventories duri8ng the period of study from 2012-2016.</w:t>
      </w:r>
    </w:p>
    <w:p w:rsidR="005D564E" w:rsidRPr="004A70E2" w:rsidRDefault="005D564E" w:rsidP="005D564E">
      <w:pPr>
        <w:rPr>
          <w:b/>
        </w:rPr>
      </w:pPr>
      <w:r w:rsidRPr="004A70E2">
        <w:rPr>
          <w:b/>
        </w:rPr>
        <w:t>Return on Capital employed:</w:t>
      </w:r>
    </w:p>
    <w:tbl>
      <w:tblPr>
        <w:tblW w:w="8960" w:type="dxa"/>
        <w:tblInd w:w="98" w:type="dxa"/>
        <w:tblLook w:val="04A0" w:firstRow="1" w:lastRow="0" w:firstColumn="1" w:lastColumn="0" w:noHBand="0" w:noVBand="1"/>
      </w:tblPr>
      <w:tblGrid>
        <w:gridCol w:w="3510"/>
        <w:gridCol w:w="1090"/>
        <w:gridCol w:w="1090"/>
        <w:gridCol w:w="1090"/>
        <w:gridCol w:w="1090"/>
        <w:gridCol w:w="1090"/>
      </w:tblGrid>
      <w:tr w:rsidR="005D564E" w:rsidRPr="00CF0AB8" w:rsidTr="001D7BD6">
        <w:trPr>
          <w:trHeight w:val="330"/>
        </w:trPr>
        <w:tc>
          <w:tcPr>
            <w:tcW w:w="8960" w:type="dxa"/>
            <w:gridSpan w:val="6"/>
            <w:tcBorders>
              <w:top w:val="single" w:sz="8" w:space="0" w:color="auto"/>
              <w:left w:val="single" w:sz="8" w:space="0" w:color="auto"/>
              <w:bottom w:val="single" w:sz="8" w:space="0" w:color="auto"/>
              <w:right w:val="single" w:sz="8" w:space="0" w:color="000000"/>
            </w:tcBorders>
            <w:shd w:val="clear" w:color="000000" w:fill="FFC000"/>
            <w:noWrap/>
            <w:vAlign w:val="bottom"/>
            <w:hideMark/>
          </w:tcPr>
          <w:p w:rsidR="005D564E" w:rsidRPr="00CF0AB8" w:rsidRDefault="005D564E" w:rsidP="001D7BD6">
            <w:pPr>
              <w:spacing w:after="0" w:line="240" w:lineRule="auto"/>
              <w:jc w:val="center"/>
              <w:rPr>
                <w:rFonts w:eastAsia="Times New Roman" w:cs="Times New Roman"/>
                <w:b/>
                <w:bCs/>
                <w:color w:val="000000"/>
                <w:szCs w:val="24"/>
              </w:rPr>
            </w:pPr>
            <w:r w:rsidRPr="00CF0AB8">
              <w:rPr>
                <w:rFonts w:eastAsia="Times New Roman" w:cs="Times New Roman"/>
                <w:b/>
                <w:bCs/>
                <w:color w:val="000000"/>
                <w:szCs w:val="24"/>
              </w:rPr>
              <w:t>British telecom(BT) Ratio Analysis</w:t>
            </w:r>
          </w:p>
        </w:tc>
      </w:tr>
      <w:tr w:rsidR="005D564E" w:rsidRPr="00CF0AB8" w:rsidTr="001D7BD6">
        <w:trPr>
          <w:trHeight w:val="315"/>
        </w:trPr>
        <w:tc>
          <w:tcPr>
            <w:tcW w:w="3510" w:type="dxa"/>
            <w:tcBorders>
              <w:top w:val="nil"/>
              <w:left w:val="single" w:sz="4" w:space="0" w:color="auto"/>
              <w:bottom w:val="single" w:sz="4" w:space="0" w:color="auto"/>
              <w:right w:val="single" w:sz="4" w:space="0" w:color="auto"/>
            </w:tcBorders>
            <w:shd w:val="clear" w:color="000000" w:fill="DBE5F1"/>
            <w:noWrap/>
            <w:vAlign w:val="bottom"/>
            <w:hideMark/>
          </w:tcPr>
          <w:p w:rsidR="005D564E" w:rsidRPr="00CF0AB8" w:rsidRDefault="005D564E" w:rsidP="001D7BD6">
            <w:pPr>
              <w:spacing w:after="0" w:line="240" w:lineRule="auto"/>
              <w:jc w:val="left"/>
              <w:rPr>
                <w:rFonts w:eastAsia="Times New Roman" w:cs="Times New Roman"/>
                <w:b/>
                <w:bCs/>
                <w:color w:val="000000"/>
                <w:szCs w:val="24"/>
              </w:rPr>
            </w:pPr>
            <w:r w:rsidRPr="00CF0AB8">
              <w:rPr>
                <w:rFonts w:eastAsia="Times New Roman" w:cs="Times New Roman"/>
                <w:b/>
                <w:bCs/>
                <w:color w:val="000000"/>
                <w:szCs w:val="24"/>
              </w:rPr>
              <w:t xml:space="preserve">Items of financial statement  </w:t>
            </w:r>
          </w:p>
        </w:tc>
        <w:tc>
          <w:tcPr>
            <w:tcW w:w="1090" w:type="dxa"/>
            <w:tcBorders>
              <w:top w:val="nil"/>
              <w:left w:val="nil"/>
              <w:bottom w:val="single" w:sz="4" w:space="0" w:color="auto"/>
              <w:right w:val="single" w:sz="4" w:space="0" w:color="auto"/>
            </w:tcBorders>
            <w:shd w:val="clear" w:color="000000" w:fill="DBE5F1"/>
            <w:noWrap/>
            <w:vAlign w:val="bottom"/>
            <w:hideMark/>
          </w:tcPr>
          <w:p w:rsidR="005D564E" w:rsidRPr="00CF0AB8" w:rsidRDefault="005D564E" w:rsidP="001D7BD6">
            <w:pPr>
              <w:spacing w:after="0" w:line="240" w:lineRule="auto"/>
              <w:jc w:val="left"/>
              <w:rPr>
                <w:rFonts w:eastAsia="Times New Roman" w:cs="Times New Roman"/>
                <w:color w:val="000000"/>
                <w:szCs w:val="24"/>
              </w:rPr>
            </w:pPr>
            <w:r w:rsidRPr="00CF0AB8">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5D564E" w:rsidRPr="00CF0AB8" w:rsidRDefault="005D564E" w:rsidP="001D7BD6">
            <w:pPr>
              <w:spacing w:after="0" w:line="240" w:lineRule="auto"/>
              <w:jc w:val="left"/>
              <w:rPr>
                <w:rFonts w:eastAsia="Times New Roman" w:cs="Times New Roman"/>
                <w:color w:val="000000"/>
                <w:szCs w:val="24"/>
              </w:rPr>
            </w:pPr>
            <w:r w:rsidRPr="00CF0AB8">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5D564E" w:rsidRPr="00CF0AB8" w:rsidRDefault="005D564E" w:rsidP="001D7BD6">
            <w:pPr>
              <w:spacing w:after="0" w:line="240" w:lineRule="auto"/>
              <w:jc w:val="left"/>
              <w:rPr>
                <w:rFonts w:eastAsia="Times New Roman" w:cs="Times New Roman"/>
                <w:color w:val="000000"/>
                <w:szCs w:val="24"/>
              </w:rPr>
            </w:pPr>
            <w:r w:rsidRPr="00CF0AB8">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5D564E" w:rsidRPr="00CF0AB8" w:rsidRDefault="005D564E" w:rsidP="001D7BD6">
            <w:pPr>
              <w:spacing w:after="0" w:line="240" w:lineRule="auto"/>
              <w:jc w:val="left"/>
              <w:rPr>
                <w:rFonts w:eastAsia="Times New Roman" w:cs="Times New Roman"/>
                <w:color w:val="000000"/>
                <w:szCs w:val="24"/>
              </w:rPr>
            </w:pPr>
            <w:r w:rsidRPr="00CF0AB8">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5D564E" w:rsidRPr="00CF0AB8" w:rsidRDefault="005D564E" w:rsidP="001D7BD6">
            <w:pPr>
              <w:spacing w:after="0" w:line="240" w:lineRule="auto"/>
              <w:jc w:val="left"/>
              <w:rPr>
                <w:rFonts w:eastAsia="Times New Roman" w:cs="Times New Roman"/>
                <w:color w:val="000000"/>
                <w:szCs w:val="24"/>
              </w:rPr>
            </w:pPr>
            <w:r w:rsidRPr="00CF0AB8">
              <w:rPr>
                <w:rFonts w:eastAsia="Times New Roman" w:cs="Times New Roman"/>
                <w:color w:val="000000"/>
                <w:szCs w:val="24"/>
              </w:rPr>
              <w:t>£,million</w:t>
            </w:r>
          </w:p>
        </w:tc>
      </w:tr>
      <w:tr w:rsidR="005D564E" w:rsidRPr="00CF0AB8" w:rsidTr="001D7BD6">
        <w:trPr>
          <w:trHeight w:val="315"/>
        </w:trPr>
        <w:tc>
          <w:tcPr>
            <w:tcW w:w="3510" w:type="dxa"/>
            <w:tcBorders>
              <w:top w:val="nil"/>
              <w:left w:val="single" w:sz="4" w:space="0" w:color="auto"/>
              <w:bottom w:val="single" w:sz="4" w:space="0" w:color="auto"/>
              <w:right w:val="single" w:sz="4" w:space="0" w:color="auto"/>
            </w:tcBorders>
            <w:shd w:val="clear" w:color="000000" w:fill="FFC000"/>
            <w:noWrap/>
            <w:vAlign w:val="bottom"/>
            <w:hideMark/>
          </w:tcPr>
          <w:p w:rsidR="005D564E" w:rsidRPr="00CF0AB8" w:rsidRDefault="005D564E" w:rsidP="001D7BD6">
            <w:pPr>
              <w:spacing w:after="0" w:line="240" w:lineRule="auto"/>
              <w:jc w:val="left"/>
              <w:rPr>
                <w:rFonts w:eastAsia="Times New Roman" w:cs="Times New Roman"/>
                <w:b/>
                <w:bCs/>
                <w:color w:val="000000"/>
                <w:szCs w:val="24"/>
              </w:rPr>
            </w:pPr>
            <w:r w:rsidRPr="00CF0AB8">
              <w:rPr>
                <w:rFonts w:eastAsia="Times New Roman" w:cs="Times New Roman"/>
                <w:b/>
                <w:bCs/>
                <w:color w:val="000000"/>
                <w:szCs w:val="24"/>
              </w:rPr>
              <w:t>Years</w:t>
            </w:r>
          </w:p>
        </w:tc>
        <w:tc>
          <w:tcPr>
            <w:tcW w:w="1090" w:type="dxa"/>
            <w:tcBorders>
              <w:top w:val="nil"/>
              <w:left w:val="nil"/>
              <w:bottom w:val="single" w:sz="4" w:space="0" w:color="auto"/>
              <w:right w:val="single" w:sz="4" w:space="0" w:color="auto"/>
            </w:tcBorders>
            <w:shd w:val="clear" w:color="000000" w:fill="FFC000"/>
            <w:noWrap/>
            <w:vAlign w:val="bottom"/>
            <w:hideMark/>
          </w:tcPr>
          <w:p w:rsidR="005D564E" w:rsidRPr="00CF0AB8" w:rsidRDefault="005D564E" w:rsidP="001D7BD6">
            <w:pPr>
              <w:spacing w:after="0" w:line="240" w:lineRule="auto"/>
              <w:jc w:val="right"/>
              <w:rPr>
                <w:rFonts w:eastAsia="Times New Roman" w:cs="Times New Roman"/>
                <w:b/>
                <w:bCs/>
                <w:color w:val="000000"/>
                <w:szCs w:val="24"/>
              </w:rPr>
            </w:pPr>
            <w:r w:rsidRPr="00CF0AB8">
              <w:rPr>
                <w:rFonts w:eastAsia="Times New Roman" w:cs="Times New Roman"/>
                <w:b/>
                <w:bCs/>
                <w:color w:val="000000"/>
                <w:szCs w:val="24"/>
              </w:rPr>
              <w:t>2012</w:t>
            </w:r>
          </w:p>
        </w:tc>
        <w:tc>
          <w:tcPr>
            <w:tcW w:w="1090" w:type="dxa"/>
            <w:tcBorders>
              <w:top w:val="nil"/>
              <w:left w:val="nil"/>
              <w:bottom w:val="single" w:sz="4" w:space="0" w:color="auto"/>
              <w:right w:val="single" w:sz="4" w:space="0" w:color="auto"/>
            </w:tcBorders>
            <w:shd w:val="clear" w:color="000000" w:fill="FFC000"/>
            <w:noWrap/>
            <w:vAlign w:val="bottom"/>
            <w:hideMark/>
          </w:tcPr>
          <w:p w:rsidR="005D564E" w:rsidRPr="00CF0AB8" w:rsidRDefault="005D564E" w:rsidP="001D7BD6">
            <w:pPr>
              <w:spacing w:after="0" w:line="240" w:lineRule="auto"/>
              <w:jc w:val="right"/>
              <w:rPr>
                <w:rFonts w:eastAsia="Times New Roman" w:cs="Times New Roman"/>
                <w:b/>
                <w:bCs/>
                <w:color w:val="000000"/>
                <w:szCs w:val="24"/>
              </w:rPr>
            </w:pPr>
            <w:r w:rsidRPr="00CF0AB8">
              <w:rPr>
                <w:rFonts w:eastAsia="Times New Roman" w:cs="Times New Roman"/>
                <w:b/>
                <w:bCs/>
                <w:color w:val="000000"/>
                <w:szCs w:val="24"/>
              </w:rPr>
              <w:t>2013</w:t>
            </w:r>
          </w:p>
        </w:tc>
        <w:tc>
          <w:tcPr>
            <w:tcW w:w="1090" w:type="dxa"/>
            <w:tcBorders>
              <w:top w:val="nil"/>
              <w:left w:val="nil"/>
              <w:bottom w:val="single" w:sz="4" w:space="0" w:color="auto"/>
              <w:right w:val="single" w:sz="4" w:space="0" w:color="auto"/>
            </w:tcBorders>
            <w:shd w:val="clear" w:color="000000" w:fill="FFC000"/>
            <w:noWrap/>
            <w:vAlign w:val="bottom"/>
            <w:hideMark/>
          </w:tcPr>
          <w:p w:rsidR="005D564E" w:rsidRPr="00CF0AB8" w:rsidRDefault="005D564E" w:rsidP="001D7BD6">
            <w:pPr>
              <w:spacing w:after="0" w:line="240" w:lineRule="auto"/>
              <w:jc w:val="right"/>
              <w:rPr>
                <w:rFonts w:eastAsia="Times New Roman" w:cs="Times New Roman"/>
                <w:b/>
                <w:bCs/>
                <w:color w:val="000000"/>
                <w:szCs w:val="24"/>
              </w:rPr>
            </w:pPr>
            <w:r w:rsidRPr="00CF0AB8">
              <w:rPr>
                <w:rFonts w:eastAsia="Times New Roman" w:cs="Times New Roman"/>
                <w:b/>
                <w:bCs/>
                <w:color w:val="000000"/>
                <w:szCs w:val="24"/>
              </w:rPr>
              <w:t>2014</w:t>
            </w:r>
          </w:p>
        </w:tc>
        <w:tc>
          <w:tcPr>
            <w:tcW w:w="1090" w:type="dxa"/>
            <w:tcBorders>
              <w:top w:val="nil"/>
              <w:left w:val="nil"/>
              <w:bottom w:val="single" w:sz="4" w:space="0" w:color="auto"/>
              <w:right w:val="single" w:sz="4" w:space="0" w:color="auto"/>
            </w:tcBorders>
            <w:shd w:val="clear" w:color="000000" w:fill="FFC000"/>
            <w:noWrap/>
            <w:vAlign w:val="bottom"/>
            <w:hideMark/>
          </w:tcPr>
          <w:p w:rsidR="005D564E" w:rsidRPr="00CF0AB8" w:rsidRDefault="005D564E" w:rsidP="001D7BD6">
            <w:pPr>
              <w:spacing w:after="0" w:line="240" w:lineRule="auto"/>
              <w:jc w:val="right"/>
              <w:rPr>
                <w:rFonts w:eastAsia="Times New Roman" w:cs="Times New Roman"/>
                <w:b/>
                <w:bCs/>
                <w:color w:val="000000"/>
                <w:szCs w:val="24"/>
              </w:rPr>
            </w:pPr>
            <w:r w:rsidRPr="00CF0AB8">
              <w:rPr>
                <w:rFonts w:eastAsia="Times New Roman" w:cs="Times New Roman"/>
                <w:b/>
                <w:bCs/>
                <w:color w:val="000000"/>
                <w:szCs w:val="24"/>
              </w:rPr>
              <w:t>2015</w:t>
            </w:r>
          </w:p>
        </w:tc>
        <w:tc>
          <w:tcPr>
            <w:tcW w:w="1090" w:type="dxa"/>
            <w:tcBorders>
              <w:top w:val="nil"/>
              <w:left w:val="nil"/>
              <w:bottom w:val="single" w:sz="4" w:space="0" w:color="auto"/>
              <w:right w:val="single" w:sz="4" w:space="0" w:color="auto"/>
            </w:tcBorders>
            <w:shd w:val="clear" w:color="000000" w:fill="FFC000"/>
            <w:noWrap/>
            <w:vAlign w:val="bottom"/>
            <w:hideMark/>
          </w:tcPr>
          <w:p w:rsidR="005D564E" w:rsidRPr="00CF0AB8" w:rsidRDefault="005D564E" w:rsidP="001D7BD6">
            <w:pPr>
              <w:spacing w:after="0" w:line="240" w:lineRule="auto"/>
              <w:jc w:val="right"/>
              <w:rPr>
                <w:rFonts w:eastAsia="Times New Roman" w:cs="Times New Roman"/>
                <w:b/>
                <w:bCs/>
                <w:color w:val="000000"/>
                <w:szCs w:val="24"/>
              </w:rPr>
            </w:pPr>
            <w:r w:rsidRPr="00CF0AB8">
              <w:rPr>
                <w:rFonts w:eastAsia="Times New Roman" w:cs="Times New Roman"/>
                <w:b/>
                <w:bCs/>
                <w:color w:val="000000"/>
                <w:szCs w:val="24"/>
              </w:rPr>
              <w:t>2016</w:t>
            </w:r>
          </w:p>
        </w:tc>
      </w:tr>
      <w:tr w:rsidR="005D564E" w:rsidRPr="00CF0AB8" w:rsidTr="001D7BD6">
        <w:trPr>
          <w:trHeight w:val="315"/>
        </w:trPr>
        <w:tc>
          <w:tcPr>
            <w:tcW w:w="3510" w:type="dxa"/>
            <w:tcBorders>
              <w:top w:val="nil"/>
              <w:left w:val="single" w:sz="4" w:space="0" w:color="auto"/>
              <w:bottom w:val="single" w:sz="4" w:space="0" w:color="auto"/>
              <w:right w:val="single" w:sz="4" w:space="0" w:color="auto"/>
            </w:tcBorders>
            <w:shd w:val="clear" w:color="000000" w:fill="C5BE97"/>
            <w:noWrap/>
            <w:vAlign w:val="bottom"/>
            <w:hideMark/>
          </w:tcPr>
          <w:p w:rsidR="005D564E" w:rsidRPr="00CF0AB8" w:rsidRDefault="005D564E" w:rsidP="001D7BD6">
            <w:pPr>
              <w:spacing w:after="0" w:line="240" w:lineRule="auto"/>
              <w:jc w:val="left"/>
              <w:rPr>
                <w:rFonts w:eastAsia="Times New Roman" w:cs="Times New Roman"/>
                <w:color w:val="000000"/>
                <w:szCs w:val="24"/>
              </w:rPr>
            </w:pPr>
            <w:r w:rsidRPr="00CF0AB8">
              <w:rPr>
                <w:rFonts w:eastAsia="Times New Roman" w:cs="Times New Roman"/>
                <w:color w:val="000000"/>
                <w:szCs w:val="24"/>
              </w:rPr>
              <w:t>Capital Employed</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CF0AB8" w:rsidRDefault="005D564E" w:rsidP="001D7BD6">
            <w:pPr>
              <w:spacing w:after="0" w:line="240" w:lineRule="auto"/>
              <w:jc w:val="right"/>
              <w:rPr>
                <w:rFonts w:eastAsia="Times New Roman" w:cs="Times New Roman"/>
                <w:color w:val="4F81BD"/>
                <w:szCs w:val="24"/>
              </w:rPr>
            </w:pPr>
            <w:r w:rsidRPr="00CF0AB8">
              <w:rPr>
                <w:rFonts w:eastAsia="Times New Roman" w:cs="Times New Roman"/>
                <w:color w:val="4F81BD"/>
                <w:szCs w:val="24"/>
              </w:rPr>
              <w:t>13,882</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CF0AB8" w:rsidRDefault="005D564E" w:rsidP="001D7BD6">
            <w:pPr>
              <w:spacing w:after="0" w:line="240" w:lineRule="auto"/>
              <w:jc w:val="right"/>
              <w:rPr>
                <w:rFonts w:eastAsia="Times New Roman" w:cs="Times New Roman"/>
                <w:color w:val="4F81BD"/>
                <w:szCs w:val="24"/>
              </w:rPr>
            </w:pPr>
            <w:r w:rsidRPr="00CF0AB8">
              <w:rPr>
                <w:rFonts w:eastAsia="Times New Roman" w:cs="Times New Roman"/>
                <w:color w:val="4F81BD"/>
                <w:szCs w:val="24"/>
              </w:rPr>
              <w:t>27,486</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CF0AB8" w:rsidRDefault="005D564E" w:rsidP="001D7BD6">
            <w:pPr>
              <w:spacing w:after="0" w:line="240" w:lineRule="auto"/>
              <w:jc w:val="right"/>
              <w:rPr>
                <w:rFonts w:eastAsia="Times New Roman" w:cs="Times New Roman"/>
                <w:color w:val="4F81BD"/>
                <w:szCs w:val="24"/>
              </w:rPr>
            </w:pPr>
            <w:r w:rsidRPr="00CF0AB8">
              <w:rPr>
                <w:rFonts w:eastAsia="Times New Roman" w:cs="Times New Roman"/>
                <w:color w:val="4F81BD"/>
                <w:szCs w:val="24"/>
              </w:rPr>
              <w:t>27,630</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CF0AB8" w:rsidRDefault="005D564E" w:rsidP="001D7BD6">
            <w:pPr>
              <w:spacing w:after="0" w:line="240" w:lineRule="auto"/>
              <w:jc w:val="right"/>
              <w:rPr>
                <w:rFonts w:eastAsia="Times New Roman" w:cs="Times New Roman"/>
                <w:color w:val="4F81BD"/>
                <w:szCs w:val="24"/>
              </w:rPr>
            </w:pPr>
            <w:r w:rsidRPr="00CF0AB8">
              <w:rPr>
                <w:rFonts w:eastAsia="Times New Roman" w:cs="Times New Roman"/>
                <w:color w:val="4F81BD"/>
                <w:szCs w:val="24"/>
              </w:rPr>
              <w:t>29,888</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CF0AB8" w:rsidRDefault="005D564E" w:rsidP="001D7BD6">
            <w:pPr>
              <w:spacing w:after="0" w:line="240" w:lineRule="auto"/>
              <w:jc w:val="right"/>
              <w:rPr>
                <w:rFonts w:eastAsia="Times New Roman" w:cs="Times New Roman"/>
                <w:color w:val="4F81BD"/>
                <w:szCs w:val="24"/>
              </w:rPr>
            </w:pPr>
            <w:r w:rsidRPr="00CF0AB8">
              <w:rPr>
                <w:rFonts w:eastAsia="Times New Roman" w:cs="Times New Roman"/>
                <w:color w:val="4F81BD"/>
                <w:szCs w:val="24"/>
              </w:rPr>
              <w:t>34,396</w:t>
            </w:r>
          </w:p>
        </w:tc>
      </w:tr>
      <w:tr w:rsidR="005D564E" w:rsidRPr="00CF0AB8" w:rsidTr="001D7BD6">
        <w:trPr>
          <w:trHeight w:val="315"/>
        </w:trPr>
        <w:tc>
          <w:tcPr>
            <w:tcW w:w="3510" w:type="dxa"/>
            <w:tcBorders>
              <w:top w:val="nil"/>
              <w:left w:val="single" w:sz="4" w:space="0" w:color="auto"/>
              <w:bottom w:val="single" w:sz="4" w:space="0" w:color="auto"/>
              <w:right w:val="single" w:sz="4" w:space="0" w:color="auto"/>
            </w:tcBorders>
            <w:shd w:val="clear" w:color="000000" w:fill="C5BE97"/>
            <w:noWrap/>
            <w:vAlign w:val="bottom"/>
            <w:hideMark/>
          </w:tcPr>
          <w:p w:rsidR="005D564E" w:rsidRPr="00CF0AB8" w:rsidRDefault="005D564E" w:rsidP="001D7BD6">
            <w:pPr>
              <w:spacing w:after="0" w:line="240" w:lineRule="auto"/>
              <w:jc w:val="left"/>
              <w:rPr>
                <w:rFonts w:eastAsia="Times New Roman" w:cs="Times New Roman"/>
                <w:color w:val="000000"/>
                <w:szCs w:val="24"/>
              </w:rPr>
            </w:pPr>
            <w:r w:rsidRPr="00CF0AB8">
              <w:rPr>
                <w:rFonts w:eastAsia="Times New Roman" w:cs="Times New Roman"/>
                <w:color w:val="000000"/>
                <w:szCs w:val="24"/>
              </w:rPr>
              <w:t>EBIT/Operating profit</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CF0AB8" w:rsidRDefault="005D564E" w:rsidP="001D7BD6">
            <w:pPr>
              <w:spacing w:after="0" w:line="240" w:lineRule="auto"/>
              <w:jc w:val="right"/>
              <w:rPr>
                <w:rFonts w:eastAsia="Times New Roman" w:cs="Times New Roman"/>
                <w:color w:val="000000"/>
                <w:szCs w:val="24"/>
              </w:rPr>
            </w:pPr>
            <w:r w:rsidRPr="00CF0AB8">
              <w:rPr>
                <w:rFonts w:eastAsia="Times New Roman" w:cs="Times New Roman"/>
                <w:color w:val="000000"/>
                <w:szCs w:val="24"/>
              </w:rPr>
              <w:t>2893</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CF0AB8" w:rsidRDefault="005D564E" w:rsidP="001D7BD6">
            <w:pPr>
              <w:spacing w:after="0" w:line="240" w:lineRule="auto"/>
              <w:jc w:val="right"/>
              <w:rPr>
                <w:rFonts w:eastAsia="Times New Roman" w:cs="Times New Roman"/>
                <w:color w:val="000000"/>
                <w:szCs w:val="24"/>
              </w:rPr>
            </w:pPr>
            <w:r w:rsidRPr="00CF0AB8">
              <w:rPr>
                <w:rFonts w:eastAsia="Times New Roman" w:cs="Times New Roman"/>
                <w:color w:val="000000"/>
                <w:szCs w:val="24"/>
              </w:rPr>
              <w:t>2,952</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CF0AB8" w:rsidRDefault="005D564E" w:rsidP="001D7BD6">
            <w:pPr>
              <w:spacing w:after="0" w:line="240" w:lineRule="auto"/>
              <w:jc w:val="right"/>
              <w:rPr>
                <w:rFonts w:eastAsia="Times New Roman" w:cs="Times New Roman"/>
                <w:color w:val="000000"/>
                <w:szCs w:val="24"/>
              </w:rPr>
            </w:pPr>
            <w:r w:rsidRPr="00CF0AB8">
              <w:rPr>
                <w:rFonts w:eastAsia="Times New Roman" w:cs="Times New Roman"/>
                <w:color w:val="000000"/>
                <w:szCs w:val="24"/>
              </w:rPr>
              <w:t>3,147</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CF0AB8" w:rsidRDefault="005D564E" w:rsidP="001D7BD6">
            <w:pPr>
              <w:spacing w:after="0" w:line="240" w:lineRule="auto"/>
              <w:jc w:val="right"/>
              <w:rPr>
                <w:rFonts w:eastAsia="Times New Roman" w:cs="Times New Roman"/>
                <w:color w:val="000000"/>
                <w:szCs w:val="24"/>
              </w:rPr>
            </w:pPr>
            <w:r w:rsidRPr="00CF0AB8">
              <w:rPr>
                <w:rFonts w:eastAsia="Times New Roman" w:cs="Times New Roman"/>
                <w:color w:val="000000"/>
                <w:szCs w:val="24"/>
              </w:rPr>
              <w:t>3,486</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CF0AB8" w:rsidRDefault="005D564E" w:rsidP="001D7BD6">
            <w:pPr>
              <w:spacing w:after="0" w:line="240" w:lineRule="auto"/>
              <w:jc w:val="right"/>
              <w:rPr>
                <w:rFonts w:eastAsia="Times New Roman" w:cs="Times New Roman"/>
                <w:color w:val="000000"/>
                <w:szCs w:val="24"/>
              </w:rPr>
            </w:pPr>
            <w:r w:rsidRPr="00CF0AB8">
              <w:rPr>
                <w:rFonts w:eastAsia="Times New Roman" w:cs="Times New Roman"/>
                <w:color w:val="000000"/>
                <w:szCs w:val="24"/>
              </w:rPr>
              <w:t>3,737</w:t>
            </w:r>
          </w:p>
        </w:tc>
      </w:tr>
      <w:tr w:rsidR="005D564E" w:rsidRPr="00CF0AB8" w:rsidTr="001D7BD6">
        <w:trPr>
          <w:trHeight w:val="315"/>
        </w:trPr>
        <w:tc>
          <w:tcPr>
            <w:tcW w:w="3510" w:type="dxa"/>
            <w:tcBorders>
              <w:top w:val="nil"/>
              <w:left w:val="single" w:sz="4" w:space="0" w:color="auto"/>
              <w:bottom w:val="single" w:sz="4" w:space="0" w:color="auto"/>
              <w:right w:val="single" w:sz="4" w:space="0" w:color="auto"/>
            </w:tcBorders>
            <w:shd w:val="clear" w:color="auto" w:fill="9BBB59" w:themeFill="accent3"/>
            <w:noWrap/>
            <w:vAlign w:val="bottom"/>
            <w:hideMark/>
          </w:tcPr>
          <w:p w:rsidR="005D564E" w:rsidRPr="00CF0AB8" w:rsidRDefault="005D564E" w:rsidP="001D7BD6">
            <w:pPr>
              <w:spacing w:after="0" w:line="240" w:lineRule="auto"/>
              <w:jc w:val="left"/>
              <w:rPr>
                <w:rFonts w:eastAsia="Times New Roman" w:cs="Times New Roman"/>
                <w:color w:val="000000"/>
                <w:szCs w:val="24"/>
              </w:rPr>
            </w:pPr>
            <w:r w:rsidRPr="00CF0AB8">
              <w:rPr>
                <w:rFonts w:eastAsia="Times New Roman" w:cs="Times New Roman"/>
                <w:color w:val="000000"/>
                <w:szCs w:val="24"/>
              </w:rPr>
              <w:lastRenderedPageBreak/>
              <w:t>Return on capital employed(ROCE)[EBIT/capital employed]</w:t>
            </w:r>
          </w:p>
        </w:tc>
        <w:tc>
          <w:tcPr>
            <w:tcW w:w="1090" w:type="dxa"/>
            <w:tcBorders>
              <w:top w:val="nil"/>
              <w:left w:val="nil"/>
              <w:bottom w:val="single" w:sz="4" w:space="0" w:color="auto"/>
              <w:right w:val="single" w:sz="4" w:space="0" w:color="auto"/>
            </w:tcBorders>
            <w:shd w:val="clear" w:color="auto" w:fill="9BBB59" w:themeFill="accent3"/>
            <w:noWrap/>
            <w:vAlign w:val="bottom"/>
            <w:hideMark/>
          </w:tcPr>
          <w:p w:rsidR="005D564E" w:rsidRPr="00CF0AB8" w:rsidRDefault="005D564E" w:rsidP="001D7BD6">
            <w:pPr>
              <w:spacing w:after="0" w:line="240" w:lineRule="auto"/>
              <w:jc w:val="right"/>
              <w:rPr>
                <w:rFonts w:eastAsia="Times New Roman" w:cs="Times New Roman"/>
                <w:color w:val="000000"/>
                <w:szCs w:val="24"/>
              </w:rPr>
            </w:pPr>
            <w:r w:rsidRPr="00CF0AB8">
              <w:rPr>
                <w:rFonts w:eastAsia="Times New Roman" w:cs="Times New Roman"/>
                <w:color w:val="000000"/>
                <w:szCs w:val="24"/>
              </w:rPr>
              <w:t>0.21</w:t>
            </w:r>
          </w:p>
        </w:tc>
        <w:tc>
          <w:tcPr>
            <w:tcW w:w="1090" w:type="dxa"/>
            <w:tcBorders>
              <w:top w:val="nil"/>
              <w:left w:val="nil"/>
              <w:bottom w:val="single" w:sz="4" w:space="0" w:color="auto"/>
              <w:right w:val="single" w:sz="4" w:space="0" w:color="auto"/>
            </w:tcBorders>
            <w:shd w:val="clear" w:color="auto" w:fill="9BBB59" w:themeFill="accent3"/>
            <w:noWrap/>
            <w:vAlign w:val="bottom"/>
            <w:hideMark/>
          </w:tcPr>
          <w:p w:rsidR="005D564E" w:rsidRPr="00CF0AB8" w:rsidRDefault="005D564E" w:rsidP="001D7BD6">
            <w:pPr>
              <w:spacing w:after="0" w:line="240" w:lineRule="auto"/>
              <w:jc w:val="right"/>
              <w:rPr>
                <w:rFonts w:eastAsia="Times New Roman" w:cs="Times New Roman"/>
                <w:color w:val="000000"/>
                <w:szCs w:val="24"/>
              </w:rPr>
            </w:pPr>
            <w:r w:rsidRPr="00CF0AB8">
              <w:rPr>
                <w:rFonts w:eastAsia="Times New Roman" w:cs="Times New Roman"/>
                <w:color w:val="000000"/>
                <w:szCs w:val="24"/>
              </w:rPr>
              <w:t>0.11</w:t>
            </w:r>
          </w:p>
        </w:tc>
        <w:tc>
          <w:tcPr>
            <w:tcW w:w="1090" w:type="dxa"/>
            <w:tcBorders>
              <w:top w:val="nil"/>
              <w:left w:val="nil"/>
              <w:bottom w:val="single" w:sz="4" w:space="0" w:color="auto"/>
              <w:right w:val="single" w:sz="4" w:space="0" w:color="auto"/>
            </w:tcBorders>
            <w:shd w:val="clear" w:color="auto" w:fill="9BBB59" w:themeFill="accent3"/>
            <w:noWrap/>
            <w:vAlign w:val="bottom"/>
            <w:hideMark/>
          </w:tcPr>
          <w:p w:rsidR="005D564E" w:rsidRPr="00CF0AB8" w:rsidRDefault="005D564E" w:rsidP="001D7BD6">
            <w:pPr>
              <w:spacing w:after="0" w:line="240" w:lineRule="auto"/>
              <w:jc w:val="right"/>
              <w:rPr>
                <w:rFonts w:eastAsia="Times New Roman" w:cs="Times New Roman"/>
                <w:color w:val="000000"/>
                <w:szCs w:val="24"/>
              </w:rPr>
            </w:pPr>
            <w:r w:rsidRPr="00CF0AB8">
              <w:rPr>
                <w:rFonts w:eastAsia="Times New Roman" w:cs="Times New Roman"/>
                <w:color w:val="000000"/>
                <w:szCs w:val="24"/>
              </w:rPr>
              <w:t>0.11</w:t>
            </w:r>
          </w:p>
        </w:tc>
        <w:tc>
          <w:tcPr>
            <w:tcW w:w="1090" w:type="dxa"/>
            <w:tcBorders>
              <w:top w:val="nil"/>
              <w:left w:val="nil"/>
              <w:bottom w:val="single" w:sz="4" w:space="0" w:color="auto"/>
              <w:right w:val="single" w:sz="4" w:space="0" w:color="auto"/>
            </w:tcBorders>
            <w:shd w:val="clear" w:color="auto" w:fill="9BBB59" w:themeFill="accent3"/>
            <w:noWrap/>
            <w:vAlign w:val="bottom"/>
            <w:hideMark/>
          </w:tcPr>
          <w:p w:rsidR="005D564E" w:rsidRPr="00CF0AB8" w:rsidRDefault="005D564E" w:rsidP="001D7BD6">
            <w:pPr>
              <w:spacing w:after="0" w:line="240" w:lineRule="auto"/>
              <w:jc w:val="right"/>
              <w:rPr>
                <w:rFonts w:eastAsia="Times New Roman" w:cs="Times New Roman"/>
                <w:color w:val="000000"/>
                <w:szCs w:val="24"/>
              </w:rPr>
            </w:pPr>
            <w:r w:rsidRPr="00CF0AB8">
              <w:rPr>
                <w:rFonts w:eastAsia="Times New Roman" w:cs="Times New Roman"/>
                <w:color w:val="000000"/>
                <w:szCs w:val="24"/>
              </w:rPr>
              <w:t>0.12</w:t>
            </w:r>
          </w:p>
        </w:tc>
        <w:tc>
          <w:tcPr>
            <w:tcW w:w="1090" w:type="dxa"/>
            <w:tcBorders>
              <w:top w:val="nil"/>
              <w:left w:val="nil"/>
              <w:bottom w:val="single" w:sz="4" w:space="0" w:color="auto"/>
              <w:right w:val="single" w:sz="4" w:space="0" w:color="auto"/>
            </w:tcBorders>
            <w:shd w:val="clear" w:color="auto" w:fill="9BBB59" w:themeFill="accent3"/>
            <w:noWrap/>
            <w:vAlign w:val="bottom"/>
            <w:hideMark/>
          </w:tcPr>
          <w:p w:rsidR="005D564E" w:rsidRPr="00CF0AB8" w:rsidRDefault="005D564E" w:rsidP="001D7BD6">
            <w:pPr>
              <w:spacing w:after="0" w:line="240" w:lineRule="auto"/>
              <w:jc w:val="right"/>
              <w:rPr>
                <w:rFonts w:eastAsia="Times New Roman" w:cs="Times New Roman"/>
                <w:color w:val="000000"/>
                <w:szCs w:val="24"/>
              </w:rPr>
            </w:pPr>
            <w:r w:rsidRPr="00CF0AB8">
              <w:rPr>
                <w:rFonts w:eastAsia="Times New Roman" w:cs="Times New Roman"/>
                <w:color w:val="000000"/>
                <w:szCs w:val="24"/>
              </w:rPr>
              <w:t>0.11</w:t>
            </w:r>
          </w:p>
        </w:tc>
      </w:tr>
    </w:tbl>
    <w:p w:rsidR="005D564E" w:rsidRDefault="005D564E" w:rsidP="005D564E"/>
    <w:p w:rsidR="005D564E" w:rsidRDefault="005D564E" w:rsidP="005D564E">
      <w:r>
        <w:t>It is true that good efficiency of controlling the operational cost and overhead expense has helped the organization to generate a good growth in operating profit as well as net-profit of the organization; but in addition to this income from other sources has also added to the growth to the overall profit figures of the organization. But as the company is heavily dependent over long term borrowing that is why the capital employed of the organization has grown (average growth rate of the study period is 30%) at a higher rate than the growth of the operating profit of the organization (average growth rate of the study period is 7%).That is why the ratio has registered a very low to stable declining trend and is more or less stable around 0.11</w:t>
      </w:r>
    </w:p>
    <w:p w:rsidR="005D564E" w:rsidRDefault="005D564E" w:rsidP="005D564E"/>
    <w:p w:rsidR="005D564E" w:rsidRDefault="005D564E" w:rsidP="005D564E">
      <w:pPr>
        <w:rPr>
          <w:b/>
        </w:rPr>
      </w:pPr>
    </w:p>
    <w:p w:rsidR="005D564E" w:rsidRPr="003B216B" w:rsidRDefault="005D564E" w:rsidP="005D564E">
      <w:pPr>
        <w:rPr>
          <w:b/>
        </w:rPr>
      </w:pPr>
      <w:r w:rsidRPr="003B216B">
        <w:rPr>
          <w:b/>
        </w:rPr>
        <w:t>Asset Turnover Ratio:</w:t>
      </w:r>
    </w:p>
    <w:tbl>
      <w:tblPr>
        <w:tblW w:w="8960" w:type="dxa"/>
        <w:tblInd w:w="98" w:type="dxa"/>
        <w:tblLook w:val="04A0" w:firstRow="1" w:lastRow="0" w:firstColumn="1" w:lastColumn="0" w:noHBand="0" w:noVBand="1"/>
      </w:tblPr>
      <w:tblGrid>
        <w:gridCol w:w="3510"/>
        <w:gridCol w:w="1090"/>
        <w:gridCol w:w="1090"/>
        <w:gridCol w:w="1090"/>
        <w:gridCol w:w="1090"/>
        <w:gridCol w:w="1090"/>
      </w:tblGrid>
      <w:tr w:rsidR="005D564E" w:rsidRPr="004A70E2" w:rsidTr="001D7BD6">
        <w:trPr>
          <w:trHeight w:val="330"/>
        </w:trPr>
        <w:tc>
          <w:tcPr>
            <w:tcW w:w="8960" w:type="dxa"/>
            <w:gridSpan w:val="6"/>
            <w:tcBorders>
              <w:top w:val="single" w:sz="8" w:space="0" w:color="auto"/>
              <w:left w:val="single" w:sz="8" w:space="0" w:color="auto"/>
              <w:bottom w:val="single" w:sz="8" w:space="0" w:color="auto"/>
              <w:right w:val="single" w:sz="8" w:space="0" w:color="000000"/>
            </w:tcBorders>
            <w:shd w:val="clear" w:color="000000" w:fill="FFC000"/>
            <w:noWrap/>
            <w:vAlign w:val="bottom"/>
            <w:hideMark/>
          </w:tcPr>
          <w:p w:rsidR="005D564E" w:rsidRPr="004A70E2" w:rsidRDefault="005D564E" w:rsidP="001D7BD6">
            <w:pPr>
              <w:spacing w:after="0" w:line="240" w:lineRule="auto"/>
              <w:jc w:val="center"/>
              <w:rPr>
                <w:rFonts w:eastAsia="Times New Roman" w:cs="Times New Roman"/>
                <w:b/>
                <w:bCs/>
                <w:color w:val="000000"/>
                <w:szCs w:val="24"/>
              </w:rPr>
            </w:pPr>
            <w:r w:rsidRPr="004A70E2">
              <w:rPr>
                <w:rFonts w:eastAsia="Times New Roman" w:cs="Times New Roman"/>
                <w:b/>
                <w:bCs/>
                <w:color w:val="000000"/>
                <w:szCs w:val="24"/>
              </w:rPr>
              <w:t>British telecom(BT) Ratio Analysis</w:t>
            </w:r>
          </w:p>
        </w:tc>
      </w:tr>
      <w:tr w:rsidR="005D564E" w:rsidRPr="004A70E2" w:rsidTr="001D7BD6">
        <w:trPr>
          <w:trHeight w:val="315"/>
        </w:trPr>
        <w:tc>
          <w:tcPr>
            <w:tcW w:w="3510" w:type="dxa"/>
            <w:tcBorders>
              <w:top w:val="nil"/>
              <w:left w:val="single" w:sz="4" w:space="0" w:color="auto"/>
              <w:bottom w:val="single" w:sz="4" w:space="0" w:color="auto"/>
              <w:right w:val="single" w:sz="4" w:space="0" w:color="auto"/>
            </w:tcBorders>
            <w:shd w:val="clear" w:color="000000" w:fill="DBE5F1"/>
            <w:noWrap/>
            <w:vAlign w:val="bottom"/>
            <w:hideMark/>
          </w:tcPr>
          <w:p w:rsidR="005D564E" w:rsidRPr="004A70E2" w:rsidRDefault="005D564E" w:rsidP="001D7BD6">
            <w:pPr>
              <w:spacing w:after="0" w:line="240" w:lineRule="auto"/>
              <w:jc w:val="left"/>
              <w:rPr>
                <w:rFonts w:eastAsia="Times New Roman" w:cs="Times New Roman"/>
                <w:b/>
                <w:bCs/>
                <w:color w:val="000000"/>
                <w:szCs w:val="24"/>
              </w:rPr>
            </w:pPr>
            <w:r w:rsidRPr="004A70E2">
              <w:rPr>
                <w:rFonts w:eastAsia="Times New Roman" w:cs="Times New Roman"/>
                <w:b/>
                <w:bCs/>
                <w:color w:val="000000"/>
                <w:szCs w:val="24"/>
              </w:rPr>
              <w:t xml:space="preserve">Items of financial statement  </w:t>
            </w:r>
          </w:p>
        </w:tc>
        <w:tc>
          <w:tcPr>
            <w:tcW w:w="1090" w:type="dxa"/>
            <w:tcBorders>
              <w:top w:val="nil"/>
              <w:left w:val="nil"/>
              <w:bottom w:val="single" w:sz="4" w:space="0" w:color="auto"/>
              <w:right w:val="single" w:sz="4" w:space="0" w:color="auto"/>
            </w:tcBorders>
            <w:shd w:val="clear" w:color="000000" w:fill="DBE5F1"/>
            <w:noWrap/>
            <w:vAlign w:val="bottom"/>
            <w:hideMark/>
          </w:tcPr>
          <w:p w:rsidR="005D564E" w:rsidRPr="004A70E2" w:rsidRDefault="005D564E" w:rsidP="001D7BD6">
            <w:pPr>
              <w:spacing w:after="0" w:line="240" w:lineRule="auto"/>
              <w:jc w:val="left"/>
              <w:rPr>
                <w:rFonts w:eastAsia="Times New Roman" w:cs="Times New Roman"/>
                <w:color w:val="000000"/>
                <w:szCs w:val="24"/>
              </w:rPr>
            </w:pPr>
            <w:r w:rsidRPr="004A70E2">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5D564E" w:rsidRPr="004A70E2" w:rsidRDefault="005D564E" w:rsidP="001D7BD6">
            <w:pPr>
              <w:spacing w:after="0" w:line="240" w:lineRule="auto"/>
              <w:jc w:val="left"/>
              <w:rPr>
                <w:rFonts w:eastAsia="Times New Roman" w:cs="Times New Roman"/>
                <w:color w:val="000000"/>
                <w:szCs w:val="24"/>
              </w:rPr>
            </w:pPr>
            <w:r w:rsidRPr="004A70E2">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5D564E" w:rsidRPr="004A70E2" w:rsidRDefault="005D564E" w:rsidP="001D7BD6">
            <w:pPr>
              <w:spacing w:after="0" w:line="240" w:lineRule="auto"/>
              <w:jc w:val="left"/>
              <w:rPr>
                <w:rFonts w:eastAsia="Times New Roman" w:cs="Times New Roman"/>
                <w:color w:val="000000"/>
                <w:szCs w:val="24"/>
              </w:rPr>
            </w:pPr>
            <w:r w:rsidRPr="004A70E2">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5D564E" w:rsidRPr="004A70E2" w:rsidRDefault="005D564E" w:rsidP="001D7BD6">
            <w:pPr>
              <w:spacing w:after="0" w:line="240" w:lineRule="auto"/>
              <w:jc w:val="left"/>
              <w:rPr>
                <w:rFonts w:eastAsia="Times New Roman" w:cs="Times New Roman"/>
                <w:color w:val="000000"/>
                <w:szCs w:val="24"/>
              </w:rPr>
            </w:pPr>
            <w:r w:rsidRPr="004A70E2">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5D564E" w:rsidRPr="004A70E2" w:rsidRDefault="005D564E" w:rsidP="001D7BD6">
            <w:pPr>
              <w:spacing w:after="0" w:line="240" w:lineRule="auto"/>
              <w:jc w:val="left"/>
              <w:rPr>
                <w:rFonts w:eastAsia="Times New Roman" w:cs="Times New Roman"/>
                <w:color w:val="000000"/>
                <w:szCs w:val="24"/>
              </w:rPr>
            </w:pPr>
            <w:r w:rsidRPr="004A70E2">
              <w:rPr>
                <w:rFonts w:eastAsia="Times New Roman" w:cs="Times New Roman"/>
                <w:color w:val="000000"/>
                <w:szCs w:val="24"/>
              </w:rPr>
              <w:t>£,million</w:t>
            </w:r>
          </w:p>
        </w:tc>
      </w:tr>
      <w:tr w:rsidR="005D564E" w:rsidRPr="004A70E2" w:rsidTr="001D7BD6">
        <w:trPr>
          <w:trHeight w:val="315"/>
        </w:trPr>
        <w:tc>
          <w:tcPr>
            <w:tcW w:w="3510" w:type="dxa"/>
            <w:tcBorders>
              <w:top w:val="nil"/>
              <w:left w:val="single" w:sz="4" w:space="0" w:color="auto"/>
              <w:bottom w:val="single" w:sz="4" w:space="0" w:color="auto"/>
              <w:right w:val="single" w:sz="4" w:space="0" w:color="auto"/>
            </w:tcBorders>
            <w:shd w:val="clear" w:color="000000" w:fill="FFC000"/>
            <w:noWrap/>
            <w:vAlign w:val="bottom"/>
            <w:hideMark/>
          </w:tcPr>
          <w:p w:rsidR="005D564E" w:rsidRPr="004A70E2" w:rsidRDefault="005D564E" w:rsidP="001D7BD6">
            <w:pPr>
              <w:spacing w:after="0" w:line="240" w:lineRule="auto"/>
              <w:jc w:val="left"/>
              <w:rPr>
                <w:rFonts w:eastAsia="Times New Roman" w:cs="Times New Roman"/>
                <w:b/>
                <w:bCs/>
                <w:color w:val="000000"/>
                <w:szCs w:val="24"/>
              </w:rPr>
            </w:pPr>
            <w:r w:rsidRPr="004A70E2">
              <w:rPr>
                <w:rFonts w:eastAsia="Times New Roman" w:cs="Times New Roman"/>
                <w:b/>
                <w:bCs/>
                <w:color w:val="000000"/>
                <w:szCs w:val="24"/>
              </w:rPr>
              <w:t>Years</w:t>
            </w:r>
          </w:p>
        </w:tc>
        <w:tc>
          <w:tcPr>
            <w:tcW w:w="1090" w:type="dxa"/>
            <w:tcBorders>
              <w:top w:val="nil"/>
              <w:left w:val="nil"/>
              <w:bottom w:val="single" w:sz="4" w:space="0" w:color="auto"/>
              <w:right w:val="single" w:sz="4" w:space="0" w:color="auto"/>
            </w:tcBorders>
            <w:shd w:val="clear" w:color="000000" w:fill="FFC000"/>
            <w:noWrap/>
            <w:vAlign w:val="bottom"/>
            <w:hideMark/>
          </w:tcPr>
          <w:p w:rsidR="005D564E" w:rsidRPr="004A70E2" w:rsidRDefault="005D564E" w:rsidP="001D7BD6">
            <w:pPr>
              <w:spacing w:after="0" w:line="240" w:lineRule="auto"/>
              <w:jc w:val="right"/>
              <w:rPr>
                <w:rFonts w:eastAsia="Times New Roman" w:cs="Times New Roman"/>
                <w:b/>
                <w:bCs/>
                <w:color w:val="000000"/>
                <w:szCs w:val="24"/>
              </w:rPr>
            </w:pPr>
            <w:r w:rsidRPr="004A70E2">
              <w:rPr>
                <w:rFonts w:eastAsia="Times New Roman" w:cs="Times New Roman"/>
                <w:b/>
                <w:bCs/>
                <w:color w:val="000000"/>
                <w:szCs w:val="24"/>
              </w:rPr>
              <w:t>2012</w:t>
            </w:r>
          </w:p>
        </w:tc>
        <w:tc>
          <w:tcPr>
            <w:tcW w:w="1090" w:type="dxa"/>
            <w:tcBorders>
              <w:top w:val="nil"/>
              <w:left w:val="nil"/>
              <w:bottom w:val="single" w:sz="4" w:space="0" w:color="auto"/>
              <w:right w:val="single" w:sz="4" w:space="0" w:color="auto"/>
            </w:tcBorders>
            <w:shd w:val="clear" w:color="000000" w:fill="FFC000"/>
            <w:noWrap/>
            <w:vAlign w:val="bottom"/>
            <w:hideMark/>
          </w:tcPr>
          <w:p w:rsidR="005D564E" w:rsidRPr="004A70E2" w:rsidRDefault="005D564E" w:rsidP="001D7BD6">
            <w:pPr>
              <w:spacing w:after="0" w:line="240" w:lineRule="auto"/>
              <w:jc w:val="right"/>
              <w:rPr>
                <w:rFonts w:eastAsia="Times New Roman" w:cs="Times New Roman"/>
                <w:b/>
                <w:bCs/>
                <w:color w:val="000000"/>
                <w:szCs w:val="24"/>
              </w:rPr>
            </w:pPr>
            <w:r w:rsidRPr="004A70E2">
              <w:rPr>
                <w:rFonts w:eastAsia="Times New Roman" w:cs="Times New Roman"/>
                <w:b/>
                <w:bCs/>
                <w:color w:val="000000"/>
                <w:szCs w:val="24"/>
              </w:rPr>
              <w:t>2013</w:t>
            </w:r>
          </w:p>
        </w:tc>
        <w:tc>
          <w:tcPr>
            <w:tcW w:w="1090" w:type="dxa"/>
            <w:tcBorders>
              <w:top w:val="nil"/>
              <w:left w:val="nil"/>
              <w:bottom w:val="single" w:sz="4" w:space="0" w:color="auto"/>
              <w:right w:val="single" w:sz="4" w:space="0" w:color="auto"/>
            </w:tcBorders>
            <w:shd w:val="clear" w:color="000000" w:fill="FFC000"/>
            <w:noWrap/>
            <w:vAlign w:val="bottom"/>
            <w:hideMark/>
          </w:tcPr>
          <w:p w:rsidR="005D564E" w:rsidRPr="004A70E2" w:rsidRDefault="005D564E" w:rsidP="001D7BD6">
            <w:pPr>
              <w:spacing w:after="0" w:line="240" w:lineRule="auto"/>
              <w:jc w:val="right"/>
              <w:rPr>
                <w:rFonts w:eastAsia="Times New Roman" w:cs="Times New Roman"/>
                <w:b/>
                <w:bCs/>
                <w:color w:val="000000"/>
                <w:szCs w:val="24"/>
              </w:rPr>
            </w:pPr>
            <w:r w:rsidRPr="004A70E2">
              <w:rPr>
                <w:rFonts w:eastAsia="Times New Roman" w:cs="Times New Roman"/>
                <w:b/>
                <w:bCs/>
                <w:color w:val="000000"/>
                <w:szCs w:val="24"/>
              </w:rPr>
              <w:t>2014</w:t>
            </w:r>
          </w:p>
        </w:tc>
        <w:tc>
          <w:tcPr>
            <w:tcW w:w="1090" w:type="dxa"/>
            <w:tcBorders>
              <w:top w:val="nil"/>
              <w:left w:val="nil"/>
              <w:bottom w:val="single" w:sz="4" w:space="0" w:color="auto"/>
              <w:right w:val="single" w:sz="4" w:space="0" w:color="auto"/>
            </w:tcBorders>
            <w:shd w:val="clear" w:color="000000" w:fill="FFC000"/>
            <w:noWrap/>
            <w:vAlign w:val="bottom"/>
            <w:hideMark/>
          </w:tcPr>
          <w:p w:rsidR="005D564E" w:rsidRPr="004A70E2" w:rsidRDefault="005D564E" w:rsidP="001D7BD6">
            <w:pPr>
              <w:spacing w:after="0" w:line="240" w:lineRule="auto"/>
              <w:jc w:val="right"/>
              <w:rPr>
                <w:rFonts w:eastAsia="Times New Roman" w:cs="Times New Roman"/>
                <w:b/>
                <w:bCs/>
                <w:color w:val="000000"/>
                <w:szCs w:val="24"/>
              </w:rPr>
            </w:pPr>
            <w:r w:rsidRPr="004A70E2">
              <w:rPr>
                <w:rFonts w:eastAsia="Times New Roman" w:cs="Times New Roman"/>
                <w:b/>
                <w:bCs/>
                <w:color w:val="000000"/>
                <w:szCs w:val="24"/>
              </w:rPr>
              <w:t>2015</w:t>
            </w:r>
          </w:p>
        </w:tc>
        <w:tc>
          <w:tcPr>
            <w:tcW w:w="1090" w:type="dxa"/>
            <w:tcBorders>
              <w:top w:val="nil"/>
              <w:left w:val="nil"/>
              <w:bottom w:val="single" w:sz="4" w:space="0" w:color="auto"/>
              <w:right w:val="single" w:sz="4" w:space="0" w:color="auto"/>
            </w:tcBorders>
            <w:shd w:val="clear" w:color="000000" w:fill="FFC000"/>
            <w:noWrap/>
            <w:vAlign w:val="bottom"/>
            <w:hideMark/>
          </w:tcPr>
          <w:p w:rsidR="005D564E" w:rsidRPr="004A70E2" w:rsidRDefault="005D564E" w:rsidP="001D7BD6">
            <w:pPr>
              <w:spacing w:after="0" w:line="240" w:lineRule="auto"/>
              <w:jc w:val="right"/>
              <w:rPr>
                <w:rFonts w:eastAsia="Times New Roman" w:cs="Times New Roman"/>
                <w:b/>
                <w:bCs/>
                <w:color w:val="000000"/>
                <w:szCs w:val="24"/>
              </w:rPr>
            </w:pPr>
            <w:r w:rsidRPr="004A70E2">
              <w:rPr>
                <w:rFonts w:eastAsia="Times New Roman" w:cs="Times New Roman"/>
                <w:b/>
                <w:bCs/>
                <w:color w:val="000000"/>
                <w:szCs w:val="24"/>
              </w:rPr>
              <w:t>2016</w:t>
            </w:r>
          </w:p>
        </w:tc>
      </w:tr>
      <w:tr w:rsidR="005D564E" w:rsidRPr="004A70E2" w:rsidTr="001D7BD6">
        <w:trPr>
          <w:trHeight w:val="315"/>
        </w:trPr>
        <w:tc>
          <w:tcPr>
            <w:tcW w:w="3510" w:type="dxa"/>
            <w:tcBorders>
              <w:top w:val="nil"/>
              <w:left w:val="single" w:sz="4" w:space="0" w:color="auto"/>
              <w:bottom w:val="single" w:sz="4" w:space="0" w:color="auto"/>
              <w:right w:val="single" w:sz="4" w:space="0" w:color="auto"/>
            </w:tcBorders>
            <w:shd w:val="clear" w:color="000000" w:fill="C5BE97"/>
            <w:noWrap/>
            <w:vAlign w:val="bottom"/>
            <w:hideMark/>
          </w:tcPr>
          <w:p w:rsidR="005D564E" w:rsidRPr="004A70E2" w:rsidRDefault="005D564E" w:rsidP="001D7BD6">
            <w:pPr>
              <w:spacing w:after="0" w:line="240" w:lineRule="auto"/>
              <w:jc w:val="left"/>
              <w:rPr>
                <w:rFonts w:eastAsia="Times New Roman" w:cs="Times New Roman"/>
                <w:color w:val="000000"/>
                <w:szCs w:val="24"/>
              </w:rPr>
            </w:pPr>
            <w:r w:rsidRPr="004A70E2">
              <w:rPr>
                <w:rFonts w:eastAsia="Times New Roman" w:cs="Times New Roman"/>
                <w:color w:val="000000"/>
                <w:szCs w:val="24"/>
              </w:rPr>
              <w:t>Total revenue earned</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4A70E2" w:rsidRDefault="005D564E" w:rsidP="001D7BD6">
            <w:pPr>
              <w:spacing w:after="0" w:line="240" w:lineRule="auto"/>
              <w:jc w:val="right"/>
              <w:rPr>
                <w:rFonts w:eastAsia="Times New Roman" w:cs="Times New Roman"/>
                <w:color w:val="000000"/>
                <w:szCs w:val="24"/>
              </w:rPr>
            </w:pPr>
            <w:r w:rsidRPr="004A70E2">
              <w:rPr>
                <w:rFonts w:eastAsia="Times New Roman" w:cs="Times New Roman"/>
                <w:color w:val="000000"/>
                <w:szCs w:val="24"/>
              </w:rPr>
              <w:t>18,987</w:t>
            </w:r>
          </w:p>
        </w:tc>
        <w:tc>
          <w:tcPr>
            <w:tcW w:w="1090" w:type="dxa"/>
            <w:tcBorders>
              <w:top w:val="single" w:sz="4" w:space="0" w:color="auto"/>
              <w:left w:val="nil"/>
              <w:bottom w:val="single" w:sz="4" w:space="0" w:color="auto"/>
              <w:right w:val="nil"/>
            </w:tcBorders>
            <w:shd w:val="clear" w:color="000000" w:fill="C5BE97"/>
            <w:noWrap/>
            <w:vAlign w:val="bottom"/>
            <w:hideMark/>
          </w:tcPr>
          <w:p w:rsidR="005D564E" w:rsidRPr="004A70E2" w:rsidRDefault="005D564E" w:rsidP="001D7BD6">
            <w:pPr>
              <w:spacing w:after="0" w:line="240" w:lineRule="auto"/>
              <w:jc w:val="right"/>
              <w:rPr>
                <w:rFonts w:eastAsia="Times New Roman" w:cs="Times New Roman"/>
                <w:color w:val="000000"/>
                <w:szCs w:val="24"/>
              </w:rPr>
            </w:pPr>
            <w:r w:rsidRPr="004A70E2">
              <w:rPr>
                <w:rFonts w:eastAsia="Times New Roman" w:cs="Times New Roman"/>
                <w:color w:val="000000"/>
                <w:szCs w:val="24"/>
              </w:rPr>
              <w:t>18,103</w:t>
            </w:r>
          </w:p>
        </w:tc>
        <w:tc>
          <w:tcPr>
            <w:tcW w:w="1090" w:type="dxa"/>
            <w:tcBorders>
              <w:top w:val="nil"/>
              <w:left w:val="single" w:sz="4" w:space="0" w:color="auto"/>
              <w:bottom w:val="single" w:sz="4" w:space="0" w:color="auto"/>
              <w:right w:val="single" w:sz="4" w:space="0" w:color="auto"/>
            </w:tcBorders>
            <w:shd w:val="clear" w:color="000000" w:fill="C5BE97"/>
            <w:noWrap/>
            <w:vAlign w:val="bottom"/>
            <w:hideMark/>
          </w:tcPr>
          <w:p w:rsidR="005D564E" w:rsidRPr="004A70E2" w:rsidRDefault="005D564E" w:rsidP="001D7BD6">
            <w:pPr>
              <w:spacing w:after="0" w:line="240" w:lineRule="auto"/>
              <w:jc w:val="right"/>
              <w:rPr>
                <w:rFonts w:eastAsia="Times New Roman" w:cs="Times New Roman"/>
                <w:color w:val="000000"/>
                <w:szCs w:val="24"/>
              </w:rPr>
            </w:pPr>
            <w:r w:rsidRPr="004A70E2">
              <w:rPr>
                <w:rFonts w:eastAsia="Times New Roman" w:cs="Times New Roman"/>
                <w:color w:val="000000"/>
                <w:szCs w:val="24"/>
              </w:rPr>
              <w:t>18,287</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4A70E2" w:rsidRDefault="005D564E" w:rsidP="001D7BD6">
            <w:pPr>
              <w:spacing w:after="0" w:line="240" w:lineRule="auto"/>
              <w:jc w:val="right"/>
              <w:rPr>
                <w:rFonts w:eastAsia="Times New Roman" w:cs="Times New Roman"/>
                <w:color w:val="000000"/>
                <w:szCs w:val="24"/>
              </w:rPr>
            </w:pPr>
            <w:r w:rsidRPr="004A70E2">
              <w:rPr>
                <w:rFonts w:eastAsia="Times New Roman" w:cs="Times New Roman"/>
                <w:color w:val="000000"/>
                <w:szCs w:val="24"/>
              </w:rPr>
              <w:t>17,979</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4A70E2" w:rsidRDefault="005D564E" w:rsidP="001D7BD6">
            <w:pPr>
              <w:spacing w:after="0" w:line="240" w:lineRule="auto"/>
              <w:jc w:val="right"/>
              <w:rPr>
                <w:rFonts w:eastAsia="Times New Roman" w:cs="Times New Roman"/>
                <w:color w:val="000000"/>
                <w:szCs w:val="24"/>
              </w:rPr>
            </w:pPr>
            <w:r w:rsidRPr="004A70E2">
              <w:rPr>
                <w:rFonts w:eastAsia="Times New Roman" w:cs="Times New Roman"/>
                <w:color w:val="000000"/>
                <w:szCs w:val="24"/>
              </w:rPr>
              <w:t>19,042</w:t>
            </w:r>
          </w:p>
        </w:tc>
      </w:tr>
      <w:tr w:rsidR="005D564E" w:rsidRPr="004A70E2" w:rsidTr="001D7BD6">
        <w:trPr>
          <w:trHeight w:val="315"/>
        </w:trPr>
        <w:tc>
          <w:tcPr>
            <w:tcW w:w="3510" w:type="dxa"/>
            <w:tcBorders>
              <w:top w:val="nil"/>
              <w:left w:val="single" w:sz="4" w:space="0" w:color="auto"/>
              <w:bottom w:val="single" w:sz="4" w:space="0" w:color="auto"/>
              <w:right w:val="single" w:sz="4" w:space="0" w:color="auto"/>
            </w:tcBorders>
            <w:shd w:val="clear" w:color="000000" w:fill="C5BE97"/>
            <w:noWrap/>
            <w:vAlign w:val="bottom"/>
            <w:hideMark/>
          </w:tcPr>
          <w:p w:rsidR="005D564E" w:rsidRPr="004A70E2" w:rsidRDefault="005D564E" w:rsidP="001D7BD6">
            <w:pPr>
              <w:spacing w:after="0" w:line="240" w:lineRule="auto"/>
              <w:jc w:val="left"/>
              <w:rPr>
                <w:rFonts w:eastAsia="Times New Roman" w:cs="Times New Roman"/>
                <w:color w:val="000000"/>
                <w:szCs w:val="24"/>
              </w:rPr>
            </w:pPr>
            <w:r w:rsidRPr="004A70E2">
              <w:rPr>
                <w:rFonts w:eastAsia="Times New Roman" w:cs="Times New Roman"/>
                <w:color w:val="000000"/>
                <w:szCs w:val="24"/>
              </w:rPr>
              <w:t>Total average asset</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4A70E2" w:rsidRDefault="005D564E" w:rsidP="001D7BD6">
            <w:pPr>
              <w:spacing w:after="0" w:line="240" w:lineRule="auto"/>
              <w:jc w:val="right"/>
              <w:rPr>
                <w:rFonts w:eastAsia="Times New Roman" w:cs="Times New Roman"/>
                <w:color w:val="000000"/>
                <w:szCs w:val="24"/>
              </w:rPr>
            </w:pPr>
            <w:r w:rsidRPr="004A70E2">
              <w:rPr>
                <w:rFonts w:eastAsia="Times New Roman" w:cs="Times New Roman"/>
                <w:color w:val="000000"/>
                <w:szCs w:val="24"/>
              </w:rPr>
              <w:t>23948</w:t>
            </w:r>
          </w:p>
        </w:tc>
        <w:tc>
          <w:tcPr>
            <w:tcW w:w="1090" w:type="dxa"/>
            <w:tcBorders>
              <w:top w:val="single" w:sz="4" w:space="0" w:color="auto"/>
              <w:left w:val="nil"/>
              <w:bottom w:val="single" w:sz="4" w:space="0" w:color="auto"/>
              <w:right w:val="single" w:sz="4" w:space="0" w:color="auto"/>
            </w:tcBorders>
            <w:shd w:val="clear" w:color="000000" w:fill="C5BE97"/>
            <w:noWrap/>
            <w:vAlign w:val="bottom"/>
            <w:hideMark/>
          </w:tcPr>
          <w:p w:rsidR="005D564E" w:rsidRPr="004A70E2" w:rsidRDefault="005D564E" w:rsidP="001D7BD6">
            <w:pPr>
              <w:spacing w:after="0" w:line="240" w:lineRule="auto"/>
              <w:jc w:val="right"/>
              <w:rPr>
                <w:rFonts w:eastAsia="Times New Roman" w:cs="Times New Roman"/>
                <w:color w:val="000000"/>
                <w:szCs w:val="24"/>
              </w:rPr>
            </w:pPr>
            <w:r w:rsidRPr="004A70E2">
              <w:rPr>
                <w:rFonts w:eastAsia="Times New Roman" w:cs="Times New Roman"/>
                <w:color w:val="000000"/>
                <w:szCs w:val="24"/>
              </w:rPr>
              <w:t>44,629</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4A70E2" w:rsidRDefault="005D564E" w:rsidP="001D7BD6">
            <w:pPr>
              <w:spacing w:after="0" w:line="240" w:lineRule="auto"/>
              <w:jc w:val="right"/>
              <w:rPr>
                <w:rFonts w:eastAsia="Times New Roman" w:cs="Times New Roman"/>
                <w:color w:val="000000"/>
                <w:szCs w:val="24"/>
              </w:rPr>
            </w:pPr>
            <w:r w:rsidRPr="004A70E2">
              <w:rPr>
                <w:rFonts w:eastAsia="Times New Roman" w:cs="Times New Roman"/>
                <w:color w:val="000000"/>
                <w:szCs w:val="24"/>
              </w:rPr>
              <w:t>44,495</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4A70E2" w:rsidRDefault="005D564E" w:rsidP="001D7BD6">
            <w:pPr>
              <w:spacing w:after="0" w:line="240" w:lineRule="auto"/>
              <w:jc w:val="right"/>
              <w:rPr>
                <w:rFonts w:eastAsia="Times New Roman" w:cs="Times New Roman"/>
                <w:color w:val="000000"/>
                <w:szCs w:val="24"/>
              </w:rPr>
            </w:pPr>
            <w:r w:rsidRPr="004A70E2">
              <w:rPr>
                <w:rFonts w:eastAsia="Times New Roman" w:cs="Times New Roman"/>
                <w:color w:val="000000"/>
                <w:szCs w:val="24"/>
              </w:rPr>
              <w:t>46,813</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4A70E2" w:rsidRDefault="005D564E" w:rsidP="001D7BD6">
            <w:pPr>
              <w:spacing w:after="0" w:line="240" w:lineRule="auto"/>
              <w:jc w:val="right"/>
              <w:rPr>
                <w:rFonts w:eastAsia="Times New Roman" w:cs="Times New Roman"/>
                <w:color w:val="000000"/>
                <w:szCs w:val="24"/>
              </w:rPr>
            </w:pPr>
            <w:r w:rsidRPr="004A70E2">
              <w:rPr>
                <w:rFonts w:eastAsia="Times New Roman" w:cs="Times New Roman"/>
                <w:color w:val="000000"/>
                <w:szCs w:val="24"/>
              </w:rPr>
              <w:t>54,874</w:t>
            </w:r>
          </w:p>
        </w:tc>
      </w:tr>
      <w:tr w:rsidR="005D564E" w:rsidRPr="00B10413" w:rsidTr="001D7BD6">
        <w:trPr>
          <w:trHeight w:val="315"/>
        </w:trPr>
        <w:tc>
          <w:tcPr>
            <w:tcW w:w="3510" w:type="dxa"/>
            <w:tcBorders>
              <w:top w:val="nil"/>
              <w:left w:val="single" w:sz="4" w:space="0" w:color="auto"/>
              <w:bottom w:val="single" w:sz="4" w:space="0" w:color="auto"/>
              <w:right w:val="single" w:sz="4" w:space="0" w:color="auto"/>
            </w:tcBorders>
            <w:shd w:val="clear" w:color="auto" w:fill="C0ED6F"/>
            <w:noWrap/>
            <w:vAlign w:val="bottom"/>
            <w:hideMark/>
          </w:tcPr>
          <w:p w:rsidR="005D564E" w:rsidRPr="00B10413" w:rsidRDefault="005D564E" w:rsidP="001D7BD6">
            <w:pPr>
              <w:spacing w:after="0" w:line="240" w:lineRule="auto"/>
              <w:jc w:val="left"/>
              <w:rPr>
                <w:rFonts w:eastAsia="Times New Roman" w:cs="Times New Roman"/>
                <w:color w:val="000000"/>
                <w:szCs w:val="24"/>
              </w:rPr>
            </w:pPr>
            <w:r w:rsidRPr="00B10413">
              <w:rPr>
                <w:rFonts w:eastAsia="Times New Roman" w:cs="Times New Roman"/>
                <w:color w:val="000000"/>
                <w:szCs w:val="24"/>
              </w:rPr>
              <w:t>Total asset turnover ratio(net sales or revenue/Total average asset)</w:t>
            </w:r>
          </w:p>
        </w:tc>
        <w:tc>
          <w:tcPr>
            <w:tcW w:w="1090" w:type="dxa"/>
            <w:tcBorders>
              <w:top w:val="nil"/>
              <w:left w:val="nil"/>
              <w:bottom w:val="single" w:sz="4" w:space="0" w:color="auto"/>
              <w:right w:val="single" w:sz="4" w:space="0" w:color="auto"/>
            </w:tcBorders>
            <w:shd w:val="clear" w:color="auto" w:fill="C0ED6F"/>
            <w:noWrap/>
            <w:vAlign w:val="bottom"/>
            <w:hideMark/>
          </w:tcPr>
          <w:p w:rsidR="005D564E" w:rsidRPr="00B10413" w:rsidRDefault="005D564E" w:rsidP="001D7BD6">
            <w:pPr>
              <w:spacing w:after="0" w:line="240" w:lineRule="auto"/>
              <w:jc w:val="right"/>
              <w:rPr>
                <w:rFonts w:eastAsia="Times New Roman" w:cs="Times New Roman"/>
                <w:color w:val="000000"/>
                <w:szCs w:val="24"/>
              </w:rPr>
            </w:pPr>
            <w:r w:rsidRPr="00B10413">
              <w:rPr>
                <w:rFonts w:eastAsia="Times New Roman" w:cs="Times New Roman"/>
                <w:color w:val="000000"/>
                <w:szCs w:val="24"/>
              </w:rPr>
              <w:t>0.79</w:t>
            </w:r>
          </w:p>
        </w:tc>
        <w:tc>
          <w:tcPr>
            <w:tcW w:w="1090" w:type="dxa"/>
            <w:tcBorders>
              <w:top w:val="nil"/>
              <w:left w:val="nil"/>
              <w:bottom w:val="single" w:sz="4" w:space="0" w:color="auto"/>
              <w:right w:val="single" w:sz="4" w:space="0" w:color="auto"/>
            </w:tcBorders>
            <w:shd w:val="clear" w:color="auto" w:fill="C0ED6F"/>
            <w:noWrap/>
            <w:vAlign w:val="bottom"/>
            <w:hideMark/>
          </w:tcPr>
          <w:p w:rsidR="005D564E" w:rsidRPr="00B10413" w:rsidRDefault="005D564E" w:rsidP="001D7BD6">
            <w:pPr>
              <w:spacing w:after="0" w:line="240" w:lineRule="auto"/>
              <w:jc w:val="right"/>
              <w:rPr>
                <w:rFonts w:eastAsia="Times New Roman" w:cs="Times New Roman"/>
                <w:color w:val="000000"/>
                <w:szCs w:val="24"/>
              </w:rPr>
            </w:pPr>
            <w:r w:rsidRPr="00B10413">
              <w:rPr>
                <w:rFonts w:eastAsia="Times New Roman" w:cs="Times New Roman"/>
                <w:color w:val="000000"/>
                <w:szCs w:val="24"/>
              </w:rPr>
              <w:t>0.41</w:t>
            </w:r>
          </w:p>
        </w:tc>
        <w:tc>
          <w:tcPr>
            <w:tcW w:w="1090" w:type="dxa"/>
            <w:tcBorders>
              <w:top w:val="nil"/>
              <w:left w:val="nil"/>
              <w:bottom w:val="single" w:sz="4" w:space="0" w:color="auto"/>
              <w:right w:val="single" w:sz="4" w:space="0" w:color="auto"/>
            </w:tcBorders>
            <w:shd w:val="clear" w:color="auto" w:fill="C0ED6F"/>
            <w:noWrap/>
            <w:vAlign w:val="bottom"/>
            <w:hideMark/>
          </w:tcPr>
          <w:p w:rsidR="005D564E" w:rsidRPr="00B10413" w:rsidRDefault="005D564E" w:rsidP="001D7BD6">
            <w:pPr>
              <w:spacing w:after="0" w:line="240" w:lineRule="auto"/>
              <w:jc w:val="right"/>
              <w:rPr>
                <w:rFonts w:eastAsia="Times New Roman" w:cs="Times New Roman"/>
                <w:color w:val="000000"/>
                <w:szCs w:val="24"/>
              </w:rPr>
            </w:pPr>
            <w:r w:rsidRPr="00B10413">
              <w:rPr>
                <w:rFonts w:eastAsia="Times New Roman" w:cs="Times New Roman"/>
                <w:color w:val="000000"/>
                <w:szCs w:val="24"/>
              </w:rPr>
              <w:t>0.41</w:t>
            </w:r>
          </w:p>
        </w:tc>
        <w:tc>
          <w:tcPr>
            <w:tcW w:w="1090" w:type="dxa"/>
            <w:tcBorders>
              <w:top w:val="nil"/>
              <w:left w:val="nil"/>
              <w:bottom w:val="single" w:sz="4" w:space="0" w:color="auto"/>
              <w:right w:val="single" w:sz="4" w:space="0" w:color="auto"/>
            </w:tcBorders>
            <w:shd w:val="clear" w:color="auto" w:fill="C0ED6F"/>
            <w:noWrap/>
            <w:vAlign w:val="bottom"/>
            <w:hideMark/>
          </w:tcPr>
          <w:p w:rsidR="005D564E" w:rsidRPr="00B10413" w:rsidRDefault="005D564E" w:rsidP="001D7BD6">
            <w:pPr>
              <w:spacing w:after="0" w:line="240" w:lineRule="auto"/>
              <w:jc w:val="right"/>
              <w:rPr>
                <w:rFonts w:eastAsia="Times New Roman" w:cs="Times New Roman"/>
                <w:color w:val="000000"/>
                <w:szCs w:val="24"/>
              </w:rPr>
            </w:pPr>
            <w:r w:rsidRPr="00B10413">
              <w:rPr>
                <w:rFonts w:eastAsia="Times New Roman" w:cs="Times New Roman"/>
                <w:color w:val="000000"/>
                <w:szCs w:val="24"/>
              </w:rPr>
              <w:t>0.38</w:t>
            </w:r>
          </w:p>
        </w:tc>
        <w:tc>
          <w:tcPr>
            <w:tcW w:w="1090" w:type="dxa"/>
            <w:tcBorders>
              <w:top w:val="nil"/>
              <w:left w:val="nil"/>
              <w:bottom w:val="single" w:sz="4" w:space="0" w:color="auto"/>
              <w:right w:val="single" w:sz="4" w:space="0" w:color="auto"/>
            </w:tcBorders>
            <w:shd w:val="clear" w:color="auto" w:fill="C0ED6F"/>
            <w:noWrap/>
            <w:vAlign w:val="bottom"/>
            <w:hideMark/>
          </w:tcPr>
          <w:p w:rsidR="005D564E" w:rsidRPr="00B10413" w:rsidRDefault="005D564E" w:rsidP="001D7BD6">
            <w:pPr>
              <w:spacing w:after="0" w:line="240" w:lineRule="auto"/>
              <w:jc w:val="right"/>
              <w:rPr>
                <w:rFonts w:eastAsia="Times New Roman" w:cs="Times New Roman"/>
                <w:color w:val="000000"/>
                <w:szCs w:val="24"/>
              </w:rPr>
            </w:pPr>
            <w:r w:rsidRPr="00B10413">
              <w:rPr>
                <w:rFonts w:eastAsia="Times New Roman" w:cs="Times New Roman"/>
                <w:color w:val="000000"/>
                <w:szCs w:val="24"/>
              </w:rPr>
              <w:t>0.35</w:t>
            </w:r>
          </w:p>
        </w:tc>
      </w:tr>
    </w:tbl>
    <w:p w:rsidR="005D564E" w:rsidRDefault="005D564E" w:rsidP="005D564E"/>
    <w:p w:rsidR="005D564E" w:rsidRDefault="005D564E" w:rsidP="005D564E">
      <w:r>
        <w:t xml:space="preserve">The asset turnover ratio which is the ratio of the sales turn over achieved by the organization over years to the total asset employed is also quite low which indicates low return generation efficiency of the organization per unit of money invested in acquiring the asset. The underlying reason that can be identified is that the average growth rate of sales revenue earnings during the period of study is almost negligible and is around 0.05%, where during the study period the total asset employed has grown at a n average rate of 27%, which indicates that though the cost </w:t>
      </w:r>
      <w:r>
        <w:lastRenderedPageBreak/>
        <w:t>controlling efficiency of the organization is good but the return generation efficiency out of the total asset employed by the organization is quite low.</w:t>
      </w:r>
    </w:p>
    <w:p w:rsidR="005D564E" w:rsidRDefault="005D564E" w:rsidP="005D564E">
      <w:pPr>
        <w:rPr>
          <w:b/>
        </w:rPr>
      </w:pPr>
      <w:r w:rsidRPr="00DC5D23">
        <w:rPr>
          <w:b/>
        </w:rPr>
        <w:t>Gering Ratio:</w:t>
      </w:r>
    </w:p>
    <w:tbl>
      <w:tblPr>
        <w:tblW w:w="8960" w:type="dxa"/>
        <w:tblInd w:w="98" w:type="dxa"/>
        <w:tblLook w:val="04A0" w:firstRow="1" w:lastRow="0" w:firstColumn="1" w:lastColumn="0" w:noHBand="0" w:noVBand="1"/>
      </w:tblPr>
      <w:tblGrid>
        <w:gridCol w:w="3510"/>
        <w:gridCol w:w="1090"/>
        <w:gridCol w:w="1090"/>
        <w:gridCol w:w="1090"/>
        <w:gridCol w:w="1090"/>
        <w:gridCol w:w="1090"/>
      </w:tblGrid>
      <w:tr w:rsidR="005D564E" w:rsidRPr="007078E0" w:rsidTr="001D7BD6">
        <w:trPr>
          <w:trHeight w:val="330"/>
        </w:trPr>
        <w:tc>
          <w:tcPr>
            <w:tcW w:w="8960" w:type="dxa"/>
            <w:gridSpan w:val="6"/>
            <w:tcBorders>
              <w:top w:val="single" w:sz="8" w:space="0" w:color="auto"/>
              <w:left w:val="single" w:sz="8" w:space="0" w:color="auto"/>
              <w:bottom w:val="single" w:sz="8" w:space="0" w:color="auto"/>
              <w:right w:val="single" w:sz="8" w:space="0" w:color="000000"/>
            </w:tcBorders>
            <w:shd w:val="clear" w:color="000000" w:fill="FFC000"/>
            <w:noWrap/>
            <w:vAlign w:val="bottom"/>
            <w:hideMark/>
          </w:tcPr>
          <w:p w:rsidR="005D564E" w:rsidRPr="007078E0" w:rsidRDefault="005D564E" w:rsidP="001D7BD6">
            <w:pPr>
              <w:spacing w:after="0" w:line="240" w:lineRule="auto"/>
              <w:jc w:val="center"/>
              <w:rPr>
                <w:rFonts w:eastAsia="Times New Roman" w:cs="Times New Roman"/>
                <w:b/>
                <w:bCs/>
                <w:color w:val="000000"/>
                <w:szCs w:val="24"/>
              </w:rPr>
            </w:pPr>
            <w:r w:rsidRPr="007078E0">
              <w:rPr>
                <w:rFonts w:eastAsia="Times New Roman" w:cs="Times New Roman"/>
                <w:b/>
                <w:bCs/>
                <w:color w:val="000000"/>
                <w:szCs w:val="24"/>
              </w:rPr>
              <w:t>British telecom(BT) Ratio Analysis</w:t>
            </w:r>
          </w:p>
        </w:tc>
      </w:tr>
      <w:tr w:rsidR="005D564E" w:rsidRPr="007078E0" w:rsidTr="001D7BD6">
        <w:trPr>
          <w:trHeight w:val="315"/>
        </w:trPr>
        <w:tc>
          <w:tcPr>
            <w:tcW w:w="3510" w:type="dxa"/>
            <w:tcBorders>
              <w:top w:val="nil"/>
              <w:left w:val="single" w:sz="4" w:space="0" w:color="auto"/>
              <w:bottom w:val="single" w:sz="4" w:space="0" w:color="auto"/>
              <w:right w:val="single" w:sz="4" w:space="0" w:color="auto"/>
            </w:tcBorders>
            <w:shd w:val="clear" w:color="000000" w:fill="DBE5F1"/>
            <w:noWrap/>
            <w:vAlign w:val="bottom"/>
            <w:hideMark/>
          </w:tcPr>
          <w:p w:rsidR="005D564E" w:rsidRPr="007078E0" w:rsidRDefault="005D564E" w:rsidP="001D7BD6">
            <w:pPr>
              <w:spacing w:after="0" w:line="240" w:lineRule="auto"/>
              <w:jc w:val="left"/>
              <w:rPr>
                <w:rFonts w:eastAsia="Times New Roman" w:cs="Times New Roman"/>
                <w:b/>
                <w:bCs/>
                <w:color w:val="000000"/>
                <w:szCs w:val="24"/>
              </w:rPr>
            </w:pPr>
            <w:r w:rsidRPr="007078E0">
              <w:rPr>
                <w:rFonts w:eastAsia="Times New Roman" w:cs="Times New Roman"/>
                <w:b/>
                <w:bCs/>
                <w:color w:val="000000"/>
                <w:szCs w:val="24"/>
              </w:rPr>
              <w:t xml:space="preserve">Items of financial statement  </w:t>
            </w:r>
          </w:p>
        </w:tc>
        <w:tc>
          <w:tcPr>
            <w:tcW w:w="1090" w:type="dxa"/>
            <w:tcBorders>
              <w:top w:val="nil"/>
              <w:left w:val="nil"/>
              <w:bottom w:val="single" w:sz="4" w:space="0" w:color="auto"/>
              <w:right w:val="single" w:sz="4" w:space="0" w:color="auto"/>
            </w:tcBorders>
            <w:shd w:val="clear" w:color="000000" w:fill="DBE5F1"/>
            <w:noWrap/>
            <w:vAlign w:val="bottom"/>
            <w:hideMark/>
          </w:tcPr>
          <w:p w:rsidR="005D564E" w:rsidRPr="007078E0" w:rsidRDefault="005D564E" w:rsidP="001D7BD6">
            <w:pPr>
              <w:spacing w:after="0" w:line="240" w:lineRule="auto"/>
              <w:jc w:val="left"/>
              <w:rPr>
                <w:rFonts w:eastAsia="Times New Roman" w:cs="Times New Roman"/>
                <w:color w:val="000000"/>
                <w:szCs w:val="24"/>
              </w:rPr>
            </w:pPr>
            <w:r w:rsidRPr="007078E0">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5D564E" w:rsidRPr="007078E0" w:rsidRDefault="005D564E" w:rsidP="001D7BD6">
            <w:pPr>
              <w:spacing w:after="0" w:line="240" w:lineRule="auto"/>
              <w:jc w:val="left"/>
              <w:rPr>
                <w:rFonts w:eastAsia="Times New Roman" w:cs="Times New Roman"/>
                <w:color w:val="000000"/>
                <w:szCs w:val="24"/>
              </w:rPr>
            </w:pPr>
            <w:r w:rsidRPr="007078E0">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5D564E" w:rsidRPr="007078E0" w:rsidRDefault="005D564E" w:rsidP="001D7BD6">
            <w:pPr>
              <w:spacing w:after="0" w:line="240" w:lineRule="auto"/>
              <w:jc w:val="left"/>
              <w:rPr>
                <w:rFonts w:eastAsia="Times New Roman" w:cs="Times New Roman"/>
                <w:color w:val="000000"/>
                <w:szCs w:val="24"/>
              </w:rPr>
            </w:pPr>
            <w:r w:rsidRPr="007078E0">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5D564E" w:rsidRPr="007078E0" w:rsidRDefault="005D564E" w:rsidP="001D7BD6">
            <w:pPr>
              <w:spacing w:after="0" w:line="240" w:lineRule="auto"/>
              <w:jc w:val="left"/>
              <w:rPr>
                <w:rFonts w:eastAsia="Times New Roman" w:cs="Times New Roman"/>
                <w:color w:val="000000"/>
                <w:szCs w:val="24"/>
              </w:rPr>
            </w:pPr>
            <w:r w:rsidRPr="007078E0">
              <w:rPr>
                <w:rFonts w:eastAsia="Times New Roman" w:cs="Times New Roman"/>
                <w:color w:val="000000"/>
                <w:szCs w:val="24"/>
              </w:rPr>
              <w:t>£,million</w:t>
            </w:r>
          </w:p>
        </w:tc>
        <w:tc>
          <w:tcPr>
            <w:tcW w:w="1090" w:type="dxa"/>
            <w:tcBorders>
              <w:top w:val="nil"/>
              <w:left w:val="nil"/>
              <w:bottom w:val="single" w:sz="4" w:space="0" w:color="auto"/>
              <w:right w:val="single" w:sz="4" w:space="0" w:color="auto"/>
            </w:tcBorders>
            <w:shd w:val="clear" w:color="000000" w:fill="DBE5F1"/>
            <w:noWrap/>
            <w:vAlign w:val="bottom"/>
            <w:hideMark/>
          </w:tcPr>
          <w:p w:rsidR="005D564E" w:rsidRPr="007078E0" w:rsidRDefault="005D564E" w:rsidP="001D7BD6">
            <w:pPr>
              <w:spacing w:after="0" w:line="240" w:lineRule="auto"/>
              <w:jc w:val="left"/>
              <w:rPr>
                <w:rFonts w:eastAsia="Times New Roman" w:cs="Times New Roman"/>
                <w:color w:val="000000"/>
                <w:szCs w:val="24"/>
              </w:rPr>
            </w:pPr>
            <w:r w:rsidRPr="007078E0">
              <w:rPr>
                <w:rFonts w:eastAsia="Times New Roman" w:cs="Times New Roman"/>
                <w:color w:val="000000"/>
                <w:szCs w:val="24"/>
              </w:rPr>
              <w:t>£,million</w:t>
            </w:r>
          </w:p>
        </w:tc>
      </w:tr>
      <w:tr w:rsidR="005D564E" w:rsidRPr="007078E0" w:rsidTr="001D7BD6">
        <w:trPr>
          <w:trHeight w:val="315"/>
        </w:trPr>
        <w:tc>
          <w:tcPr>
            <w:tcW w:w="3510" w:type="dxa"/>
            <w:tcBorders>
              <w:top w:val="nil"/>
              <w:left w:val="single" w:sz="4" w:space="0" w:color="auto"/>
              <w:bottom w:val="single" w:sz="4" w:space="0" w:color="auto"/>
              <w:right w:val="single" w:sz="4" w:space="0" w:color="auto"/>
            </w:tcBorders>
            <w:shd w:val="clear" w:color="000000" w:fill="FFC000"/>
            <w:noWrap/>
            <w:vAlign w:val="bottom"/>
            <w:hideMark/>
          </w:tcPr>
          <w:p w:rsidR="005D564E" w:rsidRPr="007078E0" w:rsidRDefault="005D564E" w:rsidP="001D7BD6">
            <w:pPr>
              <w:spacing w:after="0" w:line="240" w:lineRule="auto"/>
              <w:jc w:val="left"/>
              <w:rPr>
                <w:rFonts w:eastAsia="Times New Roman" w:cs="Times New Roman"/>
                <w:b/>
                <w:bCs/>
                <w:color w:val="000000"/>
                <w:szCs w:val="24"/>
              </w:rPr>
            </w:pPr>
            <w:r w:rsidRPr="007078E0">
              <w:rPr>
                <w:rFonts w:eastAsia="Times New Roman" w:cs="Times New Roman"/>
                <w:b/>
                <w:bCs/>
                <w:color w:val="000000"/>
                <w:szCs w:val="24"/>
              </w:rPr>
              <w:t>Years</w:t>
            </w:r>
          </w:p>
        </w:tc>
        <w:tc>
          <w:tcPr>
            <w:tcW w:w="1090" w:type="dxa"/>
            <w:tcBorders>
              <w:top w:val="nil"/>
              <w:left w:val="nil"/>
              <w:bottom w:val="single" w:sz="4" w:space="0" w:color="auto"/>
              <w:right w:val="single" w:sz="4" w:space="0" w:color="auto"/>
            </w:tcBorders>
            <w:shd w:val="clear" w:color="000000" w:fill="FFC000"/>
            <w:noWrap/>
            <w:vAlign w:val="bottom"/>
            <w:hideMark/>
          </w:tcPr>
          <w:p w:rsidR="005D564E" w:rsidRPr="007078E0" w:rsidRDefault="005D564E" w:rsidP="001D7BD6">
            <w:pPr>
              <w:spacing w:after="0" w:line="240" w:lineRule="auto"/>
              <w:jc w:val="right"/>
              <w:rPr>
                <w:rFonts w:eastAsia="Times New Roman" w:cs="Times New Roman"/>
                <w:b/>
                <w:bCs/>
                <w:color w:val="000000"/>
                <w:szCs w:val="24"/>
              </w:rPr>
            </w:pPr>
            <w:r w:rsidRPr="007078E0">
              <w:rPr>
                <w:rFonts w:eastAsia="Times New Roman" w:cs="Times New Roman"/>
                <w:b/>
                <w:bCs/>
                <w:color w:val="000000"/>
                <w:szCs w:val="24"/>
              </w:rPr>
              <w:t>2012</w:t>
            </w:r>
          </w:p>
        </w:tc>
        <w:tc>
          <w:tcPr>
            <w:tcW w:w="1090" w:type="dxa"/>
            <w:tcBorders>
              <w:top w:val="nil"/>
              <w:left w:val="nil"/>
              <w:bottom w:val="single" w:sz="4" w:space="0" w:color="auto"/>
              <w:right w:val="single" w:sz="4" w:space="0" w:color="auto"/>
            </w:tcBorders>
            <w:shd w:val="clear" w:color="000000" w:fill="FFC000"/>
            <w:noWrap/>
            <w:vAlign w:val="bottom"/>
            <w:hideMark/>
          </w:tcPr>
          <w:p w:rsidR="005D564E" w:rsidRPr="007078E0" w:rsidRDefault="005D564E" w:rsidP="001D7BD6">
            <w:pPr>
              <w:spacing w:after="0" w:line="240" w:lineRule="auto"/>
              <w:jc w:val="right"/>
              <w:rPr>
                <w:rFonts w:eastAsia="Times New Roman" w:cs="Times New Roman"/>
                <w:b/>
                <w:bCs/>
                <w:color w:val="000000"/>
                <w:szCs w:val="24"/>
              </w:rPr>
            </w:pPr>
            <w:r w:rsidRPr="007078E0">
              <w:rPr>
                <w:rFonts w:eastAsia="Times New Roman" w:cs="Times New Roman"/>
                <w:b/>
                <w:bCs/>
                <w:color w:val="000000"/>
                <w:szCs w:val="24"/>
              </w:rPr>
              <w:t>2013</w:t>
            </w:r>
          </w:p>
        </w:tc>
        <w:tc>
          <w:tcPr>
            <w:tcW w:w="1090" w:type="dxa"/>
            <w:tcBorders>
              <w:top w:val="nil"/>
              <w:left w:val="nil"/>
              <w:bottom w:val="single" w:sz="4" w:space="0" w:color="auto"/>
              <w:right w:val="single" w:sz="4" w:space="0" w:color="auto"/>
            </w:tcBorders>
            <w:shd w:val="clear" w:color="000000" w:fill="FFC000"/>
            <w:noWrap/>
            <w:vAlign w:val="bottom"/>
            <w:hideMark/>
          </w:tcPr>
          <w:p w:rsidR="005D564E" w:rsidRPr="007078E0" w:rsidRDefault="005D564E" w:rsidP="001D7BD6">
            <w:pPr>
              <w:spacing w:after="0" w:line="240" w:lineRule="auto"/>
              <w:jc w:val="right"/>
              <w:rPr>
                <w:rFonts w:eastAsia="Times New Roman" w:cs="Times New Roman"/>
                <w:b/>
                <w:bCs/>
                <w:color w:val="000000"/>
                <w:szCs w:val="24"/>
              </w:rPr>
            </w:pPr>
            <w:r w:rsidRPr="007078E0">
              <w:rPr>
                <w:rFonts w:eastAsia="Times New Roman" w:cs="Times New Roman"/>
                <w:b/>
                <w:bCs/>
                <w:color w:val="000000"/>
                <w:szCs w:val="24"/>
              </w:rPr>
              <w:t>2014</w:t>
            </w:r>
          </w:p>
        </w:tc>
        <w:tc>
          <w:tcPr>
            <w:tcW w:w="1090" w:type="dxa"/>
            <w:tcBorders>
              <w:top w:val="nil"/>
              <w:left w:val="nil"/>
              <w:bottom w:val="single" w:sz="4" w:space="0" w:color="auto"/>
              <w:right w:val="single" w:sz="4" w:space="0" w:color="auto"/>
            </w:tcBorders>
            <w:shd w:val="clear" w:color="000000" w:fill="FFC000"/>
            <w:noWrap/>
            <w:vAlign w:val="bottom"/>
            <w:hideMark/>
          </w:tcPr>
          <w:p w:rsidR="005D564E" w:rsidRPr="007078E0" w:rsidRDefault="005D564E" w:rsidP="001D7BD6">
            <w:pPr>
              <w:spacing w:after="0" w:line="240" w:lineRule="auto"/>
              <w:jc w:val="right"/>
              <w:rPr>
                <w:rFonts w:eastAsia="Times New Roman" w:cs="Times New Roman"/>
                <w:b/>
                <w:bCs/>
                <w:color w:val="000000"/>
                <w:szCs w:val="24"/>
              </w:rPr>
            </w:pPr>
            <w:r w:rsidRPr="007078E0">
              <w:rPr>
                <w:rFonts w:eastAsia="Times New Roman" w:cs="Times New Roman"/>
                <w:b/>
                <w:bCs/>
                <w:color w:val="000000"/>
                <w:szCs w:val="24"/>
              </w:rPr>
              <w:t>2015</w:t>
            </w:r>
          </w:p>
        </w:tc>
        <w:tc>
          <w:tcPr>
            <w:tcW w:w="1090" w:type="dxa"/>
            <w:tcBorders>
              <w:top w:val="nil"/>
              <w:left w:val="nil"/>
              <w:bottom w:val="single" w:sz="4" w:space="0" w:color="auto"/>
              <w:right w:val="single" w:sz="4" w:space="0" w:color="auto"/>
            </w:tcBorders>
            <w:shd w:val="clear" w:color="000000" w:fill="FFC000"/>
            <w:noWrap/>
            <w:vAlign w:val="bottom"/>
            <w:hideMark/>
          </w:tcPr>
          <w:p w:rsidR="005D564E" w:rsidRPr="007078E0" w:rsidRDefault="005D564E" w:rsidP="001D7BD6">
            <w:pPr>
              <w:spacing w:after="0" w:line="240" w:lineRule="auto"/>
              <w:jc w:val="right"/>
              <w:rPr>
                <w:rFonts w:eastAsia="Times New Roman" w:cs="Times New Roman"/>
                <w:b/>
                <w:bCs/>
                <w:color w:val="000000"/>
                <w:szCs w:val="24"/>
              </w:rPr>
            </w:pPr>
            <w:r w:rsidRPr="007078E0">
              <w:rPr>
                <w:rFonts w:eastAsia="Times New Roman" w:cs="Times New Roman"/>
                <w:b/>
                <w:bCs/>
                <w:color w:val="000000"/>
                <w:szCs w:val="24"/>
              </w:rPr>
              <w:t>2016</w:t>
            </w:r>
          </w:p>
        </w:tc>
      </w:tr>
      <w:tr w:rsidR="005D564E" w:rsidRPr="007078E0" w:rsidTr="001D7BD6">
        <w:trPr>
          <w:trHeight w:val="315"/>
        </w:trPr>
        <w:tc>
          <w:tcPr>
            <w:tcW w:w="3510" w:type="dxa"/>
            <w:tcBorders>
              <w:top w:val="nil"/>
              <w:left w:val="single" w:sz="4" w:space="0" w:color="auto"/>
              <w:bottom w:val="single" w:sz="4" w:space="0" w:color="auto"/>
              <w:right w:val="single" w:sz="4" w:space="0" w:color="auto"/>
            </w:tcBorders>
            <w:shd w:val="clear" w:color="000000" w:fill="C5BE97"/>
            <w:noWrap/>
            <w:vAlign w:val="bottom"/>
            <w:hideMark/>
          </w:tcPr>
          <w:p w:rsidR="005D564E" w:rsidRPr="007078E0" w:rsidRDefault="005D564E" w:rsidP="001D7BD6">
            <w:pPr>
              <w:spacing w:after="0" w:line="240" w:lineRule="auto"/>
              <w:jc w:val="left"/>
              <w:rPr>
                <w:rFonts w:eastAsia="Times New Roman" w:cs="Times New Roman"/>
                <w:color w:val="000000"/>
                <w:szCs w:val="24"/>
              </w:rPr>
            </w:pPr>
            <w:r w:rsidRPr="007078E0">
              <w:rPr>
                <w:rFonts w:eastAsia="Times New Roman" w:cs="Times New Roman"/>
                <w:color w:val="000000"/>
                <w:szCs w:val="24"/>
              </w:rPr>
              <w:t>share capital</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7078E0" w:rsidRDefault="005D564E" w:rsidP="001D7BD6">
            <w:pPr>
              <w:spacing w:after="0" w:line="240" w:lineRule="auto"/>
              <w:jc w:val="right"/>
              <w:rPr>
                <w:rFonts w:eastAsia="Times New Roman" w:cs="Times New Roman"/>
                <w:color w:val="000000"/>
                <w:szCs w:val="24"/>
              </w:rPr>
            </w:pPr>
            <w:r w:rsidRPr="007078E0">
              <w:rPr>
                <w:rFonts w:eastAsia="Times New Roman" w:cs="Times New Roman"/>
                <w:color w:val="000000"/>
                <w:szCs w:val="24"/>
              </w:rPr>
              <w:t>408</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7078E0" w:rsidRDefault="005D564E" w:rsidP="001D7BD6">
            <w:pPr>
              <w:spacing w:after="0" w:line="240" w:lineRule="auto"/>
              <w:jc w:val="right"/>
              <w:rPr>
                <w:rFonts w:eastAsia="Times New Roman" w:cs="Times New Roman"/>
                <w:color w:val="000000"/>
                <w:szCs w:val="24"/>
              </w:rPr>
            </w:pPr>
            <w:r w:rsidRPr="007078E0">
              <w:rPr>
                <w:rFonts w:eastAsia="Times New Roman" w:cs="Times New Roman"/>
                <w:color w:val="000000"/>
                <w:szCs w:val="24"/>
              </w:rPr>
              <w:t>2,172</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7078E0" w:rsidRDefault="005D564E" w:rsidP="001D7BD6">
            <w:pPr>
              <w:spacing w:after="0" w:line="240" w:lineRule="auto"/>
              <w:jc w:val="right"/>
              <w:rPr>
                <w:rFonts w:eastAsia="Times New Roman" w:cs="Times New Roman"/>
                <w:color w:val="000000"/>
                <w:szCs w:val="24"/>
              </w:rPr>
            </w:pPr>
            <w:r w:rsidRPr="007078E0">
              <w:rPr>
                <w:rFonts w:eastAsia="Times New Roman" w:cs="Times New Roman"/>
                <w:color w:val="000000"/>
                <w:szCs w:val="24"/>
              </w:rPr>
              <w:t>2,172</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7078E0" w:rsidRDefault="005D564E" w:rsidP="001D7BD6">
            <w:pPr>
              <w:spacing w:after="0" w:line="240" w:lineRule="auto"/>
              <w:jc w:val="right"/>
              <w:rPr>
                <w:rFonts w:eastAsia="Times New Roman" w:cs="Times New Roman"/>
                <w:color w:val="000000"/>
                <w:szCs w:val="24"/>
              </w:rPr>
            </w:pPr>
            <w:r w:rsidRPr="007078E0">
              <w:rPr>
                <w:rFonts w:eastAsia="Times New Roman" w:cs="Times New Roman"/>
                <w:color w:val="000000"/>
                <w:szCs w:val="24"/>
              </w:rPr>
              <w:t>2172</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7078E0" w:rsidRDefault="005D564E" w:rsidP="001D7BD6">
            <w:pPr>
              <w:spacing w:after="0" w:line="240" w:lineRule="auto"/>
              <w:jc w:val="right"/>
              <w:rPr>
                <w:rFonts w:eastAsia="Times New Roman" w:cs="Times New Roman"/>
                <w:color w:val="000000"/>
                <w:szCs w:val="24"/>
              </w:rPr>
            </w:pPr>
            <w:r w:rsidRPr="007078E0">
              <w:rPr>
                <w:rFonts w:eastAsia="Times New Roman" w:cs="Times New Roman"/>
                <w:color w:val="000000"/>
                <w:szCs w:val="24"/>
              </w:rPr>
              <w:t>2172</w:t>
            </w:r>
          </w:p>
        </w:tc>
      </w:tr>
      <w:tr w:rsidR="005D564E" w:rsidRPr="007078E0" w:rsidTr="001D7BD6">
        <w:trPr>
          <w:trHeight w:val="315"/>
        </w:trPr>
        <w:tc>
          <w:tcPr>
            <w:tcW w:w="3510" w:type="dxa"/>
            <w:tcBorders>
              <w:top w:val="nil"/>
              <w:left w:val="single" w:sz="4" w:space="0" w:color="auto"/>
              <w:bottom w:val="single" w:sz="4" w:space="0" w:color="auto"/>
              <w:right w:val="single" w:sz="4" w:space="0" w:color="auto"/>
            </w:tcBorders>
            <w:shd w:val="clear" w:color="000000" w:fill="C5BE97"/>
            <w:noWrap/>
            <w:vAlign w:val="bottom"/>
            <w:hideMark/>
          </w:tcPr>
          <w:p w:rsidR="005D564E" w:rsidRPr="007078E0" w:rsidRDefault="005D564E" w:rsidP="001D7BD6">
            <w:pPr>
              <w:spacing w:after="0" w:line="240" w:lineRule="auto"/>
              <w:jc w:val="left"/>
              <w:rPr>
                <w:rFonts w:eastAsia="Times New Roman" w:cs="Times New Roman"/>
                <w:color w:val="000000"/>
                <w:szCs w:val="24"/>
              </w:rPr>
            </w:pPr>
            <w:r w:rsidRPr="007078E0">
              <w:rPr>
                <w:rFonts w:eastAsia="Times New Roman" w:cs="Times New Roman"/>
                <w:color w:val="000000"/>
                <w:szCs w:val="24"/>
              </w:rPr>
              <w:t>Retained earning</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7078E0" w:rsidRDefault="005D564E" w:rsidP="001D7BD6">
            <w:pPr>
              <w:spacing w:after="0" w:line="240" w:lineRule="auto"/>
              <w:jc w:val="right"/>
              <w:rPr>
                <w:rFonts w:eastAsia="Times New Roman" w:cs="Times New Roman"/>
                <w:color w:val="000000"/>
                <w:szCs w:val="24"/>
              </w:rPr>
            </w:pPr>
            <w:r w:rsidRPr="007078E0">
              <w:rPr>
                <w:rFonts w:eastAsia="Times New Roman" w:cs="Times New Roman"/>
                <w:color w:val="000000"/>
                <w:szCs w:val="24"/>
              </w:rPr>
              <w:t>89</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7078E0" w:rsidRDefault="005D564E" w:rsidP="001D7BD6">
            <w:pPr>
              <w:spacing w:after="0" w:line="240" w:lineRule="auto"/>
              <w:jc w:val="right"/>
              <w:rPr>
                <w:rFonts w:eastAsia="Times New Roman" w:cs="Times New Roman"/>
                <w:color w:val="000000"/>
                <w:szCs w:val="24"/>
              </w:rPr>
            </w:pPr>
            <w:r w:rsidRPr="007078E0">
              <w:rPr>
                <w:rFonts w:eastAsia="Times New Roman" w:cs="Times New Roman"/>
                <w:color w:val="000000"/>
                <w:szCs w:val="24"/>
              </w:rPr>
              <w:t>7,777</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7078E0" w:rsidRDefault="005D564E" w:rsidP="001D7BD6">
            <w:pPr>
              <w:spacing w:after="0" w:line="240" w:lineRule="auto"/>
              <w:jc w:val="right"/>
              <w:rPr>
                <w:rFonts w:eastAsia="Times New Roman" w:cs="Times New Roman"/>
                <w:color w:val="000000"/>
                <w:szCs w:val="24"/>
              </w:rPr>
            </w:pPr>
            <w:r w:rsidRPr="007078E0">
              <w:rPr>
                <w:rFonts w:eastAsia="Times New Roman" w:cs="Times New Roman"/>
                <w:color w:val="000000"/>
                <w:szCs w:val="24"/>
              </w:rPr>
              <w:t>7,655</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7078E0" w:rsidRDefault="005D564E" w:rsidP="001D7BD6">
            <w:pPr>
              <w:spacing w:after="0" w:line="240" w:lineRule="auto"/>
              <w:jc w:val="right"/>
              <w:rPr>
                <w:rFonts w:eastAsia="Times New Roman" w:cs="Times New Roman"/>
                <w:color w:val="000000"/>
                <w:szCs w:val="24"/>
              </w:rPr>
            </w:pPr>
            <w:r w:rsidRPr="007078E0">
              <w:rPr>
                <w:rFonts w:eastAsia="Times New Roman" w:cs="Times New Roman"/>
                <w:color w:val="000000"/>
                <w:szCs w:val="24"/>
              </w:rPr>
              <w:t>8,038</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7078E0" w:rsidRDefault="005D564E" w:rsidP="001D7BD6">
            <w:pPr>
              <w:spacing w:after="0" w:line="240" w:lineRule="auto"/>
              <w:jc w:val="right"/>
              <w:rPr>
                <w:rFonts w:eastAsia="Times New Roman" w:cs="Times New Roman"/>
                <w:color w:val="000000"/>
                <w:szCs w:val="24"/>
              </w:rPr>
            </w:pPr>
            <w:r w:rsidRPr="007078E0">
              <w:rPr>
                <w:rFonts w:eastAsia="Times New Roman" w:cs="Times New Roman"/>
                <w:color w:val="000000"/>
                <w:szCs w:val="24"/>
              </w:rPr>
              <w:t>10,024</w:t>
            </w:r>
          </w:p>
        </w:tc>
      </w:tr>
      <w:tr w:rsidR="005D564E" w:rsidRPr="007078E0" w:rsidTr="001D7BD6">
        <w:trPr>
          <w:trHeight w:val="315"/>
        </w:trPr>
        <w:tc>
          <w:tcPr>
            <w:tcW w:w="3510" w:type="dxa"/>
            <w:tcBorders>
              <w:top w:val="nil"/>
              <w:left w:val="single" w:sz="4" w:space="0" w:color="auto"/>
              <w:bottom w:val="single" w:sz="4" w:space="0" w:color="auto"/>
              <w:right w:val="single" w:sz="4" w:space="0" w:color="auto"/>
            </w:tcBorders>
            <w:shd w:val="clear" w:color="000000" w:fill="C5BE97"/>
            <w:noWrap/>
            <w:vAlign w:val="bottom"/>
            <w:hideMark/>
          </w:tcPr>
          <w:p w:rsidR="005D564E" w:rsidRPr="007078E0" w:rsidRDefault="005D564E" w:rsidP="001D7BD6">
            <w:pPr>
              <w:spacing w:after="0" w:line="240" w:lineRule="auto"/>
              <w:jc w:val="left"/>
              <w:rPr>
                <w:rFonts w:eastAsia="Times New Roman" w:cs="Times New Roman"/>
                <w:color w:val="000000"/>
                <w:szCs w:val="24"/>
              </w:rPr>
            </w:pPr>
            <w:r w:rsidRPr="007078E0">
              <w:rPr>
                <w:rFonts w:eastAsia="Times New Roman" w:cs="Times New Roman"/>
                <w:color w:val="000000"/>
                <w:szCs w:val="24"/>
              </w:rPr>
              <w:t>long term liabilities</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7078E0" w:rsidRDefault="005D564E" w:rsidP="001D7BD6">
            <w:pPr>
              <w:spacing w:after="0" w:line="240" w:lineRule="auto"/>
              <w:jc w:val="right"/>
              <w:rPr>
                <w:rFonts w:eastAsia="Times New Roman" w:cs="Times New Roman"/>
                <w:color w:val="000000"/>
                <w:szCs w:val="24"/>
              </w:rPr>
            </w:pPr>
            <w:r w:rsidRPr="007078E0">
              <w:rPr>
                <w:rFonts w:eastAsia="Times New Roman" w:cs="Times New Roman"/>
                <w:color w:val="000000"/>
                <w:szCs w:val="24"/>
              </w:rPr>
              <w:t>13,385</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7078E0" w:rsidRDefault="005D564E" w:rsidP="001D7BD6">
            <w:pPr>
              <w:spacing w:after="0" w:line="240" w:lineRule="auto"/>
              <w:jc w:val="right"/>
              <w:rPr>
                <w:rFonts w:eastAsia="Times New Roman" w:cs="Times New Roman"/>
                <w:color w:val="000000"/>
                <w:szCs w:val="24"/>
              </w:rPr>
            </w:pPr>
            <w:r w:rsidRPr="007078E0">
              <w:rPr>
                <w:rFonts w:eastAsia="Times New Roman" w:cs="Times New Roman"/>
                <w:color w:val="000000"/>
                <w:szCs w:val="24"/>
              </w:rPr>
              <w:t>17,537</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7078E0" w:rsidRDefault="005D564E" w:rsidP="001D7BD6">
            <w:pPr>
              <w:spacing w:after="0" w:line="240" w:lineRule="auto"/>
              <w:jc w:val="right"/>
              <w:rPr>
                <w:rFonts w:eastAsia="Times New Roman" w:cs="Times New Roman"/>
                <w:color w:val="000000"/>
                <w:szCs w:val="24"/>
              </w:rPr>
            </w:pPr>
            <w:r w:rsidRPr="007078E0">
              <w:rPr>
                <w:rFonts w:eastAsia="Times New Roman" w:cs="Times New Roman"/>
                <w:color w:val="000000"/>
                <w:szCs w:val="24"/>
              </w:rPr>
              <w:t>17,803</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7078E0" w:rsidRDefault="005D564E" w:rsidP="001D7BD6">
            <w:pPr>
              <w:spacing w:after="0" w:line="240" w:lineRule="auto"/>
              <w:jc w:val="right"/>
              <w:rPr>
                <w:rFonts w:eastAsia="Times New Roman" w:cs="Times New Roman"/>
                <w:color w:val="000000"/>
                <w:szCs w:val="24"/>
              </w:rPr>
            </w:pPr>
            <w:r w:rsidRPr="007078E0">
              <w:rPr>
                <w:rFonts w:eastAsia="Times New Roman" w:cs="Times New Roman"/>
                <w:color w:val="000000"/>
                <w:szCs w:val="24"/>
              </w:rPr>
              <w:t>19,678</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7078E0" w:rsidRDefault="005D564E" w:rsidP="001D7BD6">
            <w:pPr>
              <w:spacing w:after="0" w:line="240" w:lineRule="auto"/>
              <w:jc w:val="right"/>
              <w:rPr>
                <w:rFonts w:eastAsia="Times New Roman" w:cs="Times New Roman"/>
                <w:color w:val="000000"/>
                <w:szCs w:val="24"/>
              </w:rPr>
            </w:pPr>
            <w:r w:rsidRPr="007078E0">
              <w:rPr>
                <w:rFonts w:eastAsia="Times New Roman" w:cs="Times New Roman"/>
                <w:color w:val="000000"/>
                <w:szCs w:val="24"/>
              </w:rPr>
              <w:t>22,200</w:t>
            </w:r>
          </w:p>
        </w:tc>
      </w:tr>
      <w:tr w:rsidR="005D564E" w:rsidRPr="007078E0" w:rsidTr="001D7BD6">
        <w:trPr>
          <w:trHeight w:val="315"/>
        </w:trPr>
        <w:tc>
          <w:tcPr>
            <w:tcW w:w="3510" w:type="dxa"/>
            <w:tcBorders>
              <w:top w:val="nil"/>
              <w:left w:val="single" w:sz="4" w:space="0" w:color="auto"/>
              <w:bottom w:val="single" w:sz="4" w:space="0" w:color="auto"/>
              <w:right w:val="single" w:sz="4" w:space="0" w:color="auto"/>
            </w:tcBorders>
            <w:shd w:val="clear" w:color="000000" w:fill="C5BE97"/>
            <w:noWrap/>
            <w:vAlign w:val="bottom"/>
            <w:hideMark/>
          </w:tcPr>
          <w:p w:rsidR="005D564E" w:rsidRPr="007078E0" w:rsidRDefault="005D564E" w:rsidP="001D7BD6">
            <w:pPr>
              <w:spacing w:after="0" w:line="240" w:lineRule="auto"/>
              <w:jc w:val="left"/>
              <w:rPr>
                <w:rFonts w:eastAsia="Times New Roman" w:cs="Times New Roman"/>
                <w:color w:val="000000"/>
                <w:szCs w:val="24"/>
              </w:rPr>
            </w:pPr>
            <w:r w:rsidRPr="007078E0">
              <w:rPr>
                <w:rFonts w:eastAsia="Times New Roman" w:cs="Times New Roman"/>
                <w:color w:val="000000"/>
                <w:szCs w:val="24"/>
              </w:rPr>
              <w:t>capital employed</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7078E0" w:rsidRDefault="005D564E" w:rsidP="001D7BD6">
            <w:pPr>
              <w:spacing w:after="0" w:line="240" w:lineRule="auto"/>
              <w:jc w:val="right"/>
              <w:rPr>
                <w:rFonts w:eastAsia="Times New Roman" w:cs="Times New Roman"/>
                <w:color w:val="4F81BD"/>
                <w:szCs w:val="24"/>
              </w:rPr>
            </w:pPr>
            <w:r w:rsidRPr="007078E0">
              <w:rPr>
                <w:rFonts w:eastAsia="Times New Roman" w:cs="Times New Roman"/>
                <w:color w:val="4F81BD"/>
                <w:szCs w:val="24"/>
              </w:rPr>
              <w:t>13,882</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7078E0" w:rsidRDefault="005D564E" w:rsidP="001D7BD6">
            <w:pPr>
              <w:spacing w:after="0" w:line="240" w:lineRule="auto"/>
              <w:jc w:val="right"/>
              <w:rPr>
                <w:rFonts w:eastAsia="Times New Roman" w:cs="Times New Roman"/>
                <w:color w:val="4F81BD"/>
                <w:szCs w:val="24"/>
              </w:rPr>
            </w:pPr>
            <w:r w:rsidRPr="007078E0">
              <w:rPr>
                <w:rFonts w:eastAsia="Times New Roman" w:cs="Times New Roman"/>
                <w:color w:val="4F81BD"/>
                <w:szCs w:val="24"/>
              </w:rPr>
              <w:t>27,486</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7078E0" w:rsidRDefault="005D564E" w:rsidP="001D7BD6">
            <w:pPr>
              <w:spacing w:after="0" w:line="240" w:lineRule="auto"/>
              <w:jc w:val="right"/>
              <w:rPr>
                <w:rFonts w:eastAsia="Times New Roman" w:cs="Times New Roman"/>
                <w:color w:val="4F81BD"/>
                <w:szCs w:val="24"/>
              </w:rPr>
            </w:pPr>
            <w:r w:rsidRPr="007078E0">
              <w:rPr>
                <w:rFonts w:eastAsia="Times New Roman" w:cs="Times New Roman"/>
                <w:color w:val="4F81BD"/>
                <w:szCs w:val="24"/>
              </w:rPr>
              <w:t>27,630</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7078E0" w:rsidRDefault="005D564E" w:rsidP="001D7BD6">
            <w:pPr>
              <w:spacing w:after="0" w:line="240" w:lineRule="auto"/>
              <w:jc w:val="right"/>
              <w:rPr>
                <w:rFonts w:eastAsia="Times New Roman" w:cs="Times New Roman"/>
                <w:color w:val="4F81BD"/>
                <w:szCs w:val="24"/>
              </w:rPr>
            </w:pPr>
            <w:r w:rsidRPr="007078E0">
              <w:rPr>
                <w:rFonts w:eastAsia="Times New Roman" w:cs="Times New Roman"/>
                <w:color w:val="4F81BD"/>
                <w:szCs w:val="24"/>
              </w:rPr>
              <w:t>29,888</w:t>
            </w:r>
          </w:p>
        </w:tc>
        <w:tc>
          <w:tcPr>
            <w:tcW w:w="1090" w:type="dxa"/>
            <w:tcBorders>
              <w:top w:val="nil"/>
              <w:left w:val="nil"/>
              <w:bottom w:val="single" w:sz="4" w:space="0" w:color="auto"/>
              <w:right w:val="single" w:sz="4" w:space="0" w:color="auto"/>
            </w:tcBorders>
            <w:shd w:val="clear" w:color="000000" w:fill="C5BE97"/>
            <w:noWrap/>
            <w:vAlign w:val="bottom"/>
            <w:hideMark/>
          </w:tcPr>
          <w:p w:rsidR="005D564E" w:rsidRPr="007078E0" w:rsidRDefault="005D564E" w:rsidP="001D7BD6">
            <w:pPr>
              <w:spacing w:after="0" w:line="240" w:lineRule="auto"/>
              <w:jc w:val="right"/>
              <w:rPr>
                <w:rFonts w:eastAsia="Times New Roman" w:cs="Times New Roman"/>
                <w:color w:val="4F81BD"/>
                <w:szCs w:val="24"/>
              </w:rPr>
            </w:pPr>
            <w:r w:rsidRPr="007078E0">
              <w:rPr>
                <w:rFonts w:eastAsia="Times New Roman" w:cs="Times New Roman"/>
                <w:color w:val="4F81BD"/>
                <w:szCs w:val="24"/>
              </w:rPr>
              <w:t>34,396</w:t>
            </w:r>
          </w:p>
        </w:tc>
      </w:tr>
      <w:tr w:rsidR="005D564E" w:rsidRPr="007078E0" w:rsidTr="001D7BD6">
        <w:trPr>
          <w:trHeight w:val="315"/>
        </w:trPr>
        <w:tc>
          <w:tcPr>
            <w:tcW w:w="3510" w:type="dxa"/>
            <w:tcBorders>
              <w:top w:val="nil"/>
              <w:left w:val="single" w:sz="4" w:space="0" w:color="auto"/>
              <w:bottom w:val="single" w:sz="4" w:space="0" w:color="auto"/>
              <w:right w:val="single" w:sz="4" w:space="0" w:color="auto"/>
            </w:tcBorders>
            <w:shd w:val="clear" w:color="auto" w:fill="DAEEF3" w:themeFill="accent5" w:themeFillTint="33"/>
            <w:noWrap/>
            <w:vAlign w:val="bottom"/>
            <w:hideMark/>
          </w:tcPr>
          <w:p w:rsidR="005D564E" w:rsidRPr="007078E0" w:rsidRDefault="005D564E" w:rsidP="001D7BD6">
            <w:pPr>
              <w:spacing w:after="0" w:line="240" w:lineRule="auto"/>
              <w:jc w:val="left"/>
              <w:rPr>
                <w:rFonts w:eastAsia="Times New Roman" w:cs="Times New Roman"/>
                <w:color w:val="000000"/>
                <w:szCs w:val="24"/>
              </w:rPr>
            </w:pPr>
            <w:r w:rsidRPr="007078E0">
              <w:rPr>
                <w:rFonts w:eastAsia="Times New Roman" w:cs="Times New Roman"/>
                <w:color w:val="000000"/>
                <w:szCs w:val="24"/>
              </w:rPr>
              <w:t>Gearing Ratio(long term liabilities/capital employed),capital employed=Share capital + retained earnings + long-term liabilities</w:t>
            </w:r>
          </w:p>
        </w:tc>
        <w:tc>
          <w:tcPr>
            <w:tcW w:w="1090" w:type="dxa"/>
            <w:tcBorders>
              <w:top w:val="nil"/>
              <w:left w:val="nil"/>
              <w:bottom w:val="single" w:sz="4" w:space="0" w:color="auto"/>
              <w:right w:val="single" w:sz="4" w:space="0" w:color="auto"/>
            </w:tcBorders>
            <w:shd w:val="clear" w:color="auto" w:fill="DAEEF3" w:themeFill="accent5" w:themeFillTint="33"/>
            <w:noWrap/>
            <w:vAlign w:val="bottom"/>
            <w:hideMark/>
          </w:tcPr>
          <w:p w:rsidR="005D564E" w:rsidRPr="007078E0" w:rsidRDefault="005D564E" w:rsidP="001D7BD6">
            <w:pPr>
              <w:spacing w:after="0" w:line="240" w:lineRule="auto"/>
              <w:jc w:val="right"/>
              <w:rPr>
                <w:rFonts w:eastAsia="Times New Roman" w:cs="Times New Roman"/>
                <w:szCs w:val="24"/>
              </w:rPr>
            </w:pPr>
            <w:r w:rsidRPr="007078E0">
              <w:rPr>
                <w:rFonts w:eastAsia="Times New Roman" w:cs="Times New Roman"/>
                <w:szCs w:val="24"/>
              </w:rPr>
              <w:t>96%</w:t>
            </w:r>
          </w:p>
        </w:tc>
        <w:tc>
          <w:tcPr>
            <w:tcW w:w="1090" w:type="dxa"/>
            <w:tcBorders>
              <w:top w:val="nil"/>
              <w:left w:val="nil"/>
              <w:bottom w:val="single" w:sz="4" w:space="0" w:color="auto"/>
              <w:right w:val="single" w:sz="4" w:space="0" w:color="auto"/>
            </w:tcBorders>
            <w:shd w:val="clear" w:color="auto" w:fill="DAEEF3" w:themeFill="accent5" w:themeFillTint="33"/>
            <w:noWrap/>
            <w:vAlign w:val="bottom"/>
            <w:hideMark/>
          </w:tcPr>
          <w:p w:rsidR="005D564E" w:rsidRPr="007078E0" w:rsidRDefault="005D564E" w:rsidP="001D7BD6">
            <w:pPr>
              <w:spacing w:after="0" w:line="240" w:lineRule="auto"/>
              <w:jc w:val="right"/>
              <w:rPr>
                <w:rFonts w:eastAsia="Times New Roman" w:cs="Times New Roman"/>
                <w:szCs w:val="24"/>
              </w:rPr>
            </w:pPr>
            <w:r w:rsidRPr="007078E0">
              <w:rPr>
                <w:rFonts w:eastAsia="Times New Roman" w:cs="Times New Roman"/>
                <w:szCs w:val="24"/>
              </w:rPr>
              <w:t>64%</w:t>
            </w:r>
          </w:p>
        </w:tc>
        <w:tc>
          <w:tcPr>
            <w:tcW w:w="1090" w:type="dxa"/>
            <w:tcBorders>
              <w:top w:val="nil"/>
              <w:left w:val="nil"/>
              <w:bottom w:val="single" w:sz="4" w:space="0" w:color="auto"/>
              <w:right w:val="single" w:sz="4" w:space="0" w:color="auto"/>
            </w:tcBorders>
            <w:shd w:val="clear" w:color="auto" w:fill="DAEEF3" w:themeFill="accent5" w:themeFillTint="33"/>
            <w:noWrap/>
            <w:vAlign w:val="bottom"/>
            <w:hideMark/>
          </w:tcPr>
          <w:p w:rsidR="005D564E" w:rsidRPr="007078E0" w:rsidRDefault="005D564E" w:rsidP="001D7BD6">
            <w:pPr>
              <w:spacing w:after="0" w:line="240" w:lineRule="auto"/>
              <w:jc w:val="right"/>
              <w:rPr>
                <w:rFonts w:eastAsia="Times New Roman" w:cs="Times New Roman"/>
                <w:szCs w:val="24"/>
              </w:rPr>
            </w:pPr>
            <w:r w:rsidRPr="007078E0">
              <w:rPr>
                <w:rFonts w:eastAsia="Times New Roman" w:cs="Times New Roman"/>
                <w:szCs w:val="24"/>
              </w:rPr>
              <w:t>64%</w:t>
            </w:r>
          </w:p>
        </w:tc>
        <w:tc>
          <w:tcPr>
            <w:tcW w:w="1090" w:type="dxa"/>
            <w:tcBorders>
              <w:top w:val="nil"/>
              <w:left w:val="nil"/>
              <w:bottom w:val="single" w:sz="4" w:space="0" w:color="auto"/>
              <w:right w:val="single" w:sz="4" w:space="0" w:color="auto"/>
            </w:tcBorders>
            <w:shd w:val="clear" w:color="auto" w:fill="DAEEF3" w:themeFill="accent5" w:themeFillTint="33"/>
            <w:noWrap/>
            <w:vAlign w:val="bottom"/>
            <w:hideMark/>
          </w:tcPr>
          <w:p w:rsidR="005D564E" w:rsidRPr="007078E0" w:rsidRDefault="005D564E" w:rsidP="001D7BD6">
            <w:pPr>
              <w:spacing w:after="0" w:line="240" w:lineRule="auto"/>
              <w:jc w:val="right"/>
              <w:rPr>
                <w:rFonts w:eastAsia="Times New Roman" w:cs="Times New Roman"/>
                <w:szCs w:val="24"/>
              </w:rPr>
            </w:pPr>
            <w:r w:rsidRPr="007078E0">
              <w:rPr>
                <w:rFonts w:eastAsia="Times New Roman" w:cs="Times New Roman"/>
                <w:szCs w:val="24"/>
              </w:rPr>
              <w:t>66%</w:t>
            </w:r>
          </w:p>
        </w:tc>
        <w:tc>
          <w:tcPr>
            <w:tcW w:w="1090" w:type="dxa"/>
            <w:tcBorders>
              <w:top w:val="nil"/>
              <w:left w:val="nil"/>
              <w:bottom w:val="single" w:sz="4" w:space="0" w:color="auto"/>
              <w:right w:val="single" w:sz="4" w:space="0" w:color="auto"/>
            </w:tcBorders>
            <w:shd w:val="clear" w:color="auto" w:fill="DAEEF3" w:themeFill="accent5" w:themeFillTint="33"/>
            <w:noWrap/>
            <w:vAlign w:val="bottom"/>
            <w:hideMark/>
          </w:tcPr>
          <w:p w:rsidR="005D564E" w:rsidRPr="007078E0" w:rsidRDefault="005D564E" w:rsidP="001D7BD6">
            <w:pPr>
              <w:spacing w:after="0" w:line="240" w:lineRule="auto"/>
              <w:jc w:val="right"/>
              <w:rPr>
                <w:rFonts w:eastAsia="Times New Roman" w:cs="Times New Roman"/>
                <w:szCs w:val="24"/>
              </w:rPr>
            </w:pPr>
            <w:r w:rsidRPr="007078E0">
              <w:rPr>
                <w:rFonts w:eastAsia="Times New Roman" w:cs="Times New Roman"/>
                <w:szCs w:val="24"/>
              </w:rPr>
              <w:t>65%</w:t>
            </w:r>
          </w:p>
        </w:tc>
      </w:tr>
    </w:tbl>
    <w:p w:rsidR="005D564E" w:rsidRDefault="005D564E" w:rsidP="005D564E">
      <w:pPr>
        <w:rPr>
          <w:b/>
        </w:rPr>
      </w:pPr>
    </w:p>
    <w:p w:rsidR="005D564E" w:rsidRPr="007E5502" w:rsidRDefault="005D564E" w:rsidP="005D564E">
      <w:r w:rsidRPr="007E5502">
        <w:t xml:space="preserve">The gearing ratio of the organization </w:t>
      </w:r>
      <w:r>
        <w:t>was around 96% in 2012 and from 2013 onwards the ratio on an average has become stable around 65%. This indicates that the organization is highly geared as the dependency of the organization over long term borrowing is quiet high during the study period</w:t>
      </w:r>
      <w:r w:rsidRPr="00773C72">
        <w:t xml:space="preserve"> (Btplc.com, 2018)</w:t>
      </w:r>
      <w:r>
        <w:t>. The fact of high dependency over the long term borrowing with respect to low profit generation capacity has also led to the low ratios of capital employed for the organization.</w:t>
      </w:r>
    </w:p>
    <w:p w:rsidR="005D564E" w:rsidRDefault="005D564E" w:rsidP="005D564E">
      <w:pPr>
        <w:pStyle w:val="Heading1"/>
      </w:pPr>
      <w:bookmarkStart w:id="16" w:name="_Toc502770450"/>
      <w:r>
        <w:t>5.0 Comparison of the financial performance between BT &amp; Vodafone (One of the major competitor of BT) via ratio analysis</w:t>
      </w:r>
      <w:bookmarkEnd w:id="16"/>
    </w:p>
    <w:p w:rsidR="005D564E" w:rsidRPr="00AE3AD6" w:rsidRDefault="005D564E" w:rsidP="005D564E">
      <w:pPr>
        <w:rPr>
          <w:b/>
          <w:u w:val="single"/>
        </w:rPr>
      </w:pPr>
      <w:r w:rsidRPr="00AE3AD6">
        <w:rPr>
          <w:rFonts w:eastAsia="Times New Roman" w:cs="Times New Roman"/>
          <w:b/>
          <w:color w:val="000000"/>
          <w:u w:val="single"/>
        </w:rPr>
        <w:t>Operating profit margin</w:t>
      </w:r>
    </w:p>
    <w:p w:rsidR="005D564E" w:rsidRPr="007003AE" w:rsidRDefault="005D564E" w:rsidP="005D564E"/>
    <w:tbl>
      <w:tblPr>
        <w:tblStyle w:val="LightGrid-Accent3"/>
        <w:tblW w:w="6480" w:type="dxa"/>
        <w:jc w:val="center"/>
        <w:tblLook w:val="04A0" w:firstRow="1" w:lastRow="0" w:firstColumn="1" w:lastColumn="0" w:noHBand="0" w:noVBand="1"/>
      </w:tblPr>
      <w:tblGrid>
        <w:gridCol w:w="2328"/>
        <w:gridCol w:w="830"/>
        <w:gridCol w:w="830"/>
        <w:gridCol w:w="832"/>
        <w:gridCol w:w="830"/>
        <w:gridCol w:w="830"/>
      </w:tblGrid>
      <w:tr w:rsidR="005D564E" w:rsidRPr="00754CF2" w:rsidTr="001D7BD6">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6480" w:type="dxa"/>
            <w:gridSpan w:val="6"/>
            <w:noWrap/>
            <w:hideMark/>
          </w:tcPr>
          <w:p w:rsidR="005D564E" w:rsidRPr="00754CF2" w:rsidRDefault="005D564E" w:rsidP="001D7BD6">
            <w:pPr>
              <w:spacing w:line="240" w:lineRule="auto"/>
              <w:jc w:val="center"/>
              <w:rPr>
                <w:rFonts w:eastAsia="Times New Roman" w:cs="Times New Roman"/>
                <w:color w:val="000000"/>
              </w:rPr>
            </w:pPr>
            <w:r w:rsidRPr="00754CF2">
              <w:rPr>
                <w:rFonts w:eastAsia="Times New Roman" w:cs="Times New Roman"/>
                <w:color w:val="000000"/>
              </w:rPr>
              <w:t>Operating profit margin</w:t>
            </w:r>
          </w:p>
        </w:tc>
      </w:tr>
      <w:tr w:rsidR="005D564E" w:rsidRPr="00754CF2" w:rsidTr="001D7BD6">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328" w:type="dxa"/>
            <w:noWrap/>
            <w:hideMark/>
          </w:tcPr>
          <w:p w:rsidR="005D564E" w:rsidRPr="00754CF2" w:rsidRDefault="005D564E" w:rsidP="001D7BD6">
            <w:pPr>
              <w:spacing w:line="240" w:lineRule="auto"/>
              <w:jc w:val="left"/>
              <w:rPr>
                <w:rFonts w:eastAsia="Times New Roman" w:cs="Times New Roman"/>
                <w:color w:val="000000"/>
              </w:rPr>
            </w:pPr>
            <w:r w:rsidRPr="00754CF2">
              <w:rPr>
                <w:rFonts w:eastAsia="Times New Roman" w:cs="Times New Roman"/>
                <w:color w:val="000000"/>
              </w:rPr>
              <w:t> </w:t>
            </w:r>
          </w:p>
        </w:tc>
        <w:tc>
          <w:tcPr>
            <w:tcW w:w="830" w:type="dxa"/>
            <w:noWrap/>
            <w:hideMark/>
          </w:tcPr>
          <w:p w:rsidR="005D564E" w:rsidRPr="00754CF2" w:rsidRDefault="005D564E" w:rsidP="001D7BD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754CF2">
              <w:rPr>
                <w:rFonts w:eastAsia="Times New Roman" w:cs="Times New Roman"/>
                <w:color w:val="000000"/>
              </w:rPr>
              <w:t>2012</w:t>
            </w:r>
          </w:p>
        </w:tc>
        <w:tc>
          <w:tcPr>
            <w:tcW w:w="830" w:type="dxa"/>
            <w:noWrap/>
            <w:hideMark/>
          </w:tcPr>
          <w:p w:rsidR="005D564E" w:rsidRPr="00754CF2" w:rsidRDefault="005D564E" w:rsidP="001D7BD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754CF2">
              <w:rPr>
                <w:rFonts w:eastAsia="Times New Roman" w:cs="Times New Roman"/>
                <w:color w:val="000000"/>
              </w:rPr>
              <w:t>2013</w:t>
            </w:r>
          </w:p>
        </w:tc>
        <w:tc>
          <w:tcPr>
            <w:tcW w:w="832" w:type="dxa"/>
            <w:noWrap/>
            <w:hideMark/>
          </w:tcPr>
          <w:p w:rsidR="005D564E" w:rsidRPr="00754CF2" w:rsidRDefault="005D564E" w:rsidP="001D7BD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754CF2">
              <w:rPr>
                <w:rFonts w:eastAsia="Times New Roman" w:cs="Times New Roman"/>
                <w:color w:val="000000"/>
              </w:rPr>
              <w:t>2014</w:t>
            </w:r>
          </w:p>
        </w:tc>
        <w:tc>
          <w:tcPr>
            <w:tcW w:w="830" w:type="dxa"/>
            <w:noWrap/>
            <w:hideMark/>
          </w:tcPr>
          <w:p w:rsidR="005D564E" w:rsidRPr="00754CF2" w:rsidRDefault="005D564E" w:rsidP="001D7BD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754CF2">
              <w:rPr>
                <w:rFonts w:eastAsia="Times New Roman" w:cs="Times New Roman"/>
                <w:color w:val="000000"/>
              </w:rPr>
              <w:t>2015</w:t>
            </w:r>
          </w:p>
        </w:tc>
        <w:tc>
          <w:tcPr>
            <w:tcW w:w="830" w:type="dxa"/>
            <w:noWrap/>
            <w:hideMark/>
          </w:tcPr>
          <w:p w:rsidR="005D564E" w:rsidRPr="00754CF2" w:rsidRDefault="005D564E" w:rsidP="001D7BD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754CF2">
              <w:rPr>
                <w:rFonts w:eastAsia="Times New Roman" w:cs="Times New Roman"/>
                <w:color w:val="000000"/>
              </w:rPr>
              <w:t>2016</w:t>
            </w:r>
          </w:p>
        </w:tc>
      </w:tr>
      <w:tr w:rsidR="005D564E" w:rsidRPr="00754CF2" w:rsidTr="001D7BD6">
        <w:trPr>
          <w:cnfStyle w:val="000000010000" w:firstRow="0" w:lastRow="0" w:firstColumn="0" w:lastColumn="0" w:oddVBand="0" w:evenVBand="0" w:oddHBand="0" w:evenHBand="1" w:firstRowFirstColumn="0" w:firstRowLastColumn="0" w:lastRowFirstColumn="0" w:lastRowLastColumn="0"/>
          <w:trHeight w:val="870"/>
          <w:jc w:val="center"/>
        </w:trPr>
        <w:tc>
          <w:tcPr>
            <w:cnfStyle w:val="001000000000" w:firstRow="0" w:lastRow="0" w:firstColumn="1" w:lastColumn="0" w:oddVBand="0" w:evenVBand="0" w:oddHBand="0" w:evenHBand="0" w:firstRowFirstColumn="0" w:firstRowLastColumn="0" w:lastRowFirstColumn="0" w:lastRowLastColumn="0"/>
            <w:tcW w:w="2328" w:type="dxa"/>
            <w:hideMark/>
          </w:tcPr>
          <w:p w:rsidR="005D564E" w:rsidRPr="00754CF2" w:rsidRDefault="005D564E" w:rsidP="001D7BD6">
            <w:pPr>
              <w:spacing w:line="240" w:lineRule="auto"/>
              <w:jc w:val="left"/>
              <w:rPr>
                <w:rFonts w:eastAsia="Times New Roman" w:cs="Times New Roman"/>
                <w:color w:val="000000"/>
              </w:rPr>
            </w:pPr>
            <w:r w:rsidRPr="00754CF2">
              <w:rPr>
                <w:rFonts w:eastAsia="Times New Roman" w:cs="Times New Roman"/>
                <w:color w:val="000000"/>
              </w:rPr>
              <w:lastRenderedPageBreak/>
              <w:t>BT</w:t>
            </w:r>
          </w:p>
        </w:tc>
        <w:tc>
          <w:tcPr>
            <w:tcW w:w="830" w:type="dxa"/>
            <w:noWrap/>
            <w:hideMark/>
          </w:tcPr>
          <w:p w:rsidR="005D564E" w:rsidRPr="00754CF2" w:rsidRDefault="005D564E" w:rsidP="001D7BD6">
            <w:pPr>
              <w:spacing w:line="240" w:lineRule="auto"/>
              <w:jc w:val="right"/>
              <w:cnfStyle w:val="000000010000" w:firstRow="0" w:lastRow="0" w:firstColumn="0" w:lastColumn="0" w:oddVBand="0" w:evenVBand="0" w:oddHBand="0" w:evenHBand="1" w:firstRowFirstColumn="0" w:firstRowLastColumn="0" w:lastRowFirstColumn="0" w:lastRowLastColumn="0"/>
              <w:rPr>
                <w:rFonts w:eastAsia="Times New Roman" w:cs="Times New Roman"/>
                <w:color w:val="000000"/>
              </w:rPr>
            </w:pPr>
            <w:r w:rsidRPr="00754CF2">
              <w:rPr>
                <w:rFonts w:eastAsia="Times New Roman" w:cs="Times New Roman"/>
                <w:color w:val="000000"/>
              </w:rPr>
              <w:t>15%</w:t>
            </w:r>
          </w:p>
        </w:tc>
        <w:tc>
          <w:tcPr>
            <w:tcW w:w="830" w:type="dxa"/>
            <w:noWrap/>
            <w:hideMark/>
          </w:tcPr>
          <w:p w:rsidR="005D564E" w:rsidRPr="00754CF2" w:rsidRDefault="005D564E" w:rsidP="001D7BD6">
            <w:pPr>
              <w:spacing w:line="240" w:lineRule="auto"/>
              <w:jc w:val="right"/>
              <w:cnfStyle w:val="000000010000" w:firstRow="0" w:lastRow="0" w:firstColumn="0" w:lastColumn="0" w:oddVBand="0" w:evenVBand="0" w:oddHBand="0" w:evenHBand="1" w:firstRowFirstColumn="0" w:firstRowLastColumn="0" w:lastRowFirstColumn="0" w:lastRowLastColumn="0"/>
              <w:rPr>
                <w:rFonts w:eastAsia="Times New Roman" w:cs="Times New Roman"/>
                <w:color w:val="000000"/>
              </w:rPr>
            </w:pPr>
            <w:r w:rsidRPr="00754CF2">
              <w:rPr>
                <w:rFonts w:eastAsia="Times New Roman" w:cs="Times New Roman"/>
                <w:color w:val="000000"/>
              </w:rPr>
              <w:t>16%</w:t>
            </w:r>
          </w:p>
        </w:tc>
        <w:tc>
          <w:tcPr>
            <w:tcW w:w="832" w:type="dxa"/>
            <w:noWrap/>
            <w:hideMark/>
          </w:tcPr>
          <w:p w:rsidR="005D564E" w:rsidRPr="00754CF2" w:rsidRDefault="005D564E" w:rsidP="001D7BD6">
            <w:pPr>
              <w:spacing w:line="240" w:lineRule="auto"/>
              <w:jc w:val="right"/>
              <w:cnfStyle w:val="000000010000" w:firstRow="0" w:lastRow="0" w:firstColumn="0" w:lastColumn="0" w:oddVBand="0" w:evenVBand="0" w:oddHBand="0" w:evenHBand="1" w:firstRowFirstColumn="0" w:firstRowLastColumn="0" w:lastRowFirstColumn="0" w:lastRowLastColumn="0"/>
              <w:rPr>
                <w:rFonts w:eastAsia="Times New Roman" w:cs="Times New Roman"/>
                <w:color w:val="000000"/>
              </w:rPr>
            </w:pPr>
            <w:r w:rsidRPr="00754CF2">
              <w:rPr>
                <w:rFonts w:eastAsia="Times New Roman" w:cs="Times New Roman"/>
                <w:color w:val="000000"/>
              </w:rPr>
              <w:t>17%</w:t>
            </w:r>
          </w:p>
        </w:tc>
        <w:tc>
          <w:tcPr>
            <w:tcW w:w="830" w:type="dxa"/>
            <w:noWrap/>
            <w:hideMark/>
          </w:tcPr>
          <w:p w:rsidR="005D564E" w:rsidRPr="00754CF2" w:rsidRDefault="005D564E" w:rsidP="001D7BD6">
            <w:pPr>
              <w:spacing w:line="240" w:lineRule="auto"/>
              <w:jc w:val="right"/>
              <w:cnfStyle w:val="000000010000" w:firstRow="0" w:lastRow="0" w:firstColumn="0" w:lastColumn="0" w:oddVBand="0" w:evenVBand="0" w:oddHBand="0" w:evenHBand="1" w:firstRowFirstColumn="0" w:firstRowLastColumn="0" w:lastRowFirstColumn="0" w:lastRowLastColumn="0"/>
              <w:rPr>
                <w:rFonts w:eastAsia="Times New Roman" w:cs="Times New Roman"/>
                <w:color w:val="000000"/>
              </w:rPr>
            </w:pPr>
            <w:r w:rsidRPr="00754CF2">
              <w:rPr>
                <w:rFonts w:eastAsia="Times New Roman" w:cs="Times New Roman"/>
                <w:color w:val="000000"/>
              </w:rPr>
              <w:t>19%</w:t>
            </w:r>
          </w:p>
        </w:tc>
        <w:tc>
          <w:tcPr>
            <w:tcW w:w="830" w:type="dxa"/>
            <w:noWrap/>
            <w:hideMark/>
          </w:tcPr>
          <w:p w:rsidR="005D564E" w:rsidRPr="00754CF2" w:rsidRDefault="005D564E" w:rsidP="001D7BD6">
            <w:pPr>
              <w:spacing w:line="240" w:lineRule="auto"/>
              <w:jc w:val="right"/>
              <w:cnfStyle w:val="000000010000" w:firstRow="0" w:lastRow="0" w:firstColumn="0" w:lastColumn="0" w:oddVBand="0" w:evenVBand="0" w:oddHBand="0" w:evenHBand="1" w:firstRowFirstColumn="0" w:firstRowLastColumn="0" w:lastRowFirstColumn="0" w:lastRowLastColumn="0"/>
              <w:rPr>
                <w:rFonts w:eastAsia="Times New Roman" w:cs="Times New Roman"/>
                <w:color w:val="000000"/>
              </w:rPr>
            </w:pPr>
            <w:r w:rsidRPr="00754CF2">
              <w:rPr>
                <w:rFonts w:eastAsia="Times New Roman" w:cs="Times New Roman"/>
                <w:color w:val="000000"/>
              </w:rPr>
              <w:t>20%</w:t>
            </w:r>
          </w:p>
        </w:tc>
      </w:tr>
      <w:tr w:rsidR="005D564E" w:rsidRPr="00754CF2" w:rsidTr="001D7BD6">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328" w:type="dxa"/>
            <w:noWrap/>
            <w:hideMark/>
          </w:tcPr>
          <w:p w:rsidR="005D564E" w:rsidRPr="00754CF2" w:rsidRDefault="005D564E" w:rsidP="001D7BD6">
            <w:pPr>
              <w:spacing w:line="240" w:lineRule="auto"/>
              <w:jc w:val="left"/>
              <w:rPr>
                <w:rFonts w:eastAsia="Times New Roman" w:cs="Times New Roman"/>
                <w:color w:val="000000"/>
              </w:rPr>
            </w:pPr>
            <w:r w:rsidRPr="00754CF2">
              <w:rPr>
                <w:rFonts w:eastAsia="Times New Roman" w:cs="Times New Roman"/>
                <w:color w:val="000000"/>
              </w:rPr>
              <w:t>Vodafone</w:t>
            </w:r>
          </w:p>
        </w:tc>
        <w:tc>
          <w:tcPr>
            <w:tcW w:w="830" w:type="dxa"/>
            <w:noWrap/>
            <w:hideMark/>
          </w:tcPr>
          <w:p w:rsidR="005D564E" w:rsidRPr="00754CF2" w:rsidRDefault="005D564E" w:rsidP="001D7BD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754CF2">
              <w:rPr>
                <w:rFonts w:eastAsia="Times New Roman" w:cs="Times New Roman"/>
                <w:color w:val="000000"/>
              </w:rPr>
              <w:t>14%</w:t>
            </w:r>
          </w:p>
        </w:tc>
        <w:tc>
          <w:tcPr>
            <w:tcW w:w="830" w:type="dxa"/>
            <w:noWrap/>
            <w:hideMark/>
          </w:tcPr>
          <w:p w:rsidR="005D564E" w:rsidRPr="00754CF2" w:rsidRDefault="005D564E" w:rsidP="001D7BD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754CF2">
              <w:rPr>
                <w:rFonts w:eastAsia="Times New Roman" w:cs="Times New Roman"/>
                <w:color w:val="000000"/>
              </w:rPr>
              <w:t>-6%</w:t>
            </w:r>
          </w:p>
        </w:tc>
        <w:tc>
          <w:tcPr>
            <w:tcW w:w="832" w:type="dxa"/>
            <w:noWrap/>
            <w:hideMark/>
          </w:tcPr>
          <w:p w:rsidR="005D564E" w:rsidRPr="00754CF2" w:rsidRDefault="005D564E" w:rsidP="001D7BD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754CF2">
              <w:rPr>
                <w:rFonts w:eastAsia="Times New Roman" w:cs="Times New Roman"/>
                <w:color w:val="000000"/>
              </w:rPr>
              <w:t>-10%</w:t>
            </w:r>
          </w:p>
        </w:tc>
        <w:tc>
          <w:tcPr>
            <w:tcW w:w="830" w:type="dxa"/>
            <w:noWrap/>
            <w:hideMark/>
          </w:tcPr>
          <w:p w:rsidR="005D564E" w:rsidRPr="00754CF2" w:rsidRDefault="005D564E" w:rsidP="001D7BD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754CF2">
              <w:rPr>
                <w:rFonts w:eastAsia="Times New Roman" w:cs="Times New Roman"/>
                <w:color w:val="000000"/>
              </w:rPr>
              <w:t>5%</w:t>
            </w:r>
          </w:p>
        </w:tc>
        <w:tc>
          <w:tcPr>
            <w:tcW w:w="830" w:type="dxa"/>
            <w:noWrap/>
            <w:hideMark/>
          </w:tcPr>
          <w:p w:rsidR="005D564E" w:rsidRPr="00754CF2" w:rsidRDefault="005D564E" w:rsidP="001D7BD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754CF2">
              <w:rPr>
                <w:rFonts w:eastAsia="Times New Roman" w:cs="Times New Roman"/>
                <w:color w:val="000000"/>
              </w:rPr>
              <w:t>3%</w:t>
            </w:r>
          </w:p>
        </w:tc>
      </w:tr>
    </w:tbl>
    <w:p w:rsidR="005D564E" w:rsidRDefault="005D564E" w:rsidP="005D564E"/>
    <w:p w:rsidR="005D564E" w:rsidRDefault="005D564E" w:rsidP="005D564E">
      <w:pPr>
        <w:jc w:val="center"/>
      </w:pPr>
      <w:r w:rsidRPr="00AE3AD6">
        <w:rPr>
          <w:noProof/>
          <w:lang w:val="en-IN" w:eastAsia="en-IN"/>
        </w:rPr>
        <w:drawing>
          <wp:inline distT="0" distB="0" distL="0" distR="0">
            <wp:extent cx="3114040" cy="1975485"/>
            <wp:effectExtent l="19050" t="0" r="0" b="0"/>
            <wp:docPr id="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srcRect/>
                    <a:stretch>
                      <a:fillRect/>
                    </a:stretch>
                  </pic:blipFill>
                  <pic:spPr bwMode="auto">
                    <a:xfrm>
                      <a:off x="0" y="0"/>
                      <a:ext cx="3114040" cy="1975485"/>
                    </a:xfrm>
                    <a:prstGeom prst="rect">
                      <a:avLst/>
                    </a:prstGeom>
                    <a:noFill/>
                    <a:ln w="9525">
                      <a:noFill/>
                      <a:miter lim="800000"/>
                      <a:headEnd/>
                      <a:tailEnd/>
                    </a:ln>
                  </pic:spPr>
                </pic:pic>
              </a:graphicData>
            </a:graphic>
          </wp:inline>
        </w:drawing>
      </w:r>
    </w:p>
    <w:p w:rsidR="005D564E" w:rsidRPr="00E751D6" w:rsidRDefault="005D564E" w:rsidP="005D564E">
      <w:pPr>
        <w:rPr>
          <w:rFonts w:eastAsia="Times New Roman" w:cs="Times New Roman"/>
          <w:color w:val="000000"/>
          <w:szCs w:val="24"/>
        </w:rPr>
      </w:pPr>
      <w:r w:rsidRPr="00E751D6">
        <w:rPr>
          <w:rFonts w:eastAsia="Times New Roman" w:cs="Times New Roman"/>
          <w:color w:val="000000"/>
          <w:szCs w:val="24"/>
        </w:rPr>
        <w:t xml:space="preserve">Looking at the ratios </w:t>
      </w:r>
      <w:r>
        <w:rPr>
          <w:rFonts w:eastAsia="Times New Roman" w:cs="Times New Roman"/>
          <w:color w:val="000000"/>
          <w:szCs w:val="24"/>
        </w:rPr>
        <w:t>it can be seen that British telecom has a stronger and stable opera ting profit margin compared t o that of Vodafone during the period of study. In 2013, 2014 the Vodafone has registered a negative margin as the organization failed to earn the expected service revenue due to high competition regulatory legislations and the political unrest from the European, market. However Vodafone with increase in 4G mobile data usage in European market(from which the organization gathers 66% of the total service revenue) has slightly recovered in 2015, 2016</w:t>
      </w:r>
    </w:p>
    <w:p w:rsidR="005D564E" w:rsidRPr="00E751D6" w:rsidRDefault="005D564E" w:rsidP="005D564E">
      <w:pPr>
        <w:rPr>
          <w:b/>
          <w:u w:val="single"/>
        </w:rPr>
      </w:pPr>
      <w:r w:rsidRPr="00AE3AD6">
        <w:rPr>
          <w:rFonts w:eastAsia="Times New Roman" w:cs="Times New Roman"/>
          <w:b/>
          <w:color w:val="000000"/>
          <w:szCs w:val="24"/>
          <w:u w:val="single"/>
        </w:rPr>
        <w:t>Net profit margin</w:t>
      </w:r>
      <w:r w:rsidRPr="00E751D6">
        <w:rPr>
          <w:rFonts w:eastAsia="Times New Roman" w:cs="Times New Roman"/>
          <w:b/>
          <w:color w:val="000000"/>
          <w:szCs w:val="24"/>
          <w:u w:val="single"/>
        </w:rPr>
        <w:t>:</w:t>
      </w:r>
    </w:p>
    <w:tbl>
      <w:tblPr>
        <w:tblStyle w:val="TableGrid"/>
        <w:tblW w:w="6480" w:type="dxa"/>
        <w:jc w:val="center"/>
        <w:shd w:val="clear" w:color="auto" w:fill="F2DBDB" w:themeFill="accent2" w:themeFillTint="33"/>
        <w:tblLook w:val="04A0" w:firstRow="1" w:lastRow="0" w:firstColumn="1" w:lastColumn="0" w:noHBand="0" w:noVBand="1"/>
      </w:tblPr>
      <w:tblGrid>
        <w:gridCol w:w="2328"/>
        <w:gridCol w:w="830"/>
        <w:gridCol w:w="832"/>
        <w:gridCol w:w="830"/>
        <w:gridCol w:w="830"/>
        <w:gridCol w:w="830"/>
      </w:tblGrid>
      <w:tr w:rsidR="005D564E" w:rsidRPr="00AE3AD6" w:rsidTr="001D7BD6">
        <w:trPr>
          <w:trHeight w:val="300"/>
          <w:jc w:val="center"/>
        </w:trPr>
        <w:tc>
          <w:tcPr>
            <w:tcW w:w="6480" w:type="dxa"/>
            <w:gridSpan w:val="6"/>
            <w:shd w:val="clear" w:color="auto" w:fill="F2DBDB" w:themeFill="accent2" w:themeFillTint="33"/>
            <w:noWrap/>
            <w:hideMark/>
          </w:tcPr>
          <w:p w:rsidR="005D564E" w:rsidRPr="00AE3AD6" w:rsidRDefault="005D564E" w:rsidP="001D7BD6">
            <w:pPr>
              <w:spacing w:line="240" w:lineRule="auto"/>
              <w:jc w:val="center"/>
              <w:rPr>
                <w:rFonts w:eastAsia="Times New Roman" w:cs="Times New Roman"/>
                <w:color w:val="000000"/>
                <w:szCs w:val="24"/>
              </w:rPr>
            </w:pPr>
            <w:r w:rsidRPr="00AE3AD6">
              <w:rPr>
                <w:rFonts w:eastAsia="Times New Roman" w:cs="Times New Roman"/>
                <w:color w:val="000000"/>
                <w:szCs w:val="24"/>
              </w:rPr>
              <w:t>Net profit margin</w:t>
            </w:r>
          </w:p>
        </w:tc>
      </w:tr>
      <w:tr w:rsidR="005D564E" w:rsidRPr="00AE3AD6" w:rsidTr="001D7BD6">
        <w:trPr>
          <w:trHeight w:val="300"/>
          <w:jc w:val="center"/>
        </w:trPr>
        <w:tc>
          <w:tcPr>
            <w:tcW w:w="2328" w:type="dxa"/>
            <w:shd w:val="clear" w:color="auto" w:fill="F2DBDB" w:themeFill="accent2" w:themeFillTint="33"/>
            <w:noWrap/>
            <w:hideMark/>
          </w:tcPr>
          <w:p w:rsidR="005D564E" w:rsidRPr="00AE3AD6" w:rsidRDefault="005D564E" w:rsidP="001D7BD6">
            <w:pPr>
              <w:spacing w:line="240" w:lineRule="auto"/>
              <w:jc w:val="left"/>
              <w:rPr>
                <w:rFonts w:eastAsia="Times New Roman" w:cs="Times New Roman"/>
                <w:color w:val="000000"/>
                <w:szCs w:val="24"/>
              </w:rPr>
            </w:pPr>
            <w:r w:rsidRPr="00AE3AD6">
              <w:rPr>
                <w:rFonts w:eastAsia="Times New Roman" w:cs="Times New Roman"/>
                <w:color w:val="000000"/>
                <w:szCs w:val="24"/>
              </w:rPr>
              <w:t> </w:t>
            </w:r>
          </w:p>
        </w:tc>
        <w:tc>
          <w:tcPr>
            <w:tcW w:w="830" w:type="dxa"/>
            <w:shd w:val="clear" w:color="auto" w:fill="F2DBDB" w:themeFill="accent2" w:themeFillTint="33"/>
            <w:noWrap/>
            <w:hideMark/>
          </w:tcPr>
          <w:p w:rsidR="005D564E" w:rsidRPr="00AE3AD6" w:rsidRDefault="005D564E" w:rsidP="001D7BD6">
            <w:pPr>
              <w:spacing w:line="240" w:lineRule="auto"/>
              <w:jc w:val="right"/>
              <w:rPr>
                <w:rFonts w:eastAsia="Times New Roman" w:cs="Times New Roman"/>
                <w:color w:val="000000"/>
                <w:szCs w:val="24"/>
              </w:rPr>
            </w:pPr>
            <w:r w:rsidRPr="00AE3AD6">
              <w:rPr>
                <w:rFonts w:eastAsia="Times New Roman" w:cs="Times New Roman"/>
                <w:color w:val="000000"/>
                <w:szCs w:val="24"/>
              </w:rPr>
              <w:t>2012</w:t>
            </w:r>
          </w:p>
        </w:tc>
        <w:tc>
          <w:tcPr>
            <w:tcW w:w="832" w:type="dxa"/>
            <w:shd w:val="clear" w:color="auto" w:fill="F2DBDB" w:themeFill="accent2" w:themeFillTint="33"/>
            <w:noWrap/>
            <w:hideMark/>
          </w:tcPr>
          <w:p w:rsidR="005D564E" w:rsidRPr="00AE3AD6" w:rsidRDefault="005D564E" w:rsidP="001D7BD6">
            <w:pPr>
              <w:spacing w:line="240" w:lineRule="auto"/>
              <w:jc w:val="right"/>
              <w:rPr>
                <w:rFonts w:eastAsia="Times New Roman" w:cs="Times New Roman"/>
                <w:color w:val="000000"/>
                <w:szCs w:val="24"/>
              </w:rPr>
            </w:pPr>
            <w:r w:rsidRPr="00AE3AD6">
              <w:rPr>
                <w:rFonts w:eastAsia="Times New Roman" w:cs="Times New Roman"/>
                <w:color w:val="000000"/>
                <w:szCs w:val="24"/>
              </w:rPr>
              <w:t>2013</w:t>
            </w:r>
          </w:p>
        </w:tc>
        <w:tc>
          <w:tcPr>
            <w:tcW w:w="830" w:type="dxa"/>
            <w:shd w:val="clear" w:color="auto" w:fill="F2DBDB" w:themeFill="accent2" w:themeFillTint="33"/>
            <w:noWrap/>
            <w:hideMark/>
          </w:tcPr>
          <w:p w:rsidR="005D564E" w:rsidRPr="00AE3AD6" w:rsidRDefault="005D564E" w:rsidP="001D7BD6">
            <w:pPr>
              <w:spacing w:line="240" w:lineRule="auto"/>
              <w:jc w:val="right"/>
              <w:rPr>
                <w:rFonts w:eastAsia="Times New Roman" w:cs="Times New Roman"/>
                <w:color w:val="000000"/>
                <w:szCs w:val="24"/>
              </w:rPr>
            </w:pPr>
            <w:r w:rsidRPr="00AE3AD6">
              <w:rPr>
                <w:rFonts w:eastAsia="Times New Roman" w:cs="Times New Roman"/>
                <w:color w:val="000000"/>
                <w:szCs w:val="24"/>
              </w:rPr>
              <w:t>2014</w:t>
            </w:r>
          </w:p>
        </w:tc>
        <w:tc>
          <w:tcPr>
            <w:tcW w:w="830" w:type="dxa"/>
            <w:shd w:val="clear" w:color="auto" w:fill="F2DBDB" w:themeFill="accent2" w:themeFillTint="33"/>
            <w:noWrap/>
            <w:hideMark/>
          </w:tcPr>
          <w:p w:rsidR="005D564E" w:rsidRPr="00AE3AD6" w:rsidRDefault="005D564E" w:rsidP="001D7BD6">
            <w:pPr>
              <w:spacing w:line="240" w:lineRule="auto"/>
              <w:jc w:val="right"/>
              <w:rPr>
                <w:rFonts w:eastAsia="Times New Roman" w:cs="Times New Roman"/>
                <w:color w:val="000000"/>
                <w:szCs w:val="24"/>
              </w:rPr>
            </w:pPr>
            <w:r w:rsidRPr="00AE3AD6">
              <w:rPr>
                <w:rFonts w:eastAsia="Times New Roman" w:cs="Times New Roman"/>
                <w:color w:val="000000"/>
                <w:szCs w:val="24"/>
              </w:rPr>
              <w:t>2015</w:t>
            </w:r>
          </w:p>
        </w:tc>
        <w:tc>
          <w:tcPr>
            <w:tcW w:w="830" w:type="dxa"/>
            <w:shd w:val="clear" w:color="auto" w:fill="F2DBDB" w:themeFill="accent2" w:themeFillTint="33"/>
            <w:noWrap/>
            <w:hideMark/>
          </w:tcPr>
          <w:p w:rsidR="005D564E" w:rsidRPr="00AE3AD6" w:rsidRDefault="005D564E" w:rsidP="001D7BD6">
            <w:pPr>
              <w:spacing w:line="240" w:lineRule="auto"/>
              <w:jc w:val="right"/>
              <w:rPr>
                <w:rFonts w:eastAsia="Times New Roman" w:cs="Times New Roman"/>
                <w:color w:val="000000"/>
                <w:szCs w:val="24"/>
              </w:rPr>
            </w:pPr>
            <w:r w:rsidRPr="00AE3AD6">
              <w:rPr>
                <w:rFonts w:eastAsia="Times New Roman" w:cs="Times New Roman"/>
                <w:color w:val="000000"/>
                <w:szCs w:val="24"/>
              </w:rPr>
              <w:t>2016</w:t>
            </w:r>
          </w:p>
        </w:tc>
      </w:tr>
      <w:tr w:rsidR="005D564E" w:rsidRPr="00AE3AD6" w:rsidTr="001D7BD6">
        <w:trPr>
          <w:trHeight w:val="300"/>
          <w:jc w:val="center"/>
        </w:trPr>
        <w:tc>
          <w:tcPr>
            <w:tcW w:w="2328" w:type="dxa"/>
            <w:shd w:val="clear" w:color="auto" w:fill="F2DBDB" w:themeFill="accent2" w:themeFillTint="33"/>
            <w:hideMark/>
          </w:tcPr>
          <w:p w:rsidR="005D564E" w:rsidRPr="00AE3AD6" w:rsidRDefault="005D564E" w:rsidP="001D7BD6">
            <w:pPr>
              <w:spacing w:line="240" w:lineRule="auto"/>
              <w:jc w:val="left"/>
              <w:rPr>
                <w:rFonts w:eastAsia="Times New Roman" w:cs="Times New Roman"/>
                <w:color w:val="000000"/>
                <w:szCs w:val="24"/>
              </w:rPr>
            </w:pPr>
            <w:r w:rsidRPr="00AE3AD6">
              <w:rPr>
                <w:rFonts w:eastAsia="Times New Roman" w:cs="Times New Roman"/>
                <w:color w:val="000000"/>
                <w:szCs w:val="24"/>
              </w:rPr>
              <w:t>BT</w:t>
            </w:r>
          </w:p>
        </w:tc>
        <w:tc>
          <w:tcPr>
            <w:tcW w:w="830" w:type="dxa"/>
            <w:shd w:val="clear" w:color="auto" w:fill="F2DBDB" w:themeFill="accent2" w:themeFillTint="33"/>
            <w:noWrap/>
            <w:hideMark/>
          </w:tcPr>
          <w:p w:rsidR="005D564E" w:rsidRPr="00AE3AD6" w:rsidRDefault="005D564E" w:rsidP="001D7BD6">
            <w:pPr>
              <w:spacing w:line="240" w:lineRule="auto"/>
              <w:jc w:val="right"/>
              <w:rPr>
                <w:rFonts w:eastAsia="Times New Roman" w:cs="Times New Roman"/>
                <w:color w:val="000000"/>
                <w:szCs w:val="24"/>
              </w:rPr>
            </w:pPr>
            <w:r w:rsidRPr="00AE3AD6">
              <w:rPr>
                <w:rFonts w:eastAsia="Times New Roman" w:cs="Times New Roman"/>
                <w:color w:val="000000"/>
                <w:szCs w:val="24"/>
              </w:rPr>
              <w:t>10%</w:t>
            </w:r>
          </w:p>
        </w:tc>
        <w:tc>
          <w:tcPr>
            <w:tcW w:w="832" w:type="dxa"/>
            <w:shd w:val="clear" w:color="auto" w:fill="F2DBDB" w:themeFill="accent2" w:themeFillTint="33"/>
            <w:noWrap/>
            <w:hideMark/>
          </w:tcPr>
          <w:p w:rsidR="005D564E" w:rsidRPr="00AE3AD6" w:rsidRDefault="005D564E" w:rsidP="001D7BD6">
            <w:pPr>
              <w:spacing w:line="240" w:lineRule="auto"/>
              <w:jc w:val="right"/>
              <w:rPr>
                <w:rFonts w:eastAsia="Times New Roman" w:cs="Times New Roman"/>
                <w:color w:val="000000"/>
                <w:szCs w:val="24"/>
              </w:rPr>
            </w:pPr>
            <w:r w:rsidRPr="00AE3AD6">
              <w:rPr>
                <w:rFonts w:eastAsia="Times New Roman" w:cs="Times New Roman"/>
                <w:color w:val="000000"/>
                <w:szCs w:val="24"/>
              </w:rPr>
              <w:t>12%</w:t>
            </w:r>
          </w:p>
        </w:tc>
        <w:tc>
          <w:tcPr>
            <w:tcW w:w="830" w:type="dxa"/>
            <w:shd w:val="clear" w:color="auto" w:fill="F2DBDB" w:themeFill="accent2" w:themeFillTint="33"/>
            <w:noWrap/>
            <w:hideMark/>
          </w:tcPr>
          <w:p w:rsidR="005D564E" w:rsidRPr="00AE3AD6" w:rsidRDefault="005D564E" w:rsidP="001D7BD6">
            <w:pPr>
              <w:spacing w:line="240" w:lineRule="auto"/>
              <w:jc w:val="right"/>
              <w:rPr>
                <w:rFonts w:eastAsia="Times New Roman" w:cs="Times New Roman"/>
                <w:color w:val="000000"/>
                <w:szCs w:val="24"/>
              </w:rPr>
            </w:pPr>
            <w:r w:rsidRPr="00AE3AD6">
              <w:rPr>
                <w:rFonts w:eastAsia="Times New Roman" w:cs="Times New Roman"/>
                <w:color w:val="000000"/>
                <w:szCs w:val="24"/>
              </w:rPr>
              <w:t>12%</w:t>
            </w:r>
          </w:p>
        </w:tc>
        <w:tc>
          <w:tcPr>
            <w:tcW w:w="830" w:type="dxa"/>
            <w:shd w:val="clear" w:color="auto" w:fill="F2DBDB" w:themeFill="accent2" w:themeFillTint="33"/>
            <w:noWrap/>
            <w:hideMark/>
          </w:tcPr>
          <w:p w:rsidR="005D564E" w:rsidRPr="00AE3AD6" w:rsidRDefault="005D564E" w:rsidP="001D7BD6">
            <w:pPr>
              <w:spacing w:line="240" w:lineRule="auto"/>
              <w:jc w:val="right"/>
              <w:rPr>
                <w:rFonts w:eastAsia="Times New Roman" w:cs="Times New Roman"/>
                <w:color w:val="000000"/>
                <w:szCs w:val="24"/>
              </w:rPr>
            </w:pPr>
            <w:r w:rsidRPr="00AE3AD6">
              <w:rPr>
                <w:rFonts w:eastAsia="Times New Roman" w:cs="Times New Roman"/>
                <w:color w:val="000000"/>
                <w:szCs w:val="24"/>
              </w:rPr>
              <w:t>13%</w:t>
            </w:r>
          </w:p>
        </w:tc>
        <w:tc>
          <w:tcPr>
            <w:tcW w:w="830" w:type="dxa"/>
            <w:shd w:val="clear" w:color="auto" w:fill="F2DBDB" w:themeFill="accent2" w:themeFillTint="33"/>
            <w:noWrap/>
            <w:hideMark/>
          </w:tcPr>
          <w:p w:rsidR="005D564E" w:rsidRPr="00AE3AD6" w:rsidRDefault="005D564E" w:rsidP="001D7BD6">
            <w:pPr>
              <w:spacing w:line="240" w:lineRule="auto"/>
              <w:jc w:val="right"/>
              <w:rPr>
                <w:rFonts w:eastAsia="Times New Roman" w:cs="Times New Roman"/>
                <w:color w:val="000000"/>
                <w:szCs w:val="24"/>
              </w:rPr>
            </w:pPr>
            <w:r w:rsidRPr="00AE3AD6">
              <w:rPr>
                <w:rFonts w:eastAsia="Times New Roman" w:cs="Times New Roman"/>
                <w:color w:val="000000"/>
                <w:szCs w:val="24"/>
              </w:rPr>
              <w:t>15%</w:t>
            </w:r>
          </w:p>
        </w:tc>
      </w:tr>
      <w:tr w:rsidR="005D564E" w:rsidRPr="00AE3AD6" w:rsidTr="001D7BD6">
        <w:trPr>
          <w:trHeight w:val="300"/>
          <w:jc w:val="center"/>
        </w:trPr>
        <w:tc>
          <w:tcPr>
            <w:tcW w:w="2328" w:type="dxa"/>
            <w:shd w:val="clear" w:color="auto" w:fill="F2DBDB" w:themeFill="accent2" w:themeFillTint="33"/>
            <w:noWrap/>
            <w:hideMark/>
          </w:tcPr>
          <w:p w:rsidR="005D564E" w:rsidRPr="00AE3AD6" w:rsidRDefault="005D564E" w:rsidP="001D7BD6">
            <w:pPr>
              <w:spacing w:line="240" w:lineRule="auto"/>
              <w:jc w:val="left"/>
              <w:rPr>
                <w:rFonts w:eastAsia="Times New Roman" w:cs="Times New Roman"/>
                <w:color w:val="000000"/>
                <w:szCs w:val="24"/>
              </w:rPr>
            </w:pPr>
            <w:r w:rsidRPr="00AE3AD6">
              <w:rPr>
                <w:rFonts w:eastAsia="Times New Roman" w:cs="Times New Roman"/>
                <w:color w:val="000000"/>
                <w:szCs w:val="24"/>
              </w:rPr>
              <w:t>Vodafone</w:t>
            </w:r>
          </w:p>
        </w:tc>
        <w:tc>
          <w:tcPr>
            <w:tcW w:w="830" w:type="dxa"/>
            <w:shd w:val="clear" w:color="auto" w:fill="F2DBDB" w:themeFill="accent2" w:themeFillTint="33"/>
            <w:noWrap/>
            <w:hideMark/>
          </w:tcPr>
          <w:p w:rsidR="005D564E" w:rsidRPr="00AE3AD6" w:rsidRDefault="005D564E" w:rsidP="001D7BD6">
            <w:pPr>
              <w:spacing w:line="240" w:lineRule="auto"/>
              <w:jc w:val="right"/>
              <w:rPr>
                <w:rFonts w:eastAsia="Times New Roman" w:cs="Times New Roman"/>
                <w:color w:val="000000"/>
                <w:szCs w:val="24"/>
              </w:rPr>
            </w:pPr>
            <w:r w:rsidRPr="00AE3AD6">
              <w:rPr>
                <w:rFonts w:eastAsia="Times New Roman" w:cs="Times New Roman"/>
                <w:color w:val="000000"/>
                <w:szCs w:val="24"/>
              </w:rPr>
              <w:t>9%</w:t>
            </w:r>
          </w:p>
        </w:tc>
        <w:tc>
          <w:tcPr>
            <w:tcW w:w="832" w:type="dxa"/>
            <w:shd w:val="clear" w:color="auto" w:fill="F2DBDB" w:themeFill="accent2" w:themeFillTint="33"/>
            <w:noWrap/>
            <w:hideMark/>
          </w:tcPr>
          <w:p w:rsidR="005D564E" w:rsidRPr="00AE3AD6" w:rsidRDefault="005D564E" w:rsidP="001D7BD6">
            <w:pPr>
              <w:spacing w:line="240" w:lineRule="auto"/>
              <w:jc w:val="right"/>
              <w:rPr>
                <w:rFonts w:eastAsia="Times New Roman" w:cs="Times New Roman"/>
                <w:color w:val="000000"/>
                <w:szCs w:val="24"/>
              </w:rPr>
            </w:pPr>
            <w:r w:rsidRPr="00AE3AD6">
              <w:rPr>
                <w:rFonts w:eastAsia="Times New Roman" w:cs="Times New Roman"/>
                <w:color w:val="000000"/>
                <w:szCs w:val="24"/>
              </w:rPr>
              <w:t>-10%</w:t>
            </w:r>
          </w:p>
        </w:tc>
        <w:tc>
          <w:tcPr>
            <w:tcW w:w="830" w:type="dxa"/>
            <w:shd w:val="clear" w:color="auto" w:fill="F2DBDB" w:themeFill="accent2" w:themeFillTint="33"/>
            <w:noWrap/>
            <w:hideMark/>
          </w:tcPr>
          <w:p w:rsidR="005D564E" w:rsidRPr="00AE3AD6" w:rsidRDefault="005D564E" w:rsidP="001D7BD6">
            <w:pPr>
              <w:spacing w:line="240" w:lineRule="auto"/>
              <w:jc w:val="right"/>
              <w:rPr>
                <w:rFonts w:eastAsia="Times New Roman" w:cs="Times New Roman"/>
                <w:color w:val="000000"/>
                <w:szCs w:val="24"/>
              </w:rPr>
            </w:pPr>
            <w:r w:rsidRPr="00AE3AD6">
              <w:rPr>
                <w:rFonts w:eastAsia="Times New Roman" w:cs="Times New Roman"/>
                <w:color w:val="000000"/>
                <w:szCs w:val="24"/>
              </w:rPr>
              <w:t>29%</w:t>
            </w:r>
          </w:p>
        </w:tc>
        <w:tc>
          <w:tcPr>
            <w:tcW w:w="830" w:type="dxa"/>
            <w:shd w:val="clear" w:color="auto" w:fill="F2DBDB" w:themeFill="accent2" w:themeFillTint="33"/>
            <w:noWrap/>
            <w:hideMark/>
          </w:tcPr>
          <w:p w:rsidR="005D564E" w:rsidRPr="00AE3AD6" w:rsidRDefault="005D564E" w:rsidP="001D7BD6">
            <w:pPr>
              <w:spacing w:line="240" w:lineRule="auto"/>
              <w:jc w:val="right"/>
              <w:rPr>
                <w:rFonts w:eastAsia="Times New Roman" w:cs="Times New Roman"/>
                <w:color w:val="000000"/>
                <w:szCs w:val="24"/>
              </w:rPr>
            </w:pPr>
            <w:r w:rsidRPr="00AE3AD6">
              <w:rPr>
                <w:rFonts w:eastAsia="Times New Roman" w:cs="Times New Roman"/>
                <w:color w:val="000000"/>
                <w:szCs w:val="24"/>
              </w:rPr>
              <w:t>14%</w:t>
            </w:r>
          </w:p>
        </w:tc>
        <w:tc>
          <w:tcPr>
            <w:tcW w:w="830" w:type="dxa"/>
            <w:shd w:val="clear" w:color="auto" w:fill="F2DBDB" w:themeFill="accent2" w:themeFillTint="33"/>
            <w:noWrap/>
            <w:hideMark/>
          </w:tcPr>
          <w:p w:rsidR="005D564E" w:rsidRPr="00AE3AD6" w:rsidRDefault="005D564E" w:rsidP="001D7BD6">
            <w:pPr>
              <w:spacing w:line="240" w:lineRule="auto"/>
              <w:jc w:val="right"/>
              <w:rPr>
                <w:rFonts w:eastAsia="Times New Roman" w:cs="Times New Roman"/>
                <w:color w:val="000000"/>
                <w:szCs w:val="24"/>
              </w:rPr>
            </w:pPr>
            <w:r w:rsidRPr="00AE3AD6">
              <w:rPr>
                <w:rFonts w:eastAsia="Times New Roman" w:cs="Times New Roman"/>
                <w:color w:val="000000"/>
                <w:szCs w:val="24"/>
              </w:rPr>
              <w:t>-9%</w:t>
            </w:r>
          </w:p>
        </w:tc>
      </w:tr>
    </w:tbl>
    <w:p w:rsidR="005D564E" w:rsidRDefault="005D564E" w:rsidP="005D564E"/>
    <w:p w:rsidR="005D564E" w:rsidRDefault="005D564E" w:rsidP="005D564E">
      <w:pPr>
        <w:jc w:val="center"/>
      </w:pPr>
      <w:r w:rsidRPr="00206BBF">
        <w:rPr>
          <w:noProof/>
          <w:lang w:val="en-IN" w:eastAsia="en-IN"/>
        </w:rPr>
        <w:lastRenderedPageBreak/>
        <w:drawing>
          <wp:inline distT="0" distB="0" distL="0" distR="0">
            <wp:extent cx="3114040" cy="1975485"/>
            <wp:effectExtent l="19050" t="0" r="0" b="0"/>
            <wp:docPr id="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srcRect/>
                    <a:stretch>
                      <a:fillRect/>
                    </a:stretch>
                  </pic:blipFill>
                  <pic:spPr bwMode="auto">
                    <a:xfrm>
                      <a:off x="0" y="0"/>
                      <a:ext cx="3114040" cy="1975485"/>
                    </a:xfrm>
                    <a:prstGeom prst="rect">
                      <a:avLst/>
                    </a:prstGeom>
                    <a:noFill/>
                    <a:ln w="9525">
                      <a:noFill/>
                      <a:miter lim="800000"/>
                      <a:headEnd/>
                      <a:tailEnd/>
                    </a:ln>
                  </pic:spPr>
                </pic:pic>
              </a:graphicData>
            </a:graphic>
          </wp:inline>
        </w:drawing>
      </w:r>
    </w:p>
    <w:p w:rsidR="005D564E" w:rsidRDefault="005D564E" w:rsidP="005D564E">
      <w:r>
        <w:t>Looking at the ratios it can be seen that the net profit margin ratios of BT is more stable where of that of Vodafone ins quite erratic (as the ratio is negative in 2013 &amp; 2016, also registers a pike in 2016) in nature as the Vodafone is trying hard to stabilize their service earnings from the different markets of the world and this ratio of Vodafone is in tandem with the operating profit margin ratio</w:t>
      </w:r>
      <w:r w:rsidRPr="00773C72">
        <w:t xml:space="preserve"> (Vodafone.com, 2012)</w:t>
      </w:r>
      <w:r>
        <w:t>.</w:t>
      </w:r>
    </w:p>
    <w:p w:rsidR="005D564E" w:rsidRPr="00325F42" w:rsidRDefault="005D564E" w:rsidP="005D564E">
      <w:pPr>
        <w:rPr>
          <w:b/>
        </w:rPr>
      </w:pPr>
      <w:r w:rsidRPr="00325F42">
        <w:rPr>
          <w:b/>
        </w:rPr>
        <w:t>Current Ratio:</w:t>
      </w:r>
    </w:p>
    <w:tbl>
      <w:tblPr>
        <w:tblStyle w:val="LightShading-Accent4"/>
        <w:tblW w:w="6482" w:type="dxa"/>
        <w:jc w:val="center"/>
        <w:tblLook w:val="04A0" w:firstRow="1" w:lastRow="0" w:firstColumn="1" w:lastColumn="0" w:noHBand="0" w:noVBand="1"/>
      </w:tblPr>
      <w:tblGrid>
        <w:gridCol w:w="2327"/>
        <w:gridCol w:w="831"/>
        <w:gridCol w:w="831"/>
        <w:gridCol w:w="831"/>
        <w:gridCol w:w="831"/>
        <w:gridCol w:w="831"/>
      </w:tblGrid>
      <w:tr w:rsidR="005D564E" w:rsidRPr="00206BBF" w:rsidTr="001D7BD6">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6482" w:type="dxa"/>
            <w:gridSpan w:val="6"/>
            <w:noWrap/>
            <w:hideMark/>
          </w:tcPr>
          <w:p w:rsidR="005D564E" w:rsidRPr="00206BBF" w:rsidRDefault="005D564E" w:rsidP="001D7BD6">
            <w:pPr>
              <w:spacing w:line="240" w:lineRule="auto"/>
              <w:jc w:val="center"/>
              <w:rPr>
                <w:rFonts w:eastAsia="Times New Roman" w:cs="Times New Roman"/>
                <w:color w:val="000000"/>
              </w:rPr>
            </w:pPr>
            <w:r w:rsidRPr="00206BBF">
              <w:rPr>
                <w:rFonts w:eastAsia="Times New Roman" w:cs="Times New Roman"/>
                <w:color w:val="000000"/>
              </w:rPr>
              <w:t>Current Ratio</w:t>
            </w:r>
          </w:p>
        </w:tc>
      </w:tr>
      <w:tr w:rsidR="005D564E" w:rsidRPr="00206BBF" w:rsidTr="001D7BD6">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327" w:type="dxa"/>
            <w:noWrap/>
            <w:hideMark/>
          </w:tcPr>
          <w:p w:rsidR="005D564E" w:rsidRPr="00206BBF" w:rsidRDefault="005D564E" w:rsidP="001D7BD6">
            <w:pPr>
              <w:spacing w:line="240" w:lineRule="auto"/>
              <w:jc w:val="left"/>
              <w:rPr>
                <w:rFonts w:eastAsia="Times New Roman" w:cs="Times New Roman"/>
                <w:color w:val="000000"/>
              </w:rPr>
            </w:pPr>
            <w:r w:rsidRPr="00206BBF">
              <w:rPr>
                <w:rFonts w:eastAsia="Times New Roman" w:cs="Times New Roman"/>
                <w:color w:val="000000"/>
              </w:rPr>
              <w:t> </w:t>
            </w:r>
          </w:p>
        </w:tc>
        <w:tc>
          <w:tcPr>
            <w:tcW w:w="831" w:type="dxa"/>
            <w:noWrap/>
            <w:hideMark/>
          </w:tcPr>
          <w:p w:rsidR="005D564E" w:rsidRPr="00206BBF" w:rsidRDefault="005D564E" w:rsidP="001D7BD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206BBF">
              <w:rPr>
                <w:rFonts w:eastAsia="Times New Roman" w:cs="Times New Roman"/>
                <w:color w:val="000000"/>
              </w:rPr>
              <w:t>2012</w:t>
            </w:r>
          </w:p>
        </w:tc>
        <w:tc>
          <w:tcPr>
            <w:tcW w:w="831" w:type="dxa"/>
            <w:noWrap/>
            <w:hideMark/>
          </w:tcPr>
          <w:p w:rsidR="005D564E" w:rsidRPr="00206BBF" w:rsidRDefault="005D564E" w:rsidP="001D7BD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206BBF">
              <w:rPr>
                <w:rFonts w:eastAsia="Times New Roman" w:cs="Times New Roman"/>
                <w:color w:val="000000"/>
              </w:rPr>
              <w:t>2013</w:t>
            </w:r>
          </w:p>
        </w:tc>
        <w:tc>
          <w:tcPr>
            <w:tcW w:w="831" w:type="dxa"/>
            <w:noWrap/>
            <w:hideMark/>
          </w:tcPr>
          <w:p w:rsidR="005D564E" w:rsidRPr="00206BBF" w:rsidRDefault="005D564E" w:rsidP="001D7BD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206BBF">
              <w:rPr>
                <w:rFonts w:eastAsia="Times New Roman" w:cs="Times New Roman"/>
                <w:color w:val="000000"/>
              </w:rPr>
              <w:t>2014</w:t>
            </w:r>
          </w:p>
        </w:tc>
        <w:tc>
          <w:tcPr>
            <w:tcW w:w="831" w:type="dxa"/>
            <w:noWrap/>
            <w:hideMark/>
          </w:tcPr>
          <w:p w:rsidR="005D564E" w:rsidRPr="00206BBF" w:rsidRDefault="005D564E" w:rsidP="001D7BD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206BBF">
              <w:rPr>
                <w:rFonts w:eastAsia="Times New Roman" w:cs="Times New Roman"/>
                <w:color w:val="000000"/>
              </w:rPr>
              <w:t>2015</w:t>
            </w:r>
          </w:p>
        </w:tc>
        <w:tc>
          <w:tcPr>
            <w:tcW w:w="831" w:type="dxa"/>
            <w:noWrap/>
            <w:hideMark/>
          </w:tcPr>
          <w:p w:rsidR="005D564E" w:rsidRPr="00206BBF" w:rsidRDefault="005D564E" w:rsidP="001D7BD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206BBF">
              <w:rPr>
                <w:rFonts w:eastAsia="Times New Roman" w:cs="Times New Roman"/>
                <w:color w:val="000000"/>
              </w:rPr>
              <w:t>2016</w:t>
            </w:r>
          </w:p>
        </w:tc>
      </w:tr>
      <w:tr w:rsidR="005D564E" w:rsidRPr="00206BBF" w:rsidTr="001D7BD6">
        <w:trPr>
          <w:trHeight w:val="300"/>
          <w:jc w:val="center"/>
        </w:trPr>
        <w:tc>
          <w:tcPr>
            <w:cnfStyle w:val="001000000000" w:firstRow="0" w:lastRow="0" w:firstColumn="1" w:lastColumn="0" w:oddVBand="0" w:evenVBand="0" w:oddHBand="0" w:evenHBand="0" w:firstRowFirstColumn="0" w:firstRowLastColumn="0" w:lastRowFirstColumn="0" w:lastRowLastColumn="0"/>
            <w:tcW w:w="2327" w:type="dxa"/>
            <w:hideMark/>
          </w:tcPr>
          <w:p w:rsidR="005D564E" w:rsidRPr="00206BBF" w:rsidRDefault="005D564E" w:rsidP="001D7BD6">
            <w:pPr>
              <w:spacing w:line="240" w:lineRule="auto"/>
              <w:jc w:val="left"/>
              <w:rPr>
                <w:rFonts w:eastAsia="Times New Roman" w:cs="Times New Roman"/>
                <w:color w:val="000000"/>
              </w:rPr>
            </w:pPr>
            <w:r w:rsidRPr="00206BBF">
              <w:rPr>
                <w:rFonts w:eastAsia="Times New Roman" w:cs="Times New Roman"/>
                <w:color w:val="000000"/>
              </w:rPr>
              <w:t>BT</w:t>
            </w:r>
          </w:p>
        </w:tc>
        <w:tc>
          <w:tcPr>
            <w:tcW w:w="831" w:type="dxa"/>
            <w:noWrap/>
            <w:hideMark/>
          </w:tcPr>
          <w:p w:rsidR="005D564E" w:rsidRPr="00206BBF" w:rsidRDefault="005D564E" w:rsidP="001D7BD6">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rPr>
            </w:pPr>
            <w:r w:rsidRPr="00206BBF">
              <w:rPr>
                <w:rFonts w:eastAsia="Times New Roman" w:cs="Times New Roman"/>
                <w:color w:val="000000"/>
              </w:rPr>
              <w:t>0.49</w:t>
            </w:r>
          </w:p>
        </w:tc>
        <w:tc>
          <w:tcPr>
            <w:tcW w:w="831" w:type="dxa"/>
            <w:noWrap/>
            <w:hideMark/>
          </w:tcPr>
          <w:p w:rsidR="005D564E" w:rsidRPr="00206BBF" w:rsidRDefault="005D564E" w:rsidP="001D7BD6">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rPr>
            </w:pPr>
            <w:r w:rsidRPr="00206BBF">
              <w:rPr>
                <w:rFonts w:eastAsia="Times New Roman" w:cs="Times New Roman"/>
                <w:color w:val="000000"/>
              </w:rPr>
              <w:t>0.71</w:t>
            </w:r>
          </w:p>
        </w:tc>
        <w:tc>
          <w:tcPr>
            <w:tcW w:w="831" w:type="dxa"/>
            <w:noWrap/>
            <w:hideMark/>
          </w:tcPr>
          <w:p w:rsidR="005D564E" w:rsidRPr="00206BBF" w:rsidRDefault="005D564E" w:rsidP="001D7BD6">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rPr>
            </w:pPr>
            <w:r w:rsidRPr="00206BBF">
              <w:rPr>
                <w:rFonts w:eastAsia="Times New Roman" w:cs="Times New Roman"/>
                <w:color w:val="000000"/>
              </w:rPr>
              <w:t>0.84</w:t>
            </w:r>
          </w:p>
        </w:tc>
        <w:tc>
          <w:tcPr>
            <w:tcW w:w="831" w:type="dxa"/>
            <w:noWrap/>
            <w:hideMark/>
          </w:tcPr>
          <w:p w:rsidR="005D564E" w:rsidRPr="00206BBF" w:rsidRDefault="005D564E" w:rsidP="001D7BD6">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rPr>
            </w:pPr>
            <w:r w:rsidRPr="00206BBF">
              <w:rPr>
                <w:rFonts w:eastAsia="Times New Roman" w:cs="Times New Roman"/>
                <w:color w:val="000000"/>
              </w:rPr>
              <w:t>0.97</w:t>
            </w:r>
          </w:p>
        </w:tc>
        <w:tc>
          <w:tcPr>
            <w:tcW w:w="831" w:type="dxa"/>
            <w:noWrap/>
            <w:hideMark/>
          </w:tcPr>
          <w:p w:rsidR="005D564E" w:rsidRPr="00206BBF" w:rsidRDefault="005D564E" w:rsidP="001D7BD6">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rPr>
            </w:pPr>
            <w:r w:rsidRPr="00206BBF">
              <w:rPr>
                <w:rFonts w:eastAsia="Times New Roman" w:cs="Times New Roman"/>
                <w:color w:val="000000"/>
              </w:rPr>
              <w:t>0.77</w:t>
            </w:r>
          </w:p>
        </w:tc>
      </w:tr>
      <w:tr w:rsidR="005D564E" w:rsidRPr="00206BBF" w:rsidTr="001D7BD6">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327" w:type="dxa"/>
            <w:noWrap/>
            <w:hideMark/>
          </w:tcPr>
          <w:p w:rsidR="005D564E" w:rsidRPr="00206BBF" w:rsidRDefault="005D564E" w:rsidP="001D7BD6">
            <w:pPr>
              <w:spacing w:line="240" w:lineRule="auto"/>
              <w:jc w:val="left"/>
              <w:rPr>
                <w:rFonts w:eastAsia="Times New Roman" w:cs="Times New Roman"/>
                <w:color w:val="000000"/>
              </w:rPr>
            </w:pPr>
            <w:r w:rsidRPr="00206BBF">
              <w:rPr>
                <w:rFonts w:eastAsia="Times New Roman" w:cs="Times New Roman"/>
                <w:color w:val="000000"/>
              </w:rPr>
              <w:t>Vodafone</w:t>
            </w:r>
          </w:p>
        </w:tc>
        <w:tc>
          <w:tcPr>
            <w:tcW w:w="831" w:type="dxa"/>
            <w:noWrap/>
            <w:hideMark/>
          </w:tcPr>
          <w:p w:rsidR="005D564E" w:rsidRPr="00206BBF" w:rsidRDefault="005D564E" w:rsidP="001D7BD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206BBF">
              <w:rPr>
                <w:rFonts w:eastAsia="Times New Roman" w:cs="Times New Roman"/>
                <w:color w:val="000000"/>
              </w:rPr>
              <w:t>0.88</w:t>
            </w:r>
          </w:p>
        </w:tc>
        <w:tc>
          <w:tcPr>
            <w:tcW w:w="831" w:type="dxa"/>
            <w:noWrap/>
            <w:hideMark/>
          </w:tcPr>
          <w:p w:rsidR="005D564E" w:rsidRPr="00206BBF" w:rsidRDefault="005D564E" w:rsidP="001D7BD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206BBF">
              <w:rPr>
                <w:rFonts w:eastAsia="Times New Roman" w:cs="Times New Roman"/>
                <w:color w:val="000000"/>
              </w:rPr>
              <w:t>0.76</w:t>
            </w:r>
          </w:p>
        </w:tc>
        <w:tc>
          <w:tcPr>
            <w:tcW w:w="831" w:type="dxa"/>
            <w:noWrap/>
            <w:hideMark/>
          </w:tcPr>
          <w:p w:rsidR="005D564E" w:rsidRPr="00206BBF" w:rsidRDefault="005D564E" w:rsidP="001D7BD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206BBF">
              <w:rPr>
                <w:rFonts w:eastAsia="Times New Roman" w:cs="Times New Roman"/>
                <w:color w:val="000000"/>
              </w:rPr>
              <w:t>0.99</w:t>
            </w:r>
          </w:p>
        </w:tc>
        <w:tc>
          <w:tcPr>
            <w:tcW w:w="831" w:type="dxa"/>
            <w:noWrap/>
            <w:hideMark/>
          </w:tcPr>
          <w:p w:rsidR="005D564E" w:rsidRPr="00206BBF" w:rsidRDefault="005D564E" w:rsidP="001D7BD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206BBF">
              <w:rPr>
                <w:rFonts w:eastAsia="Times New Roman" w:cs="Times New Roman"/>
                <w:color w:val="000000"/>
              </w:rPr>
              <w:t>0.69</w:t>
            </w:r>
          </w:p>
        </w:tc>
        <w:tc>
          <w:tcPr>
            <w:tcW w:w="831" w:type="dxa"/>
            <w:noWrap/>
            <w:hideMark/>
          </w:tcPr>
          <w:p w:rsidR="005D564E" w:rsidRPr="00206BBF" w:rsidRDefault="005D564E" w:rsidP="001D7BD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206BBF">
              <w:rPr>
                <w:rFonts w:eastAsia="Times New Roman" w:cs="Times New Roman"/>
                <w:color w:val="000000"/>
              </w:rPr>
              <w:t>0.84</w:t>
            </w:r>
          </w:p>
        </w:tc>
      </w:tr>
    </w:tbl>
    <w:p w:rsidR="005D564E" w:rsidRDefault="005D564E" w:rsidP="005D564E">
      <w:pPr>
        <w:jc w:val="center"/>
      </w:pPr>
    </w:p>
    <w:p w:rsidR="005D564E" w:rsidRDefault="005D564E" w:rsidP="005D564E">
      <w:pPr>
        <w:jc w:val="center"/>
      </w:pPr>
      <w:r w:rsidRPr="00C54534">
        <w:rPr>
          <w:noProof/>
          <w:lang w:val="en-IN" w:eastAsia="en-IN"/>
        </w:rPr>
        <w:drawing>
          <wp:inline distT="0" distB="0" distL="0" distR="0">
            <wp:extent cx="3095624" cy="1952625"/>
            <wp:effectExtent l="19050" t="0" r="9526" b="0"/>
            <wp:docPr id="41"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rsidR="005D564E" w:rsidRDefault="005D564E" w:rsidP="005D564E">
      <w:r>
        <w:t xml:space="preserve">The average Current ratio of BT is around 0.76 for the period of 2012-2016 and that of Vodafone is around 0.83.This indicates that on an average BT is capable to service 76% of the current liability holding of the organization with the available current asset and Vodafone on an average </w:t>
      </w:r>
      <w:r>
        <w:lastRenderedPageBreak/>
        <w:t>is capable to serve 83% of the current liability of the organization by the available current asset of the organization</w:t>
      </w:r>
      <w:r w:rsidRPr="00773C72">
        <w:t xml:space="preserve"> (Vodafone.com, 2014)</w:t>
      </w:r>
    </w:p>
    <w:p w:rsidR="005D564E" w:rsidRPr="00773E8D" w:rsidRDefault="005D564E" w:rsidP="005D564E">
      <w:pPr>
        <w:rPr>
          <w:b/>
        </w:rPr>
      </w:pPr>
      <w:r w:rsidRPr="00773E8D">
        <w:rPr>
          <w:b/>
        </w:rPr>
        <w:t>Quick Ratio:</w:t>
      </w:r>
    </w:p>
    <w:tbl>
      <w:tblPr>
        <w:tblStyle w:val="ColorfulGrid-Accent5"/>
        <w:tblW w:w="6482" w:type="dxa"/>
        <w:jc w:val="center"/>
        <w:tblLook w:val="04A0" w:firstRow="1" w:lastRow="0" w:firstColumn="1" w:lastColumn="0" w:noHBand="0" w:noVBand="1"/>
      </w:tblPr>
      <w:tblGrid>
        <w:gridCol w:w="2327"/>
        <w:gridCol w:w="831"/>
        <w:gridCol w:w="831"/>
        <w:gridCol w:w="831"/>
        <w:gridCol w:w="831"/>
        <w:gridCol w:w="831"/>
      </w:tblGrid>
      <w:tr w:rsidR="005D564E" w:rsidRPr="00C54534" w:rsidTr="001D7BD6">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6482" w:type="dxa"/>
            <w:gridSpan w:val="6"/>
            <w:noWrap/>
            <w:hideMark/>
          </w:tcPr>
          <w:p w:rsidR="005D564E" w:rsidRPr="00C54534" w:rsidRDefault="005D564E" w:rsidP="001D7BD6">
            <w:pPr>
              <w:spacing w:line="240" w:lineRule="auto"/>
              <w:jc w:val="center"/>
              <w:rPr>
                <w:rFonts w:eastAsia="Times New Roman" w:cs="Times New Roman"/>
                <w:color w:val="000000"/>
              </w:rPr>
            </w:pPr>
            <w:r w:rsidRPr="00C54534">
              <w:rPr>
                <w:rFonts w:eastAsia="Times New Roman" w:cs="Times New Roman"/>
                <w:color w:val="000000"/>
              </w:rPr>
              <w:t>Quick Ratio</w:t>
            </w:r>
          </w:p>
        </w:tc>
      </w:tr>
      <w:tr w:rsidR="005D564E" w:rsidRPr="00C54534" w:rsidTr="001D7BD6">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327" w:type="dxa"/>
            <w:noWrap/>
            <w:hideMark/>
          </w:tcPr>
          <w:p w:rsidR="005D564E" w:rsidRPr="00C54534" w:rsidRDefault="005D564E" w:rsidP="001D7BD6">
            <w:pPr>
              <w:spacing w:line="240" w:lineRule="auto"/>
              <w:jc w:val="left"/>
              <w:rPr>
                <w:rFonts w:eastAsia="Times New Roman" w:cs="Times New Roman"/>
                <w:color w:val="000000"/>
              </w:rPr>
            </w:pPr>
            <w:r w:rsidRPr="00C54534">
              <w:rPr>
                <w:rFonts w:eastAsia="Times New Roman" w:cs="Times New Roman"/>
                <w:color w:val="000000"/>
              </w:rPr>
              <w:t> </w:t>
            </w:r>
          </w:p>
        </w:tc>
        <w:tc>
          <w:tcPr>
            <w:tcW w:w="831" w:type="dxa"/>
            <w:noWrap/>
            <w:hideMark/>
          </w:tcPr>
          <w:p w:rsidR="005D564E" w:rsidRPr="00C54534" w:rsidRDefault="005D564E" w:rsidP="001D7BD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C54534">
              <w:rPr>
                <w:rFonts w:eastAsia="Times New Roman" w:cs="Times New Roman"/>
                <w:color w:val="000000"/>
              </w:rPr>
              <w:t>2012</w:t>
            </w:r>
          </w:p>
        </w:tc>
        <w:tc>
          <w:tcPr>
            <w:tcW w:w="831" w:type="dxa"/>
            <w:noWrap/>
            <w:hideMark/>
          </w:tcPr>
          <w:p w:rsidR="005D564E" w:rsidRPr="00C54534" w:rsidRDefault="005D564E" w:rsidP="001D7BD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C54534">
              <w:rPr>
                <w:rFonts w:eastAsia="Times New Roman" w:cs="Times New Roman"/>
                <w:color w:val="000000"/>
              </w:rPr>
              <w:t>2013</w:t>
            </w:r>
          </w:p>
        </w:tc>
        <w:tc>
          <w:tcPr>
            <w:tcW w:w="831" w:type="dxa"/>
            <w:noWrap/>
            <w:hideMark/>
          </w:tcPr>
          <w:p w:rsidR="005D564E" w:rsidRPr="00C54534" w:rsidRDefault="005D564E" w:rsidP="001D7BD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C54534">
              <w:rPr>
                <w:rFonts w:eastAsia="Times New Roman" w:cs="Times New Roman"/>
                <w:color w:val="000000"/>
              </w:rPr>
              <w:t>2014</w:t>
            </w:r>
          </w:p>
        </w:tc>
        <w:tc>
          <w:tcPr>
            <w:tcW w:w="831" w:type="dxa"/>
            <w:noWrap/>
            <w:hideMark/>
          </w:tcPr>
          <w:p w:rsidR="005D564E" w:rsidRPr="00C54534" w:rsidRDefault="005D564E" w:rsidP="001D7BD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C54534">
              <w:rPr>
                <w:rFonts w:eastAsia="Times New Roman" w:cs="Times New Roman"/>
                <w:color w:val="000000"/>
              </w:rPr>
              <w:t>2015</w:t>
            </w:r>
          </w:p>
        </w:tc>
        <w:tc>
          <w:tcPr>
            <w:tcW w:w="831" w:type="dxa"/>
            <w:noWrap/>
            <w:hideMark/>
          </w:tcPr>
          <w:p w:rsidR="005D564E" w:rsidRPr="00C54534" w:rsidRDefault="005D564E" w:rsidP="001D7BD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C54534">
              <w:rPr>
                <w:rFonts w:eastAsia="Times New Roman" w:cs="Times New Roman"/>
                <w:color w:val="000000"/>
              </w:rPr>
              <w:t>2016</w:t>
            </w:r>
          </w:p>
        </w:tc>
      </w:tr>
      <w:tr w:rsidR="005D564E" w:rsidRPr="00C54534" w:rsidTr="001D7BD6">
        <w:trPr>
          <w:trHeight w:val="300"/>
          <w:jc w:val="center"/>
        </w:trPr>
        <w:tc>
          <w:tcPr>
            <w:cnfStyle w:val="001000000000" w:firstRow="0" w:lastRow="0" w:firstColumn="1" w:lastColumn="0" w:oddVBand="0" w:evenVBand="0" w:oddHBand="0" w:evenHBand="0" w:firstRowFirstColumn="0" w:firstRowLastColumn="0" w:lastRowFirstColumn="0" w:lastRowLastColumn="0"/>
            <w:tcW w:w="2327" w:type="dxa"/>
            <w:hideMark/>
          </w:tcPr>
          <w:p w:rsidR="005D564E" w:rsidRPr="00C54534" w:rsidRDefault="005D564E" w:rsidP="001D7BD6">
            <w:pPr>
              <w:spacing w:line="240" w:lineRule="auto"/>
              <w:jc w:val="left"/>
              <w:rPr>
                <w:rFonts w:eastAsia="Times New Roman" w:cs="Times New Roman"/>
                <w:color w:val="000000"/>
              </w:rPr>
            </w:pPr>
            <w:r w:rsidRPr="00C54534">
              <w:rPr>
                <w:rFonts w:eastAsia="Times New Roman" w:cs="Times New Roman"/>
                <w:color w:val="000000"/>
              </w:rPr>
              <w:t>BT</w:t>
            </w:r>
          </w:p>
        </w:tc>
        <w:tc>
          <w:tcPr>
            <w:tcW w:w="831" w:type="dxa"/>
            <w:noWrap/>
            <w:hideMark/>
          </w:tcPr>
          <w:p w:rsidR="005D564E" w:rsidRPr="00C54534" w:rsidRDefault="005D564E" w:rsidP="001D7BD6">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rPr>
            </w:pPr>
            <w:r w:rsidRPr="00C54534">
              <w:rPr>
                <w:rFonts w:eastAsia="Times New Roman" w:cs="Times New Roman"/>
                <w:color w:val="000000"/>
              </w:rPr>
              <w:t>0.48</w:t>
            </w:r>
          </w:p>
        </w:tc>
        <w:tc>
          <w:tcPr>
            <w:tcW w:w="831" w:type="dxa"/>
            <w:noWrap/>
            <w:hideMark/>
          </w:tcPr>
          <w:p w:rsidR="005D564E" w:rsidRPr="00C54534" w:rsidRDefault="005D564E" w:rsidP="001D7BD6">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rPr>
            </w:pPr>
            <w:r w:rsidRPr="00C54534">
              <w:rPr>
                <w:rFonts w:eastAsia="Times New Roman" w:cs="Times New Roman"/>
                <w:color w:val="000000"/>
              </w:rPr>
              <w:t>0.70</w:t>
            </w:r>
          </w:p>
        </w:tc>
        <w:tc>
          <w:tcPr>
            <w:tcW w:w="831" w:type="dxa"/>
            <w:noWrap/>
            <w:hideMark/>
          </w:tcPr>
          <w:p w:rsidR="005D564E" w:rsidRPr="00C54534" w:rsidRDefault="005D564E" w:rsidP="001D7BD6">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rPr>
            </w:pPr>
            <w:r w:rsidRPr="00C54534">
              <w:rPr>
                <w:rFonts w:eastAsia="Times New Roman" w:cs="Times New Roman"/>
                <w:color w:val="000000"/>
              </w:rPr>
              <w:t>0.83</w:t>
            </w:r>
          </w:p>
        </w:tc>
        <w:tc>
          <w:tcPr>
            <w:tcW w:w="831" w:type="dxa"/>
            <w:noWrap/>
            <w:hideMark/>
          </w:tcPr>
          <w:p w:rsidR="005D564E" w:rsidRPr="00C54534" w:rsidRDefault="005D564E" w:rsidP="001D7BD6">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rPr>
            </w:pPr>
            <w:r w:rsidRPr="00C54534">
              <w:rPr>
                <w:rFonts w:eastAsia="Times New Roman" w:cs="Times New Roman"/>
                <w:color w:val="000000"/>
              </w:rPr>
              <w:t>0.96</w:t>
            </w:r>
          </w:p>
        </w:tc>
        <w:tc>
          <w:tcPr>
            <w:tcW w:w="831" w:type="dxa"/>
            <w:noWrap/>
            <w:hideMark/>
          </w:tcPr>
          <w:p w:rsidR="005D564E" w:rsidRPr="00C54534" w:rsidRDefault="005D564E" w:rsidP="001D7BD6">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rPr>
            </w:pPr>
            <w:r w:rsidRPr="00C54534">
              <w:rPr>
                <w:rFonts w:eastAsia="Times New Roman" w:cs="Times New Roman"/>
                <w:color w:val="000000"/>
              </w:rPr>
              <w:t>0.75</w:t>
            </w:r>
          </w:p>
        </w:tc>
      </w:tr>
      <w:tr w:rsidR="005D564E" w:rsidRPr="00C54534" w:rsidTr="001D7BD6">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327" w:type="dxa"/>
            <w:noWrap/>
            <w:hideMark/>
          </w:tcPr>
          <w:p w:rsidR="005D564E" w:rsidRPr="00C54534" w:rsidRDefault="005D564E" w:rsidP="001D7BD6">
            <w:pPr>
              <w:spacing w:line="240" w:lineRule="auto"/>
              <w:jc w:val="left"/>
              <w:rPr>
                <w:rFonts w:eastAsia="Times New Roman" w:cs="Times New Roman"/>
                <w:color w:val="000000"/>
              </w:rPr>
            </w:pPr>
            <w:r w:rsidRPr="00C54534">
              <w:rPr>
                <w:rFonts w:eastAsia="Times New Roman" w:cs="Times New Roman"/>
                <w:color w:val="000000"/>
              </w:rPr>
              <w:t>Vodafone</w:t>
            </w:r>
          </w:p>
        </w:tc>
        <w:tc>
          <w:tcPr>
            <w:tcW w:w="831" w:type="dxa"/>
            <w:noWrap/>
            <w:hideMark/>
          </w:tcPr>
          <w:p w:rsidR="005D564E" w:rsidRPr="00C54534" w:rsidRDefault="005D564E" w:rsidP="001D7BD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C54534">
              <w:rPr>
                <w:rFonts w:eastAsia="Times New Roman" w:cs="Times New Roman"/>
                <w:color w:val="000000"/>
              </w:rPr>
              <w:t>0.86</w:t>
            </w:r>
          </w:p>
        </w:tc>
        <w:tc>
          <w:tcPr>
            <w:tcW w:w="831" w:type="dxa"/>
            <w:noWrap/>
            <w:hideMark/>
          </w:tcPr>
          <w:p w:rsidR="005D564E" w:rsidRPr="00C54534" w:rsidRDefault="005D564E" w:rsidP="001D7BD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C54534">
              <w:rPr>
                <w:rFonts w:eastAsia="Times New Roman" w:cs="Times New Roman"/>
                <w:color w:val="000000"/>
              </w:rPr>
              <w:t>0.75</w:t>
            </w:r>
          </w:p>
        </w:tc>
        <w:tc>
          <w:tcPr>
            <w:tcW w:w="831" w:type="dxa"/>
            <w:noWrap/>
            <w:hideMark/>
          </w:tcPr>
          <w:p w:rsidR="005D564E" w:rsidRPr="00C54534" w:rsidRDefault="005D564E" w:rsidP="001D7BD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C54534">
              <w:rPr>
                <w:rFonts w:eastAsia="Times New Roman" w:cs="Times New Roman"/>
                <w:color w:val="000000"/>
              </w:rPr>
              <w:t>0.97</w:t>
            </w:r>
          </w:p>
        </w:tc>
        <w:tc>
          <w:tcPr>
            <w:tcW w:w="831" w:type="dxa"/>
            <w:noWrap/>
            <w:hideMark/>
          </w:tcPr>
          <w:p w:rsidR="005D564E" w:rsidRPr="00C54534" w:rsidRDefault="005D564E" w:rsidP="001D7BD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C54534">
              <w:rPr>
                <w:rFonts w:eastAsia="Times New Roman" w:cs="Times New Roman"/>
                <w:color w:val="000000"/>
              </w:rPr>
              <w:t>0.67</w:t>
            </w:r>
          </w:p>
        </w:tc>
        <w:tc>
          <w:tcPr>
            <w:tcW w:w="831" w:type="dxa"/>
            <w:noWrap/>
            <w:hideMark/>
          </w:tcPr>
          <w:p w:rsidR="005D564E" w:rsidRPr="00C54534" w:rsidRDefault="005D564E" w:rsidP="001D7BD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rPr>
            </w:pPr>
            <w:r w:rsidRPr="00C54534">
              <w:rPr>
                <w:rFonts w:eastAsia="Times New Roman" w:cs="Times New Roman"/>
                <w:color w:val="000000"/>
              </w:rPr>
              <w:t>0.83</w:t>
            </w:r>
          </w:p>
        </w:tc>
      </w:tr>
    </w:tbl>
    <w:p w:rsidR="005D564E" w:rsidRDefault="005D564E" w:rsidP="005D564E">
      <w:pPr>
        <w:jc w:val="center"/>
      </w:pPr>
    </w:p>
    <w:p w:rsidR="005D564E" w:rsidRDefault="005D564E" w:rsidP="005D564E">
      <w:pPr>
        <w:jc w:val="center"/>
      </w:pPr>
      <w:r w:rsidRPr="00DA1E39">
        <w:rPr>
          <w:noProof/>
          <w:lang w:val="en-IN" w:eastAsia="en-IN"/>
        </w:rPr>
        <w:drawing>
          <wp:inline distT="0" distB="0" distL="0" distR="0">
            <wp:extent cx="3095624" cy="1952625"/>
            <wp:effectExtent l="19050" t="0" r="9526" b="0"/>
            <wp:docPr id="42"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rsidR="005D564E" w:rsidRDefault="005D564E" w:rsidP="005D564E">
      <w:r>
        <w:t>The average Quick ratio of BT is around 0.74 for the period of 2012-2016 and that of Vodafone is around 0.82.This indicates that on an average BT is capable to service 74% of the current liability holding of the organization with the available quick asset (that are readily convertible in to cash) and Vodafone on an average is capable to serve 82% of the current liability of the organization by the available quick asset of the organization.</w:t>
      </w:r>
    </w:p>
    <w:p w:rsidR="005D564E" w:rsidRDefault="005D564E" w:rsidP="005D564E">
      <w:r>
        <w:t>Thus in both the liquidity ratios are pointing over the fact that Vodafone definitely has a higher liquidity position compared to that of British Telecommunication but as Vodafone is earning the negative profit margin therefore it can be said that the underlying reason of high liquidity of Vodafone is not the cash generation capacity of the organization but the high liquidity position has arise due to the under utilization of the current asset of the organization for the purpose of cash generation.</w:t>
      </w:r>
    </w:p>
    <w:p w:rsidR="005D564E" w:rsidRPr="00773E8D" w:rsidRDefault="005D564E" w:rsidP="005D564E">
      <w:pPr>
        <w:rPr>
          <w:b/>
        </w:rPr>
      </w:pPr>
    </w:p>
    <w:p w:rsidR="005D564E" w:rsidRDefault="005D564E" w:rsidP="005D564E">
      <w:pPr>
        <w:rPr>
          <w:rFonts w:eastAsia="Times New Roman" w:cs="Times New Roman"/>
          <w:b/>
          <w:color w:val="000000"/>
        </w:rPr>
      </w:pPr>
      <w:r w:rsidRPr="00773E8D">
        <w:rPr>
          <w:rFonts w:eastAsia="Times New Roman" w:cs="Times New Roman"/>
          <w:b/>
          <w:color w:val="000000"/>
        </w:rPr>
        <w:t>Return on capital employed (ROCE)</w:t>
      </w:r>
    </w:p>
    <w:p w:rsidR="005D564E" w:rsidRPr="00773E8D" w:rsidRDefault="005D564E" w:rsidP="005D564E">
      <w:pPr>
        <w:rPr>
          <w:rFonts w:cs="Times New Roman"/>
          <w:b/>
          <w:sz w:val="28"/>
        </w:rPr>
      </w:pPr>
    </w:p>
    <w:tbl>
      <w:tblPr>
        <w:tblW w:w="6480" w:type="dxa"/>
        <w:jc w:val="center"/>
        <w:tblInd w:w="103" w:type="dxa"/>
        <w:shd w:val="clear" w:color="auto" w:fill="9999FF"/>
        <w:tblLook w:val="04A0" w:firstRow="1" w:lastRow="0" w:firstColumn="1" w:lastColumn="0" w:noHBand="0" w:noVBand="1"/>
      </w:tblPr>
      <w:tblGrid>
        <w:gridCol w:w="2314"/>
        <w:gridCol w:w="826"/>
        <w:gridCol w:w="845"/>
        <w:gridCol w:w="845"/>
        <w:gridCol w:w="825"/>
        <w:gridCol w:w="825"/>
      </w:tblGrid>
      <w:tr w:rsidR="005D564E" w:rsidRPr="00773E8D" w:rsidTr="001D7BD6">
        <w:trPr>
          <w:trHeight w:val="300"/>
          <w:jc w:val="center"/>
        </w:trPr>
        <w:tc>
          <w:tcPr>
            <w:tcW w:w="6480" w:type="dxa"/>
            <w:gridSpan w:val="6"/>
            <w:tcBorders>
              <w:top w:val="single" w:sz="4" w:space="0" w:color="auto"/>
              <w:left w:val="single" w:sz="4" w:space="0" w:color="auto"/>
              <w:bottom w:val="single" w:sz="4" w:space="0" w:color="auto"/>
              <w:right w:val="single" w:sz="4" w:space="0" w:color="auto"/>
            </w:tcBorders>
            <w:shd w:val="clear" w:color="auto" w:fill="9999FF"/>
            <w:noWrap/>
            <w:vAlign w:val="bottom"/>
            <w:hideMark/>
          </w:tcPr>
          <w:p w:rsidR="005D564E" w:rsidRPr="00773E8D" w:rsidRDefault="005D564E" w:rsidP="001D7BD6">
            <w:pPr>
              <w:spacing w:after="0" w:line="240" w:lineRule="auto"/>
              <w:jc w:val="center"/>
              <w:rPr>
                <w:rFonts w:eastAsia="Times New Roman" w:cs="Times New Roman"/>
                <w:color w:val="000000"/>
              </w:rPr>
            </w:pPr>
            <w:r w:rsidRPr="00773E8D">
              <w:rPr>
                <w:rFonts w:eastAsia="Times New Roman" w:cs="Times New Roman"/>
                <w:color w:val="000000"/>
              </w:rPr>
              <w:t>Return on capital employed(ROCE)</w:t>
            </w:r>
          </w:p>
        </w:tc>
      </w:tr>
      <w:tr w:rsidR="005D564E" w:rsidRPr="00773E8D" w:rsidTr="001D7BD6">
        <w:trPr>
          <w:trHeight w:val="300"/>
          <w:jc w:val="center"/>
        </w:trPr>
        <w:tc>
          <w:tcPr>
            <w:tcW w:w="2314" w:type="dxa"/>
            <w:tcBorders>
              <w:top w:val="nil"/>
              <w:left w:val="single" w:sz="4" w:space="0" w:color="auto"/>
              <w:bottom w:val="single" w:sz="4" w:space="0" w:color="auto"/>
              <w:right w:val="single" w:sz="4" w:space="0" w:color="auto"/>
            </w:tcBorders>
            <w:shd w:val="clear" w:color="auto" w:fill="9999FF"/>
            <w:noWrap/>
            <w:vAlign w:val="bottom"/>
            <w:hideMark/>
          </w:tcPr>
          <w:p w:rsidR="005D564E" w:rsidRPr="00773E8D" w:rsidRDefault="005D564E" w:rsidP="001D7BD6">
            <w:pPr>
              <w:spacing w:after="0" w:line="240" w:lineRule="auto"/>
              <w:jc w:val="left"/>
              <w:rPr>
                <w:rFonts w:eastAsia="Times New Roman" w:cs="Times New Roman"/>
                <w:color w:val="000000"/>
              </w:rPr>
            </w:pPr>
            <w:r w:rsidRPr="00773E8D">
              <w:rPr>
                <w:rFonts w:eastAsia="Times New Roman" w:cs="Times New Roman"/>
                <w:color w:val="000000"/>
              </w:rPr>
              <w:t> </w:t>
            </w:r>
          </w:p>
        </w:tc>
        <w:tc>
          <w:tcPr>
            <w:tcW w:w="826" w:type="dxa"/>
            <w:tcBorders>
              <w:top w:val="nil"/>
              <w:left w:val="nil"/>
              <w:bottom w:val="single" w:sz="4" w:space="0" w:color="auto"/>
              <w:right w:val="single" w:sz="4" w:space="0" w:color="auto"/>
            </w:tcBorders>
            <w:shd w:val="clear" w:color="auto" w:fill="9999FF"/>
            <w:noWrap/>
            <w:vAlign w:val="bottom"/>
            <w:hideMark/>
          </w:tcPr>
          <w:p w:rsidR="005D564E" w:rsidRPr="00773E8D" w:rsidRDefault="005D564E" w:rsidP="001D7BD6">
            <w:pPr>
              <w:spacing w:after="0" w:line="240" w:lineRule="auto"/>
              <w:jc w:val="right"/>
              <w:rPr>
                <w:rFonts w:eastAsia="Times New Roman" w:cs="Times New Roman"/>
                <w:color w:val="000000"/>
              </w:rPr>
            </w:pPr>
            <w:r w:rsidRPr="00773E8D">
              <w:rPr>
                <w:rFonts w:eastAsia="Times New Roman" w:cs="Times New Roman"/>
                <w:color w:val="000000"/>
              </w:rPr>
              <w:t>2012</w:t>
            </w:r>
          </w:p>
        </w:tc>
        <w:tc>
          <w:tcPr>
            <w:tcW w:w="845" w:type="dxa"/>
            <w:tcBorders>
              <w:top w:val="nil"/>
              <w:left w:val="nil"/>
              <w:bottom w:val="single" w:sz="4" w:space="0" w:color="auto"/>
              <w:right w:val="single" w:sz="4" w:space="0" w:color="auto"/>
            </w:tcBorders>
            <w:shd w:val="clear" w:color="auto" w:fill="9999FF"/>
            <w:noWrap/>
            <w:vAlign w:val="bottom"/>
            <w:hideMark/>
          </w:tcPr>
          <w:p w:rsidR="005D564E" w:rsidRPr="00773E8D" w:rsidRDefault="005D564E" w:rsidP="001D7BD6">
            <w:pPr>
              <w:spacing w:after="0" w:line="240" w:lineRule="auto"/>
              <w:jc w:val="right"/>
              <w:rPr>
                <w:rFonts w:eastAsia="Times New Roman" w:cs="Times New Roman"/>
                <w:color w:val="000000"/>
              </w:rPr>
            </w:pPr>
            <w:r w:rsidRPr="00773E8D">
              <w:rPr>
                <w:rFonts w:eastAsia="Times New Roman" w:cs="Times New Roman"/>
                <w:color w:val="000000"/>
              </w:rPr>
              <w:t>2013</w:t>
            </w:r>
          </w:p>
        </w:tc>
        <w:tc>
          <w:tcPr>
            <w:tcW w:w="845" w:type="dxa"/>
            <w:tcBorders>
              <w:top w:val="nil"/>
              <w:left w:val="nil"/>
              <w:bottom w:val="single" w:sz="4" w:space="0" w:color="auto"/>
              <w:right w:val="single" w:sz="4" w:space="0" w:color="auto"/>
            </w:tcBorders>
            <w:shd w:val="clear" w:color="auto" w:fill="9999FF"/>
            <w:noWrap/>
            <w:vAlign w:val="bottom"/>
            <w:hideMark/>
          </w:tcPr>
          <w:p w:rsidR="005D564E" w:rsidRPr="00773E8D" w:rsidRDefault="005D564E" w:rsidP="001D7BD6">
            <w:pPr>
              <w:spacing w:after="0" w:line="240" w:lineRule="auto"/>
              <w:jc w:val="right"/>
              <w:rPr>
                <w:rFonts w:eastAsia="Times New Roman" w:cs="Times New Roman"/>
                <w:color w:val="000000"/>
              </w:rPr>
            </w:pPr>
            <w:r w:rsidRPr="00773E8D">
              <w:rPr>
                <w:rFonts w:eastAsia="Times New Roman" w:cs="Times New Roman"/>
                <w:color w:val="000000"/>
              </w:rPr>
              <w:t>2014</w:t>
            </w:r>
          </w:p>
        </w:tc>
        <w:tc>
          <w:tcPr>
            <w:tcW w:w="825" w:type="dxa"/>
            <w:tcBorders>
              <w:top w:val="nil"/>
              <w:left w:val="nil"/>
              <w:bottom w:val="single" w:sz="4" w:space="0" w:color="auto"/>
              <w:right w:val="single" w:sz="4" w:space="0" w:color="auto"/>
            </w:tcBorders>
            <w:shd w:val="clear" w:color="auto" w:fill="9999FF"/>
            <w:noWrap/>
            <w:vAlign w:val="bottom"/>
            <w:hideMark/>
          </w:tcPr>
          <w:p w:rsidR="005D564E" w:rsidRPr="00773E8D" w:rsidRDefault="005D564E" w:rsidP="001D7BD6">
            <w:pPr>
              <w:spacing w:after="0" w:line="240" w:lineRule="auto"/>
              <w:jc w:val="right"/>
              <w:rPr>
                <w:rFonts w:eastAsia="Times New Roman" w:cs="Times New Roman"/>
                <w:color w:val="000000"/>
              </w:rPr>
            </w:pPr>
            <w:r w:rsidRPr="00773E8D">
              <w:rPr>
                <w:rFonts w:eastAsia="Times New Roman" w:cs="Times New Roman"/>
                <w:color w:val="000000"/>
              </w:rPr>
              <w:t>2015</w:t>
            </w:r>
          </w:p>
        </w:tc>
        <w:tc>
          <w:tcPr>
            <w:tcW w:w="825" w:type="dxa"/>
            <w:tcBorders>
              <w:top w:val="nil"/>
              <w:left w:val="nil"/>
              <w:bottom w:val="single" w:sz="4" w:space="0" w:color="auto"/>
              <w:right w:val="single" w:sz="4" w:space="0" w:color="auto"/>
            </w:tcBorders>
            <w:shd w:val="clear" w:color="auto" w:fill="9999FF"/>
            <w:noWrap/>
            <w:vAlign w:val="bottom"/>
            <w:hideMark/>
          </w:tcPr>
          <w:p w:rsidR="005D564E" w:rsidRPr="00773E8D" w:rsidRDefault="005D564E" w:rsidP="001D7BD6">
            <w:pPr>
              <w:spacing w:after="0" w:line="240" w:lineRule="auto"/>
              <w:jc w:val="right"/>
              <w:rPr>
                <w:rFonts w:eastAsia="Times New Roman" w:cs="Times New Roman"/>
                <w:color w:val="000000"/>
              </w:rPr>
            </w:pPr>
            <w:r w:rsidRPr="00773E8D">
              <w:rPr>
                <w:rFonts w:eastAsia="Times New Roman" w:cs="Times New Roman"/>
                <w:color w:val="000000"/>
              </w:rPr>
              <w:t>2016</w:t>
            </w:r>
          </w:p>
        </w:tc>
      </w:tr>
      <w:tr w:rsidR="005D564E" w:rsidRPr="00773E8D" w:rsidTr="001D7BD6">
        <w:trPr>
          <w:trHeight w:val="300"/>
          <w:jc w:val="center"/>
        </w:trPr>
        <w:tc>
          <w:tcPr>
            <w:tcW w:w="2314" w:type="dxa"/>
            <w:tcBorders>
              <w:top w:val="nil"/>
              <w:left w:val="single" w:sz="4" w:space="0" w:color="auto"/>
              <w:bottom w:val="single" w:sz="4" w:space="0" w:color="auto"/>
              <w:right w:val="single" w:sz="4" w:space="0" w:color="auto"/>
            </w:tcBorders>
            <w:shd w:val="clear" w:color="auto" w:fill="9999FF"/>
            <w:vAlign w:val="bottom"/>
            <w:hideMark/>
          </w:tcPr>
          <w:p w:rsidR="005D564E" w:rsidRPr="00773E8D" w:rsidRDefault="005D564E" w:rsidP="001D7BD6">
            <w:pPr>
              <w:spacing w:after="0" w:line="240" w:lineRule="auto"/>
              <w:jc w:val="left"/>
              <w:rPr>
                <w:rFonts w:eastAsia="Times New Roman" w:cs="Times New Roman"/>
                <w:color w:val="000000"/>
              </w:rPr>
            </w:pPr>
            <w:r w:rsidRPr="00773E8D">
              <w:rPr>
                <w:rFonts w:eastAsia="Times New Roman" w:cs="Times New Roman"/>
                <w:color w:val="000000"/>
              </w:rPr>
              <w:t>BT</w:t>
            </w:r>
          </w:p>
        </w:tc>
        <w:tc>
          <w:tcPr>
            <w:tcW w:w="826" w:type="dxa"/>
            <w:tcBorders>
              <w:top w:val="nil"/>
              <w:left w:val="nil"/>
              <w:bottom w:val="single" w:sz="4" w:space="0" w:color="auto"/>
              <w:right w:val="single" w:sz="4" w:space="0" w:color="auto"/>
            </w:tcBorders>
            <w:shd w:val="clear" w:color="auto" w:fill="9999FF"/>
            <w:noWrap/>
            <w:vAlign w:val="bottom"/>
            <w:hideMark/>
          </w:tcPr>
          <w:p w:rsidR="005D564E" w:rsidRPr="00773E8D" w:rsidRDefault="005D564E" w:rsidP="001D7BD6">
            <w:pPr>
              <w:spacing w:after="0" w:line="240" w:lineRule="auto"/>
              <w:jc w:val="right"/>
              <w:rPr>
                <w:rFonts w:eastAsia="Times New Roman" w:cs="Times New Roman"/>
                <w:color w:val="000000"/>
              </w:rPr>
            </w:pPr>
            <w:r w:rsidRPr="00773E8D">
              <w:rPr>
                <w:rFonts w:eastAsia="Times New Roman" w:cs="Times New Roman"/>
                <w:color w:val="000000"/>
              </w:rPr>
              <w:t>0.21</w:t>
            </w:r>
          </w:p>
        </w:tc>
        <w:tc>
          <w:tcPr>
            <w:tcW w:w="845" w:type="dxa"/>
            <w:tcBorders>
              <w:top w:val="nil"/>
              <w:left w:val="nil"/>
              <w:bottom w:val="single" w:sz="4" w:space="0" w:color="auto"/>
              <w:right w:val="single" w:sz="4" w:space="0" w:color="auto"/>
            </w:tcBorders>
            <w:shd w:val="clear" w:color="auto" w:fill="9999FF"/>
            <w:noWrap/>
            <w:vAlign w:val="bottom"/>
            <w:hideMark/>
          </w:tcPr>
          <w:p w:rsidR="005D564E" w:rsidRPr="00773E8D" w:rsidRDefault="005D564E" w:rsidP="001D7BD6">
            <w:pPr>
              <w:spacing w:after="0" w:line="240" w:lineRule="auto"/>
              <w:jc w:val="right"/>
              <w:rPr>
                <w:rFonts w:eastAsia="Times New Roman" w:cs="Times New Roman"/>
                <w:color w:val="000000"/>
              </w:rPr>
            </w:pPr>
            <w:r w:rsidRPr="00773E8D">
              <w:rPr>
                <w:rFonts w:eastAsia="Times New Roman" w:cs="Times New Roman"/>
                <w:color w:val="000000"/>
              </w:rPr>
              <w:t>0.11</w:t>
            </w:r>
          </w:p>
        </w:tc>
        <w:tc>
          <w:tcPr>
            <w:tcW w:w="845" w:type="dxa"/>
            <w:tcBorders>
              <w:top w:val="nil"/>
              <w:left w:val="nil"/>
              <w:bottom w:val="single" w:sz="4" w:space="0" w:color="auto"/>
              <w:right w:val="single" w:sz="4" w:space="0" w:color="auto"/>
            </w:tcBorders>
            <w:shd w:val="clear" w:color="auto" w:fill="9999FF"/>
            <w:noWrap/>
            <w:vAlign w:val="bottom"/>
            <w:hideMark/>
          </w:tcPr>
          <w:p w:rsidR="005D564E" w:rsidRPr="00773E8D" w:rsidRDefault="005D564E" w:rsidP="001D7BD6">
            <w:pPr>
              <w:spacing w:after="0" w:line="240" w:lineRule="auto"/>
              <w:jc w:val="right"/>
              <w:rPr>
                <w:rFonts w:eastAsia="Times New Roman" w:cs="Times New Roman"/>
                <w:color w:val="000000"/>
              </w:rPr>
            </w:pPr>
            <w:r w:rsidRPr="00773E8D">
              <w:rPr>
                <w:rFonts w:eastAsia="Times New Roman" w:cs="Times New Roman"/>
                <w:color w:val="000000"/>
              </w:rPr>
              <w:t>0.11</w:t>
            </w:r>
          </w:p>
        </w:tc>
        <w:tc>
          <w:tcPr>
            <w:tcW w:w="825" w:type="dxa"/>
            <w:tcBorders>
              <w:top w:val="nil"/>
              <w:left w:val="nil"/>
              <w:bottom w:val="single" w:sz="4" w:space="0" w:color="auto"/>
              <w:right w:val="single" w:sz="4" w:space="0" w:color="auto"/>
            </w:tcBorders>
            <w:shd w:val="clear" w:color="auto" w:fill="9999FF"/>
            <w:noWrap/>
            <w:vAlign w:val="bottom"/>
            <w:hideMark/>
          </w:tcPr>
          <w:p w:rsidR="005D564E" w:rsidRPr="00773E8D" w:rsidRDefault="005D564E" w:rsidP="001D7BD6">
            <w:pPr>
              <w:spacing w:after="0" w:line="240" w:lineRule="auto"/>
              <w:jc w:val="right"/>
              <w:rPr>
                <w:rFonts w:eastAsia="Times New Roman" w:cs="Times New Roman"/>
                <w:color w:val="000000"/>
              </w:rPr>
            </w:pPr>
            <w:r w:rsidRPr="00773E8D">
              <w:rPr>
                <w:rFonts w:eastAsia="Times New Roman" w:cs="Times New Roman"/>
                <w:color w:val="000000"/>
              </w:rPr>
              <w:t>0.12</w:t>
            </w:r>
          </w:p>
        </w:tc>
        <w:tc>
          <w:tcPr>
            <w:tcW w:w="825" w:type="dxa"/>
            <w:tcBorders>
              <w:top w:val="nil"/>
              <w:left w:val="nil"/>
              <w:bottom w:val="single" w:sz="4" w:space="0" w:color="auto"/>
              <w:right w:val="single" w:sz="4" w:space="0" w:color="auto"/>
            </w:tcBorders>
            <w:shd w:val="clear" w:color="auto" w:fill="9999FF"/>
            <w:noWrap/>
            <w:vAlign w:val="bottom"/>
            <w:hideMark/>
          </w:tcPr>
          <w:p w:rsidR="005D564E" w:rsidRPr="00773E8D" w:rsidRDefault="005D564E" w:rsidP="001D7BD6">
            <w:pPr>
              <w:spacing w:after="0" w:line="240" w:lineRule="auto"/>
              <w:jc w:val="right"/>
              <w:rPr>
                <w:rFonts w:eastAsia="Times New Roman" w:cs="Times New Roman"/>
                <w:color w:val="000000"/>
              </w:rPr>
            </w:pPr>
            <w:r w:rsidRPr="00773E8D">
              <w:rPr>
                <w:rFonts w:eastAsia="Times New Roman" w:cs="Times New Roman"/>
                <w:color w:val="000000"/>
              </w:rPr>
              <w:t>0.11</w:t>
            </w:r>
          </w:p>
        </w:tc>
      </w:tr>
      <w:tr w:rsidR="005D564E" w:rsidRPr="00773E8D" w:rsidTr="001D7BD6">
        <w:trPr>
          <w:trHeight w:val="300"/>
          <w:jc w:val="center"/>
        </w:trPr>
        <w:tc>
          <w:tcPr>
            <w:tcW w:w="2314" w:type="dxa"/>
            <w:tcBorders>
              <w:top w:val="nil"/>
              <w:left w:val="single" w:sz="4" w:space="0" w:color="auto"/>
              <w:bottom w:val="single" w:sz="4" w:space="0" w:color="auto"/>
              <w:right w:val="single" w:sz="4" w:space="0" w:color="auto"/>
            </w:tcBorders>
            <w:shd w:val="clear" w:color="auto" w:fill="9999FF"/>
            <w:noWrap/>
            <w:vAlign w:val="bottom"/>
            <w:hideMark/>
          </w:tcPr>
          <w:p w:rsidR="005D564E" w:rsidRPr="00773E8D" w:rsidRDefault="005D564E" w:rsidP="001D7BD6">
            <w:pPr>
              <w:spacing w:after="0" w:line="240" w:lineRule="auto"/>
              <w:jc w:val="left"/>
              <w:rPr>
                <w:rFonts w:eastAsia="Times New Roman" w:cs="Times New Roman"/>
                <w:color w:val="000000"/>
              </w:rPr>
            </w:pPr>
            <w:r w:rsidRPr="00773E8D">
              <w:rPr>
                <w:rFonts w:eastAsia="Times New Roman" w:cs="Times New Roman"/>
                <w:color w:val="000000"/>
              </w:rPr>
              <w:t>Vodafone</w:t>
            </w:r>
          </w:p>
        </w:tc>
        <w:tc>
          <w:tcPr>
            <w:tcW w:w="826" w:type="dxa"/>
            <w:tcBorders>
              <w:top w:val="nil"/>
              <w:left w:val="nil"/>
              <w:bottom w:val="single" w:sz="4" w:space="0" w:color="auto"/>
              <w:right w:val="single" w:sz="4" w:space="0" w:color="auto"/>
            </w:tcBorders>
            <w:shd w:val="clear" w:color="auto" w:fill="9999FF"/>
            <w:noWrap/>
            <w:vAlign w:val="bottom"/>
            <w:hideMark/>
          </w:tcPr>
          <w:p w:rsidR="005D564E" w:rsidRPr="00773E8D" w:rsidRDefault="005D564E" w:rsidP="001D7BD6">
            <w:pPr>
              <w:spacing w:after="0" w:line="240" w:lineRule="auto"/>
              <w:jc w:val="right"/>
              <w:rPr>
                <w:rFonts w:eastAsia="Times New Roman" w:cs="Times New Roman"/>
                <w:color w:val="000000"/>
              </w:rPr>
            </w:pPr>
            <w:r w:rsidRPr="00773E8D">
              <w:rPr>
                <w:rFonts w:eastAsia="Times New Roman" w:cs="Times New Roman"/>
                <w:color w:val="000000"/>
              </w:rPr>
              <w:t>0.03</w:t>
            </w:r>
          </w:p>
        </w:tc>
        <w:tc>
          <w:tcPr>
            <w:tcW w:w="845" w:type="dxa"/>
            <w:tcBorders>
              <w:top w:val="nil"/>
              <w:left w:val="nil"/>
              <w:bottom w:val="single" w:sz="4" w:space="0" w:color="auto"/>
              <w:right w:val="single" w:sz="4" w:space="0" w:color="auto"/>
            </w:tcBorders>
            <w:shd w:val="clear" w:color="auto" w:fill="9999FF"/>
            <w:noWrap/>
            <w:vAlign w:val="bottom"/>
            <w:hideMark/>
          </w:tcPr>
          <w:p w:rsidR="005D564E" w:rsidRPr="00773E8D" w:rsidRDefault="005D564E" w:rsidP="001D7BD6">
            <w:pPr>
              <w:spacing w:after="0" w:line="240" w:lineRule="auto"/>
              <w:jc w:val="right"/>
              <w:rPr>
                <w:rFonts w:eastAsia="Times New Roman" w:cs="Times New Roman"/>
                <w:color w:val="000000"/>
              </w:rPr>
            </w:pPr>
            <w:r w:rsidRPr="00773E8D">
              <w:rPr>
                <w:rFonts w:eastAsia="Times New Roman" w:cs="Times New Roman"/>
                <w:color w:val="000000"/>
              </w:rPr>
              <w:t>-0.01</w:t>
            </w:r>
          </w:p>
        </w:tc>
        <w:tc>
          <w:tcPr>
            <w:tcW w:w="845" w:type="dxa"/>
            <w:tcBorders>
              <w:top w:val="nil"/>
              <w:left w:val="nil"/>
              <w:bottom w:val="single" w:sz="4" w:space="0" w:color="auto"/>
              <w:right w:val="single" w:sz="4" w:space="0" w:color="auto"/>
            </w:tcBorders>
            <w:shd w:val="clear" w:color="auto" w:fill="9999FF"/>
            <w:noWrap/>
            <w:vAlign w:val="bottom"/>
            <w:hideMark/>
          </w:tcPr>
          <w:p w:rsidR="005D564E" w:rsidRPr="00773E8D" w:rsidRDefault="005D564E" w:rsidP="001D7BD6">
            <w:pPr>
              <w:spacing w:after="0" w:line="240" w:lineRule="auto"/>
              <w:jc w:val="right"/>
              <w:rPr>
                <w:rFonts w:eastAsia="Times New Roman" w:cs="Times New Roman"/>
                <w:color w:val="000000"/>
              </w:rPr>
            </w:pPr>
            <w:r w:rsidRPr="00773E8D">
              <w:rPr>
                <w:rFonts w:eastAsia="Times New Roman" w:cs="Times New Roman"/>
                <w:color w:val="000000"/>
              </w:rPr>
              <w:t>-0.02</w:t>
            </w:r>
          </w:p>
        </w:tc>
        <w:tc>
          <w:tcPr>
            <w:tcW w:w="825" w:type="dxa"/>
            <w:tcBorders>
              <w:top w:val="nil"/>
              <w:left w:val="nil"/>
              <w:bottom w:val="single" w:sz="4" w:space="0" w:color="auto"/>
              <w:right w:val="single" w:sz="4" w:space="0" w:color="auto"/>
            </w:tcBorders>
            <w:shd w:val="clear" w:color="auto" w:fill="9999FF"/>
            <w:noWrap/>
            <w:vAlign w:val="bottom"/>
            <w:hideMark/>
          </w:tcPr>
          <w:p w:rsidR="005D564E" w:rsidRPr="00773E8D" w:rsidRDefault="005D564E" w:rsidP="001D7BD6">
            <w:pPr>
              <w:spacing w:after="0" w:line="240" w:lineRule="auto"/>
              <w:jc w:val="right"/>
              <w:rPr>
                <w:rFonts w:eastAsia="Times New Roman" w:cs="Times New Roman"/>
                <w:color w:val="000000"/>
              </w:rPr>
            </w:pPr>
            <w:r w:rsidRPr="00773E8D">
              <w:rPr>
                <w:rFonts w:eastAsia="Times New Roman" w:cs="Times New Roman"/>
                <w:color w:val="000000"/>
              </w:rPr>
              <w:t>0.01</w:t>
            </w:r>
          </w:p>
        </w:tc>
        <w:tc>
          <w:tcPr>
            <w:tcW w:w="825" w:type="dxa"/>
            <w:tcBorders>
              <w:top w:val="nil"/>
              <w:left w:val="nil"/>
              <w:bottom w:val="single" w:sz="4" w:space="0" w:color="auto"/>
              <w:right w:val="single" w:sz="4" w:space="0" w:color="auto"/>
            </w:tcBorders>
            <w:shd w:val="clear" w:color="auto" w:fill="9999FF"/>
            <w:noWrap/>
            <w:vAlign w:val="bottom"/>
            <w:hideMark/>
          </w:tcPr>
          <w:p w:rsidR="005D564E" w:rsidRPr="00773E8D" w:rsidRDefault="005D564E" w:rsidP="001D7BD6">
            <w:pPr>
              <w:spacing w:after="0" w:line="240" w:lineRule="auto"/>
              <w:jc w:val="right"/>
              <w:rPr>
                <w:rFonts w:eastAsia="Times New Roman" w:cs="Times New Roman"/>
                <w:color w:val="000000"/>
              </w:rPr>
            </w:pPr>
            <w:r w:rsidRPr="00773E8D">
              <w:rPr>
                <w:rFonts w:eastAsia="Times New Roman" w:cs="Times New Roman"/>
                <w:color w:val="000000"/>
              </w:rPr>
              <w:t>0.01</w:t>
            </w:r>
          </w:p>
        </w:tc>
      </w:tr>
    </w:tbl>
    <w:p w:rsidR="005D564E" w:rsidRDefault="005D564E" w:rsidP="005D564E">
      <w:pPr>
        <w:jc w:val="center"/>
      </w:pPr>
    </w:p>
    <w:p w:rsidR="005D564E" w:rsidRDefault="005D564E" w:rsidP="005D564E">
      <w:pPr>
        <w:jc w:val="center"/>
      </w:pPr>
      <w:r w:rsidRPr="007C4BAD">
        <w:rPr>
          <w:noProof/>
          <w:lang w:val="en-IN" w:eastAsia="en-IN"/>
        </w:rPr>
        <w:drawing>
          <wp:inline distT="0" distB="0" distL="0" distR="0">
            <wp:extent cx="3095624" cy="1952625"/>
            <wp:effectExtent l="19050" t="0" r="9526" b="0"/>
            <wp:docPr id="43"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rsidR="005D564E" w:rsidRDefault="005D564E" w:rsidP="005D564E"/>
    <w:p w:rsidR="005D564E" w:rsidRDefault="005D564E" w:rsidP="005D564E">
      <w:r>
        <w:t xml:space="preserve">The ratio of Return on capital employed of Vodafone is much weaker than that of BT as demonstrated by the above table and the graphical representation. The underlying reason is the profit generation capacity of Vodafone out of the capital employed is much lower to the proportion in which BT generates return over the capital employed. This generates that </w:t>
      </w:r>
      <w:proofErr w:type="gramStart"/>
      <w:r>
        <w:t>Vodafone  has</w:t>
      </w:r>
      <w:proofErr w:type="gramEnd"/>
      <w:r>
        <w:t xml:space="preserve"> much lower ret5urn  generation efficiency out of the capital employed compared to BT</w:t>
      </w:r>
    </w:p>
    <w:p w:rsidR="005D564E" w:rsidRPr="006E6009" w:rsidRDefault="005D564E" w:rsidP="005D564E">
      <w:pPr>
        <w:rPr>
          <w:b/>
        </w:rPr>
      </w:pPr>
      <w:r w:rsidRPr="006E6009">
        <w:rPr>
          <w:rFonts w:eastAsia="Times New Roman" w:cs="Times New Roman"/>
          <w:b/>
          <w:color w:val="000000"/>
        </w:rPr>
        <w:t>Total asset turnover ratio</w:t>
      </w:r>
      <w:r>
        <w:rPr>
          <w:rFonts w:eastAsia="Times New Roman" w:cs="Times New Roman"/>
          <w:b/>
          <w:color w:val="000000"/>
        </w:rPr>
        <w:t>:</w:t>
      </w:r>
    </w:p>
    <w:p w:rsidR="005D564E" w:rsidRDefault="005D564E" w:rsidP="005D564E"/>
    <w:tbl>
      <w:tblPr>
        <w:tblW w:w="6482" w:type="dxa"/>
        <w:jc w:val="center"/>
        <w:tblInd w:w="103" w:type="dxa"/>
        <w:shd w:val="clear" w:color="auto" w:fill="FFCCFF"/>
        <w:tblLook w:val="04A0" w:firstRow="1" w:lastRow="0" w:firstColumn="1" w:lastColumn="0" w:noHBand="0" w:noVBand="1"/>
      </w:tblPr>
      <w:tblGrid>
        <w:gridCol w:w="2327"/>
        <w:gridCol w:w="831"/>
        <w:gridCol w:w="831"/>
        <w:gridCol w:w="831"/>
        <w:gridCol w:w="831"/>
        <w:gridCol w:w="831"/>
      </w:tblGrid>
      <w:tr w:rsidR="005D564E" w:rsidRPr="006E6009" w:rsidTr="001D7BD6">
        <w:trPr>
          <w:trHeight w:val="300"/>
          <w:jc w:val="center"/>
        </w:trPr>
        <w:tc>
          <w:tcPr>
            <w:tcW w:w="6482" w:type="dxa"/>
            <w:gridSpan w:val="6"/>
            <w:tcBorders>
              <w:top w:val="single" w:sz="4" w:space="0" w:color="auto"/>
              <w:left w:val="single" w:sz="4" w:space="0" w:color="auto"/>
              <w:bottom w:val="single" w:sz="4" w:space="0" w:color="auto"/>
              <w:right w:val="single" w:sz="4" w:space="0" w:color="auto"/>
            </w:tcBorders>
            <w:shd w:val="clear" w:color="auto" w:fill="FFCCFF"/>
            <w:noWrap/>
            <w:vAlign w:val="bottom"/>
            <w:hideMark/>
          </w:tcPr>
          <w:p w:rsidR="005D564E" w:rsidRPr="006E6009" w:rsidRDefault="005D564E" w:rsidP="001D7BD6">
            <w:pPr>
              <w:spacing w:after="0" w:line="240" w:lineRule="auto"/>
              <w:jc w:val="center"/>
              <w:rPr>
                <w:rFonts w:eastAsia="Times New Roman" w:cs="Times New Roman"/>
                <w:color w:val="000000"/>
              </w:rPr>
            </w:pPr>
            <w:r w:rsidRPr="006E6009">
              <w:rPr>
                <w:rFonts w:eastAsia="Times New Roman" w:cs="Times New Roman"/>
                <w:color w:val="000000"/>
              </w:rPr>
              <w:t>Total asset turnover ratio</w:t>
            </w:r>
          </w:p>
        </w:tc>
      </w:tr>
      <w:tr w:rsidR="005D564E" w:rsidRPr="006E6009" w:rsidTr="001D7BD6">
        <w:trPr>
          <w:trHeight w:val="300"/>
          <w:jc w:val="center"/>
        </w:trPr>
        <w:tc>
          <w:tcPr>
            <w:tcW w:w="2327" w:type="dxa"/>
            <w:tcBorders>
              <w:top w:val="nil"/>
              <w:left w:val="single" w:sz="4" w:space="0" w:color="auto"/>
              <w:bottom w:val="single" w:sz="4" w:space="0" w:color="auto"/>
              <w:right w:val="single" w:sz="4" w:space="0" w:color="auto"/>
            </w:tcBorders>
            <w:shd w:val="clear" w:color="auto" w:fill="FFCCFF"/>
            <w:noWrap/>
            <w:vAlign w:val="bottom"/>
            <w:hideMark/>
          </w:tcPr>
          <w:p w:rsidR="005D564E" w:rsidRPr="006E6009" w:rsidRDefault="005D564E" w:rsidP="001D7BD6">
            <w:pPr>
              <w:spacing w:after="0" w:line="240" w:lineRule="auto"/>
              <w:jc w:val="left"/>
              <w:rPr>
                <w:rFonts w:eastAsia="Times New Roman" w:cs="Times New Roman"/>
                <w:color w:val="000000"/>
              </w:rPr>
            </w:pPr>
            <w:r w:rsidRPr="006E6009">
              <w:rPr>
                <w:rFonts w:eastAsia="Times New Roman" w:cs="Times New Roman"/>
                <w:color w:val="000000"/>
              </w:rPr>
              <w:t> </w:t>
            </w:r>
          </w:p>
        </w:tc>
        <w:tc>
          <w:tcPr>
            <w:tcW w:w="831" w:type="dxa"/>
            <w:tcBorders>
              <w:top w:val="nil"/>
              <w:left w:val="nil"/>
              <w:bottom w:val="single" w:sz="4" w:space="0" w:color="auto"/>
              <w:right w:val="single" w:sz="4" w:space="0" w:color="auto"/>
            </w:tcBorders>
            <w:shd w:val="clear" w:color="auto" w:fill="FFCCFF"/>
            <w:noWrap/>
            <w:vAlign w:val="bottom"/>
            <w:hideMark/>
          </w:tcPr>
          <w:p w:rsidR="005D564E" w:rsidRPr="006E6009" w:rsidRDefault="005D564E" w:rsidP="001D7BD6">
            <w:pPr>
              <w:spacing w:after="0" w:line="240" w:lineRule="auto"/>
              <w:jc w:val="right"/>
              <w:rPr>
                <w:rFonts w:eastAsia="Times New Roman" w:cs="Times New Roman"/>
                <w:color w:val="000000"/>
              </w:rPr>
            </w:pPr>
            <w:r w:rsidRPr="006E6009">
              <w:rPr>
                <w:rFonts w:eastAsia="Times New Roman" w:cs="Times New Roman"/>
                <w:color w:val="000000"/>
              </w:rPr>
              <w:t>2012</w:t>
            </w:r>
          </w:p>
        </w:tc>
        <w:tc>
          <w:tcPr>
            <w:tcW w:w="831" w:type="dxa"/>
            <w:tcBorders>
              <w:top w:val="nil"/>
              <w:left w:val="nil"/>
              <w:bottom w:val="single" w:sz="4" w:space="0" w:color="auto"/>
              <w:right w:val="single" w:sz="4" w:space="0" w:color="auto"/>
            </w:tcBorders>
            <w:shd w:val="clear" w:color="auto" w:fill="FFCCFF"/>
            <w:noWrap/>
            <w:vAlign w:val="bottom"/>
            <w:hideMark/>
          </w:tcPr>
          <w:p w:rsidR="005D564E" w:rsidRPr="006E6009" w:rsidRDefault="005D564E" w:rsidP="001D7BD6">
            <w:pPr>
              <w:spacing w:after="0" w:line="240" w:lineRule="auto"/>
              <w:jc w:val="right"/>
              <w:rPr>
                <w:rFonts w:eastAsia="Times New Roman" w:cs="Times New Roman"/>
                <w:color w:val="000000"/>
              </w:rPr>
            </w:pPr>
            <w:r w:rsidRPr="006E6009">
              <w:rPr>
                <w:rFonts w:eastAsia="Times New Roman" w:cs="Times New Roman"/>
                <w:color w:val="000000"/>
              </w:rPr>
              <w:t>2013</w:t>
            </w:r>
          </w:p>
        </w:tc>
        <w:tc>
          <w:tcPr>
            <w:tcW w:w="831" w:type="dxa"/>
            <w:tcBorders>
              <w:top w:val="nil"/>
              <w:left w:val="nil"/>
              <w:bottom w:val="single" w:sz="4" w:space="0" w:color="auto"/>
              <w:right w:val="single" w:sz="4" w:space="0" w:color="auto"/>
            </w:tcBorders>
            <w:shd w:val="clear" w:color="auto" w:fill="FFCCFF"/>
            <w:noWrap/>
            <w:vAlign w:val="bottom"/>
            <w:hideMark/>
          </w:tcPr>
          <w:p w:rsidR="005D564E" w:rsidRPr="006E6009" w:rsidRDefault="005D564E" w:rsidP="001D7BD6">
            <w:pPr>
              <w:spacing w:after="0" w:line="240" w:lineRule="auto"/>
              <w:jc w:val="right"/>
              <w:rPr>
                <w:rFonts w:eastAsia="Times New Roman" w:cs="Times New Roman"/>
                <w:color w:val="000000"/>
              </w:rPr>
            </w:pPr>
            <w:r w:rsidRPr="006E6009">
              <w:rPr>
                <w:rFonts w:eastAsia="Times New Roman" w:cs="Times New Roman"/>
                <w:color w:val="000000"/>
              </w:rPr>
              <w:t>2014</w:t>
            </w:r>
          </w:p>
        </w:tc>
        <w:tc>
          <w:tcPr>
            <w:tcW w:w="831" w:type="dxa"/>
            <w:tcBorders>
              <w:top w:val="nil"/>
              <w:left w:val="nil"/>
              <w:bottom w:val="single" w:sz="4" w:space="0" w:color="auto"/>
              <w:right w:val="single" w:sz="4" w:space="0" w:color="auto"/>
            </w:tcBorders>
            <w:shd w:val="clear" w:color="auto" w:fill="FFCCFF"/>
            <w:noWrap/>
            <w:vAlign w:val="bottom"/>
            <w:hideMark/>
          </w:tcPr>
          <w:p w:rsidR="005D564E" w:rsidRPr="006E6009" w:rsidRDefault="005D564E" w:rsidP="001D7BD6">
            <w:pPr>
              <w:spacing w:after="0" w:line="240" w:lineRule="auto"/>
              <w:jc w:val="right"/>
              <w:rPr>
                <w:rFonts w:eastAsia="Times New Roman" w:cs="Times New Roman"/>
                <w:color w:val="000000"/>
              </w:rPr>
            </w:pPr>
            <w:r w:rsidRPr="006E6009">
              <w:rPr>
                <w:rFonts w:eastAsia="Times New Roman" w:cs="Times New Roman"/>
                <w:color w:val="000000"/>
              </w:rPr>
              <w:t>2015</w:t>
            </w:r>
          </w:p>
        </w:tc>
        <w:tc>
          <w:tcPr>
            <w:tcW w:w="831" w:type="dxa"/>
            <w:tcBorders>
              <w:top w:val="nil"/>
              <w:left w:val="nil"/>
              <w:bottom w:val="single" w:sz="4" w:space="0" w:color="auto"/>
              <w:right w:val="single" w:sz="4" w:space="0" w:color="auto"/>
            </w:tcBorders>
            <w:shd w:val="clear" w:color="auto" w:fill="FFCCFF"/>
            <w:noWrap/>
            <w:vAlign w:val="bottom"/>
            <w:hideMark/>
          </w:tcPr>
          <w:p w:rsidR="005D564E" w:rsidRPr="006E6009" w:rsidRDefault="005D564E" w:rsidP="001D7BD6">
            <w:pPr>
              <w:spacing w:after="0" w:line="240" w:lineRule="auto"/>
              <w:jc w:val="right"/>
              <w:rPr>
                <w:rFonts w:eastAsia="Times New Roman" w:cs="Times New Roman"/>
                <w:color w:val="000000"/>
              </w:rPr>
            </w:pPr>
            <w:r w:rsidRPr="006E6009">
              <w:rPr>
                <w:rFonts w:eastAsia="Times New Roman" w:cs="Times New Roman"/>
                <w:color w:val="000000"/>
              </w:rPr>
              <w:t>2016</w:t>
            </w:r>
          </w:p>
        </w:tc>
      </w:tr>
      <w:tr w:rsidR="005D564E" w:rsidRPr="006E6009" w:rsidTr="001D7BD6">
        <w:trPr>
          <w:trHeight w:val="300"/>
          <w:jc w:val="center"/>
        </w:trPr>
        <w:tc>
          <w:tcPr>
            <w:tcW w:w="2327" w:type="dxa"/>
            <w:tcBorders>
              <w:top w:val="nil"/>
              <w:left w:val="single" w:sz="4" w:space="0" w:color="auto"/>
              <w:bottom w:val="single" w:sz="4" w:space="0" w:color="auto"/>
              <w:right w:val="single" w:sz="4" w:space="0" w:color="auto"/>
            </w:tcBorders>
            <w:shd w:val="clear" w:color="auto" w:fill="FFCCFF"/>
            <w:vAlign w:val="bottom"/>
            <w:hideMark/>
          </w:tcPr>
          <w:p w:rsidR="005D564E" w:rsidRPr="006E6009" w:rsidRDefault="005D564E" w:rsidP="001D7BD6">
            <w:pPr>
              <w:spacing w:after="0" w:line="240" w:lineRule="auto"/>
              <w:jc w:val="left"/>
              <w:rPr>
                <w:rFonts w:eastAsia="Times New Roman" w:cs="Times New Roman"/>
                <w:color w:val="000000"/>
              </w:rPr>
            </w:pPr>
            <w:r w:rsidRPr="006E6009">
              <w:rPr>
                <w:rFonts w:eastAsia="Times New Roman" w:cs="Times New Roman"/>
                <w:color w:val="000000"/>
              </w:rPr>
              <w:t>BT</w:t>
            </w:r>
          </w:p>
        </w:tc>
        <w:tc>
          <w:tcPr>
            <w:tcW w:w="831" w:type="dxa"/>
            <w:tcBorders>
              <w:top w:val="nil"/>
              <w:left w:val="nil"/>
              <w:bottom w:val="single" w:sz="4" w:space="0" w:color="auto"/>
              <w:right w:val="single" w:sz="4" w:space="0" w:color="auto"/>
            </w:tcBorders>
            <w:shd w:val="clear" w:color="auto" w:fill="FFCCFF"/>
            <w:noWrap/>
            <w:vAlign w:val="bottom"/>
            <w:hideMark/>
          </w:tcPr>
          <w:p w:rsidR="005D564E" w:rsidRPr="006E6009" w:rsidRDefault="005D564E" w:rsidP="001D7BD6">
            <w:pPr>
              <w:spacing w:after="0" w:line="240" w:lineRule="auto"/>
              <w:jc w:val="right"/>
              <w:rPr>
                <w:rFonts w:eastAsia="Times New Roman" w:cs="Times New Roman"/>
                <w:color w:val="000000"/>
              </w:rPr>
            </w:pPr>
            <w:r w:rsidRPr="006E6009">
              <w:rPr>
                <w:rFonts w:eastAsia="Times New Roman" w:cs="Times New Roman"/>
                <w:color w:val="000000"/>
              </w:rPr>
              <w:t>0.79</w:t>
            </w:r>
          </w:p>
        </w:tc>
        <w:tc>
          <w:tcPr>
            <w:tcW w:w="831" w:type="dxa"/>
            <w:tcBorders>
              <w:top w:val="nil"/>
              <w:left w:val="nil"/>
              <w:bottom w:val="single" w:sz="4" w:space="0" w:color="auto"/>
              <w:right w:val="single" w:sz="4" w:space="0" w:color="auto"/>
            </w:tcBorders>
            <w:shd w:val="clear" w:color="auto" w:fill="FFCCFF"/>
            <w:noWrap/>
            <w:vAlign w:val="bottom"/>
            <w:hideMark/>
          </w:tcPr>
          <w:p w:rsidR="005D564E" w:rsidRPr="006E6009" w:rsidRDefault="005D564E" w:rsidP="001D7BD6">
            <w:pPr>
              <w:spacing w:after="0" w:line="240" w:lineRule="auto"/>
              <w:jc w:val="right"/>
              <w:rPr>
                <w:rFonts w:eastAsia="Times New Roman" w:cs="Times New Roman"/>
                <w:color w:val="000000"/>
              </w:rPr>
            </w:pPr>
            <w:r w:rsidRPr="006E6009">
              <w:rPr>
                <w:rFonts w:eastAsia="Times New Roman" w:cs="Times New Roman"/>
                <w:color w:val="000000"/>
              </w:rPr>
              <w:t>0.41</w:t>
            </w:r>
          </w:p>
        </w:tc>
        <w:tc>
          <w:tcPr>
            <w:tcW w:w="831" w:type="dxa"/>
            <w:tcBorders>
              <w:top w:val="nil"/>
              <w:left w:val="nil"/>
              <w:bottom w:val="single" w:sz="4" w:space="0" w:color="auto"/>
              <w:right w:val="single" w:sz="4" w:space="0" w:color="auto"/>
            </w:tcBorders>
            <w:shd w:val="clear" w:color="auto" w:fill="FFCCFF"/>
            <w:noWrap/>
            <w:vAlign w:val="bottom"/>
            <w:hideMark/>
          </w:tcPr>
          <w:p w:rsidR="005D564E" w:rsidRPr="006E6009" w:rsidRDefault="005D564E" w:rsidP="001D7BD6">
            <w:pPr>
              <w:spacing w:after="0" w:line="240" w:lineRule="auto"/>
              <w:jc w:val="right"/>
              <w:rPr>
                <w:rFonts w:eastAsia="Times New Roman" w:cs="Times New Roman"/>
                <w:color w:val="000000"/>
              </w:rPr>
            </w:pPr>
            <w:r w:rsidRPr="006E6009">
              <w:rPr>
                <w:rFonts w:eastAsia="Times New Roman" w:cs="Times New Roman"/>
                <w:color w:val="000000"/>
              </w:rPr>
              <w:t>0.41</w:t>
            </w:r>
          </w:p>
        </w:tc>
        <w:tc>
          <w:tcPr>
            <w:tcW w:w="831" w:type="dxa"/>
            <w:tcBorders>
              <w:top w:val="nil"/>
              <w:left w:val="nil"/>
              <w:bottom w:val="single" w:sz="4" w:space="0" w:color="auto"/>
              <w:right w:val="single" w:sz="4" w:space="0" w:color="auto"/>
            </w:tcBorders>
            <w:shd w:val="clear" w:color="auto" w:fill="FFCCFF"/>
            <w:noWrap/>
            <w:vAlign w:val="bottom"/>
            <w:hideMark/>
          </w:tcPr>
          <w:p w:rsidR="005D564E" w:rsidRPr="006E6009" w:rsidRDefault="005D564E" w:rsidP="001D7BD6">
            <w:pPr>
              <w:spacing w:after="0" w:line="240" w:lineRule="auto"/>
              <w:jc w:val="right"/>
              <w:rPr>
                <w:rFonts w:eastAsia="Times New Roman" w:cs="Times New Roman"/>
                <w:color w:val="000000"/>
              </w:rPr>
            </w:pPr>
            <w:r w:rsidRPr="006E6009">
              <w:rPr>
                <w:rFonts w:eastAsia="Times New Roman" w:cs="Times New Roman"/>
                <w:color w:val="000000"/>
              </w:rPr>
              <w:t>0.38</w:t>
            </w:r>
          </w:p>
        </w:tc>
        <w:tc>
          <w:tcPr>
            <w:tcW w:w="831" w:type="dxa"/>
            <w:tcBorders>
              <w:top w:val="nil"/>
              <w:left w:val="nil"/>
              <w:bottom w:val="single" w:sz="4" w:space="0" w:color="auto"/>
              <w:right w:val="single" w:sz="4" w:space="0" w:color="auto"/>
            </w:tcBorders>
            <w:shd w:val="clear" w:color="auto" w:fill="FFCCFF"/>
            <w:noWrap/>
            <w:vAlign w:val="bottom"/>
            <w:hideMark/>
          </w:tcPr>
          <w:p w:rsidR="005D564E" w:rsidRPr="006E6009" w:rsidRDefault="005D564E" w:rsidP="001D7BD6">
            <w:pPr>
              <w:spacing w:after="0" w:line="240" w:lineRule="auto"/>
              <w:jc w:val="right"/>
              <w:rPr>
                <w:rFonts w:eastAsia="Times New Roman" w:cs="Times New Roman"/>
                <w:color w:val="000000"/>
              </w:rPr>
            </w:pPr>
            <w:r w:rsidRPr="006E6009">
              <w:rPr>
                <w:rFonts w:eastAsia="Times New Roman" w:cs="Times New Roman"/>
                <w:color w:val="000000"/>
              </w:rPr>
              <w:t>0.35</w:t>
            </w:r>
          </w:p>
        </w:tc>
      </w:tr>
      <w:tr w:rsidR="005D564E" w:rsidRPr="006E6009" w:rsidTr="001D7BD6">
        <w:trPr>
          <w:trHeight w:val="300"/>
          <w:jc w:val="center"/>
        </w:trPr>
        <w:tc>
          <w:tcPr>
            <w:tcW w:w="2327" w:type="dxa"/>
            <w:tcBorders>
              <w:top w:val="nil"/>
              <w:left w:val="single" w:sz="4" w:space="0" w:color="auto"/>
              <w:bottom w:val="single" w:sz="4" w:space="0" w:color="auto"/>
              <w:right w:val="single" w:sz="4" w:space="0" w:color="auto"/>
            </w:tcBorders>
            <w:shd w:val="clear" w:color="auto" w:fill="FFCCFF"/>
            <w:noWrap/>
            <w:vAlign w:val="bottom"/>
            <w:hideMark/>
          </w:tcPr>
          <w:p w:rsidR="005D564E" w:rsidRPr="006E6009" w:rsidRDefault="005D564E" w:rsidP="001D7BD6">
            <w:pPr>
              <w:spacing w:after="0" w:line="240" w:lineRule="auto"/>
              <w:jc w:val="left"/>
              <w:rPr>
                <w:rFonts w:eastAsia="Times New Roman" w:cs="Times New Roman"/>
                <w:color w:val="000000"/>
              </w:rPr>
            </w:pPr>
            <w:r w:rsidRPr="006E6009">
              <w:rPr>
                <w:rFonts w:eastAsia="Times New Roman" w:cs="Times New Roman"/>
                <w:color w:val="000000"/>
              </w:rPr>
              <w:t>Vodafone</w:t>
            </w:r>
          </w:p>
        </w:tc>
        <w:tc>
          <w:tcPr>
            <w:tcW w:w="831" w:type="dxa"/>
            <w:tcBorders>
              <w:top w:val="nil"/>
              <w:left w:val="nil"/>
              <w:bottom w:val="single" w:sz="4" w:space="0" w:color="auto"/>
              <w:right w:val="single" w:sz="4" w:space="0" w:color="auto"/>
            </w:tcBorders>
            <w:shd w:val="clear" w:color="auto" w:fill="FFCCFF"/>
            <w:noWrap/>
            <w:vAlign w:val="bottom"/>
            <w:hideMark/>
          </w:tcPr>
          <w:p w:rsidR="005D564E" w:rsidRPr="006E6009" w:rsidRDefault="005D564E" w:rsidP="001D7BD6">
            <w:pPr>
              <w:spacing w:after="0" w:line="240" w:lineRule="auto"/>
              <w:jc w:val="right"/>
              <w:rPr>
                <w:rFonts w:eastAsia="Times New Roman" w:cs="Times New Roman"/>
                <w:color w:val="000000"/>
              </w:rPr>
            </w:pPr>
            <w:r w:rsidRPr="006E6009">
              <w:rPr>
                <w:rFonts w:eastAsia="Times New Roman" w:cs="Times New Roman"/>
                <w:color w:val="000000"/>
              </w:rPr>
              <w:t>0.29</w:t>
            </w:r>
          </w:p>
        </w:tc>
        <w:tc>
          <w:tcPr>
            <w:tcW w:w="831" w:type="dxa"/>
            <w:tcBorders>
              <w:top w:val="nil"/>
              <w:left w:val="nil"/>
              <w:bottom w:val="single" w:sz="4" w:space="0" w:color="auto"/>
              <w:right w:val="single" w:sz="4" w:space="0" w:color="auto"/>
            </w:tcBorders>
            <w:shd w:val="clear" w:color="auto" w:fill="FFCCFF"/>
            <w:noWrap/>
            <w:vAlign w:val="bottom"/>
            <w:hideMark/>
          </w:tcPr>
          <w:p w:rsidR="005D564E" w:rsidRPr="006E6009" w:rsidRDefault="005D564E" w:rsidP="001D7BD6">
            <w:pPr>
              <w:spacing w:after="0" w:line="240" w:lineRule="auto"/>
              <w:jc w:val="right"/>
              <w:rPr>
                <w:rFonts w:eastAsia="Times New Roman" w:cs="Times New Roman"/>
                <w:color w:val="000000"/>
              </w:rPr>
            </w:pPr>
            <w:r w:rsidRPr="006E6009">
              <w:rPr>
                <w:rFonts w:eastAsia="Times New Roman" w:cs="Times New Roman"/>
                <w:color w:val="000000"/>
              </w:rPr>
              <w:t>0.28</w:t>
            </w:r>
          </w:p>
        </w:tc>
        <w:tc>
          <w:tcPr>
            <w:tcW w:w="831" w:type="dxa"/>
            <w:tcBorders>
              <w:top w:val="nil"/>
              <w:left w:val="nil"/>
              <w:bottom w:val="single" w:sz="4" w:space="0" w:color="auto"/>
              <w:right w:val="single" w:sz="4" w:space="0" w:color="auto"/>
            </w:tcBorders>
            <w:shd w:val="clear" w:color="auto" w:fill="FFCCFF"/>
            <w:noWrap/>
            <w:vAlign w:val="bottom"/>
            <w:hideMark/>
          </w:tcPr>
          <w:p w:rsidR="005D564E" w:rsidRPr="006E6009" w:rsidRDefault="005D564E" w:rsidP="001D7BD6">
            <w:pPr>
              <w:spacing w:after="0" w:line="240" w:lineRule="auto"/>
              <w:jc w:val="right"/>
              <w:rPr>
                <w:rFonts w:eastAsia="Times New Roman" w:cs="Times New Roman"/>
                <w:color w:val="000000"/>
              </w:rPr>
            </w:pPr>
            <w:r w:rsidRPr="006E6009">
              <w:rPr>
                <w:rFonts w:eastAsia="Times New Roman" w:cs="Times New Roman"/>
                <w:color w:val="000000"/>
              </w:rPr>
              <w:t>0.31</w:t>
            </w:r>
          </w:p>
        </w:tc>
        <w:tc>
          <w:tcPr>
            <w:tcW w:w="831" w:type="dxa"/>
            <w:tcBorders>
              <w:top w:val="nil"/>
              <w:left w:val="nil"/>
              <w:bottom w:val="single" w:sz="4" w:space="0" w:color="auto"/>
              <w:right w:val="single" w:sz="4" w:space="0" w:color="auto"/>
            </w:tcBorders>
            <w:shd w:val="clear" w:color="auto" w:fill="FFCCFF"/>
            <w:noWrap/>
            <w:vAlign w:val="bottom"/>
            <w:hideMark/>
          </w:tcPr>
          <w:p w:rsidR="005D564E" w:rsidRPr="006E6009" w:rsidRDefault="005D564E" w:rsidP="001D7BD6">
            <w:pPr>
              <w:spacing w:after="0" w:line="240" w:lineRule="auto"/>
              <w:jc w:val="right"/>
              <w:rPr>
                <w:rFonts w:eastAsia="Times New Roman" w:cs="Times New Roman"/>
                <w:color w:val="000000"/>
              </w:rPr>
            </w:pPr>
            <w:r w:rsidRPr="006E6009">
              <w:rPr>
                <w:rFonts w:eastAsia="Times New Roman" w:cs="Times New Roman"/>
                <w:color w:val="000000"/>
              </w:rPr>
              <w:t>0.34</w:t>
            </w:r>
          </w:p>
        </w:tc>
        <w:tc>
          <w:tcPr>
            <w:tcW w:w="831" w:type="dxa"/>
            <w:tcBorders>
              <w:top w:val="nil"/>
              <w:left w:val="nil"/>
              <w:bottom w:val="single" w:sz="4" w:space="0" w:color="auto"/>
              <w:right w:val="single" w:sz="4" w:space="0" w:color="auto"/>
            </w:tcBorders>
            <w:shd w:val="clear" w:color="auto" w:fill="FFCCFF"/>
            <w:noWrap/>
            <w:vAlign w:val="bottom"/>
            <w:hideMark/>
          </w:tcPr>
          <w:p w:rsidR="005D564E" w:rsidRPr="006E6009" w:rsidRDefault="005D564E" w:rsidP="001D7BD6">
            <w:pPr>
              <w:spacing w:after="0" w:line="240" w:lineRule="auto"/>
              <w:jc w:val="right"/>
              <w:rPr>
                <w:rFonts w:eastAsia="Times New Roman" w:cs="Times New Roman"/>
                <w:color w:val="000000"/>
              </w:rPr>
            </w:pPr>
            <w:r w:rsidRPr="006E6009">
              <w:rPr>
                <w:rFonts w:eastAsia="Times New Roman" w:cs="Times New Roman"/>
                <w:color w:val="000000"/>
              </w:rPr>
              <w:t>0.31</w:t>
            </w:r>
          </w:p>
        </w:tc>
      </w:tr>
    </w:tbl>
    <w:p w:rsidR="005D564E" w:rsidRDefault="005D564E" w:rsidP="005D564E">
      <w:pPr>
        <w:jc w:val="center"/>
      </w:pPr>
    </w:p>
    <w:p w:rsidR="005D564E" w:rsidRDefault="005D564E" w:rsidP="005D564E">
      <w:pPr>
        <w:jc w:val="center"/>
      </w:pPr>
      <w:r w:rsidRPr="009F266B">
        <w:rPr>
          <w:noProof/>
          <w:lang w:val="en-IN" w:eastAsia="en-IN"/>
        </w:rPr>
        <w:lastRenderedPageBreak/>
        <w:drawing>
          <wp:inline distT="0" distB="0" distL="0" distR="0">
            <wp:extent cx="3095624" cy="1952625"/>
            <wp:effectExtent l="19050" t="0" r="9526" b="0"/>
            <wp:docPr id="44"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rsidR="005D564E" w:rsidRDefault="005D564E" w:rsidP="005D564E">
      <w:r>
        <w:t>The asset turnover ratio of the organization Vodafone is also weaker than that of BT due to the low revenue generation capacity out of the 5total asset employed by Vodafone as represented by the above table and the graph.</w:t>
      </w:r>
    </w:p>
    <w:p w:rsidR="005D564E" w:rsidRPr="00704425" w:rsidRDefault="005D564E" w:rsidP="005D564E">
      <w:pPr>
        <w:rPr>
          <w:b/>
        </w:rPr>
      </w:pPr>
      <w:r w:rsidRPr="00BE3FE7">
        <w:rPr>
          <w:rFonts w:eastAsia="Times New Roman" w:cs="Times New Roman"/>
          <w:b/>
          <w:color w:val="000000"/>
        </w:rPr>
        <w:t>Gearing Ratio</w:t>
      </w:r>
      <w:r>
        <w:rPr>
          <w:rFonts w:eastAsia="Times New Roman" w:cs="Times New Roman"/>
          <w:b/>
          <w:color w:val="000000"/>
        </w:rPr>
        <w:t>:</w:t>
      </w:r>
    </w:p>
    <w:tbl>
      <w:tblPr>
        <w:tblW w:w="6482" w:type="dxa"/>
        <w:jc w:val="center"/>
        <w:tblInd w:w="103" w:type="dxa"/>
        <w:shd w:val="clear" w:color="auto" w:fill="D9D9D9" w:themeFill="background1" w:themeFillShade="D9"/>
        <w:tblLook w:val="04A0" w:firstRow="1" w:lastRow="0" w:firstColumn="1" w:lastColumn="0" w:noHBand="0" w:noVBand="1"/>
      </w:tblPr>
      <w:tblGrid>
        <w:gridCol w:w="2327"/>
        <w:gridCol w:w="831"/>
        <w:gridCol w:w="831"/>
        <w:gridCol w:w="831"/>
        <w:gridCol w:w="831"/>
        <w:gridCol w:w="831"/>
      </w:tblGrid>
      <w:tr w:rsidR="005D564E" w:rsidRPr="00BE3FE7" w:rsidTr="001D7BD6">
        <w:trPr>
          <w:trHeight w:val="300"/>
          <w:jc w:val="center"/>
        </w:trPr>
        <w:tc>
          <w:tcPr>
            <w:tcW w:w="6482" w:type="dxa"/>
            <w:gridSpan w:val="6"/>
            <w:tcBorders>
              <w:top w:val="single" w:sz="4" w:space="0" w:color="auto"/>
              <w:left w:val="single" w:sz="4" w:space="0" w:color="auto"/>
              <w:bottom w:val="single" w:sz="4" w:space="0" w:color="auto"/>
              <w:right w:val="single" w:sz="4" w:space="0" w:color="auto"/>
            </w:tcBorders>
            <w:shd w:val="clear" w:color="auto" w:fill="D9D9D9" w:themeFill="background1" w:themeFillShade="D9"/>
            <w:noWrap/>
            <w:vAlign w:val="bottom"/>
            <w:hideMark/>
          </w:tcPr>
          <w:p w:rsidR="005D564E" w:rsidRPr="00BE3FE7" w:rsidRDefault="005D564E" w:rsidP="001D7BD6">
            <w:pPr>
              <w:spacing w:after="0" w:line="240" w:lineRule="auto"/>
              <w:jc w:val="center"/>
              <w:rPr>
                <w:rFonts w:eastAsia="Times New Roman" w:cs="Times New Roman"/>
                <w:color w:val="000000"/>
              </w:rPr>
            </w:pPr>
            <w:r w:rsidRPr="00BE3FE7">
              <w:rPr>
                <w:rFonts w:eastAsia="Times New Roman" w:cs="Times New Roman"/>
                <w:color w:val="000000"/>
              </w:rPr>
              <w:t>Gearing Ratio</w:t>
            </w:r>
          </w:p>
        </w:tc>
      </w:tr>
      <w:tr w:rsidR="005D564E" w:rsidRPr="00BE3FE7" w:rsidTr="001D7BD6">
        <w:trPr>
          <w:trHeight w:val="300"/>
          <w:jc w:val="center"/>
        </w:trPr>
        <w:tc>
          <w:tcPr>
            <w:tcW w:w="2327" w:type="dxa"/>
            <w:tcBorders>
              <w:top w:val="nil"/>
              <w:left w:val="single" w:sz="4" w:space="0" w:color="auto"/>
              <w:bottom w:val="single" w:sz="4" w:space="0" w:color="auto"/>
              <w:right w:val="single" w:sz="4" w:space="0" w:color="auto"/>
            </w:tcBorders>
            <w:shd w:val="clear" w:color="auto" w:fill="D9D9D9" w:themeFill="background1" w:themeFillShade="D9"/>
            <w:noWrap/>
            <w:vAlign w:val="bottom"/>
            <w:hideMark/>
          </w:tcPr>
          <w:p w:rsidR="005D564E" w:rsidRPr="00BE3FE7" w:rsidRDefault="005D564E" w:rsidP="001D7BD6">
            <w:pPr>
              <w:spacing w:after="0" w:line="240" w:lineRule="auto"/>
              <w:jc w:val="left"/>
              <w:rPr>
                <w:rFonts w:eastAsia="Times New Roman" w:cs="Times New Roman"/>
                <w:color w:val="000000"/>
              </w:rPr>
            </w:pPr>
            <w:r w:rsidRPr="00BE3FE7">
              <w:rPr>
                <w:rFonts w:eastAsia="Times New Roman" w:cs="Times New Roman"/>
                <w:color w:val="000000"/>
              </w:rPr>
              <w:t> </w:t>
            </w:r>
          </w:p>
        </w:tc>
        <w:tc>
          <w:tcPr>
            <w:tcW w:w="831" w:type="dxa"/>
            <w:tcBorders>
              <w:top w:val="nil"/>
              <w:left w:val="nil"/>
              <w:bottom w:val="single" w:sz="4" w:space="0" w:color="auto"/>
              <w:right w:val="single" w:sz="4" w:space="0" w:color="auto"/>
            </w:tcBorders>
            <w:shd w:val="clear" w:color="auto" w:fill="D9D9D9" w:themeFill="background1" w:themeFillShade="D9"/>
            <w:noWrap/>
            <w:vAlign w:val="bottom"/>
            <w:hideMark/>
          </w:tcPr>
          <w:p w:rsidR="005D564E" w:rsidRPr="00BE3FE7" w:rsidRDefault="005D564E" w:rsidP="001D7BD6">
            <w:pPr>
              <w:spacing w:after="0" w:line="240" w:lineRule="auto"/>
              <w:jc w:val="right"/>
              <w:rPr>
                <w:rFonts w:eastAsia="Times New Roman" w:cs="Times New Roman"/>
                <w:color w:val="000000"/>
              </w:rPr>
            </w:pPr>
            <w:r w:rsidRPr="00BE3FE7">
              <w:rPr>
                <w:rFonts w:eastAsia="Times New Roman" w:cs="Times New Roman"/>
                <w:color w:val="000000"/>
              </w:rPr>
              <w:t>2012</w:t>
            </w:r>
          </w:p>
        </w:tc>
        <w:tc>
          <w:tcPr>
            <w:tcW w:w="831" w:type="dxa"/>
            <w:tcBorders>
              <w:top w:val="nil"/>
              <w:left w:val="nil"/>
              <w:bottom w:val="single" w:sz="4" w:space="0" w:color="auto"/>
              <w:right w:val="single" w:sz="4" w:space="0" w:color="auto"/>
            </w:tcBorders>
            <w:shd w:val="clear" w:color="auto" w:fill="D9D9D9" w:themeFill="background1" w:themeFillShade="D9"/>
            <w:noWrap/>
            <w:vAlign w:val="bottom"/>
            <w:hideMark/>
          </w:tcPr>
          <w:p w:rsidR="005D564E" w:rsidRPr="00BE3FE7" w:rsidRDefault="005D564E" w:rsidP="001D7BD6">
            <w:pPr>
              <w:spacing w:after="0" w:line="240" w:lineRule="auto"/>
              <w:jc w:val="right"/>
              <w:rPr>
                <w:rFonts w:eastAsia="Times New Roman" w:cs="Times New Roman"/>
                <w:color w:val="000000"/>
              </w:rPr>
            </w:pPr>
            <w:r w:rsidRPr="00BE3FE7">
              <w:rPr>
                <w:rFonts w:eastAsia="Times New Roman" w:cs="Times New Roman"/>
                <w:color w:val="000000"/>
              </w:rPr>
              <w:t>2013</w:t>
            </w:r>
          </w:p>
        </w:tc>
        <w:tc>
          <w:tcPr>
            <w:tcW w:w="831" w:type="dxa"/>
            <w:tcBorders>
              <w:top w:val="nil"/>
              <w:left w:val="nil"/>
              <w:bottom w:val="single" w:sz="4" w:space="0" w:color="auto"/>
              <w:right w:val="single" w:sz="4" w:space="0" w:color="auto"/>
            </w:tcBorders>
            <w:shd w:val="clear" w:color="auto" w:fill="D9D9D9" w:themeFill="background1" w:themeFillShade="D9"/>
            <w:noWrap/>
            <w:vAlign w:val="bottom"/>
            <w:hideMark/>
          </w:tcPr>
          <w:p w:rsidR="005D564E" w:rsidRPr="00BE3FE7" w:rsidRDefault="005D564E" w:rsidP="001D7BD6">
            <w:pPr>
              <w:spacing w:after="0" w:line="240" w:lineRule="auto"/>
              <w:jc w:val="right"/>
              <w:rPr>
                <w:rFonts w:eastAsia="Times New Roman" w:cs="Times New Roman"/>
                <w:color w:val="000000"/>
              </w:rPr>
            </w:pPr>
            <w:r w:rsidRPr="00BE3FE7">
              <w:rPr>
                <w:rFonts w:eastAsia="Times New Roman" w:cs="Times New Roman"/>
                <w:color w:val="000000"/>
              </w:rPr>
              <w:t>2014</w:t>
            </w:r>
          </w:p>
        </w:tc>
        <w:tc>
          <w:tcPr>
            <w:tcW w:w="831" w:type="dxa"/>
            <w:tcBorders>
              <w:top w:val="nil"/>
              <w:left w:val="nil"/>
              <w:bottom w:val="single" w:sz="4" w:space="0" w:color="auto"/>
              <w:right w:val="single" w:sz="4" w:space="0" w:color="auto"/>
            </w:tcBorders>
            <w:shd w:val="clear" w:color="auto" w:fill="D9D9D9" w:themeFill="background1" w:themeFillShade="D9"/>
            <w:noWrap/>
            <w:vAlign w:val="bottom"/>
            <w:hideMark/>
          </w:tcPr>
          <w:p w:rsidR="005D564E" w:rsidRPr="00BE3FE7" w:rsidRDefault="005D564E" w:rsidP="001D7BD6">
            <w:pPr>
              <w:spacing w:after="0" w:line="240" w:lineRule="auto"/>
              <w:jc w:val="right"/>
              <w:rPr>
                <w:rFonts w:eastAsia="Times New Roman" w:cs="Times New Roman"/>
                <w:color w:val="000000"/>
              </w:rPr>
            </w:pPr>
            <w:r w:rsidRPr="00BE3FE7">
              <w:rPr>
                <w:rFonts w:eastAsia="Times New Roman" w:cs="Times New Roman"/>
                <w:color w:val="000000"/>
              </w:rPr>
              <w:t>2015</w:t>
            </w:r>
          </w:p>
        </w:tc>
        <w:tc>
          <w:tcPr>
            <w:tcW w:w="831" w:type="dxa"/>
            <w:tcBorders>
              <w:top w:val="nil"/>
              <w:left w:val="nil"/>
              <w:bottom w:val="single" w:sz="4" w:space="0" w:color="auto"/>
              <w:right w:val="single" w:sz="4" w:space="0" w:color="auto"/>
            </w:tcBorders>
            <w:shd w:val="clear" w:color="auto" w:fill="D9D9D9" w:themeFill="background1" w:themeFillShade="D9"/>
            <w:noWrap/>
            <w:vAlign w:val="bottom"/>
            <w:hideMark/>
          </w:tcPr>
          <w:p w:rsidR="005D564E" w:rsidRPr="00BE3FE7" w:rsidRDefault="005D564E" w:rsidP="001D7BD6">
            <w:pPr>
              <w:spacing w:after="0" w:line="240" w:lineRule="auto"/>
              <w:jc w:val="right"/>
              <w:rPr>
                <w:rFonts w:eastAsia="Times New Roman" w:cs="Times New Roman"/>
                <w:color w:val="000000"/>
              </w:rPr>
            </w:pPr>
            <w:r w:rsidRPr="00BE3FE7">
              <w:rPr>
                <w:rFonts w:eastAsia="Times New Roman" w:cs="Times New Roman"/>
                <w:color w:val="000000"/>
              </w:rPr>
              <w:t>2016</w:t>
            </w:r>
          </w:p>
        </w:tc>
      </w:tr>
      <w:tr w:rsidR="005D564E" w:rsidRPr="00BE3FE7" w:rsidTr="001D7BD6">
        <w:trPr>
          <w:trHeight w:val="300"/>
          <w:jc w:val="center"/>
        </w:trPr>
        <w:tc>
          <w:tcPr>
            <w:tcW w:w="2327" w:type="dxa"/>
            <w:tcBorders>
              <w:top w:val="nil"/>
              <w:left w:val="single" w:sz="4" w:space="0" w:color="auto"/>
              <w:bottom w:val="single" w:sz="4" w:space="0" w:color="auto"/>
              <w:right w:val="single" w:sz="4" w:space="0" w:color="auto"/>
            </w:tcBorders>
            <w:shd w:val="clear" w:color="auto" w:fill="D9D9D9" w:themeFill="background1" w:themeFillShade="D9"/>
            <w:vAlign w:val="bottom"/>
            <w:hideMark/>
          </w:tcPr>
          <w:p w:rsidR="005D564E" w:rsidRPr="00BE3FE7" w:rsidRDefault="005D564E" w:rsidP="001D7BD6">
            <w:pPr>
              <w:spacing w:after="0" w:line="240" w:lineRule="auto"/>
              <w:jc w:val="left"/>
              <w:rPr>
                <w:rFonts w:eastAsia="Times New Roman" w:cs="Times New Roman"/>
                <w:color w:val="000000"/>
              </w:rPr>
            </w:pPr>
            <w:r w:rsidRPr="00BE3FE7">
              <w:rPr>
                <w:rFonts w:eastAsia="Times New Roman" w:cs="Times New Roman"/>
                <w:color w:val="000000"/>
              </w:rPr>
              <w:t>BT</w:t>
            </w:r>
          </w:p>
        </w:tc>
        <w:tc>
          <w:tcPr>
            <w:tcW w:w="831" w:type="dxa"/>
            <w:tcBorders>
              <w:top w:val="nil"/>
              <w:left w:val="nil"/>
              <w:bottom w:val="single" w:sz="4" w:space="0" w:color="auto"/>
              <w:right w:val="single" w:sz="4" w:space="0" w:color="auto"/>
            </w:tcBorders>
            <w:shd w:val="clear" w:color="auto" w:fill="D9D9D9" w:themeFill="background1" w:themeFillShade="D9"/>
            <w:noWrap/>
            <w:vAlign w:val="bottom"/>
            <w:hideMark/>
          </w:tcPr>
          <w:p w:rsidR="005D564E" w:rsidRPr="00BE3FE7" w:rsidRDefault="005D564E" w:rsidP="001D7BD6">
            <w:pPr>
              <w:spacing w:after="0" w:line="240" w:lineRule="auto"/>
              <w:jc w:val="right"/>
              <w:rPr>
                <w:rFonts w:eastAsia="Times New Roman" w:cs="Times New Roman"/>
                <w:color w:val="000000"/>
              </w:rPr>
            </w:pPr>
            <w:r w:rsidRPr="00BE3FE7">
              <w:rPr>
                <w:rFonts w:eastAsia="Times New Roman" w:cs="Times New Roman"/>
                <w:color w:val="000000"/>
              </w:rPr>
              <w:t>96%</w:t>
            </w:r>
          </w:p>
        </w:tc>
        <w:tc>
          <w:tcPr>
            <w:tcW w:w="831" w:type="dxa"/>
            <w:tcBorders>
              <w:top w:val="nil"/>
              <w:left w:val="nil"/>
              <w:bottom w:val="single" w:sz="4" w:space="0" w:color="auto"/>
              <w:right w:val="single" w:sz="4" w:space="0" w:color="auto"/>
            </w:tcBorders>
            <w:shd w:val="clear" w:color="auto" w:fill="D9D9D9" w:themeFill="background1" w:themeFillShade="D9"/>
            <w:noWrap/>
            <w:vAlign w:val="bottom"/>
            <w:hideMark/>
          </w:tcPr>
          <w:p w:rsidR="005D564E" w:rsidRPr="00BE3FE7" w:rsidRDefault="005D564E" w:rsidP="001D7BD6">
            <w:pPr>
              <w:spacing w:after="0" w:line="240" w:lineRule="auto"/>
              <w:jc w:val="right"/>
              <w:rPr>
                <w:rFonts w:eastAsia="Times New Roman" w:cs="Times New Roman"/>
                <w:color w:val="000000"/>
              </w:rPr>
            </w:pPr>
            <w:r w:rsidRPr="00BE3FE7">
              <w:rPr>
                <w:rFonts w:eastAsia="Times New Roman" w:cs="Times New Roman"/>
                <w:color w:val="000000"/>
              </w:rPr>
              <w:t>64%</w:t>
            </w:r>
          </w:p>
        </w:tc>
        <w:tc>
          <w:tcPr>
            <w:tcW w:w="831" w:type="dxa"/>
            <w:tcBorders>
              <w:top w:val="nil"/>
              <w:left w:val="nil"/>
              <w:bottom w:val="single" w:sz="4" w:space="0" w:color="auto"/>
              <w:right w:val="single" w:sz="4" w:space="0" w:color="auto"/>
            </w:tcBorders>
            <w:shd w:val="clear" w:color="auto" w:fill="D9D9D9" w:themeFill="background1" w:themeFillShade="D9"/>
            <w:noWrap/>
            <w:vAlign w:val="bottom"/>
            <w:hideMark/>
          </w:tcPr>
          <w:p w:rsidR="005D564E" w:rsidRPr="00BE3FE7" w:rsidRDefault="005D564E" w:rsidP="001D7BD6">
            <w:pPr>
              <w:spacing w:after="0" w:line="240" w:lineRule="auto"/>
              <w:jc w:val="right"/>
              <w:rPr>
                <w:rFonts w:eastAsia="Times New Roman" w:cs="Times New Roman"/>
                <w:color w:val="000000"/>
              </w:rPr>
            </w:pPr>
            <w:r w:rsidRPr="00BE3FE7">
              <w:rPr>
                <w:rFonts w:eastAsia="Times New Roman" w:cs="Times New Roman"/>
                <w:color w:val="000000"/>
              </w:rPr>
              <w:t>64%</w:t>
            </w:r>
          </w:p>
        </w:tc>
        <w:tc>
          <w:tcPr>
            <w:tcW w:w="831" w:type="dxa"/>
            <w:tcBorders>
              <w:top w:val="nil"/>
              <w:left w:val="nil"/>
              <w:bottom w:val="single" w:sz="4" w:space="0" w:color="auto"/>
              <w:right w:val="single" w:sz="4" w:space="0" w:color="auto"/>
            </w:tcBorders>
            <w:shd w:val="clear" w:color="auto" w:fill="D9D9D9" w:themeFill="background1" w:themeFillShade="D9"/>
            <w:noWrap/>
            <w:vAlign w:val="bottom"/>
            <w:hideMark/>
          </w:tcPr>
          <w:p w:rsidR="005D564E" w:rsidRPr="00BE3FE7" w:rsidRDefault="005D564E" w:rsidP="001D7BD6">
            <w:pPr>
              <w:spacing w:after="0" w:line="240" w:lineRule="auto"/>
              <w:jc w:val="right"/>
              <w:rPr>
                <w:rFonts w:eastAsia="Times New Roman" w:cs="Times New Roman"/>
                <w:color w:val="000000"/>
              </w:rPr>
            </w:pPr>
            <w:r w:rsidRPr="00BE3FE7">
              <w:rPr>
                <w:rFonts w:eastAsia="Times New Roman" w:cs="Times New Roman"/>
                <w:color w:val="000000"/>
              </w:rPr>
              <w:t>66%</w:t>
            </w:r>
          </w:p>
        </w:tc>
        <w:tc>
          <w:tcPr>
            <w:tcW w:w="831" w:type="dxa"/>
            <w:tcBorders>
              <w:top w:val="nil"/>
              <w:left w:val="nil"/>
              <w:bottom w:val="single" w:sz="4" w:space="0" w:color="auto"/>
              <w:right w:val="single" w:sz="4" w:space="0" w:color="auto"/>
            </w:tcBorders>
            <w:shd w:val="clear" w:color="auto" w:fill="D9D9D9" w:themeFill="background1" w:themeFillShade="D9"/>
            <w:noWrap/>
            <w:vAlign w:val="bottom"/>
            <w:hideMark/>
          </w:tcPr>
          <w:p w:rsidR="005D564E" w:rsidRPr="00BE3FE7" w:rsidRDefault="005D564E" w:rsidP="001D7BD6">
            <w:pPr>
              <w:spacing w:after="0" w:line="240" w:lineRule="auto"/>
              <w:jc w:val="right"/>
              <w:rPr>
                <w:rFonts w:eastAsia="Times New Roman" w:cs="Times New Roman"/>
                <w:color w:val="000000"/>
              </w:rPr>
            </w:pPr>
            <w:r w:rsidRPr="00BE3FE7">
              <w:rPr>
                <w:rFonts w:eastAsia="Times New Roman" w:cs="Times New Roman"/>
                <w:color w:val="000000"/>
              </w:rPr>
              <w:t>65%</w:t>
            </w:r>
          </w:p>
        </w:tc>
      </w:tr>
      <w:tr w:rsidR="005D564E" w:rsidRPr="00BE3FE7" w:rsidTr="001D7BD6">
        <w:trPr>
          <w:trHeight w:val="300"/>
          <w:jc w:val="center"/>
        </w:trPr>
        <w:tc>
          <w:tcPr>
            <w:tcW w:w="2327" w:type="dxa"/>
            <w:tcBorders>
              <w:top w:val="nil"/>
              <w:left w:val="single" w:sz="4" w:space="0" w:color="auto"/>
              <w:bottom w:val="single" w:sz="4" w:space="0" w:color="auto"/>
              <w:right w:val="single" w:sz="4" w:space="0" w:color="auto"/>
            </w:tcBorders>
            <w:shd w:val="clear" w:color="auto" w:fill="D9D9D9" w:themeFill="background1" w:themeFillShade="D9"/>
            <w:noWrap/>
            <w:vAlign w:val="bottom"/>
            <w:hideMark/>
          </w:tcPr>
          <w:p w:rsidR="005D564E" w:rsidRPr="00BE3FE7" w:rsidRDefault="005D564E" w:rsidP="001D7BD6">
            <w:pPr>
              <w:spacing w:after="0" w:line="240" w:lineRule="auto"/>
              <w:jc w:val="left"/>
              <w:rPr>
                <w:rFonts w:eastAsia="Times New Roman" w:cs="Times New Roman"/>
                <w:color w:val="000000"/>
              </w:rPr>
            </w:pPr>
            <w:r w:rsidRPr="00BE3FE7">
              <w:rPr>
                <w:rFonts w:eastAsia="Times New Roman" w:cs="Times New Roman"/>
                <w:color w:val="000000"/>
              </w:rPr>
              <w:t>Vodafone</w:t>
            </w:r>
          </w:p>
        </w:tc>
        <w:tc>
          <w:tcPr>
            <w:tcW w:w="831" w:type="dxa"/>
            <w:tcBorders>
              <w:top w:val="nil"/>
              <w:left w:val="nil"/>
              <w:bottom w:val="single" w:sz="4" w:space="0" w:color="auto"/>
              <w:right w:val="single" w:sz="4" w:space="0" w:color="auto"/>
            </w:tcBorders>
            <w:shd w:val="clear" w:color="auto" w:fill="D9D9D9" w:themeFill="background1" w:themeFillShade="D9"/>
            <w:noWrap/>
            <w:vAlign w:val="bottom"/>
            <w:hideMark/>
          </w:tcPr>
          <w:p w:rsidR="005D564E" w:rsidRPr="00BE3FE7" w:rsidRDefault="005D564E" w:rsidP="001D7BD6">
            <w:pPr>
              <w:spacing w:after="0" w:line="240" w:lineRule="auto"/>
              <w:jc w:val="right"/>
              <w:rPr>
                <w:rFonts w:eastAsia="Times New Roman" w:cs="Times New Roman"/>
                <w:color w:val="000000"/>
              </w:rPr>
            </w:pPr>
            <w:r w:rsidRPr="00BE3FE7">
              <w:rPr>
                <w:rFonts w:eastAsia="Times New Roman" w:cs="Times New Roman"/>
                <w:color w:val="000000"/>
              </w:rPr>
              <w:t>18%</w:t>
            </w:r>
          </w:p>
        </w:tc>
        <w:tc>
          <w:tcPr>
            <w:tcW w:w="831" w:type="dxa"/>
            <w:tcBorders>
              <w:top w:val="nil"/>
              <w:left w:val="nil"/>
              <w:bottom w:val="single" w:sz="4" w:space="0" w:color="auto"/>
              <w:right w:val="single" w:sz="4" w:space="0" w:color="auto"/>
            </w:tcBorders>
            <w:shd w:val="clear" w:color="auto" w:fill="D9D9D9" w:themeFill="background1" w:themeFillShade="D9"/>
            <w:noWrap/>
            <w:vAlign w:val="bottom"/>
            <w:hideMark/>
          </w:tcPr>
          <w:p w:rsidR="005D564E" w:rsidRPr="00BE3FE7" w:rsidRDefault="005D564E" w:rsidP="001D7BD6">
            <w:pPr>
              <w:spacing w:after="0" w:line="240" w:lineRule="auto"/>
              <w:jc w:val="right"/>
              <w:rPr>
                <w:rFonts w:eastAsia="Times New Roman" w:cs="Times New Roman"/>
                <w:color w:val="000000"/>
              </w:rPr>
            </w:pPr>
            <w:r w:rsidRPr="00BE3FE7">
              <w:rPr>
                <w:rFonts w:eastAsia="Times New Roman" w:cs="Times New Roman"/>
                <w:color w:val="000000"/>
              </w:rPr>
              <w:t>19%</w:t>
            </w:r>
          </w:p>
        </w:tc>
        <w:tc>
          <w:tcPr>
            <w:tcW w:w="831" w:type="dxa"/>
            <w:tcBorders>
              <w:top w:val="nil"/>
              <w:left w:val="nil"/>
              <w:bottom w:val="single" w:sz="4" w:space="0" w:color="auto"/>
              <w:right w:val="single" w:sz="4" w:space="0" w:color="auto"/>
            </w:tcBorders>
            <w:shd w:val="clear" w:color="auto" w:fill="D9D9D9" w:themeFill="background1" w:themeFillShade="D9"/>
            <w:noWrap/>
            <w:vAlign w:val="bottom"/>
            <w:hideMark/>
          </w:tcPr>
          <w:p w:rsidR="005D564E" w:rsidRPr="00BE3FE7" w:rsidRDefault="005D564E" w:rsidP="001D7BD6">
            <w:pPr>
              <w:spacing w:after="0" w:line="240" w:lineRule="auto"/>
              <w:jc w:val="right"/>
              <w:rPr>
                <w:rFonts w:eastAsia="Times New Roman" w:cs="Times New Roman"/>
                <w:color w:val="000000"/>
              </w:rPr>
            </w:pPr>
            <w:r w:rsidRPr="00BE3FE7">
              <w:rPr>
                <w:rFonts w:eastAsia="Times New Roman" w:cs="Times New Roman"/>
                <w:color w:val="000000"/>
              </w:rPr>
              <w:t>12%</w:t>
            </w:r>
          </w:p>
        </w:tc>
        <w:tc>
          <w:tcPr>
            <w:tcW w:w="831" w:type="dxa"/>
            <w:tcBorders>
              <w:top w:val="nil"/>
              <w:left w:val="nil"/>
              <w:bottom w:val="single" w:sz="4" w:space="0" w:color="auto"/>
              <w:right w:val="single" w:sz="4" w:space="0" w:color="auto"/>
            </w:tcBorders>
            <w:shd w:val="clear" w:color="auto" w:fill="D9D9D9" w:themeFill="background1" w:themeFillShade="D9"/>
            <w:noWrap/>
            <w:vAlign w:val="bottom"/>
            <w:hideMark/>
          </w:tcPr>
          <w:p w:rsidR="005D564E" w:rsidRPr="00BE3FE7" w:rsidRDefault="005D564E" w:rsidP="001D7BD6">
            <w:pPr>
              <w:spacing w:after="0" w:line="240" w:lineRule="auto"/>
              <w:jc w:val="right"/>
              <w:rPr>
                <w:rFonts w:eastAsia="Times New Roman" w:cs="Times New Roman"/>
                <w:color w:val="000000"/>
              </w:rPr>
            </w:pPr>
            <w:r w:rsidRPr="00BE3FE7">
              <w:rPr>
                <w:rFonts w:eastAsia="Times New Roman" w:cs="Times New Roman"/>
                <w:color w:val="000000"/>
              </w:rPr>
              <w:t>51%</w:t>
            </w:r>
          </w:p>
        </w:tc>
        <w:tc>
          <w:tcPr>
            <w:tcW w:w="831" w:type="dxa"/>
            <w:tcBorders>
              <w:top w:val="nil"/>
              <w:left w:val="nil"/>
              <w:bottom w:val="single" w:sz="4" w:space="0" w:color="auto"/>
              <w:right w:val="single" w:sz="4" w:space="0" w:color="auto"/>
            </w:tcBorders>
            <w:shd w:val="clear" w:color="auto" w:fill="D9D9D9" w:themeFill="background1" w:themeFillShade="D9"/>
            <w:noWrap/>
            <w:vAlign w:val="bottom"/>
            <w:hideMark/>
          </w:tcPr>
          <w:p w:rsidR="005D564E" w:rsidRPr="00BE3FE7" w:rsidRDefault="005D564E" w:rsidP="001D7BD6">
            <w:pPr>
              <w:spacing w:after="0" w:line="240" w:lineRule="auto"/>
              <w:jc w:val="right"/>
              <w:rPr>
                <w:rFonts w:eastAsia="Times New Roman" w:cs="Times New Roman"/>
                <w:color w:val="000000"/>
              </w:rPr>
            </w:pPr>
            <w:r w:rsidRPr="00BE3FE7">
              <w:rPr>
                <w:rFonts w:eastAsia="Times New Roman" w:cs="Times New Roman"/>
                <w:color w:val="000000"/>
              </w:rPr>
              <w:t>52%</w:t>
            </w:r>
          </w:p>
        </w:tc>
      </w:tr>
    </w:tbl>
    <w:p w:rsidR="005D564E" w:rsidRDefault="005D564E" w:rsidP="005D564E">
      <w:pPr>
        <w:jc w:val="center"/>
      </w:pPr>
    </w:p>
    <w:p w:rsidR="005D564E" w:rsidRDefault="005D564E" w:rsidP="005D564E">
      <w:pPr>
        <w:jc w:val="center"/>
      </w:pPr>
      <w:r w:rsidRPr="00704425">
        <w:rPr>
          <w:noProof/>
          <w:lang w:val="en-IN" w:eastAsia="en-IN"/>
        </w:rPr>
        <w:drawing>
          <wp:inline distT="0" distB="0" distL="0" distR="0">
            <wp:extent cx="3095624" cy="1952625"/>
            <wp:effectExtent l="19050" t="0" r="9526" b="0"/>
            <wp:docPr id="45"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rsidR="005D564E" w:rsidRDefault="005D564E" w:rsidP="005D564E">
      <w:pPr>
        <w:jc w:val="center"/>
      </w:pPr>
    </w:p>
    <w:p w:rsidR="005D564E" w:rsidRDefault="005D564E" w:rsidP="005D564E">
      <w:r>
        <w:t xml:space="preserve">Looking at the gearing ratio it can be seen that on an average Vodafone is less geared than BT. But looking at the gearing pattern or the dependency of the organization over long term borrowings of Vodafone it can be seen that from 2015 onwards the organization has increased their dependency  over long term borrowing for financing the huge infrastructural investments </w:t>
      </w:r>
      <w:r>
        <w:lastRenderedPageBreak/>
        <w:t>that are required for enhancing the customer revenues who are using the 4G service in the different global market of the organization Vodafone</w:t>
      </w:r>
      <w:r w:rsidRPr="001036D4">
        <w:t xml:space="preserve"> (Vodafone.com, 2016)</w:t>
      </w:r>
      <w:r>
        <w:t>.</w:t>
      </w:r>
    </w:p>
    <w:p w:rsidR="005D564E" w:rsidRDefault="005D564E" w:rsidP="005D564E">
      <w:r>
        <w:t xml:space="preserve">So it can be seen that the burden of long term borrowing is low for Vodafone as it is comparatively less dependent over long term borrowing compared to BT but till during 2015, 2016 Vodafone can be identified as a highly geared company as its gearing ratio is more than 50%. But still Vodafone will be regarded as inefficient compared to BT due to the low profit generation capability, low return generation capacity over asset and inefficient allocation of the current asset as reflected by the low profit margin and high liquidity ratio </w:t>
      </w:r>
    </w:p>
    <w:p w:rsidR="005D564E" w:rsidRPr="00754CF2" w:rsidRDefault="005D564E" w:rsidP="005D564E">
      <w:pPr>
        <w:jc w:val="center"/>
      </w:pPr>
    </w:p>
    <w:p w:rsidR="005D564E" w:rsidRDefault="005D564E" w:rsidP="005D564E">
      <w:pPr>
        <w:pStyle w:val="Heading1"/>
      </w:pPr>
      <w:bookmarkStart w:id="17" w:name="_Toc502770451"/>
      <w:r>
        <w:t>6.0 Future Prospect OF BT:</w:t>
      </w:r>
      <w:bookmarkEnd w:id="17"/>
    </w:p>
    <w:p w:rsidR="005D564E" w:rsidRDefault="005D564E" w:rsidP="005D564E">
      <w:r>
        <w:t>The organization is efficient in controlling the operational cost but to protect the earnings of the organization it is needed to apply some financial engineering techniques so that the negative impact of exchange rate depreciation can be averted. Besides the organization has to reduce their dependency over long term borrowing for enhancing the return on capital employed and to enhance the return on asset the organization has to focus on efficient utilization of the asset employed. The long term borrowing has helped the organization to gather the required finale that is needed for the up gradation of service but in the long run a substantial portion of the earnings of the organization will be absorbed by the debt burdens of the organization which has to be paid by BT for over longer period. So the organization BT has to be very cautious and focused over generation of substantial revenue so that it can bring a good growth in the margin ratios &amp; the turnover ratios even after making the required payments for servicing the long term debts of the organization.</w:t>
      </w:r>
    </w:p>
    <w:p w:rsidR="001D629C" w:rsidRDefault="001D629C" w:rsidP="00107D0F">
      <w:pPr>
        <w:pStyle w:val="Heading1"/>
      </w:pPr>
    </w:p>
    <w:p w:rsidR="00AD2352" w:rsidRDefault="00BE0077" w:rsidP="00107D0F">
      <w:pPr>
        <w:pStyle w:val="Heading1"/>
      </w:pPr>
      <w:bookmarkStart w:id="18" w:name="_Toc502770452"/>
      <w:r>
        <w:t>7</w:t>
      </w:r>
      <w:r w:rsidR="00BD15A2">
        <w:t xml:space="preserve">.0 </w:t>
      </w:r>
      <w:r w:rsidR="00107D0F">
        <w:t>Benefits and disadvantage of ratios analysis</w:t>
      </w:r>
      <w:bookmarkEnd w:id="18"/>
      <w:r w:rsidR="00107D0F">
        <w:t xml:space="preserve">   </w:t>
      </w:r>
    </w:p>
    <w:p w:rsidR="0003096E" w:rsidRDefault="0003096E" w:rsidP="00791964">
      <w:pPr>
        <w:rPr>
          <w:rFonts w:cs="Times New Roman"/>
          <w:szCs w:val="24"/>
        </w:rPr>
      </w:pPr>
      <w:r>
        <w:rPr>
          <w:rFonts w:cs="Times New Roman"/>
          <w:szCs w:val="24"/>
        </w:rPr>
        <w:t xml:space="preserve">According to the financial ratios analysis is the form of financial statement analysis that is utilized to find a quick performance of organization’s performance in terms of liquidity, </w:t>
      </w:r>
      <w:r>
        <w:rPr>
          <w:rFonts w:cs="Times New Roman"/>
          <w:szCs w:val="24"/>
        </w:rPr>
        <w:lastRenderedPageBreak/>
        <w:t>profitability, efficiency and others. The main benefits and limitation of the ratios analysis is illustrated in below;</w:t>
      </w:r>
    </w:p>
    <w:p w:rsidR="0003096E" w:rsidRPr="00AD086D" w:rsidRDefault="0003096E" w:rsidP="00791964">
      <w:pPr>
        <w:rPr>
          <w:rFonts w:cs="Times New Roman"/>
          <w:b/>
          <w:szCs w:val="24"/>
        </w:rPr>
      </w:pPr>
      <w:r w:rsidRPr="00AD086D">
        <w:rPr>
          <w:rFonts w:cs="Times New Roman"/>
          <w:b/>
          <w:szCs w:val="24"/>
        </w:rPr>
        <w:t xml:space="preserve">Benefits of ratios analysis </w:t>
      </w:r>
    </w:p>
    <w:p w:rsidR="00CC30BF" w:rsidRPr="00AD086D" w:rsidRDefault="00CC30BF" w:rsidP="00AD086D">
      <w:pPr>
        <w:pStyle w:val="ListParagraph"/>
        <w:numPr>
          <w:ilvl w:val="0"/>
          <w:numId w:val="1"/>
        </w:numPr>
        <w:rPr>
          <w:rFonts w:cs="Times New Roman"/>
          <w:szCs w:val="24"/>
        </w:rPr>
      </w:pPr>
      <w:r w:rsidRPr="00AD086D">
        <w:rPr>
          <w:rFonts w:cs="Times New Roman"/>
          <w:szCs w:val="24"/>
        </w:rPr>
        <w:t xml:space="preserve">Analyzing organization’s financial statement </w:t>
      </w:r>
    </w:p>
    <w:p w:rsidR="003604BC" w:rsidRDefault="00CC30BF" w:rsidP="00AD086D">
      <w:pPr>
        <w:ind w:left="1440"/>
        <w:rPr>
          <w:rFonts w:cs="Times New Roman"/>
          <w:szCs w:val="24"/>
        </w:rPr>
      </w:pPr>
      <w:r>
        <w:rPr>
          <w:rFonts w:cs="Times New Roman"/>
          <w:szCs w:val="24"/>
        </w:rPr>
        <w:t xml:space="preserve">Ratios analysis is a vital tools and techniques of financial analysis and helps the management about understanding the financial positions of an organization. Distinguish person included management, investors, creditors and </w:t>
      </w:r>
      <w:r w:rsidR="003604BC">
        <w:rPr>
          <w:rFonts w:cs="Times New Roman"/>
          <w:szCs w:val="24"/>
        </w:rPr>
        <w:t>bankers utilize</w:t>
      </w:r>
      <w:r w:rsidR="00803887">
        <w:rPr>
          <w:rFonts w:cs="Times New Roman"/>
          <w:szCs w:val="24"/>
        </w:rPr>
        <w:t xml:space="preserve"> the ratios to evaluate the organization’s financial situations for their decision making procedures. </w:t>
      </w:r>
    </w:p>
    <w:p w:rsidR="003604BC" w:rsidRPr="00AD086D" w:rsidRDefault="003604BC" w:rsidP="00AD086D">
      <w:pPr>
        <w:pStyle w:val="ListParagraph"/>
        <w:numPr>
          <w:ilvl w:val="0"/>
          <w:numId w:val="1"/>
        </w:numPr>
        <w:rPr>
          <w:rFonts w:cs="Times New Roman"/>
          <w:szCs w:val="24"/>
        </w:rPr>
      </w:pPr>
      <w:r w:rsidRPr="00AD086D">
        <w:rPr>
          <w:rFonts w:cs="Times New Roman"/>
          <w:szCs w:val="24"/>
        </w:rPr>
        <w:t xml:space="preserve">Judgment efficenceny </w:t>
      </w:r>
    </w:p>
    <w:p w:rsidR="00766A21" w:rsidRDefault="00766A21" w:rsidP="00AD086D">
      <w:pPr>
        <w:ind w:left="1440"/>
        <w:rPr>
          <w:rFonts w:cs="Times New Roman"/>
          <w:szCs w:val="24"/>
        </w:rPr>
      </w:pPr>
      <w:r>
        <w:rPr>
          <w:rFonts w:cs="Times New Roman"/>
          <w:szCs w:val="24"/>
        </w:rPr>
        <w:t>A financial ratio is</w:t>
      </w:r>
      <w:r w:rsidR="003604BC">
        <w:rPr>
          <w:rFonts w:cs="Times New Roman"/>
          <w:szCs w:val="24"/>
        </w:rPr>
        <w:t xml:space="preserve"> vital for judging the organization’s efficiency in context of its operations as well as management</w:t>
      </w:r>
      <w:r w:rsidR="00BD15A2">
        <w:rPr>
          <w:rFonts w:cs="Times New Roman"/>
          <w:szCs w:val="24"/>
        </w:rPr>
        <w:t xml:space="preserve"> (Robinson, 2009)</w:t>
      </w:r>
      <w:r w:rsidR="003604BC">
        <w:rPr>
          <w:rFonts w:cs="Times New Roman"/>
          <w:szCs w:val="24"/>
        </w:rPr>
        <w:t xml:space="preserve">.  </w:t>
      </w:r>
      <w:r>
        <w:rPr>
          <w:rFonts w:cs="Times New Roman"/>
          <w:szCs w:val="24"/>
        </w:rPr>
        <w:t xml:space="preserve">Using financial analysis ratios data management effectively judge how well an organization has been able to use its resources and achieve profits. </w:t>
      </w:r>
    </w:p>
    <w:p w:rsidR="00766A21" w:rsidRPr="00AD086D" w:rsidRDefault="00766A21" w:rsidP="00AD086D">
      <w:pPr>
        <w:pStyle w:val="ListParagraph"/>
        <w:numPr>
          <w:ilvl w:val="0"/>
          <w:numId w:val="1"/>
        </w:numPr>
        <w:rPr>
          <w:rFonts w:cs="Times New Roman"/>
          <w:szCs w:val="24"/>
        </w:rPr>
      </w:pPr>
      <w:r w:rsidRPr="00AD086D">
        <w:rPr>
          <w:rFonts w:cs="Times New Roman"/>
          <w:szCs w:val="24"/>
        </w:rPr>
        <w:t xml:space="preserve">Locating weakness </w:t>
      </w:r>
    </w:p>
    <w:p w:rsidR="00786DE2" w:rsidRDefault="00766A21" w:rsidP="00AD086D">
      <w:pPr>
        <w:ind w:left="1440"/>
        <w:rPr>
          <w:rFonts w:cs="Times New Roman"/>
          <w:szCs w:val="24"/>
        </w:rPr>
      </w:pPr>
      <w:r>
        <w:rPr>
          <w:rFonts w:cs="Times New Roman"/>
          <w:szCs w:val="24"/>
        </w:rPr>
        <w:t>Utilization of the ratios analysis helps the financial management of the company to</w:t>
      </w:r>
      <w:r w:rsidR="00786DE2">
        <w:rPr>
          <w:rFonts w:cs="Times New Roman"/>
          <w:szCs w:val="24"/>
        </w:rPr>
        <w:t xml:space="preserve"> find out weakness of its operational performance event company is performing well in market. The management of the company then emphasized to the weakness point and implements an effective strategies to solve and overcome them. </w:t>
      </w:r>
    </w:p>
    <w:p w:rsidR="00786DE2" w:rsidRPr="00AD086D" w:rsidRDefault="00786DE2" w:rsidP="00AD086D">
      <w:pPr>
        <w:pStyle w:val="ListParagraph"/>
        <w:numPr>
          <w:ilvl w:val="0"/>
          <w:numId w:val="1"/>
        </w:numPr>
        <w:rPr>
          <w:rFonts w:cs="Times New Roman"/>
          <w:szCs w:val="24"/>
        </w:rPr>
      </w:pPr>
      <w:r w:rsidRPr="00AD086D">
        <w:rPr>
          <w:rFonts w:cs="Times New Roman"/>
          <w:szCs w:val="24"/>
        </w:rPr>
        <w:t xml:space="preserve">Formulating plan </w:t>
      </w:r>
    </w:p>
    <w:p w:rsidR="00786DE2" w:rsidRDefault="00786DE2" w:rsidP="00AD086D">
      <w:pPr>
        <w:ind w:left="1440"/>
        <w:rPr>
          <w:rFonts w:cs="Times New Roman"/>
          <w:szCs w:val="24"/>
        </w:rPr>
      </w:pPr>
      <w:r>
        <w:rPr>
          <w:rFonts w:cs="Times New Roman"/>
          <w:szCs w:val="24"/>
        </w:rPr>
        <w:t xml:space="preserve">Management uses the financial ratio analysis of the company and analyzed its past </w:t>
      </w:r>
      <w:r w:rsidR="007322D7">
        <w:rPr>
          <w:rFonts w:cs="Times New Roman"/>
          <w:szCs w:val="24"/>
        </w:rPr>
        <w:t>performance; this helps them to find out the upcoming trends of the company in successful manner</w:t>
      </w:r>
      <w:r w:rsidR="00BD15A2">
        <w:rPr>
          <w:rFonts w:cs="Times New Roman"/>
          <w:szCs w:val="24"/>
        </w:rPr>
        <w:t xml:space="preserve"> (</w:t>
      </w:r>
      <w:r w:rsidR="00BD15A2" w:rsidRPr="00BD15A2">
        <w:rPr>
          <w:rFonts w:cs="Times New Roman"/>
          <w:szCs w:val="24"/>
        </w:rPr>
        <w:t xml:space="preserve">Ross, </w:t>
      </w:r>
      <w:proofErr w:type="spellStart"/>
      <w:r w:rsidR="00BD15A2" w:rsidRPr="00BD15A2">
        <w:rPr>
          <w:rFonts w:cs="Times New Roman"/>
          <w:szCs w:val="24"/>
        </w:rPr>
        <w:t>Wester</w:t>
      </w:r>
      <w:r w:rsidR="00BD15A2">
        <w:rPr>
          <w:rFonts w:cs="Times New Roman"/>
          <w:szCs w:val="24"/>
        </w:rPr>
        <w:t>field</w:t>
      </w:r>
      <w:proofErr w:type="spellEnd"/>
      <w:r w:rsidR="00BD15A2">
        <w:rPr>
          <w:rFonts w:cs="Times New Roman"/>
          <w:szCs w:val="24"/>
        </w:rPr>
        <w:t xml:space="preserve"> and Jordan, 2010)</w:t>
      </w:r>
      <w:r w:rsidR="007322D7">
        <w:rPr>
          <w:rFonts w:cs="Times New Roman"/>
          <w:szCs w:val="24"/>
        </w:rPr>
        <w:t>. As the findings outcomes the organization can effectively</w:t>
      </w:r>
      <w:r w:rsidR="003D42C5">
        <w:rPr>
          <w:rFonts w:cs="Times New Roman"/>
          <w:szCs w:val="24"/>
        </w:rPr>
        <w:t xml:space="preserve"> helps them to</w:t>
      </w:r>
      <w:r w:rsidR="007322D7">
        <w:rPr>
          <w:rFonts w:cs="Times New Roman"/>
          <w:szCs w:val="24"/>
        </w:rPr>
        <w:t xml:space="preserve"> analyze and formulate organization’s upcoming plan or strategy.      </w:t>
      </w:r>
      <w:r>
        <w:rPr>
          <w:rFonts w:cs="Times New Roman"/>
          <w:szCs w:val="24"/>
        </w:rPr>
        <w:t xml:space="preserve">  </w:t>
      </w:r>
    </w:p>
    <w:p w:rsidR="003D42C5" w:rsidRPr="00AD086D" w:rsidRDefault="003D42C5" w:rsidP="00AD086D">
      <w:pPr>
        <w:pStyle w:val="ListParagraph"/>
        <w:numPr>
          <w:ilvl w:val="0"/>
          <w:numId w:val="1"/>
        </w:numPr>
        <w:rPr>
          <w:rFonts w:cs="Times New Roman"/>
          <w:szCs w:val="24"/>
        </w:rPr>
      </w:pPr>
      <w:r w:rsidRPr="00AD086D">
        <w:rPr>
          <w:rFonts w:cs="Times New Roman"/>
          <w:szCs w:val="24"/>
        </w:rPr>
        <w:lastRenderedPageBreak/>
        <w:t xml:space="preserve">Comparing performance </w:t>
      </w:r>
    </w:p>
    <w:p w:rsidR="00AD086D" w:rsidRDefault="003D42C5" w:rsidP="00AD086D">
      <w:pPr>
        <w:ind w:left="720"/>
        <w:rPr>
          <w:rFonts w:cs="Times New Roman"/>
          <w:szCs w:val="24"/>
        </w:rPr>
      </w:pPr>
      <w:r>
        <w:rPr>
          <w:rFonts w:cs="Times New Roman"/>
          <w:szCs w:val="24"/>
        </w:rPr>
        <w:t xml:space="preserve">The main </w:t>
      </w:r>
      <w:r w:rsidR="00637B93">
        <w:rPr>
          <w:rFonts w:cs="Times New Roman"/>
          <w:szCs w:val="24"/>
        </w:rPr>
        <w:t>objective of any organization is to lead in market and gain higher benefits and with help of Fiancanil ratio analysis techniques management effectively determines</w:t>
      </w:r>
      <w:r>
        <w:rPr>
          <w:rFonts w:cs="Times New Roman"/>
          <w:szCs w:val="24"/>
        </w:rPr>
        <w:t xml:space="preserve"> </w:t>
      </w:r>
      <w:r w:rsidR="00637B93">
        <w:rPr>
          <w:rFonts w:cs="Times New Roman"/>
          <w:szCs w:val="24"/>
        </w:rPr>
        <w:t>their performance in terms of profitability and other factors and compared them with other organization effectively.</w:t>
      </w:r>
      <w:r w:rsidR="00AD086D">
        <w:rPr>
          <w:rFonts w:cs="Times New Roman"/>
          <w:szCs w:val="24"/>
        </w:rPr>
        <w:t xml:space="preserve"> Beside this tools in vital for the organization to know how effective its different division is operating or performing among themselves in distinguish year. </w:t>
      </w:r>
    </w:p>
    <w:p w:rsidR="00AD086D" w:rsidRPr="00AD086D" w:rsidRDefault="00AD086D" w:rsidP="00791964">
      <w:pPr>
        <w:rPr>
          <w:rFonts w:cs="Times New Roman"/>
          <w:b/>
          <w:szCs w:val="24"/>
        </w:rPr>
      </w:pPr>
      <w:r w:rsidRPr="00AD086D">
        <w:rPr>
          <w:rFonts w:cs="Times New Roman"/>
          <w:b/>
          <w:szCs w:val="24"/>
        </w:rPr>
        <w:t xml:space="preserve">Limitations of the financial ratios analysis </w:t>
      </w:r>
    </w:p>
    <w:p w:rsidR="00637B93" w:rsidRDefault="00D72E95" w:rsidP="007F02E9">
      <w:pPr>
        <w:pStyle w:val="ListParagraph"/>
        <w:numPr>
          <w:ilvl w:val="0"/>
          <w:numId w:val="1"/>
        </w:numPr>
        <w:rPr>
          <w:rFonts w:cs="Times New Roman"/>
          <w:szCs w:val="24"/>
        </w:rPr>
      </w:pPr>
      <w:r>
        <w:rPr>
          <w:rFonts w:cs="Times New Roman"/>
          <w:szCs w:val="24"/>
        </w:rPr>
        <w:t xml:space="preserve">historical </w:t>
      </w:r>
    </w:p>
    <w:p w:rsidR="00BB6542" w:rsidRDefault="00D72E95" w:rsidP="00D72E95">
      <w:pPr>
        <w:ind w:left="1440"/>
        <w:rPr>
          <w:rFonts w:cs="Times New Roman"/>
          <w:szCs w:val="24"/>
        </w:rPr>
      </w:pPr>
      <w:r>
        <w:rPr>
          <w:rFonts w:cs="Times New Roman"/>
          <w:szCs w:val="24"/>
        </w:rPr>
        <w:t xml:space="preserve">All the data and information utilizes in the financial ratios analysis </w:t>
      </w:r>
      <w:r w:rsidR="00A92737">
        <w:rPr>
          <w:rFonts w:cs="Times New Roman"/>
          <w:szCs w:val="24"/>
        </w:rPr>
        <w:t xml:space="preserve">is obtained from the historical results. Therefore the </w:t>
      </w:r>
      <w:r w:rsidR="00BB6542">
        <w:rPr>
          <w:rFonts w:cs="Times New Roman"/>
          <w:szCs w:val="24"/>
        </w:rPr>
        <w:t>outcomes of the findings do</w:t>
      </w:r>
      <w:r w:rsidR="00A92737">
        <w:rPr>
          <w:rFonts w:cs="Times New Roman"/>
          <w:szCs w:val="24"/>
        </w:rPr>
        <w:t xml:space="preserve"> not means that same result will be forward in the future</w:t>
      </w:r>
      <w:r w:rsidR="00BB6542">
        <w:rPr>
          <w:rFonts w:cs="Times New Roman"/>
          <w:szCs w:val="24"/>
        </w:rPr>
        <w:t xml:space="preserve">. </w:t>
      </w:r>
    </w:p>
    <w:p w:rsidR="00D72E95" w:rsidRPr="00D72E95" w:rsidRDefault="00A92737" w:rsidP="00D72E95">
      <w:pPr>
        <w:ind w:left="1440"/>
        <w:rPr>
          <w:rFonts w:cs="Times New Roman"/>
          <w:szCs w:val="24"/>
        </w:rPr>
      </w:pPr>
      <w:r>
        <w:rPr>
          <w:rFonts w:cs="Times New Roman"/>
          <w:szCs w:val="24"/>
        </w:rPr>
        <w:t xml:space="preserve">    </w:t>
      </w:r>
      <w:r w:rsidR="00D72E95">
        <w:rPr>
          <w:rFonts w:cs="Times New Roman"/>
          <w:szCs w:val="24"/>
        </w:rPr>
        <w:t xml:space="preserve"> </w:t>
      </w:r>
    </w:p>
    <w:p w:rsidR="00BB6542" w:rsidRDefault="00BB6542" w:rsidP="00BB6542">
      <w:pPr>
        <w:pStyle w:val="ListParagraph"/>
        <w:numPr>
          <w:ilvl w:val="0"/>
          <w:numId w:val="1"/>
        </w:numPr>
        <w:rPr>
          <w:rFonts w:cs="Times New Roman"/>
          <w:szCs w:val="24"/>
        </w:rPr>
      </w:pPr>
      <w:r>
        <w:rPr>
          <w:rFonts w:cs="Times New Roman"/>
          <w:szCs w:val="24"/>
        </w:rPr>
        <w:t xml:space="preserve">inflation </w:t>
      </w:r>
    </w:p>
    <w:p w:rsidR="007D363A" w:rsidRDefault="00BD15A2" w:rsidP="007D363A">
      <w:pPr>
        <w:ind w:left="1440"/>
        <w:rPr>
          <w:rFonts w:cs="Times New Roman"/>
          <w:szCs w:val="24"/>
        </w:rPr>
      </w:pPr>
      <w:r>
        <w:rPr>
          <w:rFonts w:cs="Times New Roman"/>
          <w:szCs w:val="24"/>
        </w:rPr>
        <w:t>If</w:t>
      </w:r>
      <w:r w:rsidR="00864449">
        <w:rPr>
          <w:rFonts w:cs="Times New Roman"/>
          <w:szCs w:val="24"/>
        </w:rPr>
        <w:t xml:space="preserve"> the inflation rate </w:t>
      </w:r>
      <w:r w:rsidR="00BB6542">
        <w:rPr>
          <w:rFonts w:cs="Times New Roman"/>
          <w:szCs w:val="24"/>
        </w:rPr>
        <w:t xml:space="preserve">changes in any years </w:t>
      </w:r>
      <w:r w:rsidR="00864449">
        <w:rPr>
          <w:rFonts w:cs="Times New Roman"/>
          <w:szCs w:val="24"/>
        </w:rPr>
        <w:t>under review then this can show</w:t>
      </w:r>
      <w:r w:rsidR="00BB6542">
        <w:rPr>
          <w:rFonts w:cs="Times New Roman"/>
          <w:szCs w:val="24"/>
        </w:rPr>
        <w:t xml:space="preserve"> that the organization cannot be compared these outcomes in across the years</w:t>
      </w:r>
      <w:r w:rsidR="007D363A">
        <w:rPr>
          <w:rFonts w:cs="Times New Roman"/>
          <w:szCs w:val="24"/>
        </w:rPr>
        <w:t>. For example the rate of the inflation is about 100% in year then sales performance would seem to have high over past years but fact is others i.e. sale performance does not change.</w:t>
      </w:r>
    </w:p>
    <w:p w:rsidR="00637B93" w:rsidRDefault="007D363A" w:rsidP="007D363A">
      <w:pPr>
        <w:pStyle w:val="ListParagraph"/>
        <w:numPr>
          <w:ilvl w:val="0"/>
          <w:numId w:val="1"/>
        </w:numPr>
        <w:rPr>
          <w:rFonts w:cs="Times New Roman"/>
          <w:szCs w:val="24"/>
        </w:rPr>
      </w:pPr>
      <w:r>
        <w:rPr>
          <w:rFonts w:cs="Times New Roman"/>
          <w:szCs w:val="24"/>
        </w:rPr>
        <w:t xml:space="preserve">Accounting policies and rules </w:t>
      </w:r>
    </w:p>
    <w:p w:rsidR="00961B3E" w:rsidRDefault="00961B3E" w:rsidP="007D363A">
      <w:pPr>
        <w:pStyle w:val="ListParagraph"/>
        <w:ind w:left="1440"/>
        <w:rPr>
          <w:rFonts w:cs="Times New Roman"/>
          <w:szCs w:val="24"/>
        </w:rPr>
      </w:pPr>
      <w:r>
        <w:rPr>
          <w:rFonts w:cs="Times New Roman"/>
          <w:szCs w:val="24"/>
        </w:rPr>
        <w:t>Different organizations utilize different rules and regulations for representing and recording the financial information</w:t>
      </w:r>
      <w:r w:rsidR="00BD15A2">
        <w:rPr>
          <w:rFonts w:cs="Times New Roman"/>
          <w:szCs w:val="24"/>
        </w:rPr>
        <w:t xml:space="preserve"> (Palmer, 2009)</w:t>
      </w:r>
      <w:r>
        <w:rPr>
          <w:rFonts w:cs="Times New Roman"/>
          <w:szCs w:val="24"/>
        </w:rPr>
        <w:t xml:space="preserve">. This may that comparison of the organization may be changed due to change in the financial policies incorporated by the organization and due to this the financial ratios performance is failed in such situations. </w:t>
      </w:r>
    </w:p>
    <w:p w:rsidR="00961B3E" w:rsidRDefault="00961B3E" w:rsidP="00BD15A2">
      <w:pPr>
        <w:pStyle w:val="Heading1"/>
      </w:pPr>
      <w:bookmarkStart w:id="19" w:name="_Toc502770453"/>
      <w:r>
        <w:lastRenderedPageBreak/>
        <w:t>Conclusion</w:t>
      </w:r>
      <w:bookmarkEnd w:id="19"/>
      <w:r>
        <w:t xml:space="preserve"> </w:t>
      </w:r>
    </w:p>
    <w:p w:rsidR="007D363A" w:rsidRPr="00961B3E" w:rsidRDefault="00961B3E" w:rsidP="00961B3E">
      <w:pPr>
        <w:rPr>
          <w:rFonts w:cs="Times New Roman"/>
          <w:szCs w:val="24"/>
        </w:rPr>
      </w:pPr>
      <w:r>
        <w:rPr>
          <w:rFonts w:cs="Times New Roman"/>
          <w:szCs w:val="24"/>
        </w:rPr>
        <w:t xml:space="preserve">In conclusion, it is observed that financial ratios plays the significant tools for management and helps the organization find out its positions in market in successful manner. </w:t>
      </w:r>
      <w:r w:rsidR="009658CA">
        <w:rPr>
          <w:rFonts w:cs="Times New Roman"/>
          <w:szCs w:val="24"/>
        </w:rPr>
        <w:t>The</w:t>
      </w:r>
      <w:r>
        <w:rPr>
          <w:rFonts w:cs="Times New Roman"/>
          <w:szCs w:val="24"/>
        </w:rPr>
        <w:t xml:space="preserve"> above observation shows that BT utilizes </w:t>
      </w:r>
      <w:r w:rsidR="009658CA">
        <w:rPr>
          <w:rFonts w:cs="Times New Roman"/>
          <w:szCs w:val="24"/>
        </w:rPr>
        <w:t xml:space="preserve">effective cost management strategies that help them to increase its profitably is positive manner. Moreover from the observation it has been recommended that management needs to implement better management strategies </w:t>
      </w:r>
      <w:r w:rsidR="0055632B">
        <w:rPr>
          <w:rFonts w:cs="Times New Roman"/>
          <w:szCs w:val="24"/>
        </w:rPr>
        <w:t xml:space="preserve">that would helps them to increase efficiency in better manner.   </w:t>
      </w:r>
      <w:r w:rsidR="009658CA">
        <w:rPr>
          <w:rFonts w:cs="Times New Roman"/>
          <w:szCs w:val="24"/>
        </w:rPr>
        <w:t xml:space="preserve">        </w:t>
      </w:r>
      <w:r>
        <w:rPr>
          <w:rFonts w:cs="Times New Roman"/>
          <w:szCs w:val="24"/>
        </w:rPr>
        <w:t xml:space="preserve">      </w:t>
      </w:r>
      <w:r w:rsidRPr="00961B3E">
        <w:rPr>
          <w:rFonts w:cs="Times New Roman"/>
          <w:szCs w:val="24"/>
        </w:rPr>
        <w:t xml:space="preserve">         </w:t>
      </w:r>
    </w:p>
    <w:p w:rsidR="00BE0077" w:rsidRPr="00DC1993" w:rsidRDefault="00032211" w:rsidP="00BE0077">
      <w:pPr>
        <w:rPr>
          <w:rFonts w:asciiTheme="majorHAnsi" w:eastAsiaTheme="majorEastAsia" w:hAnsiTheme="majorHAnsi" w:cstheme="majorBidi"/>
          <w:b/>
          <w:bCs/>
          <w:color w:val="365F91" w:themeColor="accent1" w:themeShade="BF"/>
          <w:sz w:val="28"/>
          <w:szCs w:val="28"/>
        </w:rPr>
      </w:pPr>
      <w:r>
        <w:br w:type="page"/>
      </w:r>
    </w:p>
    <w:p w:rsidR="001903A7" w:rsidRDefault="001903A7" w:rsidP="00BD15A2">
      <w:pPr>
        <w:pStyle w:val="Heading1"/>
      </w:pPr>
      <w:bookmarkStart w:id="20" w:name="_Toc502770455"/>
      <w:r>
        <w:lastRenderedPageBreak/>
        <w:t>References</w:t>
      </w:r>
      <w:bookmarkEnd w:id="20"/>
    </w:p>
    <w:p w:rsidR="00BD15A2" w:rsidRPr="00BD15A2" w:rsidRDefault="00BD15A2" w:rsidP="00BD15A2">
      <w:pPr>
        <w:rPr>
          <w:rFonts w:cs="Times New Roman"/>
          <w:szCs w:val="24"/>
        </w:rPr>
      </w:pPr>
      <w:r w:rsidRPr="00BD15A2">
        <w:rPr>
          <w:rFonts w:cs="Times New Roman"/>
          <w:szCs w:val="24"/>
        </w:rPr>
        <w:t>Madura, J. (2011). </w:t>
      </w:r>
      <w:proofErr w:type="gramStart"/>
      <w:r w:rsidRPr="00BD15A2">
        <w:rPr>
          <w:rFonts w:cs="Times New Roman"/>
          <w:i/>
          <w:iCs/>
          <w:szCs w:val="24"/>
        </w:rPr>
        <w:t>International financial management</w:t>
      </w:r>
      <w:r w:rsidRPr="00BD15A2">
        <w:rPr>
          <w:rFonts w:cs="Times New Roman"/>
          <w:szCs w:val="24"/>
        </w:rPr>
        <w:t>.</w:t>
      </w:r>
      <w:proofErr w:type="gramEnd"/>
      <w:r w:rsidRPr="00BD15A2">
        <w:rPr>
          <w:rFonts w:cs="Times New Roman"/>
          <w:szCs w:val="24"/>
        </w:rPr>
        <w:t xml:space="preserve"> Cengage Learning.</w:t>
      </w:r>
    </w:p>
    <w:p w:rsidR="00BD15A2" w:rsidRPr="00BD15A2" w:rsidRDefault="00BD15A2" w:rsidP="00BD15A2">
      <w:pPr>
        <w:rPr>
          <w:rFonts w:cs="Times New Roman"/>
          <w:szCs w:val="24"/>
        </w:rPr>
      </w:pPr>
      <w:proofErr w:type="gramStart"/>
      <w:r w:rsidRPr="00BD15A2">
        <w:rPr>
          <w:rFonts w:cs="Times New Roman"/>
          <w:szCs w:val="24"/>
        </w:rPr>
        <w:t>Healy, P. M., and Palepu, K. G. (2012).</w:t>
      </w:r>
      <w:proofErr w:type="gramEnd"/>
      <w:r w:rsidRPr="00BD15A2">
        <w:rPr>
          <w:rFonts w:cs="Times New Roman"/>
          <w:szCs w:val="24"/>
        </w:rPr>
        <w:t> </w:t>
      </w:r>
      <w:r w:rsidRPr="00BD15A2">
        <w:rPr>
          <w:rFonts w:cs="Times New Roman"/>
          <w:i/>
          <w:iCs/>
          <w:szCs w:val="24"/>
        </w:rPr>
        <w:t>Business analysis valuation: Using financial statements</w:t>
      </w:r>
      <w:r w:rsidRPr="00BD15A2">
        <w:rPr>
          <w:rFonts w:cs="Times New Roman"/>
          <w:szCs w:val="24"/>
        </w:rPr>
        <w:t>. Cengage Learning</w:t>
      </w:r>
    </w:p>
    <w:p w:rsidR="00BD15A2" w:rsidRPr="00BD15A2" w:rsidRDefault="00BD15A2" w:rsidP="00BD15A2">
      <w:pPr>
        <w:rPr>
          <w:rFonts w:cs="Times New Roman"/>
          <w:szCs w:val="24"/>
        </w:rPr>
      </w:pPr>
      <w:r w:rsidRPr="00BD15A2">
        <w:rPr>
          <w:rFonts w:cs="Times New Roman"/>
          <w:szCs w:val="24"/>
        </w:rPr>
        <w:t>Chandra, P. (2011). </w:t>
      </w:r>
      <w:proofErr w:type="gramStart"/>
      <w:r w:rsidRPr="00BD15A2">
        <w:rPr>
          <w:rFonts w:cs="Times New Roman"/>
          <w:i/>
          <w:iCs/>
          <w:szCs w:val="24"/>
        </w:rPr>
        <w:t>Financial management</w:t>
      </w:r>
      <w:r w:rsidRPr="00BD15A2">
        <w:rPr>
          <w:rFonts w:cs="Times New Roman"/>
          <w:szCs w:val="24"/>
        </w:rPr>
        <w:t>.</w:t>
      </w:r>
      <w:proofErr w:type="gramEnd"/>
      <w:r w:rsidRPr="00BD15A2">
        <w:rPr>
          <w:rFonts w:cs="Times New Roman"/>
          <w:szCs w:val="24"/>
        </w:rPr>
        <w:t xml:space="preserve"> </w:t>
      </w:r>
      <w:proofErr w:type="gramStart"/>
      <w:r w:rsidRPr="00BD15A2">
        <w:rPr>
          <w:rFonts w:cs="Times New Roman"/>
          <w:szCs w:val="24"/>
        </w:rPr>
        <w:t>Tata McGraw-Hill Education.</w:t>
      </w:r>
      <w:proofErr w:type="gramEnd"/>
    </w:p>
    <w:p w:rsidR="00BD15A2" w:rsidRPr="00BD15A2" w:rsidRDefault="00BD15A2" w:rsidP="00BD15A2">
      <w:pPr>
        <w:rPr>
          <w:rFonts w:cs="Times New Roman"/>
          <w:szCs w:val="24"/>
        </w:rPr>
      </w:pPr>
      <w:proofErr w:type="gramStart"/>
      <w:r w:rsidRPr="00BD15A2">
        <w:rPr>
          <w:rFonts w:cs="Times New Roman"/>
          <w:szCs w:val="24"/>
        </w:rPr>
        <w:t>Brigham, E. F., and Houston, J. F. (2012).</w:t>
      </w:r>
      <w:proofErr w:type="gramEnd"/>
      <w:r w:rsidRPr="00BD15A2">
        <w:rPr>
          <w:rFonts w:cs="Times New Roman"/>
          <w:szCs w:val="24"/>
        </w:rPr>
        <w:t> </w:t>
      </w:r>
      <w:proofErr w:type="gramStart"/>
      <w:r w:rsidRPr="00BD15A2">
        <w:rPr>
          <w:rFonts w:cs="Times New Roman"/>
          <w:i/>
          <w:iCs/>
          <w:szCs w:val="24"/>
        </w:rPr>
        <w:t>Fundamentals of financial management</w:t>
      </w:r>
      <w:r w:rsidRPr="00BD15A2">
        <w:rPr>
          <w:rFonts w:cs="Times New Roman"/>
          <w:szCs w:val="24"/>
        </w:rPr>
        <w:t>.</w:t>
      </w:r>
      <w:proofErr w:type="gramEnd"/>
      <w:r w:rsidRPr="00BD15A2">
        <w:rPr>
          <w:rFonts w:cs="Times New Roman"/>
          <w:szCs w:val="24"/>
        </w:rPr>
        <w:t xml:space="preserve"> Cengage Learning.</w:t>
      </w:r>
    </w:p>
    <w:p w:rsidR="00BD15A2" w:rsidRPr="00BD15A2" w:rsidRDefault="00BD15A2" w:rsidP="00BD15A2">
      <w:pPr>
        <w:rPr>
          <w:rFonts w:cs="Times New Roman"/>
          <w:szCs w:val="24"/>
        </w:rPr>
      </w:pPr>
      <w:r w:rsidRPr="00BD15A2">
        <w:rPr>
          <w:rFonts w:cs="Times New Roman"/>
          <w:szCs w:val="24"/>
        </w:rPr>
        <w:t xml:space="preserve">Horrigan, J. (2012). </w:t>
      </w:r>
      <w:proofErr w:type="gramStart"/>
      <w:r w:rsidRPr="00BD15A2">
        <w:rPr>
          <w:rFonts w:cs="Times New Roman"/>
          <w:i/>
          <w:iCs/>
          <w:szCs w:val="24"/>
        </w:rPr>
        <w:t>Financial ratio analysis</w:t>
      </w:r>
      <w:r w:rsidRPr="00BD15A2">
        <w:rPr>
          <w:rFonts w:cs="Times New Roman"/>
          <w:szCs w:val="24"/>
        </w:rPr>
        <w:t>.</w:t>
      </w:r>
      <w:proofErr w:type="gramEnd"/>
      <w:r w:rsidRPr="00BD15A2">
        <w:rPr>
          <w:rFonts w:cs="Times New Roman"/>
          <w:szCs w:val="24"/>
        </w:rPr>
        <w:t xml:space="preserve"> New York: Arno Press</w:t>
      </w:r>
    </w:p>
    <w:p w:rsidR="00BD15A2" w:rsidRPr="00BD15A2" w:rsidRDefault="00BD15A2" w:rsidP="00BD15A2">
      <w:pPr>
        <w:widowControl w:val="0"/>
        <w:autoSpaceDE w:val="0"/>
        <w:autoSpaceDN w:val="0"/>
        <w:adjustRightInd w:val="0"/>
        <w:rPr>
          <w:rFonts w:cs="Times New Roman"/>
          <w:szCs w:val="24"/>
        </w:rPr>
      </w:pPr>
      <w:r w:rsidRPr="00BD15A2">
        <w:rPr>
          <w:rFonts w:cs="Times New Roman"/>
          <w:szCs w:val="24"/>
        </w:rPr>
        <w:t xml:space="preserve">Palmer, J. (2009). </w:t>
      </w:r>
      <w:proofErr w:type="gramStart"/>
      <w:r w:rsidRPr="00BD15A2">
        <w:rPr>
          <w:rFonts w:cs="Times New Roman"/>
          <w:i/>
          <w:iCs/>
          <w:szCs w:val="24"/>
        </w:rPr>
        <w:t>Financial ratio analysis</w:t>
      </w:r>
      <w:r w:rsidRPr="00BD15A2">
        <w:rPr>
          <w:rFonts w:cs="Times New Roman"/>
          <w:szCs w:val="24"/>
        </w:rPr>
        <w:t>.</w:t>
      </w:r>
      <w:proofErr w:type="gramEnd"/>
      <w:r w:rsidRPr="00BD15A2">
        <w:rPr>
          <w:rFonts w:cs="Times New Roman"/>
          <w:szCs w:val="24"/>
        </w:rPr>
        <w:t xml:space="preserve"> New York, N.Y.: American Institute of Certified Public Accountants.</w:t>
      </w:r>
    </w:p>
    <w:p w:rsidR="00BD15A2" w:rsidRPr="00BD15A2" w:rsidRDefault="00BD15A2" w:rsidP="00BD15A2">
      <w:pPr>
        <w:rPr>
          <w:rFonts w:cs="Times New Roman"/>
          <w:szCs w:val="24"/>
        </w:rPr>
      </w:pPr>
      <w:proofErr w:type="gramStart"/>
      <w:r w:rsidRPr="00BD15A2">
        <w:rPr>
          <w:rFonts w:cs="Times New Roman"/>
          <w:szCs w:val="24"/>
        </w:rPr>
        <w:t>Robinson, T. (2009).</w:t>
      </w:r>
      <w:proofErr w:type="gramEnd"/>
      <w:r w:rsidRPr="00BD15A2">
        <w:rPr>
          <w:rFonts w:cs="Times New Roman"/>
          <w:szCs w:val="24"/>
        </w:rPr>
        <w:t xml:space="preserve"> </w:t>
      </w:r>
      <w:proofErr w:type="gramStart"/>
      <w:r w:rsidRPr="00BD15A2">
        <w:rPr>
          <w:rFonts w:cs="Times New Roman"/>
          <w:szCs w:val="24"/>
        </w:rPr>
        <w:t>International financial statement analysis.</w:t>
      </w:r>
      <w:proofErr w:type="gramEnd"/>
      <w:r w:rsidRPr="00BD15A2">
        <w:rPr>
          <w:rFonts w:cs="Times New Roman"/>
          <w:szCs w:val="24"/>
        </w:rPr>
        <w:t xml:space="preserve"> Hoboken, N.J.: John Wiley &amp; Sons</w:t>
      </w:r>
    </w:p>
    <w:p w:rsidR="00BD15A2" w:rsidRPr="00BD15A2" w:rsidRDefault="00BD15A2" w:rsidP="00BD15A2">
      <w:pPr>
        <w:widowControl w:val="0"/>
        <w:autoSpaceDE w:val="0"/>
        <w:autoSpaceDN w:val="0"/>
        <w:adjustRightInd w:val="0"/>
        <w:rPr>
          <w:rFonts w:cs="Times New Roman"/>
          <w:szCs w:val="24"/>
        </w:rPr>
      </w:pPr>
      <w:proofErr w:type="gramStart"/>
      <w:r w:rsidRPr="00BD15A2">
        <w:rPr>
          <w:rFonts w:cs="Times New Roman"/>
          <w:szCs w:val="24"/>
        </w:rPr>
        <w:t xml:space="preserve">Ross, S., </w:t>
      </w:r>
      <w:proofErr w:type="spellStart"/>
      <w:r w:rsidRPr="00BD15A2">
        <w:rPr>
          <w:rFonts w:cs="Times New Roman"/>
          <w:szCs w:val="24"/>
        </w:rPr>
        <w:t>Westerfield</w:t>
      </w:r>
      <w:proofErr w:type="spellEnd"/>
      <w:r w:rsidRPr="00BD15A2">
        <w:rPr>
          <w:rFonts w:cs="Times New Roman"/>
          <w:szCs w:val="24"/>
        </w:rPr>
        <w:t>, R. and Jordan, B. (2010).</w:t>
      </w:r>
      <w:proofErr w:type="gramEnd"/>
      <w:r w:rsidRPr="00BD15A2">
        <w:rPr>
          <w:rFonts w:cs="Times New Roman"/>
          <w:szCs w:val="24"/>
        </w:rPr>
        <w:t xml:space="preserve"> </w:t>
      </w:r>
      <w:proofErr w:type="gramStart"/>
      <w:r w:rsidRPr="00BD15A2">
        <w:rPr>
          <w:rFonts w:cs="Times New Roman"/>
          <w:i/>
          <w:iCs/>
          <w:szCs w:val="24"/>
        </w:rPr>
        <w:t>Fundamentals of corporate finance</w:t>
      </w:r>
      <w:r w:rsidRPr="00BD15A2">
        <w:rPr>
          <w:rFonts w:cs="Times New Roman"/>
          <w:szCs w:val="24"/>
        </w:rPr>
        <w:t>.</w:t>
      </w:r>
      <w:proofErr w:type="gramEnd"/>
      <w:r w:rsidRPr="00BD15A2">
        <w:rPr>
          <w:rFonts w:cs="Times New Roman"/>
          <w:szCs w:val="24"/>
        </w:rPr>
        <w:t xml:space="preserve"> Boston: </w:t>
      </w:r>
    </w:p>
    <w:p w:rsidR="00032211" w:rsidRDefault="00BD15A2" w:rsidP="00BD15A2">
      <w:pPr>
        <w:rPr>
          <w:rFonts w:cs="Times New Roman"/>
          <w:szCs w:val="24"/>
        </w:rPr>
      </w:pPr>
      <w:proofErr w:type="spellStart"/>
      <w:proofErr w:type="gramStart"/>
      <w:r w:rsidRPr="00BD15A2">
        <w:rPr>
          <w:rFonts w:cs="Times New Roman"/>
          <w:szCs w:val="24"/>
        </w:rPr>
        <w:t>btplc</w:t>
      </w:r>
      <w:proofErr w:type="spellEnd"/>
      <w:proofErr w:type="gramEnd"/>
      <w:r w:rsidRPr="00BD15A2">
        <w:rPr>
          <w:rFonts w:cs="Times New Roman"/>
          <w:szCs w:val="24"/>
        </w:rPr>
        <w:t xml:space="preserve">. </w:t>
      </w:r>
      <w:proofErr w:type="gramStart"/>
      <w:r w:rsidRPr="00BD15A2">
        <w:rPr>
          <w:rFonts w:cs="Times New Roman"/>
          <w:szCs w:val="24"/>
        </w:rPr>
        <w:t xml:space="preserve">(2017). </w:t>
      </w:r>
      <w:proofErr w:type="spellStart"/>
      <w:r w:rsidRPr="00BD15A2">
        <w:rPr>
          <w:rFonts w:cs="Times New Roman"/>
          <w:szCs w:val="24"/>
        </w:rPr>
        <w:t>btplc</w:t>
      </w:r>
      <w:proofErr w:type="spellEnd"/>
      <w:r w:rsidRPr="00BD15A2">
        <w:rPr>
          <w:rFonts w:cs="Times New Roman"/>
          <w:szCs w:val="24"/>
        </w:rPr>
        <w:t>.</w:t>
      </w:r>
      <w:proofErr w:type="gramEnd"/>
      <w:r w:rsidRPr="00BD15A2">
        <w:rPr>
          <w:rFonts w:cs="Times New Roman"/>
          <w:szCs w:val="24"/>
        </w:rPr>
        <w:t xml:space="preserve"> [</w:t>
      </w:r>
      <w:proofErr w:type="gramStart"/>
      <w:r w:rsidRPr="00BD15A2">
        <w:rPr>
          <w:rFonts w:cs="Times New Roman"/>
          <w:szCs w:val="24"/>
        </w:rPr>
        <w:t>online</w:t>
      </w:r>
      <w:proofErr w:type="gramEnd"/>
      <w:r w:rsidRPr="00BD15A2">
        <w:rPr>
          <w:rFonts w:cs="Times New Roman"/>
          <w:szCs w:val="24"/>
        </w:rPr>
        <w:t>] Available at: https://www.btplc.com/Sharesandperformance/Annualreportandreview/pdf/2017_BT_Annual_Report.pdf [Accessed 26 Dec. 2017].</w:t>
      </w:r>
      <w:r w:rsidR="001903A7" w:rsidRPr="00BD15A2">
        <w:rPr>
          <w:rFonts w:cs="Times New Roman"/>
          <w:szCs w:val="24"/>
        </w:rPr>
        <w:t xml:space="preserve"> </w:t>
      </w:r>
      <w:r w:rsidR="00637B93" w:rsidRPr="00BD15A2">
        <w:rPr>
          <w:rFonts w:cs="Times New Roman"/>
          <w:szCs w:val="24"/>
        </w:rPr>
        <w:t xml:space="preserve"> </w:t>
      </w:r>
      <w:r w:rsidR="003D42C5" w:rsidRPr="00BD15A2">
        <w:rPr>
          <w:rFonts w:cs="Times New Roman"/>
          <w:szCs w:val="24"/>
        </w:rPr>
        <w:t xml:space="preserve">   </w:t>
      </w:r>
    </w:p>
    <w:p w:rsidR="003122E5" w:rsidRPr="009F4C29" w:rsidRDefault="003122E5" w:rsidP="003122E5">
      <w:pPr>
        <w:spacing w:after="163" w:line="240" w:lineRule="auto"/>
        <w:ind w:left="408" w:hanging="408"/>
        <w:jc w:val="left"/>
        <w:rPr>
          <w:rFonts w:eastAsia="Times New Roman" w:cs="Times New Roman"/>
          <w:color w:val="000000"/>
          <w:sz w:val="27"/>
          <w:szCs w:val="27"/>
        </w:rPr>
      </w:pPr>
      <w:proofErr w:type="gramStart"/>
      <w:r w:rsidRPr="009F4C29">
        <w:rPr>
          <w:rFonts w:eastAsia="Times New Roman" w:cs="Times New Roman"/>
          <w:color w:val="000000"/>
          <w:sz w:val="27"/>
          <w:szCs w:val="27"/>
        </w:rPr>
        <w:t>Btplc.com. (2014).</w:t>
      </w:r>
      <w:proofErr w:type="gramEnd"/>
      <w:r w:rsidRPr="009F4C29">
        <w:rPr>
          <w:rFonts w:eastAsia="Times New Roman" w:cs="Times New Roman"/>
          <w:color w:val="000000"/>
          <w:sz w:val="27"/>
          <w:szCs w:val="27"/>
        </w:rPr>
        <w:t> </w:t>
      </w:r>
      <w:r w:rsidRPr="009F4C29">
        <w:rPr>
          <w:rFonts w:eastAsia="Times New Roman" w:cs="Times New Roman"/>
          <w:i/>
          <w:iCs/>
          <w:color w:val="000000"/>
          <w:sz w:val="27"/>
          <w:szCs w:val="27"/>
        </w:rPr>
        <w:t xml:space="preserve">Cite a Website - Cite This </w:t>
      </w:r>
      <w:proofErr w:type="gramStart"/>
      <w:r w:rsidRPr="009F4C29">
        <w:rPr>
          <w:rFonts w:eastAsia="Times New Roman" w:cs="Times New Roman"/>
          <w:i/>
          <w:iCs/>
          <w:color w:val="000000"/>
          <w:sz w:val="27"/>
          <w:szCs w:val="27"/>
        </w:rPr>
        <w:t>For</w:t>
      </w:r>
      <w:proofErr w:type="gramEnd"/>
      <w:r w:rsidRPr="009F4C29">
        <w:rPr>
          <w:rFonts w:eastAsia="Times New Roman" w:cs="Times New Roman"/>
          <w:i/>
          <w:iCs/>
          <w:color w:val="000000"/>
          <w:sz w:val="27"/>
          <w:szCs w:val="27"/>
        </w:rPr>
        <w:t xml:space="preserve"> Me</w:t>
      </w:r>
      <w:r w:rsidRPr="009F4C29">
        <w:rPr>
          <w:rFonts w:eastAsia="Times New Roman" w:cs="Times New Roman"/>
          <w:color w:val="000000"/>
          <w:sz w:val="27"/>
          <w:szCs w:val="27"/>
        </w:rPr>
        <w:t>. [online] Available at: http://www.btplc.com/Sharesandperformance/Annualreportandreview/pdf/2014_BT_plc_Annual_Report.pdf [Accessed 3 Jan. 2018].</w:t>
      </w:r>
    </w:p>
    <w:p w:rsidR="003122E5" w:rsidRPr="009F4C29" w:rsidRDefault="003122E5" w:rsidP="003122E5">
      <w:pPr>
        <w:spacing w:after="163" w:line="240" w:lineRule="auto"/>
        <w:ind w:left="408" w:hanging="408"/>
        <w:jc w:val="left"/>
        <w:rPr>
          <w:rFonts w:eastAsia="Times New Roman" w:cs="Times New Roman"/>
          <w:color w:val="000000"/>
          <w:sz w:val="27"/>
          <w:szCs w:val="27"/>
        </w:rPr>
      </w:pPr>
      <w:proofErr w:type="gramStart"/>
      <w:r w:rsidRPr="009F4C29">
        <w:rPr>
          <w:rFonts w:eastAsia="Times New Roman" w:cs="Times New Roman"/>
          <w:color w:val="000000"/>
          <w:sz w:val="27"/>
          <w:szCs w:val="27"/>
        </w:rPr>
        <w:t>Btplc.com. (2015).</w:t>
      </w:r>
      <w:proofErr w:type="gramEnd"/>
      <w:r w:rsidRPr="009F4C29">
        <w:rPr>
          <w:rFonts w:eastAsia="Times New Roman" w:cs="Times New Roman"/>
          <w:color w:val="000000"/>
          <w:sz w:val="27"/>
          <w:szCs w:val="27"/>
        </w:rPr>
        <w:t> </w:t>
      </w:r>
      <w:r w:rsidRPr="009F4C29">
        <w:rPr>
          <w:rFonts w:eastAsia="Times New Roman" w:cs="Times New Roman"/>
          <w:i/>
          <w:iCs/>
          <w:color w:val="000000"/>
          <w:sz w:val="27"/>
          <w:szCs w:val="27"/>
        </w:rPr>
        <w:t xml:space="preserve">Cite a Website - Cite This </w:t>
      </w:r>
      <w:proofErr w:type="gramStart"/>
      <w:r w:rsidRPr="009F4C29">
        <w:rPr>
          <w:rFonts w:eastAsia="Times New Roman" w:cs="Times New Roman"/>
          <w:i/>
          <w:iCs/>
          <w:color w:val="000000"/>
          <w:sz w:val="27"/>
          <w:szCs w:val="27"/>
        </w:rPr>
        <w:t>For</w:t>
      </w:r>
      <w:proofErr w:type="gramEnd"/>
      <w:r w:rsidRPr="009F4C29">
        <w:rPr>
          <w:rFonts w:eastAsia="Times New Roman" w:cs="Times New Roman"/>
          <w:i/>
          <w:iCs/>
          <w:color w:val="000000"/>
          <w:sz w:val="27"/>
          <w:szCs w:val="27"/>
        </w:rPr>
        <w:t xml:space="preserve"> Me</w:t>
      </w:r>
      <w:r w:rsidRPr="009F4C29">
        <w:rPr>
          <w:rFonts w:eastAsia="Times New Roman" w:cs="Times New Roman"/>
          <w:color w:val="000000"/>
          <w:sz w:val="27"/>
          <w:szCs w:val="27"/>
        </w:rPr>
        <w:t>. [online] Available at: http://www.btplc.com/governance/2015_BT_PLC_Annual_Report.pdf [Accessed 3 Jan. 2018].</w:t>
      </w:r>
    </w:p>
    <w:p w:rsidR="003122E5" w:rsidRPr="009F4C29" w:rsidRDefault="003122E5" w:rsidP="003122E5">
      <w:pPr>
        <w:spacing w:after="163" w:line="240" w:lineRule="auto"/>
        <w:ind w:left="408" w:hanging="408"/>
        <w:jc w:val="left"/>
        <w:rPr>
          <w:rFonts w:eastAsia="Times New Roman" w:cs="Times New Roman"/>
          <w:color w:val="000000"/>
          <w:sz w:val="27"/>
          <w:szCs w:val="27"/>
        </w:rPr>
      </w:pPr>
      <w:proofErr w:type="gramStart"/>
      <w:r w:rsidRPr="009F4C29">
        <w:rPr>
          <w:rFonts w:eastAsia="Times New Roman" w:cs="Times New Roman"/>
          <w:color w:val="000000"/>
          <w:sz w:val="27"/>
          <w:szCs w:val="27"/>
        </w:rPr>
        <w:t>Btplc.com. (2016).</w:t>
      </w:r>
      <w:proofErr w:type="gramEnd"/>
      <w:r w:rsidRPr="009F4C29">
        <w:rPr>
          <w:rFonts w:eastAsia="Times New Roman" w:cs="Times New Roman"/>
          <w:color w:val="000000"/>
          <w:sz w:val="27"/>
          <w:szCs w:val="27"/>
        </w:rPr>
        <w:t> </w:t>
      </w:r>
      <w:r w:rsidRPr="009F4C29">
        <w:rPr>
          <w:rFonts w:eastAsia="Times New Roman" w:cs="Times New Roman"/>
          <w:i/>
          <w:iCs/>
          <w:color w:val="000000"/>
          <w:sz w:val="27"/>
          <w:szCs w:val="27"/>
        </w:rPr>
        <w:t xml:space="preserve">Cite a Website - Cite This </w:t>
      </w:r>
      <w:proofErr w:type="gramStart"/>
      <w:r w:rsidRPr="009F4C29">
        <w:rPr>
          <w:rFonts w:eastAsia="Times New Roman" w:cs="Times New Roman"/>
          <w:i/>
          <w:iCs/>
          <w:color w:val="000000"/>
          <w:sz w:val="27"/>
          <w:szCs w:val="27"/>
        </w:rPr>
        <w:t>For</w:t>
      </w:r>
      <w:proofErr w:type="gramEnd"/>
      <w:r w:rsidRPr="009F4C29">
        <w:rPr>
          <w:rFonts w:eastAsia="Times New Roman" w:cs="Times New Roman"/>
          <w:i/>
          <w:iCs/>
          <w:color w:val="000000"/>
          <w:sz w:val="27"/>
          <w:szCs w:val="27"/>
        </w:rPr>
        <w:t xml:space="preserve"> Me</w:t>
      </w:r>
      <w:r w:rsidRPr="009F4C29">
        <w:rPr>
          <w:rFonts w:eastAsia="Times New Roman" w:cs="Times New Roman"/>
          <w:color w:val="000000"/>
          <w:sz w:val="27"/>
          <w:szCs w:val="27"/>
        </w:rPr>
        <w:t>. [online] Available at: http://www.btplc.com/governance/2016_BT_PLC_Annual_Report.pdf [Accessed 3 Jan. 2018].</w:t>
      </w:r>
    </w:p>
    <w:p w:rsidR="003122E5" w:rsidRPr="009F4C29" w:rsidRDefault="003122E5" w:rsidP="003122E5">
      <w:pPr>
        <w:spacing w:after="163" w:line="240" w:lineRule="auto"/>
        <w:ind w:left="408" w:hanging="408"/>
        <w:jc w:val="left"/>
        <w:rPr>
          <w:rFonts w:eastAsia="Times New Roman" w:cs="Times New Roman"/>
          <w:color w:val="000000"/>
          <w:sz w:val="27"/>
          <w:szCs w:val="27"/>
        </w:rPr>
      </w:pPr>
      <w:proofErr w:type="gramStart"/>
      <w:r w:rsidRPr="009F4C29">
        <w:rPr>
          <w:rFonts w:eastAsia="Times New Roman" w:cs="Times New Roman"/>
          <w:color w:val="000000"/>
          <w:sz w:val="27"/>
          <w:szCs w:val="27"/>
        </w:rPr>
        <w:t>Btplc.com. (2018).</w:t>
      </w:r>
      <w:proofErr w:type="gramEnd"/>
      <w:r w:rsidRPr="009F4C29">
        <w:rPr>
          <w:rFonts w:eastAsia="Times New Roman" w:cs="Times New Roman"/>
          <w:color w:val="000000"/>
          <w:sz w:val="27"/>
          <w:szCs w:val="27"/>
        </w:rPr>
        <w:t> </w:t>
      </w:r>
      <w:proofErr w:type="gramStart"/>
      <w:r w:rsidRPr="009F4C29">
        <w:rPr>
          <w:rFonts w:eastAsia="Times New Roman" w:cs="Times New Roman"/>
          <w:i/>
          <w:iCs/>
          <w:color w:val="000000"/>
          <w:sz w:val="27"/>
          <w:szCs w:val="27"/>
        </w:rPr>
        <w:t>BT plc Annual Reports</w:t>
      </w:r>
      <w:r w:rsidRPr="009F4C29">
        <w:rPr>
          <w:rFonts w:eastAsia="Times New Roman" w:cs="Times New Roman"/>
          <w:color w:val="000000"/>
          <w:sz w:val="27"/>
          <w:szCs w:val="27"/>
        </w:rPr>
        <w:t>.</w:t>
      </w:r>
      <w:proofErr w:type="gramEnd"/>
      <w:r w:rsidRPr="009F4C29">
        <w:rPr>
          <w:rFonts w:eastAsia="Times New Roman" w:cs="Times New Roman"/>
          <w:color w:val="000000"/>
          <w:sz w:val="27"/>
          <w:szCs w:val="27"/>
        </w:rPr>
        <w:t xml:space="preserve"> [</w:t>
      </w:r>
      <w:proofErr w:type="gramStart"/>
      <w:r w:rsidRPr="009F4C29">
        <w:rPr>
          <w:rFonts w:eastAsia="Times New Roman" w:cs="Times New Roman"/>
          <w:color w:val="000000"/>
          <w:sz w:val="27"/>
          <w:szCs w:val="27"/>
        </w:rPr>
        <w:t>online</w:t>
      </w:r>
      <w:proofErr w:type="gramEnd"/>
      <w:r w:rsidRPr="009F4C29">
        <w:rPr>
          <w:rFonts w:eastAsia="Times New Roman" w:cs="Times New Roman"/>
          <w:color w:val="000000"/>
          <w:sz w:val="27"/>
          <w:szCs w:val="27"/>
        </w:rPr>
        <w:t>] Available at: http://www.btplc.com/governance/ [Accessed 3 Jan. 2018].</w:t>
      </w:r>
    </w:p>
    <w:p w:rsidR="003122E5" w:rsidRPr="009F4C29" w:rsidRDefault="003122E5" w:rsidP="003122E5">
      <w:pPr>
        <w:spacing w:after="163" w:line="240" w:lineRule="auto"/>
        <w:ind w:left="408" w:hanging="408"/>
        <w:jc w:val="left"/>
        <w:rPr>
          <w:rFonts w:eastAsia="Times New Roman" w:cs="Times New Roman"/>
          <w:color w:val="000000"/>
          <w:sz w:val="27"/>
          <w:szCs w:val="27"/>
        </w:rPr>
      </w:pPr>
      <w:proofErr w:type="gramStart"/>
      <w:r w:rsidRPr="009F4C29">
        <w:rPr>
          <w:rFonts w:eastAsia="Times New Roman" w:cs="Times New Roman"/>
          <w:color w:val="000000"/>
          <w:sz w:val="27"/>
          <w:szCs w:val="27"/>
        </w:rPr>
        <w:lastRenderedPageBreak/>
        <w:t>Vodafone.com (2016).</w:t>
      </w:r>
      <w:proofErr w:type="gramEnd"/>
      <w:r w:rsidRPr="009F4C29">
        <w:rPr>
          <w:rFonts w:eastAsia="Times New Roman" w:cs="Times New Roman"/>
          <w:color w:val="000000"/>
          <w:sz w:val="27"/>
          <w:szCs w:val="27"/>
        </w:rPr>
        <w:t> </w:t>
      </w:r>
      <w:r w:rsidRPr="009F4C29">
        <w:rPr>
          <w:rFonts w:eastAsia="Times New Roman" w:cs="Times New Roman"/>
          <w:i/>
          <w:iCs/>
          <w:color w:val="000000"/>
          <w:sz w:val="27"/>
          <w:szCs w:val="27"/>
        </w:rPr>
        <w:t>Human Rights Documents online</w:t>
      </w:r>
      <w:r w:rsidRPr="009F4C29">
        <w:rPr>
          <w:rFonts w:eastAsia="Times New Roman" w:cs="Times New Roman"/>
          <w:color w:val="000000"/>
          <w:sz w:val="27"/>
          <w:szCs w:val="27"/>
        </w:rPr>
        <w:t>. [</w:t>
      </w:r>
      <w:proofErr w:type="gramStart"/>
      <w:r w:rsidRPr="009F4C29">
        <w:rPr>
          <w:rFonts w:eastAsia="Times New Roman" w:cs="Times New Roman"/>
          <w:color w:val="000000"/>
          <w:sz w:val="27"/>
          <w:szCs w:val="27"/>
        </w:rPr>
        <w:t>online</w:t>
      </w:r>
      <w:proofErr w:type="gramEnd"/>
      <w:r w:rsidRPr="009F4C29">
        <w:rPr>
          <w:rFonts w:eastAsia="Times New Roman" w:cs="Times New Roman"/>
          <w:color w:val="000000"/>
          <w:sz w:val="27"/>
          <w:szCs w:val="27"/>
        </w:rPr>
        <w:t>] Available at: http://www.vodafone.com/content/annualreport/annual_report16/downloads/vodafone-full-annual-report-2016.pdf [Accessed 3 Jan. 2018].</w:t>
      </w:r>
    </w:p>
    <w:p w:rsidR="003122E5" w:rsidRPr="009F4C29" w:rsidRDefault="003122E5" w:rsidP="003122E5">
      <w:pPr>
        <w:spacing w:after="163" w:line="240" w:lineRule="auto"/>
        <w:ind w:left="408" w:hanging="408"/>
        <w:jc w:val="left"/>
        <w:rPr>
          <w:rFonts w:eastAsia="Times New Roman" w:cs="Times New Roman"/>
          <w:color w:val="000000"/>
          <w:sz w:val="27"/>
          <w:szCs w:val="27"/>
        </w:rPr>
      </w:pPr>
      <w:proofErr w:type="gramStart"/>
      <w:r w:rsidRPr="009F4C29">
        <w:rPr>
          <w:rFonts w:eastAsia="Times New Roman" w:cs="Times New Roman"/>
          <w:color w:val="000000"/>
          <w:sz w:val="27"/>
          <w:szCs w:val="27"/>
        </w:rPr>
        <w:t>Vodafone.com. (2012).</w:t>
      </w:r>
      <w:proofErr w:type="gramEnd"/>
      <w:r w:rsidRPr="009F4C29">
        <w:rPr>
          <w:rFonts w:eastAsia="Times New Roman" w:cs="Times New Roman"/>
          <w:color w:val="000000"/>
          <w:sz w:val="27"/>
          <w:szCs w:val="27"/>
        </w:rPr>
        <w:t> </w:t>
      </w:r>
      <w:r w:rsidRPr="009F4C29">
        <w:rPr>
          <w:rFonts w:eastAsia="Times New Roman" w:cs="Times New Roman"/>
          <w:i/>
          <w:iCs/>
          <w:color w:val="000000"/>
          <w:sz w:val="27"/>
          <w:szCs w:val="27"/>
        </w:rPr>
        <w:t xml:space="preserve">Cite a Website - Cite This </w:t>
      </w:r>
      <w:proofErr w:type="gramStart"/>
      <w:r w:rsidRPr="009F4C29">
        <w:rPr>
          <w:rFonts w:eastAsia="Times New Roman" w:cs="Times New Roman"/>
          <w:i/>
          <w:iCs/>
          <w:color w:val="000000"/>
          <w:sz w:val="27"/>
          <w:szCs w:val="27"/>
        </w:rPr>
        <w:t>For</w:t>
      </w:r>
      <w:proofErr w:type="gramEnd"/>
      <w:r w:rsidRPr="009F4C29">
        <w:rPr>
          <w:rFonts w:eastAsia="Times New Roman" w:cs="Times New Roman"/>
          <w:i/>
          <w:iCs/>
          <w:color w:val="000000"/>
          <w:sz w:val="27"/>
          <w:szCs w:val="27"/>
        </w:rPr>
        <w:t xml:space="preserve"> Me</w:t>
      </w:r>
      <w:r w:rsidRPr="009F4C29">
        <w:rPr>
          <w:rFonts w:eastAsia="Times New Roman" w:cs="Times New Roman"/>
          <w:color w:val="000000"/>
          <w:sz w:val="27"/>
          <w:szCs w:val="27"/>
        </w:rPr>
        <w:t>. [online] Available at: https://www.vodafone.com/content/annualreport/annual_report12/downloads/financials_vodafone_ar2012.pdf [Accessed 3 Jan. 2018].</w:t>
      </w:r>
    </w:p>
    <w:p w:rsidR="003122E5" w:rsidRPr="009F4C29" w:rsidRDefault="003122E5" w:rsidP="003122E5">
      <w:pPr>
        <w:spacing w:after="163" w:line="240" w:lineRule="auto"/>
        <w:ind w:left="408" w:hanging="408"/>
        <w:jc w:val="left"/>
        <w:rPr>
          <w:rFonts w:eastAsia="Times New Roman" w:cs="Times New Roman"/>
          <w:color w:val="000000"/>
          <w:sz w:val="27"/>
          <w:szCs w:val="27"/>
        </w:rPr>
      </w:pPr>
      <w:proofErr w:type="gramStart"/>
      <w:r w:rsidRPr="009F4C29">
        <w:rPr>
          <w:rFonts w:eastAsia="Times New Roman" w:cs="Times New Roman"/>
          <w:color w:val="000000"/>
          <w:sz w:val="27"/>
          <w:szCs w:val="27"/>
        </w:rPr>
        <w:t>Vodafone.com. (2014).</w:t>
      </w:r>
      <w:proofErr w:type="gramEnd"/>
      <w:r w:rsidRPr="009F4C29">
        <w:rPr>
          <w:rFonts w:eastAsia="Times New Roman" w:cs="Times New Roman"/>
          <w:color w:val="000000"/>
          <w:sz w:val="27"/>
          <w:szCs w:val="27"/>
        </w:rPr>
        <w:t> </w:t>
      </w:r>
      <w:proofErr w:type="gramStart"/>
      <w:r w:rsidRPr="009F4C29">
        <w:rPr>
          <w:rFonts w:eastAsia="Times New Roman" w:cs="Times New Roman"/>
          <w:i/>
          <w:iCs/>
          <w:color w:val="000000"/>
          <w:sz w:val="27"/>
          <w:szCs w:val="27"/>
        </w:rPr>
        <w:t>Vodafone Annual Report 2014</w:t>
      </w:r>
      <w:r w:rsidRPr="009F4C29">
        <w:rPr>
          <w:rFonts w:eastAsia="Times New Roman" w:cs="Times New Roman"/>
          <w:color w:val="000000"/>
          <w:sz w:val="27"/>
          <w:szCs w:val="27"/>
        </w:rPr>
        <w:t>.</w:t>
      </w:r>
      <w:proofErr w:type="gramEnd"/>
      <w:r w:rsidRPr="009F4C29">
        <w:rPr>
          <w:rFonts w:eastAsia="Times New Roman" w:cs="Times New Roman"/>
          <w:color w:val="000000"/>
          <w:sz w:val="27"/>
          <w:szCs w:val="27"/>
        </w:rPr>
        <w:t xml:space="preserve"> [</w:t>
      </w:r>
      <w:proofErr w:type="gramStart"/>
      <w:r w:rsidRPr="009F4C29">
        <w:rPr>
          <w:rFonts w:eastAsia="Times New Roman" w:cs="Times New Roman"/>
          <w:color w:val="000000"/>
          <w:sz w:val="27"/>
          <w:szCs w:val="27"/>
        </w:rPr>
        <w:t>online</w:t>
      </w:r>
      <w:proofErr w:type="gramEnd"/>
      <w:r w:rsidRPr="009F4C29">
        <w:rPr>
          <w:rFonts w:eastAsia="Times New Roman" w:cs="Times New Roman"/>
          <w:color w:val="000000"/>
          <w:sz w:val="27"/>
          <w:szCs w:val="27"/>
        </w:rPr>
        <w:t>] Available at: https://www.vodafone.com/content/annualreport/annual_report14/index.html [Accessed 3 Jan. 2018].</w:t>
      </w:r>
    </w:p>
    <w:p w:rsidR="003122E5" w:rsidRDefault="003122E5" w:rsidP="00BD15A2">
      <w:pPr>
        <w:rPr>
          <w:rFonts w:cs="Times New Roman"/>
          <w:szCs w:val="24"/>
        </w:rPr>
      </w:pPr>
    </w:p>
    <w:p w:rsidR="001D7BD6" w:rsidRDefault="001D7BD6" w:rsidP="001D7BD6">
      <w:pPr>
        <w:pStyle w:val="Heading1"/>
      </w:pPr>
      <w:bookmarkStart w:id="21" w:name="_Toc502770456"/>
      <w:r>
        <w:t>Appendix:</w:t>
      </w:r>
      <w:bookmarkEnd w:id="21"/>
    </w:p>
    <w:tbl>
      <w:tblPr>
        <w:tblW w:w="8940" w:type="dxa"/>
        <w:tblInd w:w="98" w:type="dxa"/>
        <w:tblLook w:val="04A0" w:firstRow="1" w:lastRow="0" w:firstColumn="1" w:lastColumn="0" w:noHBand="0" w:noVBand="1"/>
      </w:tblPr>
      <w:tblGrid>
        <w:gridCol w:w="3918"/>
        <w:gridCol w:w="1090"/>
        <w:gridCol w:w="1090"/>
        <w:gridCol w:w="1090"/>
        <w:gridCol w:w="1090"/>
        <w:gridCol w:w="1090"/>
      </w:tblGrid>
      <w:tr w:rsidR="001D7BD6" w:rsidRPr="001D7BD6" w:rsidTr="001D7BD6">
        <w:trPr>
          <w:trHeight w:val="330"/>
        </w:trPr>
        <w:tc>
          <w:tcPr>
            <w:tcW w:w="8940" w:type="dxa"/>
            <w:gridSpan w:val="6"/>
            <w:tcBorders>
              <w:top w:val="single" w:sz="8" w:space="0" w:color="auto"/>
              <w:left w:val="single" w:sz="8" w:space="0" w:color="auto"/>
              <w:bottom w:val="single" w:sz="8" w:space="0" w:color="auto"/>
              <w:right w:val="single" w:sz="8" w:space="0" w:color="000000"/>
            </w:tcBorders>
            <w:shd w:val="clear" w:color="000000" w:fill="FFC000"/>
            <w:noWrap/>
            <w:vAlign w:val="bottom"/>
            <w:hideMark/>
          </w:tcPr>
          <w:p w:rsidR="001D7BD6" w:rsidRPr="001D7BD6" w:rsidRDefault="001D7BD6" w:rsidP="001D7BD6">
            <w:pPr>
              <w:spacing w:after="0" w:line="240" w:lineRule="auto"/>
              <w:jc w:val="center"/>
              <w:rPr>
                <w:rFonts w:eastAsia="Times New Roman" w:cs="Times New Roman"/>
                <w:b/>
                <w:bCs/>
                <w:color w:val="000000"/>
                <w:szCs w:val="24"/>
              </w:rPr>
            </w:pPr>
            <w:r w:rsidRPr="001D7BD6">
              <w:rPr>
                <w:rFonts w:eastAsia="Times New Roman" w:cs="Times New Roman"/>
                <w:b/>
                <w:bCs/>
                <w:color w:val="000000"/>
                <w:szCs w:val="24"/>
              </w:rPr>
              <w:t>British telecom(BT) Ratio Analysis</w:t>
            </w:r>
          </w:p>
        </w:tc>
      </w:tr>
      <w:tr w:rsidR="001D7BD6" w:rsidRPr="001D7BD6" w:rsidTr="001D7BD6">
        <w:trPr>
          <w:trHeight w:val="315"/>
        </w:trPr>
        <w:tc>
          <w:tcPr>
            <w:tcW w:w="3918" w:type="dxa"/>
            <w:tcBorders>
              <w:top w:val="nil"/>
              <w:left w:val="single" w:sz="4" w:space="0" w:color="auto"/>
              <w:bottom w:val="single" w:sz="4" w:space="0" w:color="auto"/>
              <w:right w:val="single" w:sz="4" w:space="0" w:color="auto"/>
            </w:tcBorders>
            <w:shd w:val="clear" w:color="000000" w:fill="DBE5F1"/>
            <w:noWrap/>
            <w:vAlign w:val="bottom"/>
            <w:hideMark/>
          </w:tcPr>
          <w:p w:rsidR="001D7BD6" w:rsidRPr="001D7BD6" w:rsidRDefault="001D7BD6" w:rsidP="001D7BD6">
            <w:pPr>
              <w:spacing w:after="0" w:line="240" w:lineRule="auto"/>
              <w:jc w:val="left"/>
              <w:rPr>
                <w:rFonts w:eastAsia="Times New Roman" w:cs="Times New Roman"/>
                <w:b/>
                <w:bCs/>
                <w:color w:val="000000"/>
                <w:szCs w:val="24"/>
              </w:rPr>
            </w:pPr>
            <w:r w:rsidRPr="001D7BD6">
              <w:rPr>
                <w:rFonts w:eastAsia="Times New Roman" w:cs="Times New Roman"/>
                <w:b/>
                <w:bCs/>
                <w:color w:val="000000"/>
                <w:szCs w:val="24"/>
              </w:rPr>
              <w:t xml:space="preserve">Items of financial statement  </w:t>
            </w:r>
          </w:p>
        </w:tc>
        <w:tc>
          <w:tcPr>
            <w:tcW w:w="998" w:type="dxa"/>
            <w:tcBorders>
              <w:top w:val="nil"/>
              <w:left w:val="nil"/>
              <w:bottom w:val="single" w:sz="4" w:space="0" w:color="auto"/>
              <w:right w:val="single" w:sz="4" w:space="0" w:color="auto"/>
            </w:tcBorders>
            <w:shd w:val="clear" w:color="000000" w:fill="DBE5F1"/>
            <w:noWrap/>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£,million</w:t>
            </w:r>
          </w:p>
        </w:tc>
        <w:tc>
          <w:tcPr>
            <w:tcW w:w="998" w:type="dxa"/>
            <w:tcBorders>
              <w:top w:val="nil"/>
              <w:left w:val="nil"/>
              <w:bottom w:val="single" w:sz="4" w:space="0" w:color="auto"/>
              <w:right w:val="single" w:sz="4" w:space="0" w:color="auto"/>
            </w:tcBorders>
            <w:shd w:val="clear" w:color="000000" w:fill="DBE5F1"/>
            <w:noWrap/>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£,million</w:t>
            </w:r>
          </w:p>
        </w:tc>
        <w:tc>
          <w:tcPr>
            <w:tcW w:w="998" w:type="dxa"/>
            <w:tcBorders>
              <w:top w:val="nil"/>
              <w:left w:val="nil"/>
              <w:bottom w:val="single" w:sz="4" w:space="0" w:color="auto"/>
              <w:right w:val="single" w:sz="4" w:space="0" w:color="auto"/>
            </w:tcBorders>
            <w:shd w:val="clear" w:color="000000" w:fill="DBE5F1"/>
            <w:noWrap/>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£,million</w:t>
            </w:r>
          </w:p>
        </w:tc>
        <w:tc>
          <w:tcPr>
            <w:tcW w:w="998" w:type="dxa"/>
            <w:tcBorders>
              <w:top w:val="nil"/>
              <w:left w:val="nil"/>
              <w:bottom w:val="single" w:sz="4" w:space="0" w:color="auto"/>
              <w:right w:val="single" w:sz="4" w:space="0" w:color="auto"/>
            </w:tcBorders>
            <w:shd w:val="clear" w:color="000000" w:fill="DBE5F1"/>
            <w:noWrap/>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£,million</w:t>
            </w:r>
          </w:p>
        </w:tc>
        <w:tc>
          <w:tcPr>
            <w:tcW w:w="1030" w:type="dxa"/>
            <w:tcBorders>
              <w:top w:val="nil"/>
              <w:left w:val="nil"/>
              <w:bottom w:val="single" w:sz="4" w:space="0" w:color="auto"/>
              <w:right w:val="single" w:sz="4" w:space="0" w:color="auto"/>
            </w:tcBorders>
            <w:shd w:val="clear" w:color="000000" w:fill="DBE5F1"/>
            <w:noWrap/>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£,million</w:t>
            </w:r>
          </w:p>
        </w:tc>
      </w:tr>
      <w:tr w:rsidR="001D7BD6" w:rsidRPr="001D7BD6" w:rsidTr="001D7BD6">
        <w:trPr>
          <w:trHeight w:val="315"/>
        </w:trPr>
        <w:tc>
          <w:tcPr>
            <w:tcW w:w="3918" w:type="dxa"/>
            <w:tcBorders>
              <w:top w:val="nil"/>
              <w:left w:val="single" w:sz="4" w:space="0" w:color="auto"/>
              <w:bottom w:val="single" w:sz="4" w:space="0" w:color="auto"/>
              <w:right w:val="single" w:sz="4" w:space="0" w:color="auto"/>
            </w:tcBorders>
            <w:shd w:val="clear" w:color="000000" w:fill="FFC000"/>
            <w:noWrap/>
            <w:vAlign w:val="bottom"/>
            <w:hideMark/>
          </w:tcPr>
          <w:p w:rsidR="001D7BD6" w:rsidRPr="001D7BD6" w:rsidRDefault="001D7BD6" w:rsidP="001D7BD6">
            <w:pPr>
              <w:spacing w:after="0" w:line="240" w:lineRule="auto"/>
              <w:jc w:val="left"/>
              <w:rPr>
                <w:rFonts w:eastAsia="Times New Roman" w:cs="Times New Roman"/>
                <w:b/>
                <w:bCs/>
                <w:color w:val="000000"/>
                <w:szCs w:val="24"/>
              </w:rPr>
            </w:pPr>
            <w:r w:rsidRPr="001D7BD6">
              <w:rPr>
                <w:rFonts w:eastAsia="Times New Roman" w:cs="Times New Roman"/>
                <w:b/>
                <w:bCs/>
                <w:color w:val="000000"/>
                <w:szCs w:val="24"/>
              </w:rPr>
              <w:t>Years</w:t>
            </w:r>
          </w:p>
        </w:tc>
        <w:tc>
          <w:tcPr>
            <w:tcW w:w="998" w:type="dxa"/>
            <w:tcBorders>
              <w:top w:val="nil"/>
              <w:left w:val="nil"/>
              <w:bottom w:val="single" w:sz="4" w:space="0" w:color="auto"/>
              <w:right w:val="single" w:sz="4" w:space="0" w:color="auto"/>
            </w:tcBorders>
            <w:shd w:val="clear" w:color="000000" w:fill="FFC000"/>
            <w:noWrap/>
            <w:vAlign w:val="bottom"/>
            <w:hideMark/>
          </w:tcPr>
          <w:p w:rsidR="001D7BD6" w:rsidRPr="001D7BD6" w:rsidRDefault="001D7BD6" w:rsidP="001D7BD6">
            <w:pPr>
              <w:spacing w:after="0" w:line="240" w:lineRule="auto"/>
              <w:jc w:val="right"/>
              <w:rPr>
                <w:rFonts w:eastAsia="Times New Roman" w:cs="Times New Roman"/>
                <w:b/>
                <w:bCs/>
                <w:color w:val="000000"/>
                <w:szCs w:val="24"/>
              </w:rPr>
            </w:pPr>
            <w:r w:rsidRPr="001D7BD6">
              <w:rPr>
                <w:rFonts w:eastAsia="Times New Roman" w:cs="Times New Roman"/>
                <w:b/>
                <w:bCs/>
                <w:color w:val="000000"/>
                <w:szCs w:val="24"/>
              </w:rPr>
              <w:t>2012</w:t>
            </w:r>
          </w:p>
        </w:tc>
        <w:tc>
          <w:tcPr>
            <w:tcW w:w="998" w:type="dxa"/>
            <w:tcBorders>
              <w:top w:val="nil"/>
              <w:left w:val="nil"/>
              <w:bottom w:val="single" w:sz="4" w:space="0" w:color="auto"/>
              <w:right w:val="single" w:sz="4" w:space="0" w:color="auto"/>
            </w:tcBorders>
            <w:shd w:val="clear" w:color="000000" w:fill="FFC000"/>
            <w:noWrap/>
            <w:vAlign w:val="bottom"/>
            <w:hideMark/>
          </w:tcPr>
          <w:p w:rsidR="001D7BD6" w:rsidRPr="001D7BD6" w:rsidRDefault="001D7BD6" w:rsidP="001D7BD6">
            <w:pPr>
              <w:spacing w:after="0" w:line="240" w:lineRule="auto"/>
              <w:jc w:val="right"/>
              <w:rPr>
                <w:rFonts w:eastAsia="Times New Roman" w:cs="Times New Roman"/>
                <w:b/>
                <w:bCs/>
                <w:color w:val="000000"/>
                <w:szCs w:val="24"/>
              </w:rPr>
            </w:pPr>
            <w:r w:rsidRPr="001D7BD6">
              <w:rPr>
                <w:rFonts w:eastAsia="Times New Roman" w:cs="Times New Roman"/>
                <w:b/>
                <w:bCs/>
                <w:color w:val="000000"/>
                <w:szCs w:val="24"/>
              </w:rPr>
              <w:t>2013</w:t>
            </w:r>
          </w:p>
        </w:tc>
        <w:tc>
          <w:tcPr>
            <w:tcW w:w="998" w:type="dxa"/>
            <w:tcBorders>
              <w:top w:val="nil"/>
              <w:left w:val="nil"/>
              <w:bottom w:val="single" w:sz="4" w:space="0" w:color="auto"/>
              <w:right w:val="single" w:sz="4" w:space="0" w:color="auto"/>
            </w:tcBorders>
            <w:shd w:val="clear" w:color="000000" w:fill="FFC000"/>
            <w:noWrap/>
            <w:vAlign w:val="bottom"/>
            <w:hideMark/>
          </w:tcPr>
          <w:p w:rsidR="001D7BD6" w:rsidRPr="001D7BD6" w:rsidRDefault="001D7BD6" w:rsidP="001D7BD6">
            <w:pPr>
              <w:spacing w:after="0" w:line="240" w:lineRule="auto"/>
              <w:jc w:val="right"/>
              <w:rPr>
                <w:rFonts w:eastAsia="Times New Roman" w:cs="Times New Roman"/>
                <w:b/>
                <w:bCs/>
                <w:color w:val="000000"/>
                <w:szCs w:val="24"/>
              </w:rPr>
            </w:pPr>
            <w:r w:rsidRPr="001D7BD6">
              <w:rPr>
                <w:rFonts w:eastAsia="Times New Roman" w:cs="Times New Roman"/>
                <w:b/>
                <w:bCs/>
                <w:color w:val="000000"/>
                <w:szCs w:val="24"/>
              </w:rPr>
              <w:t>2014</w:t>
            </w:r>
          </w:p>
        </w:tc>
        <w:tc>
          <w:tcPr>
            <w:tcW w:w="998" w:type="dxa"/>
            <w:tcBorders>
              <w:top w:val="nil"/>
              <w:left w:val="nil"/>
              <w:bottom w:val="single" w:sz="4" w:space="0" w:color="auto"/>
              <w:right w:val="single" w:sz="4" w:space="0" w:color="auto"/>
            </w:tcBorders>
            <w:shd w:val="clear" w:color="000000" w:fill="FFC000"/>
            <w:noWrap/>
            <w:vAlign w:val="bottom"/>
            <w:hideMark/>
          </w:tcPr>
          <w:p w:rsidR="001D7BD6" w:rsidRPr="001D7BD6" w:rsidRDefault="001D7BD6" w:rsidP="001D7BD6">
            <w:pPr>
              <w:spacing w:after="0" w:line="240" w:lineRule="auto"/>
              <w:jc w:val="right"/>
              <w:rPr>
                <w:rFonts w:eastAsia="Times New Roman" w:cs="Times New Roman"/>
                <w:b/>
                <w:bCs/>
                <w:color w:val="000000"/>
                <w:szCs w:val="24"/>
              </w:rPr>
            </w:pPr>
            <w:r w:rsidRPr="001D7BD6">
              <w:rPr>
                <w:rFonts w:eastAsia="Times New Roman" w:cs="Times New Roman"/>
                <w:b/>
                <w:bCs/>
                <w:color w:val="000000"/>
                <w:szCs w:val="24"/>
              </w:rPr>
              <w:t>2015</w:t>
            </w:r>
          </w:p>
        </w:tc>
        <w:tc>
          <w:tcPr>
            <w:tcW w:w="1030" w:type="dxa"/>
            <w:tcBorders>
              <w:top w:val="nil"/>
              <w:left w:val="nil"/>
              <w:bottom w:val="single" w:sz="4" w:space="0" w:color="auto"/>
              <w:right w:val="single" w:sz="4" w:space="0" w:color="auto"/>
            </w:tcBorders>
            <w:shd w:val="clear" w:color="000000" w:fill="FFC000"/>
            <w:noWrap/>
            <w:vAlign w:val="bottom"/>
            <w:hideMark/>
          </w:tcPr>
          <w:p w:rsidR="001D7BD6" w:rsidRPr="001D7BD6" w:rsidRDefault="001D7BD6" w:rsidP="001D7BD6">
            <w:pPr>
              <w:spacing w:after="0" w:line="240" w:lineRule="auto"/>
              <w:jc w:val="right"/>
              <w:rPr>
                <w:rFonts w:eastAsia="Times New Roman" w:cs="Times New Roman"/>
                <w:b/>
                <w:bCs/>
                <w:color w:val="000000"/>
                <w:szCs w:val="24"/>
              </w:rPr>
            </w:pPr>
            <w:r w:rsidRPr="001D7BD6">
              <w:rPr>
                <w:rFonts w:eastAsia="Times New Roman" w:cs="Times New Roman"/>
                <w:b/>
                <w:bCs/>
                <w:color w:val="000000"/>
                <w:szCs w:val="24"/>
              </w:rPr>
              <w:t>2016</w:t>
            </w:r>
          </w:p>
        </w:tc>
      </w:tr>
      <w:tr w:rsidR="001D7BD6" w:rsidRPr="001D7BD6" w:rsidTr="001D7BD6">
        <w:trPr>
          <w:trHeight w:val="315"/>
        </w:trPr>
        <w:tc>
          <w:tcPr>
            <w:tcW w:w="3918" w:type="dxa"/>
            <w:tcBorders>
              <w:top w:val="nil"/>
              <w:left w:val="single" w:sz="4" w:space="0" w:color="auto"/>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Total revenue earned</w:t>
            </w:r>
          </w:p>
        </w:tc>
        <w:tc>
          <w:tcPr>
            <w:tcW w:w="998"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18,987</w:t>
            </w:r>
          </w:p>
        </w:tc>
        <w:tc>
          <w:tcPr>
            <w:tcW w:w="998" w:type="dxa"/>
            <w:tcBorders>
              <w:top w:val="nil"/>
              <w:left w:val="nil"/>
              <w:bottom w:val="nil"/>
              <w:right w:val="nil"/>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18,103</w:t>
            </w:r>
          </w:p>
        </w:tc>
        <w:tc>
          <w:tcPr>
            <w:tcW w:w="998" w:type="dxa"/>
            <w:tcBorders>
              <w:top w:val="nil"/>
              <w:left w:val="single" w:sz="4" w:space="0" w:color="auto"/>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18,287</w:t>
            </w:r>
          </w:p>
        </w:tc>
        <w:tc>
          <w:tcPr>
            <w:tcW w:w="998"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17,979</w:t>
            </w:r>
          </w:p>
        </w:tc>
        <w:tc>
          <w:tcPr>
            <w:tcW w:w="1030"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19,042</w:t>
            </w:r>
          </w:p>
        </w:tc>
      </w:tr>
      <w:tr w:rsidR="001D7BD6" w:rsidRPr="001D7BD6" w:rsidTr="001D7BD6">
        <w:trPr>
          <w:trHeight w:val="315"/>
        </w:trPr>
        <w:tc>
          <w:tcPr>
            <w:tcW w:w="3918" w:type="dxa"/>
            <w:tcBorders>
              <w:top w:val="nil"/>
              <w:left w:val="single" w:sz="4" w:space="0" w:color="auto"/>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 xml:space="preserve">Net </w:t>
            </w:r>
            <w:proofErr w:type="spellStart"/>
            <w:r w:rsidRPr="001D7BD6">
              <w:rPr>
                <w:rFonts w:eastAsia="Times New Roman" w:cs="Times New Roman"/>
                <w:color w:val="000000"/>
                <w:szCs w:val="24"/>
              </w:rPr>
              <w:t>profit,PAT</w:t>
            </w:r>
            <w:proofErr w:type="spellEnd"/>
          </w:p>
        </w:tc>
        <w:tc>
          <w:tcPr>
            <w:tcW w:w="998"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1,974</w:t>
            </w:r>
          </w:p>
        </w:tc>
        <w:tc>
          <w:tcPr>
            <w:tcW w:w="998" w:type="dxa"/>
            <w:tcBorders>
              <w:top w:val="single" w:sz="4" w:space="0" w:color="auto"/>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2,149</w:t>
            </w:r>
          </w:p>
        </w:tc>
        <w:tc>
          <w:tcPr>
            <w:tcW w:w="998" w:type="dxa"/>
            <w:tcBorders>
              <w:top w:val="nil"/>
              <w:left w:val="nil"/>
              <w:bottom w:val="nil"/>
              <w:right w:val="nil"/>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2,179</w:t>
            </w:r>
          </w:p>
        </w:tc>
        <w:tc>
          <w:tcPr>
            <w:tcW w:w="998" w:type="dxa"/>
            <w:tcBorders>
              <w:top w:val="nil"/>
              <w:left w:val="single" w:sz="4" w:space="0" w:color="auto"/>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2,310</w:t>
            </w:r>
          </w:p>
        </w:tc>
        <w:tc>
          <w:tcPr>
            <w:tcW w:w="1030"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2,855</w:t>
            </w:r>
          </w:p>
        </w:tc>
      </w:tr>
      <w:tr w:rsidR="001D7BD6" w:rsidRPr="001D7BD6" w:rsidTr="001D7BD6">
        <w:trPr>
          <w:trHeight w:val="315"/>
        </w:trPr>
        <w:tc>
          <w:tcPr>
            <w:tcW w:w="3918" w:type="dxa"/>
            <w:tcBorders>
              <w:top w:val="nil"/>
              <w:left w:val="single" w:sz="4" w:space="0" w:color="auto"/>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Current asset</w:t>
            </w:r>
          </w:p>
        </w:tc>
        <w:tc>
          <w:tcPr>
            <w:tcW w:w="998"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4,531</w:t>
            </w:r>
          </w:p>
        </w:tc>
        <w:tc>
          <w:tcPr>
            <w:tcW w:w="998"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5,417</w:t>
            </w:r>
          </w:p>
        </w:tc>
        <w:tc>
          <w:tcPr>
            <w:tcW w:w="998" w:type="dxa"/>
            <w:tcBorders>
              <w:top w:val="single" w:sz="4" w:space="0" w:color="auto"/>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6,483</w:t>
            </w:r>
          </w:p>
        </w:tc>
        <w:tc>
          <w:tcPr>
            <w:tcW w:w="998"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7,515</w:t>
            </w:r>
          </w:p>
        </w:tc>
        <w:tc>
          <w:tcPr>
            <w:tcW w:w="1030"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8,489</w:t>
            </w:r>
          </w:p>
        </w:tc>
      </w:tr>
      <w:tr w:rsidR="001D7BD6" w:rsidRPr="001D7BD6" w:rsidTr="001D7BD6">
        <w:trPr>
          <w:trHeight w:val="315"/>
        </w:trPr>
        <w:tc>
          <w:tcPr>
            <w:tcW w:w="3918" w:type="dxa"/>
            <w:tcBorders>
              <w:top w:val="nil"/>
              <w:left w:val="single" w:sz="4" w:space="0" w:color="auto"/>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Current liability</w:t>
            </w:r>
          </w:p>
        </w:tc>
        <w:tc>
          <w:tcPr>
            <w:tcW w:w="998"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9,255</w:t>
            </w:r>
          </w:p>
        </w:tc>
        <w:tc>
          <w:tcPr>
            <w:tcW w:w="998"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7,644</w:t>
            </w:r>
          </w:p>
        </w:tc>
        <w:tc>
          <w:tcPr>
            <w:tcW w:w="998"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7,709</w:t>
            </w:r>
          </w:p>
        </w:tc>
        <w:tc>
          <w:tcPr>
            <w:tcW w:w="998"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7,731</w:t>
            </w:r>
          </w:p>
        </w:tc>
        <w:tc>
          <w:tcPr>
            <w:tcW w:w="1030"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11,081</w:t>
            </w:r>
          </w:p>
        </w:tc>
      </w:tr>
      <w:tr w:rsidR="001D7BD6" w:rsidRPr="001D7BD6" w:rsidTr="001D7BD6">
        <w:trPr>
          <w:trHeight w:val="315"/>
        </w:trPr>
        <w:tc>
          <w:tcPr>
            <w:tcW w:w="3918" w:type="dxa"/>
            <w:tcBorders>
              <w:top w:val="nil"/>
              <w:left w:val="single" w:sz="4" w:space="0" w:color="auto"/>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Average Inventory holding</w:t>
            </w:r>
          </w:p>
        </w:tc>
        <w:tc>
          <w:tcPr>
            <w:tcW w:w="998"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104</w:t>
            </w:r>
          </w:p>
        </w:tc>
        <w:tc>
          <w:tcPr>
            <w:tcW w:w="998"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103</w:t>
            </w:r>
          </w:p>
        </w:tc>
        <w:tc>
          <w:tcPr>
            <w:tcW w:w="998"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82</w:t>
            </w:r>
          </w:p>
        </w:tc>
        <w:tc>
          <w:tcPr>
            <w:tcW w:w="998"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94</w:t>
            </w:r>
          </w:p>
        </w:tc>
        <w:tc>
          <w:tcPr>
            <w:tcW w:w="1030"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189</w:t>
            </w:r>
          </w:p>
        </w:tc>
      </w:tr>
      <w:tr w:rsidR="001D7BD6" w:rsidRPr="001D7BD6" w:rsidTr="001D7BD6">
        <w:trPr>
          <w:trHeight w:val="315"/>
        </w:trPr>
        <w:tc>
          <w:tcPr>
            <w:tcW w:w="3918" w:type="dxa"/>
            <w:tcBorders>
              <w:top w:val="nil"/>
              <w:left w:val="single" w:sz="4" w:space="0" w:color="auto"/>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share capital</w:t>
            </w:r>
          </w:p>
        </w:tc>
        <w:tc>
          <w:tcPr>
            <w:tcW w:w="998"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408</w:t>
            </w:r>
          </w:p>
        </w:tc>
        <w:tc>
          <w:tcPr>
            <w:tcW w:w="998"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2,172</w:t>
            </w:r>
          </w:p>
        </w:tc>
        <w:tc>
          <w:tcPr>
            <w:tcW w:w="998"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2,172</w:t>
            </w:r>
          </w:p>
        </w:tc>
        <w:tc>
          <w:tcPr>
            <w:tcW w:w="998"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2172</w:t>
            </w:r>
          </w:p>
        </w:tc>
        <w:tc>
          <w:tcPr>
            <w:tcW w:w="1030"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2172</w:t>
            </w:r>
          </w:p>
        </w:tc>
      </w:tr>
      <w:tr w:rsidR="001D7BD6" w:rsidRPr="001D7BD6" w:rsidTr="001D7BD6">
        <w:trPr>
          <w:trHeight w:val="315"/>
        </w:trPr>
        <w:tc>
          <w:tcPr>
            <w:tcW w:w="3918" w:type="dxa"/>
            <w:tcBorders>
              <w:top w:val="nil"/>
              <w:left w:val="single" w:sz="4" w:space="0" w:color="auto"/>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 xml:space="preserve">Retained </w:t>
            </w:r>
            <w:proofErr w:type="spellStart"/>
            <w:r w:rsidRPr="001D7BD6">
              <w:rPr>
                <w:rFonts w:eastAsia="Times New Roman" w:cs="Times New Roman"/>
                <w:color w:val="000000"/>
                <w:szCs w:val="24"/>
              </w:rPr>
              <w:t>earnning</w:t>
            </w:r>
            <w:proofErr w:type="spellEnd"/>
          </w:p>
        </w:tc>
        <w:tc>
          <w:tcPr>
            <w:tcW w:w="998"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89</w:t>
            </w:r>
          </w:p>
        </w:tc>
        <w:tc>
          <w:tcPr>
            <w:tcW w:w="998"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7,777</w:t>
            </w:r>
          </w:p>
        </w:tc>
        <w:tc>
          <w:tcPr>
            <w:tcW w:w="998"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7,655</w:t>
            </w:r>
          </w:p>
        </w:tc>
        <w:tc>
          <w:tcPr>
            <w:tcW w:w="998"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8,038</w:t>
            </w:r>
          </w:p>
        </w:tc>
        <w:tc>
          <w:tcPr>
            <w:tcW w:w="1030"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10,024</w:t>
            </w:r>
          </w:p>
        </w:tc>
      </w:tr>
      <w:tr w:rsidR="001D7BD6" w:rsidRPr="001D7BD6" w:rsidTr="001D7BD6">
        <w:trPr>
          <w:trHeight w:val="315"/>
        </w:trPr>
        <w:tc>
          <w:tcPr>
            <w:tcW w:w="3918" w:type="dxa"/>
            <w:tcBorders>
              <w:top w:val="nil"/>
              <w:left w:val="single" w:sz="4" w:space="0" w:color="auto"/>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long term liabilities</w:t>
            </w:r>
          </w:p>
        </w:tc>
        <w:tc>
          <w:tcPr>
            <w:tcW w:w="998"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13,385</w:t>
            </w:r>
          </w:p>
        </w:tc>
        <w:tc>
          <w:tcPr>
            <w:tcW w:w="998"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17,537</w:t>
            </w:r>
          </w:p>
        </w:tc>
        <w:tc>
          <w:tcPr>
            <w:tcW w:w="998"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17,803</w:t>
            </w:r>
          </w:p>
        </w:tc>
        <w:tc>
          <w:tcPr>
            <w:tcW w:w="998"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19,678</w:t>
            </w:r>
          </w:p>
        </w:tc>
        <w:tc>
          <w:tcPr>
            <w:tcW w:w="1030"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22,200</w:t>
            </w:r>
          </w:p>
        </w:tc>
      </w:tr>
      <w:tr w:rsidR="001D7BD6" w:rsidRPr="001D7BD6" w:rsidTr="001D7BD6">
        <w:trPr>
          <w:trHeight w:val="315"/>
        </w:trPr>
        <w:tc>
          <w:tcPr>
            <w:tcW w:w="3918" w:type="dxa"/>
            <w:tcBorders>
              <w:top w:val="nil"/>
              <w:left w:val="single" w:sz="4" w:space="0" w:color="auto"/>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capital employed</w:t>
            </w:r>
          </w:p>
        </w:tc>
        <w:tc>
          <w:tcPr>
            <w:tcW w:w="998"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4F81BD"/>
                <w:szCs w:val="24"/>
              </w:rPr>
            </w:pPr>
            <w:r w:rsidRPr="001D7BD6">
              <w:rPr>
                <w:rFonts w:eastAsia="Times New Roman" w:cs="Times New Roman"/>
                <w:color w:val="4F81BD"/>
                <w:szCs w:val="24"/>
              </w:rPr>
              <w:t>13,882</w:t>
            </w:r>
          </w:p>
        </w:tc>
        <w:tc>
          <w:tcPr>
            <w:tcW w:w="998"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4F81BD"/>
                <w:szCs w:val="24"/>
              </w:rPr>
            </w:pPr>
            <w:r w:rsidRPr="001D7BD6">
              <w:rPr>
                <w:rFonts w:eastAsia="Times New Roman" w:cs="Times New Roman"/>
                <w:color w:val="4F81BD"/>
                <w:szCs w:val="24"/>
              </w:rPr>
              <w:t>27,486</w:t>
            </w:r>
          </w:p>
        </w:tc>
        <w:tc>
          <w:tcPr>
            <w:tcW w:w="998"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4F81BD"/>
                <w:szCs w:val="24"/>
              </w:rPr>
            </w:pPr>
            <w:r w:rsidRPr="001D7BD6">
              <w:rPr>
                <w:rFonts w:eastAsia="Times New Roman" w:cs="Times New Roman"/>
                <w:color w:val="4F81BD"/>
                <w:szCs w:val="24"/>
              </w:rPr>
              <w:t>27,630</w:t>
            </w:r>
          </w:p>
        </w:tc>
        <w:tc>
          <w:tcPr>
            <w:tcW w:w="998"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4F81BD"/>
                <w:szCs w:val="24"/>
              </w:rPr>
            </w:pPr>
            <w:r w:rsidRPr="001D7BD6">
              <w:rPr>
                <w:rFonts w:eastAsia="Times New Roman" w:cs="Times New Roman"/>
                <w:color w:val="4F81BD"/>
                <w:szCs w:val="24"/>
              </w:rPr>
              <w:t>29,888</w:t>
            </w:r>
          </w:p>
        </w:tc>
        <w:tc>
          <w:tcPr>
            <w:tcW w:w="1030"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4F81BD"/>
                <w:szCs w:val="24"/>
              </w:rPr>
            </w:pPr>
            <w:r w:rsidRPr="001D7BD6">
              <w:rPr>
                <w:rFonts w:eastAsia="Times New Roman" w:cs="Times New Roman"/>
                <w:color w:val="4F81BD"/>
                <w:szCs w:val="24"/>
              </w:rPr>
              <w:t>34,396</w:t>
            </w:r>
          </w:p>
        </w:tc>
      </w:tr>
      <w:tr w:rsidR="001D7BD6" w:rsidRPr="001D7BD6" w:rsidTr="001D7BD6">
        <w:trPr>
          <w:trHeight w:val="315"/>
        </w:trPr>
        <w:tc>
          <w:tcPr>
            <w:tcW w:w="3918" w:type="dxa"/>
            <w:tcBorders>
              <w:top w:val="nil"/>
              <w:left w:val="single" w:sz="4" w:space="0" w:color="auto"/>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Total average asset</w:t>
            </w:r>
          </w:p>
        </w:tc>
        <w:tc>
          <w:tcPr>
            <w:tcW w:w="998"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23948</w:t>
            </w:r>
          </w:p>
        </w:tc>
        <w:tc>
          <w:tcPr>
            <w:tcW w:w="998"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44,629</w:t>
            </w:r>
          </w:p>
        </w:tc>
        <w:tc>
          <w:tcPr>
            <w:tcW w:w="998"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44,495</w:t>
            </w:r>
          </w:p>
        </w:tc>
        <w:tc>
          <w:tcPr>
            <w:tcW w:w="998"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46,813</w:t>
            </w:r>
          </w:p>
        </w:tc>
        <w:tc>
          <w:tcPr>
            <w:tcW w:w="1030"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54,874</w:t>
            </w:r>
          </w:p>
        </w:tc>
      </w:tr>
      <w:tr w:rsidR="001D7BD6" w:rsidRPr="001D7BD6" w:rsidTr="001D7BD6">
        <w:trPr>
          <w:trHeight w:val="315"/>
        </w:trPr>
        <w:tc>
          <w:tcPr>
            <w:tcW w:w="3918" w:type="dxa"/>
            <w:tcBorders>
              <w:top w:val="nil"/>
              <w:left w:val="single" w:sz="4" w:space="0" w:color="auto"/>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EBIT/Operating profit</w:t>
            </w:r>
          </w:p>
        </w:tc>
        <w:tc>
          <w:tcPr>
            <w:tcW w:w="998"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2893</w:t>
            </w:r>
          </w:p>
        </w:tc>
        <w:tc>
          <w:tcPr>
            <w:tcW w:w="998"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2,952</w:t>
            </w:r>
          </w:p>
        </w:tc>
        <w:tc>
          <w:tcPr>
            <w:tcW w:w="998"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3,147</w:t>
            </w:r>
          </w:p>
        </w:tc>
        <w:tc>
          <w:tcPr>
            <w:tcW w:w="998"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3,486</w:t>
            </w:r>
          </w:p>
        </w:tc>
        <w:tc>
          <w:tcPr>
            <w:tcW w:w="1030" w:type="dxa"/>
            <w:tcBorders>
              <w:top w:val="nil"/>
              <w:left w:val="nil"/>
              <w:bottom w:val="single" w:sz="4" w:space="0" w:color="auto"/>
              <w:right w:val="single" w:sz="4" w:space="0" w:color="auto"/>
            </w:tcBorders>
            <w:shd w:val="clear" w:color="000000" w:fill="C5BE97"/>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3,737</w:t>
            </w:r>
          </w:p>
        </w:tc>
      </w:tr>
      <w:tr w:rsidR="001D7BD6" w:rsidRPr="001D7BD6" w:rsidTr="001D7BD6">
        <w:trPr>
          <w:trHeight w:val="315"/>
        </w:trPr>
        <w:tc>
          <w:tcPr>
            <w:tcW w:w="3918" w:type="dxa"/>
            <w:tcBorders>
              <w:top w:val="nil"/>
              <w:left w:val="single" w:sz="4" w:space="0" w:color="auto"/>
              <w:bottom w:val="single" w:sz="4" w:space="0" w:color="auto"/>
              <w:right w:val="single" w:sz="4" w:space="0" w:color="auto"/>
            </w:tcBorders>
            <w:shd w:val="clear" w:color="auto" w:fill="auto"/>
            <w:noWrap/>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 </w:t>
            </w:r>
          </w:p>
        </w:tc>
        <w:tc>
          <w:tcPr>
            <w:tcW w:w="998" w:type="dxa"/>
            <w:tcBorders>
              <w:top w:val="nil"/>
              <w:left w:val="nil"/>
              <w:bottom w:val="single" w:sz="4" w:space="0" w:color="auto"/>
              <w:right w:val="single" w:sz="4" w:space="0" w:color="auto"/>
            </w:tcBorders>
            <w:shd w:val="clear" w:color="auto" w:fill="auto"/>
            <w:noWrap/>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 </w:t>
            </w:r>
          </w:p>
        </w:tc>
        <w:tc>
          <w:tcPr>
            <w:tcW w:w="998" w:type="dxa"/>
            <w:tcBorders>
              <w:top w:val="nil"/>
              <w:left w:val="nil"/>
              <w:bottom w:val="single" w:sz="4" w:space="0" w:color="auto"/>
              <w:right w:val="single" w:sz="4" w:space="0" w:color="auto"/>
            </w:tcBorders>
            <w:shd w:val="clear" w:color="auto" w:fill="auto"/>
            <w:noWrap/>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 </w:t>
            </w:r>
          </w:p>
        </w:tc>
        <w:tc>
          <w:tcPr>
            <w:tcW w:w="998" w:type="dxa"/>
            <w:tcBorders>
              <w:top w:val="nil"/>
              <w:left w:val="nil"/>
              <w:bottom w:val="single" w:sz="4" w:space="0" w:color="auto"/>
              <w:right w:val="single" w:sz="4" w:space="0" w:color="auto"/>
            </w:tcBorders>
            <w:shd w:val="clear" w:color="auto" w:fill="auto"/>
            <w:noWrap/>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 </w:t>
            </w:r>
          </w:p>
        </w:tc>
        <w:tc>
          <w:tcPr>
            <w:tcW w:w="998" w:type="dxa"/>
            <w:tcBorders>
              <w:top w:val="nil"/>
              <w:left w:val="nil"/>
              <w:bottom w:val="single" w:sz="4" w:space="0" w:color="auto"/>
              <w:right w:val="single" w:sz="4" w:space="0" w:color="auto"/>
            </w:tcBorders>
            <w:shd w:val="clear" w:color="auto" w:fill="auto"/>
            <w:noWrap/>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 </w:t>
            </w:r>
          </w:p>
        </w:tc>
        <w:tc>
          <w:tcPr>
            <w:tcW w:w="1030" w:type="dxa"/>
            <w:tcBorders>
              <w:top w:val="nil"/>
              <w:left w:val="nil"/>
              <w:bottom w:val="single" w:sz="4" w:space="0" w:color="auto"/>
              <w:right w:val="single" w:sz="4" w:space="0" w:color="auto"/>
            </w:tcBorders>
            <w:shd w:val="clear" w:color="auto" w:fill="auto"/>
            <w:noWrap/>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 </w:t>
            </w:r>
          </w:p>
        </w:tc>
      </w:tr>
      <w:tr w:rsidR="001D7BD6" w:rsidRPr="001D7BD6" w:rsidTr="001D7BD6">
        <w:trPr>
          <w:trHeight w:val="315"/>
        </w:trPr>
        <w:tc>
          <w:tcPr>
            <w:tcW w:w="3918" w:type="dxa"/>
            <w:tcBorders>
              <w:top w:val="nil"/>
              <w:left w:val="single" w:sz="4" w:space="0" w:color="auto"/>
              <w:bottom w:val="single" w:sz="4" w:space="0" w:color="auto"/>
              <w:right w:val="single" w:sz="4" w:space="0" w:color="auto"/>
            </w:tcBorders>
            <w:shd w:val="clear" w:color="000000" w:fill="FFC000"/>
            <w:noWrap/>
            <w:vAlign w:val="bottom"/>
            <w:hideMark/>
          </w:tcPr>
          <w:p w:rsidR="001D7BD6" w:rsidRPr="001D7BD6" w:rsidRDefault="001D7BD6" w:rsidP="001D7BD6">
            <w:pPr>
              <w:spacing w:after="0" w:line="240" w:lineRule="auto"/>
              <w:jc w:val="left"/>
              <w:rPr>
                <w:rFonts w:eastAsia="Times New Roman" w:cs="Times New Roman"/>
                <w:b/>
                <w:bCs/>
                <w:color w:val="000000"/>
                <w:szCs w:val="24"/>
              </w:rPr>
            </w:pPr>
            <w:r w:rsidRPr="001D7BD6">
              <w:rPr>
                <w:rFonts w:eastAsia="Times New Roman" w:cs="Times New Roman"/>
                <w:b/>
                <w:bCs/>
                <w:color w:val="000000"/>
                <w:szCs w:val="24"/>
              </w:rPr>
              <w:t>Years</w:t>
            </w:r>
          </w:p>
        </w:tc>
        <w:tc>
          <w:tcPr>
            <w:tcW w:w="998" w:type="dxa"/>
            <w:tcBorders>
              <w:top w:val="nil"/>
              <w:left w:val="nil"/>
              <w:bottom w:val="single" w:sz="4" w:space="0" w:color="auto"/>
              <w:right w:val="single" w:sz="4" w:space="0" w:color="auto"/>
            </w:tcBorders>
            <w:shd w:val="clear" w:color="000000" w:fill="FFC000"/>
            <w:noWrap/>
            <w:vAlign w:val="bottom"/>
            <w:hideMark/>
          </w:tcPr>
          <w:p w:rsidR="001D7BD6" w:rsidRPr="001D7BD6" w:rsidRDefault="001D7BD6" w:rsidP="001D7BD6">
            <w:pPr>
              <w:spacing w:after="0" w:line="240" w:lineRule="auto"/>
              <w:jc w:val="right"/>
              <w:rPr>
                <w:rFonts w:eastAsia="Times New Roman" w:cs="Times New Roman"/>
                <w:b/>
                <w:bCs/>
                <w:color w:val="000000"/>
                <w:szCs w:val="24"/>
              </w:rPr>
            </w:pPr>
            <w:r w:rsidRPr="001D7BD6">
              <w:rPr>
                <w:rFonts w:eastAsia="Times New Roman" w:cs="Times New Roman"/>
                <w:b/>
                <w:bCs/>
                <w:color w:val="000000"/>
                <w:szCs w:val="24"/>
              </w:rPr>
              <w:t>2012</w:t>
            </w:r>
          </w:p>
        </w:tc>
        <w:tc>
          <w:tcPr>
            <w:tcW w:w="998" w:type="dxa"/>
            <w:tcBorders>
              <w:top w:val="nil"/>
              <w:left w:val="nil"/>
              <w:bottom w:val="single" w:sz="4" w:space="0" w:color="auto"/>
              <w:right w:val="single" w:sz="4" w:space="0" w:color="auto"/>
            </w:tcBorders>
            <w:shd w:val="clear" w:color="000000" w:fill="FFC000"/>
            <w:noWrap/>
            <w:vAlign w:val="bottom"/>
            <w:hideMark/>
          </w:tcPr>
          <w:p w:rsidR="001D7BD6" w:rsidRPr="001D7BD6" w:rsidRDefault="001D7BD6" w:rsidP="001D7BD6">
            <w:pPr>
              <w:spacing w:after="0" w:line="240" w:lineRule="auto"/>
              <w:jc w:val="right"/>
              <w:rPr>
                <w:rFonts w:eastAsia="Times New Roman" w:cs="Times New Roman"/>
                <w:b/>
                <w:bCs/>
                <w:color w:val="000000"/>
                <w:szCs w:val="24"/>
              </w:rPr>
            </w:pPr>
            <w:r w:rsidRPr="001D7BD6">
              <w:rPr>
                <w:rFonts w:eastAsia="Times New Roman" w:cs="Times New Roman"/>
                <w:b/>
                <w:bCs/>
                <w:color w:val="000000"/>
                <w:szCs w:val="24"/>
              </w:rPr>
              <w:t>2013</w:t>
            </w:r>
          </w:p>
        </w:tc>
        <w:tc>
          <w:tcPr>
            <w:tcW w:w="998" w:type="dxa"/>
            <w:tcBorders>
              <w:top w:val="nil"/>
              <w:left w:val="nil"/>
              <w:bottom w:val="single" w:sz="4" w:space="0" w:color="auto"/>
              <w:right w:val="single" w:sz="4" w:space="0" w:color="auto"/>
            </w:tcBorders>
            <w:shd w:val="clear" w:color="000000" w:fill="FFC000"/>
            <w:noWrap/>
            <w:vAlign w:val="bottom"/>
            <w:hideMark/>
          </w:tcPr>
          <w:p w:rsidR="001D7BD6" w:rsidRPr="001D7BD6" w:rsidRDefault="001D7BD6" w:rsidP="001D7BD6">
            <w:pPr>
              <w:spacing w:after="0" w:line="240" w:lineRule="auto"/>
              <w:jc w:val="right"/>
              <w:rPr>
                <w:rFonts w:eastAsia="Times New Roman" w:cs="Times New Roman"/>
                <w:b/>
                <w:bCs/>
                <w:color w:val="000000"/>
                <w:szCs w:val="24"/>
              </w:rPr>
            </w:pPr>
            <w:r w:rsidRPr="001D7BD6">
              <w:rPr>
                <w:rFonts w:eastAsia="Times New Roman" w:cs="Times New Roman"/>
                <w:b/>
                <w:bCs/>
                <w:color w:val="000000"/>
                <w:szCs w:val="24"/>
              </w:rPr>
              <w:t>2014</w:t>
            </w:r>
          </w:p>
        </w:tc>
        <w:tc>
          <w:tcPr>
            <w:tcW w:w="998" w:type="dxa"/>
            <w:tcBorders>
              <w:top w:val="nil"/>
              <w:left w:val="nil"/>
              <w:bottom w:val="single" w:sz="4" w:space="0" w:color="auto"/>
              <w:right w:val="single" w:sz="4" w:space="0" w:color="auto"/>
            </w:tcBorders>
            <w:shd w:val="clear" w:color="000000" w:fill="FFC000"/>
            <w:noWrap/>
            <w:vAlign w:val="bottom"/>
            <w:hideMark/>
          </w:tcPr>
          <w:p w:rsidR="001D7BD6" w:rsidRPr="001D7BD6" w:rsidRDefault="001D7BD6" w:rsidP="001D7BD6">
            <w:pPr>
              <w:spacing w:after="0" w:line="240" w:lineRule="auto"/>
              <w:jc w:val="right"/>
              <w:rPr>
                <w:rFonts w:eastAsia="Times New Roman" w:cs="Times New Roman"/>
                <w:b/>
                <w:bCs/>
                <w:color w:val="000000"/>
                <w:szCs w:val="24"/>
              </w:rPr>
            </w:pPr>
            <w:r w:rsidRPr="001D7BD6">
              <w:rPr>
                <w:rFonts w:eastAsia="Times New Roman" w:cs="Times New Roman"/>
                <w:b/>
                <w:bCs/>
                <w:color w:val="000000"/>
                <w:szCs w:val="24"/>
              </w:rPr>
              <w:t>2015</w:t>
            </w:r>
          </w:p>
        </w:tc>
        <w:tc>
          <w:tcPr>
            <w:tcW w:w="1030" w:type="dxa"/>
            <w:tcBorders>
              <w:top w:val="nil"/>
              <w:left w:val="nil"/>
              <w:bottom w:val="single" w:sz="4" w:space="0" w:color="auto"/>
              <w:right w:val="single" w:sz="4" w:space="0" w:color="auto"/>
            </w:tcBorders>
            <w:shd w:val="clear" w:color="000000" w:fill="FFC000"/>
            <w:noWrap/>
            <w:vAlign w:val="bottom"/>
            <w:hideMark/>
          </w:tcPr>
          <w:p w:rsidR="001D7BD6" w:rsidRPr="001D7BD6" w:rsidRDefault="001D7BD6" w:rsidP="001D7BD6">
            <w:pPr>
              <w:spacing w:after="0" w:line="240" w:lineRule="auto"/>
              <w:jc w:val="right"/>
              <w:rPr>
                <w:rFonts w:eastAsia="Times New Roman" w:cs="Times New Roman"/>
                <w:b/>
                <w:bCs/>
                <w:color w:val="000000"/>
                <w:szCs w:val="24"/>
              </w:rPr>
            </w:pPr>
            <w:r w:rsidRPr="001D7BD6">
              <w:rPr>
                <w:rFonts w:eastAsia="Times New Roman" w:cs="Times New Roman"/>
                <w:b/>
                <w:bCs/>
                <w:color w:val="000000"/>
                <w:szCs w:val="24"/>
              </w:rPr>
              <w:t>2016</w:t>
            </w:r>
          </w:p>
        </w:tc>
      </w:tr>
      <w:tr w:rsidR="001D7BD6" w:rsidRPr="001D7BD6" w:rsidTr="001D7BD6">
        <w:trPr>
          <w:trHeight w:val="315"/>
        </w:trPr>
        <w:tc>
          <w:tcPr>
            <w:tcW w:w="3918" w:type="dxa"/>
            <w:tcBorders>
              <w:top w:val="nil"/>
              <w:left w:val="single" w:sz="4" w:space="0" w:color="auto"/>
              <w:bottom w:val="single" w:sz="4" w:space="0" w:color="auto"/>
              <w:right w:val="single" w:sz="4" w:space="0" w:color="auto"/>
            </w:tcBorders>
            <w:shd w:val="clear" w:color="000000" w:fill="C2D69A"/>
            <w:noWrap/>
            <w:vAlign w:val="bottom"/>
            <w:hideMark/>
          </w:tcPr>
          <w:p w:rsidR="001D7BD6" w:rsidRPr="001D7BD6" w:rsidRDefault="001D7BD6" w:rsidP="001D7BD6">
            <w:pPr>
              <w:spacing w:after="0" w:line="240" w:lineRule="auto"/>
              <w:jc w:val="left"/>
              <w:rPr>
                <w:rFonts w:eastAsia="Times New Roman" w:cs="Times New Roman"/>
                <w:b/>
                <w:bCs/>
                <w:color w:val="000000"/>
                <w:szCs w:val="24"/>
              </w:rPr>
            </w:pPr>
            <w:proofErr w:type="spellStart"/>
            <w:r w:rsidRPr="001D7BD6">
              <w:rPr>
                <w:rFonts w:eastAsia="Times New Roman" w:cs="Times New Roman"/>
                <w:b/>
                <w:bCs/>
                <w:color w:val="000000"/>
                <w:szCs w:val="24"/>
              </w:rPr>
              <w:t>Profitabiliy</w:t>
            </w:r>
            <w:proofErr w:type="spellEnd"/>
            <w:r w:rsidRPr="001D7BD6">
              <w:rPr>
                <w:rFonts w:eastAsia="Times New Roman" w:cs="Times New Roman"/>
                <w:b/>
                <w:bCs/>
                <w:color w:val="000000"/>
                <w:szCs w:val="24"/>
              </w:rPr>
              <w:t xml:space="preserve"> Ratios</w:t>
            </w:r>
          </w:p>
        </w:tc>
        <w:tc>
          <w:tcPr>
            <w:tcW w:w="998" w:type="dxa"/>
            <w:tcBorders>
              <w:top w:val="nil"/>
              <w:left w:val="nil"/>
              <w:bottom w:val="single" w:sz="4" w:space="0" w:color="auto"/>
              <w:right w:val="single" w:sz="4" w:space="0" w:color="auto"/>
            </w:tcBorders>
            <w:shd w:val="clear" w:color="000000" w:fill="C2D69A"/>
            <w:noWrap/>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 </w:t>
            </w:r>
          </w:p>
        </w:tc>
        <w:tc>
          <w:tcPr>
            <w:tcW w:w="998" w:type="dxa"/>
            <w:tcBorders>
              <w:top w:val="nil"/>
              <w:left w:val="nil"/>
              <w:bottom w:val="single" w:sz="4" w:space="0" w:color="auto"/>
              <w:right w:val="single" w:sz="4" w:space="0" w:color="auto"/>
            </w:tcBorders>
            <w:shd w:val="clear" w:color="000000" w:fill="C2D69A"/>
            <w:noWrap/>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 </w:t>
            </w:r>
          </w:p>
        </w:tc>
        <w:tc>
          <w:tcPr>
            <w:tcW w:w="998" w:type="dxa"/>
            <w:tcBorders>
              <w:top w:val="nil"/>
              <w:left w:val="nil"/>
              <w:bottom w:val="single" w:sz="4" w:space="0" w:color="auto"/>
              <w:right w:val="single" w:sz="4" w:space="0" w:color="auto"/>
            </w:tcBorders>
            <w:shd w:val="clear" w:color="000000" w:fill="C2D69A"/>
            <w:noWrap/>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 </w:t>
            </w:r>
          </w:p>
        </w:tc>
        <w:tc>
          <w:tcPr>
            <w:tcW w:w="998" w:type="dxa"/>
            <w:tcBorders>
              <w:top w:val="nil"/>
              <w:left w:val="nil"/>
              <w:bottom w:val="single" w:sz="4" w:space="0" w:color="auto"/>
              <w:right w:val="single" w:sz="4" w:space="0" w:color="auto"/>
            </w:tcBorders>
            <w:shd w:val="clear" w:color="000000" w:fill="C2D69A"/>
            <w:noWrap/>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 </w:t>
            </w:r>
          </w:p>
        </w:tc>
        <w:tc>
          <w:tcPr>
            <w:tcW w:w="1030" w:type="dxa"/>
            <w:tcBorders>
              <w:top w:val="nil"/>
              <w:left w:val="nil"/>
              <w:bottom w:val="single" w:sz="4" w:space="0" w:color="auto"/>
              <w:right w:val="single" w:sz="4" w:space="0" w:color="auto"/>
            </w:tcBorders>
            <w:shd w:val="clear" w:color="000000" w:fill="C2D69A"/>
            <w:noWrap/>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 </w:t>
            </w:r>
          </w:p>
        </w:tc>
      </w:tr>
      <w:tr w:rsidR="001D7BD6" w:rsidRPr="001D7BD6" w:rsidTr="001D7BD6">
        <w:trPr>
          <w:trHeight w:val="990"/>
        </w:trPr>
        <w:tc>
          <w:tcPr>
            <w:tcW w:w="3918" w:type="dxa"/>
            <w:tcBorders>
              <w:top w:val="nil"/>
              <w:left w:val="single" w:sz="4" w:space="0" w:color="auto"/>
              <w:bottom w:val="single" w:sz="4" w:space="0" w:color="auto"/>
              <w:right w:val="single" w:sz="4" w:space="0" w:color="auto"/>
            </w:tcBorders>
            <w:shd w:val="clear" w:color="000000" w:fill="C2D69A"/>
            <w:vAlign w:val="bottom"/>
            <w:hideMark/>
          </w:tcPr>
          <w:p w:rsidR="001D7BD6" w:rsidRPr="001D7BD6" w:rsidRDefault="001D7BD6" w:rsidP="001D7BD6">
            <w:pPr>
              <w:spacing w:after="0" w:line="240" w:lineRule="auto"/>
              <w:jc w:val="left"/>
              <w:rPr>
                <w:rFonts w:eastAsia="Times New Roman" w:cs="Times New Roman"/>
                <w:b/>
                <w:bCs/>
                <w:i/>
                <w:iCs/>
                <w:color w:val="000000"/>
                <w:szCs w:val="24"/>
              </w:rPr>
            </w:pPr>
            <w:r w:rsidRPr="001D7BD6">
              <w:rPr>
                <w:rFonts w:eastAsia="Times New Roman" w:cs="Times New Roman"/>
                <w:b/>
                <w:bCs/>
                <w:i/>
                <w:iCs/>
                <w:color w:val="000000"/>
                <w:szCs w:val="24"/>
              </w:rPr>
              <w:t xml:space="preserve"> Operating profit margin</w:t>
            </w:r>
            <w:r w:rsidRPr="001D7BD6">
              <w:rPr>
                <w:rFonts w:eastAsia="Times New Roman" w:cs="Times New Roman"/>
                <w:color w:val="000000"/>
                <w:szCs w:val="24"/>
              </w:rPr>
              <w:t xml:space="preserve"> ([Operating  profit /Net sales]*100) </w:t>
            </w:r>
          </w:p>
        </w:tc>
        <w:tc>
          <w:tcPr>
            <w:tcW w:w="998" w:type="dxa"/>
            <w:tcBorders>
              <w:top w:val="nil"/>
              <w:left w:val="nil"/>
              <w:bottom w:val="single" w:sz="4" w:space="0" w:color="auto"/>
              <w:right w:val="single" w:sz="4" w:space="0" w:color="auto"/>
            </w:tcBorders>
            <w:shd w:val="clear" w:color="000000" w:fill="C2D69A"/>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15%</w:t>
            </w:r>
          </w:p>
        </w:tc>
        <w:tc>
          <w:tcPr>
            <w:tcW w:w="998" w:type="dxa"/>
            <w:tcBorders>
              <w:top w:val="nil"/>
              <w:left w:val="nil"/>
              <w:bottom w:val="single" w:sz="4" w:space="0" w:color="auto"/>
              <w:right w:val="single" w:sz="4" w:space="0" w:color="auto"/>
            </w:tcBorders>
            <w:shd w:val="clear" w:color="000000" w:fill="C2D69A"/>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16%</w:t>
            </w:r>
          </w:p>
        </w:tc>
        <w:tc>
          <w:tcPr>
            <w:tcW w:w="998" w:type="dxa"/>
            <w:tcBorders>
              <w:top w:val="nil"/>
              <w:left w:val="nil"/>
              <w:bottom w:val="single" w:sz="4" w:space="0" w:color="auto"/>
              <w:right w:val="single" w:sz="4" w:space="0" w:color="auto"/>
            </w:tcBorders>
            <w:shd w:val="clear" w:color="000000" w:fill="C2D69A"/>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17%</w:t>
            </w:r>
          </w:p>
        </w:tc>
        <w:tc>
          <w:tcPr>
            <w:tcW w:w="998" w:type="dxa"/>
            <w:tcBorders>
              <w:top w:val="nil"/>
              <w:left w:val="nil"/>
              <w:bottom w:val="single" w:sz="4" w:space="0" w:color="auto"/>
              <w:right w:val="single" w:sz="4" w:space="0" w:color="auto"/>
            </w:tcBorders>
            <w:shd w:val="clear" w:color="000000" w:fill="C2D69A"/>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19%</w:t>
            </w:r>
          </w:p>
        </w:tc>
        <w:tc>
          <w:tcPr>
            <w:tcW w:w="1030" w:type="dxa"/>
            <w:tcBorders>
              <w:top w:val="nil"/>
              <w:left w:val="nil"/>
              <w:bottom w:val="single" w:sz="4" w:space="0" w:color="auto"/>
              <w:right w:val="single" w:sz="4" w:space="0" w:color="auto"/>
            </w:tcBorders>
            <w:shd w:val="clear" w:color="000000" w:fill="C2D69A"/>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20%</w:t>
            </w:r>
          </w:p>
        </w:tc>
      </w:tr>
      <w:tr w:rsidR="001D7BD6" w:rsidRPr="001D7BD6" w:rsidTr="001D7BD6">
        <w:trPr>
          <w:trHeight w:val="630"/>
        </w:trPr>
        <w:tc>
          <w:tcPr>
            <w:tcW w:w="3918" w:type="dxa"/>
            <w:tcBorders>
              <w:top w:val="nil"/>
              <w:left w:val="single" w:sz="4" w:space="0" w:color="auto"/>
              <w:bottom w:val="single" w:sz="4" w:space="0" w:color="auto"/>
              <w:right w:val="single" w:sz="4" w:space="0" w:color="auto"/>
            </w:tcBorders>
            <w:shd w:val="clear" w:color="000000" w:fill="C2D69A"/>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b/>
                <w:bCs/>
                <w:color w:val="000000"/>
                <w:szCs w:val="24"/>
              </w:rPr>
              <w:t>Net Profit margin</w:t>
            </w:r>
            <w:r w:rsidRPr="001D7BD6">
              <w:rPr>
                <w:rFonts w:eastAsia="Times New Roman" w:cs="Times New Roman"/>
                <w:color w:val="000000"/>
                <w:szCs w:val="24"/>
              </w:rPr>
              <w:t xml:space="preserve"> (Net profit or PAT/Net sales): </w:t>
            </w:r>
          </w:p>
        </w:tc>
        <w:tc>
          <w:tcPr>
            <w:tcW w:w="998" w:type="dxa"/>
            <w:tcBorders>
              <w:top w:val="nil"/>
              <w:left w:val="nil"/>
              <w:bottom w:val="single" w:sz="4" w:space="0" w:color="auto"/>
              <w:right w:val="single" w:sz="4" w:space="0" w:color="auto"/>
            </w:tcBorders>
            <w:shd w:val="clear" w:color="000000" w:fill="C2D69A"/>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10%</w:t>
            </w:r>
          </w:p>
        </w:tc>
        <w:tc>
          <w:tcPr>
            <w:tcW w:w="998" w:type="dxa"/>
            <w:tcBorders>
              <w:top w:val="nil"/>
              <w:left w:val="nil"/>
              <w:bottom w:val="single" w:sz="4" w:space="0" w:color="auto"/>
              <w:right w:val="single" w:sz="4" w:space="0" w:color="auto"/>
            </w:tcBorders>
            <w:shd w:val="clear" w:color="000000" w:fill="C2D69A"/>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12%</w:t>
            </w:r>
          </w:p>
        </w:tc>
        <w:tc>
          <w:tcPr>
            <w:tcW w:w="998" w:type="dxa"/>
            <w:tcBorders>
              <w:top w:val="nil"/>
              <w:left w:val="nil"/>
              <w:bottom w:val="single" w:sz="4" w:space="0" w:color="auto"/>
              <w:right w:val="single" w:sz="4" w:space="0" w:color="auto"/>
            </w:tcBorders>
            <w:shd w:val="clear" w:color="000000" w:fill="C2D69A"/>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12%</w:t>
            </w:r>
          </w:p>
        </w:tc>
        <w:tc>
          <w:tcPr>
            <w:tcW w:w="998" w:type="dxa"/>
            <w:tcBorders>
              <w:top w:val="nil"/>
              <w:left w:val="nil"/>
              <w:bottom w:val="single" w:sz="4" w:space="0" w:color="auto"/>
              <w:right w:val="single" w:sz="4" w:space="0" w:color="auto"/>
            </w:tcBorders>
            <w:shd w:val="clear" w:color="000000" w:fill="C2D69A"/>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13%</w:t>
            </w:r>
          </w:p>
        </w:tc>
        <w:tc>
          <w:tcPr>
            <w:tcW w:w="1030" w:type="dxa"/>
            <w:tcBorders>
              <w:top w:val="nil"/>
              <w:left w:val="nil"/>
              <w:bottom w:val="single" w:sz="4" w:space="0" w:color="auto"/>
              <w:right w:val="single" w:sz="4" w:space="0" w:color="auto"/>
            </w:tcBorders>
            <w:shd w:val="clear" w:color="000000" w:fill="C2D69A"/>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15%</w:t>
            </w:r>
          </w:p>
        </w:tc>
      </w:tr>
      <w:tr w:rsidR="001D7BD6" w:rsidRPr="001D7BD6" w:rsidTr="001D7BD6">
        <w:trPr>
          <w:trHeight w:val="315"/>
        </w:trPr>
        <w:tc>
          <w:tcPr>
            <w:tcW w:w="3918" w:type="dxa"/>
            <w:tcBorders>
              <w:top w:val="nil"/>
              <w:left w:val="single" w:sz="4" w:space="0" w:color="auto"/>
              <w:bottom w:val="single" w:sz="4" w:space="0" w:color="auto"/>
              <w:right w:val="single" w:sz="4" w:space="0" w:color="auto"/>
            </w:tcBorders>
            <w:shd w:val="clear" w:color="000000" w:fill="E6B9B8"/>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Liquidity ratio</w:t>
            </w:r>
          </w:p>
        </w:tc>
        <w:tc>
          <w:tcPr>
            <w:tcW w:w="998" w:type="dxa"/>
            <w:tcBorders>
              <w:top w:val="nil"/>
              <w:left w:val="nil"/>
              <w:bottom w:val="single" w:sz="4" w:space="0" w:color="auto"/>
              <w:right w:val="single" w:sz="4" w:space="0" w:color="auto"/>
            </w:tcBorders>
            <w:shd w:val="clear" w:color="000000" w:fill="E6B9B8"/>
            <w:noWrap/>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 </w:t>
            </w:r>
          </w:p>
        </w:tc>
        <w:tc>
          <w:tcPr>
            <w:tcW w:w="998" w:type="dxa"/>
            <w:tcBorders>
              <w:top w:val="nil"/>
              <w:left w:val="nil"/>
              <w:bottom w:val="single" w:sz="4" w:space="0" w:color="auto"/>
              <w:right w:val="single" w:sz="4" w:space="0" w:color="auto"/>
            </w:tcBorders>
            <w:shd w:val="clear" w:color="000000" w:fill="E6B9B8"/>
            <w:noWrap/>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 </w:t>
            </w:r>
          </w:p>
        </w:tc>
        <w:tc>
          <w:tcPr>
            <w:tcW w:w="998" w:type="dxa"/>
            <w:tcBorders>
              <w:top w:val="nil"/>
              <w:left w:val="nil"/>
              <w:bottom w:val="single" w:sz="4" w:space="0" w:color="auto"/>
              <w:right w:val="single" w:sz="4" w:space="0" w:color="auto"/>
            </w:tcBorders>
            <w:shd w:val="clear" w:color="000000" w:fill="E6B9B8"/>
            <w:noWrap/>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 </w:t>
            </w:r>
          </w:p>
        </w:tc>
        <w:tc>
          <w:tcPr>
            <w:tcW w:w="998" w:type="dxa"/>
            <w:tcBorders>
              <w:top w:val="nil"/>
              <w:left w:val="nil"/>
              <w:bottom w:val="single" w:sz="4" w:space="0" w:color="auto"/>
              <w:right w:val="single" w:sz="4" w:space="0" w:color="auto"/>
            </w:tcBorders>
            <w:shd w:val="clear" w:color="000000" w:fill="E6B9B8"/>
            <w:noWrap/>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 </w:t>
            </w:r>
          </w:p>
        </w:tc>
        <w:tc>
          <w:tcPr>
            <w:tcW w:w="1030" w:type="dxa"/>
            <w:tcBorders>
              <w:top w:val="nil"/>
              <w:left w:val="nil"/>
              <w:bottom w:val="single" w:sz="4" w:space="0" w:color="auto"/>
              <w:right w:val="single" w:sz="4" w:space="0" w:color="auto"/>
            </w:tcBorders>
            <w:shd w:val="clear" w:color="000000" w:fill="E6B9B8"/>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 </w:t>
            </w:r>
          </w:p>
        </w:tc>
      </w:tr>
      <w:tr w:rsidR="001D7BD6" w:rsidRPr="001D7BD6" w:rsidTr="001D7BD6">
        <w:trPr>
          <w:trHeight w:val="630"/>
        </w:trPr>
        <w:tc>
          <w:tcPr>
            <w:tcW w:w="3918" w:type="dxa"/>
            <w:tcBorders>
              <w:top w:val="nil"/>
              <w:left w:val="single" w:sz="4" w:space="0" w:color="auto"/>
              <w:bottom w:val="single" w:sz="4" w:space="0" w:color="auto"/>
              <w:right w:val="single" w:sz="4" w:space="0" w:color="auto"/>
            </w:tcBorders>
            <w:shd w:val="clear" w:color="000000" w:fill="E6B9B8"/>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b/>
                <w:bCs/>
                <w:color w:val="000000"/>
                <w:szCs w:val="24"/>
              </w:rPr>
              <w:t>Current Ratio</w:t>
            </w:r>
            <w:r w:rsidRPr="001D7BD6">
              <w:rPr>
                <w:rFonts w:eastAsia="Times New Roman" w:cs="Times New Roman"/>
                <w:color w:val="000000"/>
                <w:szCs w:val="24"/>
              </w:rPr>
              <w:t xml:space="preserve"> ([Current asset/Current liability]*100): </w:t>
            </w:r>
          </w:p>
        </w:tc>
        <w:tc>
          <w:tcPr>
            <w:tcW w:w="998" w:type="dxa"/>
            <w:tcBorders>
              <w:top w:val="nil"/>
              <w:left w:val="nil"/>
              <w:bottom w:val="single" w:sz="4" w:space="0" w:color="auto"/>
              <w:right w:val="single" w:sz="4" w:space="0" w:color="auto"/>
            </w:tcBorders>
            <w:shd w:val="clear" w:color="000000" w:fill="E6B9B8"/>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0.49</w:t>
            </w:r>
          </w:p>
        </w:tc>
        <w:tc>
          <w:tcPr>
            <w:tcW w:w="998" w:type="dxa"/>
            <w:tcBorders>
              <w:top w:val="nil"/>
              <w:left w:val="nil"/>
              <w:bottom w:val="single" w:sz="4" w:space="0" w:color="auto"/>
              <w:right w:val="single" w:sz="4" w:space="0" w:color="auto"/>
            </w:tcBorders>
            <w:shd w:val="clear" w:color="000000" w:fill="E6B9B8"/>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0.71</w:t>
            </w:r>
          </w:p>
        </w:tc>
        <w:tc>
          <w:tcPr>
            <w:tcW w:w="998" w:type="dxa"/>
            <w:tcBorders>
              <w:top w:val="nil"/>
              <w:left w:val="nil"/>
              <w:bottom w:val="single" w:sz="4" w:space="0" w:color="auto"/>
              <w:right w:val="single" w:sz="4" w:space="0" w:color="auto"/>
            </w:tcBorders>
            <w:shd w:val="clear" w:color="000000" w:fill="E6B9B8"/>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0.84</w:t>
            </w:r>
          </w:p>
        </w:tc>
        <w:tc>
          <w:tcPr>
            <w:tcW w:w="998" w:type="dxa"/>
            <w:tcBorders>
              <w:top w:val="nil"/>
              <w:left w:val="nil"/>
              <w:bottom w:val="single" w:sz="4" w:space="0" w:color="auto"/>
              <w:right w:val="single" w:sz="4" w:space="0" w:color="auto"/>
            </w:tcBorders>
            <w:shd w:val="clear" w:color="000000" w:fill="E6B9B8"/>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0.97</w:t>
            </w:r>
          </w:p>
        </w:tc>
        <w:tc>
          <w:tcPr>
            <w:tcW w:w="1030" w:type="dxa"/>
            <w:tcBorders>
              <w:top w:val="nil"/>
              <w:left w:val="nil"/>
              <w:bottom w:val="single" w:sz="4" w:space="0" w:color="auto"/>
              <w:right w:val="single" w:sz="4" w:space="0" w:color="auto"/>
            </w:tcBorders>
            <w:shd w:val="clear" w:color="000000" w:fill="E6B9B8"/>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0.77</w:t>
            </w:r>
          </w:p>
        </w:tc>
      </w:tr>
      <w:tr w:rsidR="001D7BD6" w:rsidRPr="001D7BD6" w:rsidTr="001D7BD6">
        <w:trPr>
          <w:trHeight w:val="630"/>
        </w:trPr>
        <w:tc>
          <w:tcPr>
            <w:tcW w:w="3918" w:type="dxa"/>
            <w:tcBorders>
              <w:top w:val="nil"/>
              <w:left w:val="single" w:sz="4" w:space="0" w:color="auto"/>
              <w:bottom w:val="single" w:sz="4" w:space="0" w:color="auto"/>
              <w:right w:val="single" w:sz="4" w:space="0" w:color="auto"/>
            </w:tcBorders>
            <w:shd w:val="clear" w:color="000000" w:fill="E6B9B8"/>
            <w:vAlign w:val="bottom"/>
            <w:hideMark/>
          </w:tcPr>
          <w:p w:rsidR="001D7BD6" w:rsidRPr="001D7BD6" w:rsidRDefault="001D7BD6" w:rsidP="001D7BD6">
            <w:pPr>
              <w:spacing w:after="0" w:line="240" w:lineRule="auto"/>
              <w:jc w:val="left"/>
              <w:rPr>
                <w:rFonts w:eastAsia="Times New Roman" w:cs="Times New Roman"/>
                <w:b/>
                <w:bCs/>
                <w:color w:val="000000"/>
                <w:szCs w:val="24"/>
              </w:rPr>
            </w:pPr>
            <w:r w:rsidRPr="001D7BD6">
              <w:rPr>
                <w:rFonts w:eastAsia="Times New Roman" w:cs="Times New Roman"/>
                <w:b/>
                <w:bCs/>
                <w:color w:val="000000"/>
                <w:szCs w:val="24"/>
              </w:rPr>
              <w:lastRenderedPageBreak/>
              <w:t>Quick Ratio</w:t>
            </w:r>
            <w:r w:rsidRPr="001D7BD6">
              <w:rPr>
                <w:rFonts w:eastAsia="Times New Roman" w:cs="Times New Roman"/>
                <w:color w:val="000000"/>
                <w:szCs w:val="24"/>
              </w:rPr>
              <w:t xml:space="preserve"> ([Current asset-Inventories]/ Current liability*100) </w:t>
            </w:r>
          </w:p>
        </w:tc>
        <w:tc>
          <w:tcPr>
            <w:tcW w:w="998" w:type="dxa"/>
            <w:tcBorders>
              <w:top w:val="nil"/>
              <w:left w:val="nil"/>
              <w:bottom w:val="single" w:sz="4" w:space="0" w:color="auto"/>
              <w:right w:val="single" w:sz="4" w:space="0" w:color="auto"/>
            </w:tcBorders>
            <w:shd w:val="clear" w:color="000000" w:fill="E6B9B8"/>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0.48</w:t>
            </w:r>
          </w:p>
        </w:tc>
        <w:tc>
          <w:tcPr>
            <w:tcW w:w="998" w:type="dxa"/>
            <w:tcBorders>
              <w:top w:val="nil"/>
              <w:left w:val="nil"/>
              <w:bottom w:val="single" w:sz="4" w:space="0" w:color="auto"/>
              <w:right w:val="single" w:sz="4" w:space="0" w:color="auto"/>
            </w:tcBorders>
            <w:shd w:val="clear" w:color="000000" w:fill="E6B9B8"/>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0.70</w:t>
            </w:r>
          </w:p>
        </w:tc>
        <w:tc>
          <w:tcPr>
            <w:tcW w:w="998" w:type="dxa"/>
            <w:tcBorders>
              <w:top w:val="nil"/>
              <w:left w:val="nil"/>
              <w:bottom w:val="single" w:sz="4" w:space="0" w:color="auto"/>
              <w:right w:val="single" w:sz="4" w:space="0" w:color="auto"/>
            </w:tcBorders>
            <w:shd w:val="clear" w:color="000000" w:fill="E6B9B8"/>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0.83</w:t>
            </w:r>
          </w:p>
        </w:tc>
        <w:tc>
          <w:tcPr>
            <w:tcW w:w="998" w:type="dxa"/>
            <w:tcBorders>
              <w:top w:val="nil"/>
              <w:left w:val="nil"/>
              <w:bottom w:val="single" w:sz="4" w:space="0" w:color="auto"/>
              <w:right w:val="single" w:sz="4" w:space="0" w:color="auto"/>
            </w:tcBorders>
            <w:shd w:val="clear" w:color="000000" w:fill="E6B9B8"/>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0.96</w:t>
            </w:r>
          </w:p>
        </w:tc>
        <w:tc>
          <w:tcPr>
            <w:tcW w:w="1030" w:type="dxa"/>
            <w:tcBorders>
              <w:top w:val="nil"/>
              <w:left w:val="nil"/>
              <w:bottom w:val="single" w:sz="4" w:space="0" w:color="auto"/>
              <w:right w:val="single" w:sz="4" w:space="0" w:color="auto"/>
            </w:tcBorders>
            <w:shd w:val="clear" w:color="000000" w:fill="E6B9B8"/>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0.75</w:t>
            </w:r>
          </w:p>
        </w:tc>
      </w:tr>
      <w:tr w:rsidR="001D7BD6" w:rsidRPr="001D7BD6" w:rsidTr="001D7BD6">
        <w:trPr>
          <w:trHeight w:val="315"/>
        </w:trPr>
        <w:tc>
          <w:tcPr>
            <w:tcW w:w="3918" w:type="dxa"/>
            <w:tcBorders>
              <w:top w:val="nil"/>
              <w:left w:val="single" w:sz="4" w:space="0" w:color="auto"/>
              <w:bottom w:val="single" w:sz="4" w:space="0" w:color="auto"/>
              <w:right w:val="single" w:sz="4" w:space="0" w:color="auto"/>
            </w:tcBorders>
            <w:shd w:val="clear" w:color="000000" w:fill="EAF1DD"/>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Efficiency ratio</w:t>
            </w:r>
          </w:p>
        </w:tc>
        <w:tc>
          <w:tcPr>
            <w:tcW w:w="998" w:type="dxa"/>
            <w:tcBorders>
              <w:top w:val="nil"/>
              <w:left w:val="nil"/>
              <w:bottom w:val="single" w:sz="4" w:space="0" w:color="auto"/>
              <w:right w:val="single" w:sz="4" w:space="0" w:color="auto"/>
            </w:tcBorders>
            <w:shd w:val="clear" w:color="000000" w:fill="EAF1DD"/>
            <w:noWrap/>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 </w:t>
            </w:r>
          </w:p>
        </w:tc>
        <w:tc>
          <w:tcPr>
            <w:tcW w:w="998" w:type="dxa"/>
            <w:tcBorders>
              <w:top w:val="nil"/>
              <w:left w:val="nil"/>
              <w:bottom w:val="single" w:sz="4" w:space="0" w:color="auto"/>
              <w:right w:val="single" w:sz="4" w:space="0" w:color="auto"/>
            </w:tcBorders>
            <w:shd w:val="clear" w:color="000000" w:fill="EAF1DD"/>
            <w:noWrap/>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 </w:t>
            </w:r>
          </w:p>
        </w:tc>
        <w:tc>
          <w:tcPr>
            <w:tcW w:w="998" w:type="dxa"/>
            <w:tcBorders>
              <w:top w:val="nil"/>
              <w:left w:val="nil"/>
              <w:bottom w:val="single" w:sz="4" w:space="0" w:color="auto"/>
              <w:right w:val="single" w:sz="4" w:space="0" w:color="auto"/>
            </w:tcBorders>
            <w:shd w:val="clear" w:color="000000" w:fill="EAF1DD"/>
            <w:noWrap/>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 </w:t>
            </w:r>
          </w:p>
        </w:tc>
        <w:tc>
          <w:tcPr>
            <w:tcW w:w="998" w:type="dxa"/>
            <w:tcBorders>
              <w:top w:val="nil"/>
              <w:left w:val="nil"/>
              <w:bottom w:val="single" w:sz="4" w:space="0" w:color="auto"/>
              <w:right w:val="single" w:sz="4" w:space="0" w:color="auto"/>
            </w:tcBorders>
            <w:shd w:val="clear" w:color="000000" w:fill="EAF1DD"/>
            <w:noWrap/>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 </w:t>
            </w:r>
          </w:p>
        </w:tc>
        <w:tc>
          <w:tcPr>
            <w:tcW w:w="1030" w:type="dxa"/>
            <w:tcBorders>
              <w:top w:val="nil"/>
              <w:left w:val="nil"/>
              <w:bottom w:val="single" w:sz="4" w:space="0" w:color="auto"/>
              <w:right w:val="single" w:sz="4" w:space="0" w:color="auto"/>
            </w:tcBorders>
            <w:shd w:val="clear" w:color="000000" w:fill="EAF1DD"/>
            <w:noWrap/>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 </w:t>
            </w:r>
          </w:p>
        </w:tc>
      </w:tr>
      <w:tr w:rsidR="001D7BD6" w:rsidRPr="001D7BD6" w:rsidTr="001D7BD6">
        <w:trPr>
          <w:trHeight w:val="945"/>
        </w:trPr>
        <w:tc>
          <w:tcPr>
            <w:tcW w:w="3918" w:type="dxa"/>
            <w:tcBorders>
              <w:top w:val="nil"/>
              <w:left w:val="single" w:sz="4" w:space="0" w:color="auto"/>
              <w:bottom w:val="single" w:sz="4" w:space="0" w:color="auto"/>
              <w:right w:val="single" w:sz="4" w:space="0" w:color="auto"/>
            </w:tcBorders>
            <w:shd w:val="clear" w:color="000000" w:fill="EAF1DD"/>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 xml:space="preserve">Return on capital employed(ROCE)[EBIT/capital </w:t>
            </w:r>
            <w:r w:rsidR="00344F58" w:rsidRPr="001D7BD6">
              <w:rPr>
                <w:rFonts w:eastAsia="Times New Roman" w:cs="Times New Roman"/>
                <w:color w:val="000000"/>
                <w:szCs w:val="24"/>
              </w:rPr>
              <w:t>employed</w:t>
            </w:r>
            <w:r w:rsidRPr="001D7BD6">
              <w:rPr>
                <w:rFonts w:eastAsia="Times New Roman" w:cs="Times New Roman"/>
                <w:color w:val="000000"/>
                <w:szCs w:val="24"/>
              </w:rPr>
              <w:t>]</w:t>
            </w:r>
          </w:p>
        </w:tc>
        <w:tc>
          <w:tcPr>
            <w:tcW w:w="998" w:type="dxa"/>
            <w:tcBorders>
              <w:top w:val="nil"/>
              <w:left w:val="nil"/>
              <w:bottom w:val="single" w:sz="4" w:space="0" w:color="auto"/>
              <w:right w:val="single" w:sz="4" w:space="0" w:color="auto"/>
            </w:tcBorders>
            <w:shd w:val="clear" w:color="000000" w:fill="EAF1DD"/>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0.21</w:t>
            </w:r>
          </w:p>
        </w:tc>
        <w:tc>
          <w:tcPr>
            <w:tcW w:w="998" w:type="dxa"/>
            <w:tcBorders>
              <w:top w:val="nil"/>
              <w:left w:val="nil"/>
              <w:bottom w:val="single" w:sz="4" w:space="0" w:color="auto"/>
              <w:right w:val="single" w:sz="4" w:space="0" w:color="auto"/>
            </w:tcBorders>
            <w:shd w:val="clear" w:color="000000" w:fill="EAF1DD"/>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0.11</w:t>
            </w:r>
          </w:p>
        </w:tc>
        <w:tc>
          <w:tcPr>
            <w:tcW w:w="998" w:type="dxa"/>
            <w:tcBorders>
              <w:top w:val="nil"/>
              <w:left w:val="nil"/>
              <w:bottom w:val="single" w:sz="4" w:space="0" w:color="auto"/>
              <w:right w:val="single" w:sz="4" w:space="0" w:color="auto"/>
            </w:tcBorders>
            <w:shd w:val="clear" w:color="000000" w:fill="EAF1DD"/>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0.11</w:t>
            </w:r>
          </w:p>
        </w:tc>
        <w:tc>
          <w:tcPr>
            <w:tcW w:w="998" w:type="dxa"/>
            <w:tcBorders>
              <w:top w:val="nil"/>
              <w:left w:val="nil"/>
              <w:bottom w:val="single" w:sz="4" w:space="0" w:color="auto"/>
              <w:right w:val="single" w:sz="4" w:space="0" w:color="auto"/>
            </w:tcBorders>
            <w:shd w:val="clear" w:color="000000" w:fill="EAF1DD"/>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0.12</w:t>
            </w:r>
          </w:p>
        </w:tc>
        <w:tc>
          <w:tcPr>
            <w:tcW w:w="1030" w:type="dxa"/>
            <w:tcBorders>
              <w:top w:val="nil"/>
              <w:left w:val="nil"/>
              <w:bottom w:val="single" w:sz="4" w:space="0" w:color="auto"/>
              <w:right w:val="single" w:sz="4" w:space="0" w:color="auto"/>
            </w:tcBorders>
            <w:shd w:val="clear" w:color="000000" w:fill="EAF1DD"/>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0.11</w:t>
            </w:r>
          </w:p>
        </w:tc>
      </w:tr>
      <w:tr w:rsidR="001D7BD6" w:rsidRPr="001D7BD6" w:rsidTr="001D7BD6">
        <w:trPr>
          <w:trHeight w:val="630"/>
        </w:trPr>
        <w:tc>
          <w:tcPr>
            <w:tcW w:w="3918" w:type="dxa"/>
            <w:tcBorders>
              <w:top w:val="nil"/>
              <w:left w:val="single" w:sz="4" w:space="0" w:color="auto"/>
              <w:bottom w:val="single" w:sz="4" w:space="0" w:color="auto"/>
              <w:right w:val="single" w:sz="4" w:space="0" w:color="auto"/>
            </w:tcBorders>
            <w:shd w:val="clear" w:color="000000" w:fill="EAF1DD"/>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 xml:space="preserve">Total asset </w:t>
            </w:r>
            <w:r w:rsidR="00344F58" w:rsidRPr="001D7BD6">
              <w:rPr>
                <w:rFonts w:eastAsia="Times New Roman" w:cs="Times New Roman"/>
                <w:color w:val="000000"/>
                <w:szCs w:val="24"/>
              </w:rPr>
              <w:t>turnover</w:t>
            </w:r>
            <w:r w:rsidRPr="001D7BD6">
              <w:rPr>
                <w:rFonts w:eastAsia="Times New Roman" w:cs="Times New Roman"/>
                <w:color w:val="000000"/>
                <w:szCs w:val="24"/>
              </w:rPr>
              <w:t xml:space="preserve"> ratio(net sales or revenue/Total average asset)</w:t>
            </w:r>
          </w:p>
        </w:tc>
        <w:tc>
          <w:tcPr>
            <w:tcW w:w="998" w:type="dxa"/>
            <w:tcBorders>
              <w:top w:val="nil"/>
              <w:left w:val="nil"/>
              <w:bottom w:val="single" w:sz="4" w:space="0" w:color="auto"/>
              <w:right w:val="single" w:sz="4" w:space="0" w:color="auto"/>
            </w:tcBorders>
            <w:shd w:val="clear" w:color="000000" w:fill="EAF1DD"/>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0.79</w:t>
            </w:r>
          </w:p>
        </w:tc>
        <w:tc>
          <w:tcPr>
            <w:tcW w:w="998" w:type="dxa"/>
            <w:tcBorders>
              <w:top w:val="nil"/>
              <w:left w:val="nil"/>
              <w:bottom w:val="single" w:sz="4" w:space="0" w:color="auto"/>
              <w:right w:val="single" w:sz="4" w:space="0" w:color="auto"/>
            </w:tcBorders>
            <w:shd w:val="clear" w:color="000000" w:fill="EAF1DD"/>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0.41</w:t>
            </w:r>
          </w:p>
        </w:tc>
        <w:tc>
          <w:tcPr>
            <w:tcW w:w="998" w:type="dxa"/>
            <w:tcBorders>
              <w:top w:val="nil"/>
              <w:left w:val="nil"/>
              <w:bottom w:val="single" w:sz="4" w:space="0" w:color="auto"/>
              <w:right w:val="single" w:sz="4" w:space="0" w:color="auto"/>
            </w:tcBorders>
            <w:shd w:val="clear" w:color="000000" w:fill="EAF1DD"/>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0.41</w:t>
            </w:r>
          </w:p>
        </w:tc>
        <w:tc>
          <w:tcPr>
            <w:tcW w:w="998" w:type="dxa"/>
            <w:tcBorders>
              <w:top w:val="nil"/>
              <w:left w:val="nil"/>
              <w:bottom w:val="single" w:sz="4" w:space="0" w:color="auto"/>
              <w:right w:val="single" w:sz="4" w:space="0" w:color="auto"/>
            </w:tcBorders>
            <w:shd w:val="clear" w:color="000000" w:fill="EAF1DD"/>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0.38</w:t>
            </w:r>
          </w:p>
        </w:tc>
        <w:tc>
          <w:tcPr>
            <w:tcW w:w="1030" w:type="dxa"/>
            <w:tcBorders>
              <w:top w:val="nil"/>
              <w:left w:val="nil"/>
              <w:bottom w:val="single" w:sz="4" w:space="0" w:color="auto"/>
              <w:right w:val="single" w:sz="4" w:space="0" w:color="auto"/>
            </w:tcBorders>
            <w:shd w:val="clear" w:color="000000" w:fill="EAF1DD"/>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0.35</w:t>
            </w:r>
          </w:p>
        </w:tc>
      </w:tr>
      <w:tr w:rsidR="001D7BD6" w:rsidRPr="001D7BD6" w:rsidTr="001D7BD6">
        <w:trPr>
          <w:trHeight w:val="315"/>
        </w:trPr>
        <w:tc>
          <w:tcPr>
            <w:tcW w:w="3918" w:type="dxa"/>
            <w:tcBorders>
              <w:top w:val="nil"/>
              <w:left w:val="single" w:sz="4" w:space="0" w:color="auto"/>
              <w:bottom w:val="single" w:sz="4" w:space="0" w:color="auto"/>
              <w:right w:val="single" w:sz="4" w:space="0" w:color="auto"/>
            </w:tcBorders>
            <w:shd w:val="clear" w:color="000000" w:fill="DBE5F1"/>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Gearing Ratio</w:t>
            </w:r>
          </w:p>
        </w:tc>
        <w:tc>
          <w:tcPr>
            <w:tcW w:w="998" w:type="dxa"/>
            <w:tcBorders>
              <w:top w:val="nil"/>
              <w:left w:val="nil"/>
              <w:bottom w:val="single" w:sz="4" w:space="0" w:color="auto"/>
              <w:right w:val="single" w:sz="4" w:space="0" w:color="auto"/>
            </w:tcBorders>
            <w:shd w:val="clear" w:color="000000" w:fill="DBE5F1"/>
            <w:noWrap/>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 </w:t>
            </w:r>
          </w:p>
        </w:tc>
        <w:tc>
          <w:tcPr>
            <w:tcW w:w="998" w:type="dxa"/>
            <w:tcBorders>
              <w:top w:val="nil"/>
              <w:left w:val="nil"/>
              <w:bottom w:val="single" w:sz="4" w:space="0" w:color="auto"/>
              <w:right w:val="single" w:sz="4" w:space="0" w:color="auto"/>
            </w:tcBorders>
            <w:shd w:val="clear" w:color="000000" w:fill="DBE5F1"/>
            <w:noWrap/>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 </w:t>
            </w:r>
          </w:p>
        </w:tc>
        <w:tc>
          <w:tcPr>
            <w:tcW w:w="998" w:type="dxa"/>
            <w:tcBorders>
              <w:top w:val="nil"/>
              <w:left w:val="nil"/>
              <w:bottom w:val="single" w:sz="4" w:space="0" w:color="auto"/>
              <w:right w:val="single" w:sz="4" w:space="0" w:color="auto"/>
            </w:tcBorders>
            <w:shd w:val="clear" w:color="000000" w:fill="DBE5F1"/>
            <w:noWrap/>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 </w:t>
            </w:r>
          </w:p>
        </w:tc>
        <w:tc>
          <w:tcPr>
            <w:tcW w:w="998" w:type="dxa"/>
            <w:tcBorders>
              <w:top w:val="nil"/>
              <w:left w:val="nil"/>
              <w:bottom w:val="single" w:sz="4" w:space="0" w:color="auto"/>
              <w:right w:val="single" w:sz="4" w:space="0" w:color="auto"/>
            </w:tcBorders>
            <w:shd w:val="clear" w:color="000000" w:fill="DBE5F1"/>
            <w:noWrap/>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 </w:t>
            </w:r>
          </w:p>
        </w:tc>
        <w:tc>
          <w:tcPr>
            <w:tcW w:w="1030" w:type="dxa"/>
            <w:tcBorders>
              <w:top w:val="nil"/>
              <w:left w:val="nil"/>
              <w:bottom w:val="single" w:sz="4" w:space="0" w:color="auto"/>
              <w:right w:val="single" w:sz="4" w:space="0" w:color="auto"/>
            </w:tcBorders>
            <w:shd w:val="clear" w:color="000000" w:fill="DBE5F1"/>
            <w:noWrap/>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 </w:t>
            </w:r>
          </w:p>
        </w:tc>
      </w:tr>
      <w:tr w:rsidR="001D7BD6" w:rsidRPr="001D7BD6" w:rsidTr="001D7BD6">
        <w:trPr>
          <w:trHeight w:val="1290"/>
        </w:trPr>
        <w:tc>
          <w:tcPr>
            <w:tcW w:w="3918" w:type="dxa"/>
            <w:tcBorders>
              <w:top w:val="nil"/>
              <w:left w:val="single" w:sz="4" w:space="0" w:color="auto"/>
              <w:bottom w:val="single" w:sz="4" w:space="0" w:color="auto"/>
              <w:right w:val="single" w:sz="4" w:space="0" w:color="auto"/>
            </w:tcBorders>
            <w:shd w:val="clear" w:color="000000" w:fill="DBE5F1"/>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Gearing Ratio(long term liabilities/capital employed),capital employed=Share capital + retained earnings + long-term liabilities</w:t>
            </w:r>
          </w:p>
        </w:tc>
        <w:tc>
          <w:tcPr>
            <w:tcW w:w="998" w:type="dxa"/>
            <w:tcBorders>
              <w:top w:val="nil"/>
              <w:left w:val="nil"/>
              <w:bottom w:val="single" w:sz="4" w:space="0" w:color="auto"/>
              <w:right w:val="single" w:sz="4" w:space="0" w:color="auto"/>
            </w:tcBorders>
            <w:shd w:val="clear" w:color="000000" w:fill="DBE5F1"/>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96%</w:t>
            </w:r>
          </w:p>
        </w:tc>
        <w:tc>
          <w:tcPr>
            <w:tcW w:w="998" w:type="dxa"/>
            <w:tcBorders>
              <w:top w:val="nil"/>
              <w:left w:val="nil"/>
              <w:bottom w:val="single" w:sz="4" w:space="0" w:color="auto"/>
              <w:right w:val="single" w:sz="4" w:space="0" w:color="auto"/>
            </w:tcBorders>
            <w:shd w:val="clear" w:color="000000" w:fill="DBE5F1"/>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64%</w:t>
            </w:r>
          </w:p>
        </w:tc>
        <w:tc>
          <w:tcPr>
            <w:tcW w:w="998" w:type="dxa"/>
            <w:tcBorders>
              <w:top w:val="nil"/>
              <w:left w:val="nil"/>
              <w:bottom w:val="single" w:sz="4" w:space="0" w:color="auto"/>
              <w:right w:val="single" w:sz="4" w:space="0" w:color="auto"/>
            </w:tcBorders>
            <w:shd w:val="clear" w:color="000000" w:fill="DBE5F1"/>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64%</w:t>
            </w:r>
          </w:p>
        </w:tc>
        <w:tc>
          <w:tcPr>
            <w:tcW w:w="998" w:type="dxa"/>
            <w:tcBorders>
              <w:top w:val="nil"/>
              <w:left w:val="nil"/>
              <w:bottom w:val="single" w:sz="4" w:space="0" w:color="auto"/>
              <w:right w:val="single" w:sz="4" w:space="0" w:color="auto"/>
            </w:tcBorders>
            <w:shd w:val="clear" w:color="000000" w:fill="DBE5F1"/>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66%</w:t>
            </w:r>
          </w:p>
        </w:tc>
        <w:tc>
          <w:tcPr>
            <w:tcW w:w="1030" w:type="dxa"/>
            <w:tcBorders>
              <w:top w:val="nil"/>
              <w:left w:val="nil"/>
              <w:bottom w:val="single" w:sz="4" w:space="0" w:color="auto"/>
              <w:right w:val="single" w:sz="4" w:space="0" w:color="auto"/>
            </w:tcBorders>
            <w:shd w:val="clear" w:color="000000" w:fill="DBE5F1"/>
            <w:noWrap/>
            <w:vAlign w:val="bottom"/>
            <w:hideMark/>
          </w:tcPr>
          <w:p w:rsidR="001D7BD6" w:rsidRPr="001D7BD6" w:rsidRDefault="001D7BD6" w:rsidP="001D7BD6">
            <w:pPr>
              <w:spacing w:after="0" w:line="240" w:lineRule="auto"/>
              <w:jc w:val="right"/>
              <w:rPr>
                <w:rFonts w:eastAsia="Times New Roman" w:cs="Times New Roman"/>
                <w:color w:val="000000"/>
                <w:szCs w:val="24"/>
              </w:rPr>
            </w:pPr>
            <w:r w:rsidRPr="001D7BD6">
              <w:rPr>
                <w:rFonts w:eastAsia="Times New Roman" w:cs="Times New Roman"/>
                <w:color w:val="000000"/>
                <w:szCs w:val="24"/>
              </w:rPr>
              <w:t>65%</w:t>
            </w:r>
          </w:p>
        </w:tc>
      </w:tr>
    </w:tbl>
    <w:p w:rsidR="001D7BD6" w:rsidRDefault="001D7BD6" w:rsidP="001D7BD6"/>
    <w:p w:rsidR="001D7BD6" w:rsidRDefault="001D7BD6" w:rsidP="001D7BD6"/>
    <w:tbl>
      <w:tblPr>
        <w:tblW w:w="8940" w:type="dxa"/>
        <w:tblInd w:w="98" w:type="dxa"/>
        <w:tblLook w:val="04A0" w:firstRow="1" w:lastRow="0" w:firstColumn="1" w:lastColumn="0" w:noHBand="0" w:noVBand="1"/>
      </w:tblPr>
      <w:tblGrid>
        <w:gridCol w:w="4148"/>
        <w:gridCol w:w="992"/>
        <w:gridCol w:w="992"/>
        <w:gridCol w:w="992"/>
        <w:gridCol w:w="992"/>
        <w:gridCol w:w="1032"/>
      </w:tblGrid>
      <w:tr w:rsidR="001D7BD6" w:rsidRPr="001D7BD6" w:rsidTr="001D7BD6">
        <w:trPr>
          <w:trHeight w:val="315"/>
        </w:trPr>
        <w:tc>
          <w:tcPr>
            <w:tcW w:w="8940" w:type="dxa"/>
            <w:gridSpan w:val="6"/>
            <w:tcBorders>
              <w:top w:val="single" w:sz="8" w:space="0" w:color="auto"/>
              <w:left w:val="single" w:sz="8" w:space="0" w:color="auto"/>
              <w:bottom w:val="single" w:sz="8" w:space="0" w:color="auto"/>
              <w:right w:val="single" w:sz="8" w:space="0" w:color="000000"/>
            </w:tcBorders>
            <w:shd w:val="clear" w:color="000000" w:fill="EEECE1"/>
            <w:noWrap/>
            <w:vAlign w:val="bottom"/>
            <w:hideMark/>
          </w:tcPr>
          <w:p w:rsidR="001D7BD6" w:rsidRPr="003D475B" w:rsidRDefault="001D7BD6" w:rsidP="001D7BD6">
            <w:pPr>
              <w:spacing w:after="0" w:line="240" w:lineRule="auto"/>
              <w:jc w:val="center"/>
              <w:rPr>
                <w:rFonts w:ascii="Berlin Sans FB" w:eastAsia="Times New Roman" w:hAnsi="Berlin Sans FB" w:cs="Times New Roman"/>
                <w:b/>
                <w:color w:val="000000"/>
                <w:szCs w:val="24"/>
              </w:rPr>
            </w:pPr>
            <w:r w:rsidRPr="003D475B">
              <w:rPr>
                <w:rFonts w:ascii="Berlin Sans FB" w:eastAsia="Times New Roman" w:hAnsi="Berlin Sans FB" w:cs="Times New Roman"/>
                <w:b/>
                <w:color w:val="000000"/>
                <w:szCs w:val="24"/>
              </w:rPr>
              <w:t>Vodafone, Ratio Analysis</w:t>
            </w:r>
          </w:p>
        </w:tc>
      </w:tr>
      <w:tr w:rsidR="001D7BD6" w:rsidRPr="001D7BD6" w:rsidTr="001D7BD6">
        <w:trPr>
          <w:trHeight w:val="300"/>
        </w:trPr>
        <w:tc>
          <w:tcPr>
            <w:tcW w:w="4148" w:type="dxa"/>
            <w:tcBorders>
              <w:top w:val="nil"/>
              <w:left w:val="single" w:sz="4" w:space="0" w:color="auto"/>
              <w:bottom w:val="single" w:sz="4" w:space="0" w:color="auto"/>
              <w:right w:val="single" w:sz="4" w:space="0" w:color="auto"/>
            </w:tcBorders>
            <w:shd w:val="clear" w:color="000000" w:fill="DBE5F1"/>
            <w:noWrap/>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financial statement  items</w:t>
            </w:r>
          </w:p>
        </w:tc>
        <w:tc>
          <w:tcPr>
            <w:tcW w:w="940" w:type="dxa"/>
            <w:tcBorders>
              <w:top w:val="nil"/>
              <w:left w:val="nil"/>
              <w:bottom w:val="single" w:sz="4" w:space="0" w:color="auto"/>
              <w:right w:val="single" w:sz="4" w:space="0" w:color="auto"/>
            </w:tcBorders>
            <w:shd w:val="clear" w:color="000000" w:fill="DBE5F1"/>
            <w:noWrap/>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£,million</w:t>
            </w:r>
          </w:p>
        </w:tc>
        <w:tc>
          <w:tcPr>
            <w:tcW w:w="940" w:type="dxa"/>
            <w:tcBorders>
              <w:top w:val="nil"/>
              <w:left w:val="nil"/>
              <w:bottom w:val="single" w:sz="4" w:space="0" w:color="auto"/>
              <w:right w:val="single" w:sz="4" w:space="0" w:color="auto"/>
            </w:tcBorders>
            <w:shd w:val="clear" w:color="000000" w:fill="DBE5F1"/>
            <w:noWrap/>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£,million</w:t>
            </w:r>
          </w:p>
        </w:tc>
        <w:tc>
          <w:tcPr>
            <w:tcW w:w="940" w:type="dxa"/>
            <w:tcBorders>
              <w:top w:val="nil"/>
              <w:left w:val="nil"/>
              <w:bottom w:val="single" w:sz="4" w:space="0" w:color="auto"/>
              <w:right w:val="single" w:sz="4" w:space="0" w:color="auto"/>
            </w:tcBorders>
            <w:shd w:val="clear" w:color="000000" w:fill="DBE5F1"/>
            <w:noWrap/>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£,million</w:t>
            </w:r>
          </w:p>
        </w:tc>
        <w:tc>
          <w:tcPr>
            <w:tcW w:w="940" w:type="dxa"/>
            <w:tcBorders>
              <w:top w:val="nil"/>
              <w:left w:val="nil"/>
              <w:bottom w:val="single" w:sz="4" w:space="0" w:color="auto"/>
              <w:right w:val="single" w:sz="4" w:space="0" w:color="auto"/>
            </w:tcBorders>
            <w:shd w:val="clear" w:color="000000" w:fill="DBE5F1"/>
            <w:noWrap/>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£,million</w:t>
            </w:r>
          </w:p>
        </w:tc>
        <w:tc>
          <w:tcPr>
            <w:tcW w:w="1032" w:type="dxa"/>
            <w:tcBorders>
              <w:top w:val="nil"/>
              <w:left w:val="nil"/>
              <w:bottom w:val="single" w:sz="4" w:space="0" w:color="auto"/>
              <w:right w:val="single" w:sz="4" w:space="0" w:color="auto"/>
            </w:tcBorders>
            <w:shd w:val="clear" w:color="000000" w:fill="DBE5F1"/>
            <w:noWrap/>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£,million</w:t>
            </w:r>
          </w:p>
        </w:tc>
      </w:tr>
      <w:tr w:rsidR="001D7BD6" w:rsidRPr="001D7BD6" w:rsidTr="001D7BD6">
        <w:trPr>
          <w:trHeight w:val="300"/>
        </w:trPr>
        <w:tc>
          <w:tcPr>
            <w:tcW w:w="4148" w:type="dxa"/>
            <w:tcBorders>
              <w:top w:val="nil"/>
              <w:left w:val="single" w:sz="4" w:space="0" w:color="auto"/>
              <w:bottom w:val="single" w:sz="4" w:space="0" w:color="auto"/>
              <w:right w:val="single" w:sz="4" w:space="0" w:color="auto"/>
            </w:tcBorders>
            <w:shd w:val="clear" w:color="000000" w:fill="CCC0DA"/>
            <w:noWrap/>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 </w:t>
            </w:r>
          </w:p>
        </w:tc>
        <w:tc>
          <w:tcPr>
            <w:tcW w:w="940" w:type="dxa"/>
            <w:tcBorders>
              <w:top w:val="nil"/>
              <w:left w:val="nil"/>
              <w:bottom w:val="single" w:sz="4" w:space="0" w:color="auto"/>
              <w:right w:val="single" w:sz="4" w:space="0" w:color="auto"/>
            </w:tcBorders>
            <w:shd w:val="clear" w:color="000000" w:fill="CCC0D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2012</w:t>
            </w:r>
          </w:p>
        </w:tc>
        <w:tc>
          <w:tcPr>
            <w:tcW w:w="940" w:type="dxa"/>
            <w:tcBorders>
              <w:top w:val="nil"/>
              <w:left w:val="nil"/>
              <w:bottom w:val="single" w:sz="4" w:space="0" w:color="auto"/>
              <w:right w:val="single" w:sz="4" w:space="0" w:color="auto"/>
            </w:tcBorders>
            <w:shd w:val="clear" w:color="000000" w:fill="CCC0D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2013</w:t>
            </w:r>
          </w:p>
        </w:tc>
        <w:tc>
          <w:tcPr>
            <w:tcW w:w="940" w:type="dxa"/>
            <w:tcBorders>
              <w:top w:val="nil"/>
              <w:left w:val="nil"/>
              <w:bottom w:val="single" w:sz="4" w:space="0" w:color="auto"/>
              <w:right w:val="single" w:sz="4" w:space="0" w:color="auto"/>
            </w:tcBorders>
            <w:shd w:val="clear" w:color="000000" w:fill="CCC0D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2014</w:t>
            </w:r>
          </w:p>
        </w:tc>
        <w:tc>
          <w:tcPr>
            <w:tcW w:w="940" w:type="dxa"/>
            <w:tcBorders>
              <w:top w:val="nil"/>
              <w:left w:val="nil"/>
              <w:bottom w:val="single" w:sz="4" w:space="0" w:color="auto"/>
              <w:right w:val="single" w:sz="4" w:space="0" w:color="auto"/>
            </w:tcBorders>
            <w:shd w:val="clear" w:color="000000" w:fill="CCC0D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2015</w:t>
            </w:r>
          </w:p>
        </w:tc>
        <w:tc>
          <w:tcPr>
            <w:tcW w:w="1032" w:type="dxa"/>
            <w:tcBorders>
              <w:top w:val="nil"/>
              <w:left w:val="nil"/>
              <w:bottom w:val="single" w:sz="4" w:space="0" w:color="auto"/>
              <w:right w:val="single" w:sz="4" w:space="0" w:color="auto"/>
            </w:tcBorders>
            <w:shd w:val="clear" w:color="000000" w:fill="CCC0D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2016</w:t>
            </w:r>
          </w:p>
        </w:tc>
      </w:tr>
      <w:tr w:rsidR="001D7BD6" w:rsidRPr="001D7BD6" w:rsidTr="001D7BD6">
        <w:trPr>
          <w:trHeight w:val="300"/>
        </w:trPr>
        <w:tc>
          <w:tcPr>
            <w:tcW w:w="4148" w:type="dxa"/>
            <w:tcBorders>
              <w:top w:val="nil"/>
              <w:left w:val="single" w:sz="4" w:space="0" w:color="auto"/>
              <w:bottom w:val="single" w:sz="4" w:space="0" w:color="auto"/>
              <w:right w:val="single" w:sz="4" w:space="0" w:color="auto"/>
            </w:tcBorders>
            <w:shd w:val="clear" w:color="auto" w:fill="auto"/>
            <w:noWrap/>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Total revenue earned</w:t>
            </w:r>
          </w:p>
        </w:tc>
        <w:tc>
          <w:tcPr>
            <w:tcW w:w="940" w:type="dxa"/>
            <w:tcBorders>
              <w:top w:val="nil"/>
              <w:left w:val="nil"/>
              <w:bottom w:val="nil"/>
              <w:right w:val="nil"/>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38,821</w:t>
            </w:r>
          </w:p>
        </w:tc>
        <w:tc>
          <w:tcPr>
            <w:tcW w:w="940" w:type="dxa"/>
            <w:tcBorders>
              <w:top w:val="nil"/>
              <w:left w:val="nil"/>
              <w:bottom w:val="nil"/>
              <w:right w:val="nil"/>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38,041</w:t>
            </w:r>
          </w:p>
        </w:tc>
        <w:tc>
          <w:tcPr>
            <w:tcW w:w="940" w:type="dxa"/>
            <w:tcBorders>
              <w:top w:val="nil"/>
              <w:left w:val="single" w:sz="4" w:space="0" w:color="auto"/>
              <w:bottom w:val="single" w:sz="4" w:space="0" w:color="auto"/>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38,346</w:t>
            </w:r>
          </w:p>
        </w:tc>
        <w:tc>
          <w:tcPr>
            <w:tcW w:w="940" w:type="dxa"/>
            <w:tcBorders>
              <w:top w:val="nil"/>
              <w:left w:val="nil"/>
              <w:bottom w:val="single" w:sz="4" w:space="0" w:color="auto"/>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42,227</w:t>
            </w:r>
          </w:p>
        </w:tc>
        <w:tc>
          <w:tcPr>
            <w:tcW w:w="1032" w:type="dxa"/>
            <w:tcBorders>
              <w:top w:val="nil"/>
              <w:left w:val="nil"/>
              <w:bottom w:val="single" w:sz="4" w:space="0" w:color="auto"/>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40,973</w:t>
            </w:r>
          </w:p>
        </w:tc>
      </w:tr>
      <w:tr w:rsidR="001D7BD6" w:rsidRPr="001D7BD6" w:rsidTr="001D7BD6">
        <w:trPr>
          <w:trHeight w:val="300"/>
        </w:trPr>
        <w:tc>
          <w:tcPr>
            <w:tcW w:w="4148" w:type="dxa"/>
            <w:tcBorders>
              <w:top w:val="nil"/>
              <w:left w:val="single" w:sz="4" w:space="0" w:color="auto"/>
              <w:bottom w:val="single" w:sz="4" w:space="0" w:color="auto"/>
              <w:right w:val="single" w:sz="4" w:space="0" w:color="auto"/>
            </w:tcBorders>
            <w:shd w:val="clear" w:color="auto" w:fill="auto"/>
            <w:noWrap/>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 xml:space="preserve">Net </w:t>
            </w:r>
            <w:r w:rsidR="00344F58" w:rsidRPr="001D7BD6">
              <w:rPr>
                <w:rFonts w:ascii="Calibri" w:eastAsia="Times New Roman" w:hAnsi="Calibri" w:cs="Times New Roman"/>
                <w:color w:val="000000"/>
                <w:sz w:val="22"/>
              </w:rPr>
              <w:t>profit, PAT</w:t>
            </w:r>
          </w:p>
        </w:tc>
        <w:tc>
          <w:tcPr>
            <w:tcW w:w="940" w:type="dxa"/>
            <w:tcBorders>
              <w:top w:val="single" w:sz="4" w:space="0" w:color="auto"/>
              <w:left w:val="nil"/>
              <w:bottom w:val="single" w:sz="4" w:space="0" w:color="auto"/>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3,439</w:t>
            </w:r>
          </w:p>
        </w:tc>
        <w:tc>
          <w:tcPr>
            <w:tcW w:w="940" w:type="dxa"/>
            <w:tcBorders>
              <w:top w:val="single" w:sz="4" w:space="0" w:color="auto"/>
              <w:left w:val="nil"/>
              <w:bottom w:val="single" w:sz="4" w:space="0" w:color="auto"/>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-3,959</w:t>
            </w:r>
          </w:p>
        </w:tc>
        <w:tc>
          <w:tcPr>
            <w:tcW w:w="940" w:type="dxa"/>
            <w:tcBorders>
              <w:top w:val="nil"/>
              <w:left w:val="nil"/>
              <w:bottom w:val="nil"/>
              <w:right w:val="nil"/>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11,312</w:t>
            </w:r>
          </w:p>
        </w:tc>
        <w:tc>
          <w:tcPr>
            <w:tcW w:w="940" w:type="dxa"/>
            <w:tcBorders>
              <w:top w:val="nil"/>
              <w:left w:val="single" w:sz="4" w:space="0" w:color="auto"/>
              <w:bottom w:val="single" w:sz="4" w:space="0" w:color="auto"/>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5,860</w:t>
            </w:r>
          </w:p>
        </w:tc>
        <w:tc>
          <w:tcPr>
            <w:tcW w:w="1032" w:type="dxa"/>
            <w:tcBorders>
              <w:top w:val="nil"/>
              <w:left w:val="nil"/>
              <w:bottom w:val="single" w:sz="4" w:space="0" w:color="auto"/>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-3,818</w:t>
            </w:r>
          </w:p>
        </w:tc>
      </w:tr>
      <w:tr w:rsidR="001D7BD6" w:rsidRPr="001D7BD6" w:rsidTr="001D7BD6">
        <w:trPr>
          <w:trHeight w:val="300"/>
        </w:trPr>
        <w:tc>
          <w:tcPr>
            <w:tcW w:w="4148" w:type="dxa"/>
            <w:tcBorders>
              <w:top w:val="nil"/>
              <w:left w:val="single" w:sz="4" w:space="0" w:color="auto"/>
              <w:bottom w:val="single" w:sz="4" w:space="0" w:color="auto"/>
              <w:right w:val="single" w:sz="4" w:space="0" w:color="auto"/>
            </w:tcBorders>
            <w:shd w:val="clear" w:color="auto" w:fill="auto"/>
            <w:noWrap/>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Current asset</w:t>
            </w:r>
          </w:p>
        </w:tc>
        <w:tc>
          <w:tcPr>
            <w:tcW w:w="940" w:type="dxa"/>
            <w:tcBorders>
              <w:top w:val="nil"/>
              <w:left w:val="nil"/>
              <w:bottom w:val="single" w:sz="4" w:space="0" w:color="auto"/>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19,031</w:t>
            </w:r>
          </w:p>
        </w:tc>
        <w:tc>
          <w:tcPr>
            <w:tcW w:w="940" w:type="dxa"/>
            <w:tcBorders>
              <w:top w:val="nil"/>
              <w:left w:val="nil"/>
              <w:bottom w:val="single" w:sz="4" w:space="0" w:color="auto"/>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21,649</w:t>
            </w:r>
          </w:p>
        </w:tc>
        <w:tc>
          <w:tcPr>
            <w:tcW w:w="940" w:type="dxa"/>
            <w:tcBorders>
              <w:top w:val="single" w:sz="4" w:space="0" w:color="auto"/>
              <w:left w:val="nil"/>
              <w:bottom w:val="single" w:sz="4" w:space="0" w:color="auto"/>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24,722</w:t>
            </w:r>
          </w:p>
        </w:tc>
        <w:tc>
          <w:tcPr>
            <w:tcW w:w="940" w:type="dxa"/>
            <w:tcBorders>
              <w:top w:val="nil"/>
              <w:left w:val="nil"/>
              <w:bottom w:val="single" w:sz="4" w:space="0" w:color="auto"/>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19,847</w:t>
            </w:r>
          </w:p>
        </w:tc>
        <w:tc>
          <w:tcPr>
            <w:tcW w:w="1032" w:type="dxa"/>
            <w:tcBorders>
              <w:top w:val="nil"/>
              <w:left w:val="nil"/>
              <w:bottom w:val="single" w:sz="4" w:space="0" w:color="auto"/>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28,144</w:t>
            </w:r>
          </w:p>
        </w:tc>
      </w:tr>
      <w:tr w:rsidR="001D7BD6" w:rsidRPr="001D7BD6" w:rsidTr="001D7BD6">
        <w:trPr>
          <w:trHeight w:val="300"/>
        </w:trPr>
        <w:tc>
          <w:tcPr>
            <w:tcW w:w="4148" w:type="dxa"/>
            <w:tcBorders>
              <w:top w:val="nil"/>
              <w:left w:val="single" w:sz="4" w:space="0" w:color="auto"/>
              <w:bottom w:val="single" w:sz="4" w:space="0" w:color="auto"/>
              <w:right w:val="single" w:sz="4" w:space="0" w:color="auto"/>
            </w:tcBorders>
            <w:shd w:val="clear" w:color="auto" w:fill="auto"/>
            <w:noWrap/>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Current liability</w:t>
            </w:r>
          </w:p>
        </w:tc>
        <w:tc>
          <w:tcPr>
            <w:tcW w:w="940" w:type="dxa"/>
            <w:tcBorders>
              <w:top w:val="nil"/>
              <w:left w:val="nil"/>
              <w:bottom w:val="single" w:sz="4" w:space="0" w:color="auto"/>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21,623</w:t>
            </w:r>
          </w:p>
        </w:tc>
        <w:tc>
          <w:tcPr>
            <w:tcW w:w="940" w:type="dxa"/>
            <w:tcBorders>
              <w:top w:val="nil"/>
              <w:left w:val="nil"/>
              <w:bottom w:val="single" w:sz="4" w:space="0" w:color="auto"/>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28,369</w:t>
            </w:r>
          </w:p>
        </w:tc>
        <w:tc>
          <w:tcPr>
            <w:tcW w:w="940" w:type="dxa"/>
            <w:tcBorders>
              <w:top w:val="nil"/>
              <w:left w:val="nil"/>
              <w:bottom w:val="single" w:sz="4" w:space="0" w:color="auto"/>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25,039</w:t>
            </w:r>
          </w:p>
        </w:tc>
        <w:tc>
          <w:tcPr>
            <w:tcW w:w="940" w:type="dxa"/>
            <w:tcBorders>
              <w:top w:val="nil"/>
              <w:left w:val="nil"/>
              <w:bottom w:val="single" w:sz="4" w:space="0" w:color="auto"/>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28,897</w:t>
            </w:r>
          </w:p>
        </w:tc>
        <w:tc>
          <w:tcPr>
            <w:tcW w:w="1032" w:type="dxa"/>
            <w:tcBorders>
              <w:top w:val="nil"/>
              <w:left w:val="nil"/>
              <w:bottom w:val="single" w:sz="4" w:space="0" w:color="auto"/>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33,395</w:t>
            </w:r>
          </w:p>
        </w:tc>
      </w:tr>
      <w:tr w:rsidR="001D7BD6" w:rsidRPr="001D7BD6" w:rsidTr="001D7BD6">
        <w:trPr>
          <w:trHeight w:val="300"/>
        </w:trPr>
        <w:tc>
          <w:tcPr>
            <w:tcW w:w="4148" w:type="dxa"/>
            <w:tcBorders>
              <w:top w:val="nil"/>
              <w:left w:val="single" w:sz="4" w:space="0" w:color="auto"/>
              <w:bottom w:val="single" w:sz="4" w:space="0" w:color="auto"/>
              <w:right w:val="single" w:sz="4" w:space="0" w:color="auto"/>
            </w:tcBorders>
            <w:shd w:val="clear" w:color="auto" w:fill="auto"/>
            <w:noWrap/>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Average Inventory holding</w:t>
            </w:r>
          </w:p>
        </w:tc>
        <w:tc>
          <w:tcPr>
            <w:tcW w:w="940" w:type="dxa"/>
            <w:tcBorders>
              <w:top w:val="nil"/>
              <w:left w:val="nil"/>
              <w:bottom w:val="single" w:sz="4" w:space="0" w:color="auto"/>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375</w:t>
            </w:r>
          </w:p>
        </w:tc>
        <w:tc>
          <w:tcPr>
            <w:tcW w:w="940" w:type="dxa"/>
            <w:tcBorders>
              <w:top w:val="nil"/>
              <w:left w:val="nil"/>
              <w:bottom w:val="single" w:sz="4" w:space="0" w:color="auto"/>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353</w:t>
            </w:r>
          </w:p>
        </w:tc>
        <w:tc>
          <w:tcPr>
            <w:tcW w:w="940" w:type="dxa"/>
            <w:tcBorders>
              <w:top w:val="nil"/>
              <w:left w:val="nil"/>
              <w:bottom w:val="single" w:sz="4" w:space="0" w:color="auto"/>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441</w:t>
            </w:r>
          </w:p>
        </w:tc>
        <w:tc>
          <w:tcPr>
            <w:tcW w:w="940" w:type="dxa"/>
            <w:tcBorders>
              <w:top w:val="nil"/>
              <w:left w:val="nil"/>
              <w:bottom w:val="single" w:sz="4" w:space="0" w:color="auto"/>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482</w:t>
            </w:r>
          </w:p>
        </w:tc>
        <w:tc>
          <w:tcPr>
            <w:tcW w:w="1032" w:type="dxa"/>
            <w:tcBorders>
              <w:top w:val="nil"/>
              <w:left w:val="nil"/>
              <w:bottom w:val="single" w:sz="4" w:space="0" w:color="auto"/>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565</w:t>
            </w:r>
          </w:p>
        </w:tc>
      </w:tr>
      <w:tr w:rsidR="001D7BD6" w:rsidRPr="001D7BD6" w:rsidTr="001D7BD6">
        <w:trPr>
          <w:trHeight w:val="300"/>
        </w:trPr>
        <w:tc>
          <w:tcPr>
            <w:tcW w:w="4148" w:type="dxa"/>
            <w:tcBorders>
              <w:top w:val="nil"/>
              <w:left w:val="single" w:sz="4" w:space="0" w:color="auto"/>
              <w:bottom w:val="single" w:sz="4" w:space="0" w:color="auto"/>
              <w:right w:val="single" w:sz="4" w:space="0" w:color="auto"/>
            </w:tcBorders>
            <w:shd w:val="clear" w:color="auto" w:fill="auto"/>
            <w:noWrap/>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share capital</w:t>
            </w:r>
          </w:p>
        </w:tc>
        <w:tc>
          <w:tcPr>
            <w:tcW w:w="940" w:type="dxa"/>
            <w:tcBorders>
              <w:top w:val="nil"/>
              <w:left w:val="nil"/>
              <w:bottom w:val="single" w:sz="4" w:space="0" w:color="auto"/>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158145</w:t>
            </w:r>
          </w:p>
        </w:tc>
        <w:tc>
          <w:tcPr>
            <w:tcW w:w="940" w:type="dxa"/>
            <w:tcBorders>
              <w:top w:val="nil"/>
              <w:left w:val="nil"/>
              <w:bottom w:val="single" w:sz="4" w:space="0" w:color="auto"/>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158,145</w:t>
            </w:r>
          </w:p>
        </w:tc>
        <w:tc>
          <w:tcPr>
            <w:tcW w:w="940" w:type="dxa"/>
            <w:tcBorders>
              <w:top w:val="nil"/>
              <w:left w:val="nil"/>
              <w:bottom w:val="single" w:sz="4" w:space="0" w:color="auto"/>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120,765</w:t>
            </w:r>
          </w:p>
        </w:tc>
        <w:tc>
          <w:tcPr>
            <w:tcW w:w="940" w:type="dxa"/>
            <w:tcBorders>
              <w:top w:val="nil"/>
              <w:left w:val="nil"/>
              <w:bottom w:val="single" w:sz="4" w:space="0" w:color="auto"/>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120846</w:t>
            </w:r>
          </w:p>
        </w:tc>
        <w:tc>
          <w:tcPr>
            <w:tcW w:w="1032" w:type="dxa"/>
            <w:tcBorders>
              <w:top w:val="nil"/>
              <w:left w:val="nil"/>
              <w:bottom w:val="single" w:sz="4" w:space="0" w:color="auto"/>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123717</w:t>
            </w:r>
          </w:p>
        </w:tc>
      </w:tr>
      <w:tr w:rsidR="001D7BD6" w:rsidRPr="001D7BD6" w:rsidTr="001D7BD6">
        <w:trPr>
          <w:trHeight w:val="300"/>
        </w:trPr>
        <w:tc>
          <w:tcPr>
            <w:tcW w:w="4148" w:type="dxa"/>
            <w:tcBorders>
              <w:top w:val="nil"/>
              <w:left w:val="single" w:sz="4" w:space="0" w:color="auto"/>
              <w:bottom w:val="single" w:sz="4" w:space="0" w:color="auto"/>
              <w:right w:val="single" w:sz="4" w:space="0" w:color="auto"/>
            </w:tcBorders>
            <w:shd w:val="clear" w:color="auto" w:fill="auto"/>
            <w:noWrap/>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 xml:space="preserve">Retained </w:t>
            </w:r>
            <w:r w:rsidR="00344F58" w:rsidRPr="001D7BD6">
              <w:rPr>
                <w:rFonts w:ascii="Calibri" w:eastAsia="Times New Roman" w:hAnsi="Calibri" w:cs="Times New Roman"/>
                <w:color w:val="000000"/>
                <w:sz w:val="22"/>
              </w:rPr>
              <w:t>earning</w:t>
            </w:r>
          </w:p>
        </w:tc>
        <w:tc>
          <w:tcPr>
            <w:tcW w:w="940" w:type="dxa"/>
            <w:tcBorders>
              <w:top w:val="nil"/>
              <w:left w:val="nil"/>
              <w:bottom w:val="single" w:sz="4" w:space="0" w:color="auto"/>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6994</w:t>
            </w:r>
          </w:p>
        </w:tc>
        <w:tc>
          <w:tcPr>
            <w:tcW w:w="940" w:type="dxa"/>
            <w:tcBorders>
              <w:top w:val="nil"/>
              <w:left w:val="nil"/>
              <w:bottom w:val="single" w:sz="4" w:space="0" w:color="auto"/>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657</w:t>
            </w:r>
          </w:p>
        </w:tc>
        <w:tc>
          <w:tcPr>
            <w:tcW w:w="940" w:type="dxa"/>
            <w:tcBorders>
              <w:top w:val="nil"/>
              <w:left w:val="nil"/>
              <w:bottom w:val="single" w:sz="4" w:space="0" w:color="auto"/>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59,420</w:t>
            </w:r>
          </w:p>
        </w:tc>
        <w:tc>
          <w:tcPr>
            <w:tcW w:w="940" w:type="dxa"/>
            <w:tcBorders>
              <w:top w:val="nil"/>
              <w:left w:val="nil"/>
              <w:bottom w:val="single" w:sz="4" w:space="0" w:color="auto"/>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-810</w:t>
            </w:r>
          </w:p>
        </w:tc>
        <w:tc>
          <w:tcPr>
            <w:tcW w:w="1032" w:type="dxa"/>
            <w:tcBorders>
              <w:top w:val="nil"/>
              <w:left w:val="nil"/>
              <w:bottom w:val="single" w:sz="4" w:space="0" w:color="auto"/>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-50</w:t>
            </w:r>
          </w:p>
        </w:tc>
      </w:tr>
      <w:tr w:rsidR="001D7BD6" w:rsidRPr="001D7BD6" w:rsidTr="001D7BD6">
        <w:trPr>
          <w:trHeight w:val="315"/>
        </w:trPr>
        <w:tc>
          <w:tcPr>
            <w:tcW w:w="4148" w:type="dxa"/>
            <w:tcBorders>
              <w:top w:val="nil"/>
              <w:left w:val="single" w:sz="4" w:space="0" w:color="auto"/>
              <w:bottom w:val="single" w:sz="4" w:space="0" w:color="auto"/>
              <w:right w:val="single" w:sz="4" w:space="0" w:color="auto"/>
            </w:tcBorders>
            <w:shd w:val="clear" w:color="auto" w:fill="auto"/>
            <w:noWrap/>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long term liabilities</w:t>
            </w:r>
          </w:p>
        </w:tc>
        <w:tc>
          <w:tcPr>
            <w:tcW w:w="940" w:type="dxa"/>
            <w:tcBorders>
              <w:top w:val="nil"/>
              <w:left w:val="nil"/>
              <w:bottom w:val="nil"/>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35,625</w:t>
            </w:r>
          </w:p>
        </w:tc>
        <w:tc>
          <w:tcPr>
            <w:tcW w:w="940" w:type="dxa"/>
            <w:tcBorders>
              <w:top w:val="nil"/>
              <w:left w:val="nil"/>
              <w:bottom w:val="nil"/>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37,467</w:t>
            </w:r>
          </w:p>
        </w:tc>
        <w:tc>
          <w:tcPr>
            <w:tcW w:w="940" w:type="dxa"/>
            <w:tcBorders>
              <w:top w:val="nil"/>
              <w:left w:val="nil"/>
              <w:bottom w:val="nil"/>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25,020</w:t>
            </w:r>
          </w:p>
        </w:tc>
        <w:tc>
          <w:tcPr>
            <w:tcW w:w="940" w:type="dxa"/>
            <w:tcBorders>
              <w:top w:val="nil"/>
              <w:left w:val="nil"/>
              <w:bottom w:val="nil"/>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122,573</w:t>
            </w:r>
          </w:p>
        </w:tc>
        <w:tc>
          <w:tcPr>
            <w:tcW w:w="1032" w:type="dxa"/>
            <w:tcBorders>
              <w:top w:val="nil"/>
              <w:left w:val="nil"/>
              <w:bottom w:val="nil"/>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133,713</w:t>
            </w:r>
          </w:p>
        </w:tc>
      </w:tr>
      <w:tr w:rsidR="001D7BD6" w:rsidRPr="001D7BD6" w:rsidTr="001D7BD6">
        <w:trPr>
          <w:trHeight w:val="315"/>
        </w:trPr>
        <w:tc>
          <w:tcPr>
            <w:tcW w:w="4148" w:type="dxa"/>
            <w:tcBorders>
              <w:top w:val="nil"/>
              <w:left w:val="single" w:sz="4" w:space="0" w:color="auto"/>
              <w:bottom w:val="single" w:sz="4" w:space="0" w:color="auto"/>
              <w:right w:val="nil"/>
            </w:tcBorders>
            <w:shd w:val="clear" w:color="auto" w:fill="auto"/>
            <w:noWrap/>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capital employed</w:t>
            </w:r>
          </w:p>
        </w:tc>
        <w:tc>
          <w:tcPr>
            <w:tcW w:w="94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rsidR="001D7BD6" w:rsidRPr="001D7BD6" w:rsidRDefault="001D7BD6" w:rsidP="001D7BD6">
            <w:pPr>
              <w:spacing w:after="0" w:line="240" w:lineRule="auto"/>
              <w:jc w:val="right"/>
              <w:rPr>
                <w:rFonts w:ascii="Calibri" w:eastAsia="Times New Roman" w:hAnsi="Calibri" w:cs="Times New Roman"/>
                <w:color w:val="E46D0A"/>
              </w:rPr>
            </w:pPr>
            <w:r w:rsidRPr="001D7BD6">
              <w:rPr>
                <w:rFonts w:ascii="Calibri" w:eastAsia="Times New Roman" w:hAnsi="Calibri" w:cs="Times New Roman"/>
                <w:color w:val="E46D0A"/>
                <w:sz w:val="22"/>
              </w:rPr>
              <w:t>200,764</w:t>
            </w:r>
          </w:p>
        </w:tc>
        <w:tc>
          <w:tcPr>
            <w:tcW w:w="940" w:type="dxa"/>
            <w:tcBorders>
              <w:top w:val="single" w:sz="8" w:space="0" w:color="auto"/>
              <w:left w:val="nil"/>
              <w:bottom w:val="single" w:sz="8" w:space="0" w:color="auto"/>
              <w:right w:val="single" w:sz="4" w:space="0" w:color="auto"/>
            </w:tcBorders>
            <w:shd w:val="clear" w:color="auto" w:fill="auto"/>
            <w:noWrap/>
            <w:vAlign w:val="bottom"/>
            <w:hideMark/>
          </w:tcPr>
          <w:p w:rsidR="001D7BD6" w:rsidRPr="001D7BD6" w:rsidRDefault="001D7BD6" w:rsidP="001D7BD6">
            <w:pPr>
              <w:spacing w:after="0" w:line="240" w:lineRule="auto"/>
              <w:jc w:val="right"/>
              <w:rPr>
                <w:rFonts w:ascii="Calibri" w:eastAsia="Times New Roman" w:hAnsi="Calibri" w:cs="Times New Roman"/>
                <w:color w:val="E46D0A"/>
              </w:rPr>
            </w:pPr>
            <w:r w:rsidRPr="001D7BD6">
              <w:rPr>
                <w:rFonts w:ascii="Calibri" w:eastAsia="Times New Roman" w:hAnsi="Calibri" w:cs="Times New Roman"/>
                <w:color w:val="E46D0A"/>
                <w:sz w:val="22"/>
              </w:rPr>
              <w:t>196,269</w:t>
            </w:r>
          </w:p>
        </w:tc>
        <w:tc>
          <w:tcPr>
            <w:tcW w:w="940" w:type="dxa"/>
            <w:tcBorders>
              <w:top w:val="single" w:sz="8" w:space="0" w:color="auto"/>
              <w:left w:val="nil"/>
              <w:bottom w:val="single" w:sz="8" w:space="0" w:color="auto"/>
              <w:right w:val="single" w:sz="4" w:space="0" w:color="auto"/>
            </w:tcBorders>
            <w:shd w:val="clear" w:color="auto" w:fill="auto"/>
            <w:noWrap/>
            <w:vAlign w:val="bottom"/>
            <w:hideMark/>
          </w:tcPr>
          <w:p w:rsidR="001D7BD6" w:rsidRPr="001D7BD6" w:rsidRDefault="001D7BD6" w:rsidP="001D7BD6">
            <w:pPr>
              <w:spacing w:after="0" w:line="240" w:lineRule="auto"/>
              <w:jc w:val="right"/>
              <w:rPr>
                <w:rFonts w:ascii="Calibri" w:eastAsia="Times New Roman" w:hAnsi="Calibri" w:cs="Times New Roman"/>
                <w:color w:val="E46D0A"/>
              </w:rPr>
            </w:pPr>
            <w:r w:rsidRPr="001D7BD6">
              <w:rPr>
                <w:rFonts w:ascii="Calibri" w:eastAsia="Times New Roman" w:hAnsi="Calibri" w:cs="Times New Roman"/>
                <w:color w:val="E46D0A"/>
                <w:sz w:val="22"/>
              </w:rPr>
              <w:t>205,205</w:t>
            </w:r>
          </w:p>
        </w:tc>
        <w:tc>
          <w:tcPr>
            <w:tcW w:w="940" w:type="dxa"/>
            <w:tcBorders>
              <w:top w:val="single" w:sz="8" w:space="0" w:color="auto"/>
              <w:left w:val="nil"/>
              <w:bottom w:val="single" w:sz="8" w:space="0" w:color="auto"/>
              <w:right w:val="single" w:sz="4" w:space="0" w:color="auto"/>
            </w:tcBorders>
            <w:shd w:val="clear" w:color="auto" w:fill="auto"/>
            <w:noWrap/>
            <w:vAlign w:val="bottom"/>
            <w:hideMark/>
          </w:tcPr>
          <w:p w:rsidR="001D7BD6" w:rsidRPr="001D7BD6" w:rsidRDefault="001D7BD6" w:rsidP="001D7BD6">
            <w:pPr>
              <w:spacing w:after="0" w:line="240" w:lineRule="auto"/>
              <w:jc w:val="right"/>
              <w:rPr>
                <w:rFonts w:ascii="Calibri" w:eastAsia="Times New Roman" w:hAnsi="Calibri" w:cs="Times New Roman"/>
                <w:color w:val="E46D0A"/>
              </w:rPr>
            </w:pPr>
            <w:r w:rsidRPr="001D7BD6">
              <w:rPr>
                <w:rFonts w:ascii="Calibri" w:eastAsia="Times New Roman" w:hAnsi="Calibri" w:cs="Times New Roman"/>
                <w:color w:val="E46D0A"/>
                <w:sz w:val="22"/>
              </w:rPr>
              <w:t>242,609</w:t>
            </w:r>
          </w:p>
        </w:tc>
        <w:tc>
          <w:tcPr>
            <w:tcW w:w="1032" w:type="dxa"/>
            <w:tcBorders>
              <w:top w:val="single" w:sz="8" w:space="0" w:color="auto"/>
              <w:left w:val="nil"/>
              <w:bottom w:val="single" w:sz="8" w:space="0" w:color="auto"/>
              <w:right w:val="single" w:sz="8" w:space="0" w:color="auto"/>
            </w:tcBorders>
            <w:shd w:val="clear" w:color="auto" w:fill="auto"/>
            <w:noWrap/>
            <w:vAlign w:val="bottom"/>
            <w:hideMark/>
          </w:tcPr>
          <w:p w:rsidR="001D7BD6" w:rsidRPr="001D7BD6" w:rsidRDefault="001D7BD6" w:rsidP="001D7BD6">
            <w:pPr>
              <w:spacing w:after="0" w:line="240" w:lineRule="auto"/>
              <w:jc w:val="right"/>
              <w:rPr>
                <w:rFonts w:ascii="Calibri" w:eastAsia="Times New Roman" w:hAnsi="Calibri" w:cs="Times New Roman"/>
                <w:color w:val="E46D0A"/>
              </w:rPr>
            </w:pPr>
            <w:r w:rsidRPr="001D7BD6">
              <w:rPr>
                <w:rFonts w:ascii="Calibri" w:eastAsia="Times New Roman" w:hAnsi="Calibri" w:cs="Times New Roman"/>
                <w:color w:val="E46D0A"/>
                <w:sz w:val="22"/>
              </w:rPr>
              <w:t>257,380</w:t>
            </w:r>
          </w:p>
        </w:tc>
      </w:tr>
      <w:tr w:rsidR="001D7BD6" w:rsidRPr="001D7BD6" w:rsidTr="001D7BD6">
        <w:trPr>
          <w:trHeight w:val="300"/>
        </w:trPr>
        <w:tc>
          <w:tcPr>
            <w:tcW w:w="4148" w:type="dxa"/>
            <w:tcBorders>
              <w:top w:val="nil"/>
              <w:left w:val="single" w:sz="4" w:space="0" w:color="auto"/>
              <w:bottom w:val="single" w:sz="4" w:space="0" w:color="auto"/>
              <w:right w:val="single" w:sz="4" w:space="0" w:color="auto"/>
            </w:tcBorders>
            <w:shd w:val="clear" w:color="auto" w:fill="auto"/>
            <w:noWrap/>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Total average asset</w:t>
            </w:r>
          </w:p>
        </w:tc>
        <w:tc>
          <w:tcPr>
            <w:tcW w:w="940" w:type="dxa"/>
            <w:tcBorders>
              <w:top w:val="nil"/>
              <w:left w:val="nil"/>
              <w:bottom w:val="single" w:sz="4" w:space="0" w:color="auto"/>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135,450</w:t>
            </w:r>
          </w:p>
        </w:tc>
        <w:tc>
          <w:tcPr>
            <w:tcW w:w="940" w:type="dxa"/>
            <w:tcBorders>
              <w:top w:val="nil"/>
              <w:left w:val="nil"/>
              <w:bottom w:val="single" w:sz="4" w:space="0" w:color="auto"/>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138,324</w:t>
            </w:r>
          </w:p>
        </w:tc>
        <w:tc>
          <w:tcPr>
            <w:tcW w:w="940" w:type="dxa"/>
            <w:tcBorders>
              <w:top w:val="nil"/>
              <w:left w:val="nil"/>
              <w:bottom w:val="single" w:sz="4" w:space="0" w:color="auto"/>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121,840</w:t>
            </w:r>
          </w:p>
        </w:tc>
        <w:tc>
          <w:tcPr>
            <w:tcW w:w="940" w:type="dxa"/>
            <w:tcBorders>
              <w:top w:val="nil"/>
              <w:left w:val="nil"/>
              <w:bottom w:val="single" w:sz="4" w:space="0" w:color="auto"/>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122,573</w:t>
            </w:r>
          </w:p>
        </w:tc>
        <w:tc>
          <w:tcPr>
            <w:tcW w:w="1032" w:type="dxa"/>
            <w:tcBorders>
              <w:top w:val="nil"/>
              <w:left w:val="nil"/>
              <w:bottom w:val="single" w:sz="4" w:space="0" w:color="auto"/>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133,713</w:t>
            </w:r>
          </w:p>
        </w:tc>
      </w:tr>
      <w:tr w:rsidR="001D7BD6" w:rsidRPr="001D7BD6" w:rsidTr="001D7BD6">
        <w:trPr>
          <w:trHeight w:val="300"/>
        </w:trPr>
        <w:tc>
          <w:tcPr>
            <w:tcW w:w="4148" w:type="dxa"/>
            <w:tcBorders>
              <w:top w:val="nil"/>
              <w:left w:val="single" w:sz="4" w:space="0" w:color="auto"/>
              <w:bottom w:val="single" w:sz="4" w:space="0" w:color="auto"/>
              <w:right w:val="single" w:sz="4" w:space="0" w:color="auto"/>
            </w:tcBorders>
            <w:shd w:val="clear" w:color="auto" w:fill="auto"/>
            <w:noWrap/>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EBIT/Operating profit</w:t>
            </w:r>
          </w:p>
        </w:tc>
        <w:tc>
          <w:tcPr>
            <w:tcW w:w="940" w:type="dxa"/>
            <w:tcBorders>
              <w:top w:val="nil"/>
              <w:left w:val="nil"/>
              <w:bottom w:val="single" w:sz="4" w:space="0" w:color="auto"/>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5618</w:t>
            </w:r>
          </w:p>
        </w:tc>
        <w:tc>
          <w:tcPr>
            <w:tcW w:w="940" w:type="dxa"/>
            <w:tcBorders>
              <w:top w:val="nil"/>
              <w:left w:val="nil"/>
              <w:bottom w:val="single" w:sz="4" w:space="0" w:color="auto"/>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-2,202</w:t>
            </w:r>
          </w:p>
        </w:tc>
        <w:tc>
          <w:tcPr>
            <w:tcW w:w="940" w:type="dxa"/>
            <w:tcBorders>
              <w:top w:val="nil"/>
              <w:left w:val="nil"/>
              <w:bottom w:val="single" w:sz="4" w:space="0" w:color="auto"/>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-3,913</w:t>
            </w:r>
          </w:p>
        </w:tc>
        <w:tc>
          <w:tcPr>
            <w:tcW w:w="940" w:type="dxa"/>
            <w:tcBorders>
              <w:top w:val="nil"/>
              <w:left w:val="nil"/>
              <w:bottom w:val="single" w:sz="4" w:space="0" w:color="auto"/>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1,967</w:t>
            </w:r>
          </w:p>
        </w:tc>
        <w:tc>
          <w:tcPr>
            <w:tcW w:w="1032" w:type="dxa"/>
            <w:tcBorders>
              <w:top w:val="nil"/>
              <w:left w:val="nil"/>
              <w:bottom w:val="single" w:sz="4" w:space="0" w:color="auto"/>
              <w:right w:val="single" w:sz="4" w:space="0" w:color="auto"/>
            </w:tcBorders>
            <w:shd w:val="clear" w:color="000000" w:fill="E46D0A"/>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1,377</w:t>
            </w:r>
          </w:p>
        </w:tc>
      </w:tr>
      <w:tr w:rsidR="001D7BD6" w:rsidRPr="001D7BD6" w:rsidTr="001D7BD6">
        <w:trPr>
          <w:trHeight w:val="300"/>
        </w:trPr>
        <w:tc>
          <w:tcPr>
            <w:tcW w:w="4148" w:type="dxa"/>
            <w:tcBorders>
              <w:top w:val="nil"/>
              <w:left w:val="single" w:sz="4" w:space="0" w:color="auto"/>
              <w:bottom w:val="single" w:sz="4" w:space="0" w:color="auto"/>
              <w:right w:val="single" w:sz="4" w:space="0" w:color="auto"/>
            </w:tcBorders>
            <w:shd w:val="clear" w:color="auto" w:fill="auto"/>
            <w:noWrap/>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 </w:t>
            </w:r>
          </w:p>
        </w:tc>
        <w:tc>
          <w:tcPr>
            <w:tcW w:w="940" w:type="dxa"/>
            <w:tcBorders>
              <w:top w:val="nil"/>
              <w:left w:val="nil"/>
              <w:bottom w:val="single" w:sz="4" w:space="0" w:color="auto"/>
              <w:right w:val="single" w:sz="4" w:space="0" w:color="auto"/>
            </w:tcBorders>
            <w:shd w:val="clear" w:color="auto" w:fill="auto"/>
            <w:noWrap/>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 </w:t>
            </w:r>
          </w:p>
        </w:tc>
        <w:tc>
          <w:tcPr>
            <w:tcW w:w="940" w:type="dxa"/>
            <w:tcBorders>
              <w:top w:val="nil"/>
              <w:left w:val="nil"/>
              <w:bottom w:val="single" w:sz="4" w:space="0" w:color="auto"/>
              <w:right w:val="single" w:sz="4" w:space="0" w:color="auto"/>
            </w:tcBorders>
            <w:shd w:val="clear" w:color="auto" w:fill="auto"/>
            <w:noWrap/>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 </w:t>
            </w:r>
          </w:p>
        </w:tc>
        <w:tc>
          <w:tcPr>
            <w:tcW w:w="940" w:type="dxa"/>
            <w:tcBorders>
              <w:top w:val="nil"/>
              <w:left w:val="nil"/>
              <w:bottom w:val="single" w:sz="4" w:space="0" w:color="auto"/>
              <w:right w:val="single" w:sz="4" w:space="0" w:color="auto"/>
            </w:tcBorders>
            <w:shd w:val="clear" w:color="auto" w:fill="auto"/>
            <w:noWrap/>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 </w:t>
            </w:r>
          </w:p>
        </w:tc>
        <w:tc>
          <w:tcPr>
            <w:tcW w:w="940" w:type="dxa"/>
            <w:tcBorders>
              <w:top w:val="nil"/>
              <w:left w:val="nil"/>
              <w:bottom w:val="single" w:sz="4" w:space="0" w:color="auto"/>
              <w:right w:val="single" w:sz="4" w:space="0" w:color="auto"/>
            </w:tcBorders>
            <w:shd w:val="clear" w:color="auto" w:fill="auto"/>
            <w:noWrap/>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 </w:t>
            </w:r>
          </w:p>
        </w:tc>
        <w:tc>
          <w:tcPr>
            <w:tcW w:w="1032" w:type="dxa"/>
            <w:tcBorders>
              <w:top w:val="nil"/>
              <w:left w:val="nil"/>
              <w:bottom w:val="single" w:sz="4" w:space="0" w:color="auto"/>
              <w:right w:val="single" w:sz="4" w:space="0" w:color="auto"/>
            </w:tcBorders>
            <w:shd w:val="clear" w:color="auto" w:fill="auto"/>
            <w:noWrap/>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 </w:t>
            </w:r>
          </w:p>
        </w:tc>
      </w:tr>
      <w:tr w:rsidR="001D7BD6" w:rsidRPr="001D7BD6" w:rsidTr="001D7BD6">
        <w:trPr>
          <w:trHeight w:val="300"/>
        </w:trPr>
        <w:tc>
          <w:tcPr>
            <w:tcW w:w="4148" w:type="dxa"/>
            <w:tcBorders>
              <w:top w:val="nil"/>
              <w:left w:val="single" w:sz="4" w:space="0" w:color="auto"/>
              <w:bottom w:val="single" w:sz="4" w:space="0" w:color="auto"/>
              <w:right w:val="single" w:sz="4" w:space="0" w:color="auto"/>
            </w:tcBorders>
            <w:shd w:val="clear" w:color="auto" w:fill="auto"/>
            <w:noWrap/>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Years</w:t>
            </w:r>
          </w:p>
        </w:tc>
        <w:tc>
          <w:tcPr>
            <w:tcW w:w="940" w:type="dxa"/>
            <w:tcBorders>
              <w:top w:val="nil"/>
              <w:left w:val="nil"/>
              <w:bottom w:val="single" w:sz="4" w:space="0" w:color="auto"/>
              <w:right w:val="single" w:sz="4" w:space="0" w:color="auto"/>
            </w:tcBorders>
            <w:shd w:val="clear" w:color="000000" w:fill="EEECE1"/>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2012</w:t>
            </w:r>
          </w:p>
        </w:tc>
        <w:tc>
          <w:tcPr>
            <w:tcW w:w="940" w:type="dxa"/>
            <w:tcBorders>
              <w:top w:val="nil"/>
              <w:left w:val="nil"/>
              <w:bottom w:val="single" w:sz="4" w:space="0" w:color="auto"/>
              <w:right w:val="single" w:sz="4" w:space="0" w:color="auto"/>
            </w:tcBorders>
            <w:shd w:val="clear" w:color="000000" w:fill="EEECE1"/>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2013</w:t>
            </w:r>
          </w:p>
        </w:tc>
        <w:tc>
          <w:tcPr>
            <w:tcW w:w="940" w:type="dxa"/>
            <w:tcBorders>
              <w:top w:val="nil"/>
              <w:left w:val="nil"/>
              <w:bottom w:val="single" w:sz="4" w:space="0" w:color="auto"/>
              <w:right w:val="single" w:sz="4" w:space="0" w:color="auto"/>
            </w:tcBorders>
            <w:shd w:val="clear" w:color="000000" w:fill="EEECE1"/>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2014</w:t>
            </w:r>
          </w:p>
        </w:tc>
        <w:tc>
          <w:tcPr>
            <w:tcW w:w="940" w:type="dxa"/>
            <w:tcBorders>
              <w:top w:val="nil"/>
              <w:left w:val="nil"/>
              <w:bottom w:val="single" w:sz="4" w:space="0" w:color="auto"/>
              <w:right w:val="single" w:sz="4" w:space="0" w:color="auto"/>
            </w:tcBorders>
            <w:shd w:val="clear" w:color="000000" w:fill="EEECE1"/>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2015</w:t>
            </w:r>
          </w:p>
        </w:tc>
        <w:tc>
          <w:tcPr>
            <w:tcW w:w="1032" w:type="dxa"/>
            <w:tcBorders>
              <w:top w:val="nil"/>
              <w:left w:val="nil"/>
              <w:bottom w:val="single" w:sz="4" w:space="0" w:color="auto"/>
              <w:right w:val="single" w:sz="4" w:space="0" w:color="auto"/>
            </w:tcBorders>
            <w:shd w:val="clear" w:color="000000" w:fill="EEECE1"/>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2016</w:t>
            </w:r>
          </w:p>
        </w:tc>
      </w:tr>
      <w:tr w:rsidR="001D7BD6" w:rsidRPr="001D7BD6" w:rsidTr="001D7BD6">
        <w:trPr>
          <w:trHeight w:val="300"/>
        </w:trPr>
        <w:tc>
          <w:tcPr>
            <w:tcW w:w="4148" w:type="dxa"/>
            <w:tcBorders>
              <w:top w:val="nil"/>
              <w:left w:val="single" w:sz="4" w:space="0" w:color="auto"/>
              <w:bottom w:val="single" w:sz="4" w:space="0" w:color="auto"/>
              <w:right w:val="single" w:sz="4" w:space="0" w:color="auto"/>
            </w:tcBorders>
            <w:shd w:val="clear" w:color="000000" w:fill="E6B9B8"/>
            <w:noWrap/>
            <w:vAlign w:val="bottom"/>
            <w:hideMark/>
          </w:tcPr>
          <w:p w:rsidR="001D7BD6" w:rsidRPr="001D7BD6" w:rsidRDefault="001D7BD6" w:rsidP="001D7BD6">
            <w:pPr>
              <w:spacing w:after="0" w:line="240" w:lineRule="auto"/>
              <w:jc w:val="center"/>
              <w:rPr>
                <w:rFonts w:eastAsia="Times New Roman" w:cs="Times New Roman"/>
                <w:b/>
                <w:bCs/>
                <w:i/>
                <w:iCs/>
                <w:color w:val="000000"/>
              </w:rPr>
            </w:pPr>
            <w:proofErr w:type="spellStart"/>
            <w:r w:rsidRPr="001D7BD6">
              <w:rPr>
                <w:rFonts w:eastAsia="Times New Roman" w:cs="Times New Roman"/>
                <w:b/>
                <w:bCs/>
                <w:i/>
                <w:iCs/>
                <w:color w:val="000000"/>
                <w:sz w:val="22"/>
              </w:rPr>
              <w:t>Profitabiliy</w:t>
            </w:r>
            <w:proofErr w:type="spellEnd"/>
            <w:r w:rsidRPr="001D7BD6">
              <w:rPr>
                <w:rFonts w:eastAsia="Times New Roman" w:cs="Times New Roman"/>
                <w:b/>
                <w:bCs/>
                <w:i/>
                <w:iCs/>
                <w:color w:val="000000"/>
                <w:sz w:val="22"/>
              </w:rPr>
              <w:t xml:space="preserve"> Ratios</w:t>
            </w:r>
          </w:p>
        </w:tc>
        <w:tc>
          <w:tcPr>
            <w:tcW w:w="940" w:type="dxa"/>
            <w:tcBorders>
              <w:top w:val="nil"/>
              <w:left w:val="nil"/>
              <w:bottom w:val="single" w:sz="4" w:space="0" w:color="auto"/>
              <w:right w:val="single" w:sz="4" w:space="0" w:color="auto"/>
            </w:tcBorders>
            <w:shd w:val="clear" w:color="000000" w:fill="E6B9B8"/>
            <w:noWrap/>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 </w:t>
            </w:r>
          </w:p>
        </w:tc>
        <w:tc>
          <w:tcPr>
            <w:tcW w:w="940" w:type="dxa"/>
            <w:tcBorders>
              <w:top w:val="nil"/>
              <w:left w:val="nil"/>
              <w:bottom w:val="single" w:sz="4" w:space="0" w:color="auto"/>
              <w:right w:val="single" w:sz="4" w:space="0" w:color="auto"/>
            </w:tcBorders>
            <w:shd w:val="clear" w:color="000000" w:fill="E6B9B8"/>
            <w:noWrap/>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 </w:t>
            </w:r>
          </w:p>
        </w:tc>
        <w:tc>
          <w:tcPr>
            <w:tcW w:w="940" w:type="dxa"/>
            <w:tcBorders>
              <w:top w:val="nil"/>
              <w:left w:val="nil"/>
              <w:bottom w:val="single" w:sz="4" w:space="0" w:color="auto"/>
              <w:right w:val="single" w:sz="4" w:space="0" w:color="auto"/>
            </w:tcBorders>
            <w:shd w:val="clear" w:color="000000" w:fill="E6B9B8"/>
            <w:noWrap/>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 </w:t>
            </w:r>
          </w:p>
        </w:tc>
        <w:tc>
          <w:tcPr>
            <w:tcW w:w="940" w:type="dxa"/>
            <w:tcBorders>
              <w:top w:val="nil"/>
              <w:left w:val="nil"/>
              <w:bottom w:val="single" w:sz="4" w:space="0" w:color="auto"/>
              <w:right w:val="single" w:sz="4" w:space="0" w:color="auto"/>
            </w:tcBorders>
            <w:shd w:val="clear" w:color="000000" w:fill="E6B9B8"/>
            <w:noWrap/>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 </w:t>
            </w:r>
          </w:p>
        </w:tc>
        <w:tc>
          <w:tcPr>
            <w:tcW w:w="1032" w:type="dxa"/>
            <w:tcBorders>
              <w:top w:val="nil"/>
              <w:left w:val="nil"/>
              <w:bottom w:val="single" w:sz="4" w:space="0" w:color="auto"/>
              <w:right w:val="single" w:sz="4" w:space="0" w:color="auto"/>
            </w:tcBorders>
            <w:shd w:val="clear" w:color="000000" w:fill="E6B9B8"/>
            <w:noWrap/>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 </w:t>
            </w:r>
          </w:p>
        </w:tc>
      </w:tr>
      <w:tr w:rsidR="001D7BD6" w:rsidRPr="001D7BD6" w:rsidTr="001D7BD6">
        <w:trPr>
          <w:trHeight w:val="990"/>
        </w:trPr>
        <w:tc>
          <w:tcPr>
            <w:tcW w:w="4148" w:type="dxa"/>
            <w:tcBorders>
              <w:top w:val="nil"/>
              <w:left w:val="single" w:sz="4" w:space="0" w:color="auto"/>
              <w:bottom w:val="single" w:sz="4" w:space="0" w:color="auto"/>
              <w:right w:val="single" w:sz="4" w:space="0" w:color="auto"/>
            </w:tcBorders>
            <w:shd w:val="clear" w:color="000000" w:fill="E6B9B8"/>
            <w:vAlign w:val="bottom"/>
            <w:hideMark/>
          </w:tcPr>
          <w:p w:rsidR="001D7BD6" w:rsidRPr="001D7BD6" w:rsidRDefault="001D7BD6" w:rsidP="001D7BD6">
            <w:pPr>
              <w:spacing w:after="0" w:line="240" w:lineRule="auto"/>
              <w:jc w:val="left"/>
              <w:rPr>
                <w:rFonts w:eastAsia="Times New Roman" w:cs="Times New Roman"/>
                <w:b/>
                <w:bCs/>
                <w:i/>
                <w:iCs/>
                <w:color w:val="000000"/>
                <w:szCs w:val="24"/>
              </w:rPr>
            </w:pPr>
            <w:r w:rsidRPr="001D7BD6">
              <w:rPr>
                <w:rFonts w:eastAsia="Times New Roman" w:cs="Times New Roman"/>
                <w:b/>
                <w:bCs/>
                <w:i/>
                <w:iCs/>
                <w:color w:val="000000"/>
                <w:szCs w:val="24"/>
              </w:rPr>
              <w:t xml:space="preserve"> Operating profit margin</w:t>
            </w:r>
            <w:r w:rsidRPr="001D7BD6">
              <w:rPr>
                <w:rFonts w:ascii="Calibri" w:eastAsia="Times New Roman" w:hAnsi="Calibri" w:cs="Times New Roman"/>
                <w:color w:val="000000"/>
                <w:sz w:val="22"/>
              </w:rPr>
              <w:t xml:space="preserve"> ([Gross profit /Net sales]*100) </w:t>
            </w:r>
          </w:p>
        </w:tc>
        <w:tc>
          <w:tcPr>
            <w:tcW w:w="940" w:type="dxa"/>
            <w:tcBorders>
              <w:top w:val="nil"/>
              <w:left w:val="nil"/>
              <w:bottom w:val="single" w:sz="4" w:space="0" w:color="auto"/>
              <w:right w:val="single" w:sz="4" w:space="0" w:color="auto"/>
            </w:tcBorders>
            <w:shd w:val="clear" w:color="000000" w:fill="E6B9B8"/>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14%</w:t>
            </w:r>
          </w:p>
        </w:tc>
        <w:tc>
          <w:tcPr>
            <w:tcW w:w="940" w:type="dxa"/>
            <w:tcBorders>
              <w:top w:val="nil"/>
              <w:left w:val="nil"/>
              <w:bottom w:val="single" w:sz="4" w:space="0" w:color="auto"/>
              <w:right w:val="single" w:sz="4" w:space="0" w:color="auto"/>
            </w:tcBorders>
            <w:shd w:val="clear" w:color="000000" w:fill="E6B9B8"/>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-6%</w:t>
            </w:r>
          </w:p>
        </w:tc>
        <w:tc>
          <w:tcPr>
            <w:tcW w:w="940" w:type="dxa"/>
            <w:tcBorders>
              <w:top w:val="nil"/>
              <w:left w:val="nil"/>
              <w:bottom w:val="single" w:sz="4" w:space="0" w:color="auto"/>
              <w:right w:val="single" w:sz="4" w:space="0" w:color="auto"/>
            </w:tcBorders>
            <w:shd w:val="clear" w:color="000000" w:fill="E6B9B8"/>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-10%</w:t>
            </w:r>
          </w:p>
        </w:tc>
        <w:tc>
          <w:tcPr>
            <w:tcW w:w="940" w:type="dxa"/>
            <w:tcBorders>
              <w:top w:val="nil"/>
              <w:left w:val="nil"/>
              <w:bottom w:val="single" w:sz="4" w:space="0" w:color="auto"/>
              <w:right w:val="single" w:sz="4" w:space="0" w:color="auto"/>
            </w:tcBorders>
            <w:shd w:val="clear" w:color="000000" w:fill="E6B9B8"/>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5%</w:t>
            </w:r>
          </w:p>
        </w:tc>
        <w:tc>
          <w:tcPr>
            <w:tcW w:w="1032" w:type="dxa"/>
            <w:tcBorders>
              <w:top w:val="nil"/>
              <w:left w:val="nil"/>
              <w:bottom w:val="single" w:sz="4" w:space="0" w:color="auto"/>
              <w:right w:val="single" w:sz="4" w:space="0" w:color="auto"/>
            </w:tcBorders>
            <w:shd w:val="clear" w:color="000000" w:fill="E6B9B8"/>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3%</w:t>
            </w:r>
          </w:p>
        </w:tc>
      </w:tr>
      <w:tr w:rsidR="001D7BD6" w:rsidRPr="001D7BD6" w:rsidTr="001D7BD6">
        <w:trPr>
          <w:trHeight w:val="600"/>
        </w:trPr>
        <w:tc>
          <w:tcPr>
            <w:tcW w:w="4148" w:type="dxa"/>
            <w:tcBorders>
              <w:top w:val="nil"/>
              <w:left w:val="single" w:sz="4" w:space="0" w:color="auto"/>
              <w:bottom w:val="single" w:sz="4" w:space="0" w:color="auto"/>
              <w:right w:val="single" w:sz="4" w:space="0" w:color="auto"/>
            </w:tcBorders>
            <w:shd w:val="clear" w:color="000000" w:fill="E6B9B8"/>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b/>
                <w:bCs/>
                <w:color w:val="000000"/>
                <w:sz w:val="22"/>
              </w:rPr>
              <w:t>Net Profit margin</w:t>
            </w:r>
            <w:r w:rsidRPr="001D7BD6">
              <w:rPr>
                <w:rFonts w:ascii="Calibri" w:eastAsia="Times New Roman" w:hAnsi="Calibri" w:cs="Times New Roman"/>
                <w:color w:val="000000"/>
                <w:sz w:val="22"/>
              </w:rPr>
              <w:t xml:space="preserve"> (Net profit or PAT/Net sales): </w:t>
            </w:r>
          </w:p>
        </w:tc>
        <w:tc>
          <w:tcPr>
            <w:tcW w:w="940" w:type="dxa"/>
            <w:tcBorders>
              <w:top w:val="nil"/>
              <w:left w:val="nil"/>
              <w:bottom w:val="single" w:sz="4" w:space="0" w:color="auto"/>
              <w:right w:val="single" w:sz="4" w:space="0" w:color="auto"/>
            </w:tcBorders>
            <w:shd w:val="clear" w:color="000000" w:fill="E6B9B8"/>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8.86%</w:t>
            </w:r>
          </w:p>
        </w:tc>
        <w:tc>
          <w:tcPr>
            <w:tcW w:w="940" w:type="dxa"/>
            <w:tcBorders>
              <w:top w:val="nil"/>
              <w:left w:val="nil"/>
              <w:bottom w:val="single" w:sz="4" w:space="0" w:color="auto"/>
              <w:right w:val="single" w:sz="4" w:space="0" w:color="auto"/>
            </w:tcBorders>
            <w:shd w:val="clear" w:color="000000" w:fill="E6B9B8"/>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-10.41%</w:t>
            </w:r>
          </w:p>
        </w:tc>
        <w:tc>
          <w:tcPr>
            <w:tcW w:w="940" w:type="dxa"/>
            <w:tcBorders>
              <w:top w:val="nil"/>
              <w:left w:val="nil"/>
              <w:bottom w:val="single" w:sz="4" w:space="0" w:color="auto"/>
              <w:right w:val="single" w:sz="4" w:space="0" w:color="auto"/>
            </w:tcBorders>
            <w:shd w:val="clear" w:color="000000" w:fill="E6B9B8"/>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29.50%</w:t>
            </w:r>
          </w:p>
        </w:tc>
        <w:tc>
          <w:tcPr>
            <w:tcW w:w="940" w:type="dxa"/>
            <w:tcBorders>
              <w:top w:val="nil"/>
              <w:left w:val="nil"/>
              <w:bottom w:val="single" w:sz="4" w:space="0" w:color="auto"/>
              <w:right w:val="single" w:sz="4" w:space="0" w:color="auto"/>
            </w:tcBorders>
            <w:shd w:val="clear" w:color="000000" w:fill="E6B9B8"/>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13.88%</w:t>
            </w:r>
          </w:p>
        </w:tc>
        <w:tc>
          <w:tcPr>
            <w:tcW w:w="1032" w:type="dxa"/>
            <w:tcBorders>
              <w:top w:val="nil"/>
              <w:left w:val="nil"/>
              <w:bottom w:val="single" w:sz="4" w:space="0" w:color="auto"/>
              <w:right w:val="single" w:sz="4" w:space="0" w:color="auto"/>
            </w:tcBorders>
            <w:shd w:val="clear" w:color="000000" w:fill="E6B9B8"/>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-9.32%</w:t>
            </w:r>
          </w:p>
        </w:tc>
      </w:tr>
      <w:tr w:rsidR="001D7BD6" w:rsidRPr="001D7BD6" w:rsidTr="001D7BD6">
        <w:trPr>
          <w:trHeight w:val="300"/>
        </w:trPr>
        <w:tc>
          <w:tcPr>
            <w:tcW w:w="4148" w:type="dxa"/>
            <w:tcBorders>
              <w:top w:val="nil"/>
              <w:left w:val="single" w:sz="4" w:space="0" w:color="auto"/>
              <w:bottom w:val="single" w:sz="4" w:space="0" w:color="auto"/>
              <w:right w:val="single" w:sz="4" w:space="0" w:color="auto"/>
            </w:tcBorders>
            <w:shd w:val="clear" w:color="000000" w:fill="B2A1C7"/>
            <w:vAlign w:val="bottom"/>
            <w:hideMark/>
          </w:tcPr>
          <w:p w:rsidR="001D7BD6" w:rsidRPr="001D7BD6" w:rsidRDefault="001D7BD6" w:rsidP="001D7BD6">
            <w:pPr>
              <w:spacing w:after="0" w:line="240" w:lineRule="auto"/>
              <w:jc w:val="center"/>
              <w:rPr>
                <w:rFonts w:ascii="Calibri" w:eastAsia="Times New Roman" w:hAnsi="Calibri" w:cs="Times New Roman"/>
                <w:b/>
                <w:bCs/>
                <w:i/>
                <w:iCs/>
                <w:color w:val="000000"/>
              </w:rPr>
            </w:pPr>
            <w:r w:rsidRPr="001D7BD6">
              <w:rPr>
                <w:rFonts w:ascii="Calibri" w:eastAsia="Times New Roman" w:hAnsi="Calibri" w:cs="Times New Roman"/>
                <w:b/>
                <w:bCs/>
                <w:i/>
                <w:iCs/>
                <w:color w:val="000000"/>
                <w:sz w:val="22"/>
              </w:rPr>
              <w:t>Liquidity ratio</w:t>
            </w:r>
          </w:p>
        </w:tc>
        <w:tc>
          <w:tcPr>
            <w:tcW w:w="940" w:type="dxa"/>
            <w:tcBorders>
              <w:top w:val="nil"/>
              <w:left w:val="nil"/>
              <w:bottom w:val="single" w:sz="4" w:space="0" w:color="auto"/>
              <w:right w:val="single" w:sz="4" w:space="0" w:color="auto"/>
            </w:tcBorders>
            <w:shd w:val="clear" w:color="000000" w:fill="B2A1C7"/>
            <w:noWrap/>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 </w:t>
            </w:r>
          </w:p>
        </w:tc>
        <w:tc>
          <w:tcPr>
            <w:tcW w:w="940" w:type="dxa"/>
            <w:tcBorders>
              <w:top w:val="nil"/>
              <w:left w:val="nil"/>
              <w:bottom w:val="single" w:sz="4" w:space="0" w:color="auto"/>
              <w:right w:val="single" w:sz="4" w:space="0" w:color="auto"/>
            </w:tcBorders>
            <w:shd w:val="clear" w:color="000000" w:fill="B2A1C7"/>
            <w:noWrap/>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 </w:t>
            </w:r>
          </w:p>
        </w:tc>
        <w:tc>
          <w:tcPr>
            <w:tcW w:w="940" w:type="dxa"/>
            <w:tcBorders>
              <w:top w:val="nil"/>
              <w:left w:val="nil"/>
              <w:bottom w:val="single" w:sz="4" w:space="0" w:color="auto"/>
              <w:right w:val="single" w:sz="4" w:space="0" w:color="auto"/>
            </w:tcBorders>
            <w:shd w:val="clear" w:color="000000" w:fill="B2A1C7"/>
            <w:noWrap/>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 </w:t>
            </w:r>
          </w:p>
        </w:tc>
        <w:tc>
          <w:tcPr>
            <w:tcW w:w="940" w:type="dxa"/>
            <w:tcBorders>
              <w:top w:val="nil"/>
              <w:left w:val="nil"/>
              <w:bottom w:val="single" w:sz="4" w:space="0" w:color="auto"/>
              <w:right w:val="single" w:sz="4" w:space="0" w:color="auto"/>
            </w:tcBorders>
            <w:shd w:val="clear" w:color="000000" w:fill="B2A1C7"/>
            <w:noWrap/>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 </w:t>
            </w:r>
          </w:p>
        </w:tc>
        <w:tc>
          <w:tcPr>
            <w:tcW w:w="1032" w:type="dxa"/>
            <w:tcBorders>
              <w:top w:val="nil"/>
              <w:left w:val="nil"/>
              <w:bottom w:val="single" w:sz="4" w:space="0" w:color="auto"/>
              <w:right w:val="single" w:sz="4" w:space="0" w:color="auto"/>
            </w:tcBorders>
            <w:shd w:val="clear" w:color="000000" w:fill="B2A1C7"/>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 </w:t>
            </w:r>
          </w:p>
        </w:tc>
      </w:tr>
      <w:tr w:rsidR="001D7BD6" w:rsidRPr="001D7BD6" w:rsidTr="001D7BD6">
        <w:trPr>
          <w:trHeight w:val="600"/>
        </w:trPr>
        <w:tc>
          <w:tcPr>
            <w:tcW w:w="4148" w:type="dxa"/>
            <w:tcBorders>
              <w:top w:val="nil"/>
              <w:left w:val="single" w:sz="4" w:space="0" w:color="auto"/>
              <w:bottom w:val="single" w:sz="4" w:space="0" w:color="auto"/>
              <w:right w:val="single" w:sz="4" w:space="0" w:color="auto"/>
            </w:tcBorders>
            <w:shd w:val="clear" w:color="000000" w:fill="B2A1C7"/>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b/>
                <w:bCs/>
                <w:color w:val="000000"/>
                <w:sz w:val="22"/>
              </w:rPr>
              <w:lastRenderedPageBreak/>
              <w:t>Current Ratio</w:t>
            </w:r>
            <w:r w:rsidRPr="001D7BD6">
              <w:rPr>
                <w:rFonts w:ascii="Calibri" w:eastAsia="Times New Roman" w:hAnsi="Calibri" w:cs="Times New Roman"/>
                <w:color w:val="000000"/>
                <w:sz w:val="22"/>
              </w:rPr>
              <w:t xml:space="preserve"> ([Current asset/Current liability]*100): </w:t>
            </w:r>
          </w:p>
        </w:tc>
        <w:tc>
          <w:tcPr>
            <w:tcW w:w="940" w:type="dxa"/>
            <w:tcBorders>
              <w:top w:val="nil"/>
              <w:left w:val="nil"/>
              <w:bottom w:val="single" w:sz="4" w:space="0" w:color="auto"/>
              <w:right w:val="single" w:sz="4" w:space="0" w:color="auto"/>
            </w:tcBorders>
            <w:shd w:val="clear" w:color="000000" w:fill="B2A1C7"/>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0.88</w:t>
            </w:r>
          </w:p>
        </w:tc>
        <w:tc>
          <w:tcPr>
            <w:tcW w:w="940" w:type="dxa"/>
            <w:tcBorders>
              <w:top w:val="nil"/>
              <w:left w:val="nil"/>
              <w:bottom w:val="single" w:sz="4" w:space="0" w:color="auto"/>
              <w:right w:val="single" w:sz="4" w:space="0" w:color="auto"/>
            </w:tcBorders>
            <w:shd w:val="clear" w:color="000000" w:fill="B2A1C7"/>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0.76</w:t>
            </w:r>
          </w:p>
        </w:tc>
        <w:tc>
          <w:tcPr>
            <w:tcW w:w="940" w:type="dxa"/>
            <w:tcBorders>
              <w:top w:val="nil"/>
              <w:left w:val="nil"/>
              <w:bottom w:val="single" w:sz="4" w:space="0" w:color="auto"/>
              <w:right w:val="single" w:sz="4" w:space="0" w:color="auto"/>
            </w:tcBorders>
            <w:shd w:val="clear" w:color="000000" w:fill="B2A1C7"/>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0.99</w:t>
            </w:r>
          </w:p>
        </w:tc>
        <w:tc>
          <w:tcPr>
            <w:tcW w:w="940" w:type="dxa"/>
            <w:tcBorders>
              <w:top w:val="nil"/>
              <w:left w:val="nil"/>
              <w:bottom w:val="single" w:sz="4" w:space="0" w:color="auto"/>
              <w:right w:val="single" w:sz="4" w:space="0" w:color="auto"/>
            </w:tcBorders>
            <w:shd w:val="clear" w:color="000000" w:fill="B2A1C7"/>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0.69</w:t>
            </w:r>
          </w:p>
        </w:tc>
        <w:tc>
          <w:tcPr>
            <w:tcW w:w="1032" w:type="dxa"/>
            <w:tcBorders>
              <w:top w:val="nil"/>
              <w:left w:val="nil"/>
              <w:bottom w:val="single" w:sz="4" w:space="0" w:color="auto"/>
              <w:right w:val="single" w:sz="4" w:space="0" w:color="auto"/>
            </w:tcBorders>
            <w:shd w:val="clear" w:color="000000" w:fill="B2A1C7"/>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0.84</w:t>
            </w:r>
          </w:p>
        </w:tc>
      </w:tr>
      <w:tr w:rsidR="001D7BD6" w:rsidRPr="001D7BD6" w:rsidTr="001D7BD6">
        <w:trPr>
          <w:trHeight w:val="615"/>
        </w:trPr>
        <w:tc>
          <w:tcPr>
            <w:tcW w:w="4148" w:type="dxa"/>
            <w:tcBorders>
              <w:top w:val="nil"/>
              <w:left w:val="single" w:sz="4" w:space="0" w:color="auto"/>
              <w:bottom w:val="single" w:sz="4" w:space="0" w:color="auto"/>
              <w:right w:val="single" w:sz="4" w:space="0" w:color="auto"/>
            </w:tcBorders>
            <w:shd w:val="clear" w:color="000000" w:fill="B2A1C7"/>
            <w:vAlign w:val="bottom"/>
            <w:hideMark/>
          </w:tcPr>
          <w:p w:rsidR="001D7BD6" w:rsidRPr="001D7BD6" w:rsidRDefault="001D7BD6" w:rsidP="001D7BD6">
            <w:pPr>
              <w:spacing w:after="0" w:line="240" w:lineRule="auto"/>
              <w:jc w:val="left"/>
              <w:rPr>
                <w:rFonts w:eastAsia="Times New Roman" w:cs="Times New Roman"/>
                <w:b/>
                <w:bCs/>
                <w:color w:val="000000"/>
                <w:szCs w:val="24"/>
              </w:rPr>
            </w:pPr>
            <w:r w:rsidRPr="001D7BD6">
              <w:rPr>
                <w:rFonts w:eastAsia="Times New Roman" w:cs="Times New Roman"/>
                <w:b/>
                <w:bCs/>
                <w:color w:val="000000"/>
                <w:szCs w:val="24"/>
              </w:rPr>
              <w:t>Quick Ratio</w:t>
            </w:r>
            <w:r w:rsidRPr="001D7BD6">
              <w:rPr>
                <w:rFonts w:ascii="Calibri" w:eastAsia="Times New Roman" w:hAnsi="Calibri" w:cs="Times New Roman"/>
                <w:color w:val="000000"/>
                <w:sz w:val="22"/>
              </w:rPr>
              <w:t xml:space="preserve"> ([Current asset-Inventories]/ Current liability*100) </w:t>
            </w:r>
          </w:p>
        </w:tc>
        <w:tc>
          <w:tcPr>
            <w:tcW w:w="940" w:type="dxa"/>
            <w:tcBorders>
              <w:top w:val="nil"/>
              <w:left w:val="nil"/>
              <w:bottom w:val="single" w:sz="4" w:space="0" w:color="auto"/>
              <w:right w:val="single" w:sz="4" w:space="0" w:color="auto"/>
            </w:tcBorders>
            <w:shd w:val="clear" w:color="000000" w:fill="B2A1C7"/>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0.86</w:t>
            </w:r>
          </w:p>
        </w:tc>
        <w:tc>
          <w:tcPr>
            <w:tcW w:w="940" w:type="dxa"/>
            <w:tcBorders>
              <w:top w:val="nil"/>
              <w:left w:val="nil"/>
              <w:bottom w:val="single" w:sz="4" w:space="0" w:color="auto"/>
              <w:right w:val="single" w:sz="4" w:space="0" w:color="auto"/>
            </w:tcBorders>
            <w:shd w:val="clear" w:color="000000" w:fill="B2A1C7"/>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0.75</w:t>
            </w:r>
          </w:p>
        </w:tc>
        <w:tc>
          <w:tcPr>
            <w:tcW w:w="940" w:type="dxa"/>
            <w:tcBorders>
              <w:top w:val="nil"/>
              <w:left w:val="nil"/>
              <w:bottom w:val="single" w:sz="4" w:space="0" w:color="auto"/>
              <w:right w:val="single" w:sz="4" w:space="0" w:color="auto"/>
            </w:tcBorders>
            <w:shd w:val="clear" w:color="000000" w:fill="B2A1C7"/>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0.97</w:t>
            </w:r>
          </w:p>
        </w:tc>
        <w:tc>
          <w:tcPr>
            <w:tcW w:w="940" w:type="dxa"/>
            <w:tcBorders>
              <w:top w:val="nil"/>
              <w:left w:val="nil"/>
              <w:bottom w:val="single" w:sz="4" w:space="0" w:color="auto"/>
              <w:right w:val="single" w:sz="4" w:space="0" w:color="auto"/>
            </w:tcBorders>
            <w:shd w:val="clear" w:color="000000" w:fill="B2A1C7"/>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0.67</w:t>
            </w:r>
          </w:p>
        </w:tc>
        <w:tc>
          <w:tcPr>
            <w:tcW w:w="1032" w:type="dxa"/>
            <w:tcBorders>
              <w:top w:val="nil"/>
              <w:left w:val="nil"/>
              <w:bottom w:val="single" w:sz="4" w:space="0" w:color="auto"/>
              <w:right w:val="single" w:sz="4" w:space="0" w:color="auto"/>
            </w:tcBorders>
            <w:shd w:val="clear" w:color="000000" w:fill="B2A1C7"/>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0.83</w:t>
            </w:r>
          </w:p>
        </w:tc>
      </w:tr>
      <w:tr w:rsidR="001D7BD6" w:rsidRPr="001D7BD6" w:rsidTr="001D7BD6">
        <w:trPr>
          <w:trHeight w:val="315"/>
        </w:trPr>
        <w:tc>
          <w:tcPr>
            <w:tcW w:w="4148" w:type="dxa"/>
            <w:tcBorders>
              <w:top w:val="nil"/>
              <w:left w:val="single" w:sz="4" w:space="0" w:color="auto"/>
              <w:bottom w:val="single" w:sz="4" w:space="0" w:color="auto"/>
              <w:right w:val="single" w:sz="4" w:space="0" w:color="auto"/>
            </w:tcBorders>
            <w:shd w:val="clear" w:color="000000" w:fill="93CDDD"/>
            <w:vAlign w:val="bottom"/>
            <w:hideMark/>
          </w:tcPr>
          <w:p w:rsidR="001D7BD6" w:rsidRPr="001D7BD6" w:rsidRDefault="001D7BD6" w:rsidP="001D7BD6">
            <w:pPr>
              <w:spacing w:after="0" w:line="240" w:lineRule="auto"/>
              <w:jc w:val="center"/>
              <w:rPr>
                <w:rFonts w:eastAsia="Times New Roman" w:cs="Times New Roman"/>
                <w:b/>
                <w:bCs/>
                <w:i/>
                <w:iCs/>
                <w:color w:val="000000"/>
                <w:szCs w:val="24"/>
              </w:rPr>
            </w:pPr>
            <w:r w:rsidRPr="001D7BD6">
              <w:rPr>
                <w:rFonts w:eastAsia="Times New Roman" w:cs="Times New Roman"/>
                <w:b/>
                <w:bCs/>
                <w:i/>
                <w:iCs/>
                <w:color w:val="000000"/>
                <w:szCs w:val="24"/>
              </w:rPr>
              <w:t>Efficiency ratio</w:t>
            </w:r>
          </w:p>
        </w:tc>
        <w:tc>
          <w:tcPr>
            <w:tcW w:w="940" w:type="dxa"/>
            <w:tcBorders>
              <w:top w:val="nil"/>
              <w:left w:val="nil"/>
              <w:bottom w:val="single" w:sz="4" w:space="0" w:color="auto"/>
              <w:right w:val="single" w:sz="4" w:space="0" w:color="auto"/>
            </w:tcBorders>
            <w:shd w:val="clear" w:color="000000" w:fill="93CDDD"/>
            <w:noWrap/>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 </w:t>
            </w:r>
          </w:p>
        </w:tc>
        <w:tc>
          <w:tcPr>
            <w:tcW w:w="940" w:type="dxa"/>
            <w:tcBorders>
              <w:top w:val="nil"/>
              <w:left w:val="nil"/>
              <w:bottom w:val="single" w:sz="4" w:space="0" w:color="auto"/>
              <w:right w:val="single" w:sz="4" w:space="0" w:color="auto"/>
            </w:tcBorders>
            <w:shd w:val="clear" w:color="000000" w:fill="93CDDD"/>
            <w:noWrap/>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 </w:t>
            </w:r>
          </w:p>
        </w:tc>
        <w:tc>
          <w:tcPr>
            <w:tcW w:w="940" w:type="dxa"/>
            <w:tcBorders>
              <w:top w:val="nil"/>
              <w:left w:val="nil"/>
              <w:bottom w:val="single" w:sz="4" w:space="0" w:color="auto"/>
              <w:right w:val="single" w:sz="4" w:space="0" w:color="auto"/>
            </w:tcBorders>
            <w:shd w:val="clear" w:color="000000" w:fill="93CDDD"/>
            <w:noWrap/>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 </w:t>
            </w:r>
          </w:p>
        </w:tc>
        <w:tc>
          <w:tcPr>
            <w:tcW w:w="940" w:type="dxa"/>
            <w:tcBorders>
              <w:top w:val="nil"/>
              <w:left w:val="nil"/>
              <w:bottom w:val="single" w:sz="4" w:space="0" w:color="auto"/>
              <w:right w:val="single" w:sz="4" w:space="0" w:color="auto"/>
            </w:tcBorders>
            <w:shd w:val="clear" w:color="000000" w:fill="93CDDD"/>
            <w:noWrap/>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 </w:t>
            </w:r>
          </w:p>
        </w:tc>
        <w:tc>
          <w:tcPr>
            <w:tcW w:w="1032" w:type="dxa"/>
            <w:tcBorders>
              <w:top w:val="nil"/>
              <w:left w:val="nil"/>
              <w:bottom w:val="single" w:sz="4" w:space="0" w:color="auto"/>
              <w:right w:val="single" w:sz="4" w:space="0" w:color="auto"/>
            </w:tcBorders>
            <w:shd w:val="clear" w:color="000000" w:fill="93CDDD"/>
            <w:noWrap/>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 </w:t>
            </w:r>
          </w:p>
        </w:tc>
      </w:tr>
      <w:tr w:rsidR="001D7BD6" w:rsidRPr="001D7BD6" w:rsidTr="001D7BD6">
        <w:trPr>
          <w:trHeight w:val="945"/>
        </w:trPr>
        <w:tc>
          <w:tcPr>
            <w:tcW w:w="4148" w:type="dxa"/>
            <w:tcBorders>
              <w:top w:val="nil"/>
              <w:left w:val="single" w:sz="4" w:space="0" w:color="auto"/>
              <w:bottom w:val="single" w:sz="4" w:space="0" w:color="auto"/>
              <w:right w:val="single" w:sz="4" w:space="0" w:color="auto"/>
            </w:tcBorders>
            <w:shd w:val="clear" w:color="000000" w:fill="93CDDD"/>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 xml:space="preserve">Return on capital employed(ROCE)[EBIT/capital </w:t>
            </w:r>
            <w:proofErr w:type="spellStart"/>
            <w:r w:rsidRPr="001D7BD6">
              <w:rPr>
                <w:rFonts w:eastAsia="Times New Roman" w:cs="Times New Roman"/>
                <w:color w:val="000000"/>
                <w:szCs w:val="24"/>
              </w:rPr>
              <w:t>emplyed</w:t>
            </w:r>
            <w:proofErr w:type="spellEnd"/>
            <w:r w:rsidRPr="001D7BD6">
              <w:rPr>
                <w:rFonts w:eastAsia="Times New Roman" w:cs="Times New Roman"/>
                <w:color w:val="000000"/>
                <w:szCs w:val="24"/>
              </w:rPr>
              <w:t>]</w:t>
            </w:r>
          </w:p>
        </w:tc>
        <w:tc>
          <w:tcPr>
            <w:tcW w:w="940" w:type="dxa"/>
            <w:tcBorders>
              <w:top w:val="nil"/>
              <w:left w:val="nil"/>
              <w:bottom w:val="single" w:sz="4" w:space="0" w:color="auto"/>
              <w:right w:val="single" w:sz="4" w:space="0" w:color="auto"/>
            </w:tcBorders>
            <w:shd w:val="clear" w:color="000000" w:fill="93CDDD"/>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0.03</w:t>
            </w:r>
          </w:p>
        </w:tc>
        <w:tc>
          <w:tcPr>
            <w:tcW w:w="940" w:type="dxa"/>
            <w:tcBorders>
              <w:top w:val="nil"/>
              <w:left w:val="nil"/>
              <w:bottom w:val="single" w:sz="4" w:space="0" w:color="auto"/>
              <w:right w:val="single" w:sz="4" w:space="0" w:color="auto"/>
            </w:tcBorders>
            <w:shd w:val="clear" w:color="000000" w:fill="93CDDD"/>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-0.01</w:t>
            </w:r>
          </w:p>
        </w:tc>
        <w:tc>
          <w:tcPr>
            <w:tcW w:w="940" w:type="dxa"/>
            <w:tcBorders>
              <w:top w:val="nil"/>
              <w:left w:val="nil"/>
              <w:bottom w:val="single" w:sz="4" w:space="0" w:color="auto"/>
              <w:right w:val="single" w:sz="4" w:space="0" w:color="auto"/>
            </w:tcBorders>
            <w:shd w:val="clear" w:color="000000" w:fill="93CDDD"/>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-0.02</w:t>
            </w:r>
          </w:p>
        </w:tc>
        <w:tc>
          <w:tcPr>
            <w:tcW w:w="940" w:type="dxa"/>
            <w:tcBorders>
              <w:top w:val="nil"/>
              <w:left w:val="nil"/>
              <w:bottom w:val="single" w:sz="4" w:space="0" w:color="auto"/>
              <w:right w:val="single" w:sz="4" w:space="0" w:color="auto"/>
            </w:tcBorders>
            <w:shd w:val="clear" w:color="000000" w:fill="93CDDD"/>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0.01</w:t>
            </w:r>
          </w:p>
        </w:tc>
        <w:tc>
          <w:tcPr>
            <w:tcW w:w="1032" w:type="dxa"/>
            <w:tcBorders>
              <w:top w:val="nil"/>
              <w:left w:val="nil"/>
              <w:bottom w:val="single" w:sz="4" w:space="0" w:color="auto"/>
              <w:right w:val="single" w:sz="4" w:space="0" w:color="auto"/>
            </w:tcBorders>
            <w:shd w:val="clear" w:color="000000" w:fill="93CDDD"/>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0.01</w:t>
            </w:r>
          </w:p>
        </w:tc>
      </w:tr>
      <w:tr w:rsidR="001D7BD6" w:rsidRPr="001D7BD6" w:rsidTr="001D7BD6">
        <w:trPr>
          <w:trHeight w:val="630"/>
        </w:trPr>
        <w:tc>
          <w:tcPr>
            <w:tcW w:w="4148" w:type="dxa"/>
            <w:tcBorders>
              <w:top w:val="nil"/>
              <w:left w:val="single" w:sz="4" w:space="0" w:color="auto"/>
              <w:bottom w:val="single" w:sz="4" w:space="0" w:color="auto"/>
              <w:right w:val="single" w:sz="4" w:space="0" w:color="auto"/>
            </w:tcBorders>
            <w:shd w:val="clear" w:color="000000" w:fill="93CDDD"/>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 xml:space="preserve">Total asset </w:t>
            </w:r>
            <w:proofErr w:type="spellStart"/>
            <w:r w:rsidRPr="001D7BD6">
              <w:rPr>
                <w:rFonts w:eastAsia="Times New Roman" w:cs="Times New Roman"/>
                <w:color w:val="000000"/>
                <w:szCs w:val="24"/>
              </w:rPr>
              <w:t>turm</w:t>
            </w:r>
            <w:proofErr w:type="spellEnd"/>
            <w:r w:rsidRPr="001D7BD6">
              <w:rPr>
                <w:rFonts w:eastAsia="Times New Roman" w:cs="Times New Roman"/>
                <w:color w:val="000000"/>
                <w:szCs w:val="24"/>
              </w:rPr>
              <w:t xml:space="preserve"> over ratio(net sales or revenue/Total average asset)</w:t>
            </w:r>
          </w:p>
        </w:tc>
        <w:tc>
          <w:tcPr>
            <w:tcW w:w="940" w:type="dxa"/>
            <w:tcBorders>
              <w:top w:val="nil"/>
              <w:left w:val="nil"/>
              <w:bottom w:val="single" w:sz="4" w:space="0" w:color="auto"/>
              <w:right w:val="single" w:sz="4" w:space="0" w:color="auto"/>
            </w:tcBorders>
            <w:shd w:val="clear" w:color="000000" w:fill="93CDDD"/>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0.29</w:t>
            </w:r>
          </w:p>
        </w:tc>
        <w:tc>
          <w:tcPr>
            <w:tcW w:w="940" w:type="dxa"/>
            <w:tcBorders>
              <w:top w:val="nil"/>
              <w:left w:val="nil"/>
              <w:bottom w:val="single" w:sz="4" w:space="0" w:color="auto"/>
              <w:right w:val="single" w:sz="4" w:space="0" w:color="auto"/>
            </w:tcBorders>
            <w:shd w:val="clear" w:color="000000" w:fill="93CDDD"/>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0.28</w:t>
            </w:r>
          </w:p>
        </w:tc>
        <w:tc>
          <w:tcPr>
            <w:tcW w:w="940" w:type="dxa"/>
            <w:tcBorders>
              <w:top w:val="nil"/>
              <w:left w:val="nil"/>
              <w:bottom w:val="single" w:sz="4" w:space="0" w:color="auto"/>
              <w:right w:val="single" w:sz="4" w:space="0" w:color="auto"/>
            </w:tcBorders>
            <w:shd w:val="clear" w:color="000000" w:fill="93CDDD"/>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0.31</w:t>
            </w:r>
          </w:p>
        </w:tc>
        <w:tc>
          <w:tcPr>
            <w:tcW w:w="940" w:type="dxa"/>
            <w:tcBorders>
              <w:top w:val="nil"/>
              <w:left w:val="nil"/>
              <w:bottom w:val="single" w:sz="4" w:space="0" w:color="auto"/>
              <w:right w:val="single" w:sz="4" w:space="0" w:color="auto"/>
            </w:tcBorders>
            <w:shd w:val="clear" w:color="000000" w:fill="93CDDD"/>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0.34</w:t>
            </w:r>
          </w:p>
        </w:tc>
        <w:tc>
          <w:tcPr>
            <w:tcW w:w="1032" w:type="dxa"/>
            <w:tcBorders>
              <w:top w:val="nil"/>
              <w:left w:val="nil"/>
              <w:bottom w:val="single" w:sz="4" w:space="0" w:color="auto"/>
              <w:right w:val="single" w:sz="4" w:space="0" w:color="auto"/>
            </w:tcBorders>
            <w:shd w:val="clear" w:color="000000" w:fill="93CDDD"/>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0.31</w:t>
            </w:r>
          </w:p>
        </w:tc>
      </w:tr>
      <w:tr w:rsidR="001D7BD6" w:rsidRPr="001D7BD6" w:rsidTr="001D7BD6">
        <w:trPr>
          <w:trHeight w:val="315"/>
        </w:trPr>
        <w:tc>
          <w:tcPr>
            <w:tcW w:w="4148" w:type="dxa"/>
            <w:tcBorders>
              <w:top w:val="nil"/>
              <w:left w:val="single" w:sz="4" w:space="0" w:color="auto"/>
              <w:bottom w:val="single" w:sz="4" w:space="0" w:color="auto"/>
              <w:right w:val="single" w:sz="4" w:space="0" w:color="auto"/>
            </w:tcBorders>
            <w:shd w:val="clear" w:color="000000" w:fill="FFCCFF"/>
            <w:vAlign w:val="bottom"/>
            <w:hideMark/>
          </w:tcPr>
          <w:p w:rsidR="001D7BD6" w:rsidRPr="001D7BD6" w:rsidRDefault="001D7BD6" w:rsidP="001D7BD6">
            <w:pPr>
              <w:spacing w:after="0" w:line="240" w:lineRule="auto"/>
              <w:jc w:val="center"/>
              <w:rPr>
                <w:rFonts w:eastAsia="Times New Roman" w:cs="Times New Roman"/>
                <w:b/>
                <w:bCs/>
                <w:i/>
                <w:iCs/>
                <w:color w:val="000000"/>
                <w:szCs w:val="24"/>
              </w:rPr>
            </w:pPr>
            <w:r w:rsidRPr="001D7BD6">
              <w:rPr>
                <w:rFonts w:eastAsia="Times New Roman" w:cs="Times New Roman"/>
                <w:b/>
                <w:bCs/>
                <w:i/>
                <w:iCs/>
                <w:color w:val="000000"/>
                <w:szCs w:val="24"/>
              </w:rPr>
              <w:t>Gearing Ratio</w:t>
            </w:r>
          </w:p>
        </w:tc>
        <w:tc>
          <w:tcPr>
            <w:tcW w:w="940" w:type="dxa"/>
            <w:tcBorders>
              <w:top w:val="nil"/>
              <w:left w:val="nil"/>
              <w:bottom w:val="single" w:sz="4" w:space="0" w:color="auto"/>
              <w:right w:val="single" w:sz="4" w:space="0" w:color="auto"/>
            </w:tcBorders>
            <w:shd w:val="clear" w:color="000000" w:fill="FFCCFF"/>
            <w:noWrap/>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 </w:t>
            </w:r>
          </w:p>
        </w:tc>
        <w:tc>
          <w:tcPr>
            <w:tcW w:w="940" w:type="dxa"/>
            <w:tcBorders>
              <w:top w:val="nil"/>
              <w:left w:val="nil"/>
              <w:bottom w:val="single" w:sz="4" w:space="0" w:color="auto"/>
              <w:right w:val="single" w:sz="4" w:space="0" w:color="auto"/>
            </w:tcBorders>
            <w:shd w:val="clear" w:color="000000" w:fill="FFCCFF"/>
            <w:noWrap/>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 </w:t>
            </w:r>
          </w:p>
        </w:tc>
        <w:tc>
          <w:tcPr>
            <w:tcW w:w="940" w:type="dxa"/>
            <w:tcBorders>
              <w:top w:val="nil"/>
              <w:left w:val="nil"/>
              <w:bottom w:val="single" w:sz="4" w:space="0" w:color="auto"/>
              <w:right w:val="single" w:sz="4" w:space="0" w:color="auto"/>
            </w:tcBorders>
            <w:shd w:val="clear" w:color="000000" w:fill="FFCCFF"/>
            <w:noWrap/>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 </w:t>
            </w:r>
          </w:p>
        </w:tc>
        <w:tc>
          <w:tcPr>
            <w:tcW w:w="940" w:type="dxa"/>
            <w:tcBorders>
              <w:top w:val="nil"/>
              <w:left w:val="nil"/>
              <w:bottom w:val="single" w:sz="4" w:space="0" w:color="auto"/>
              <w:right w:val="single" w:sz="4" w:space="0" w:color="auto"/>
            </w:tcBorders>
            <w:shd w:val="clear" w:color="000000" w:fill="FFCCFF"/>
            <w:noWrap/>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 </w:t>
            </w:r>
          </w:p>
        </w:tc>
        <w:tc>
          <w:tcPr>
            <w:tcW w:w="1032" w:type="dxa"/>
            <w:tcBorders>
              <w:top w:val="nil"/>
              <w:left w:val="nil"/>
              <w:bottom w:val="single" w:sz="4" w:space="0" w:color="auto"/>
              <w:right w:val="single" w:sz="4" w:space="0" w:color="auto"/>
            </w:tcBorders>
            <w:shd w:val="clear" w:color="000000" w:fill="FFCCFF"/>
            <w:noWrap/>
            <w:vAlign w:val="bottom"/>
            <w:hideMark/>
          </w:tcPr>
          <w:p w:rsidR="001D7BD6" w:rsidRPr="001D7BD6" w:rsidRDefault="001D7BD6" w:rsidP="001D7BD6">
            <w:pPr>
              <w:spacing w:after="0" w:line="240" w:lineRule="auto"/>
              <w:jc w:val="left"/>
              <w:rPr>
                <w:rFonts w:ascii="Calibri" w:eastAsia="Times New Roman" w:hAnsi="Calibri" w:cs="Times New Roman"/>
                <w:color w:val="000000"/>
              </w:rPr>
            </w:pPr>
            <w:r w:rsidRPr="001D7BD6">
              <w:rPr>
                <w:rFonts w:ascii="Calibri" w:eastAsia="Times New Roman" w:hAnsi="Calibri" w:cs="Times New Roman"/>
                <w:color w:val="000000"/>
                <w:sz w:val="22"/>
              </w:rPr>
              <w:t> </w:t>
            </w:r>
          </w:p>
        </w:tc>
      </w:tr>
      <w:tr w:rsidR="001D7BD6" w:rsidRPr="001D7BD6" w:rsidTr="001D7BD6">
        <w:trPr>
          <w:trHeight w:val="1290"/>
        </w:trPr>
        <w:tc>
          <w:tcPr>
            <w:tcW w:w="4148" w:type="dxa"/>
            <w:tcBorders>
              <w:top w:val="nil"/>
              <w:left w:val="single" w:sz="4" w:space="0" w:color="auto"/>
              <w:bottom w:val="single" w:sz="4" w:space="0" w:color="auto"/>
              <w:right w:val="single" w:sz="4" w:space="0" w:color="auto"/>
            </w:tcBorders>
            <w:shd w:val="clear" w:color="000000" w:fill="FFCCFF"/>
            <w:vAlign w:val="bottom"/>
            <w:hideMark/>
          </w:tcPr>
          <w:p w:rsidR="001D7BD6" w:rsidRPr="001D7BD6" w:rsidRDefault="001D7BD6" w:rsidP="001D7BD6">
            <w:pPr>
              <w:spacing w:after="0" w:line="240" w:lineRule="auto"/>
              <w:jc w:val="left"/>
              <w:rPr>
                <w:rFonts w:eastAsia="Times New Roman" w:cs="Times New Roman"/>
                <w:color w:val="000000"/>
                <w:szCs w:val="24"/>
              </w:rPr>
            </w:pPr>
            <w:r w:rsidRPr="001D7BD6">
              <w:rPr>
                <w:rFonts w:eastAsia="Times New Roman" w:cs="Times New Roman"/>
                <w:color w:val="000000"/>
                <w:szCs w:val="24"/>
              </w:rPr>
              <w:t>Gearing Ratio(long term liabilities/capital employed),capital employed=Share capital + retained earnings + long-term liabilities</w:t>
            </w:r>
          </w:p>
        </w:tc>
        <w:tc>
          <w:tcPr>
            <w:tcW w:w="940" w:type="dxa"/>
            <w:tcBorders>
              <w:top w:val="nil"/>
              <w:left w:val="nil"/>
              <w:bottom w:val="single" w:sz="4" w:space="0" w:color="auto"/>
              <w:right w:val="single" w:sz="4" w:space="0" w:color="auto"/>
            </w:tcBorders>
            <w:shd w:val="clear" w:color="000000" w:fill="FFCCFF"/>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18%</w:t>
            </w:r>
          </w:p>
        </w:tc>
        <w:tc>
          <w:tcPr>
            <w:tcW w:w="940" w:type="dxa"/>
            <w:tcBorders>
              <w:top w:val="nil"/>
              <w:left w:val="nil"/>
              <w:bottom w:val="single" w:sz="4" w:space="0" w:color="auto"/>
              <w:right w:val="single" w:sz="4" w:space="0" w:color="auto"/>
            </w:tcBorders>
            <w:shd w:val="clear" w:color="000000" w:fill="FFCCFF"/>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19%</w:t>
            </w:r>
          </w:p>
        </w:tc>
        <w:tc>
          <w:tcPr>
            <w:tcW w:w="940" w:type="dxa"/>
            <w:tcBorders>
              <w:top w:val="nil"/>
              <w:left w:val="nil"/>
              <w:bottom w:val="single" w:sz="4" w:space="0" w:color="auto"/>
              <w:right w:val="single" w:sz="4" w:space="0" w:color="auto"/>
            </w:tcBorders>
            <w:shd w:val="clear" w:color="000000" w:fill="FFCCFF"/>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12%</w:t>
            </w:r>
          </w:p>
        </w:tc>
        <w:tc>
          <w:tcPr>
            <w:tcW w:w="940" w:type="dxa"/>
            <w:tcBorders>
              <w:top w:val="nil"/>
              <w:left w:val="nil"/>
              <w:bottom w:val="single" w:sz="4" w:space="0" w:color="auto"/>
              <w:right w:val="single" w:sz="4" w:space="0" w:color="auto"/>
            </w:tcBorders>
            <w:shd w:val="clear" w:color="000000" w:fill="FFCCFF"/>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51%</w:t>
            </w:r>
          </w:p>
        </w:tc>
        <w:tc>
          <w:tcPr>
            <w:tcW w:w="1032" w:type="dxa"/>
            <w:tcBorders>
              <w:top w:val="nil"/>
              <w:left w:val="nil"/>
              <w:bottom w:val="single" w:sz="4" w:space="0" w:color="auto"/>
              <w:right w:val="single" w:sz="4" w:space="0" w:color="auto"/>
            </w:tcBorders>
            <w:shd w:val="clear" w:color="000000" w:fill="FFCCFF"/>
            <w:noWrap/>
            <w:vAlign w:val="bottom"/>
            <w:hideMark/>
          </w:tcPr>
          <w:p w:rsidR="001D7BD6" w:rsidRPr="001D7BD6" w:rsidRDefault="001D7BD6" w:rsidP="001D7BD6">
            <w:pPr>
              <w:spacing w:after="0" w:line="240" w:lineRule="auto"/>
              <w:jc w:val="right"/>
              <w:rPr>
                <w:rFonts w:ascii="Calibri" w:eastAsia="Times New Roman" w:hAnsi="Calibri" w:cs="Times New Roman"/>
                <w:color w:val="000000"/>
              </w:rPr>
            </w:pPr>
            <w:r w:rsidRPr="001D7BD6">
              <w:rPr>
                <w:rFonts w:ascii="Calibri" w:eastAsia="Times New Roman" w:hAnsi="Calibri" w:cs="Times New Roman"/>
                <w:color w:val="000000"/>
                <w:sz w:val="22"/>
              </w:rPr>
              <w:t>52%</w:t>
            </w:r>
          </w:p>
        </w:tc>
      </w:tr>
    </w:tbl>
    <w:p w:rsidR="001D7BD6" w:rsidRPr="001D7BD6" w:rsidRDefault="001D7BD6" w:rsidP="001D7BD6"/>
    <w:p w:rsidR="00297A6C" w:rsidRDefault="00297A6C" w:rsidP="00BD15A2">
      <w:pPr>
        <w:rPr>
          <w:rFonts w:cs="Times New Roman"/>
          <w:szCs w:val="24"/>
        </w:rPr>
      </w:pPr>
    </w:p>
    <w:p w:rsidR="00032211" w:rsidRDefault="00032211">
      <w:pPr>
        <w:rPr>
          <w:rFonts w:cs="Times New Roman"/>
          <w:szCs w:val="24"/>
        </w:rPr>
      </w:pPr>
      <w:r>
        <w:rPr>
          <w:rFonts w:cs="Times New Roman"/>
          <w:szCs w:val="24"/>
        </w:rPr>
        <w:br w:type="page"/>
      </w:r>
    </w:p>
    <w:p w:rsidR="003D42C5" w:rsidRDefault="003D42C5" w:rsidP="008C18F8">
      <w:pPr>
        <w:pStyle w:val="Heading1"/>
      </w:pPr>
    </w:p>
    <w:p w:rsidR="00032211" w:rsidRDefault="00032211" w:rsidP="00BD15A2">
      <w:pPr>
        <w:rPr>
          <w:rFonts w:cs="Times New Roman"/>
          <w:szCs w:val="24"/>
        </w:rPr>
      </w:pPr>
    </w:p>
    <w:p w:rsidR="00032211" w:rsidRDefault="00032211" w:rsidP="00BD15A2">
      <w:pPr>
        <w:rPr>
          <w:rFonts w:cs="Times New Roman"/>
          <w:szCs w:val="24"/>
        </w:rPr>
      </w:pPr>
    </w:p>
    <w:tbl>
      <w:tblPr>
        <w:tblStyle w:val="MediumShading2-Accent6"/>
        <w:tblW w:w="6480" w:type="dxa"/>
        <w:tblLook w:val="04A0" w:firstRow="1" w:lastRow="0" w:firstColumn="1" w:lastColumn="0" w:noHBand="0" w:noVBand="1"/>
      </w:tblPr>
      <w:tblGrid>
        <w:gridCol w:w="2355"/>
        <w:gridCol w:w="817"/>
        <w:gridCol w:w="837"/>
        <w:gridCol w:w="837"/>
        <w:gridCol w:w="817"/>
        <w:gridCol w:w="817"/>
      </w:tblGrid>
      <w:tr w:rsidR="00EF39C5" w:rsidRPr="00EF39C5" w:rsidTr="00EF39C5">
        <w:trPr>
          <w:cnfStyle w:val="100000000000" w:firstRow="1" w:lastRow="0" w:firstColumn="0" w:lastColumn="0" w:oddVBand="0" w:evenVBand="0" w:oddHBand="0" w:evenHBand="0" w:firstRowFirstColumn="0" w:firstRowLastColumn="0" w:lastRowFirstColumn="0" w:lastRowLastColumn="0"/>
          <w:trHeight w:val="300"/>
        </w:trPr>
        <w:tc>
          <w:tcPr>
            <w:cnfStyle w:val="001000000100" w:firstRow="0" w:lastRow="0" w:firstColumn="1" w:lastColumn="0" w:oddVBand="0" w:evenVBand="0" w:oddHBand="0" w:evenHBand="0" w:firstRowFirstColumn="1" w:firstRowLastColumn="0" w:lastRowFirstColumn="0" w:lastRowLastColumn="0"/>
            <w:tcW w:w="6480" w:type="dxa"/>
            <w:gridSpan w:val="6"/>
            <w:noWrap/>
            <w:hideMark/>
          </w:tcPr>
          <w:p w:rsidR="00EF39C5" w:rsidRPr="00EF39C5" w:rsidRDefault="00EF39C5" w:rsidP="00EF39C5">
            <w:pPr>
              <w:jc w:val="center"/>
              <w:rPr>
                <w:rFonts w:ascii="Calibri" w:eastAsia="Times New Roman" w:hAnsi="Calibri" w:cs="Times New Roman"/>
                <w:color w:val="000000"/>
              </w:rPr>
            </w:pPr>
            <w:r w:rsidRPr="00EF39C5">
              <w:rPr>
                <w:rFonts w:ascii="Calibri" w:eastAsia="Times New Roman" w:hAnsi="Calibri" w:cs="Times New Roman"/>
                <w:color w:val="000000"/>
              </w:rPr>
              <w:t>Operating profit margin</w:t>
            </w:r>
          </w:p>
        </w:tc>
      </w:tr>
      <w:tr w:rsidR="00EF39C5" w:rsidRPr="00EF39C5" w:rsidTr="00EF39C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55" w:type="dxa"/>
            <w:noWrap/>
            <w:hideMark/>
          </w:tcPr>
          <w:p w:rsidR="00EF39C5" w:rsidRPr="00EF39C5" w:rsidRDefault="00EF39C5" w:rsidP="00EF39C5">
            <w:pPr>
              <w:rPr>
                <w:rFonts w:ascii="Calibri" w:eastAsia="Times New Roman" w:hAnsi="Calibri" w:cs="Times New Roman"/>
                <w:color w:val="000000"/>
              </w:rPr>
            </w:pPr>
            <w:r w:rsidRPr="00EF39C5">
              <w:rPr>
                <w:rFonts w:ascii="Calibri" w:eastAsia="Times New Roman" w:hAnsi="Calibri" w:cs="Times New Roman"/>
                <w:color w:val="000000"/>
              </w:rPr>
              <w:t> </w:t>
            </w:r>
          </w:p>
        </w:tc>
        <w:tc>
          <w:tcPr>
            <w:tcW w:w="81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2012</w:t>
            </w:r>
          </w:p>
        </w:tc>
        <w:tc>
          <w:tcPr>
            <w:tcW w:w="83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2013</w:t>
            </w:r>
          </w:p>
        </w:tc>
        <w:tc>
          <w:tcPr>
            <w:tcW w:w="83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2014</w:t>
            </w:r>
          </w:p>
        </w:tc>
        <w:tc>
          <w:tcPr>
            <w:tcW w:w="81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2015</w:t>
            </w:r>
          </w:p>
        </w:tc>
        <w:tc>
          <w:tcPr>
            <w:tcW w:w="81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2016</w:t>
            </w:r>
          </w:p>
        </w:tc>
      </w:tr>
      <w:tr w:rsidR="00EF39C5" w:rsidRPr="00EF39C5" w:rsidTr="00EF39C5">
        <w:trPr>
          <w:trHeight w:val="870"/>
        </w:trPr>
        <w:tc>
          <w:tcPr>
            <w:cnfStyle w:val="001000000000" w:firstRow="0" w:lastRow="0" w:firstColumn="1" w:lastColumn="0" w:oddVBand="0" w:evenVBand="0" w:oddHBand="0" w:evenHBand="0" w:firstRowFirstColumn="0" w:firstRowLastColumn="0" w:lastRowFirstColumn="0" w:lastRowLastColumn="0"/>
            <w:tcW w:w="2355" w:type="dxa"/>
            <w:hideMark/>
          </w:tcPr>
          <w:p w:rsidR="00EF39C5" w:rsidRPr="00EF39C5" w:rsidRDefault="00EF39C5" w:rsidP="00EF39C5">
            <w:pPr>
              <w:rPr>
                <w:rFonts w:ascii="Calibri" w:eastAsia="Times New Roman" w:hAnsi="Calibri" w:cs="Times New Roman"/>
                <w:color w:val="000000"/>
              </w:rPr>
            </w:pPr>
            <w:r w:rsidRPr="00EF39C5">
              <w:rPr>
                <w:rFonts w:ascii="Calibri" w:eastAsia="Times New Roman" w:hAnsi="Calibri" w:cs="Times New Roman"/>
                <w:color w:val="000000"/>
              </w:rPr>
              <w:t>BT</w:t>
            </w:r>
          </w:p>
        </w:tc>
        <w:tc>
          <w:tcPr>
            <w:tcW w:w="81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15%</w:t>
            </w:r>
          </w:p>
        </w:tc>
        <w:tc>
          <w:tcPr>
            <w:tcW w:w="83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16%</w:t>
            </w:r>
          </w:p>
        </w:tc>
        <w:tc>
          <w:tcPr>
            <w:tcW w:w="83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17%</w:t>
            </w:r>
          </w:p>
        </w:tc>
        <w:tc>
          <w:tcPr>
            <w:tcW w:w="81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19%</w:t>
            </w:r>
          </w:p>
        </w:tc>
        <w:tc>
          <w:tcPr>
            <w:tcW w:w="81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20%</w:t>
            </w:r>
          </w:p>
        </w:tc>
      </w:tr>
      <w:tr w:rsidR="00EF39C5" w:rsidRPr="00EF39C5" w:rsidTr="00EF39C5">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355" w:type="dxa"/>
            <w:noWrap/>
            <w:hideMark/>
          </w:tcPr>
          <w:p w:rsidR="00EF39C5" w:rsidRPr="00EF39C5" w:rsidRDefault="00EF39C5" w:rsidP="00EF39C5">
            <w:pPr>
              <w:rPr>
                <w:rFonts w:eastAsia="Times New Roman" w:cs="Times New Roman"/>
                <w:color w:val="000000"/>
                <w:szCs w:val="24"/>
              </w:rPr>
            </w:pPr>
            <w:r w:rsidRPr="00EF39C5">
              <w:rPr>
                <w:rFonts w:eastAsia="Times New Roman" w:cs="Times New Roman"/>
                <w:color w:val="000000"/>
                <w:szCs w:val="24"/>
              </w:rPr>
              <w:t>Vodafone</w:t>
            </w:r>
          </w:p>
        </w:tc>
        <w:tc>
          <w:tcPr>
            <w:tcW w:w="81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14%</w:t>
            </w:r>
          </w:p>
        </w:tc>
        <w:tc>
          <w:tcPr>
            <w:tcW w:w="83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-6%</w:t>
            </w:r>
          </w:p>
        </w:tc>
        <w:tc>
          <w:tcPr>
            <w:tcW w:w="83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-10%</w:t>
            </w:r>
          </w:p>
        </w:tc>
        <w:tc>
          <w:tcPr>
            <w:tcW w:w="81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5%</w:t>
            </w:r>
          </w:p>
        </w:tc>
        <w:tc>
          <w:tcPr>
            <w:tcW w:w="81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3%</w:t>
            </w:r>
          </w:p>
        </w:tc>
      </w:tr>
      <w:tr w:rsidR="00EF39C5" w:rsidRPr="00EF39C5" w:rsidTr="00EF39C5">
        <w:trPr>
          <w:trHeight w:val="300"/>
        </w:trPr>
        <w:tc>
          <w:tcPr>
            <w:cnfStyle w:val="001000000000" w:firstRow="0" w:lastRow="0" w:firstColumn="1" w:lastColumn="0" w:oddVBand="0" w:evenVBand="0" w:oddHBand="0" w:evenHBand="0" w:firstRowFirstColumn="0" w:firstRowLastColumn="0" w:lastRowFirstColumn="0" w:lastRowLastColumn="0"/>
            <w:tcW w:w="2355" w:type="dxa"/>
            <w:noWrap/>
            <w:hideMark/>
          </w:tcPr>
          <w:p w:rsidR="00EF39C5" w:rsidRPr="00EF39C5" w:rsidRDefault="00EF39C5" w:rsidP="00EF39C5">
            <w:pPr>
              <w:rPr>
                <w:rFonts w:ascii="Calibri" w:eastAsia="Times New Roman" w:hAnsi="Calibri" w:cs="Times New Roman"/>
                <w:color w:val="000000"/>
              </w:rPr>
            </w:pPr>
          </w:p>
        </w:tc>
        <w:tc>
          <w:tcPr>
            <w:tcW w:w="817" w:type="dxa"/>
            <w:noWrap/>
            <w:hideMark/>
          </w:tcPr>
          <w:p w:rsidR="00EF39C5" w:rsidRPr="00EF39C5" w:rsidRDefault="00EF39C5" w:rsidP="00EF39C5">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p>
        </w:tc>
        <w:tc>
          <w:tcPr>
            <w:tcW w:w="837" w:type="dxa"/>
            <w:noWrap/>
            <w:hideMark/>
          </w:tcPr>
          <w:p w:rsidR="00EF39C5" w:rsidRPr="00EF39C5" w:rsidRDefault="00EF39C5" w:rsidP="00EF39C5">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p>
        </w:tc>
        <w:tc>
          <w:tcPr>
            <w:tcW w:w="837" w:type="dxa"/>
            <w:noWrap/>
            <w:hideMark/>
          </w:tcPr>
          <w:p w:rsidR="00EF39C5" w:rsidRPr="00EF39C5" w:rsidRDefault="00EF39C5" w:rsidP="00EF39C5">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p>
        </w:tc>
        <w:tc>
          <w:tcPr>
            <w:tcW w:w="817" w:type="dxa"/>
            <w:noWrap/>
            <w:hideMark/>
          </w:tcPr>
          <w:p w:rsidR="00EF39C5" w:rsidRPr="00EF39C5" w:rsidRDefault="00EF39C5" w:rsidP="00EF39C5">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p>
        </w:tc>
        <w:tc>
          <w:tcPr>
            <w:tcW w:w="817" w:type="dxa"/>
            <w:noWrap/>
            <w:hideMark/>
          </w:tcPr>
          <w:p w:rsidR="00EF39C5" w:rsidRPr="00EF39C5" w:rsidRDefault="00EF39C5" w:rsidP="00EF39C5">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p>
        </w:tc>
      </w:tr>
      <w:tr w:rsidR="00EF39C5" w:rsidRPr="00EF39C5" w:rsidTr="00EF39C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480" w:type="dxa"/>
            <w:gridSpan w:val="6"/>
            <w:noWrap/>
            <w:hideMark/>
          </w:tcPr>
          <w:p w:rsidR="00EF39C5" w:rsidRPr="00EF39C5" w:rsidRDefault="00EF39C5" w:rsidP="00EF39C5">
            <w:pPr>
              <w:jc w:val="center"/>
              <w:rPr>
                <w:rFonts w:ascii="Calibri" w:eastAsia="Times New Roman" w:hAnsi="Calibri" w:cs="Times New Roman"/>
                <w:color w:val="000000"/>
              </w:rPr>
            </w:pPr>
            <w:r w:rsidRPr="00EF39C5">
              <w:rPr>
                <w:rFonts w:ascii="Calibri" w:eastAsia="Times New Roman" w:hAnsi="Calibri" w:cs="Times New Roman"/>
                <w:color w:val="000000"/>
              </w:rPr>
              <w:t>Net profit margin</w:t>
            </w:r>
          </w:p>
        </w:tc>
      </w:tr>
      <w:tr w:rsidR="00EF39C5" w:rsidRPr="00EF39C5" w:rsidTr="00EF39C5">
        <w:trPr>
          <w:trHeight w:val="300"/>
        </w:trPr>
        <w:tc>
          <w:tcPr>
            <w:cnfStyle w:val="001000000000" w:firstRow="0" w:lastRow="0" w:firstColumn="1" w:lastColumn="0" w:oddVBand="0" w:evenVBand="0" w:oddHBand="0" w:evenHBand="0" w:firstRowFirstColumn="0" w:firstRowLastColumn="0" w:lastRowFirstColumn="0" w:lastRowLastColumn="0"/>
            <w:tcW w:w="2355" w:type="dxa"/>
            <w:noWrap/>
            <w:hideMark/>
          </w:tcPr>
          <w:p w:rsidR="00EF39C5" w:rsidRPr="00EF39C5" w:rsidRDefault="00EF39C5" w:rsidP="00EF39C5">
            <w:pPr>
              <w:rPr>
                <w:rFonts w:ascii="Calibri" w:eastAsia="Times New Roman" w:hAnsi="Calibri" w:cs="Times New Roman"/>
                <w:color w:val="000000"/>
              </w:rPr>
            </w:pPr>
            <w:r w:rsidRPr="00EF39C5">
              <w:rPr>
                <w:rFonts w:ascii="Calibri" w:eastAsia="Times New Roman" w:hAnsi="Calibri" w:cs="Times New Roman"/>
                <w:color w:val="000000"/>
              </w:rPr>
              <w:t> </w:t>
            </w:r>
          </w:p>
        </w:tc>
        <w:tc>
          <w:tcPr>
            <w:tcW w:w="81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2012</w:t>
            </w:r>
          </w:p>
        </w:tc>
        <w:tc>
          <w:tcPr>
            <w:tcW w:w="83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2013</w:t>
            </w:r>
          </w:p>
        </w:tc>
        <w:tc>
          <w:tcPr>
            <w:tcW w:w="83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2014</w:t>
            </w:r>
          </w:p>
        </w:tc>
        <w:tc>
          <w:tcPr>
            <w:tcW w:w="81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2015</w:t>
            </w:r>
          </w:p>
        </w:tc>
        <w:tc>
          <w:tcPr>
            <w:tcW w:w="81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2016</w:t>
            </w:r>
          </w:p>
        </w:tc>
      </w:tr>
      <w:tr w:rsidR="00EF39C5" w:rsidRPr="00EF39C5" w:rsidTr="00EF39C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55" w:type="dxa"/>
            <w:hideMark/>
          </w:tcPr>
          <w:p w:rsidR="00EF39C5" w:rsidRPr="00EF39C5" w:rsidRDefault="00EF39C5" w:rsidP="00EF39C5">
            <w:pPr>
              <w:rPr>
                <w:rFonts w:ascii="Calibri" w:eastAsia="Times New Roman" w:hAnsi="Calibri" w:cs="Times New Roman"/>
                <w:color w:val="000000"/>
              </w:rPr>
            </w:pPr>
            <w:r w:rsidRPr="00EF39C5">
              <w:rPr>
                <w:rFonts w:ascii="Calibri" w:eastAsia="Times New Roman" w:hAnsi="Calibri" w:cs="Times New Roman"/>
                <w:color w:val="000000"/>
              </w:rPr>
              <w:t>BT</w:t>
            </w:r>
          </w:p>
        </w:tc>
        <w:tc>
          <w:tcPr>
            <w:tcW w:w="81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10%</w:t>
            </w:r>
          </w:p>
        </w:tc>
        <w:tc>
          <w:tcPr>
            <w:tcW w:w="83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12%</w:t>
            </w:r>
          </w:p>
        </w:tc>
        <w:tc>
          <w:tcPr>
            <w:tcW w:w="83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12%</w:t>
            </w:r>
          </w:p>
        </w:tc>
        <w:tc>
          <w:tcPr>
            <w:tcW w:w="81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13%</w:t>
            </w:r>
          </w:p>
        </w:tc>
        <w:tc>
          <w:tcPr>
            <w:tcW w:w="81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15%</w:t>
            </w:r>
          </w:p>
        </w:tc>
      </w:tr>
      <w:tr w:rsidR="00EF39C5" w:rsidRPr="00EF39C5" w:rsidTr="00EF39C5">
        <w:trPr>
          <w:trHeight w:val="315"/>
        </w:trPr>
        <w:tc>
          <w:tcPr>
            <w:cnfStyle w:val="001000000000" w:firstRow="0" w:lastRow="0" w:firstColumn="1" w:lastColumn="0" w:oddVBand="0" w:evenVBand="0" w:oddHBand="0" w:evenHBand="0" w:firstRowFirstColumn="0" w:firstRowLastColumn="0" w:lastRowFirstColumn="0" w:lastRowLastColumn="0"/>
            <w:tcW w:w="2355" w:type="dxa"/>
            <w:noWrap/>
            <w:hideMark/>
          </w:tcPr>
          <w:p w:rsidR="00EF39C5" w:rsidRPr="00EF39C5" w:rsidRDefault="00EF39C5" w:rsidP="00EF39C5">
            <w:pPr>
              <w:rPr>
                <w:rFonts w:eastAsia="Times New Roman" w:cs="Times New Roman"/>
                <w:color w:val="000000"/>
                <w:szCs w:val="24"/>
              </w:rPr>
            </w:pPr>
            <w:r w:rsidRPr="00EF39C5">
              <w:rPr>
                <w:rFonts w:eastAsia="Times New Roman" w:cs="Times New Roman"/>
                <w:color w:val="000000"/>
                <w:szCs w:val="24"/>
              </w:rPr>
              <w:t>Vodafone</w:t>
            </w:r>
          </w:p>
        </w:tc>
        <w:tc>
          <w:tcPr>
            <w:tcW w:w="81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9%</w:t>
            </w:r>
          </w:p>
        </w:tc>
        <w:tc>
          <w:tcPr>
            <w:tcW w:w="83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-10%</w:t>
            </w:r>
          </w:p>
        </w:tc>
        <w:tc>
          <w:tcPr>
            <w:tcW w:w="83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29%</w:t>
            </w:r>
          </w:p>
        </w:tc>
        <w:tc>
          <w:tcPr>
            <w:tcW w:w="81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14%</w:t>
            </w:r>
          </w:p>
        </w:tc>
        <w:tc>
          <w:tcPr>
            <w:tcW w:w="81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-9%</w:t>
            </w:r>
          </w:p>
        </w:tc>
      </w:tr>
      <w:tr w:rsidR="00EF39C5" w:rsidRPr="00EF39C5" w:rsidTr="00EF39C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55" w:type="dxa"/>
            <w:noWrap/>
            <w:hideMark/>
          </w:tcPr>
          <w:p w:rsidR="00EF39C5" w:rsidRPr="00EF39C5" w:rsidRDefault="00EF39C5" w:rsidP="00EF39C5">
            <w:pPr>
              <w:rPr>
                <w:rFonts w:ascii="Calibri" w:eastAsia="Times New Roman" w:hAnsi="Calibri" w:cs="Times New Roman"/>
                <w:color w:val="000000"/>
              </w:rPr>
            </w:pPr>
          </w:p>
        </w:tc>
        <w:tc>
          <w:tcPr>
            <w:tcW w:w="817" w:type="dxa"/>
            <w:noWrap/>
            <w:hideMark/>
          </w:tcPr>
          <w:p w:rsidR="00EF39C5" w:rsidRPr="00EF39C5" w:rsidRDefault="00EF39C5" w:rsidP="00EF39C5">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p>
        </w:tc>
        <w:tc>
          <w:tcPr>
            <w:tcW w:w="837" w:type="dxa"/>
            <w:noWrap/>
            <w:hideMark/>
          </w:tcPr>
          <w:p w:rsidR="00EF39C5" w:rsidRPr="00EF39C5" w:rsidRDefault="00EF39C5" w:rsidP="00EF39C5">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p>
        </w:tc>
        <w:tc>
          <w:tcPr>
            <w:tcW w:w="837" w:type="dxa"/>
            <w:noWrap/>
            <w:hideMark/>
          </w:tcPr>
          <w:p w:rsidR="00EF39C5" w:rsidRPr="00EF39C5" w:rsidRDefault="00EF39C5" w:rsidP="00EF39C5">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p>
        </w:tc>
        <w:tc>
          <w:tcPr>
            <w:tcW w:w="817" w:type="dxa"/>
            <w:noWrap/>
            <w:hideMark/>
          </w:tcPr>
          <w:p w:rsidR="00EF39C5" w:rsidRPr="00EF39C5" w:rsidRDefault="00EF39C5" w:rsidP="00EF39C5">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p>
        </w:tc>
        <w:tc>
          <w:tcPr>
            <w:tcW w:w="817" w:type="dxa"/>
            <w:noWrap/>
            <w:hideMark/>
          </w:tcPr>
          <w:p w:rsidR="00EF39C5" w:rsidRPr="00EF39C5" w:rsidRDefault="00EF39C5" w:rsidP="00EF39C5">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p>
        </w:tc>
      </w:tr>
      <w:tr w:rsidR="00EF39C5" w:rsidRPr="00EF39C5" w:rsidTr="00EF39C5">
        <w:trPr>
          <w:trHeight w:val="300"/>
        </w:trPr>
        <w:tc>
          <w:tcPr>
            <w:cnfStyle w:val="001000000000" w:firstRow="0" w:lastRow="0" w:firstColumn="1" w:lastColumn="0" w:oddVBand="0" w:evenVBand="0" w:oddHBand="0" w:evenHBand="0" w:firstRowFirstColumn="0" w:firstRowLastColumn="0" w:lastRowFirstColumn="0" w:lastRowLastColumn="0"/>
            <w:tcW w:w="6480" w:type="dxa"/>
            <w:gridSpan w:val="6"/>
            <w:noWrap/>
            <w:hideMark/>
          </w:tcPr>
          <w:p w:rsidR="00EF39C5" w:rsidRPr="00EF39C5" w:rsidRDefault="00EF39C5" w:rsidP="00EF39C5">
            <w:pPr>
              <w:jc w:val="center"/>
              <w:rPr>
                <w:rFonts w:ascii="Calibri" w:eastAsia="Times New Roman" w:hAnsi="Calibri" w:cs="Times New Roman"/>
                <w:color w:val="000000"/>
              </w:rPr>
            </w:pPr>
            <w:r w:rsidRPr="00EF39C5">
              <w:rPr>
                <w:rFonts w:ascii="Calibri" w:eastAsia="Times New Roman" w:hAnsi="Calibri" w:cs="Times New Roman"/>
                <w:color w:val="000000"/>
              </w:rPr>
              <w:t>Current Ratio</w:t>
            </w:r>
          </w:p>
        </w:tc>
      </w:tr>
      <w:tr w:rsidR="00EF39C5" w:rsidRPr="00EF39C5" w:rsidTr="00EF39C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55" w:type="dxa"/>
            <w:noWrap/>
            <w:hideMark/>
          </w:tcPr>
          <w:p w:rsidR="00EF39C5" w:rsidRPr="00EF39C5" w:rsidRDefault="00EF39C5" w:rsidP="00EF39C5">
            <w:pPr>
              <w:rPr>
                <w:rFonts w:ascii="Calibri" w:eastAsia="Times New Roman" w:hAnsi="Calibri" w:cs="Times New Roman"/>
                <w:color w:val="000000"/>
              </w:rPr>
            </w:pPr>
            <w:r w:rsidRPr="00EF39C5">
              <w:rPr>
                <w:rFonts w:ascii="Calibri" w:eastAsia="Times New Roman" w:hAnsi="Calibri" w:cs="Times New Roman"/>
                <w:color w:val="000000"/>
              </w:rPr>
              <w:t> </w:t>
            </w:r>
          </w:p>
        </w:tc>
        <w:tc>
          <w:tcPr>
            <w:tcW w:w="81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2012</w:t>
            </w:r>
          </w:p>
        </w:tc>
        <w:tc>
          <w:tcPr>
            <w:tcW w:w="83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2013</w:t>
            </w:r>
          </w:p>
        </w:tc>
        <w:tc>
          <w:tcPr>
            <w:tcW w:w="83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2014</w:t>
            </w:r>
          </w:p>
        </w:tc>
        <w:tc>
          <w:tcPr>
            <w:tcW w:w="81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2015</w:t>
            </w:r>
          </w:p>
        </w:tc>
        <w:tc>
          <w:tcPr>
            <w:tcW w:w="81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2016</w:t>
            </w:r>
          </w:p>
        </w:tc>
      </w:tr>
      <w:tr w:rsidR="00EF39C5" w:rsidRPr="00EF39C5" w:rsidTr="00EF39C5">
        <w:trPr>
          <w:trHeight w:val="300"/>
        </w:trPr>
        <w:tc>
          <w:tcPr>
            <w:cnfStyle w:val="001000000000" w:firstRow="0" w:lastRow="0" w:firstColumn="1" w:lastColumn="0" w:oddVBand="0" w:evenVBand="0" w:oddHBand="0" w:evenHBand="0" w:firstRowFirstColumn="0" w:firstRowLastColumn="0" w:lastRowFirstColumn="0" w:lastRowLastColumn="0"/>
            <w:tcW w:w="2355" w:type="dxa"/>
            <w:hideMark/>
          </w:tcPr>
          <w:p w:rsidR="00EF39C5" w:rsidRPr="00EF39C5" w:rsidRDefault="00EF39C5" w:rsidP="00EF39C5">
            <w:pPr>
              <w:rPr>
                <w:rFonts w:ascii="Calibri" w:eastAsia="Times New Roman" w:hAnsi="Calibri" w:cs="Times New Roman"/>
                <w:color w:val="000000"/>
              </w:rPr>
            </w:pPr>
            <w:r w:rsidRPr="00EF39C5">
              <w:rPr>
                <w:rFonts w:ascii="Calibri" w:eastAsia="Times New Roman" w:hAnsi="Calibri" w:cs="Times New Roman"/>
                <w:color w:val="000000"/>
              </w:rPr>
              <w:t>BT</w:t>
            </w:r>
          </w:p>
        </w:tc>
        <w:tc>
          <w:tcPr>
            <w:tcW w:w="81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0.49</w:t>
            </w:r>
          </w:p>
        </w:tc>
        <w:tc>
          <w:tcPr>
            <w:tcW w:w="83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0.71</w:t>
            </w:r>
          </w:p>
        </w:tc>
        <w:tc>
          <w:tcPr>
            <w:tcW w:w="83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0.84</w:t>
            </w:r>
          </w:p>
        </w:tc>
        <w:tc>
          <w:tcPr>
            <w:tcW w:w="81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0.97</w:t>
            </w:r>
          </w:p>
        </w:tc>
        <w:tc>
          <w:tcPr>
            <w:tcW w:w="81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0.77</w:t>
            </w:r>
          </w:p>
        </w:tc>
      </w:tr>
      <w:tr w:rsidR="00EF39C5" w:rsidRPr="00EF39C5" w:rsidTr="00EF39C5">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355" w:type="dxa"/>
            <w:noWrap/>
            <w:hideMark/>
          </w:tcPr>
          <w:p w:rsidR="00EF39C5" w:rsidRPr="00EF39C5" w:rsidRDefault="00EF39C5" w:rsidP="00EF39C5">
            <w:pPr>
              <w:rPr>
                <w:rFonts w:eastAsia="Times New Roman" w:cs="Times New Roman"/>
                <w:color w:val="000000"/>
                <w:szCs w:val="24"/>
              </w:rPr>
            </w:pPr>
            <w:r w:rsidRPr="00EF39C5">
              <w:rPr>
                <w:rFonts w:eastAsia="Times New Roman" w:cs="Times New Roman"/>
                <w:color w:val="000000"/>
                <w:szCs w:val="24"/>
              </w:rPr>
              <w:t>Vodafone</w:t>
            </w:r>
          </w:p>
        </w:tc>
        <w:tc>
          <w:tcPr>
            <w:tcW w:w="81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0.88</w:t>
            </w:r>
          </w:p>
        </w:tc>
        <w:tc>
          <w:tcPr>
            <w:tcW w:w="83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0.76</w:t>
            </w:r>
          </w:p>
        </w:tc>
        <w:tc>
          <w:tcPr>
            <w:tcW w:w="83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0.99</w:t>
            </w:r>
          </w:p>
        </w:tc>
        <w:tc>
          <w:tcPr>
            <w:tcW w:w="81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0.69</w:t>
            </w:r>
          </w:p>
        </w:tc>
        <w:tc>
          <w:tcPr>
            <w:tcW w:w="81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0.84</w:t>
            </w:r>
          </w:p>
        </w:tc>
      </w:tr>
      <w:tr w:rsidR="00EF39C5" w:rsidRPr="00EF39C5" w:rsidTr="00EF39C5">
        <w:trPr>
          <w:trHeight w:val="300"/>
        </w:trPr>
        <w:tc>
          <w:tcPr>
            <w:cnfStyle w:val="001000000000" w:firstRow="0" w:lastRow="0" w:firstColumn="1" w:lastColumn="0" w:oddVBand="0" w:evenVBand="0" w:oddHBand="0" w:evenHBand="0" w:firstRowFirstColumn="0" w:firstRowLastColumn="0" w:lastRowFirstColumn="0" w:lastRowLastColumn="0"/>
            <w:tcW w:w="2355" w:type="dxa"/>
            <w:noWrap/>
            <w:hideMark/>
          </w:tcPr>
          <w:p w:rsidR="00EF39C5" w:rsidRPr="00EF39C5" w:rsidRDefault="00EF39C5" w:rsidP="00EF39C5">
            <w:pPr>
              <w:rPr>
                <w:rFonts w:ascii="Calibri" w:eastAsia="Times New Roman" w:hAnsi="Calibri" w:cs="Times New Roman"/>
                <w:color w:val="000000"/>
              </w:rPr>
            </w:pPr>
          </w:p>
        </w:tc>
        <w:tc>
          <w:tcPr>
            <w:tcW w:w="817" w:type="dxa"/>
            <w:noWrap/>
            <w:hideMark/>
          </w:tcPr>
          <w:p w:rsidR="00EF39C5" w:rsidRPr="00EF39C5" w:rsidRDefault="00EF39C5" w:rsidP="00EF39C5">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p>
        </w:tc>
        <w:tc>
          <w:tcPr>
            <w:tcW w:w="837" w:type="dxa"/>
            <w:noWrap/>
            <w:hideMark/>
          </w:tcPr>
          <w:p w:rsidR="00EF39C5" w:rsidRPr="00EF39C5" w:rsidRDefault="00EF39C5" w:rsidP="00EF39C5">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p>
        </w:tc>
        <w:tc>
          <w:tcPr>
            <w:tcW w:w="837" w:type="dxa"/>
            <w:noWrap/>
            <w:hideMark/>
          </w:tcPr>
          <w:p w:rsidR="00EF39C5" w:rsidRPr="00EF39C5" w:rsidRDefault="00EF39C5" w:rsidP="00EF39C5">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p>
        </w:tc>
        <w:tc>
          <w:tcPr>
            <w:tcW w:w="817" w:type="dxa"/>
            <w:noWrap/>
            <w:hideMark/>
          </w:tcPr>
          <w:p w:rsidR="00EF39C5" w:rsidRPr="00EF39C5" w:rsidRDefault="00EF39C5" w:rsidP="00EF39C5">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p>
        </w:tc>
        <w:tc>
          <w:tcPr>
            <w:tcW w:w="817" w:type="dxa"/>
            <w:noWrap/>
            <w:hideMark/>
          </w:tcPr>
          <w:p w:rsidR="00EF39C5" w:rsidRPr="00EF39C5" w:rsidRDefault="00EF39C5" w:rsidP="00EF39C5">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p>
        </w:tc>
      </w:tr>
      <w:tr w:rsidR="00EF39C5" w:rsidRPr="00EF39C5" w:rsidTr="00EF39C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480" w:type="dxa"/>
            <w:gridSpan w:val="6"/>
            <w:noWrap/>
            <w:hideMark/>
          </w:tcPr>
          <w:p w:rsidR="00EF39C5" w:rsidRPr="00EF39C5" w:rsidRDefault="00EF39C5" w:rsidP="00EF39C5">
            <w:pPr>
              <w:jc w:val="center"/>
              <w:rPr>
                <w:rFonts w:ascii="Calibri" w:eastAsia="Times New Roman" w:hAnsi="Calibri" w:cs="Times New Roman"/>
                <w:color w:val="000000"/>
              </w:rPr>
            </w:pPr>
            <w:r w:rsidRPr="00EF39C5">
              <w:rPr>
                <w:rFonts w:ascii="Calibri" w:eastAsia="Times New Roman" w:hAnsi="Calibri" w:cs="Times New Roman"/>
                <w:color w:val="000000"/>
              </w:rPr>
              <w:t>Quick Ratio</w:t>
            </w:r>
          </w:p>
        </w:tc>
      </w:tr>
      <w:tr w:rsidR="00EF39C5" w:rsidRPr="00EF39C5" w:rsidTr="00EF39C5">
        <w:trPr>
          <w:trHeight w:val="300"/>
        </w:trPr>
        <w:tc>
          <w:tcPr>
            <w:cnfStyle w:val="001000000000" w:firstRow="0" w:lastRow="0" w:firstColumn="1" w:lastColumn="0" w:oddVBand="0" w:evenVBand="0" w:oddHBand="0" w:evenHBand="0" w:firstRowFirstColumn="0" w:firstRowLastColumn="0" w:lastRowFirstColumn="0" w:lastRowLastColumn="0"/>
            <w:tcW w:w="2355" w:type="dxa"/>
            <w:noWrap/>
            <w:hideMark/>
          </w:tcPr>
          <w:p w:rsidR="00EF39C5" w:rsidRPr="00EF39C5" w:rsidRDefault="00EF39C5" w:rsidP="00EF39C5">
            <w:pPr>
              <w:rPr>
                <w:rFonts w:ascii="Calibri" w:eastAsia="Times New Roman" w:hAnsi="Calibri" w:cs="Times New Roman"/>
                <w:color w:val="000000"/>
              </w:rPr>
            </w:pPr>
            <w:r w:rsidRPr="00EF39C5">
              <w:rPr>
                <w:rFonts w:ascii="Calibri" w:eastAsia="Times New Roman" w:hAnsi="Calibri" w:cs="Times New Roman"/>
                <w:color w:val="000000"/>
              </w:rPr>
              <w:t> </w:t>
            </w:r>
          </w:p>
        </w:tc>
        <w:tc>
          <w:tcPr>
            <w:tcW w:w="81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2012</w:t>
            </w:r>
          </w:p>
        </w:tc>
        <w:tc>
          <w:tcPr>
            <w:tcW w:w="83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2013</w:t>
            </w:r>
          </w:p>
        </w:tc>
        <w:tc>
          <w:tcPr>
            <w:tcW w:w="83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2014</w:t>
            </w:r>
          </w:p>
        </w:tc>
        <w:tc>
          <w:tcPr>
            <w:tcW w:w="81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2015</w:t>
            </w:r>
          </w:p>
        </w:tc>
        <w:tc>
          <w:tcPr>
            <w:tcW w:w="81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2016</w:t>
            </w:r>
          </w:p>
        </w:tc>
      </w:tr>
      <w:tr w:rsidR="00EF39C5" w:rsidRPr="00EF39C5" w:rsidTr="00EF39C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55" w:type="dxa"/>
            <w:hideMark/>
          </w:tcPr>
          <w:p w:rsidR="00EF39C5" w:rsidRPr="00EF39C5" w:rsidRDefault="00EF39C5" w:rsidP="00EF39C5">
            <w:pPr>
              <w:rPr>
                <w:rFonts w:ascii="Calibri" w:eastAsia="Times New Roman" w:hAnsi="Calibri" w:cs="Times New Roman"/>
                <w:color w:val="000000"/>
              </w:rPr>
            </w:pPr>
            <w:r w:rsidRPr="00EF39C5">
              <w:rPr>
                <w:rFonts w:ascii="Calibri" w:eastAsia="Times New Roman" w:hAnsi="Calibri" w:cs="Times New Roman"/>
                <w:color w:val="000000"/>
              </w:rPr>
              <w:t>BT</w:t>
            </w:r>
          </w:p>
        </w:tc>
        <w:tc>
          <w:tcPr>
            <w:tcW w:w="81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0.48</w:t>
            </w:r>
          </w:p>
        </w:tc>
        <w:tc>
          <w:tcPr>
            <w:tcW w:w="83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0.70</w:t>
            </w:r>
          </w:p>
        </w:tc>
        <w:tc>
          <w:tcPr>
            <w:tcW w:w="83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0.83</w:t>
            </w:r>
          </w:p>
        </w:tc>
        <w:tc>
          <w:tcPr>
            <w:tcW w:w="81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0.96</w:t>
            </w:r>
          </w:p>
        </w:tc>
        <w:tc>
          <w:tcPr>
            <w:tcW w:w="81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0.75</w:t>
            </w:r>
          </w:p>
        </w:tc>
      </w:tr>
      <w:tr w:rsidR="00EF39C5" w:rsidRPr="00EF39C5" w:rsidTr="00EF39C5">
        <w:trPr>
          <w:trHeight w:val="315"/>
        </w:trPr>
        <w:tc>
          <w:tcPr>
            <w:cnfStyle w:val="001000000000" w:firstRow="0" w:lastRow="0" w:firstColumn="1" w:lastColumn="0" w:oddVBand="0" w:evenVBand="0" w:oddHBand="0" w:evenHBand="0" w:firstRowFirstColumn="0" w:firstRowLastColumn="0" w:lastRowFirstColumn="0" w:lastRowLastColumn="0"/>
            <w:tcW w:w="2355" w:type="dxa"/>
            <w:noWrap/>
            <w:hideMark/>
          </w:tcPr>
          <w:p w:rsidR="00EF39C5" w:rsidRPr="00EF39C5" w:rsidRDefault="00EF39C5" w:rsidP="00EF39C5">
            <w:pPr>
              <w:rPr>
                <w:rFonts w:eastAsia="Times New Roman" w:cs="Times New Roman"/>
                <w:color w:val="000000"/>
                <w:szCs w:val="24"/>
              </w:rPr>
            </w:pPr>
            <w:r w:rsidRPr="00EF39C5">
              <w:rPr>
                <w:rFonts w:eastAsia="Times New Roman" w:cs="Times New Roman"/>
                <w:color w:val="000000"/>
                <w:szCs w:val="24"/>
              </w:rPr>
              <w:t>Vodafone</w:t>
            </w:r>
          </w:p>
        </w:tc>
        <w:tc>
          <w:tcPr>
            <w:tcW w:w="81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0.86</w:t>
            </w:r>
          </w:p>
        </w:tc>
        <w:tc>
          <w:tcPr>
            <w:tcW w:w="83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0.75</w:t>
            </w:r>
          </w:p>
        </w:tc>
        <w:tc>
          <w:tcPr>
            <w:tcW w:w="83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0.97</w:t>
            </w:r>
          </w:p>
        </w:tc>
        <w:tc>
          <w:tcPr>
            <w:tcW w:w="81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0.67</w:t>
            </w:r>
          </w:p>
        </w:tc>
        <w:tc>
          <w:tcPr>
            <w:tcW w:w="81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0.83</w:t>
            </w:r>
          </w:p>
        </w:tc>
      </w:tr>
      <w:tr w:rsidR="00EF39C5" w:rsidRPr="00EF39C5" w:rsidTr="00EF39C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55" w:type="dxa"/>
            <w:noWrap/>
            <w:hideMark/>
          </w:tcPr>
          <w:p w:rsidR="00EF39C5" w:rsidRPr="00EF39C5" w:rsidRDefault="00EF39C5" w:rsidP="00EF39C5">
            <w:pPr>
              <w:rPr>
                <w:rFonts w:ascii="Calibri" w:eastAsia="Times New Roman" w:hAnsi="Calibri" w:cs="Times New Roman"/>
                <w:color w:val="000000"/>
              </w:rPr>
            </w:pPr>
          </w:p>
        </w:tc>
        <w:tc>
          <w:tcPr>
            <w:tcW w:w="817" w:type="dxa"/>
            <w:noWrap/>
            <w:hideMark/>
          </w:tcPr>
          <w:p w:rsidR="00EF39C5" w:rsidRPr="00EF39C5" w:rsidRDefault="00EF39C5" w:rsidP="00EF39C5">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p>
        </w:tc>
        <w:tc>
          <w:tcPr>
            <w:tcW w:w="837" w:type="dxa"/>
            <w:noWrap/>
            <w:hideMark/>
          </w:tcPr>
          <w:p w:rsidR="00EF39C5" w:rsidRPr="00EF39C5" w:rsidRDefault="00EF39C5" w:rsidP="00EF39C5">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p>
        </w:tc>
        <w:tc>
          <w:tcPr>
            <w:tcW w:w="837" w:type="dxa"/>
            <w:noWrap/>
            <w:hideMark/>
          </w:tcPr>
          <w:p w:rsidR="00EF39C5" w:rsidRPr="00EF39C5" w:rsidRDefault="00EF39C5" w:rsidP="00EF39C5">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p>
        </w:tc>
        <w:tc>
          <w:tcPr>
            <w:tcW w:w="817" w:type="dxa"/>
            <w:noWrap/>
            <w:hideMark/>
          </w:tcPr>
          <w:p w:rsidR="00EF39C5" w:rsidRPr="00EF39C5" w:rsidRDefault="00EF39C5" w:rsidP="00EF39C5">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p>
        </w:tc>
        <w:tc>
          <w:tcPr>
            <w:tcW w:w="817" w:type="dxa"/>
            <w:noWrap/>
            <w:hideMark/>
          </w:tcPr>
          <w:p w:rsidR="00EF39C5" w:rsidRPr="00EF39C5" w:rsidRDefault="00EF39C5" w:rsidP="00EF39C5">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p>
        </w:tc>
      </w:tr>
      <w:tr w:rsidR="00EF39C5" w:rsidRPr="00EF39C5" w:rsidTr="00EF39C5">
        <w:trPr>
          <w:trHeight w:val="300"/>
        </w:trPr>
        <w:tc>
          <w:tcPr>
            <w:cnfStyle w:val="001000000000" w:firstRow="0" w:lastRow="0" w:firstColumn="1" w:lastColumn="0" w:oddVBand="0" w:evenVBand="0" w:oddHBand="0" w:evenHBand="0" w:firstRowFirstColumn="0" w:firstRowLastColumn="0" w:lastRowFirstColumn="0" w:lastRowLastColumn="0"/>
            <w:tcW w:w="6480" w:type="dxa"/>
            <w:gridSpan w:val="6"/>
            <w:noWrap/>
            <w:hideMark/>
          </w:tcPr>
          <w:p w:rsidR="00EF39C5" w:rsidRPr="00EF39C5" w:rsidRDefault="00EF39C5" w:rsidP="00EF39C5">
            <w:pPr>
              <w:jc w:val="center"/>
              <w:rPr>
                <w:rFonts w:ascii="Calibri" w:eastAsia="Times New Roman" w:hAnsi="Calibri" w:cs="Times New Roman"/>
                <w:color w:val="000000"/>
              </w:rPr>
            </w:pPr>
            <w:r w:rsidRPr="00EF39C5">
              <w:rPr>
                <w:rFonts w:ascii="Calibri" w:eastAsia="Times New Roman" w:hAnsi="Calibri" w:cs="Times New Roman"/>
                <w:color w:val="000000"/>
              </w:rPr>
              <w:t>Return on capital employed(ROCE)</w:t>
            </w:r>
          </w:p>
        </w:tc>
      </w:tr>
      <w:tr w:rsidR="00EF39C5" w:rsidRPr="00EF39C5" w:rsidTr="00EF39C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55" w:type="dxa"/>
            <w:noWrap/>
            <w:hideMark/>
          </w:tcPr>
          <w:p w:rsidR="00EF39C5" w:rsidRPr="00EF39C5" w:rsidRDefault="00EF39C5" w:rsidP="00EF39C5">
            <w:pPr>
              <w:rPr>
                <w:rFonts w:ascii="Calibri" w:eastAsia="Times New Roman" w:hAnsi="Calibri" w:cs="Times New Roman"/>
                <w:color w:val="000000"/>
              </w:rPr>
            </w:pPr>
            <w:r w:rsidRPr="00EF39C5">
              <w:rPr>
                <w:rFonts w:ascii="Calibri" w:eastAsia="Times New Roman" w:hAnsi="Calibri" w:cs="Times New Roman"/>
                <w:color w:val="000000"/>
              </w:rPr>
              <w:t> </w:t>
            </w:r>
          </w:p>
        </w:tc>
        <w:tc>
          <w:tcPr>
            <w:tcW w:w="81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2012</w:t>
            </w:r>
          </w:p>
        </w:tc>
        <w:tc>
          <w:tcPr>
            <w:tcW w:w="83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2013</w:t>
            </w:r>
          </w:p>
        </w:tc>
        <w:tc>
          <w:tcPr>
            <w:tcW w:w="83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2014</w:t>
            </w:r>
          </w:p>
        </w:tc>
        <w:tc>
          <w:tcPr>
            <w:tcW w:w="81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2015</w:t>
            </w:r>
          </w:p>
        </w:tc>
        <w:tc>
          <w:tcPr>
            <w:tcW w:w="81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2016</w:t>
            </w:r>
          </w:p>
        </w:tc>
      </w:tr>
      <w:tr w:rsidR="00EF39C5" w:rsidRPr="00EF39C5" w:rsidTr="00EF39C5">
        <w:trPr>
          <w:trHeight w:val="300"/>
        </w:trPr>
        <w:tc>
          <w:tcPr>
            <w:cnfStyle w:val="001000000000" w:firstRow="0" w:lastRow="0" w:firstColumn="1" w:lastColumn="0" w:oddVBand="0" w:evenVBand="0" w:oddHBand="0" w:evenHBand="0" w:firstRowFirstColumn="0" w:firstRowLastColumn="0" w:lastRowFirstColumn="0" w:lastRowLastColumn="0"/>
            <w:tcW w:w="2355" w:type="dxa"/>
            <w:hideMark/>
          </w:tcPr>
          <w:p w:rsidR="00EF39C5" w:rsidRPr="00EF39C5" w:rsidRDefault="00EF39C5" w:rsidP="00EF39C5">
            <w:pPr>
              <w:rPr>
                <w:rFonts w:ascii="Calibri" w:eastAsia="Times New Roman" w:hAnsi="Calibri" w:cs="Times New Roman"/>
                <w:color w:val="000000"/>
              </w:rPr>
            </w:pPr>
            <w:r w:rsidRPr="00EF39C5">
              <w:rPr>
                <w:rFonts w:ascii="Calibri" w:eastAsia="Times New Roman" w:hAnsi="Calibri" w:cs="Times New Roman"/>
                <w:color w:val="000000"/>
              </w:rPr>
              <w:t>BT</w:t>
            </w:r>
          </w:p>
        </w:tc>
        <w:tc>
          <w:tcPr>
            <w:tcW w:w="81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0.21</w:t>
            </w:r>
          </w:p>
        </w:tc>
        <w:tc>
          <w:tcPr>
            <w:tcW w:w="83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0.11</w:t>
            </w:r>
          </w:p>
        </w:tc>
        <w:tc>
          <w:tcPr>
            <w:tcW w:w="83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0.11</w:t>
            </w:r>
          </w:p>
        </w:tc>
        <w:tc>
          <w:tcPr>
            <w:tcW w:w="81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0.12</w:t>
            </w:r>
          </w:p>
        </w:tc>
        <w:tc>
          <w:tcPr>
            <w:tcW w:w="81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0.11</w:t>
            </w:r>
          </w:p>
        </w:tc>
      </w:tr>
      <w:tr w:rsidR="00EF39C5" w:rsidRPr="00EF39C5" w:rsidTr="00EF39C5">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355" w:type="dxa"/>
            <w:noWrap/>
            <w:hideMark/>
          </w:tcPr>
          <w:p w:rsidR="00EF39C5" w:rsidRPr="00EF39C5" w:rsidRDefault="00EF39C5" w:rsidP="00EF39C5">
            <w:pPr>
              <w:rPr>
                <w:rFonts w:eastAsia="Times New Roman" w:cs="Times New Roman"/>
                <w:color w:val="000000"/>
                <w:szCs w:val="24"/>
              </w:rPr>
            </w:pPr>
            <w:r w:rsidRPr="00EF39C5">
              <w:rPr>
                <w:rFonts w:eastAsia="Times New Roman" w:cs="Times New Roman"/>
                <w:color w:val="000000"/>
                <w:szCs w:val="24"/>
              </w:rPr>
              <w:t>Vodafone</w:t>
            </w:r>
          </w:p>
        </w:tc>
        <w:tc>
          <w:tcPr>
            <w:tcW w:w="81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0.03</w:t>
            </w:r>
          </w:p>
        </w:tc>
        <w:tc>
          <w:tcPr>
            <w:tcW w:w="83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-0.01</w:t>
            </w:r>
          </w:p>
        </w:tc>
        <w:tc>
          <w:tcPr>
            <w:tcW w:w="83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-0.02</w:t>
            </w:r>
          </w:p>
        </w:tc>
        <w:tc>
          <w:tcPr>
            <w:tcW w:w="81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0.01</w:t>
            </w:r>
          </w:p>
        </w:tc>
        <w:tc>
          <w:tcPr>
            <w:tcW w:w="81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0.01</w:t>
            </w:r>
          </w:p>
        </w:tc>
      </w:tr>
      <w:tr w:rsidR="00EF39C5" w:rsidRPr="00EF39C5" w:rsidTr="00EF39C5">
        <w:trPr>
          <w:trHeight w:val="300"/>
        </w:trPr>
        <w:tc>
          <w:tcPr>
            <w:cnfStyle w:val="001000000000" w:firstRow="0" w:lastRow="0" w:firstColumn="1" w:lastColumn="0" w:oddVBand="0" w:evenVBand="0" w:oddHBand="0" w:evenHBand="0" w:firstRowFirstColumn="0" w:firstRowLastColumn="0" w:lastRowFirstColumn="0" w:lastRowLastColumn="0"/>
            <w:tcW w:w="2355" w:type="dxa"/>
            <w:noWrap/>
            <w:hideMark/>
          </w:tcPr>
          <w:p w:rsidR="00EF39C5" w:rsidRPr="00EF39C5" w:rsidRDefault="00EF39C5" w:rsidP="00EF39C5">
            <w:pPr>
              <w:rPr>
                <w:rFonts w:ascii="Calibri" w:eastAsia="Times New Roman" w:hAnsi="Calibri" w:cs="Times New Roman"/>
                <w:color w:val="000000"/>
              </w:rPr>
            </w:pPr>
          </w:p>
        </w:tc>
        <w:tc>
          <w:tcPr>
            <w:tcW w:w="817" w:type="dxa"/>
            <w:noWrap/>
            <w:hideMark/>
          </w:tcPr>
          <w:p w:rsidR="00EF39C5" w:rsidRPr="00EF39C5" w:rsidRDefault="00EF39C5" w:rsidP="00EF39C5">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p>
        </w:tc>
        <w:tc>
          <w:tcPr>
            <w:tcW w:w="837" w:type="dxa"/>
            <w:noWrap/>
            <w:hideMark/>
          </w:tcPr>
          <w:p w:rsidR="00EF39C5" w:rsidRPr="00EF39C5" w:rsidRDefault="00EF39C5" w:rsidP="00EF39C5">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p>
        </w:tc>
        <w:tc>
          <w:tcPr>
            <w:tcW w:w="837" w:type="dxa"/>
            <w:noWrap/>
            <w:hideMark/>
          </w:tcPr>
          <w:p w:rsidR="00EF39C5" w:rsidRPr="00EF39C5" w:rsidRDefault="00EF39C5" w:rsidP="00EF39C5">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p>
        </w:tc>
        <w:tc>
          <w:tcPr>
            <w:tcW w:w="817" w:type="dxa"/>
            <w:noWrap/>
            <w:hideMark/>
          </w:tcPr>
          <w:p w:rsidR="00EF39C5" w:rsidRPr="00EF39C5" w:rsidRDefault="00EF39C5" w:rsidP="00EF39C5">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p>
        </w:tc>
        <w:tc>
          <w:tcPr>
            <w:tcW w:w="817" w:type="dxa"/>
            <w:noWrap/>
            <w:hideMark/>
          </w:tcPr>
          <w:p w:rsidR="00EF39C5" w:rsidRPr="00EF39C5" w:rsidRDefault="00EF39C5" w:rsidP="00EF39C5">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p>
        </w:tc>
      </w:tr>
      <w:tr w:rsidR="00EF39C5" w:rsidRPr="00EF39C5" w:rsidTr="00EF39C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480" w:type="dxa"/>
            <w:gridSpan w:val="6"/>
            <w:noWrap/>
            <w:hideMark/>
          </w:tcPr>
          <w:p w:rsidR="00EF39C5" w:rsidRPr="00EF39C5" w:rsidRDefault="00EF39C5" w:rsidP="00EF39C5">
            <w:pPr>
              <w:jc w:val="center"/>
              <w:rPr>
                <w:rFonts w:ascii="Calibri" w:eastAsia="Times New Roman" w:hAnsi="Calibri" w:cs="Times New Roman"/>
                <w:color w:val="000000"/>
              </w:rPr>
            </w:pPr>
            <w:r w:rsidRPr="00EF39C5">
              <w:rPr>
                <w:rFonts w:ascii="Calibri" w:eastAsia="Times New Roman" w:hAnsi="Calibri" w:cs="Times New Roman"/>
                <w:color w:val="000000"/>
              </w:rPr>
              <w:t xml:space="preserve">Total asset </w:t>
            </w:r>
            <w:proofErr w:type="spellStart"/>
            <w:r w:rsidRPr="00EF39C5">
              <w:rPr>
                <w:rFonts w:ascii="Calibri" w:eastAsia="Times New Roman" w:hAnsi="Calibri" w:cs="Times New Roman"/>
                <w:color w:val="000000"/>
              </w:rPr>
              <w:t>turm</w:t>
            </w:r>
            <w:proofErr w:type="spellEnd"/>
            <w:r w:rsidRPr="00EF39C5">
              <w:rPr>
                <w:rFonts w:ascii="Calibri" w:eastAsia="Times New Roman" w:hAnsi="Calibri" w:cs="Times New Roman"/>
                <w:color w:val="000000"/>
              </w:rPr>
              <w:t xml:space="preserve"> over ratio</w:t>
            </w:r>
          </w:p>
        </w:tc>
      </w:tr>
      <w:tr w:rsidR="00EF39C5" w:rsidRPr="00EF39C5" w:rsidTr="00EF39C5">
        <w:trPr>
          <w:trHeight w:val="300"/>
        </w:trPr>
        <w:tc>
          <w:tcPr>
            <w:cnfStyle w:val="001000000000" w:firstRow="0" w:lastRow="0" w:firstColumn="1" w:lastColumn="0" w:oddVBand="0" w:evenVBand="0" w:oddHBand="0" w:evenHBand="0" w:firstRowFirstColumn="0" w:firstRowLastColumn="0" w:lastRowFirstColumn="0" w:lastRowLastColumn="0"/>
            <w:tcW w:w="2355" w:type="dxa"/>
            <w:noWrap/>
            <w:hideMark/>
          </w:tcPr>
          <w:p w:rsidR="00EF39C5" w:rsidRPr="00EF39C5" w:rsidRDefault="00EF39C5" w:rsidP="00EF39C5">
            <w:pPr>
              <w:rPr>
                <w:rFonts w:ascii="Calibri" w:eastAsia="Times New Roman" w:hAnsi="Calibri" w:cs="Times New Roman"/>
                <w:color w:val="000000"/>
              </w:rPr>
            </w:pPr>
            <w:r w:rsidRPr="00EF39C5">
              <w:rPr>
                <w:rFonts w:ascii="Calibri" w:eastAsia="Times New Roman" w:hAnsi="Calibri" w:cs="Times New Roman"/>
                <w:color w:val="000000"/>
              </w:rPr>
              <w:t> </w:t>
            </w:r>
          </w:p>
        </w:tc>
        <w:tc>
          <w:tcPr>
            <w:tcW w:w="81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2012</w:t>
            </w:r>
          </w:p>
        </w:tc>
        <w:tc>
          <w:tcPr>
            <w:tcW w:w="83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2013</w:t>
            </w:r>
          </w:p>
        </w:tc>
        <w:tc>
          <w:tcPr>
            <w:tcW w:w="83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2014</w:t>
            </w:r>
          </w:p>
        </w:tc>
        <w:tc>
          <w:tcPr>
            <w:tcW w:w="81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2015</w:t>
            </w:r>
          </w:p>
        </w:tc>
        <w:tc>
          <w:tcPr>
            <w:tcW w:w="81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2016</w:t>
            </w:r>
          </w:p>
        </w:tc>
      </w:tr>
      <w:tr w:rsidR="00EF39C5" w:rsidRPr="00EF39C5" w:rsidTr="00EF39C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55" w:type="dxa"/>
            <w:hideMark/>
          </w:tcPr>
          <w:p w:rsidR="00EF39C5" w:rsidRPr="00EF39C5" w:rsidRDefault="00EF39C5" w:rsidP="00EF39C5">
            <w:pPr>
              <w:rPr>
                <w:rFonts w:ascii="Calibri" w:eastAsia="Times New Roman" w:hAnsi="Calibri" w:cs="Times New Roman"/>
                <w:color w:val="000000"/>
              </w:rPr>
            </w:pPr>
            <w:r w:rsidRPr="00EF39C5">
              <w:rPr>
                <w:rFonts w:ascii="Calibri" w:eastAsia="Times New Roman" w:hAnsi="Calibri" w:cs="Times New Roman"/>
                <w:color w:val="000000"/>
              </w:rPr>
              <w:lastRenderedPageBreak/>
              <w:t>BT</w:t>
            </w:r>
          </w:p>
        </w:tc>
        <w:tc>
          <w:tcPr>
            <w:tcW w:w="81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0.79</w:t>
            </w:r>
          </w:p>
        </w:tc>
        <w:tc>
          <w:tcPr>
            <w:tcW w:w="83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0.41</w:t>
            </w:r>
          </w:p>
        </w:tc>
        <w:tc>
          <w:tcPr>
            <w:tcW w:w="83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0.41</w:t>
            </w:r>
          </w:p>
        </w:tc>
        <w:tc>
          <w:tcPr>
            <w:tcW w:w="81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0.38</w:t>
            </w:r>
          </w:p>
        </w:tc>
        <w:tc>
          <w:tcPr>
            <w:tcW w:w="81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0.35</w:t>
            </w:r>
          </w:p>
        </w:tc>
      </w:tr>
      <w:tr w:rsidR="00EF39C5" w:rsidRPr="00EF39C5" w:rsidTr="00EF39C5">
        <w:trPr>
          <w:trHeight w:val="315"/>
        </w:trPr>
        <w:tc>
          <w:tcPr>
            <w:cnfStyle w:val="001000000000" w:firstRow="0" w:lastRow="0" w:firstColumn="1" w:lastColumn="0" w:oddVBand="0" w:evenVBand="0" w:oddHBand="0" w:evenHBand="0" w:firstRowFirstColumn="0" w:firstRowLastColumn="0" w:lastRowFirstColumn="0" w:lastRowLastColumn="0"/>
            <w:tcW w:w="2355" w:type="dxa"/>
            <w:noWrap/>
            <w:hideMark/>
          </w:tcPr>
          <w:p w:rsidR="00EF39C5" w:rsidRPr="00EF39C5" w:rsidRDefault="00EF39C5" w:rsidP="00EF39C5">
            <w:pPr>
              <w:rPr>
                <w:rFonts w:eastAsia="Times New Roman" w:cs="Times New Roman"/>
                <w:color w:val="000000"/>
                <w:szCs w:val="24"/>
              </w:rPr>
            </w:pPr>
            <w:r w:rsidRPr="00EF39C5">
              <w:rPr>
                <w:rFonts w:eastAsia="Times New Roman" w:cs="Times New Roman"/>
                <w:color w:val="000000"/>
                <w:szCs w:val="24"/>
              </w:rPr>
              <w:t>Vodafone</w:t>
            </w:r>
          </w:p>
        </w:tc>
        <w:tc>
          <w:tcPr>
            <w:tcW w:w="81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0.29</w:t>
            </w:r>
          </w:p>
        </w:tc>
        <w:tc>
          <w:tcPr>
            <w:tcW w:w="83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0.28</w:t>
            </w:r>
          </w:p>
        </w:tc>
        <w:tc>
          <w:tcPr>
            <w:tcW w:w="83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0.31</w:t>
            </w:r>
          </w:p>
        </w:tc>
        <w:tc>
          <w:tcPr>
            <w:tcW w:w="81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0.34</w:t>
            </w:r>
          </w:p>
        </w:tc>
        <w:tc>
          <w:tcPr>
            <w:tcW w:w="81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0.31</w:t>
            </w:r>
          </w:p>
        </w:tc>
      </w:tr>
      <w:tr w:rsidR="00EF39C5" w:rsidRPr="00EF39C5" w:rsidTr="00EF39C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55" w:type="dxa"/>
            <w:noWrap/>
            <w:hideMark/>
          </w:tcPr>
          <w:p w:rsidR="00EF39C5" w:rsidRPr="00EF39C5" w:rsidRDefault="00EF39C5" w:rsidP="00EF39C5">
            <w:pPr>
              <w:rPr>
                <w:rFonts w:ascii="Calibri" w:eastAsia="Times New Roman" w:hAnsi="Calibri" w:cs="Times New Roman"/>
                <w:color w:val="000000"/>
              </w:rPr>
            </w:pPr>
          </w:p>
        </w:tc>
        <w:tc>
          <w:tcPr>
            <w:tcW w:w="817" w:type="dxa"/>
            <w:noWrap/>
            <w:hideMark/>
          </w:tcPr>
          <w:p w:rsidR="00EF39C5" w:rsidRPr="00EF39C5" w:rsidRDefault="00EF39C5" w:rsidP="00EF39C5">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p>
        </w:tc>
        <w:tc>
          <w:tcPr>
            <w:tcW w:w="837" w:type="dxa"/>
            <w:noWrap/>
            <w:hideMark/>
          </w:tcPr>
          <w:p w:rsidR="00EF39C5" w:rsidRPr="00EF39C5" w:rsidRDefault="00EF39C5" w:rsidP="00EF39C5">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p>
        </w:tc>
        <w:tc>
          <w:tcPr>
            <w:tcW w:w="837" w:type="dxa"/>
            <w:noWrap/>
            <w:hideMark/>
          </w:tcPr>
          <w:p w:rsidR="00EF39C5" w:rsidRPr="00EF39C5" w:rsidRDefault="00EF39C5" w:rsidP="00EF39C5">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p>
        </w:tc>
        <w:tc>
          <w:tcPr>
            <w:tcW w:w="817" w:type="dxa"/>
            <w:noWrap/>
            <w:hideMark/>
          </w:tcPr>
          <w:p w:rsidR="00EF39C5" w:rsidRPr="00EF39C5" w:rsidRDefault="00EF39C5" w:rsidP="00EF39C5">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p>
        </w:tc>
        <w:tc>
          <w:tcPr>
            <w:tcW w:w="817" w:type="dxa"/>
            <w:noWrap/>
            <w:hideMark/>
          </w:tcPr>
          <w:p w:rsidR="00EF39C5" w:rsidRPr="00EF39C5" w:rsidRDefault="00EF39C5" w:rsidP="00EF39C5">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p>
        </w:tc>
      </w:tr>
      <w:tr w:rsidR="00EF39C5" w:rsidRPr="00EF39C5" w:rsidTr="00EF39C5">
        <w:trPr>
          <w:trHeight w:val="300"/>
        </w:trPr>
        <w:tc>
          <w:tcPr>
            <w:cnfStyle w:val="001000000000" w:firstRow="0" w:lastRow="0" w:firstColumn="1" w:lastColumn="0" w:oddVBand="0" w:evenVBand="0" w:oddHBand="0" w:evenHBand="0" w:firstRowFirstColumn="0" w:firstRowLastColumn="0" w:lastRowFirstColumn="0" w:lastRowLastColumn="0"/>
            <w:tcW w:w="6480" w:type="dxa"/>
            <w:gridSpan w:val="6"/>
            <w:noWrap/>
            <w:hideMark/>
          </w:tcPr>
          <w:p w:rsidR="00EF39C5" w:rsidRPr="00EF39C5" w:rsidRDefault="00EF39C5" w:rsidP="00EF39C5">
            <w:pPr>
              <w:jc w:val="center"/>
              <w:rPr>
                <w:rFonts w:ascii="Calibri" w:eastAsia="Times New Roman" w:hAnsi="Calibri" w:cs="Times New Roman"/>
                <w:color w:val="000000"/>
              </w:rPr>
            </w:pPr>
            <w:r w:rsidRPr="00EF39C5">
              <w:rPr>
                <w:rFonts w:ascii="Calibri" w:eastAsia="Times New Roman" w:hAnsi="Calibri" w:cs="Times New Roman"/>
                <w:color w:val="000000"/>
              </w:rPr>
              <w:t>Gearing Ratio</w:t>
            </w:r>
          </w:p>
        </w:tc>
      </w:tr>
      <w:tr w:rsidR="00EF39C5" w:rsidRPr="00EF39C5" w:rsidTr="00EF39C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55" w:type="dxa"/>
            <w:noWrap/>
            <w:hideMark/>
          </w:tcPr>
          <w:p w:rsidR="00EF39C5" w:rsidRPr="00EF39C5" w:rsidRDefault="00EF39C5" w:rsidP="00EF39C5">
            <w:pPr>
              <w:rPr>
                <w:rFonts w:ascii="Calibri" w:eastAsia="Times New Roman" w:hAnsi="Calibri" w:cs="Times New Roman"/>
                <w:color w:val="000000"/>
              </w:rPr>
            </w:pPr>
            <w:r w:rsidRPr="00EF39C5">
              <w:rPr>
                <w:rFonts w:ascii="Calibri" w:eastAsia="Times New Roman" w:hAnsi="Calibri" w:cs="Times New Roman"/>
                <w:color w:val="000000"/>
              </w:rPr>
              <w:t> </w:t>
            </w:r>
          </w:p>
        </w:tc>
        <w:tc>
          <w:tcPr>
            <w:tcW w:w="81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2012</w:t>
            </w:r>
          </w:p>
        </w:tc>
        <w:tc>
          <w:tcPr>
            <w:tcW w:w="83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2013</w:t>
            </w:r>
          </w:p>
        </w:tc>
        <w:tc>
          <w:tcPr>
            <w:tcW w:w="83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2014</w:t>
            </w:r>
          </w:p>
        </w:tc>
        <w:tc>
          <w:tcPr>
            <w:tcW w:w="81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2015</w:t>
            </w:r>
          </w:p>
        </w:tc>
        <w:tc>
          <w:tcPr>
            <w:tcW w:w="81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2016</w:t>
            </w:r>
          </w:p>
        </w:tc>
      </w:tr>
      <w:tr w:rsidR="00EF39C5" w:rsidRPr="00EF39C5" w:rsidTr="00EF39C5">
        <w:trPr>
          <w:trHeight w:val="300"/>
        </w:trPr>
        <w:tc>
          <w:tcPr>
            <w:cnfStyle w:val="001000000000" w:firstRow="0" w:lastRow="0" w:firstColumn="1" w:lastColumn="0" w:oddVBand="0" w:evenVBand="0" w:oddHBand="0" w:evenHBand="0" w:firstRowFirstColumn="0" w:firstRowLastColumn="0" w:lastRowFirstColumn="0" w:lastRowLastColumn="0"/>
            <w:tcW w:w="2355" w:type="dxa"/>
            <w:hideMark/>
          </w:tcPr>
          <w:p w:rsidR="00EF39C5" w:rsidRPr="00EF39C5" w:rsidRDefault="00EF39C5" w:rsidP="00EF39C5">
            <w:pPr>
              <w:rPr>
                <w:rFonts w:ascii="Calibri" w:eastAsia="Times New Roman" w:hAnsi="Calibri" w:cs="Times New Roman"/>
                <w:color w:val="000000"/>
              </w:rPr>
            </w:pPr>
            <w:r w:rsidRPr="00EF39C5">
              <w:rPr>
                <w:rFonts w:ascii="Calibri" w:eastAsia="Times New Roman" w:hAnsi="Calibri" w:cs="Times New Roman"/>
                <w:color w:val="000000"/>
              </w:rPr>
              <w:t>BT</w:t>
            </w:r>
          </w:p>
        </w:tc>
        <w:tc>
          <w:tcPr>
            <w:tcW w:w="81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96%</w:t>
            </w:r>
          </w:p>
        </w:tc>
        <w:tc>
          <w:tcPr>
            <w:tcW w:w="83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64%</w:t>
            </w:r>
          </w:p>
        </w:tc>
        <w:tc>
          <w:tcPr>
            <w:tcW w:w="83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64%</w:t>
            </w:r>
          </w:p>
        </w:tc>
        <w:tc>
          <w:tcPr>
            <w:tcW w:w="81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66%</w:t>
            </w:r>
          </w:p>
        </w:tc>
        <w:tc>
          <w:tcPr>
            <w:tcW w:w="817" w:type="dxa"/>
            <w:noWrap/>
            <w:hideMark/>
          </w:tcPr>
          <w:p w:rsidR="00EF39C5" w:rsidRPr="00EF39C5" w:rsidRDefault="00EF39C5" w:rsidP="00EF39C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65%</w:t>
            </w:r>
          </w:p>
        </w:tc>
      </w:tr>
      <w:tr w:rsidR="00EF39C5" w:rsidRPr="00EF39C5" w:rsidTr="00EF39C5">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355" w:type="dxa"/>
            <w:noWrap/>
            <w:hideMark/>
          </w:tcPr>
          <w:p w:rsidR="00EF39C5" w:rsidRPr="00EF39C5" w:rsidRDefault="00EF39C5" w:rsidP="00EF39C5">
            <w:pPr>
              <w:rPr>
                <w:rFonts w:eastAsia="Times New Roman" w:cs="Times New Roman"/>
                <w:color w:val="000000"/>
                <w:szCs w:val="24"/>
              </w:rPr>
            </w:pPr>
            <w:r w:rsidRPr="00EF39C5">
              <w:rPr>
                <w:rFonts w:eastAsia="Times New Roman" w:cs="Times New Roman"/>
                <w:color w:val="000000"/>
                <w:szCs w:val="24"/>
              </w:rPr>
              <w:t>Vodafone</w:t>
            </w:r>
          </w:p>
        </w:tc>
        <w:tc>
          <w:tcPr>
            <w:tcW w:w="81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18%</w:t>
            </w:r>
          </w:p>
        </w:tc>
        <w:tc>
          <w:tcPr>
            <w:tcW w:w="83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19%</w:t>
            </w:r>
          </w:p>
        </w:tc>
        <w:tc>
          <w:tcPr>
            <w:tcW w:w="83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12%</w:t>
            </w:r>
          </w:p>
        </w:tc>
        <w:tc>
          <w:tcPr>
            <w:tcW w:w="81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51%</w:t>
            </w:r>
          </w:p>
        </w:tc>
        <w:tc>
          <w:tcPr>
            <w:tcW w:w="817" w:type="dxa"/>
            <w:noWrap/>
            <w:hideMark/>
          </w:tcPr>
          <w:p w:rsidR="00EF39C5" w:rsidRPr="00EF39C5" w:rsidRDefault="00EF39C5" w:rsidP="00EF39C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sidRPr="00EF39C5">
              <w:rPr>
                <w:rFonts w:ascii="Calibri" w:eastAsia="Times New Roman" w:hAnsi="Calibri" w:cs="Times New Roman"/>
                <w:color w:val="000000"/>
              </w:rPr>
              <w:t>52%</w:t>
            </w:r>
          </w:p>
        </w:tc>
      </w:tr>
    </w:tbl>
    <w:p w:rsidR="00EF39C5" w:rsidRPr="00BD15A2" w:rsidRDefault="00EF39C5" w:rsidP="00BD15A2">
      <w:pPr>
        <w:rPr>
          <w:rFonts w:cs="Times New Roman"/>
          <w:szCs w:val="24"/>
        </w:rPr>
      </w:pPr>
    </w:p>
    <w:p w:rsidR="00791964" w:rsidRPr="00BD15A2" w:rsidRDefault="003D42C5" w:rsidP="00BD15A2">
      <w:pPr>
        <w:rPr>
          <w:rFonts w:cs="Times New Roman"/>
          <w:szCs w:val="24"/>
        </w:rPr>
      </w:pPr>
      <w:r w:rsidRPr="00BD15A2">
        <w:rPr>
          <w:rFonts w:cs="Times New Roman"/>
          <w:szCs w:val="24"/>
        </w:rPr>
        <w:t xml:space="preserve">  </w:t>
      </w:r>
      <w:r w:rsidR="00786DE2" w:rsidRPr="00BD15A2">
        <w:rPr>
          <w:rFonts w:cs="Times New Roman"/>
          <w:szCs w:val="24"/>
        </w:rPr>
        <w:t xml:space="preserve">  </w:t>
      </w:r>
      <w:r w:rsidR="00766A21" w:rsidRPr="00BD15A2">
        <w:rPr>
          <w:rFonts w:cs="Times New Roman"/>
          <w:szCs w:val="24"/>
        </w:rPr>
        <w:t xml:space="preserve"> </w:t>
      </w:r>
      <w:r w:rsidR="003604BC" w:rsidRPr="00BD15A2">
        <w:rPr>
          <w:rFonts w:cs="Times New Roman"/>
          <w:szCs w:val="24"/>
        </w:rPr>
        <w:t xml:space="preserve"> </w:t>
      </w:r>
      <w:r w:rsidR="00803887" w:rsidRPr="00BD15A2">
        <w:rPr>
          <w:rFonts w:cs="Times New Roman"/>
          <w:szCs w:val="24"/>
        </w:rPr>
        <w:t xml:space="preserve">  </w:t>
      </w:r>
      <w:r w:rsidR="00CC30BF" w:rsidRPr="00BD15A2">
        <w:rPr>
          <w:rFonts w:cs="Times New Roman"/>
          <w:szCs w:val="24"/>
        </w:rPr>
        <w:t xml:space="preserve">        </w:t>
      </w:r>
      <w:r w:rsidR="0003096E" w:rsidRPr="00BD15A2">
        <w:rPr>
          <w:rFonts w:cs="Times New Roman"/>
          <w:szCs w:val="24"/>
        </w:rPr>
        <w:t xml:space="preserve">          </w:t>
      </w:r>
    </w:p>
    <w:sectPr w:rsidR="00791964" w:rsidRPr="00BD15A2" w:rsidSect="001E703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Berlin Sans FB">
    <w:altName w:val="Candara"/>
    <w:panose1 w:val="020E0602020502020306"/>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E210C8B"/>
    <w:multiLevelType w:val="hybridMultilevel"/>
    <w:tmpl w:val="1AF2390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07D0F"/>
    <w:rsid w:val="00001564"/>
    <w:rsid w:val="0002582D"/>
    <w:rsid w:val="00030659"/>
    <w:rsid w:val="0003096E"/>
    <w:rsid w:val="00032211"/>
    <w:rsid w:val="00086570"/>
    <w:rsid w:val="000A4341"/>
    <w:rsid w:val="000B5F84"/>
    <w:rsid w:val="000C1633"/>
    <w:rsid w:val="000D180F"/>
    <w:rsid w:val="000E5401"/>
    <w:rsid w:val="000E625A"/>
    <w:rsid w:val="000F244B"/>
    <w:rsid w:val="000F6C07"/>
    <w:rsid w:val="00107D0F"/>
    <w:rsid w:val="00112593"/>
    <w:rsid w:val="00124D54"/>
    <w:rsid w:val="001651D5"/>
    <w:rsid w:val="00184EDC"/>
    <w:rsid w:val="001903A7"/>
    <w:rsid w:val="00192543"/>
    <w:rsid w:val="001A1D9F"/>
    <w:rsid w:val="001B6E02"/>
    <w:rsid w:val="001D031D"/>
    <w:rsid w:val="001D629C"/>
    <w:rsid w:val="001D7BD6"/>
    <w:rsid w:val="001E7036"/>
    <w:rsid w:val="001F2DCD"/>
    <w:rsid w:val="002119D4"/>
    <w:rsid w:val="00215BD2"/>
    <w:rsid w:val="00223F8B"/>
    <w:rsid w:val="00297A6C"/>
    <w:rsid w:val="002F7C2E"/>
    <w:rsid w:val="003122E5"/>
    <w:rsid w:val="00344F58"/>
    <w:rsid w:val="00346A9F"/>
    <w:rsid w:val="00352DA5"/>
    <w:rsid w:val="003604BC"/>
    <w:rsid w:val="003657EB"/>
    <w:rsid w:val="0037559C"/>
    <w:rsid w:val="00381A92"/>
    <w:rsid w:val="003C1A1A"/>
    <w:rsid w:val="003D08B2"/>
    <w:rsid w:val="003D42C5"/>
    <w:rsid w:val="003D475B"/>
    <w:rsid w:val="003D502F"/>
    <w:rsid w:val="003D749F"/>
    <w:rsid w:val="003F2D0C"/>
    <w:rsid w:val="00400637"/>
    <w:rsid w:val="004127D7"/>
    <w:rsid w:val="00423D23"/>
    <w:rsid w:val="00431C7B"/>
    <w:rsid w:val="004647BF"/>
    <w:rsid w:val="0048470E"/>
    <w:rsid w:val="004D426F"/>
    <w:rsid w:val="004E03FB"/>
    <w:rsid w:val="004E3D8A"/>
    <w:rsid w:val="004E7EA6"/>
    <w:rsid w:val="0050733D"/>
    <w:rsid w:val="0051317B"/>
    <w:rsid w:val="00520CD9"/>
    <w:rsid w:val="005258BB"/>
    <w:rsid w:val="00545BB7"/>
    <w:rsid w:val="0055632B"/>
    <w:rsid w:val="00580C8A"/>
    <w:rsid w:val="00593110"/>
    <w:rsid w:val="005A2693"/>
    <w:rsid w:val="005A5B6C"/>
    <w:rsid w:val="005C584F"/>
    <w:rsid w:val="005D564E"/>
    <w:rsid w:val="005D768E"/>
    <w:rsid w:val="006355A2"/>
    <w:rsid w:val="00637B93"/>
    <w:rsid w:val="0068345E"/>
    <w:rsid w:val="00690EC2"/>
    <w:rsid w:val="006B758E"/>
    <w:rsid w:val="006B7C51"/>
    <w:rsid w:val="006C7382"/>
    <w:rsid w:val="006C77E0"/>
    <w:rsid w:val="006D2CF9"/>
    <w:rsid w:val="006F5D3C"/>
    <w:rsid w:val="006F7170"/>
    <w:rsid w:val="00717B86"/>
    <w:rsid w:val="00723270"/>
    <w:rsid w:val="007322D7"/>
    <w:rsid w:val="00750E7B"/>
    <w:rsid w:val="00754B1D"/>
    <w:rsid w:val="00766A21"/>
    <w:rsid w:val="00786DE2"/>
    <w:rsid w:val="00791964"/>
    <w:rsid w:val="007A1663"/>
    <w:rsid w:val="007B4FA0"/>
    <w:rsid w:val="007C0F11"/>
    <w:rsid w:val="007C2C54"/>
    <w:rsid w:val="007D363A"/>
    <w:rsid w:val="007F02E9"/>
    <w:rsid w:val="007F031B"/>
    <w:rsid w:val="007F28C9"/>
    <w:rsid w:val="00803887"/>
    <w:rsid w:val="00845625"/>
    <w:rsid w:val="00864449"/>
    <w:rsid w:val="008858B6"/>
    <w:rsid w:val="008B043B"/>
    <w:rsid w:val="008B5D66"/>
    <w:rsid w:val="008C18F8"/>
    <w:rsid w:val="008D7F6B"/>
    <w:rsid w:val="008F6CF8"/>
    <w:rsid w:val="00942C52"/>
    <w:rsid w:val="0095091E"/>
    <w:rsid w:val="00954583"/>
    <w:rsid w:val="00961B3E"/>
    <w:rsid w:val="009658CA"/>
    <w:rsid w:val="00A25184"/>
    <w:rsid w:val="00A403F9"/>
    <w:rsid w:val="00A92737"/>
    <w:rsid w:val="00AA0E6C"/>
    <w:rsid w:val="00AD086D"/>
    <w:rsid w:val="00AD2352"/>
    <w:rsid w:val="00AE048B"/>
    <w:rsid w:val="00B232D9"/>
    <w:rsid w:val="00B23305"/>
    <w:rsid w:val="00B70AC8"/>
    <w:rsid w:val="00B914F4"/>
    <w:rsid w:val="00B92215"/>
    <w:rsid w:val="00BA3F0C"/>
    <w:rsid w:val="00BB6542"/>
    <w:rsid w:val="00BC7D77"/>
    <w:rsid w:val="00BD15A2"/>
    <w:rsid w:val="00BD6EB9"/>
    <w:rsid w:val="00BE0077"/>
    <w:rsid w:val="00BE79BA"/>
    <w:rsid w:val="00BF2CD2"/>
    <w:rsid w:val="00C14F96"/>
    <w:rsid w:val="00C157F9"/>
    <w:rsid w:val="00C2191C"/>
    <w:rsid w:val="00C361DD"/>
    <w:rsid w:val="00C36B19"/>
    <w:rsid w:val="00C523DF"/>
    <w:rsid w:val="00C770C0"/>
    <w:rsid w:val="00CB1E7F"/>
    <w:rsid w:val="00CC30BF"/>
    <w:rsid w:val="00CC3467"/>
    <w:rsid w:val="00D349DA"/>
    <w:rsid w:val="00D72E95"/>
    <w:rsid w:val="00D843E4"/>
    <w:rsid w:val="00D9004B"/>
    <w:rsid w:val="00D92998"/>
    <w:rsid w:val="00DC1993"/>
    <w:rsid w:val="00DD17DA"/>
    <w:rsid w:val="00DD6F06"/>
    <w:rsid w:val="00DE5AEE"/>
    <w:rsid w:val="00DE76E6"/>
    <w:rsid w:val="00E02B24"/>
    <w:rsid w:val="00E100A0"/>
    <w:rsid w:val="00E27923"/>
    <w:rsid w:val="00E6228E"/>
    <w:rsid w:val="00E75EF1"/>
    <w:rsid w:val="00E907B8"/>
    <w:rsid w:val="00EB37A7"/>
    <w:rsid w:val="00EF39C5"/>
    <w:rsid w:val="00F13CDE"/>
    <w:rsid w:val="00F36119"/>
    <w:rsid w:val="00F65C84"/>
    <w:rsid w:val="00F6629F"/>
    <w:rsid w:val="00F76A6C"/>
    <w:rsid w:val="00F9215D"/>
    <w:rsid w:val="00FC19E0"/>
    <w:rsid w:val="00FD5A02"/>
    <w:rsid w:val="00FF5EE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D564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07D0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20CD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7D0F"/>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381A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1A92"/>
    <w:rPr>
      <w:rFonts w:ascii="Tahoma" w:hAnsi="Tahoma" w:cs="Tahoma"/>
      <w:sz w:val="16"/>
      <w:szCs w:val="16"/>
    </w:rPr>
  </w:style>
  <w:style w:type="character" w:customStyle="1" w:styleId="Heading2Char">
    <w:name w:val="Heading 2 Char"/>
    <w:basedOn w:val="DefaultParagraphFont"/>
    <w:link w:val="Heading2"/>
    <w:uiPriority w:val="9"/>
    <w:rsid w:val="00520CD9"/>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AD086D"/>
    <w:pPr>
      <w:ind w:left="720"/>
      <w:contextualSpacing/>
    </w:pPr>
  </w:style>
  <w:style w:type="paragraph" w:styleId="Title">
    <w:name w:val="Title"/>
    <w:basedOn w:val="Normal"/>
    <w:next w:val="Normal"/>
    <w:link w:val="TitleChar"/>
    <w:uiPriority w:val="10"/>
    <w:qFormat/>
    <w:rsid w:val="00BD15A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D15A2"/>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BD15A2"/>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BD15A2"/>
    <w:rPr>
      <w:rFonts w:asciiTheme="majorHAnsi" w:eastAsiaTheme="majorEastAsia" w:hAnsiTheme="majorHAnsi" w:cstheme="majorBidi"/>
      <w:i/>
      <w:iCs/>
      <w:color w:val="4F81BD" w:themeColor="accent1"/>
      <w:spacing w:val="15"/>
      <w:sz w:val="24"/>
      <w:szCs w:val="24"/>
    </w:rPr>
  </w:style>
  <w:style w:type="paragraph" w:styleId="TOCHeading">
    <w:name w:val="TOC Heading"/>
    <w:basedOn w:val="Heading1"/>
    <w:next w:val="Normal"/>
    <w:uiPriority w:val="39"/>
    <w:semiHidden/>
    <w:unhideWhenUsed/>
    <w:qFormat/>
    <w:rsid w:val="00BD15A2"/>
    <w:pPr>
      <w:outlineLvl w:val="9"/>
    </w:pPr>
  </w:style>
  <w:style w:type="paragraph" w:styleId="TOC1">
    <w:name w:val="toc 1"/>
    <w:basedOn w:val="Normal"/>
    <w:next w:val="Normal"/>
    <w:autoRedefine/>
    <w:uiPriority w:val="39"/>
    <w:unhideWhenUsed/>
    <w:rsid w:val="00BD15A2"/>
    <w:pPr>
      <w:spacing w:after="100"/>
    </w:pPr>
  </w:style>
  <w:style w:type="paragraph" w:styleId="TOC2">
    <w:name w:val="toc 2"/>
    <w:basedOn w:val="Normal"/>
    <w:next w:val="Normal"/>
    <w:autoRedefine/>
    <w:uiPriority w:val="39"/>
    <w:unhideWhenUsed/>
    <w:rsid w:val="00BD15A2"/>
    <w:pPr>
      <w:spacing w:after="100"/>
      <w:ind w:left="220"/>
    </w:pPr>
  </w:style>
  <w:style w:type="character" w:styleId="Hyperlink">
    <w:name w:val="Hyperlink"/>
    <w:basedOn w:val="DefaultParagraphFont"/>
    <w:uiPriority w:val="99"/>
    <w:unhideWhenUsed/>
    <w:rsid w:val="00BD15A2"/>
    <w:rPr>
      <w:color w:val="0000FF" w:themeColor="hyperlink"/>
      <w:u w:val="single"/>
    </w:rPr>
  </w:style>
  <w:style w:type="table" w:styleId="MediumShading2-Accent6">
    <w:name w:val="Medium Shading 2 Accent 6"/>
    <w:basedOn w:val="TableNormal"/>
    <w:uiPriority w:val="64"/>
    <w:rsid w:val="00EF39C5"/>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TableGrid">
    <w:name w:val="Table Grid"/>
    <w:basedOn w:val="TableNormal"/>
    <w:uiPriority w:val="59"/>
    <w:rsid w:val="001D629C"/>
    <w:pPr>
      <w:spacing w:after="0" w:line="240" w:lineRule="auto"/>
    </w:pPr>
    <w:rPr>
      <w:rFonts w:eastAsiaTheme="minorHAnsi"/>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Grid-Accent3">
    <w:name w:val="Light Grid Accent 3"/>
    <w:basedOn w:val="TableNormal"/>
    <w:uiPriority w:val="62"/>
    <w:rsid w:val="001D629C"/>
    <w:pPr>
      <w:spacing w:after="0" w:line="240" w:lineRule="auto"/>
    </w:pPr>
    <w:rPr>
      <w:rFonts w:eastAsiaTheme="minorHAnsi"/>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Shading-Accent4">
    <w:name w:val="Light Shading Accent 4"/>
    <w:basedOn w:val="TableNormal"/>
    <w:uiPriority w:val="60"/>
    <w:rsid w:val="001D629C"/>
    <w:pPr>
      <w:spacing w:after="0" w:line="240" w:lineRule="auto"/>
    </w:pPr>
    <w:rPr>
      <w:rFonts w:eastAsiaTheme="minorHAnsi"/>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ColorfulGrid-Accent5">
    <w:name w:val="Colorful Grid Accent 5"/>
    <w:basedOn w:val="TableNormal"/>
    <w:uiPriority w:val="73"/>
    <w:rsid w:val="001D629C"/>
    <w:pPr>
      <w:spacing w:after="0" w:line="240" w:lineRule="auto"/>
    </w:pPr>
    <w:rPr>
      <w:rFonts w:eastAsiaTheme="minorHAnsi"/>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D564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07D0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20CD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7D0F"/>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381A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1A92"/>
    <w:rPr>
      <w:rFonts w:ascii="Tahoma" w:hAnsi="Tahoma" w:cs="Tahoma"/>
      <w:sz w:val="16"/>
      <w:szCs w:val="16"/>
    </w:rPr>
  </w:style>
  <w:style w:type="character" w:customStyle="1" w:styleId="Heading2Char">
    <w:name w:val="Heading 2 Char"/>
    <w:basedOn w:val="DefaultParagraphFont"/>
    <w:link w:val="Heading2"/>
    <w:uiPriority w:val="9"/>
    <w:rsid w:val="00520CD9"/>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AD086D"/>
    <w:pPr>
      <w:ind w:left="720"/>
      <w:contextualSpacing/>
    </w:pPr>
  </w:style>
  <w:style w:type="paragraph" w:styleId="Title">
    <w:name w:val="Title"/>
    <w:basedOn w:val="Normal"/>
    <w:next w:val="Normal"/>
    <w:link w:val="TitleChar"/>
    <w:uiPriority w:val="10"/>
    <w:qFormat/>
    <w:rsid w:val="00BD15A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D15A2"/>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BD15A2"/>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BD15A2"/>
    <w:rPr>
      <w:rFonts w:asciiTheme="majorHAnsi" w:eastAsiaTheme="majorEastAsia" w:hAnsiTheme="majorHAnsi" w:cstheme="majorBidi"/>
      <w:i/>
      <w:iCs/>
      <w:color w:val="4F81BD" w:themeColor="accent1"/>
      <w:spacing w:val="15"/>
      <w:sz w:val="24"/>
      <w:szCs w:val="24"/>
    </w:rPr>
  </w:style>
  <w:style w:type="paragraph" w:styleId="TOCHeading">
    <w:name w:val="TOC Heading"/>
    <w:basedOn w:val="Heading1"/>
    <w:next w:val="Normal"/>
    <w:uiPriority w:val="39"/>
    <w:semiHidden/>
    <w:unhideWhenUsed/>
    <w:qFormat/>
    <w:rsid w:val="00BD15A2"/>
    <w:pPr>
      <w:outlineLvl w:val="9"/>
    </w:pPr>
  </w:style>
  <w:style w:type="paragraph" w:styleId="TOC1">
    <w:name w:val="toc 1"/>
    <w:basedOn w:val="Normal"/>
    <w:next w:val="Normal"/>
    <w:autoRedefine/>
    <w:uiPriority w:val="39"/>
    <w:unhideWhenUsed/>
    <w:rsid w:val="00BD15A2"/>
    <w:pPr>
      <w:spacing w:after="100"/>
    </w:pPr>
  </w:style>
  <w:style w:type="paragraph" w:styleId="TOC2">
    <w:name w:val="toc 2"/>
    <w:basedOn w:val="Normal"/>
    <w:next w:val="Normal"/>
    <w:autoRedefine/>
    <w:uiPriority w:val="39"/>
    <w:unhideWhenUsed/>
    <w:rsid w:val="00BD15A2"/>
    <w:pPr>
      <w:spacing w:after="100"/>
      <w:ind w:left="220"/>
    </w:pPr>
  </w:style>
  <w:style w:type="character" w:styleId="Hyperlink">
    <w:name w:val="Hyperlink"/>
    <w:basedOn w:val="DefaultParagraphFont"/>
    <w:uiPriority w:val="99"/>
    <w:unhideWhenUsed/>
    <w:rsid w:val="00BD15A2"/>
    <w:rPr>
      <w:color w:val="0000FF" w:themeColor="hyperlink"/>
      <w:u w:val="single"/>
    </w:rPr>
  </w:style>
  <w:style w:type="table" w:styleId="MediumShading2-Accent6">
    <w:name w:val="Medium Shading 2 Accent 6"/>
    <w:basedOn w:val="TableNormal"/>
    <w:uiPriority w:val="64"/>
    <w:rsid w:val="00EF39C5"/>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TableGrid">
    <w:name w:val="Table Grid"/>
    <w:basedOn w:val="TableNormal"/>
    <w:uiPriority w:val="59"/>
    <w:rsid w:val="001D629C"/>
    <w:pPr>
      <w:spacing w:after="0" w:line="240" w:lineRule="auto"/>
    </w:pPr>
    <w:rPr>
      <w:rFonts w:eastAsiaTheme="minorHAnsi"/>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Grid-Accent3">
    <w:name w:val="Light Grid Accent 3"/>
    <w:basedOn w:val="TableNormal"/>
    <w:uiPriority w:val="62"/>
    <w:rsid w:val="001D629C"/>
    <w:pPr>
      <w:spacing w:after="0" w:line="240" w:lineRule="auto"/>
    </w:pPr>
    <w:rPr>
      <w:rFonts w:eastAsiaTheme="minorHAnsi"/>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Shading-Accent4">
    <w:name w:val="Light Shading Accent 4"/>
    <w:basedOn w:val="TableNormal"/>
    <w:uiPriority w:val="60"/>
    <w:rsid w:val="001D629C"/>
    <w:pPr>
      <w:spacing w:after="0" w:line="240" w:lineRule="auto"/>
    </w:pPr>
    <w:rPr>
      <w:rFonts w:eastAsiaTheme="minorHAnsi"/>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ColorfulGrid-Accent5">
    <w:name w:val="Colorful Grid Accent 5"/>
    <w:basedOn w:val="TableNormal"/>
    <w:uiPriority w:val="73"/>
    <w:rsid w:val="001D629C"/>
    <w:pPr>
      <w:spacing w:after="0" w:line="240" w:lineRule="auto"/>
    </w:pPr>
    <w:rPr>
      <w:rFonts w:eastAsiaTheme="minorHAnsi"/>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88702351">
      <w:bodyDiv w:val="1"/>
      <w:marLeft w:val="0"/>
      <w:marRight w:val="0"/>
      <w:marTop w:val="0"/>
      <w:marBottom w:val="0"/>
      <w:divBdr>
        <w:top w:val="none" w:sz="0" w:space="0" w:color="auto"/>
        <w:left w:val="none" w:sz="0" w:space="0" w:color="auto"/>
        <w:bottom w:val="none" w:sz="0" w:space="0" w:color="auto"/>
        <w:right w:val="none" w:sz="0" w:space="0" w:color="auto"/>
      </w:divBdr>
    </w:div>
    <w:div w:id="377702594">
      <w:bodyDiv w:val="1"/>
      <w:marLeft w:val="0"/>
      <w:marRight w:val="0"/>
      <w:marTop w:val="0"/>
      <w:marBottom w:val="0"/>
      <w:divBdr>
        <w:top w:val="none" w:sz="0" w:space="0" w:color="auto"/>
        <w:left w:val="none" w:sz="0" w:space="0" w:color="auto"/>
        <w:bottom w:val="none" w:sz="0" w:space="0" w:color="auto"/>
        <w:right w:val="none" w:sz="0" w:space="0" w:color="auto"/>
      </w:divBdr>
    </w:div>
    <w:div w:id="540436617">
      <w:bodyDiv w:val="1"/>
      <w:marLeft w:val="0"/>
      <w:marRight w:val="0"/>
      <w:marTop w:val="0"/>
      <w:marBottom w:val="0"/>
      <w:divBdr>
        <w:top w:val="none" w:sz="0" w:space="0" w:color="auto"/>
        <w:left w:val="none" w:sz="0" w:space="0" w:color="auto"/>
        <w:bottom w:val="none" w:sz="0" w:space="0" w:color="auto"/>
        <w:right w:val="none" w:sz="0" w:space="0" w:color="auto"/>
      </w:divBdr>
    </w:div>
    <w:div w:id="868645158">
      <w:bodyDiv w:val="1"/>
      <w:marLeft w:val="0"/>
      <w:marRight w:val="0"/>
      <w:marTop w:val="0"/>
      <w:marBottom w:val="0"/>
      <w:divBdr>
        <w:top w:val="none" w:sz="0" w:space="0" w:color="auto"/>
        <w:left w:val="none" w:sz="0" w:space="0" w:color="auto"/>
        <w:bottom w:val="none" w:sz="0" w:space="0" w:color="auto"/>
        <w:right w:val="none" w:sz="0" w:space="0" w:color="auto"/>
      </w:divBdr>
    </w:div>
    <w:div w:id="912472657">
      <w:bodyDiv w:val="1"/>
      <w:marLeft w:val="0"/>
      <w:marRight w:val="0"/>
      <w:marTop w:val="0"/>
      <w:marBottom w:val="0"/>
      <w:divBdr>
        <w:top w:val="none" w:sz="0" w:space="0" w:color="auto"/>
        <w:left w:val="none" w:sz="0" w:space="0" w:color="auto"/>
        <w:bottom w:val="none" w:sz="0" w:space="0" w:color="auto"/>
        <w:right w:val="none" w:sz="0" w:space="0" w:color="auto"/>
      </w:divBdr>
    </w:div>
    <w:div w:id="1084497669">
      <w:bodyDiv w:val="1"/>
      <w:marLeft w:val="0"/>
      <w:marRight w:val="0"/>
      <w:marTop w:val="0"/>
      <w:marBottom w:val="0"/>
      <w:divBdr>
        <w:top w:val="none" w:sz="0" w:space="0" w:color="auto"/>
        <w:left w:val="none" w:sz="0" w:space="0" w:color="auto"/>
        <w:bottom w:val="none" w:sz="0" w:space="0" w:color="auto"/>
        <w:right w:val="none" w:sz="0" w:space="0" w:color="auto"/>
      </w:divBdr>
    </w:div>
    <w:div w:id="1233849299">
      <w:bodyDiv w:val="1"/>
      <w:marLeft w:val="0"/>
      <w:marRight w:val="0"/>
      <w:marTop w:val="0"/>
      <w:marBottom w:val="0"/>
      <w:divBdr>
        <w:top w:val="none" w:sz="0" w:space="0" w:color="auto"/>
        <w:left w:val="none" w:sz="0" w:space="0" w:color="auto"/>
        <w:bottom w:val="none" w:sz="0" w:space="0" w:color="auto"/>
        <w:right w:val="none" w:sz="0" w:space="0" w:color="auto"/>
      </w:divBdr>
    </w:div>
    <w:div w:id="1541699748">
      <w:bodyDiv w:val="1"/>
      <w:marLeft w:val="0"/>
      <w:marRight w:val="0"/>
      <w:marTop w:val="0"/>
      <w:marBottom w:val="0"/>
      <w:divBdr>
        <w:top w:val="none" w:sz="0" w:space="0" w:color="auto"/>
        <w:left w:val="none" w:sz="0" w:space="0" w:color="auto"/>
        <w:bottom w:val="none" w:sz="0" w:space="0" w:color="auto"/>
        <w:right w:val="none" w:sz="0" w:space="0" w:color="auto"/>
      </w:divBdr>
    </w:div>
    <w:div w:id="1944149678">
      <w:bodyDiv w:val="1"/>
      <w:marLeft w:val="0"/>
      <w:marRight w:val="0"/>
      <w:marTop w:val="0"/>
      <w:marBottom w:val="0"/>
      <w:divBdr>
        <w:top w:val="none" w:sz="0" w:space="0" w:color="auto"/>
        <w:left w:val="none" w:sz="0" w:space="0" w:color="auto"/>
        <w:bottom w:val="none" w:sz="0" w:space="0" w:color="auto"/>
        <w:right w:val="none" w:sz="0" w:space="0" w:color="auto"/>
      </w:divBdr>
    </w:div>
    <w:div w:id="2015185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1.xml"/><Relationship Id="rId18" Type="http://schemas.openxmlformats.org/officeDocument/2006/relationships/chart" Target="charts/chart4.xml"/><Relationship Id="rId26" Type="http://schemas.openxmlformats.org/officeDocument/2006/relationships/chart" Target="charts/chart12.xml"/><Relationship Id="rId3" Type="http://schemas.openxmlformats.org/officeDocument/2006/relationships/styles" Target="styles.xml"/><Relationship Id="rId21" Type="http://schemas.openxmlformats.org/officeDocument/2006/relationships/chart" Target="charts/chart7.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8.emf"/><Relationship Id="rId25" Type="http://schemas.openxmlformats.org/officeDocument/2006/relationships/chart" Target="charts/chart11.xml"/><Relationship Id="rId2" Type="http://schemas.openxmlformats.org/officeDocument/2006/relationships/numbering" Target="numbering.xml"/><Relationship Id="rId16" Type="http://schemas.openxmlformats.org/officeDocument/2006/relationships/image" Target="media/image7.emf"/><Relationship Id="rId20" Type="http://schemas.openxmlformats.org/officeDocument/2006/relationships/chart" Target="charts/chart6.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chart" Target="charts/chart10.xml"/><Relationship Id="rId5" Type="http://schemas.openxmlformats.org/officeDocument/2006/relationships/settings" Target="settings.xml"/><Relationship Id="rId15" Type="http://schemas.openxmlformats.org/officeDocument/2006/relationships/chart" Target="charts/chart3.xml"/><Relationship Id="rId23" Type="http://schemas.openxmlformats.org/officeDocument/2006/relationships/chart" Target="charts/chart9.xml"/><Relationship Id="rId28" Type="http://schemas.openxmlformats.org/officeDocument/2006/relationships/chart" Target="charts/chart14.xml"/><Relationship Id="rId10" Type="http://schemas.openxmlformats.org/officeDocument/2006/relationships/image" Target="media/image4.png"/><Relationship Id="rId19" Type="http://schemas.openxmlformats.org/officeDocument/2006/relationships/chart" Target="charts/chart5.xml"/><Relationship Id="rId4" Type="http://schemas.microsoft.com/office/2007/relationships/stylesWithEffects" Target="stylesWithEffects.xml"/><Relationship Id="rId9" Type="http://schemas.openxmlformats.org/officeDocument/2006/relationships/image" Target="media/image3.png"/><Relationship Id="rId14" Type="http://schemas.openxmlformats.org/officeDocument/2006/relationships/chart" Target="charts/chart2.xml"/><Relationship Id="rId22" Type="http://schemas.openxmlformats.org/officeDocument/2006/relationships/chart" Target="charts/chart8.xml"/><Relationship Id="rId27" Type="http://schemas.openxmlformats.org/officeDocument/2006/relationships/chart" Target="charts/chart13.xm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file:///D:\job\2018\jan\3.1.18\calculation-3.1.2018.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D:\job\2018\jan\3.1.18\calculation-3.1.2018.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D:\job\2018\jan\3.1.18\calculation-3.1.2018.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D:\Dipanwita%20Chakraborty\January-2018\3.1.2018\docs%20to%20send\calculation-3.1.2018.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D:\Dipanwita%20Chakraborty\January-2018\3.1.2018\docs%20to%20send\calculation-3.1.2018.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D:\Dipanwita%20Chakraborty\January-2018\3.1.2018\docs%20to%20send\calculation-3.1.2018.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D:\Dipanwita%20Chakraborty\January-2018\3.1.2018\docs%20to%20send\calculation-3.1.2018.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D:\Dipanwita%20Chakraborty\January-2018\3.1.2018\docs%20to%20send\calculation-3.1.2018.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D:\job\2018\jan\3.1.18\calculation-3.1.2018.xlsx"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file:///D:\Dipanwita%20Chakraborty\January-2018\3.1.2018\docs%20to%20send\calculation-3.1.2018.xlsx" TargetMode="External"/></Relationships>
</file>

<file path=word/charts/_rels/chart11.xml.rels><?xml version="1.0" encoding="UTF-8" standalone="yes"?>
<Relationships xmlns="http://schemas.openxmlformats.org/package/2006/relationships"><Relationship Id="rId1" Type="http://schemas.openxmlformats.org/officeDocument/2006/relationships/oleObject" Target="file:///D:\Dipanwita%20Chakraborty\January-2018\3.1.2018\docs%20to%20send\calculation-3.1.2018.xlsx" TargetMode="External"/></Relationships>
</file>

<file path=word/charts/_rels/chart12.xml.rels><?xml version="1.0" encoding="UTF-8" standalone="yes"?>
<Relationships xmlns="http://schemas.openxmlformats.org/package/2006/relationships"><Relationship Id="rId1" Type="http://schemas.openxmlformats.org/officeDocument/2006/relationships/oleObject" Target="file:///D:\Dipanwita%20Chakraborty\January-2018\3.1.2018\docs%20to%20send\calculation-3.1.2018.xlsx" TargetMode="External"/></Relationships>
</file>

<file path=word/charts/_rels/chart13.xml.rels><?xml version="1.0" encoding="UTF-8" standalone="yes"?>
<Relationships xmlns="http://schemas.openxmlformats.org/package/2006/relationships"><Relationship Id="rId1" Type="http://schemas.openxmlformats.org/officeDocument/2006/relationships/oleObject" Target="file:///D:\Dipanwita%20Chakraborty\January-2018\3.1.2018\docs%20to%20send\calculation-3.1.2018.xlsx" TargetMode="External"/></Relationships>
</file>

<file path=word/charts/_rels/chart14.xml.rels><?xml version="1.0" encoding="UTF-8" standalone="yes"?>
<Relationships xmlns="http://schemas.openxmlformats.org/package/2006/relationships"><Relationship Id="rId1" Type="http://schemas.openxmlformats.org/officeDocument/2006/relationships/oleObject" Target="file:///D:\Dipanwita%20Chakraborty\January-2018\3.1.2018\docs%20to%20send\calculation-3.1.2018.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I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lang="en-US"/>
            </a:pPr>
            <a:r>
              <a:rPr lang="en-US"/>
              <a:t>Profitabiliy Ratios </a:t>
            </a:r>
          </a:p>
        </c:rich>
      </c:tx>
      <c:overlay val="0"/>
    </c:title>
    <c:autoTitleDeleted val="0"/>
    <c:plotArea>
      <c:layout/>
      <c:barChart>
        <c:barDir val="col"/>
        <c:grouping val="clustered"/>
        <c:varyColors val="0"/>
        <c:ser>
          <c:idx val="0"/>
          <c:order val="0"/>
          <c:tx>
            <c:strRef>
              <c:f>Sheet1!$A$7</c:f>
              <c:strCache>
                <c:ptCount val="1"/>
                <c:pt idx="0">
                  <c:v> Operating profit margin ([Gross profit /Net sales]*100) </c:v>
                </c:pt>
              </c:strCache>
            </c:strRef>
          </c:tx>
          <c:invertIfNegative val="0"/>
          <c:cat>
            <c:numRef>
              <c:f>Sheet1!$B$2:$F$2</c:f>
              <c:numCache>
                <c:formatCode>General</c:formatCode>
                <c:ptCount val="5"/>
                <c:pt idx="0">
                  <c:v>2012</c:v>
                </c:pt>
                <c:pt idx="1">
                  <c:v>2013</c:v>
                </c:pt>
                <c:pt idx="2">
                  <c:v>2014</c:v>
                </c:pt>
                <c:pt idx="3">
                  <c:v>2015</c:v>
                </c:pt>
                <c:pt idx="4">
                  <c:v>2016</c:v>
                </c:pt>
              </c:numCache>
            </c:numRef>
          </c:cat>
          <c:val>
            <c:numRef>
              <c:f>Sheet1!$B$7:$F$7</c:f>
              <c:numCache>
                <c:formatCode>0%</c:formatCode>
                <c:ptCount val="5"/>
                <c:pt idx="0">
                  <c:v>0.15236740928003384</c:v>
                </c:pt>
                <c:pt idx="1">
                  <c:v>0.16306689498978072</c:v>
                </c:pt>
                <c:pt idx="2">
                  <c:v>0.17208946245967091</c:v>
                </c:pt>
                <c:pt idx="3">
                  <c:v>0.19389287502085767</c:v>
                </c:pt>
                <c:pt idx="4">
                  <c:v>0.19625039386619084</c:v>
                </c:pt>
              </c:numCache>
            </c:numRef>
          </c:val>
        </c:ser>
        <c:ser>
          <c:idx val="1"/>
          <c:order val="1"/>
          <c:tx>
            <c:strRef>
              <c:f>Sheet1!$A$8</c:f>
              <c:strCache>
                <c:ptCount val="1"/>
                <c:pt idx="0">
                  <c:v>Net Profit margin (Net profit or PAT/Net sales): </c:v>
                </c:pt>
              </c:strCache>
            </c:strRef>
          </c:tx>
          <c:invertIfNegative val="0"/>
          <c:cat>
            <c:numRef>
              <c:f>Sheet1!$B$2:$F$2</c:f>
              <c:numCache>
                <c:formatCode>General</c:formatCode>
                <c:ptCount val="5"/>
                <c:pt idx="0">
                  <c:v>2012</c:v>
                </c:pt>
                <c:pt idx="1">
                  <c:v>2013</c:v>
                </c:pt>
                <c:pt idx="2">
                  <c:v>2014</c:v>
                </c:pt>
                <c:pt idx="3">
                  <c:v>2015</c:v>
                </c:pt>
                <c:pt idx="4">
                  <c:v>2016</c:v>
                </c:pt>
              </c:numCache>
            </c:numRef>
          </c:cat>
          <c:val>
            <c:numRef>
              <c:f>Sheet1!$B$8:$F$8</c:f>
              <c:numCache>
                <c:formatCode>0%</c:formatCode>
                <c:ptCount val="5"/>
                <c:pt idx="0">
                  <c:v>0.10396587138568508</c:v>
                </c:pt>
                <c:pt idx="1">
                  <c:v>0.11870960614262828</c:v>
                </c:pt>
                <c:pt idx="2">
                  <c:v>0.11915568436594305</c:v>
                </c:pt>
                <c:pt idx="3">
                  <c:v>0.12848323043550824</c:v>
                </c:pt>
                <c:pt idx="4">
                  <c:v>0.14993172986030895</c:v>
                </c:pt>
              </c:numCache>
            </c:numRef>
          </c:val>
        </c:ser>
        <c:dLbls>
          <c:showLegendKey val="0"/>
          <c:showVal val="1"/>
          <c:showCatName val="0"/>
          <c:showSerName val="0"/>
          <c:showPercent val="0"/>
          <c:showBubbleSize val="0"/>
        </c:dLbls>
        <c:gapWidth val="150"/>
        <c:overlap val="-25"/>
        <c:axId val="316211584"/>
        <c:axId val="316213120"/>
      </c:barChart>
      <c:catAx>
        <c:axId val="316211584"/>
        <c:scaling>
          <c:orientation val="minMax"/>
        </c:scaling>
        <c:delete val="0"/>
        <c:axPos val="b"/>
        <c:numFmt formatCode="General" sourceLinked="1"/>
        <c:majorTickMark val="none"/>
        <c:minorTickMark val="none"/>
        <c:tickLblPos val="nextTo"/>
        <c:txPr>
          <a:bodyPr/>
          <a:lstStyle/>
          <a:p>
            <a:pPr>
              <a:defRPr lang="en-US"/>
            </a:pPr>
            <a:endParaRPr lang="en-US"/>
          </a:p>
        </c:txPr>
        <c:crossAx val="316213120"/>
        <c:crosses val="autoZero"/>
        <c:auto val="1"/>
        <c:lblAlgn val="ctr"/>
        <c:lblOffset val="100"/>
        <c:noMultiLvlLbl val="0"/>
      </c:catAx>
      <c:valAx>
        <c:axId val="316213120"/>
        <c:scaling>
          <c:orientation val="minMax"/>
        </c:scaling>
        <c:delete val="1"/>
        <c:axPos val="l"/>
        <c:numFmt formatCode="0%" sourceLinked="1"/>
        <c:majorTickMark val="none"/>
        <c:minorTickMark val="none"/>
        <c:tickLblPos val="nextTo"/>
        <c:crossAx val="316211584"/>
        <c:crosses val="autoZero"/>
        <c:crossBetween val="between"/>
      </c:valAx>
    </c:plotArea>
    <c:legend>
      <c:legendPos val="t"/>
      <c:overlay val="0"/>
      <c:txPr>
        <a:bodyPr/>
        <a:lstStyle/>
        <a:p>
          <a:pPr>
            <a:defRPr lang="en-US"/>
          </a:pPr>
          <a:endParaRPr lang="en-US"/>
        </a:p>
      </c:txPr>
    </c:legend>
    <c:plotVisOnly val="1"/>
    <c:dispBlanksAs val="gap"/>
    <c:showDLblsOverMax val="0"/>
  </c:chart>
  <c:spPr>
    <a:gradFill rotWithShape="1">
      <a:gsLst>
        <a:gs pos="0">
          <a:schemeClr val="accent2">
            <a:tint val="50000"/>
            <a:satMod val="300000"/>
          </a:schemeClr>
        </a:gs>
        <a:gs pos="35000">
          <a:schemeClr val="accent2">
            <a:tint val="37000"/>
            <a:satMod val="300000"/>
          </a:schemeClr>
        </a:gs>
        <a:gs pos="100000">
          <a:schemeClr val="accent2">
            <a:tint val="15000"/>
            <a:satMod val="350000"/>
          </a:schemeClr>
        </a:gs>
      </a:gsLst>
      <a:lin ang="16200000" scaled="1"/>
    </a:gradFill>
    <a:ln w="9525" cap="flat" cmpd="sng" algn="ctr">
      <a:solidFill>
        <a:schemeClr val="accent2">
          <a:shade val="95000"/>
          <a:satMod val="105000"/>
        </a:schemeClr>
      </a:solidFill>
      <a:prstDash val="solid"/>
    </a:ln>
    <a:effectLst>
      <a:outerShdw blurRad="40000" dist="20000" dir="5400000" rotWithShape="0">
        <a:srgbClr val="000000">
          <a:alpha val="38000"/>
        </a:srgbClr>
      </a:outerShdw>
    </a:effectLst>
  </c:spPr>
  <c:txPr>
    <a:bodyPr/>
    <a:lstStyle/>
    <a:p>
      <a:pPr>
        <a:defRPr>
          <a:solidFill>
            <a:schemeClr val="dk1"/>
          </a:solidFill>
          <a:latin typeface="+mn-lt"/>
          <a:ea typeface="+mn-ea"/>
          <a:cs typeface="+mn-cs"/>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I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lang="en-US"/>
            </a:pPr>
            <a:r>
              <a:rPr lang="en-US" sz="1800" b="1" i="0" u="none" strike="noStrike" baseline="0"/>
              <a:t>Liquidity analysis </a:t>
            </a:r>
            <a:endParaRPr lang="en-US"/>
          </a:p>
        </c:rich>
      </c:tx>
      <c:overlay val="0"/>
    </c:title>
    <c:autoTitleDeleted val="0"/>
    <c:plotArea>
      <c:layout/>
      <c:barChart>
        <c:barDir val="col"/>
        <c:grouping val="clustered"/>
        <c:varyColors val="0"/>
        <c:ser>
          <c:idx val="0"/>
          <c:order val="0"/>
          <c:tx>
            <c:strRef>
              <c:f>BT!$T$47</c:f>
              <c:strCache>
                <c:ptCount val="1"/>
                <c:pt idx="0">
                  <c:v>Current Ratio ([Current asset/Current liability]*100): </c:v>
                </c:pt>
              </c:strCache>
            </c:strRef>
          </c:tx>
          <c:invertIfNegative val="0"/>
          <c:cat>
            <c:numRef>
              <c:f>BT!$U$44:$Y$44</c:f>
              <c:numCache>
                <c:formatCode>General</c:formatCode>
                <c:ptCount val="5"/>
                <c:pt idx="0">
                  <c:v>2012</c:v>
                </c:pt>
                <c:pt idx="1">
                  <c:v>2013</c:v>
                </c:pt>
                <c:pt idx="2">
                  <c:v>2014</c:v>
                </c:pt>
                <c:pt idx="3">
                  <c:v>2015</c:v>
                </c:pt>
                <c:pt idx="4">
                  <c:v>2016</c:v>
                </c:pt>
              </c:numCache>
            </c:numRef>
          </c:cat>
          <c:val>
            <c:numRef>
              <c:f>BT!$U$55:$Y$55</c:f>
              <c:numCache>
                <c:formatCode>0.00</c:formatCode>
                <c:ptCount val="5"/>
                <c:pt idx="0">
                  <c:v>0.4783360345759049</c:v>
                </c:pt>
                <c:pt idx="1">
                  <c:v>0.69518576661433862</c:v>
                </c:pt>
                <c:pt idx="2">
                  <c:v>0.83032818783240359</c:v>
                </c:pt>
                <c:pt idx="3">
                  <c:v>0.95990169447678275</c:v>
                </c:pt>
                <c:pt idx="4">
                  <c:v>0.74902987095027618</c:v>
                </c:pt>
              </c:numCache>
            </c:numRef>
          </c:val>
        </c:ser>
        <c:ser>
          <c:idx val="1"/>
          <c:order val="1"/>
          <c:tx>
            <c:strRef>
              <c:f>BT!$G$22</c:f>
              <c:strCache>
                <c:ptCount val="1"/>
                <c:pt idx="0">
                  <c:v>Quick Ratio ([Current asset-Inventories]/ Current liability*100) </c:v>
                </c:pt>
              </c:strCache>
            </c:strRef>
          </c:tx>
          <c:invertIfNegative val="0"/>
          <c:cat>
            <c:numRef>
              <c:f>BT!$U$44:$Y$44</c:f>
              <c:numCache>
                <c:formatCode>General</c:formatCode>
                <c:ptCount val="5"/>
                <c:pt idx="0">
                  <c:v>2012</c:v>
                </c:pt>
                <c:pt idx="1">
                  <c:v>2013</c:v>
                </c:pt>
                <c:pt idx="2">
                  <c:v>2014</c:v>
                </c:pt>
                <c:pt idx="3">
                  <c:v>2015</c:v>
                </c:pt>
                <c:pt idx="4">
                  <c:v>2016</c:v>
                </c:pt>
              </c:numCache>
            </c:numRef>
          </c:cat>
          <c:val>
            <c:numRef>
              <c:f>BT!$U$56:$Y$56</c:f>
              <c:numCache>
                <c:formatCode>0.00</c:formatCode>
                <c:ptCount val="5"/>
                <c:pt idx="0">
                  <c:v>0.48957320367369017</c:v>
                </c:pt>
                <c:pt idx="1">
                  <c:v>0.70866038723181579</c:v>
                </c:pt>
                <c:pt idx="2">
                  <c:v>0.84096510572058669</c:v>
                </c:pt>
                <c:pt idx="3">
                  <c:v>0.97206053550640281</c:v>
                </c:pt>
                <c:pt idx="4">
                  <c:v>0.76608609331287858</c:v>
                </c:pt>
              </c:numCache>
            </c:numRef>
          </c:val>
        </c:ser>
        <c:dLbls>
          <c:showLegendKey val="0"/>
          <c:showVal val="1"/>
          <c:showCatName val="0"/>
          <c:showSerName val="0"/>
          <c:showPercent val="0"/>
          <c:showBubbleSize val="0"/>
        </c:dLbls>
        <c:gapWidth val="150"/>
        <c:overlap val="-25"/>
        <c:axId val="316350464"/>
        <c:axId val="316352000"/>
      </c:barChart>
      <c:catAx>
        <c:axId val="316350464"/>
        <c:scaling>
          <c:orientation val="minMax"/>
        </c:scaling>
        <c:delete val="0"/>
        <c:axPos val="b"/>
        <c:numFmt formatCode="General" sourceLinked="1"/>
        <c:majorTickMark val="none"/>
        <c:minorTickMark val="none"/>
        <c:tickLblPos val="nextTo"/>
        <c:txPr>
          <a:bodyPr/>
          <a:lstStyle/>
          <a:p>
            <a:pPr>
              <a:defRPr lang="en-US"/>
            </a:pPr>
            <a:endParaRPr lang="en-US"/>
          </a:p>
        </c:txPr>
        <c:crossAx val="316352000"/>
        <c:crosses val="autoZero"/>
        <c:auto val="1"/>
        <c:lblAlgn val="ctr"/>
        <c:lblOffset val="100"/>
        <c:noMultiLvlLbl val="0"/>
      </c:catAx>
      <c:valAx>
        <c:axId val="316352000"/>
        <c:scaling>
          <c:orientation val="minMax"/>
        </c:scaling>
        <c:delete val="1"/>
        <c:axPos val="l"/>
        <c:numFmt formatCode="0.00" sourceLinked="1"/>
        <c:majorTickMark val="out"/>
        <c:minorTickMark val="none"/>
        <c:tickLblPos val="nextTo"/>
        <c:crossAx val="316350464"/>
        <c:crosses val="autoZero"/>
        <c:crossBetween val="between"/>
      </c:valAx>
    </c:plotArea>
    <c:legend>
      <c:legendPos val="t"/>
      <c:overlay val="0"/>
      <c:txPr>
        <a:bodyPr/>
        <a:lstStyle/>
        <a:p>
          <a:pPr>
            <a:defRPr lang="en-US"/>
          </a:pPr>
          <a:endParaRPr lang="en-US"/>
        </a:p>
      </c:txPr>
    </c:legend>
    <c:plotVisOnly val="1"/>
    <c:dispBlanksAs val="gap"/>
    <c:showDLblsOverMax val="0"/>
  </c:chart>
  <c:spPr>
    <a:gradFill rotWithShape="1">
      <a:gsLst>
        <a:gs pos="0">
          <a:schemeClr val="accent6">
            <a:tint val="50000"/>
            <a:satMod val="300000"/>
          </a:schemeClr>
        </a:gs>
        <a:gs pos="35000">
          <a:schemeClr val="accent6">
            <a:tint val="37000"/>
            <a:satMod val="300000"/>
          </a:schemeClr>
        </a:gs>
        <a:gs pos="100000">
          <a:schemeClr val="accent6">
            <a:tint val="15000"/>
            <a:satMod val="350000"/>
          </a:schemeClr>
        </a:gs>
      </a:gsLst>
      <a:lin ang="16200000" scaled="1"/>
    </a:gradFill>
    <a:ln w="9525" cap="flat" cmpd="sng" algn="ctr">
      <a:solidFill>
        <a:schemeClr val="accent6">
          <a:shade val="95000"/>
          <a:satMod val="105000"/>
        </a:schemeClr>
      </a:solidFill>
      <a:prstDash val="solid"/>
    </a:ln>
    <a:effectLst>
      <a:outerShdw blurRad="40000" dist="20000" dir="5400000" rotWithShape="0">
        <a:srgbClr val="000000">
          <a:alpha val="38000"/>
        </a:srgbClr>
      </a:outerShdw>
    </a:effectLst>
  </c:spPr>
  <c:txPr>
    <a:bodyPr/>
    <a:lstStyle/>
    <a:p>
      <a:pPr>
        <a:defRPr>
          <a:solidFill>
            <a:schemeClr val="dk1"/>
          </a:solidFill>
          <a:latin typeface="+mn-lt"/>
          <a:ea typeface="+mn-ea"/>
          <a:cs typeface="+mn-cs"/>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I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lang="en-US"/>
            </a:pPr>
            <a:r>
              <a:rPr lang="en-US"/>
              <a:t>Efficiency ratio</a:t>
            </a:r>
          </a:p>
        </c:rich>
      </c:tx>
      <c:overlay val="0"/>
    </c:title>
    <c:autoTitleDeleted val="0"/>
    <c:view3D>
      <c:rotX val="15"/>
      <c:rotY val="20"/>
      <c:rAngAx val="0"/>
      <c:perspective val="30"/>
    </c:view3D>
    <c:floor>
      <c:thickness val="0"/>
    </c:floor>
    <c:sideWall>
      <c:thickness val="0"/>
    </c:sideWall>
    <c:backWall>
      <c:thickness val="0"/>
    </c:backWall>
    <c:plotArea>
      <c:layout/>
      <c:line3DChart>
        <c:grouping val="standard"/>
        <c:varyColors val="0"/>
        <c:ser>
          <c:idx val="0"/>
          <c:order val="0"/>
          <c:tx>
            <c:strRef>
              <c:f>Sheet1!$A$19</c:f>
              <c:strCache>
                <c:ptCount val="1"/>
                <c:pt idx="0">
                  <c:v>Return on capital employed(ROCE)[EBIT/capital emplyed]</c:v>
                </c:pt>
              </c:strCache>
            </c:strRef>
          </c:tx>
          <c:cat>
            <c:numRef>
              <c:f>Sheet1!$B$13:$F$13</c:f>
              <c:numCache>
                <c:formatCode>General</c:formatCode>
                <c:ptCount val="5"/>
                <c:pt idx="0">
                  <c:v>2012</c:v>
                </c:pt>
                <c:pt idx="1">
                  <c:v>2013</c:v>
                </c:pt>
                <c:pt idx="2">
                  <c:v>2014</c:v>
                </c:pt>
                <c:pt idx="3">
                  <c:v>2015</c:v>
                </c:pt>
                <c:pt idx="4">
                  <c:v>2016</c:v>
                </c:pt>
              </c:numCache>
            </c:numRef>
          </c:cat>
          <c:val>
            <c:numRef>
              <c:f>Sheet1!$B$19:$F$19</c:f>
              <c:numCache>
                <c:formatCode>0.00</c:formatCode>
                <c:ptCount val="5"/>
                <c:pt idx="0">
                  <c:v>0.20839936608557844</c:v>
                </c:pt>
                <c:pt idx="1">
                  <c:v>0.10740013097576956</c:v>
                </c:pt>
                <c:pt idx="2">
                  <c:v>0.11389793702497285</c:v>
                </c:pt>
                <c:pt idx="3">
                  <c:v>0.11663543897216276</c:v>
                </c:pt>
                <c:pt idx="4">
                  <c:v>0.1086463542272358</c:v>
                </c:pt>
              </c:numCache>
            </c:numRef>
          </c:val>
          <c:smooth val="0"/>
        </c:ser>
        <c:ser>
          <c:idx val="1"/>
          <c:order val="1"/>
          <c:tx>
            <c:strRef>
              <c:f>Sheet1!$A$20</c:f>
              <c:strCache>
                <c:ptCount val="1"/>
                <c:pt idx="0">
                  <c:v>Total asset turm over ratio(net sales or revenue/Total average asset)</c:v>
                </c:pt>
              </c:strCache>
            </c:strRef>
          </c:tx>
          <c:cat>
            <c:numRef>
              <c:f>Sheet1!$B$13:$F$13</c:f>
              <c:numCache>
                <c:formatCode>General</c:formatCode>
                <c:ptCount val="5"/>
                <c:pt idx="0">
                  <c:v>2012</c:v>
                </c:pt>
                <c:pt idx="1">
                  <c:v>2013</c:v>
                </c:pt>
                <c:pt idx="2">
                  <c:v>2014</c:v>
                </c:pt>
                <c:pt idx="3">
                  <c:v>2015</c:v>
                </c:pt>
                <c:pt idx="4">
                  <c:v>2016</c:v>
                </c:pt>
              </c:numCache>
            </c:numRef>
          </c:cat>
          <c:val>
            <c:numRef>
              <c:f>Sheet1!$B$20:$F$20</c:f>
              <c:numCache>
                <c:formatCode>0.00</c:formatCode>
                <c:ptCount val="5"/>
                <c:pt idx="0">
                  <c:v>0.79284282612326762</c:v>
                </c:pt>
                <c:pt idx="1">
                  <c:v>0.40563310851688339</c:v>
                </c:pt>
                <c:pt idx="2">
                  <c:v>0.41098999887627857</c:v>
                </c:pt>
                <c:pt idx="3">
                  <c:v>0.38405998333796243</c:v>
                </c:pt>
                <c:pt idx="4">
                  <c:v>0.34701315741516925</c:v>
                </c:pt>
              </c:numCache>
            </c:numRef>
          </c:val>
          <c:smooth val="0"/>
        </c:ser>
        <c:dLbls>
          <c:showLegendKey val="0"/>
          <c:showVal val="1"/>
          <c:showCatName val="0"/>
          <c:showSerName val="0"/>
          <c:showPercent val="0"/>
          <c:showBubbleSize val="0"/>
        </c:dLbls>
        <c:axId val="316854272"/>
        <c:axId val="316855808"/>
        <c:axId val="250609152"/>
      </c:line3DChart>
      <c:catAx>
        <c:axId val="316854272"/>
        <c:scaling>
          <c:orientation val="minMax"/>
        </c:scaling>
        <c:delete val="0"/>
        <c:axPos val="b"/>
        <c:numFmt formatCode="General" sourceLinked="1"/>
        <c:majorTickMark val="none"/>
        <c:minorTickMark val="none"/>
        <c:tickLblPos val="nextTo"/>
        <c:txPr>
          <a:bodyPr/>
          <a:lstStyle/>
          <a:p>
            <a:pPr>
              <a:defRPr lang="en-US"/>
            </a:pPr>
            <a:endParaRPr lang="en-US"/>
          </a:p>
        </c:txPr>
        <c:crossAx val="316855808"/>
        <c:crosses val="autoZero"/>
        <c:auto val="1"/>
        <c:lblAlgn val="ctr"/>
        <c:lblOffset val="100"/>
        <c:noMultiLvlLbl val="0"/>
      </c:catAx>
      <c:valAx>
        <c:axId val="316855808"/>
        <c:scaling>
          <c:orientation val="minMax"/>
        </c:scaling>
        <c:delete val="1"/>
        <c:axPos val="l"/>
        <c:numFmt formatCode="0.00" sourceLinked="1"/>
        <c:majorTickMark val="none"/>
        <c:minorTickMark val="none"/>
        <c:tickLblPos val="nextTo"/>
        <c:crossAx val="316854272"/>
        <c:crosses val="autoZero"/>
        <c:crossBetween val="between"/>
      </c:valAx>
      <c:serAx>
        <c:axId val="250609152"/>
        <c:scaling>
          <c:orientation val="minMax"/>
        </c:scaling>
        <c:delete val="1"/>
        <c:axPos val="b"/>
        <c:majorTickMark val="out"/>
        <c:minorTickMark val="none"/>
        <c:tickLblPos val="nextTo"/>
        <c:crossAx val="316855808"/>
        <c:crosses val="autoZero"/>
      </c:serAx>
    </c:plotArea>
    <c:legend>
      <c:legendPos val="t"/>
      <c:overlay val="0"/>
      <c:txPr>
        <a:bodyPr/>
        <a:lstStyle/>
        <a:p>
          <a:pPr>
            <a:defRPr lang="en-US"/>
          </a:pPr>
          <a:endParaRPr lang="en-US"/>
        </a:p>
      </c:txPr>
    </c:legend>
    <c:plotVisOnly val="1"/>
    <c:dispBlanksAs val="gap"/>
    <c:showDLblsOverMax val="0"/>
  </c:chart>
  <c:spPr>
    <a:gradFill rotWithShape="1">
      <a:gsLst>
        <a:gs pos="0">
          <a:schemeClr val="accent5">
            <a:shade val="51000"/>
            <a:satMod val="130000"/>
          </a:schemeClr>
        </a:gs>
        <a:gs pos="80000">
          <a:schemeClr val="accent5">
            <a:shade val="93000"/>
            <a:satMod val="130000"/>
          </a:schemeClr>
        </a:gs>
        <a:gs pos="100000">
          <a:schemeClr val="accent5">
            <a:shade val="94000"/>
            <a:satMod val="135000"/>
          </a:schemeClr>
        </a:gs>
      </a:gsLst>
      <a:lin ang="16200000" scaled="0"/>
    </a:gradFill>
    <a:ln w="9525" cap="flat" cmpd="sng" algn="ctr">
      <a:solidFill>
        <a:schemeClr val="accent5">
          <a:shade val="95000"/>
          <a:satMod val="105000"/>
        </a:schemeClr>
      </a:solidFill>
      <a:prstDash val="solid"/>
    </a:ln>
    <a:effectLst>
      <a:outerShdw blurRad="40000" dist="23000" dir="5400000" rotWithShape="0">
        <a:srgbClr val="000000">
          <a:alpha val="35000"/>
        </a:srgbClr>
      </a:outerShdw>
    </a:effectLst>
  </c:spPr>
  <c:txPr>
    <a:bodyPr/>
    <a:lstStyle/>
    <a:p>
      <a:pPr>
        <a:defRPr>
          <a:solidFill>
            <a:schemeClr val="lt1"/>
          </a:solidFill>
          <a:latin typeface="+mn-lt"/>
          <a:ea typeface="+mn-ea"/>
          <a:cs typeface="+mn-cs"/>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IN"/>
  <c:roundedCorners val="0"/>
  <mc:AlternateContent xmlns:mc="http://schemas.openxmlformats.org/markup-compatibility/2006">
    <mc:Choice xmlns:c14="http://schemas.microsoft.com/office/drawing/2007/8/2/chart" Requires="c14">
      <c14:style val="130"/>
    </mc:Choice>
    <mc:Fallback>
      <c:style val="30"/>
    </mc:Fallback>
  </mc:AlternateContent>
  <c:chart>
    <c:title>
      <c:tx>
        <c:rich>
          <a:bodyPr/>
          <a:lstStyle/>
          <a:p>
            <a:pPr>
              <a:defRPr lang="en-US" sz="1400">
                <a:latin typeface="Times New Roman" pitchFamily="18" charset="0"/>
                <a:cs typeface="Times New Roman" pitchFamily="18" charset="0"/>
              </a:defRPr>
            </a:pPr>
            <a:r>
              <a:rPr lang="en-US" sz="1400">
                <a:latin typeface="Times New Roman" pitchFamily="18" charset="0"/>
                <a:cs typeface="Times New Roman" pitchFamily="18" charset="0"/>
              </a:rPr>
              <a:t> Current Ratio</a:t>
            </a:r>
          </a:p>
        </c:rich>
      </c:tx>
      <c:overlay val="0"/>
    </c:title>
    <c:autoTitleDeleted val="0"/>
    <c:plotArea>
      <c:layout/>
      <c:barChart>
        <c:barDir val="col"/>
        <c:grouping val="clustered"/>
        <c:varyColors val="0"/>
        <c:ser>
          <c:idx val="0"/>
          <c:order val="0"/>
          <c:tx>
            <c:strRef>
              <c:f>Comparison!$B$13</c:f>
              <c:strCache>
                <c:ptCount val="1"/>
                <c:pt idx="0">
                  <c:v>BT</c:v>
                </c:pt>
              </c:strCache>
            </c:strRef>
          </c:tx>
          <c:spPr>
            <a:solidFill>
              <a:schemeClr val="accent3"/>
            </a:solidFill>
            <a:ln w="25400" cap="flat" cmpd="sng" algn="ctr">
              <a:solidFill>
                <a:schemeClr val="accent3">
                  <a:shade val="50000"/>
                </a:schemeClr>
              </a:solidFill>
              <a:prstDash val="solid"/>
            </a:ln>
            <a:effectLst/>
          </c:spPr>
          <c:invertIfNegative val="0"/>
          <c:cat>
            <c:numRef>
              <c:f>Comparison!$C$12:$G$12</c:f>
              <c:numCache>
                <c:formatCode>General</c:formatCode>
                <c:ptCount val="5"/>
                <c:pt idx="0">
                  <c:v>2012</c:v>
                </c:pt>
                <c:pt idx="1">
                  <c:v>2013</c:v>
                </c:pt>
                <c:pt idx="2">
                  <c:v>2014</c:v>
                </c:pt>
                <c:pt idx="3">
                  <c:v>2015</c:v>
                </c:pt>
                <c:pt idx="4">
                  <c:v>2016</c:v>
                </c:pt>
              </c:numCache>
            </c:numRef>
          </c:cat>
          <c:val>
            <c:numRef>
              <c:f>Comparison!$C$13:$G$13</c:f>
              <c:numCache>
                <c:formatCode>0.00</c:formatCode>
                <c:ptCount val="5"/>
                <c:pt idx="0">
                  <c:v>0.48957320367369006</c:v>
                </c:pt>
                <c:pt idx="1">
                  <c:v>0.70866038723181579</c:v>
                </c:pt>
                <c:pt idx="2">
                  <c:v>0.84096510572058669</c:v>
                </c:pt>
                <c:pt idx="3">
                  <c:v>0.97206053550640281</c:v>
                </c:pt>
                <c:pt idx="4">
                  <c:v>0.76608609331287825</c:v>
                </c:pt>
              </c:numCache>
            </c:numRef>
          </c:val>
        </c:ser>
        <c:ser>
          <c:idx val="1"/>
          <c:order val="1"/>
          <c:tx>
            <c:strRef>
              <c:f>Comparison!$B$14</c:f>
              <c:strCache>
                <c:ptCount val="1"/>
                <c:pt idx="0">
                  <c:v>Vodafone</c:v>
                </c:pt>
              </c:strCache>
            </c:strRef>
          </c:tx>
          <c:spPr>
            <a:solidFill>
              <a:srgbClr val="FFC000"/>
            </a:solidFill>
            <a:ln w="25400" cap="flat" cmpd="sng" algn="ctr">
              <a:solidFill>
                <a:schemeClr val="accent6">
                  <a:shade val="50000"/>
                </a:schemeClr>
              </a:solidFill>
              <a:prstDash val="solid"/>
            </a:ln>
            <a:effectLst/>
          </c:spPr>
          <c:invertIfNegative val="0"/>
          <c:cat>
            <c:numRef>
              <c:f>Comparison!$C$12:$G$12</c:f>
              <c:numCache>
                <c:formatCode>General</c:formatCode>
                <c:ptCount val="5"/>
                <c:pt idx="0">
                  <c:v>2012</c:v>
                </c:pt>
                <c:pt idx="1">
                  <c:v>2013</c:v>
                </c:pt>
                <c:pt idx="2">
                  <c:v>2014</c:v>
                </c:pt>
                <c:pt idx="3">
                  <c:v>2015</c:v>
                </c:pt>
                <c:pt idx="4">
                  <c:v>2016</c:v>
                </c:pt>
              </c:numCache>
            </c:numRef>
          </c:cat>
          <c:val>
            <c:numRef>
              <c:f>Comparison!$C$14:$G$14</c:f>
              <c:numCache>
                <c:formatCode>0.00</c:formatCode>
                <c:ptCount val="5"/>
                <c:pt idx="0">
                  <c:v>0.88012764186283088</c:v>
                </c:pt>
                <c:pt idx="1">
                  <c:v>0.76312171736754975</c:v>
                </c:pt>
                <c:pt idx="2">
                  <c:v>0.98733974999001517</c:v>
                </c:pt>
                <c:pt idx="3">
                  <c:v>0.68681870090320796</c:v>
                </c:pt>
                <c:pt idx="4">
                  <c:v>0.84276089234915474</c:v>
                </c:pt>
              </c:numCache>
            </c:numRef>
          </c:val>
        </c:ser>
        <c:dLbls>
          <c:showLegendKey val="0"/>
          <c:showVal val="0"/>
          <c:showCatName val="0"/>
          <c:showSerName val="0"/>
          <c:showPercent val="0"/>
          <c:showBubbleSize val="0"/>
        </c:dLbls>
        <c:gapWidth val="150"/>
        <c:axId val="316906880"/>
        <c:axId val="316916864"/>
      </c:barChart>
      <c:catAx>
        <c:axId val="316906880"/>
        <c:scaling>
          <c:orientation val="minMax"/>
        </c:scaling>
        <c:delete val="0"/>
        <c:axPos val="b"/>
        <c:numFmt formatCode="General" sourceLinked="1"/>
        <c:majorTickMark val="out"/>
        <c:minorTickMark val="none"/>
        <c:tickLblPos val="nextTo"/>
        <c:txPr>
          <a:bodyPr/>
          <a:lstStyle/>
          <a:p>
            <a:pPr>
              <a:defRPr lang="en-US"/>
            </a:pPr>
            <a:endParaRPr lang="en-US"/>
          </a:p>
        </c:txPr>
        <c:crossAx val="316916864"/>
        <c:crosses val="autoZero"/>
        <c:auto val="1"/>
        <c:lblAlgn val="ctr"/>
        <c:lblOffset val="100"/>
        <c:noMultiLvlLbl val="0"/>
      </c:catAx>
      <c:valAx>
        <c:axId val="316916864"/>
        <c:scaling>
          <c:orientation val="minMax"/>
        </c:scaling>
        <c:delete val="0"/>
        <c:axPos val="l"/>
        <c:majorGridlines/>
        <c:numFmt formatCode="0.00" sourceLinked="1"/>
        <c:majorTickMark val="out"/>
        <c:minorTickMark val="none"/>
        <c:tickLblPos val="nextTo"/>
        <c:txPr>
          <a:bodyPr/>
          <a:lstStyle/>
          <a:p>
            <a:pPr>
              <a:defRPr lang="en-US"/>
            </a:pPr>
            <a:endParaRPr lang="en-US"/>
          </a:p>
        </c:txPr>
        <c:crossAx val="316906880"/>
        <c:crosses val="autoZero"/>
        <c:crossBetween val="between"/>
      </c:valAx>
    </c:plotArea>
    <c:legend>
      <c:legendPos val="r"/>
      <c:overlay val="0"/>
      <c:txPr>
        <a:bodyPr/>
        <a:lstStyle/>
        <a:p>
          <a:pPr>
            <a:defRPr lang="en-US"/>
          </a:pPr>
          <a:endParaRPr lang="en-US"/>
        </a:p>
      </c:txPr>
    </c:legend>
    <c:plotVisOnly val="1"/>
    <c:dispBlanksAs val="gap"/>
    <c:showDLblsOverMax val="0"/>
  </c:chart>
  <c:spPr>
    <a:solidFill>
      <a:schemeClr val="accent6">
        <a:lumMod val="40000"/>
        <a:lumOff val="60000"/>
      </a:schemeClr>
    </a:solidFill>
  </c:sp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IN"/>
  <c:roundedCorners val="0"/>
  <mc:AlternateContent xmlns:mc="http://schemas.openxmlformats.org/markup-compatibility/2006">
    <mc:Choice xmlns:c14="http://schemas.microsoft.com/office/drawing/2007/8/2/chart" Requires="c14">
      <c14:style val="130"/>
    </mc:Choice>
    <mc:Fallback>
      <c:style val="30"/>
    </mc:Fallback>
  </mc:AlternateContent>
  <c:chart>
    <c:title>
      <c:tx>
        <c:rich>
          <a:bodyPr/>
          <a:lstStyle/>
          <a:p>
            <a:pPr>
              <a:defRPr lang="en-US" sz="1400">
                <a:latin typeface="Times New Roman" pitchFamily="18" charset="0"/>
                <a:cs typeface="Times New Roman" pitchFamily="18" charset="0"/>
              </a:defRPr>
            </a:pPr>
            <a:r>
              <a:rPr lang="en-US" sz="1400">
                <a:latin typeface="Times New Roman" pitchFamily="18" charset="0"/>
                <a:cs typeface="Times New Roman" pitchFamily="18" charset="0"/>
              </a:rPr>
              <a:t> Quick Ratio</a:t>
            </a:r>
          </a:p>
        </c:rich>
      </c:tx>
      <c:overlay val="0"/>
    </c:title>
    <c:autoTitleDeleted val="0"/>
    <c:plotArea>
      <c:layout/>
      <c:barChart>
        <c:barDir val="col"/>
        <c:grouping val="clustered"/>
        <c:varyColors val="0"/>
        <c:ser>
          <c:idx val="0"/>
          <c:order val="0"/>
          <c:tx>
            <c:strRef>
              <c:f>Comparison!$B$18</c:f>
              <c:strCache>
                <c:ptCount val="1"/>
                <c:pt idx="0">
                  <c:v>BT</c:v>
                </c:pt>
              </c:strCache>
            </c:strRef>
          </c:tx>
          <c:spPr>
            <a:solidFill>
              <a:schemeClr val="accent3"/>
            </a:solidFill>
            <a:ln w="25400" cap="flat" cmpd="sng" algn="ctr">
              <a:solidFill>
                <a:schemeClr val="accent3">
                  <a:shade val="50000"/>
                </a:schemeClr>
              </a:solidFill>
              <a:prstDash val="solid"/>
            </a:ln>
            <a:effectLst/>
          </c:spPr>
          <c:invertIfNegative val="0"/>
          <c:cat>
            <c:numRef>
              <c:f>Comparison!$C$17:$G$17</c:f>
              <c:numCache>
                <c:formatCode>General</c:formatCode>
                <c:ptCount val="5"/>
                <c:pt idx="0">
                  <c:v>2012</c:v>
                </c:pt>
                <c:pt idx="1">
                  <c:v>2013</c:v>
                </c:pt>
                <c:pt idx="2">
                  <c:v>2014</c:v>
                </c:pt>
                <c:pt idx="3">
                  <c:v>2015</c:v>
                </c:pt>
                <c:pt idx="4">
                  <c:v>2016</c:v>
                </c:pt>
              </c:numCache>
            </c:numRef>
          </c:cat>
          <c:val>
            <c:numRef>
              <c:f>Comparison!$C$18:$G$18</c:f>
              <c:numCache>
                <c:formatCode>0.00</c:formatCode>
                <c:ptCount val="5"/>
                <c:pt idx="0">
                  <c:v>0.4783360345759049</c:v>
                </c:pt>
                <c:pt idx="1">
                  <c:v>0.6951857666143384</c:v>
                </c:pt>
                <c:pt idx="2">
                  <c:v>0.83032818783240359</c:v>
                </c:pt>
                <c:pt idx="3">
                  <c:v>0.95990169447678231</c:v>
                </c:pt>
                <c:pt idx="4">
                  <c:v>0.74902987095027584</c:v>
                </c:pt>
              </c:numCache>
            </c:numRef>
          </c:val>
        </c:ser>
        <c:ser>
          <c:idx val="1"/>
          <c:order val="1"/>
          <c:tx>
            <c:strRef>
              <c:f>Comparison!$B$19</c:f>
              <c:strCache>
                <c:ptCount val="1"/>
                <c:pt idx="0">
                  <c:v>Vodafone</c:v>
                </c:pt>
              </c:strCache>
            </c:strRef>
          </c:tx>
          <c:spPr>
            <a:solidFill>
              <a:schemeClr val="tx1">
                <a:lumMod val="65000"/>
                <a:lumOff val="35000"/>
              </a:schemeClr>
            </a:solidFill>
            <a:ln w="9525" cap="flat" cmpd="sng" algn="ctr">
              <a:solidFill>
                <a:schemeClr val="accent5">
                  <a:shade val="95000"/>
                  <a:satMod val="105000"/>
                </a:schemeClr>
              </a:solidFill>
              <a:prstDash val="solid"/>
            </a:ln>
            <a:effectLst>
              <a:outerShdw blurRad="40000" dist="23000" dir="5400000" rotWithShape="0">
                <a:srgbClr val="000000">
                  <a:alpha val="35000"/>
                </a:srgbClr>
              </a:outerShdw>
            </a:effectLst>
          </c:spPr>
          <c:invertIfNegative val="0"/>
          <c:cat>
            <c:numRef>
              <c:f>Comparison!$C$17:$G$17</c:f>
              <c:numCache>
                <c:formatCode>General</c:formatCode>
                <c:ptCount val="5"/>
                <c:pt idx="0">
                  <c:v>2012</c:v>
                </c:pt>
                <c:pt idx="1">
                  <c:v>2013</c:v>
                </c:pt>
                <c:pt idx="2">
                  <c:v>2014</c:v>
                </c:pt>
                <c:pt idx="3">
                  <c:v>2015</c:v>
                </c:pt>
                <c:pt idx="4">
                  <c:v>2016</c:v>
                </c:pt>
              </c:numCache>
            </c:numRef>
          </c:cat>
          <c:val>
            <c:numRef>
              <c:f>Comparison!$C$19:$G$19</c:f>
              <c:numCache>
                <c:formatCode>0.00</c:formatCode>
                <c:ptCount val="5"/>
                <c:pt idx="0">
                  <c:v>0.86278499745641246</c:v>
                </c:pt>
                <c:pt idx="1">
                  <c:v>0.75067855758045821</c:v>
                </c:pt>
                <c:pt idx="2">
                  <c:v>0.96972722552817681</c:v>
                </c:pt>
                <c:pt idx="3">
                  <c:v>0.67013876873031808</c:v>
                </c:pt>
                <c:pt idx="4">
                  <c:v>0.8258421919449016</c:v>
                </c:pt>
              </c:numCache>
            </c:numRef>
          </c:val>
        </c:ser>
        <c:dLbls>
          <c:showLegendKey val="0"/>
          <c:showVal val="0"/>
          <c:showCatName val="0"/>
          <c:showSerName val="0"/>
          <c:showPercent val="0"/>
          <c:showBubbleSize val="0"/>
        </c:dLbls>
        <c:gapWidth val="150"/>
        <c:axId val="316934016"/>
        <c:axId val="316935552"/>
      </c:barChart>
      <c:catAx>
        <c:axId val="316934016"/>
        <c:scaling>
          <c:orientation val="minMax"/>
        </c:scaling>
        <c:delete val="0"/>
        <c:axPos val="b"/>
        <c:numFmt formatCode="General" sourceLinked="1"/>
        <c:majorTickMark val="out"/>
        <c:minorTickMark val="none"/>
        <c:tickLblPos val="nextTo"/>
        <c:txPr>
          <a:bodyPr/>
          <a:lstStyle/>
          <a:p>
            <a:pPr>
              <a:defRPr lang="en-US"/>
            </a:pPr>
            <a:endParaRPr lang="en-US"/>
          </a:p>
        </c:txPr>
        <c:crossAx val="316935552"/>
        <c:crosses val="autoZero"/>
        <c:auto val="1"/>
        <c:lblAlgn val="ctr"/>
        <c:lblOffset val="100"/>
        <c:noMultiLvlLbl val="0"/>
      </c:catAx>
      <c:valAx>
        <c:axId val="316935552"/>
        <c:scaling>
          <c:orientation val="minMax"/>
        </c:scaling>
        <c:delete val="0"/>
        <c:axPos val="l"/>
        <c:majorGridlines/>
        <c:numFmt formatCode="0.00" sourceLinked="1"/>
        <c:majorTickMark val="out"/>
        <c:minorTickMark val="none"/>
        <c:tickLblPos val="nextTo"/>
        <c:txPr>
          <a:bodyPr/>
          <a:lstStyle/>
          <a:p>
            <a:pPr>
              <a:defRPr lang="en-US"/>
            </a:pPr>
            <a:endParaRPr lang="en-US"/>
          </a:p>
        </c:txPr>
        <c:crossAx val="316934016"/>
        <c:crosses val="autoZero"/>
        <c:crossBetween val="between"/>
      </c:valAx>
    </c:plotArea>
    <c:legend>
      <c:legendPos val="r"/>
      <c:overlay val="0"/>
      <c:txPr>
        <a:bodyPr/>
        <a:lstStyle/>
        <a:p>
          <a:pPr>
            <a:defRPr lang="en-US"/>
          </a:pPr>
          <a:endParaRPr lang="en-US"/>
        </a:p>
      </c:txPr>
    </c:legend>
    <c:plotVisOnly val="1"/>
    <c:dispBlanksAs val="gap"/>
    <c:showDLblsOverMax val="0"/>
  </c:chart>
  <c:spPr>
    <a:solidFill>
      <a:schemeClr val="accent1">
        <a:lumMod val="40000"/>
        <a:lumOff val="60000"/>
      </a:schemeClr>
    </a:solidFill>
  </c:sp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IN"/>
  <c:roundedCorners val="0"/>
  <mc:AlternateContent xmlns:mc="http://schemas.openxmlformats.org/markup-compatibility/2006">
    <mc:Choice xmlns:c14="http://schemas.microsoft.com/office/drawing/2007/8/2/chart" Requires="c14">
      <c14:style val="130"/>
    </mc:Choice>
    <mc:Fallback>
      <c:style val="30"/>
    </mc:Fallback>
  </mc:AlternateContent>
  <c:chart>
    <c:title>
      <c:tx>
        <c:rich>
          <a:bodyPr/>
          <a:lstStyle/>
          <a:p>
            <a:pPr>
              <a:defRPr lang="en-US" sz="1400">
                <a:latin typeface="Times New Roman" pitchFamily="18" charset="0"/>
                <a:cs typeface="Times New Roman" pitchFamily="18" charset="0"/>
              </a:defRPr>
            </a:pPr>
            <a:r>
              <a:rPr lang="en-US" sz="1400">
                <a:latin typeface="Times New Roman" pitchFamily="18" charset="0"/>
                <a:cs typeface="Times New Roman" pitchFamily="18" charset="0"/>
              </a:rPr>
              <a:t> Return on capital employed(ROCE)</a:t>
            </a:r>
          </a:p>
        </c:rich>
      </c:tx>
      <c:overlay val="0"/>
    </c:title>
    <c:autoTitleDeleted val="0"/>
    <c:plotArea>
      <c:layout/>
      <c:barChart>
        <c:barDir val="col"/>
        <c:grouping val="clustered"/>
        <c:varyColors val="0"/>
        <c:ser>
          <c:idx val="0"/>
          <c:order val="0"/>
          <c:tx>
            <c:strRef>
              <c:f>Comparison!$B$23</c:f>
              <c:strCache>
                <c:ptCount val="1"/>
                <c:pt idx="0">
                  <c:v>BT</c:v>
                </c:pt>
              </c:strCache>
            </c:strRef>
          </c:tx>
          <c:spPr>
            <a:solidFill>
              <a:schemeClr val="bg2">
                <a:lumMod val="50000"/>
              </a:schemeClr>
            </a:solidFill>
            <a:ln w="25400" cap="flat" cmpd="sng" algn="ctr">
              <a:solidFill>
                <a:schemeClr val="accent3">
                  <a:shade val="50000"/>
                </a:schemeClr>
              </a:solidFill>
              <a:prstDash val="solid"/>
            </a:ln>
            <a:effectLst/>
          </c:spPr>
          <c:invertIfNegative val="0"/>
          <c:cat>
            <c:numRef>
              <c:f>Comparison!$C$22:$G$22</c:f>
              <c:numCache>
                <c:formatCode>General</c:formatCode>
                <c:ptCount val="5"/>
                <c:pt idx="0">
                  <c:v>2012</c:v>
                </c:pt>
                <c:pt idx="1">
                  <c:v>2013</c:v>
                </c:pt>
                <c:pt idx="2">
                  <c:v>2014</c:v>
                </c:pt>
                <c:pt idx="3">
                  <c:v>2015</c:v>
                </c:pt>
                <c:pt idx="4">
                  <c:v>2016</c:v>
                </c:pt>
              </c:numCache>
            </c:numRef>
          </c:cat>
          <c:val>
            <c:numRef>
              <c:f>Comparison!$C$23:$G$23</c:f>
              <c:numCache>
                <c:formatCode>0.00</c:formatCode>
                <c:ptCount val="5"/>
                <c:pt idx="0">
                  <c:v>0.20839936608557844</c:v>
                </c:pt>
                <c:pt idx="1">
                  <c:v>0.10740013097576953</c:v>
                </c:pt>
                <c:pt idx="2">
                  <c:v>0.11389793702497285</c:v>
                </c:pt>
                <c:pt idx="3">
                  <c:v>0.11663543897216276</c:v>
                </c:pt>
                <c:pt idx="4">
                  <c:v>0.10864635422723577</c:v>
                </c:pt>
              </c:numCache>
            </c:numRef>
          </c:val>
        </c:ser>
        <c:ser>
          <c:idx val="1"/>
          <c:order val="1"/>
          <c:tx>
            <c:strRef>
              <c:f>Comparison!$B$24</c:f>
              <c:strCache>
                <c:ptCount val="1"/>
                <c:pt idx="0">
                  <c:v>Vodafone</c:v>
                </c:pt>
              </c:strCache>
            </c:strRef>
          </c:tx>
          <c:spPr>
            <a:solidFill>
              <a:srgbClr val="92D050"/>
            </a:solidFill>
            <a:ln w="9525" cap="flat" cmpd="sng" algn="ctr">
              <a:solidFill>
                <a:schemeClr val="accent5">
                  <a:shade val="95000"/>
                  <a:satMod val="105000"/>
                </a:schemeClr>
              </a:solidFill>
              <a:prstDash val="solid"/>
            </a:ln>
            <a:effectLst>
              <a:outerShdw blurRad="40000" dist="23000" dir="5400000" rotWithShape="0">
                <a:srgbClr val="000000">
                  <a:alpha val="35000"/>
                </a:srgbClr>
              </a:outerShdw>
            </a:effectLst>
          </c:spPr>
          <c:invertIfNegative val="0"/>
          <c:cat>
            <c:numRef>
              <c:f>Comparison!$C$22:$G$22</c:f>
              <c:numCache>
                <c:formatCode>General</c:formatCode>
                <c:ptCount val="5"/>
                <c:pt idx="0">
                  <c:v>2012</c:v>
                </c:pt>
                <c:pt idx="1">
                  <c:v>2013</c:v>
                </c:pt>
                <c:pt idx="2">
                  <c:v>2014</c:v>
                </c:pt>
                <c:pt idx="3">
                  <c:v>2015</c:v>
                </c:pt>
                <c:pt idx="4">
                  <c:v>2016</c:v>
                </c:pt>
              </c:numCache>
            </c:numRef>
          </c:cat>
          <c:val>
            <c:numRef>
              <c:f>Comparison!$C$24:$G$24</c:f>
              <c:numCache>
                <c:formatCode>0.00</c:formatCode>
                <c:ptCount val="5"/>
                <c:pt idx="0">
                  <c:v>2.7983104540654724E-2</c:v>
                </c:pt>
                <c:pt idx="1">
                  <c:v>-1.1219295966250402E-2</c:v>
                </c:pt>
                <c:pt idx="2">
                  <c:v>-1.9068736141906881E-2</c:v>
                </c:pt>
                <c:pt idx="3">
                  <c:v>8.1076959222452661E-3</c:v>
                </c:pt>
                <c:pt idx="4">
                  <c:v>5.3500660501981535E-3</c:v>
                </c:pt>
              </c:numCache>
            </c:numRef>
          </c:val>
        </c:ser>
        <c:dLbls>
          <c:showLegendKey val="0"/>
          <c:showVal val="0"/>
          <c:showCatName val="0"/>
          <c:showSerName val="0"/>
          <c:showPercent val="0"/>
          <c:showBubbleSize val="0"/>
        </c:dLbls>
        <c:gapWidth val="150"/>
        <c:axId val="316969344"/>
        <c:axId val="316970880"/>
      </c:barChart>
      <c:catAx>
        <c:axId val="316969344"/>
        <c:scaling>
          <c:orientation val="minMax"/>
        </c:scaling>
        <c:delete val="0"/>
        <c:axPos val="b"/>
        <c:numFmt formatCode="General" sourceLinked="1"/>
        <c:majorTickMark val="out"/>
        <c:minorTickMark val="none"/>
        <c:tickLblPos val="nextTo"/>
        <c:txPr>
          <a:bodyPr/>
          <a:lstStyle/>
          <a:p>
            <a:pPr>
              <a:defRPr lang="en-US"/>
            </a:pPr>
            <a:endParaRPr lang="en-US"/>
          </a:p>
        </c:txPr>
        <c:crossAx val="316970880"/>
        <c:crosses val="autoZero"/>
        <c:auto val="1"/>
        <c:lblAlgn val="ctr"/>
        <c:lblOffset val="100"/>
        <c:noMultiLvlLbl val="0"/>
      </c:catAx>
      <c:valAx>
        <c:axId val="316970880"/>
        <c:scaling>
          <c:orientation val="minMax"/>
        </c:scaling>
        <c:delete val="0"/>
        <c:axPos val="l"/>
        <c:majorGridlines/>
        <c:numFmt formatCode="0.00" sourceLinked="1"/>
        <c:majorTickMark val="out"/>
        <c:minorTickMark val="none"/>
        <c:tickLblPos val="nextTo"/>
        <c:txPr>
          <a:bodyPr/>
          <a:lstStyle/>
          <a:p>
            <a:pPr>
              <a:defRPr lang="en-US"/>
            </a:pPr>
            <a:endParaRPr lang="en-US"/>
          </a:p>
        </c:txPr>
        <c:crossAx val="316969344"/>
        <c:crosses val="autoZero"/>
        <c:crossBetween val="between"/>
      </c:valAx>
    </c:plotArea>
    <c:legend>
      <c:legendPos val="r"/>
      <c:overlay val="0"/>
      <c:txPr>
        <a:bodyPr/>
        <a:lstStyle/>
        <a:p>
          <a:pPr>
            <a:defRPr lang="en-US"/>
          </a:pPr>
          <a:endParaRPr lang="en-US"/>
        </a:p>
      </c:txPr>
    </c:legend>
    <c:plotVisOnly val="1"/>
    <c:dispBlanksAs val="gap"/>
    <c:showDLblsOverMax val="0"/>
  </c:chart>
  <c:spPr>
    <a:solidFill>
      <a:srgbClr val="9999FF"/>
    </a:solidFill>
  </c:sp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IN"/>
  <c:roundedCorners val="0"/>
  <mc:AlternateContent xmlns:mc="http://schemas.openxmlformats.org/markup-compatibility/2006">
    <mc:Choice xmlns:c14="http://schemas.microsoft.com/office/drawing/2007/8/2/chart" Requires="c14">
      <c14:style val="130"/>
    </mc:Choice>
    <mc:Fallback>
      <c:style val="30"/>
    </mc:Fallback>
  </mc:AlternateContent>
  <c:chart>
    <c:title>
      <c:tx>
        <c:rich>
          <a:bodyPr/>
          <a:lstStyle/>
          <a:p>
            <a:pPr>
              <a:defRPr lang="en-US" sz="1400">
                <a:latin typeface="Times New Roman" pitchFamily="18" charset="0"/>
                <a:cs typeface="Times New Roman" pitchFamily="18" charset="0"/>
              </a:defRPr>
            </a:pPr>
            <a:r>
              <a:rPr lang="en-US" sz="1400">
                <a:latin typeface="Times New Roman" pitchFamily="18" charset="0"/>
                <a:cs typeface="Times New Roman" pitchFamily="18" charset="0"/>
              </a:rPr>
              <a:t> Total asset turm over ratio</a:t>
            </a:r>
          </a:p>
        </c:rich>
      </c:tx>
      <c:overlay val="0"/>
    </c:title>
    <c:autoTitleDeleted val="0"/>
    <c:plotArea>
      <c:layout/>
      <c:barChart>
        <c:barDir val="col"/>
        <c:grouping val="clustered"/>
        <c:varyColors val="0"/>
        <c:ser>
          <c:idx val="0"/>
          <c:order val="0"/>
          <c:tx>
            <c:strRef>
              <c:f>Comparison!$B$28</c:f>
              <c:strCache>
                <c:ptCount val="1"/>
                <c:pt idx="0">
                  <c:v>BT</c:v>
                </c:pt>
              </c:strCache>
            </c:strRef>
          </c:tx>
          <c:spPr>
            <a:solidFill>
              <a:srgbClr val="D618CD"/>
            </a:solidFill>
            <a:ln w="25400" cap="flat" cmpd="sng" algn="ctr">
              <a:solidFill>
                <a:schemeClr val="accent3">
                  <a:shade val="50000"/>
                </a:schemeClr>
              </a:solidFill>
              <a:prstDash val="solid"/>
            </a:ln>
            <a:effectLst/>
          </c:spPr>
          <c:invertIfNegative val="0"/>
          <c:cat>
            <c:numRef>
              <c:f>Comparison!$C$27:$G$27</c:f>
              <c:numCache>
                <c:formatCode>General</c:formatCode>
                <c:ptCount val="5"/>
                <c:pt idx="0">
                  <c:v>2012</c:v>
                </c:pt>
                <c:pt idx="1">
                  <c:v>2013</c:v>
                </c:pt>
                <c:pt idx="2">
                  <c:v>2014</c:v>
                </c:pt>
                <c:pt idx="3">
                  <c:v>2015</c:v>
                </c:pt>
                <c:pt idx="4">
                  <c:v>2016</c:v>
                </c:pt>
              </c:numCache>
            </c:numRef>
          </c:cat>
          <c:val>
            <c:numRef>
              <c:f>Comparison!$C$28:$G$28</c:f>
              <c:numCache>
                <c:formatCode>0.00</c:formatCode>
                <c:ptCount val="5"/>
                <c:pt idx="0">
                  <c:v>0.7928428261232674</c:v>
                </c:pt>
                <c:pt idx="1">
                  <c:v>0.4056331085168835</c:v>
                </c:pt>
                <c:pt idx="2">
                  <c:v>0.41098999887627846</c:v>
                </c:pt>
                <c:pt idx="3">
                  <c:v>0.3840599833379621</c:v>
                </c:pt>
                <c:pt idx="4">
                  <c:v>0.34701315741516925</c:v>
                </c:pt>
              </c:numCache>
            </c:numRef>
          </c:val>
        </c:ser>
        <c:ser>
          <c:idx val="1"/>
          <c:order val="1"/>
          <c:tx>
            <c:strRef>
              <c:f>Comparison!$B$29</c:f>
              <c:strCache>
                <c:ptCount val="1"/>
                <c:pt idx="0">
                  <c:v>Vodafone</c:v>
                </c:pt>
              </c:strCache>
            </c:strRef>
          </c:tx>
          <c:spPr>
            <a:gradFill rotWithShape="1">
              <a:gsLst>
                <a:gs pos="0">
                  <a:schemeClr val="accent4">
                    <a:tint val="50000"/>
                    <a:satMod val="300000"/>
                  </a:schemeClr>
                </a:gs>
                <a:gs pos="35000">
                  <a:schemeClr val="accent4">
                    <a:tint val="37000"/>
                    <a:satMod val="300000"/>
                  </a:schemeClr>
                </a:gs>
                <a:gs pos="100000">
                  <a:schemeClr val="accent4">
                    <a:tint val="15000"/>
                    <a:satMod val="350000"/>
                  </a:schemeClr>
                </a:gs>
              </a:gsLst>
              <a:lin ang="16200000" scaled="1"/>
            </a:gradFill>
            <a:ln w="9525" cap="flat" cmpd="sng" algn="ctr">
              <a:solidFill>
                <a:schemeClr val="accent4">
                  <a:shade val="95000"/>
                  <a:satMod val="105000"/>
                </a:schemeClr>
              </a:solidFill>
              <a:prstDash val="solid"/>
            </a:ln>
            <a:effectLst>
              <a:outerShdw blurRad="40000" dist="20000" dir="5400000" rotWithShape="0">
                <a:srgbClr val="000000">
                  <a:alpha val="38000"/>
                </a:srgbClr>
              </a:outerShdw>
            </a:effectLst>
          </c:spPr>
          <c:invertIfNegative val="0"/>
          <c:cat>
            <c:numRef>
              <c:f>Comparison!$C$27:$G$27</c:f>
              <c:numCache>
                <c:formatCode>General</c:formatCode>
                <c:ptCount val="5"/>
                <c:pt idx="0">
                  <c:v>2012</c:v>
                </c:pt>
                <c:pt idx="1">
                  <c:v>2013</c:v>
                </c:pt>
                <c:pt idx="2">
                  <c:v>2014</c:v>
                </c:pt>
                <c:pt idx="3">
                  <c:v>2015</c:v>
                </c:pt>
                <c:pt idx="4">
                  <c:v>2016</c:v>
                </c:pt>
              </c:numCache>
            </c:numRef>
          </c:cat>
          <c:val>
            <c:numRef>
              <c:f>Comparison!$C$29:$G$29</c:f>
              <c:numCache>
                <c:formatCode>0.00</c:formatCode>
                <c:ptCount val="5"/>
                <c:pt idx="0">
                  <c:v>0.28660760428202287</c:v>
                </c:pt>
                <c:pt idx="1">
                  <c:v>0.27501373586651628</c:v>
                </c:pt>
                <c:pt idx="2">
                  <c:v>0.3147242284963887</c:v>
                </c:pt>
                <c:pt idx="3">
                  <c:v>0.34450490727974392</c:v>
                </c:pt>
                <c:pt idx="4">
                  <c:v>0.30642495494080646</c:v>
                </c:pt>
              </c:numCache>
            </c:numRef>
          </c:val>
        </c:ser>
        <c:dLbls>
          <c:showLegendKey val="0"/>
          <c:showVal val="0"/>
          <c:showCatName val="0"/>
          <c:showSerName val="0"/>
          <c:showPercent val="0"/>
          <c:showBubbleSize val="0"/>
        </c:dLbls>
        <c:gapWidth val="150"/>
        <c:axId val="316992128"/>
        <c:axId val="316993920"/>
      </c:barChart>
      <c:catAx>
        <c:axId val="316992128"/>
        <c:scaling>
          <c:orientation val="minMax"/>
        </c:scaling>
        <c:delete val="0"/>
        <c:axPos val="b"/>
        <c:numFmt formatCode="General" sourceLinked="1"/>
        <c:majorTickMark val="out"/>
        <c:minorTickMark val="none"/>
        <c:tickLblPos val="nextTo"/>
        <c:txPr>
          <a:bodyPr/>
          <a:lstStyle/>
          <a:p>
            <a:pPr>
              <a:defRPr lang="en-US"/>
            </a:pPr>
            <a:endParaRPr lang="en-US"/>
          </a:p>
        </c:txPr>
        <c:crossAx val="316993920"/>
        <c:crosses val="autoZero"/>
        <c:auto val="1"/>
        <c:lblAlgn val="ctr"/>
        <c:lblOffset val="100"/>
        <c:noMultiLvlLbl val="0"/>
      </c:catAx>
      <c:valAx>
        <c:axId val="316993920"/>
        <c:scaling>
          <c:orientation val="minMax"/>
        </c:scaling>
        <c:delete val="0"/>
        <c:axPos val="l"/>
        <c:majorGridlines/>
        <c:numFmt formatCode="0.00" sourceLinked="1"/>
        <c:majorTickMark val="out"/>
        <c:minorTickMark val="none"/>
        <c:tickLblPos val="nextTo"/>
        <c:txPr>
          <a:bodyPr/>
          <a:lstStyle/>
          <a:p>
            <a:pPr>
              <a:defRPr lang="en-US"/>
            </a:pPr>
            <a:endParaRPr lang="en-US"/>
          </a:p>
        </c:txPr>
        <c:crossAx val="316992128"/>
        <c:crosses val="autoZero"/>
        <c:crossBetween val="between"/>
      </c:valAx>
    </c:plotArea>
    <c:legend>
      <c:legendPos val="r"/>
      <c:overlay val="0"/>
      <c:txPr>
        <a:bodyPr/>
        <a:lstStyle/>
        <a:p>
          <a:pPr>
            <a:defRPr lang="en-US"/>
          </a:pPr>
          <a:endParaRPr lang="en-US"/>
        </a:p>
      </c:txPr>
    </c:legend>
    <c:plotVisOnly val="1"/>
    <c:dispBlanksAs val="gap"/>
    <c:showDLblsOverMax val="0"/>
  </c:chart>
  <c:spPr>
    <a:solidFill>
      <a:schemeClr val="bg2">
        <a:lumMod val="90000"/>
      </a:schemeClr>
    </a:solidFill>
  </c:sp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IN"/>
  <c:roundedCorners val="0"/>
  <mc:AlternateContent xmlns:mc="http://schemas.openxmlformats.org/markup-compatibility/2006">
    <mc:Choice xmlns:c14="http://schemas.microsoft.com/office/drawing/2007/8/2/chart" Requires="c14">
      <c14:style val="130"/>
    </mc:Choice>
    <mc:Fallback>
      <c:style val="30"/>
    </mc:Fallback>
  </mc:AlternateContent>
  <c:chart>
    <c:title>
      <c:tx>
        <c:rich>
          <a:bodyPr/>
          <a:lstStyle/>
          <a:p>
            <a:pPr>
              <a:defRPr lang="en-US" sz="1400">
                <a:latin typeface="Times New Roman" pitchFamily="18" charset="0"/>
                <a:cs typeface="Times New Roman" pitchFamily="18" charset="0"/>
              </a:defRPr>
            </a:pPr>
            <a:r>
              <a:rPr lang="en-US" sz="1400">
                <a:latin typeface="Times New Roman" pitchFamily="18" charset="0"/>
                <a:cs typeface="Times New Roman" pitchFamily="18" charset="0"/>
              </a:rPr>
              <a:t> Gearing Ratio</a:t>
            </a:r>
          </a:p>
        </c:rich>
      </c:tx>
      <c:overlay val="0"/>
    </c:title>
    <c:autoTitleDeleted val="0"/>
    <c:plotArea>
      <c:layout/>
      <c:barChart>
        <c:barDir val="col"/>
        <c:grouping val="clustered"/>
        <c:varyColors val="0"/>
        <c:ser>
          <c:idx val="0"/>
          <c:order val="0"/>
          <c:tx>
            <c:strRef>
              <c:f>Comparison!$B$33</c:f>
              <c:strCache>
                <c:ptCount val="1"/>
                <c:pt idx="0">
                  <c:v>BT</c:v>
                </c:pt>
              </c:strCache>
            </c:strRef>
          </c:tx>
          <c:spPr>
            <a:solidFill>
              <a:srgbClr val="0AC0AF"/>
            </a:solidFill>
            <a:ln w="25400" cap="flat" cmpd="sng" algn="ctr">
              <a:solidFill>
                <a:schemeClr val="accent3">
                  <a:shade val="50000"/>
                </a:schemeClr>
              </a:solidFill>
              <a:prstDash val="solid"/>
            </a:ln>
            <a:effectLst/>
          </c:spPr>
          <c:invertIfNegative val="0"/>
          <c:cat>
            <c:numRef>
              <c:f>Comparison!$C$32:$G$32</c:f>
              <c:numCache>
                <c:formatCode>General</c:formatCode>
                <c:ptCount val="5"/>
                <c:pt idx="0">
                  <c:v>2012</c:v>
                </c:pt>
                <c:pt idx="1">
                  <c:v>2013</c:v>
                </c:pt>
                <c:pt idx="2">
                  <c:v>2014</c:v>
                </c:pt>
                <c:pt idx="3">
                  <c:v>2015</c:v>
                </c:pt>
                <c:pt idx="4">
                  <c:v>2016</c:v>
                </c:pt>
              </c:numCache>
            </c:numRef>
          </c:cat>
          <c:val>
            <c:numRef>
              <c:f>Comparison!$C$33:$G$33</c:f>
              <c:numCache>
                <c:formatCode>0%</c:formatCode>
                <c:ptCount val="5"/>
                <c:pt idx="0">
                  <c:v>0.96419824232819551</c:v>
                </c:pt>
                <c:pt idx="1">
                  <c:v>0.63803390817143268</c:v>
                </c:pt>
                <c:pt idx="2">
                  <c:v>0.64433586681143684</c:v>
                </c:pt>
                <c:pt idx="3">
                  <c:v>0.65839132762312713</c:v>
                </c:pt>
                <c:pt idx="4">
                  <c:v>0.64542388649843074</c:v>
                </c:pt>
              </c:numCache>
            </c:numRef>
          </c:val>
        </c:ser>
        <c:ser>
          <c:idx val="1"/>
          <c:order val="1"/>
          <c:tx>
            <c:strRef>
              <c:f>Comparison!$B$34</c:f>
              <c:strCache>
                <c:ptCount val="1"/>
                <c:pt idx="0">
                  <c:v>Vodafone</c:v>
                </c:pt>
              </c:strCache>
            </c:strRef>
          </c:tx>
          <c:spPr>
            <a:solidFill>
              <a:schemeClr val="accent4">
                <a:lumMod val="75000"/>
              </a:schemeClr>
            </a:solidFill>
            <a:ln w="9525" cap="flat" cmpd="sng" algn="ctr">
              <a:solidFill>
                <a:schemeClr val="accent6">
                  <a:lumMod val="40000"/>
                  <a:lumOff val="60000"/>
                </a:schemeClr>
              </a:solidFill>
              <a:prstDash val="solid"/>
            </a:ln>
            <a:effectLst>
              <a:outerShdw blurRad="40000" dist="20000" dir="5400000" rotWithShape="0">
                <a:srgbClr val="000000">
                  <a:alpha val="38000"/>
                </a:srgbClr>
              </a:outerShdw>
            </a:effectLst>
          </c:spPr>
          <c:invertIfNegative val="0"/>
          <c:cat>
            <c:numRef>
              <c:f>Comparison!$C$32:$G$32</c:f>
              <c:numCache>
                <c:formatCode>General</c:formatCode>
                <c:ptCount val="5"/>
                <c:pt idx="0">
                  <c:v>2012</c:v>
                </c:pt>
                <c:pt idx="1">
                  <c:v>2013</c:v>
                </c:pt>
                <c:pt idx="2">
                  <c:v>2014</c:v>
                </c:pt>
                <c:pt idx="3">
                  <c:v>2015</c:v>
                </c:pt>
                <c:pt idx="4">
                  <c:v>2016</c:v>
                </c:pt>
              </c:numCache>
            </c:numRef>
          </c:cat>
          <c:val>
            <c:numRef>
              <c:f>Comparison!$C$34:$G$34</c:f>
              <c:numCache>
                <c:formatCode>0%</c:formatCode>
                <c:ptCount val="5"/>
                <c:pt idx="0">
                  <c:v>0.17744715187981924</c:v>
                </c:pt>
                <c:pt idx="1">
                  <c:v>0.19089616801430689</c:v>
                </c:pt>
                <c:pt idx="2">
                  <c:v>0.1219268536341707</c:v>
                </c:pt>
                <c:pt idx="3">
                  <c:v>0.5052285776702431</c:v>
                </c:pt>
                <c:pt idx="4">
                  <c:v>0.51951589090061356</c:v>
                </c:pt>
              </c:numCache>
            </c:numRef>
          </c:val>
        </c:ser>
        <c:dLbls>
          <c:showLegendKey val="0"/>
          <c:showVal val="0"/>
          <c:showCatName val="0"/>
          <c:showSerName val="0"/>
          <c:showPercent val="0"/>
          <c:showBubbleSize val="0"/>
        </c:dLbls>
        <c:gapWidth val="150"/>
        <c:axId val="317219968"/>
        <c:axId val="317221504"/>
      </c:barChart>
      <c:catAx>
        <c:axId val="317219968"/>
        <c:scaling>
          <c:orientation val="minMax"/>
        </c:scaling>
        <c:delete val="0"/>
        <c:axPos val="b"/>
        <c:numFmt formatCode="General" sourceLinked="1"/>
        <c:majorTickMark val="out"/>
        <c:minorTickMark val="none"/>
        <c:tickLblPos val="nextTo"/>
        <c:txPr>
          <a:bodyPr/>
          <a:lstStyle/>
          <a:p>
            <a:pPr>
              <a:defRPr lang="en-US"/>
            </a:pPr>
            <a:endParaRPr lang="en-US"/>
          </a:p>
        </c:txPr>
        <c:crossAx val="317221504"/>
        <c:crosses val="autoZero"/>
        <c:auto val="1"/>
        <c:lblAlgn val="ctr"/>
        <c:lblOffset val="100"/>
        <c:noMultiLvlLbl val="0"/>
      </c:catAx>
      <c:valAx>
        <c:axId val="317221504"/>
        <c:scaling>
          <c:orientation val="minMax"/>
        </c:scaling>
        <c:delete val="0"/>
        <c:axPos val="l"/>
        <c:majorGridlines/>
        <c:numFmt formatCode="0%" sourceLinked="1"/>
        <c:majorTickMark val="out"/>
        <c:minorTickMark val="none"/>
        <c:tickLblPos val="nextTo"/>
        <c:txPr>
          <a:bodyPr/>
          <a:lstStyle/>
          <a:p>
            <a:pPr>
              <a:defRPr lang="en-US"/>
            </a:pPr>
            <a:endParaRPr lang="en-US"/>
          </a:p>
        </c:txPr>
        <c:crossAx val="317219968"/>
        <c:crosses val="autoZero"/>
        <c:crossBetween val="between"/>
      </c:valAx>
    </c:plotArea>
    <c:legend>
      <c:legendPos val="r"/>
      <c:overlay val="0"/>
      <c:txPr>
        <a:bodyPr/>
        <a:lstStyle/>
        <a:p>
          <a:pPr>
            <a:defRPr lang="en-US"/>
          </a:pPr>
          <a:endParaRPr lang="en-US"/>
        </a:p>
      </c:txPr>
    </c:legend>
    <c:plotVisOnly val="1"/>
    <c:dispBlanksAs val="gap"/>
    <c:showDLblsOverMax val="0"/>
  </c:chart>
  <c:spPr>
    <a:solidFill>
      <a:srgbClr val="CCECFF"/>
    </a:solidFill>
  </c:sp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IN"/>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xPr>
        <a:bodyPr/>
        <a:lstStyle/>
        <a:p>
          <a:pPr>
            <a:defRPr lang="en-US"/>
          </a:pPr>
          <a:endParaRPr lang="en-US"/>
        </a:p>
      </c:txPr>
    </c:title>
    <c:autoTitleDeleted val="0"/>
    <c:plotArea>
      <c:layout/>
      <c:lineChart>
        <c:grouping val="stacked"/>
        <c:varyColors val="0"/>
        <c:ser>
          <c:idx val="0"/>
          <c:order val="0"/>
          <c:tx>
            <c:strRef>
              <c:f>Sheet1!$A$25</c:f>
              <c:strCache>
                <c:ptCount val="1"/>
                <c:pt idx="0">
                  <c:v>Gearing Ratio</c:v>
                </c:pt>
              </c:strCache>
            </c:strRef>
          </c:tx>
          <c:dLbls>
            <c:txPr>
              <a:bodyPr/>
              <a:lstStyle/>
              <a:p>
                <a:pPr>
                  <a:defRPr lang="en-US">
                    <a:solidFill>
                      <a:schemeClr val="tx1"/>
                    </a:solidFill>
                  </a:defRPr>
                </a:pPr>
                <a:endParaRPr lang="en-US"/>
              </a:p>
            </c:txPr>
            <c:showLegendKey val="0"/>
            <c:showVal val="1"/>
            <c:showCatName val="0"/>
            <c:showSerName val="0"/>
            <c:showPercent val="0"/>
            <c:showBubbleSize val="0"/>
            <c:showLeaderLines val="0"/>
          </c:dLbls>
          <c:cat>
            <c:numRef>
              <c:f>Sheet1!$B$13:$F$13</c:f>
              <c:numCache>
                <c:formatCode>General</c:formatCode>
                <c:ptCount val="5"/>
                <c:pt idx="0">
                  <c:v>2012</c:v>
                </c:pt>
                <c:pt idx="1">
                  <c:v>2013</c:v>
                </c:pt>
                <c:pt idx="2">
                  <c:v>2014</c:v>
                </c:pt>
                <c:pt idx="3">
                  <c:v>2015</c:v>
                </c:pt>
                <c:pt idx="4">
                  <c:v>2016</c:v>
                </c:pt>
              </c:numCache>
            </c:numRef>
          </c:cat>
          <c:val>
            <c:numRef>
              <c:f>Sheet1!$B$26:$F$26</c:f>
              <c:numCache>
                <c:formatCode>0%</c:formatCode>
                <c:ptCount val="5"/>
                <c:pt idx="0">
                  <c:v>0.96419824232819606</c:v>
                </c:pt>
                <c:pt idx="1">
                  <c:v>0.63803390817143268</c:v>
                </c:pt>
                <c:pt idx="2">
                  <c:v>0.64433586681143684</c:v>
                </c:pt>
                <c:pt idx="3">
                  <c:v>0.65839132762312758</c:v>
                </c:pt>
                <c:pt idx="4">
                  <c:v>0.64542388649843097</c:v>
                </c:pt>
              </c:numCache>
            </c:numRef>
          </c:val>
          <c:smooth val="0"/>
        </c:ser>
        <c:dLbls>
          <c:showLegendKey val="0"/>
          <c:showVal val="1"/>
          <c:showCatName val="0"/>
          <c:showSerName val="0"/>
          <c:showPercent val="0"/>
          <c:showBubbleSize val="0"/>
        </c:dLbls>
        <c:marker val="1"/>
        <c:smooth val="0"/>
        <c:axId val="317233024"/>
        <c:axId val="317235968"/>
      </c:lineChart>
      <c:catAx>
        <c:axId val="317233024"/>
        <c:scaling>
          <c:orientation val="minMax"/>
        </c:scaling>
        <c:delete val="0"/>
        <c:axPos val="b"/>
        <c:numFmt formatCode="General" sourceLinked="1"/>
        <c:majorTickMark val="none"/>
        <c:minorTickMark val="none"/>
        <c:tickLblPos val="nextTo"/>
        <c:txPr>
          <a:bodyPr/>
          <a:lstStyle/>
          <a:p>
            <a:pPr>
              <a:defRPr lang="en-US"/>
            </a:pPr>
            <a:endParaRPr lang="en-US"/>
          </a:p>
        </c:txPr>
        <c:crossAx val="317235968"/>
        <c:crosses val="autoZero"/>
        <c:auto val="1"/>
        <c:lblAlgn val="ctr"/>
        <c:lblOffset val="100"/>
        <c:noMultiLvlLbl val="0"/>
      </c:catAx>
      <c:valAx>
        <c:axId val="317235968"/>
        <c:scaling>
          <c:orientation val="minMax"/>
        </c:scaling>
        <c:delete val="1"/>
        <c:axPos val="l"/>
        <c:numFmt formatCode="0%" sourceLinked="1"/>
        <c:majorTickMark val="none"/>
        <c:minorTickMark val="none"/>
        <c:tickLblPos val="nextTo"/>
        <c:crossAx val="317233024"/>
        <c:crosses val="autoZero"/>
        <c:crossBetween val="between"/>
      </c:valAx>
    </c:plotArea>
    <c:legend>
      <c:legendPos val="t"/>
      <c:overlay val="0"/>
      <c:txPr>
        <a:bodyPr/>
        <a:lstStyle/>
        <a:p>
          <a:pPr>
            <a:defRPr lang="en-US"/>
          </a:pPr>
          <a:endParaRPr lang="en-US"/>
        </a:p>
      </c:txPr>
    </c:legend>
    <c:plotVisOnly val="1"/>
    <c:dispBlanksAs val="zero"/>
    <c:showDLblsOverMax val="0"/>
  </c:chart>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txPr>
    <a:bodyPr/>
    <a:lstStyle/>
    <a:p>
      <a:pPr>
        <a:defRPr>
          <a:solidFill>
            <a:schemeClr val="lt1"/>
          </a:solidFill>
          <a:latin typeface="+mn-lt"/>
          <a:ea typeface="+mn-ea"/>
          <a:cs typeface="+mn-cs"/>
        </a:defRPr>
      </a:pPr>
      <a:endParaRPr lang="en-US"/>
    </a:p>
  </c:txPr>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en-IN"/>
  <c:roundedCorners val="0"/>
  <mc:AlternateContent xmlns:mc="http://schemas.openxmlformats.org/markup-compatibility/2006">
    <mc:Choice xmlns:c14="http://schemas.microsoft.com/office/drawing/2007/8/2/chart" Requires="c14">
      <c14:style val="130"/>
    </mc:Choice>
    <mc:Fallback>
      <c:style val="30"/>
    </mc:Fallback>
  </mc:AlternateContent>
  <c:chart>
    <c:title>
      <c:tx>
        <c:rich>
          <a:bodyPr/>
          <a:lstStyle/>
          <a:p>
            <a:pPr>
              <a:defRPr lang="en-US" sz="1400">
                <a:latin typeface="Times New Roman" pitchFamily="18" charset="0"/>
                <a:cs typeface="Times New Roman" pitchFamily="18" charset="0"/>
              </a:defRPr>
            </a:pPr>
            <a:r>
              <a:rPr lang="en-US" sz="1400">
                <a:latin typeface="Times New Roman" pitchFamily="18" charset="0"/>
                <a:cs typeface="Times New Roman" pitchFamily="18" charset="0"/>
              </a:rPr>
              <a:t> Current Ratio</a:t>
            </a:r>
          </a:p>
        </c:rich>
      </c:tx>
      <c:overlay val="0"/>
    </c:title>
    <c:autoTitleDeleted val="0"/>
    <c:plotArea>
      <c:layout/>
      <c:barChart>
        <c:barDir val="col"/>
        <c:grouping val="clustered"/>
        <c:varyColors val="0"/>
        <c:ser>
          <c:idx val="0"/>
          <c:order val="0"/>
          <c:tx>
            <c:strRef>
              <c:f>Comparison!$B$13</c:f>
              <c:strCache>
                <c:ptCount val="1"/>
                <c:pt idx="0">
                  <c:v>BT</c:v>
                </c:pt>
              </c:strCache>
            </c:strRef>
          </c:tx>
          <c:spPr>
            <a:solidFill>
              <a:schemeClr val="accent3"/>
            </a:solidFill>
            <a:ln w="25400" cap="flat" cmpd="sng" algn="ctr">
              <a:solidFill>
                <a:schemeClr val="accent3">
                  <a:shade val="50000"/>
                </a:schemeClr>
              </a:solidFill>
              <a:prstDash val="solid"/>
            </a:ln>
            <a:effectLst/>
          </c:spPr>
          <c:invertIfNegative val="0"/>
          <c:cat>
            <c:numRef>
              <c:f>Comparison!$C$12:$G$12</c:f>
              <c:numCache>
                <c:formatCode>General</c:formatCode>
                <c:ptCount val="5"/>
                <c:pt idx="0">
                  <c:v>2012</c:v>
                </c:pt>
                <c:pt idx="1">
                  <c:v>2013</c:v>
                </c:pt>
                <c:pt idx="2">
                  <c:v>2014</c:v>
                </c:pt>
                <c:pt idx="3">
                  <c:v>2015</c:v>
                </c:pt>
                <c:pt idx="4">
                  <c:v>2016</c:v>
                </c:pt>
              </c:numCache>
            </c:numRef>
          </c:cat>
          <c:val>
            <c:numRef>
              <c:f>Comparison!$C$13:$G$13</c:f>
              <c:numCache>
                <c:formatCode>0.00</c:formatCode>
                <c:ptCount val="5"/>
                <c:pt idx="0">
                  <c:v>0.48957320367369006</c:v>
                </c:pt>
                <c:pt idx="1">
                  <c:v>0.70866038723181579</c:v>
                </c:pt>
                <c:pt idx="2">
                  <c:v>0.84096510572058669</c:v>
                </c:pt>
                <c:pt idx="3">
                  <c:v>0.97206053550640281</c:v>
                </c:pt>
                <c:pt idx="4">
                  <c:v>0.76608609331287825</c:v>
                </c:pt>
              </c:numCache>
            </c:numRef>
          </c:val>
        </c:ser>
        <c:ser>
          <c:idx val="1"/>
          <c:order val="1"/>
          <c:tx>
            <c:strRef>
              <c:f>Comparison!$B$14</c:f>
              <c:strCache>
                <c:ptCount val="1"/>
                <c:pt idx="0">
                  <c:v>Vodafone</c:v>
                </c:pt>
              </c:strCache>
            </c:strRef>
          </c:tx>
          <c:spPr>
            <a:solidFill>
              <a:srgbClr val="FFC000"/>
            </a:solidFill>
            <a:ln w="25400" cap="flat" cmpd="sng" algn="ctr">
              <a:solidFill>
                <a:schemeClr val="accent6">
                  <a:shade val="50000"/>
                </a:schemeClr>
              </a:solidFill>
              <a:prstDash val="solid"/>
            </a:ln>
            <a:effectLst/>
          </c:spPr>
          <c:invertIfNegative val="0"/>
          <c:cat>
            <c:numRef>
              <c:f>Comparison!$C$12:$G$12</c:f>
              <c:numCache>
                <c:formatCode>General</c:formatCode>
                <c:ptCount val="5"/>
                <c:pt idx="0">
                  <c:v>2012</c:v>
                </c:pt>
                <c:pt idx="1">
                  <c:v>2013</c:v>
                </c:pt>
                <c:pt idx="2">
                  <c:v>2014</c:v>
                </c:pt>
                <c:pt idx="3">
                  <c:v>2015</c:v>
                </c:pt>
                <c:pt idx="4">
                  <c:v>2016</c:v>
                </c:pt>
              </c:numCache>
            </c:numRef>
          </c:cat>
          <c:val>
            <c:numRef>
              <c:f>Comparison!$C$14:$G$14</c:f>
              <c:numCache>
                <c:formatCode>0.00</c:formatCode>
                <c:ptCount val="5"/>
                <c:pt idx="0">
                  <c:v>0.88012764186283088</c:v>
                </c:pt>
                <c:pt idx="1">
                  <c:v>0.76312171736754975</c:v>
                </c:pt>
                <c:pt idx="2">
                  <c:v>0.98733974999001517</c:v>
                </c:pt>
                <c:pt idx="3">
                  <c:v>0.68681870090320796</c:v>
                </c:pt>
                <c:pt idx="4">
                  <c:v>0.84276089234915474</c:v>
                </c:pt>
              </c:numCache>
            </c:numRef>
          </c:val>
        </c:ser>
        <c:dLbls>
          <c:showLegendKey val="0"/>
          <c:showVal val="0"/>
          <c:showCatName val="0"/>
          <c:showSerName val="0"/>
          <c:showPercent val="0"/>
          <c:showBubbleSize val="0"/>
        </c:dLbls>
        <c:gapWidth val="150"/>
        <c:axId val="317253120"/>
        <c:axId val="317254656"/>
      </c:barChart>
      <c:catAx>
        <c:axId val="317253120"/>
        <c:scaling>
          <c:orientation val="minMax"/>
        </c:scaling>
        <c:delete val="0"/>
        <c:axPos val="b"/>
        <c:numFmt formatCode="General" sourceLinked="1"/>
        <c:majorTickMark val="out"/>
        <c:minorTickMark val="none"/>
        <c:tickLblPos val="nextTo"/>
        <c:txPr>
          <a:bodyPr/>
          <a:lstStyle/>
          <a:p>
            <a:pPr>
              <a:defRPr lang="en-US"/>
            </a:pPr>
            <a:endParaRPr lang="en-US"/>
          </a:p>
        </c:txPr>
        <c:crossAx val="317254656"/>
        <c:crosses val="autoZero"/>
        <c:auto val="1"/>
        <c:lblAlgn val="ctr"/>
        <c:lblOffset val="100"/>
        <c:noMultiLvlLbl val="0"/>
      </c:catAx>
      <c:valAx>
        <c:axId val="317254656"/>
        <c:scaling>
          <c:orientation val="minMax"/>
        </c:scaling>
        <c:delete val="0"/>
        <c:axPos val="l"/>
        <c:majorGridlines/>
        <c:numFmt formatCode="0.00" sourceLinked="1"/>
        <c:majorTickMark val="out"/>
        <c:minorTickMark val="none"/>
        <c:tickLblPos val="nextTo"/>
        <c:txPr>
          <a:bodyPr/>
          <a:lstStyle/>
          <a:p>
            <a:pPr>
              <a:defRPr lang="en-US"/>
            </a:pPr>
            <a:endParaRPr lang="en-US"/>
          </a:p>
        </c:txPr>
        <c:crossAx val="317253120"/>
        <c:crosses val="autoZero"/>
        <c:crossBetween val="between"/>
      </c:valAx>
    </c:plotArea>
    <c:legend>
      <c:legendPos val="r"/>
      <c:overlay val="0"/>
      <c:txPr>
        <a:bodyPr/>
        <a:lstStyle/>
        <a:p>
          <a:pPr>
            <a:defRPr lang="en-US"/>
          </a:pPr>
          <a:endParaRPr lang="en-US"/>
        </a:p>
      </c:txPr>
    </c:legend>
    <c:plotVisOnly val="1"/>
    <c:dispBlanksAs val="gap"/>
    <c:showDLblsOverMax val="0"/>
  </c:chart>
  <c:spPr>
    <a:solidFill>
      <a:schemeClr val="accent6">
        <a:lumMod val="40000"/>
        <a:lumOff val="60000"/>
      </a:schemeClr>
    </a:solidFill>
  </c:spPr>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c:date1904 val="0"/>
  <c:lang val="en-IN"/>
  <c:roundedCorners val="0"/>
  <mc:AlternateContent xmlns:mc="http://schemas.openxmlformats.org/markup-compatibility/2006">
    <mc:Choice xmlns:c14="http://schemas.microsoft.com/office/drawing/2007/8/2/chart" Requires="c14">
      <c14:style val="130"/>
    </mc:Choice>
    <mc:Fallback>
      <c:style val="30"/>
    </mc:Fallback>
  </mc:AlternateContent>
  <c:chart>
    <c:title>
      <c:tx>
        <c:rich>
          <a:bodyPr/>
          <a:lstStyle/>
          <a:p>
            <a:pPr>
              <a:defRPr lang="en-US" sz="1400">
                <a:latin typeface="Times New Roman" pitchFamily="18" charset="0"/>
                <a:cs typeface="Times New Roman" pitchFamily="18" charset="0"/>
              </a:defRPr>
            </a:pPr>
            <a:r>
              <a:rPr lang="en-US" sz="1400">
                <a:latin typeface="Times New Roman" pitchFamily="18" charset="0"/>
                <a:cs typeface="Times New Roman" pitchFamily="18" charset="0"/>
              </a:rPr>
              <a:t> Quick Ratio</a:t>
            </a:r>
          </a:p>
        </c:rich>
      </c:tx>
      <c:overlay val="0"/>
    </c:title>
    <c:autoTitleDeleted val="0"/>
    <c:plotArea>
      <c:layout/>
      <c:barChart>
        <c:barDir val="col"/>
        <c:grouping val="clustered"/>
        <c:varyColors val="0"/>
        <c:ser>
          <c:idx val="0"/>
          <c:order val="0"/>
          <c:tx>
            <c:strRef>
              <c:f>Comparison!$B$18</c:f>
              <c:strCache>
                <c:ptCount val="1"/>
                <c:pt idx="0">
                  <c:v>BT</c:v>
                </c:pt>
              </c:strCache>
            </c:strRef>
          </c:tx>
          <c:spPr>
            <a:solidFill>
              <a:schemeClr val="accent3"/>
            </a:solidFill>
            <a:ln w="25400" cap="flat" cmpd="sng" algn="ctr">
              <a:solidFill>
                <a:schemeClr val="accent3">
                  <a:shade val="50000"/>
                </a:schemeClr>
              </a:solidFill>
              <a:prstDash val="solid"/>
            </a:ln>
            <a:effectLst/>
          </c:spPr>
          <c:invertIfNegative val="0"/>
          <c:cat>
            <c:numRef>
              <c:f>Comparison!$C$17:$G$17</c:f>
              <c:numCache>
                <c:formatCode>General</c:formatCode>
                <c:ptCount val="5"/>
                <c:pt idx="0">
                  <c:v>2012</c:v>
                </c:pt>
                <c:pt idx="1">
                  <c:v>2013</c:v>
                </c:pt>
                <c:pt idx="2">
                  <c:v>2014</c:v>
                </c:pt>
                <c:pt idx="3">
                  <c:v>2015</c:v>
                </c:pt>
                <c:pt idx="4">
                  <c:v>2016</c:v>
                </c:pt>
              </c:numCache>
            </c:numRef>
          </c:cat>
          <c:val>
            <c:numRef>
              <c:f>Comparison!$C$18:$G$18</c:f>
              <c:numCache>
                <c:formatCode>0.00</c:formatCode>
                <c:ptCount val="5"/>
                <c:pt idx="0">
                  <c:v>0.4783360345759049</c:v>
                </c:pt>
                <c:pt idx="1">
                  <c:v>0.6951857666143384</c:v>
                </c:pt>
                <c:pt idx="2">
                  <c:v>0.83032818783240359</c:v>
                </c:pt>
                <c:pt idx="3">
                  <c:v>0.95990169447678231</c:v>
                </c:pt>
                <c:pt idx="4">
                  <c:v>0.74902987095027584</c:v>
                </c:pt>
              </c:numCache>
            </c:numRef>
          </c:val>
        </c:ser>
        <c:ser>
          <c:idx val="1"/>
          <c:order val="1"/>
          <c:tx>
            <c:strRef>
              <c:f>Comparison!$B$19</c:f>
              <c:strCache>
                <c:ptCount val="1"/>
                <c:pt idx="0">
                  <c:v>Vodafone</c:v>
                </c:pt>
              </c:strCache>
            </c:strRef>
          </c:tx>
          <c:spPr>
            <a:solidFill>
              <a:schemeClr val="tx1">
                <a:lumMod val="65000"/>
                <a:lumOff val="35000"/>
              </a:schemeClr>
            </a:solidFill>
            <a:ln w="9525" cap="flat" cmpd="sng" algn="ctr">
              <a:solidFill>
                <a:schemeClr val="accent5">
                  <a:shade val="95000"/>
                  <a:satMod val="105000"/>
                </a:schemeClr>
              </a:solidFill>
              <a:prstDash val="solid"/>
            </a:ln>
            <a:effectLst>
              <a:outerShdw blurRad="40000" dist="23000" dir="5400000" rotWithShape="0">
                <a:srgbClr val="000000">
                  <a:alpha val="35000"/>
                </a:srgbClr>
              </a:outerShdw>
            </a:effectLst>
          </c:spPr>
          <c:invertIfNegative val="0"/>
          <c:cat>
            <c:numRef>
              <c:f>Comparison!$C$17:$G$17</c:f>
              <c:numCache>
                <c:formatCode>General</c:formatCode>
                <c:ptCount val="5"/>
                <c:pt idx="0">
                  <c:v>2012</c:v>
                </c:pt>
                <c:pt idx="1">
                  <c:v>2013</c:v>
                </c:pt>
                <c:pt idx="2">
                  <c:v>2014</c:v>
                </c:pt>
                <c:pt idx="3">
                  <c:v>2015</c:v>
                </c:pt>
                <c:pt idx="4">
                  <c:v>2016</c:v>
                </c:pt>
              </c:numCache>
            </c:numRef>
          </c:cat>
          <c:val>
            <c:numRef>
              <c:f>Comparison!$C$19:$G$19</c:f>
              <c:numCache>
                <c:formatCode>0.00</c:formatCode>
                <c:ptCount val="5"/>
                <c:pt idx="0">
                  <c:v>0.86278499745641246</c:v>
                </c:pt>
                <c:pt idx="1">
                  <c:v>0.75067855758045821</c:v>
                </c:pt>
                <c:pt idx="2">
                  <c:v>0.96972722552817681</c:v>
                </c:pt>
                <c:pt idx="3">
                  <c:v>0.67013876873031808</c:v>
                </c:pt>
                <c:pt idx="4">
                  <c:v>0.8258421919449016</c:v>
                </c:pt>
              </c:numCache>
            </c:numRef>
          </c:val>
        </c:ser>
        <c:dLbls>
          <c:showLegendKey val="0"/>
          <c:showVal val="0"/>
          <c:showCatName val="0"/>
          <c:showSerName val="0"/>
          <c:showPercent val="0"/>
          <c:showBubbleSize val="0"/>
        </c:dLbls>
        <c:gapWidth val="150"/>
        <c:axId val="317931520"/>
        <c:axId val="317933056"/>
      </c:barChart>
      <c:catAx>
        <c:axId val="317931520"/>
        <c:scaling>
          <c:orientation val="minMax"/>
        </c:scaling>
        <c:delete val="0"/>
        <c:axPos val="b"/>
        <c:numFmt formatCode="General" sourceLinked="1"/>
        <c:majorTickMark val="out"/>
        <c:minorTickMark val="none"/>
        <c:tickLblPos val="nextTo"/>
        <c:txPr>
          <a:bodyPr/>
          <a:lstStyle/>
          <a:p>
            <a:pPr>
              <a:defRPr lang="en-US"/>
            </a:pPr>
            <a:endParaRPr lang="en-US"/>
          </a:p>
        </c:txPr>
        <c:crossAx val="317933056"/>
        <c:crosses val="autoZero"/>
        <c:auto val="1"/>
        <c:lblAlgn val="ctr"/>
        <c:lblOffset val="100"/>
        <c:noMultiLvlLbl val="0"/>
      </c:catAx>
      <c:valAx>
        <c:axId val="317933056"/>
        <c:scaling>
          <c:orientation val="minMax"/>
        </c:scaling>
        <c:delete val="0"/>
        <c:axPos val="l"/>
        <c:majorGridlines/>
        <c:numFmt formatCode="0.00" sourceLinked="1"/>
        <c:majorTickMark val="out"/>
        <c:minorTickMark val="none"/>
        <c:tickLblPos val="nextTo"/>
        <c:txPr>
          <a:bodyPr/>
          <a:lstStyle/>
          <a:p>
            <a:pPr>
              <a:defRPr lang="en-US"/>
            </a:pPr>
            <a:endParaRPr lang="en-US"/>
          </a:p>
        </c:txPr>
        <c:crossAx val="317931520"/>
        <c:crosses val="autoZero"/>
        <c:crossBetween val="between"/>
      </c:valAx>
    </c:plotArea>
    <c:legend>
      <c:legendPos val="r"/>
      <c:overlay val="0"/>
      <c:txPr>
        <a:bodyPr/>
        <a:lstStyle/>
        <a:p>
          <a:pPr>
            <a:defRPr lang="en-US"/>
          </a:pPr>
          <a:endParaRPr lang="en-US"/>
        </a:p>
      </c:txPr>
    </c:legend>
    <c:plotVisOnly val="1"/>
    <c:dispBlanksAs val="gap"/>
    <c:showDLblsOverMax val="0"/>
  </c:chart>
  <c:spPr>
    <a:solidFill>
      <a:schemeClr val="accent1">
        <a:lumMod val="40000"/>
        <a:lumOff val="60000"/>
      </a:schemeClr>
    </a:solidFill>
  </c:spPr>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c:date1904 val="0"/>
  <c:lang val="en-IN"/>
  <c:roundedCorners val="0"/>
  <mc:AlternateContent xmlns:mc="http://schemas.openxmlformats.org/markup-compatibility/2006">
    <mc:Choice xmlns:c14="http://schemas.microsoft.com/office/drawing/2007/8/2/chart" Requires="c14">
      <c14:style val="130"/>
    </mc:Choice>
    <mc:Fallback>
      <c:style val="30"/>
    </mc:Fallback>
  </mc:AlternateContent>
  <c:chart>
    <c:title>
      <c:tx>
        <c:rich>
          <a:bodyPr/>
          <a:lstStyle/>
          <a:p>
            <a:pPr>
              <a:defRPr lang="en-US" sz="1400">
                <a:latin typeface="Times New Roman" pitchFamily="18" charset="0"/>
                <a:cs typeface="Times New Roman" pitchFamily="18" charset="0"/>
              </a:defRPr>
            </a:pPr>
            <a:r>
              <a:rPr lang="en-US" sz="1400">
                <a:latin typeface="Times New Roman" pitchFamily="18" charset="0"/>
                <a:cs typeface="Times New Roman" pitchFamily="18" charset="0"/>
              </a:rPr>
              <a:t> Return on capital employed(ROCE)</a:t>
            </a:r>
          </a:p>
        </c:rich>
      </c:tx>
      <c:overlay val="0"/>
    </c:title>
    <c:autoTitleDeleted val="0"/>
    <c:plotArea>
      <c:layout/>
      <c:barChart>
        <c:barDir val="col"/>
        <c:grouping val="clustered"/>
        <c:varyColors val="0"/>
        <c:ser>
          <c:idx val="0"/>
          <c:order val="0"/>
          <c:tx>
            <c:strRef>
              <c:f>Comparison!$B$23</c:f>
              <c:strCache>
                <c:ptCount val="1"/>
                <c:pt idx="0">
                  <c:v>BT</c:v>
                </c:pt>
              </c:strCache>
            </c:strRef>
          </c:tx>
          <c:spPr>
            <a:solidFill>
              <a:schemeClr val="bg2">
                <a:lumMod val="50000"/>
              </a:schemeClr>
            </a:solidFill>
            <a:ln w="25400" cap="flat" cmpd="sng" algn="ctr">
              <a:solidFill>
                <a:schemeClr val="accent3">
                  <a:shade val="50000"/>
                </a:schemeClr>
              </a:solidFill>
              <a:prstDash val="solid"/>
            </a:ln>
            <a:effectLst/>
          </c:spPr>
          <c:invertIfNegative val="0"/>
          <c:cat>
            <c:numRef>
              <c:f>Comparison!$C$22:$G$22</c:f>
              <c:numCache>
                <c:formatCode>General</c:formatCode>
                <c:ptCount val="5"/>
                <c:pt idx="0">
                  <c:v>2012</c:v>
                </c:pt>
                <c:pt idx="1">
                  <c:v>2013</c:v>
                </c:pt>
                <c:pt idx="2">
                  <c:v>2014</c:v>
                </c:pt>
                <c:pt idx="3">
                  <c:v>2015</c:v>
                </c:pt>
                <c:pt idx="4">
                  <c:v>2016</c:v>
                </c:pt>
              </c:numCache>
            </c:numRef>
          </c:cat>
          <c:val>
            <c:numRef>
              <c:f>Comparison!$C$23:$G$23</c:f>
              <c:numCache>
                <c:formatCode>0.00</c:formatCode>
                <c:ptCount val="5"/>
                <c:pt idx="0">
                  <c:v>0.20839936608557844</c:v>
                </c:pt>
                <c:pt idx="1">
                  <c:v>0.10740013097576953</c:v>
                </c:pt>
                <c:pt idx="2">
                  <c:v>0.11389793702497285</c:v>
                </c:pt>
                <c:pt idx="3">
                  <c:v>0.11663543897216276</c:v>
                </c:pt>
                <c:pt idx="4">
                  <c:v>0.10864635422723577</c:v>
                </c:pt>
              </c:numCache>
            </c:numRef>
          </c:val>
        </c:ser>
        <c:ser>
          <c:idx val="1"/>
          <c:order val="1"/>
          <c:tx>
            <c:strRef>
              <c:f>Comparison!$B$24</c:f>
              <c:strCache>
                <c:ptCount val="1"/>
                <c:pt idx="0">
                  <c:v>Vodafone</c:v>
                </c:pt>
              </c:strCache>
            </c:strRef>
          </c:tx>
          <c:spPr>
            <a:solidFill>
              <a:srgbClr val="92D050"/>
            </a:solidFill>
            <a:ln w="9525" cap="flat" cmpd="sng" algn="ctr">
              <a:solidFill>
                <a:schemeClr val="accent5">
                  <a:shade val="95000"/>
                  <a:satMod val="105000"/>
                </a:schemeClr>
              </a:solidFill>
              <a:prstDash val="solid"/>
            </a:ln>
            <a:effectLst>
              <a:outerShdw blurRad="40000" dist="23000" dir="5400000" rotWithShape="0">
                <a:srgbClr val="000000">
                  <a:alpha val="35000"/>
                </a:srgbClr>
              </a:outerShdw>
            </a:effectLst>
          </c:spPr>
          <c:invertIfNegative val="0"/>
          <c:cat>
            <c:numRef>
              <c:f>Comparison!$C$22:$G$22</c:f>
              <c:numCache>
                <c:formatCode>General</c:formatCode>
                <c:ptCount val="5"/>
                <c:pt idx="0">
                  <c:v>2012</c:v>
                </c:pt>
                <c:pt idx="1">
                  <c:v>2013</c:v>
                </c:pt>
                <c:pt idx="2">
                  <c:v>2014</c:v>
                </c:pt>
                <c:pt idx="3">
                  <c:v>2015</c:v>
                </c:pt>
                <c:pt idx="4">
                  <c:v>2016</c:v>
                </c:pt>
              </c:numCache>
            </c:numRef>
          </c:cat>
          <c:val>
            <c:numRef>
              <c:f>Comparison!$C$24:$G$24</c:f>
              <c:numCache>
                <c:formatCode>0.00</c:formatCode>
                <c:ptCount val="5"/>
                <c:pt idx="0">
                  <c:v>2.7983104540654724E-2</c:v>
                </c:pt>
                <c:pt idx="1">
                  <c:v>-1.1219295966250402E-2</c:v>
                </c:pt>
                <c:pt idx="2">
                  <c:v>-1.9068736141906881E-2</c:v>
                </c:pt>
                <c:pt idx="3">
                  <c:v>8.1076959222452661E-3</c:v>
                </c:pt>
                <c:pt idx="4">
                  <c:v>5.3500660501981535E-3</c:v>
                </c:pt>
              </c:numCache>
            </c:numRef>
          </c:val>
        </c:ser>
        <c:dLbls>
          <c:showLegendKey val="0"/>
          <c:showVal val="0"/>
          <c:showCatName val="0"/>
          <c:showSerName val="0"/>
          <c:showPercent val="0"/>
          <c:showBubbleSize val="0"/>
        </c:dLbls>
        <c:gapWidth val="150"/>
        <c:axId val="317966976"/>
        <c:axId val="317968768"/>
      </c:barChart>
      <c:catAx>
        <c:axId val="317966976"/>
        <c:scaling>
          <c:orientation val="minMax"/>
        </c:scaling>
        <c:delete val="0"/>
        <c:axPos val="b"/>
        <c:numFmt formatCode="General" sourceLinked="1"/>
        <c:majorTickMark val="out"/>
        <c:minorTickMark val="none"/>
        <c:tickLblPos val="nextTo"/>
        <c:txPr>
          <a:bodyPr/>
          <a:lstStyle/>
          <a:p>
            <a:pPr>
              <a:defRPr lang="en-US"/>
            </a:pPr>
            <a:endParaRPr lang="en-US"/>
          </a:p>
        </c:txPr>
        <c:crossAx val="317968768"/>
        <c:crosses val="autoZero"/>
        <c:auto val="1"/>
        <c:lblAlgn val="ctr"/>
        <c:lblOffset val="100"/>
        <c:noMultiLvlLbl val="0"/>
      </c:catAx>
      <c:valAx>
        <c:axId val="317968768"/>
        <c:scaling>
          <c:orientation val="minMax"/>
        </c:scaling>
        <c:delete val="0"/>
        <c:axPos val="l"/>
        <c:majorGridlines/>
        <c:numFmt formatCode="0.00" sourceLinked="1"/>
        <c:majorTickMark val="out"/>
        <c:minorTickMark val="none"/>
        <c:tickLblPos val="nextTo"/>
        <c:txPr>
          <a:bodyPr/>
          <a:lstStyle/>
          <a:p>
            <a:pPr>
              <a:defRPr lang="en-US"/>
            </a:pPr>
            <a:endParaRPr lang="en-US"/>
          </a:p>
        </c:txPr>
        <c:crossAx val="317966976"/>
        <c:crosses val="autoZero"/>
        <c:crossBetween val="between"/>
      </c:valAx>
    </c:plotArea>
    <c:legend>
      <c:legendPos val="r"/>
      <c:overlay val="0"/>
      <c:txPr>
        <a:bodyPr/>
        <a:lstStyle/>
        <a:p>
          <a:pPr>
            <a:defRPr lang="en-US"/>
          </a:pPr>
          <a:endParaRPr lang="en-US"/>
        </a:p>
      </c:txPr>
    </c:legend>
    <c:plotVisOnly val="1"/>
    <c:dispBlanksAs val="gap"/>
    <c:showDLblsOverMax val="0"/>
  </c:chart>
  <c:spPr>
    <a:solidFill>
      <a:srgbClr val="9999FF"/>
    </a:solidFill>
  </c:spPr>
  <c:externalData r:id="rId1">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c:date1904 val="0"/>
  <c:lang val="en-IN"/>
  <c:roundedCorners val="0"/>
  <mc:AlternateContent xmlns:mc="http://schemas.openxmlformats.org/markup-compatibility/2006">
    <mc:Choice xmlns:c14="http://schemas.microsoft.com/office/drawing/2007/8/2/chart" Requires="c14">
      <c14:style val="130"/>
    </mc:Choice>
    <mc:Fallback>
      <c:style val="30"/>
    </mc:Fallback>
  </mc:AlternateContent>
  <c:chart>
    <c:title>
      <c:tx>
        <c:rich>
          <a:bodyPr/>
          <a:lstStyle/>
          <a:p>
            <a:pPr>
              <a:defRPr lang="en-US" sz="1400">
                <a:latin typeface="Times New Roman" pitchFamily="18" charset="0"/>
                <a:cs typeface="Times New Roman" pitchFamily="18" charset="0"/>
              </a:defRPr>
            </a:pPr>
            <a:r>
              <a:rPr lang="en-US" sz="1400">
                <a:latin typeface="Times New Roman" pitchFamily="18" charset="0"/>
                <a:cs typeface="Times New Roman" pitchFamily="18" charset="0"/>
              </a:rPr>
              <a:t> Total asset turm over ratio</a:t>
            </a:r>
          </a:p>
        </c:rich>
      </c:tx>
      <c:overlay val="0"/>
    </c:title>
    <c:autoTitleDeleted val="0"/>
    <c:plotArea>
      <c:layout/>
      <c:barChart>
        <c:barDir val="col"/>
        <c:grouping val="clustered"/>
        <c:varyColors val="0"/>
        <c:ser>
          <c:idx val="0"/>
          <c:order val="0"/>
          <c:tx>
            <c:strRef>
              <c:f>Comparison!$B$28</c:f>
              <c:strCache>
                <c:ptCount val="1"/>
                <c:pt idx="0">
                  <c:v>BT</c:v>
                </c:pt>
              </c:strCache>
            </c:strRef>
          </c:tx>
          <c:spPr>
            <a:solidFill>
              <a:srgbClr val="D618CD"/>
            </a:solidFill>
            <a:ln w="25400" cap="flat" cmpd="sng" algn="ctr">
              <a:solidFill>
                <a:schemeClr val="accent3">
                  <a:shade val="50000"/>
                </a:schemeClr>
              </a:solidFill>
              <a:prstDash val="solid"/>
            </a:ln>
            <a:effectLst/>
          </c:spPr>
          <c:invertIfNegative val="0"/>
          <c:cat>
            <c:numRef>
              <c:f>Comparison!$C$27:$G$27</c:f>
              <c:numCache>
                <c:formatCode>General</c:formatCode>
                <c:ptCount val="5"/>
                <c:pt idx="0">
                  <c:v>2012</c:v>
                </c:pt>
                <c:pt idx="1">
                  <c:v>2013</c:v>
                </c:pt>
                <c:pt idx="2">
                  <c:v>2014</c:v>
                </c:pt>
                <c:pt idx="3">
                  <c:v>2015</c:v>
                </c:pt>
                <c:pt idx="4">
                  <c:v>2016</c:v>
                </c:pt>
              </c:numCache>
            </c:numRef>
          </c:cat>
          <c:val>
            <c:numRef>
              <c:f>Comparison!$C$28:$G$28</c:f>
              <c:numCache>
                <c:formatCode>0.00</c:formatCode>
                <c:ptCount val="5"/>
                <c:pt idx="0">
                  <c:v>0.7928428261232674</c:v>
                </c:pt>
                <c:pt idx="1">
                  <c:v>0.4056331085168835</c:v>
                </c:pt>
                <c:pt idx="2">
                  <c:v>0.41098999887627846</c:v>
                </c:pt>
                <c:pt idx="3">
                  <c:v>0.3840599833379621</c:v>
                </c:pt>
                <c:pt idx="4">
                  <c:v>0.34701315741516925</c:v>
                </c:pt>
              </c:numCache>
            </c:numRef>
          </c:val>
        </c:ser>
        <c:ser>
          <c:idx val="1"/>
          <c:order val="1"/>
          <c:tx>
            <c:strRef>
              <c:f>Comparison!$B$29</c:f>
              <c:strCache>
                <c:ptCount val="1"/>
                <c:pt idx="0">
                  <c:v>Vodafone</c:v>
                </c:pt>
              </c:strCache>
            </c:strRef>
          </c:tx>
          <c:spPr>
            <a:gradFill rotWithShape="1">
              <a:gsLst>
                <a:gs pos="0">
                  <a:schemeClr val="accent4">
                    <a:tint val="50000"/>
                    <a:satMod val="300000"/>
                  </a:schemeClr>
                </a:gs>
                <a:gs pos="35000">
                  <a:schemeClr val="accent4">
                    <a:tint val="37000"/>
                    <a:satMod val="300000"/>
                  </a:schemeClr>
                </a:gs>
                <a:gs pos="100000">
                  <a:schemeClr val="accent4">
                    <a:tint val="15000"/>
                    <a:satMod val="350000"/>
                  </a:schemeClr>
                </a:gs>
              </a:gsLst>
              <a:lin ang="16200000" scaled="1"/>
            </a:gradFill>
            <a:ln w="9525" cap="flat" cmpd="sng" algn="ctr">
              <a:solidFill>
                <a:schemeClr val="accent4">
                  <a:shade val="95000"/>
                  <a:satMod val="105000"/>
                </a:schemeClr>
              </a:solidFill>
              <a:prstDash val="solid"/>
            </a:ln>
            <a:effectLst>
              <a:outerShdw blurRad="40000" dist="20000" dir="5400000" rotWithShape="0">
                <a:srgbClr val="000000">
                  <a:alpha val="38000"/>
                </a:srgbClr>
              </a:outerShdw>
            </a:effectLst>
          </c:spPr>
          <c:invertIfNegative val="0"/>
          <c:cat>
            <c:numRef>
              <c:f>Comparison!$C$27:$G$27</c:f>
              <c:numCache>
                <c:formatCode>General</c:formatCode>
                <c:ptCount val="5"/>
                <c:pt idx="0">
                  <c:v>2012</c:v>
                </c:pt>
                <c:pt idx="1">
                  <c:v>2013</c:v>
                </c:pt>
                <c:pt idx="2">
                  <c:v>2014</c:v>
                </c:pt>
                <c:pt idx="3">
                  <c:v>2015</c:v>
                </c:pt>
                <c:pt idx="4">
                  <c:v>2016</c:v>
                </c:pt>
              </c:numCache>
            </c:numRef>
          </c:cat>
          <c:val>
            <c:numRef>
              <c:f>Comparison!$C$29:$G$29</c:f>
              <c:numCache>
                <c:formatCode>0.00</c:formatCode>
                <c:ptCount val="5"/>
                <c:pt idx="0">
                  <c:v>0.28660760428202287</c:v>
                </c:pt>
                <c:pt idx="1">
                  <c:v>0.27501373586651628</c:v>
                </c:pt>
                <c:pt idx="2">
                  <c:v>0.3147242284963887</c:v>
                </c:pt>
                <c:pt idx="3">
                  <c:v>0.34450490727974392</c:v>
                </c:pt>
                <c:pt idx="4">
                  <c:v>0.30642495494080646</c:v>
                </c:pt>
              </c:numCache>
            </c:numRef>
          </c:val>
        </c:ser>
        <c:dLbls>
          <c:showLegendKey val="0"/>
          <c:showVal val="0"/>
          <c:showCatName val="0"/>
          <c:showSerName val="0"/>
          <c:showPercent val="0"/>
          <c:showBubbleSize val="0"/>
        </c:dLbls>
        <c:gapWidth val="150"/>
        <c:axId val="349967488"/>
        <c:axId val="349969024"/>
      </c:barChart>
      <c:catAx>
        <c:axId val="349967488"/>
        <c:scaling>
          <c:orientation val="minMax"/>
        </c:scaling>
        <c:delete val="0"/>
        <c:axPos val="b"/>
        <c:numFmt formatCode="General" sourceLinked="1"/>
        <c:majorTickMark val="out"/>
        <c:minorTickMark val="none"/>
        <c:tickLblPos val="nextTo"/>
        <c:txPr>
          <a:bodyPr/>
          <a:lstStyle/>
          <a:p>
            <a:pPr>
              <a:defRPr lang="en-US"/>
            </a:pPr>
            <a:endParaRPr lang="en-US"/>
          </a:p>
        </c:txPr>
        <c:crossAx val="349969024"/>
        <c:crosses val="autoZero"/>
        <c:auto val="1"/>
        <c:lblAlgn val="ctr"/>
        <c:lblOffset val="100"/>
        <c:noMultiLvlLbl val="0"/>
      </c:catAx>
      <c:valAx>
        <c:axId val="349969024"/>
        <c:scaling>
          <c:orientation val="minMax"/>
        </c:scaling>
        <c:delete val="0"/>
        <c:axPos val="l"/>
        <c:majorGridlines/>
        <c:numFmt formatCode="0.00" sourceLinked="1"/>
        <c:majorTickMark val="out"/>
        <c:minorTickMark val="none"/>
        <c:tickLblPos val="nextTo"/>
        <c:txPr>
          <a:bodyPr/>
          <a:lstStyle/>
          <a:p>
            <a:pPr>
              <a:defRPr lang="en-US"/>
            </a:pPr>
            <a:endParaRPr lang="en-US"/>
          </a:p>
        </c:txPr>
        <c:crossAx val="349967488"/>
        <c:crosses val="autoZero"/>
        <c:crossBetween val="between"/>
      </c:valAx>
    </c:plotArea>
    <c:legend>
      <c:legendPos val="r"/>
      <c:overlay val="0"/>
      <c:txPr>
        <a:bodyPr/>
        <a:lstStyle/>
        <a:p>
          <a:pPr>
            <a:defRPr lang="en-US"/>
          </a:pPr>
          <a:endParaRPr lang="en-US"/>
        </a:p>
      </c:txPr>
    </c:legend>
    <c:plotVisOnly val="1"/>
    <c:dispBlanksAs val="gap"/>
    <c:showDLblsOverMax val="0"/>
  </c:chart>
  <c:spPr>
    <a:solidFill>
      <a:schemeClr val="bg2">
        <a:lumMod val="90000"/>
      </a:schemeClr>
    </a:solidFill>
  </c:spPr>
  <c:externalData r:id="rId1">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c:date1904 val="0"/>
  <c:lang val="en-IN"/>
  <c:roundedCorners val="0"/>
  <mc:AlternateContent xmlns:mc="http://schemas.openxmlformats.org/markup-compatibility/2006">
    <mc:Choice xmlns:c14="http://schemas.microsoft.com/office/drawing/2007/8/2/chart" Requires="c14">
      <c14:style val="130"/>
    </mc:Choice>
    <mc:Fallback>
      <c:style val="30"/>
    </mc:Fallback>
  </mc:AlternateContent>
  <c:chart>
    <c:title>
      <c:tx>
        <c:rich>
          <a:bodyPr/>
          <a:lstStyle/>
          <a:p>
            <a:pPr>
              <a:defRPr lang="en-US" sz="1400">
                <a:latin typeface="Times New Roman" pitchFamily="18" charset="0"/>
                <a:cs typeface="Times New Roman" pitchFamily="18" charset="0"/>
              </a:defRPr>
            </a:pPr>
            <a:r>
              <a:rPr lang="en-US" sz="1400">
                <a:latin typeface="Times New Roman" pitchFamily="18" charset="0"/>
                <a:cs typeface="Times New Roman" pitchFamily="18" charset="0"/>
              </a:rPr>
              <a:t> Gearing Ratio</a:t>
            </a:r>
          </a:p>
        </c:rich>
      </c:tx>
      <c:overlay val="0"/>
    </c:title>
    <c:autoTitleDeleted val="0"/>
    <c:plotArea>
      <c:layout/>
      <c:barChart>
        <c:barDir val="col"/>
        <c:grouping val="clustered"/>
        <c:varyColors val="0"/>
        <c:ser>
          <c:idx val="0"/>
          <c:order val="0"/>
          <c:tx>
            <c:strRef>
              <c:f>Comparison!$B$33</c:f>
              <c:strCache>
                <c:ptCount val="1"/>
                <c:pt idx="0">
                  <c:v>BT</c:v>
                </c:pt>
              </c:strCache>
            </c:strRef>
          </c:tx>
          <c:spPr>
            <a:solidFill>
              <a:srgbClr val="0AC0AF"/>
            </a:solidFill>
            <a:ln w="25400" cap="flat" cmpd="sng" algn="ctr">
              <a:solidFill>
                <a:schemeClr val="accent3">
                  <a:shade val="50000"/>
                </a:schemeClr>
              </a:solidFill>
              <a:prstDash val="solid"/>
            </a:ln>
            <a:effectLst/>
          </c:spPr>
          <c:invertIfNegative val="0"/>
          <c:cat>
            <c:numRef>
              <c:f>Comparison!$C$32:$G$32</c:f>
              <c:numCache>
                <c:formatCode>General</c:formatCode>
                <c:ptCount val="5"/>
                <c:pt idx="0">
                  <c:v>2012</c:v>
                </c:pt>
                <c:pt idx="1">
                  <c:v>2013</c:v>
                </c:pt>
                <c:pt idx="2">
                  <c:v>2014</c:v>
                </c:pt>
                <c:pt idx="3">
                  <c:v>2015</c:v>
                </c:pt>
                <c:pt idx="4">
                  <c:v>2016</c:v>
                </c:pt>
              </c:numCache>
            </c:numRef>
          </c:cat>
          <c:val>
            <c:numRef>
              <c:f>Comparison!$C$33:$G$33</c:f>
              <c:numCache>
                <c:formatCode>0%</c:formatCode>
                <c:ptCount val="5"/>
                <c:pt idx="0">
                  <c:v>0.96419824232819551</c:v>
                </c:pt>
                <c:pt idx="1">
                  <c:v>0.63803390817143268</c:v>
                </c:pt>
                <c:pt idx="2">
                  <c:v>0.64433586681143684</c:v>
                </c:pt>
                <c:pt idx="3">
                  <c:v>0.65839132762312713</c:v>
                </c:pt>
                <c:pt idx="4">
                  <c:v>0.64542388649843074</c:v>
                </c:pt>
              </c:numCache>
            </c:numRef>
          </c:val>
        </c:ser>
        <c:ser>
          <c:idx val="1"/>
          <c:order val="1"/>
          <c:tx>
            <c:strRef>
              <c:f>Comparison!$B$34</c:f>
              <c:strCache>
                <c:ptCount val="1"/>
                <c:pt idx="0">
                  <c:v>Vodafone</c:v>
                </c:pt>
              </c:strCache>
            </c:strRef>
          </c:tx>
          <c:spPr>
            <a:solidFill>
              <a:schemeClr val="accent4">
                <a:lumMod val="75000"/>
              </a:schemeClr>
            </a:solidFill>
            <a:ln w="9525" cap="flat" cmpd="sng" algn="ctr">
              <a:solidFill>
                <a:schemeClr val="accent6">
                  <a:lumMod val="40000"/>
                  <a:lumOff val="60000"/>
                </a:schemeClr>
              </a:solidFill>
              <a:prstDash val="solid"/>
            </a:ln>
            <a:effectLst>
              <a:outerShdw blurRad="40000" dist="20000" dir="5400000" rotWithShape="0">
                <a:srgbClr val="000000">
                  <a:alpha val="38000"/>
                </a:srgbClr>
              </a:outerShdw>
            </a:effectLst>
          </c:spPr>
          <c:invertIfNegative val="0"/>
          <c:cat>
            <c:numRef>
              <c:f>Comparison!$C$32:$G$32</c:f>
              <c:numCache>
                <c:formatCode>General</c:formatCode>
                <c:ptCount val="5"/>
                <c:pt idx="0">
                  <c:v>2012</c:v>
                </c:pt>
                <c:pt idx="1">
                  <c:v>2013</c:v>
                </c:pt>
                <c:pt idx="2">
                  <c:v>2014</c:v>
                </c:pt>
                <c:pt idx="3">
                  <c:v>2015</c:v>
                </c:pt>
                <c:pt idx="4">
                  <c:v>2016</c:v>
                </c:pt>
              </c:numCache>
            </c:numRef>
          </c:cat>
          <c:val>
            <c:numRef>
              <c:f>Comparison!$C$34:$G$34</c:f>
              <c:numCache>
                <c:formatCode>0%</c:formatCode>
                <c:ptCount val="5"/>
                <c:pt idx="0">
                  <c:v>0.17744715187981924</c:v>
                </c:pt>
                <c:pt idx="1">
                  <c:v>0.19089616801430689</c:v>
                </c:pt>
                <c:pt idx="2">
                  <c:v>0.1219268536341707</c:v>
                </c:pt>
                <c:pt idx="3">
                  <c:v>0.5052285776702431</c:v>
                </c:pt>
                <c:pt idx="4">
                  <c:v>0.51951589090061356</c:v>
                </c:pt>
              </c:numCache>
            </c:numRef>
          </c:val>
        </c:ser>
        <c:dLbls>
          <c:showLegendKey val="0"/>
          <c:showVal val="0"/>
          <c:showCatName val="0"/>
          <c:showSerName val="0"/>
          <c:showPercent val="0"/>
          <c:showBubbleSize val="0"/>
        </c:dLbls>
        <c:gapWidth val="150"/>
        <c:axId val="350006656"/>
        <c:axId val="350020736"/>
      </c:barChart>
      <c:catAx>
        <c:axId val="350006656"/>
        <c:scaling>
          <c:orientation val="minMax"/>
        </c:scaling>
        <c:delete val="0"/>
        <c:axPos val="b"/>
        <c:numFmt formatCode="General" sourceLinked="1"/>
        <c:majorTickMark val="out"/>
        <c:minorTickMark val="none"/>
        <c:tickLblPos val="nextTo"/>
        <c:txPr>
          <a:bodyPr/>
          <a:lstStyle/>
          <a:p>
            <a:pPr>
              <a:defRPr lang="en-US"/>
            </a:pPr>
            <a:endParaRPr lang="en-US"/>
          </a:p>
        </c:txPr>
        <c:crossAx val="350020736"/>
        <c:crosses val="autoZero"/>
        <c:auto val="1"/>
        <c:lblAlgn val="ctr"/>
        <c:lblOffset val="100"/>
        <c:noMultiLvlLbl val="0"/>
      </c:catAx>
      <c:valAx>
        <c:axId val="350020736"/>
        <c:scaling>
          <c:orientation val="minMax"/>
        </c:scaling>
        <c:delete val="0"/>
        <c:axPos val="l"/>
        <c:majorGridlines/>
        <c:numFmt formatCode="0%" sourceLinked="1"/>
        <c:majorTickMark val="out"/>
        <c:minorTickMark val="none"/>
        <c:tickLblPos val="nextTo"/>
        <c:txPr>
          <a:bodyPr/>
          <a:lstStyle/>
          <a:p>
            <a:pPr>
              <a:defRPr lang="en-US"/>
            </a:pPr>
            <a:endParaRPr lang="en-US"/>
          </a:p>
        </c:txPr>
        <c:crossAx val="350006656"/>
        <c:crosses val="autoZero"/>
        <c:crossBetween val="between"/>
      </c:valAx>
    </c:plotArea>
    <c:legend>
      <c:legendPos val="r"/>
      <c:overlay val="0"/>
      <c:txPr>
        <a:bodyPr/>
        <a:lstStyle/>
        <a:p>
          <a:pPr>
            <a:defRPr lang="en-US"/>
          </a:pPr>
          <a:endParaRPr lang="en-US"/>
        </a:p>
      </c:txPr>
    </c:legend>
    <c:plotVisOnly val="1"/>
    <c:dispBlanksAs val="gap"/>
    <c:showDLblsOverMax val="0"/>
  </c:chart>
  <c:spPr>
    <a:solidFill>
      <a:srgbClr val="CCECFF"/>
    </a:solidFill>
  </c:sp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E9943F3-C10F-46F4-A557-04E0CD12DD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44</Pages>
  <Words>8743</Words>
  <Characters>49839</Characters>
  <Application>Microsoft Office Word</Application>
  <DocSecurity>0</DocSecurity>
  <Lines>415</Lines>
  <Paragraphs>116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58466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BLR</dc:creator>
  <cp:lastModifiedBy>RONY</cp:lastModifiedBy>
  <cp:revision>2</cp:revision>
  <dcterms:created xsi:type="dcterms:W3CDTF">2018-01-08T22:03:00Z</dcterms:created>
  <dcterms:modified xsi:type="dcterms:W3CDTF">2018-01-08T22:03:00Z</dcterms:modified>
</cp:coreProperties>
</file>