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283091" w14:textId="4BFEDC98" w:rsidR="00A665BA" w:rsidRDefault="002D342D" w:rsidP="008A4ACC">
      <w:pPr>
        <w:spacing w:line="360" w:lineRule="auto"/>
        <w:rPr>
          <w:rFonts w:ascii="Arial" w:hAnsi="Arial" w:cs="Arial"/>
          <w:b/>
          <w:bCs/>
        </w:rPr>
      </w:pPr>
      <w:r w:rsidRPr="002D342D">
        <w:rPr>
          <w:rFonts w:ascii="Arial" w:hAnsi="Arial" w:cs="Arial"/>
          <w:b/>
          <w:bCs/>
        </w:rPr>
        <w:t>Consider whether the defence of insanity is fit for purpose or is in need of reform</w:t>
      </w:r>
    </w:p>
    <w:p w14:paraId="0B6199F3" w14:textId="3A5BB3E1" w:rsidR="002D342D" w:rsidRDefault="002D342D" w:rsidP="008A4ACC">
      <w:pPr>
        <w:spacing w:line="360" w:lineRule="auto"/>
        <w:rPr>
          <w:rFonts w:ascii="Arial" w:hAnsi="Arial" w:cs="Arial"/>
          <w:b/>
          <w:bCs/>
        </w:rPr>
      </w:pPr>
    </w:p>
    <w:p w14:paraId="67A3794E" w14:textId="563ED935" w:rsidR="001125F5" w:rsidRDefault="00325D8B" w:rsidP="00437244">
      <w:pPr>
        <w:spacing w:line="360" w:lineRule="auto"/>
        <w:rPr>
          <w:rFonts w:ascii="Arial" w:hAnsi="Arial" w:cs="Arial"/>
        </w:rPr>
      </w:pPr>
      <w:r>
        <w:rPr>
          <w:rFonts w:ascii="Arial" w:hAnsi="Arial" w:cs="Arial"/>
        </w:rPr>
        <w:t>Insanity</w:t>
      </w:r>
      <w:r w:rsidR="001125F5">
        <w:rPr>
          <w:rFonts w:ascii="Arial" w:hAnsi="Arial" w:cs="Arial"/>
        </w:rPr>
        <w:t xml:space="preserve"> is defined </w:t>
      </w:r>
      <w:r w:rsidR="00103663">
        <w:rPr>
          <w:rFonts w:ascii="Arial" w:hAnsi="Arial" w:cs="Arial"/>
        </w:rPr>
        <w:t xml:space="preserve">as a “mental illness of such a severe nature that a person cannot distinguish fantasy from reality, cannot conduct her/his affairs due to psychosis, or is subject to uncontrollable impulsive behaviour” (Howes, 2009). </w:t>
      </w:r>
      <w:r w:rsidR="00F7532E">
        <w:rPr>
          <w:rFonts w:ascii="Arial" w:hAnsi="Arial" w:cs="Arial"/>
        </w:rPr>
        <w:t xml:space="preserve">In criminal law insanity is understood as the mental state or defect which deters a </w:t>
      </w:r>
      <w:r w:rsidR="0037530B">
        <w:rPr>
          <w:rFonts w:ascii="Arial" w:hAnsi="Arial" w:cs="Arial"/>
        </w:rPr>
        <w:t>person’s</w:t>
      </w:r>
      <w:r w:rsidR="00F7532E">
        <w:rPr>
          <w:rFonts w:ascii="Arial" w:hAnsi="Arial" w:cs="Arial"/>
        </w:rPr>
        <w:t xml:space="preserve"> responsibility of understanding their wrongful action or the incapability of distinguishing right from wrong in an act (</w:t>
      </w:r>
      <w:proofErr w:type="spellStart"/>
      <w:r w:rsidR="00F7532E">
        <w:rPr>
          <w:rFonts w:ascii="Arial" w:hAnsi="Arial" w:cs="Arial"/>
        </w:rPr>
        <w:t>Suemnick</w:t>
      </w:r>
      <w:proofErr w:type="spellEnd"/>
      <w:r w:rsidR="00F7532E">
        <w:rPr>
          <w:rFonts w:ascii="Arial" w:hAnsi="Arial" w:cs="Arial"/>
        </w:rPr>
        <w:t xml:space="preserve">, 1963). </w:t>
      </w:r>
      <w:r w:rsidR="00E741F8">
        <w:rPr>
          <w:rFonts w:ascii="Arial" w:hAnsi="Arial" w:cs="Arial"/>
        </w:rPr>
        <w:t xml:space="preserve">The defence of insanity is governed by the Criminal Procedure (Insanity) Act 1964. </w:t>
      </w:r>
    </w:p>
    <w:p w14:paraId="7FFB29F5" w14:textId="40E7D0F8" w:rsidR="002D342D" w:rsidRDefault="002D342D" w:rsidP="00437244">
      <w:pPr>
        <w:spacing w:line="360" w:lineRule="auto"/>
        <w:rPr>
          <w:rFonts w:ascii="Arial" w:hAnsi="Arial" w:cs="Arial"/>
        </w:rPr>
      </w:pPr>
    </w:p>
    <w:p w14:paraId="5DD6E6B1" w14:textId="485C4F99" w:rsidR="00BA3D5F" w:rsidRDefault="00BA3D5F" w:rsidP="00437244">
      <w:pPr>
        <w:spacing w:line="360" w:lineRule="auto"/>
        <w:rPr>
          <w:rFonts w:ascii="Arial" w:hAnsi="Arial" w:cs="Arial"/>
        </w:rPr>
      </w:pPr>
      <w:r>
        <w:rPr>
          <w:rFonts w:ascii="Arial" w:hAnsi="Arial" w:cs="Arial"/>
        </w:rPr>
        <w:t xml:space="preserve">The main case for the defence of insanity in criminal law is R v </w:t>
      </w:r>
      <w:proofErr w:type="spellStart"/>
      <w:r>
        <w:rPr>
          <w:rFonts w:ascii="Arial" w:hAnsi="Arial" w:cs="Arial"/>
        </w:rPr>
        <w:t>M’Naghten</w:t>
      </w:r>
      <w:proofErr w:type="spellEnd"/>
      <w:r>
        <w:rPr>
          <w:rFonts w:ascii="Arial" w:hAnsi="Arial" w:cs="Arial"/>
        </w:rPr>
        <w:t xml:space="preserve"> (1843). This case established two rules when understanding insanity. The first is that every person is sane unless proven otherwise,</w:t>
      </w:r>
      <w:r w:rsidR="00D97BF3">
        <w:rPr>
          <w:rFonts w:ascii="Arial" w:hAnsi="Arial" w:cs="Arial"/>
        </w:rPr>
        <w:t xml:space="preserve"> </w:t>
      </w:r>
      <w:r>
        <w:rPr>
          <w:rFonts w:ascii="Arial" w:hAnsi="Arial" w:cs="Arial"/>
        </w:rPr>
        <w:t>the second</w:t>
      </w:r>
      <w:r w:rsidR="000F709F">
        <w:rPr>
          <w:rFonts w:ascii="Arial" w:hAnsi="Arial" w:cs="Arial"/>
        </w:rPr>
        <w:t xml:space="preserve"> rule</w:t>
      </w:r>
      <w:r>
        <w:rPr>
          <w:rFonts w:ascii="Arial" w:hAnsi="Arial" w:cs="Arial"/>
        </w:rPr>
        <w:t xml:space="preserve"> is that to successfully plea</w:t>
      </w:r>
      <w:r w:rsidR="000F709F">
        <w:rPr>
          <w:rFonts w:ascii="Arial" w:hAnsi="Arial" w:cs="Arial"/>
        </w:rPr>
        <w:t xml:space="preserve">d </w:t>
      </w:r>
      <w:r>
        <w:rPr>
          <w:rFonts w:ascii="Arial" w:hAnsi="Arial" w:cs="Arial"/>
        </w:rPr>
        <w:t>insanity it is needed to be proven clearly</w:t>
      </w:r>
      <w:r w:rsidR="000F709F">
        <w:rPr>
          <w:rFonts w:ascii="Arial" w:hAnsi="Arial" w:cs="Arial"/>
        </w:rPr>
        <w:t xml:space="preserve">, that </w:t>
      </w:r>
      <w:r>
        <w:rPr>
          <w:rFonts w:ascii="Arial" w:hAnsi="Arial" w:cs="Arial"/>
        </w:rPr>
        <w:t>at the time of the act the defendant was suffering from “disease of the mind” which meant they did not know what they were doing at the time of their doing or that they did not understand what they did was wrong</w:t>
      </w:r>
      <w:r w:rsidR="00A10AF6">
        <w:rPr>
          <w:rFonts w:ascii="Arial" w:hAnsi="Arial" w:cs="Arial"/>
        </w:rPr>
        <w:t xml:space="preserve"> (Laver, 2021).</w:t>
      </w:r>
      <w:r w:rsidR="00CD15FE">
        <w:rPr>
          <w:rFonts w:ascii="Arial" w:hAnsi="Arial" w:cs="Arial"/>
        </w:rPr>
        <w:t xml:space="preserve"> </w:t>
      </w:r>
      <w:r w:rsidR="0037530B">
        <w:rPr>
          <w:rFonts w:ascii="Arial" w:hAnsi="Arial" w:cs="Arial"/>
        </w:rPr>
        <w:t>The irresistible impulse is a factor which is considered if the defendant is to use insanity as a defence. It focuses on the defendant’s ability to control their actions at the time the crime was committed</w:t>
      </w:r>
      <w:r w:rsidR="00E279FF">
        <w:rPr>
          <w:rFonts w:ascii="Arial" w:hAnsi="Arial" w:cs="Arial"/>
        </w:rPr>
        <w:t xml:space="preserve">. A criticism of this test was that it was too broad. This might mean that because the defendant did not stop themselves from committing the crime, this factor may be used as evidence the defendant was not able to resist their impulse. </w:t>
      </w:r>
      <w:r w:rsidR="005A175B">
        <w:rPr>
          <w:rFonts w:ascii="Arial" w:hAnsi="Arial" w:cs="Arial"/>
        </w:rPr>
        <w:t>(</w:t>
      </w:r>
      <w:r w:rsidR="005A175B" w:rsidRPr="0037530B">
        <w:rPr>
          <w:rFonts w:ascii="Arial" w:eastAsia="Times New Roman" w:hAnsi="Arial" w:cs="Arial"/>
          <w:color w:val="000000" w:themeColor="text1"/>
          <w:shd w:val="clear" w:color="auto" w:fill="FFFFFF"/>
          <w:lang w:eastAsia="en-GB"/>
        </w:rPr>
        <w:t>Feuerstein</w:t>
      </w:r>
      <w:r w:rsidR="00103663">
        <w:rPr>
          <w:rFonts w:ascii="Arial" w:eastAsia="Times New Roman" w:hAnsi="Arial" w:cs="Arial"/>
          <w:color w:val="000000" w:themeColor="text1"/>
          <w:shd w:val="clear" w:color="auto" w:fill="FFFFFF"/>
          <w:lang w:eastAsia="en-GB"/>
        </w:rPr>
        <w:t xml:space="preserve"> et al, </w:t>
      </w:r>
      <w:r w:rsidR="005A175B" w:rsidRPr="0037530B">
        <w:rPr>
          <w:rFonts w:ascii="Arial" w:eastAsia="Times New Roman" w:hAnsi="Arial" w:cs="Arial"/>
          <w:color w:val="000000" w:themeColor="text1"/>
          <w:shd w:val="clear" w:color="auto" w:fill="FFFFFF"/>
          <w:lang w:eastAsia="en-GB"/>
        </w:rPr>
        <w:t>2005</w:t>
      </w:r>
      <w:r w:rsidR="005A175B">
        <w:rPr>
          <w:rFonts w:ascii="Arial" w:eastAsia="Times New Roman" w:hAnsi="Arial" w:cs="Arial"/>
          <w:color w:val="000000" w:themeColor="text1"/>
          <w:shd w:val="clear" w:color="auto" w:fill="FFFFFF"/>
          <w:lang w:eastAsia="en-GB"/>
        </w:rPr>
        <w:t>).</w:t>
      </w:r>
      <w:r w:rsidR="00417C3E">
        <w:rPr>
          <w:rFonts w:ascii="Arial" w:eastAsia="Times New Roman" w:hAnsi="Arial" w:cs="Arial"/>
          <w:color w:val="000000" w:themeColor="text1"/>
          <w:shd w:val="clear" w:color="auto" w:fill="FFFFFF"/>
          <w:lang w:eastAsia="en-GB"/>
        </w:rPr>
        <w:t xml:space="preserve"> </w:t>
      </w:r>
      <w:r w:rsidR="00CC75C7">
        <w:rPr>
          <w:rFonts w:ascii="Arial" w:eastAsia="Times New Roman" w:hAnsi="Arial" w:cs="Arial"/>
          <w:color w:val="000000" w:themeColor="text1"/>
          <w:shd w:val="clear" w:color="auto" w:fill="FFFFFF"/>
          <w:lang w:eastAsia="en-GB"/>
        </w:rPr>
        <w:t xml:space="preserve">Criminal Law questions the assessment of legal insanity by two sources of testimonies which are from the defendant and the psychiatrist. The </w:t>
      </w:r>
      <w:r w:rsidR="008918F0">
        <w:rPr>
          <w:rFonts w:ascii="Arial" w:eastAsia="Times New Roman" w:hAnsi="Arial" w:cs="Arial"/>
          <w:color w:val="000000" w:themeColor="text1"/>
          <w:shd w:val="clear" w:color="auto" w:fill="FFFFFF"/>
          <w:lang w:eastAsia="en-GB"/>
        </w:rPr>
        <w:t>psychiatrist’s</w:t>
      </w:r>
      <w:r w:rsidR="00CC75C7">
        <w:rPr>
          <w:rFonts w:ascii="Arial" w:eastAsia="Times New Roman" w:hAnsi="Arial" w:cs="Arial"/>
          <w:color w:val="000000" w:themeColor="text1"/>
          <w:shd w:val="clear" w:color="auto" w:fill="FFFFFF"/>
          <w:lang w:eastAsia="en-GB"/>
        </w:rPr>
        <w:t xml:space="preserve"> testimony </w:t>
      </w:r>
      <w:r w:rsidR="00D97BF3">
        <w:rPr>
          <w:rFonts w:ascii="Arial" w:eastAsia="Times New Roman" w:hAnsi="Arial" w:cs="Arial"/>
          <w:color w:val="000000" w:themeColor="text1"/>
          <w:shd w:val="clear" w:color="auto" w:fill="FFFFFF"/>
          <w:lang w:eastAsia="en-GB"/>
        </w:rPr>
        <w:t>is</w:t>
      </w:r>
      <w:r w:rsidR="00CC75C7">
        <w:rPr>
          <w:rFonts w:ascii="Arial" w:eastAsia="Times New Roman" w:hAnsi="Arial" w:cs="Arial"/>
          <w:color w:val="000000" w:themeColor="text1"/>
          <w:shd w:val="clear" w:color="auto" w:fill="FFFFFF"/>
          <w:lang w:eastAsia="en-GB"/>
        </w:rPr>
        <w:t xml:space="preserve"> based on four factors which are particular symptomatology, diagnosis, presence of legal relevant impairments, an example of this is that the defendant thought their actions were justified and lastly, the ultimate legal conclusion that the defendant was insane at the time of offence</w:t>
      </w:r>
      <w:r w:rsidR="00236603">
        <w:rPr>
          <w:rFonts w:ascii="Arial" w:eastAsia="Times New Roman" w:hAnsi="Arial" w:cs="Arial"/>
          <w:color w:val="000000" w:themeColor="text1"/>
          <w:shd w:val="clear" w:color="auto" w:fill="FFFFFF"/>
          <w:lang w:eastAsia="en-GB"/>
        </w:rPr>
        <w:t xml:space="preserve"> (</w:t>
      </w:r>
      <w:proofErr w:type="spellStart"/>
      <w:r w:rsidR="00236603">
        <w:rPr>
          <w:rFonts w:ascii="Arial" w:eastAsia="Times New Roman" w:hAnsi="Arial" w:cs="Arial"/>
          <w:color w:val="000000" w:themeColor="text1"/>
          <w:shd w:val="clear" w:color="auto" w:fill="FFFFFF"/>
          <w:lang w:eastAsia="en-GB"/>
        </w:rPr>
        <w:t>Asokan</w:t>
      </w:r>
      <w:proofErr w:type="spellEnd"/>
      <w:r w:rsidR="00236603">
        <w:rPr>
          <w:rFonts w:ascii="Arial" w:eastAsia="Times New Roman" w:hAnsi="Arial" w:cs="Arial"/>
          <w:color w:val="000000" w:themeColor="text1"/>
          <w:shd w:val="clear" w:color="auto" w:fill="FFFFFF"/>
          <w:lang w:eastAsia="en-GB"/>
        </w:rPr>
        <w:t>, 2016).</w:t>
      </w:r>
      <w:r w:rsidR="00486969">
        <w:rPr>
          <w:rFonts w:ascii="Arial" w:eastAsia="Times New Roman" w:hAnsi="Arial" w:cs="Arial"/>
          <w:color w:val="000000" w:themeColor="text1"/>
          <w:shd w:val="clear" w:color="auto" w:fill="FFFFFF"/>
          <w:lang w:eastAsia="en-GB"/>
        </w:rPr>
        <w:t xml:space="preserve"> </w:t>
      </w:r>
    </w:p>
    <w:p w14:paraId="167B76CD" w14:textId="00A989DB" w:rsidR="00BA3D5F" w:rsidRDefault="00BA3D5F" w:rsidP="00437244">
      <w:pPr>
        <w:spacing w:line="360" w:lineRule="auto"/>
        <w:rPr>
          <w:rFonts w:ascii="Arial" w:hAnsi="Arial" w:cs="Arial"/>
        </w:rPr>
      </w:pPr>
    </w:p>
    <w:p w14:paraId="37B46A83" w14:textId="0715D026" w:rsidR="003E5515" w:rsidRDefault="006301B4" w:rsidP="00437244">
      <w:pPr>
        <w:spacing w:line="360" w:lineRule="auto"/>
        <w:rPr>
          <w:rFonts w:ascii="Arial" w:hAnsi="Arial" w:cs="Arial"/>
        </w:rPr>
      </w:pPr>
      <w:r>
        <w:rPr>
          <w:rFonts w:ascii="Arial" w:hAnsi="Arial" w:cs="Arial"/>
        </w:rPr>
        <w:t>Automatism means that a person will not be liable criminally for an act that was involuntar</w:t>
      </w:r>
      <w:r w:rsidR="00486969">
        <w:rPr>
          <w:rFonts w:ascii="Arial" w:hAnsi="Arial" w:cs="Arial"/>
        </w:rPr>
        <w:t>y</w:t>
      </w:r>
      <w:r w:rsidR="00EB794A">
        <w:rPr>
          <w:rFonts w:ascii="Arial" w:hAnsi="Arial" w:cs="Arial"/>
        </w:rPr>
        <w:t xml:space="preserve">. When the defendant commits an act where they were not consciously in control of their body then this is also an involuntary act which is automatism. </w:t>
      </w:r>
      <w:r w:rsidR="003E5515">
        <w:rPr>
          <w:rFonts w:ascii="Arial" w:hAnsi="Arial" w:cs="Arial"/>
        </w:rPr>
        <w:t xml:space="preserve">An issue within the law is the overlap with automatism and insanity. The law has </w:t>
      </w:r>
      <w:r w:rsidR="003E5515">
        <w:rPr>
          <w:rFonts w:ascii="Arial" w:hAnsi="Arial" w:cs="Arial"/>
        </w:rPr>
        <w:lastRenderedPageBreak/>
        <w:t xml:space="preserve">distinguished both by understanding insanity as ‘insane automatism’ and ‘sane automatism’. This is interpretated </w:t>
      </w:r>
      <w:r w:rsidR="00D139D0">
        <w:rPr>
          <w:rFonts w:ascii="Arial" w:hAnsi="Arial" w:cs="Arial"/>
        </w:rPr>
        <w:t>as internal and external factors, however they are unsatisfactory as the broadness of the defence is too wide (Law Commission, 2012).</w:t>
      </w:r>
    </w:p>
    <w:p w14:paraId="0DEADFFF" w14:textId="06C491C1" w:rsidR="008918F0" w:rsidRDefault="00CC74B1" w:rsidP="00437244">
      <w:pPr>
        <w:spacing w:line="360" w:lineRule="auto"/>
        <w:rPr>
          <w:rFonts w:ascii="Arial" w:hAnsi="Arial" w:cs="Arial"/>
        </w:rPr>
      </w:pPr>
      <w:r>
        <w:rPr>
          <w:rFonts w:ascii="Arial" w:hAnsi="Arial" w:cs="Arial"/>
        </w:rPr>
        <w:t xml:space="preserve">The law considering automatism and insanity is in need of a reform to allow the use of neuroscience in courts to evaluate claims that the defendant’s behaviour was involuntary. </w:t>
      </w:r>
      <w:r w:rsidR="00467A9B">
        <w:rPr>
          <w:rFonts w:ascii="Arial" w:hAnsi="Arial" w:cs="Arial"/>
        </w:rPr>
        <w:t>The claims brought forward could be correlated to the defendant’s behaviour from expert evidence</w:t>
      </w:r>
      <w:r w:rsidR="00533D48">
        <w:rPr>
          <w:rFonts w:ascii="Arial" w:hAnsi="Arial" w:cs="Arial"/>
        </w:rPr>
        <w:t xml:space="preserve">. The definitions in the current law </w:t>
      </w:r>
      <w:r w:rsidR="00CD615A">
        <w:rPr>
          <w:rFonts w:ascii="Arial" w:hAnsi="Arial" w:cs="Arial"/>
        </w:rPr>
        <w:t>are</w:t>
      </w:r>
      <w:r w:rsidR="00533D48">
        <w:rPr>
          <w:rFonts w:ascii="Arial" w:hAnsi="Arial" w:cs="Arial"/>
        </w:rPr>
        <w:t xml:space="preserve"> deemed to be outdated in a paper by Professor Ormerod</w:t>
      </w:r>
      <w:r w:rsidR="00CD615A">
        <w:rPr>
          <w:rFonts w:ascii="Arial" w:hAnsi="Arial" w:cs="Arial"/>
        </w:rPr>
        <w:t xml:space="preserve"> and </w:t>
      </w:r>
      <w:r w:rsidR="00533D48">
        <w:rPr>
          <w:rFonts w:ascii="Arial" w:hAnsi="Arial" w:cs="Arial"/>
        </w:rPr>
        <w:t xml:space="preserve">the use of neuroscience will allow for a more in depth to understanding individual behaviours and the conditions that steer humans to claim a lack of control when considering criminal acts (Claydon, 2015). </w:t>
      </w:r>
    </w:p>
    <w:p w14:paraId="5E9DABFB" w14:textId="13AC87CF" w:rsidR="008918F0" w:rsidRDefault="008918F0" w:rsidP="00437244">
      <w:pPr>
        <w:spacing w:line="360" w:lineRule="auto"/>
        <w:rPr>
          <w:rFonts w:ascii="Arial" w:hAnsi="Arial" w:cs="Arial"/>
        </w:rPr>
      </w:pPr>
    </w:p>
    <w:p w14:paraId="5CE2C253" w14:textId="14737A94" w:rsidR="008918F0" w:rsidRDefault="008918F0" w:rsidP="00437244">
      <w:pPr>
        <w:spacing w:line="360" w:lineRule="auto"/>
        <w:rPr>
          <w:rFonts w:ascii="Arial" w:hAnsi="Arial" w:cs="Arial"/>
        </w:rPr>
      </w:pPr>
      <w:r>
        <w:rPr>
          <w:rFonts w:ascii="Arial" w:hAnsi="Arial" w:cs="Arial"/>
        </w:rPr>
        <w:t>In the case of R v Hennessy</w:t>
      </w:r>
      <w:r w:rsidR="0045559C">
        <w:rPr>
          <w:rFonts w:ascii="Arial" w:hAnsi="Arial" w:cs="Arial"/>
        </w:rPr>
        <w:t xml:space="preserve"> (1989)</w:t>
      </w:r>
      <w:r>
        <w:rPr>
          <w:rFonts w:ascii="Arial" w:hAnsi="Arial" w:cs="Arial"/>
        </w:rPr>
        <w:t xml:space="preserve"> the defendant was diabetic, he failed to take his doses of insulin and drove without a driving licence. It was held that </w:t>
      </w:r>
      <w:r w:rsidR="0045559C">
        <w:rPr>
          <w:rFonts w:ascii="Arial" w:hAnsi="Arial" w:cs="Arial"/>
        </w:rPr>
        <w:t xml:space="preserve">the defence of automatism didn’t apply as his state of mind was caused by a disease. Lord Lane stated that if the defendant failed to understand the nature of their act due to a defect of the mind then insanity is the appropriate defence. On the other </w:t>
      </w:r>
      <w:r w:rsidR="00CD615A">
        <w:rPr>
          <w:rFonts w:ascii="Arial" w:hAnsi="Arial" w:cs="Arial"/>
        </w:rPr>
        <w:t>hand,</w:t>
      </w:r>
      <w:r w:rsidR="0045559C">
        <w:rPr>
          <w:rFonts w:ascii="Arial" w:hAnsi="Arial" w:cs="Arial"/>
        </w:rPr>
        <w:t xml:space="preserve"> in the case of R v Quick (1973) the defendant had attacked a patient while on duty and raised the defence of automatism as he claimed to have taken </w:t>
      </w:r>
      <w:r w:rsidR="00CD615A">
        <w:rPr>
          <w:rFonts w:ascii="Arial" w:hAnsi="Arial" w:cs="Arial"/>
        </w:rPr>
        <w:t>too</w:t>
      </w:r>
      <w:r w:rsidR="0045559C">
        <w:rPr>
          <w:rFonts w:ascii="Arial" w:hAnsi="Arial" w:cs="Arial"/>
        </w:rPr>
        <w:t xml:space="preserve"> much insulin and was hypoglycaemic. He has taken alcohol before the incident and the trial judge raised the defence to be insanity. The conviction was quashed as the hypoglycaemia was caused by the external factor from the insulin.  </w:t>
      </w:r>
    </w:p>
    <w:p w14:paraId="356D5358" w14:textId="77777777" w:rsidR="0045559C" w:rsidRDefault="0045559C" w:rsidP="00437244">
      <w:pPr>
        <w:spacing w:line="360" w:lineRule="auto"/>
        <w:rPr>
          <w:rFonts w:ascii="Arial" w:hAnsi="Arial" w:cs="Arial"/>
        </w:rPr>
      </w:pPr>
    </w:p>
    <w:p w14:paraId="64CE9BE2" w14:textId="1675C294" w:rsidR="00725161" w:rsidRDefault="00CD21C9" w:rsidP="00437244">
      <w:pPr>
        <w:spacing w:line="360" w:lineRule="auto"/>
        <w:rPr>
          <w:rFonts w:ascii="Arial" w:hAnsi="Arial" w:cs="Arial"/>
        </w:rPr>
      </w:pPr>
      <w:r>
        <w:rPr>
          <w:rFonts w:ascii="Arial" w:hAnsi="Arial" w:cs="Arial"/>
        </w:rPr>
        <w:t xml:space="preserve">The term ‘disease of mind’ </w:t>
      </w:r>
      <w:r w:rsidR="00B315C6">
        <w:rPr>
          <w:rFonts w:ascii="Arial" w:hAnsi="Arial" w:cs="Arial"/>
        </w:rPr>
        <w:t xml:space="preserve">is not seen as compatible with the mental disorder definition given in the Mental Health Act 1983. In R v Kemp (1957) the defendant hit his wife with a hammer while he had arteriosclerosis, non-insane automatism was used as a defence however, the jury were swayed to choose the defence of insanity. </w:t>
      </w:r>
      <w:r w:rsidR="00725161">
        <w:rPr>
          <w:rFonts w:ascii="Arial" w:hAnsi="Arial" w:cs="Arial"/>
        </w:rPr>
        <w:t xml:space="preserve">“The Butler Committee on Mental Abnormal Offenders” have proposed an updated version of a new verdict which is not guilty </w:t>
      </w:r>
      <w:r w:rsidR="00FE42D3">
        <w:rPr>
          <w:rFonts w:ascii="Arial" w:hAnsi="Arial" w:cs="Arial"/>
        </w:rPr>
        <w:t xml:space="preserve">due to </w:t>
      </w:r>
      <w:r w:rsidR="00725161">
        <w:rPr>
          <w:rFonts w:ascii="Arial" w:hAnsi="Arial" w:cs="Arial"/>
        </w:rPr>
        <w:t>mental disorder</w:t>
      </w:r>
      <w:r w:rsidR="00FE42D3">
        <w:rPr>
          <w:rFonts w:ascii="Arial" w:hAnsi="Arial" w:cs="Arial"/>
        </w:rPr>
        <w:t>.</w:t>
      </w:r>
      <w:r w:rsidR="00725161">
        <w:rPr>
          <w:rFonts w:ascii="Arial" w:hAnsi="Arial" w:cs="Arial"/>
        </w:rPr>
        <w:t xml:space="preserve"> The Committee also proposed that the link between a mental disorder and the act should be that the psychiatrists only base their verdicts on</w:t>
      </w:r>
      <w:r w:rsidR="00405E72">
        <w:rPr>
          <w:rFonts w:ascii="Arial" w:hAnsi="Arial" w:cs="Arial"/>
        </w:rPr>
        <w:t xml:space="preserve"> medical</w:t>
      </w:r>
      <w:r w:rsidR="00725161">
        <w:rPr>
          <w:rFonts w:ascii="Arial" w:hAnsi="Arial" w:cs="Arial"/>
        </w:rPr>
        <w:t xml:space="preserve"> facts while not focusing on the </w:t>
      </w:r>
      <w:r w:rsidR="00405E72">
        <w:rPr>
          <w:rFonts w:ascii="Arial" w:hAnsi="Arial" w:cs="Arial"/>
        </w:rPr>
        <w:t>legal</w:t>
      </w:r>
      <w:r w:rsidR="00725161">
        <w:rPr>
          <w:rFonts w:ascii="Arial" w:hAnsi="Arial" w:cs="Arial"/>
        </w:rPr>
        <w:t xml:space="preserve"> responsibility (</w:t>
      </w:r>
      <w:proofErr w:type="spellStart"/>
      <w:r w:rsidR="00725161">
        <w:rPr>
          <w:rFonts w:ascii="Arial" w:hAnsi="Arial" w:cs="Arial"/>
        </w:rPr>
        <w:t>Mukhia</w:t>
      </w:r>
      <w:proofErr w:type="spellEnd"/>
      <w:r w:rsidR="00725161">
        <w:rPr>
          <w:rFonts w:ascii="Arial" w:hAnsi="Arial" w:cs="Arial"/>
        </w:rPr>
        <w:t xml:space="preserve">, 2012). </w:t>
      </w:r>
      <w:r w:rsidR="009B4171">
        <w:rPr>
          <w:rFonts w:ascii="Arial" w:hAnsi="Arial" w:cs="Arial"/>
        </w:rPr>
        <w:t>However, there is a belief that changing the causality could give medical experts too much power which could result in taking us further from causality notions</w:t>
      </w:r>
      <w:r w:rsidR="001A2CE7">
        <w:rPr>
          <w:rFonts w:ascii="Arial" w:hAnsi="Arial" w:cs="Arial"/>
        </w:rPr>
        <w:t>, t</w:t>
      </w:r>
      <w:r w:rsidR="009B4171">
        <w:rPr>
          <w:rFonts w:ascii="Arial" w:hAnsi="Arial" w:cs="Arial"/>
        </w:rPr>
        <w:t xml:space="preserve">his is shown </w:t>
      </w:r>
      <w:r w:rsidR="001A2CE7">
        <w:rPr>
          <w:rFonts w:ascii="Arial" w:hAnsi="Arial" w:cs="Arial"/>
        </w:rPr>
        <w:t xml:space="preserve">in Durham with the product test. </w:t>
      </w:r>
      <w:r w:rsidR="00405E72">
        <w:rPr>
          <w:rFonts w:ascii="Arial" w:hAnsi="Arial" w:cs="Arial"/>
        </w:rPr>
        <w:t xml:space="preserve">A reform may allow a broader availability of the defence to the severely mentally ill as the stigmas </w:t>
      </w:r>
      <w:r w:rsidR="00405E72">
        <w:rPr>
          <w:rFonts w:ascii="Arial" w:hAnsi="Arial" w:cs="Arial"/>
        </w:rPr>
        <w:lastRenderedPageBreak/>
        <w:t xml:space="preserve">within this defence will be removed. It has been suggested that in courts the term insanity is used to describe “mental derangement and legal irresponsibility” which has resulted in the jury having issues distinguishing between legal and medical terms (Howard, 2003). </w:t>
      </w:r>
    </w:p>
    <w:p w14:paraId="3F1C7029" w14:textId="77777777" w:rsidR="00725161" w:rsidRDefault="00725161" w:rsidP="00437244">
      <w:pPr>
        <w:spacing w:line="360" w:lineRule="auto"/>
        <w:rPr>
          <w:rFonts w:ascii="Arial" w:hAnsi="Arial" w:cs="Arial"/>
        </w:rPr>
      </w:pPr>
    </w:p>
    <w:p w14:paraId="5F934AC9" w14:textId="4FDA99D3" w:rsidR="00725161" w:rsidRDefault="00FE42D3" w:rsidP="00437244">
      <w:pPr>
        <w:spacing w:line="360" w:lineRule="auto"/>
        <w:rPr>
          <w:rFonts w:ascii="Arial" w:hAnsi="Arial" w:cs="Arial"/>
        </w:rPr>
      </w:pPr>
      <w:r>
        <w:rPr>
          <w:rFonts w:ascii="Arial" w:hAnsi="Arial" w:cs="Arial"/>
        </w:rPr>
        <w:t>There has been a new defence proposed which increases the evidence used for</w:t>
      </w:r>
      <w:r w:rsidR="00923EA2">
        <w:rPr>
          <w:rFonts w:ascii="Arial" w:hAnsi="Arial" w:cs="Arial"/>
        </w:rPr>
        <w:t xml:space="preserve"> the </w:t>
      </w:r>
      <w:r>
        <w:rPr>
          <w:rFonts w:ascii="Arial" w:hAnsi="Arial" w:cs="Arial"/>
        </w:rPr>
        <w:t>burden of proof</w:t>
      </w:r>
      <w:r w:rsidR="00923EA2">
        <w:rPr>
          <w:rFonts w:ascii="Arial" w:hAnsi="Arial" w:cs="Arial"/>
        </w:rPr>
        <w:t xml:space="preserve">, it is provided that evidence from at least two experts is given which supports the proposed defence. The issue with this is that there are two differences. The first difference is that </w:t>
      </w:r>
      <w:r w:rsidR="00002999">
        <w:rPr>
          <w:rFonts w:ascii="Arial" w:hAnsi="Arial" w:cs="Arial"/>
        </w:rPr>
        <w:t xml:space="preserve">the new proposed defence only requires one of the experts to be a registered medical practitioner which portrays that the condition of the defendant may be a physical condition rather than mental.  The present law stigmatises individuals by using an ill-suited implementation of the term insane and that those who are deemed as experts being called to provide evidence to use the term may not always be </w:t>
      </w:r>
      <w:r w:rsidR="003E0CD2">
        <w:rPr>
          <w:rFonts w:ascii="Arial" w:hAnsi="Arial" w:cs="Arial"/>
        </w:rPr>
        <w:t xml:space="preserve">suitably qualified. The second difference is that the standard of proof within the present law requires that the defence must prove insanity on a balance of probabilities. The concern of this is that the accused victim may be convicted while there could be a reasonable doubt present. If it exists then it could be a breach of presumption of innocence (Claydon and </w:t>
      </w:r>
      <w:proofErr w:type="spellStart"/>
      <w:r w:rsidR="003E0CD2">
        <w:rPr>
          <w:rFonts w:ascii="Arial" w:hAnsi="Arial" w:cs="Arial"/>
        </w:rPr>
        <w:t>Catley</w:t>
      </w:r>
      <w:proofErr w:type="spellEnd"/>
      <w:r w:rsidR="003E0CD2">
        <w:rPr>
          <w:rFonts w:ascii="Arial" w:hAnsi="Arial" w:cs="Arial"/>
        </w:rPr>
        <w:t xml:space="preserve">, 2016). </w:t>
      </w:r>
    </w:p>
    <w:p w14:paraId="7E3F4902" w14:textId="68F3825C" w:rsidR="002D342D" w:rsidRDefault="002D342D" w:rsidP="00437244">
      <w:pPr>
        <w:spacing w:line="360" w:lineRule="auto"/>
        <w:rPr>
          <w:rFonts w:ascii="Arial" w:hAnsi="Arial" w:cs="Arial"/>
        </w:rPr>
      </w:pPr>
    </w:p>
    <w:p w14:paraId="4B721ED1" w14:textId="0B1B84E8" w:rsidR="001125F5" w:rsidRDefault="00697389" w:rsidP="00437244">
      <w:pPr>
        <w:spacing w:line="360" w:lineRule="auto"/>
        <w:rPr>
          <w:rFonts w:ascii="Arial" w:hAnsi="Arial" w:cs="Arial"/>
        </w:rPr>
      </w:pPr>
      <w:r>
        <w:rPr>
          <w:rFonts w:ascii="Arial" w:hAnsi="Arial" w:cs="Arial"/>
        </w:rPr>
        <w:t>Overall, a defence should be available that allows a “special verdict” which means it is not proved due to the defendant’s mental state, but also when it is proved because of their mental state. A</w:t>
      </w:r>
      <w:r w:rsidR="00F7665E">
        <w:rPr>
          <w:rFonts w:ascii="Arial" w:hAnsi="Arial" w:cs="Arial"/>
        </w:rPr>
        <w:t xml:space="preserve"> reform of the defence of insanity is needed to allow for an easier interpretation of both insanity and automatism to ensure appropriate convictions. </w:t>
      </w:r>
    </w:p>
    <w:p w14:paraId="39C65E0C" w14:textId="0A12BAD2" w:rsidR="00983B4D" w:rsidRDefault="00983B4D" w:rsidP="00437244">
      <w:pPr>
        <w:spacing w:line="360" w:lineRule="auto"/>
        <w:rPr>
          <w:rFonts w:ascii="Arial" w:hAnsi="Arial" w:cs="Arial"/>
        </w:rPr>
      </w:pPr>
    </w:p>
    <w:p w14:paraId="06F94F75" w14:textId="77777777" w:rsidR="00983B4D" w:rsidRPr="00983B4D" w:rsidRDefault="00983B4D" w:rsidP="00437244">
      <w:pPr>
        <w:spacing w:line="360" w:lineRule="auto"/>
        <w:rPr>
          <w:rFonts w:ascii="Arial" w:hAnsi="Arial" w:cs="Arial"/>
          <w:bCs/>
          <w:sz w:val="22"/>
          <w:szCs w:val="22"/>
        </w:rPr>
      </w:pPr>
    </w:p>
    <w:p w14:paraId="0B95B035" w14:textId="62FE5D37" w:rsidR="00983B4D" w:rsidRDefault="002A073D" w:rsidP="00437244">
      <w:pPr>
        <w:spacing w:line="360" w:lineRule="auto"/>
        <w:rPr>
          <w:rFonts w:ascii="Arial" w:hAnsi="Arial" w:cs="Arial"/>
        </w:rPr>
      </w:pPr>
      <w:r>
        <w:rPr>
          <w:rFonts w:ascii="Arial" w:hAnsi="Arial" w:cs="Arial"/>
        </w:rPr>
        <w:t>Problem Question</w:t>
      </w:r>
    </w:p>
    <w:p w14:paraId="71A93948" w14:textId="77777777" w:rsidR="002A073D" w:rsidRDefault="002A073D" w:rsidP="00437244">
      <w:pPr>
        <w:spacing w:line="360" w:lineRule="auto"/>
        <w:rPr>
          <w:rFonts w:ascii="Arial" w:hAnsi="Arial" w:cs="Arial"/>
        </w:rPr>
      </w:pPr>
    </w:p>
    <w:p w14:paraId="62C6139F" w14:textId="1AC72BAC" w:rsidR="000A7570" w:rsidRDefault="000A7570" w:rsidP="00437244">
      <w:pPr>
        <w:spacing w:line="360" w:lineRule="auto"/>
        <w:rPr>
          <w:rFonts w:ascii="Arial" w:hAnsi="Arial" w:cs="Arial"/>
        </w:rPr>
      </w:pPr>
      <w:r>
        <w:rPr>
          <w:rFonts w:ascii="Arial" w:hAnsi="Arial" w:cs="Arial"/>
        </w:rPr>
        <w:t>Ali committed assault as he went to punch Lee, for assault to be a successful offence then the defendant (D)</w:t>
      </w:r>
      <w:r w:rsidR="00995720">
        <w:rPr>
          <w:rFonts w:ascii="Arial" w:hAnsi="Arial" w:cs="Arial"/>
        </w:rPr>
        <w:t xml:space="preserve"> must commit an assault where he intentionally or recklessly causes the victim to apprehend immediate unlawful personal violence</w:t>
      </w:r>
      <w:r w:rsidR="00200F09">
        <w:rPr>
          <w:rFonts w:ascii="Arial" w:hAnsi="Arial" w:cs="Arial"/>
        </w:rPr>
        <w:t xml:space="preserve"> as</w:t>
      </w:r>
      <w:r w:rsidR="00995720">
        <w:rPr>
          <w:rFonts w:ascii="Arial" w:hAnsi="Arial" w:cs="Arial"/>
        </w:rPr>
        <w:t xml:space="preserve"> laid out in Fagan v Metropolitan Police Commissioner (1968).</w:t>
      </w:r>
      <w:r w:rsidR="00200F09">
        <w:rPr>
          <w:rFonts w:ascii="Arial" w:hAnsi="Arial" w:cs="Arial"/>
        </w:rPr>
        <w:t xml:space="preserve"> </w:t>
      </w:r>
      <w:r w:rsidR="00093C8B">
        <w:rPr>
          <w:rFonts w:ascii="Arial" w:hAnsi="Arial" w:cs="Arial"/>
        </w:rPr>
        <w:t xml:space="preserve">Assault is governed in s39 of the Criminal Justice Act 1988. </w:t>
      </w:r>
      <w:r w:rsidR="00995720">
        <w:rPr>
          <w:rFonts w:ascii="Arial" w:hAnsi="Arial" w:cs="Arial"/>
        </w:rPr>
        <w:t xml:space="preserve">The actus reus of assault is that there must be a sort of conduct on D’s behalf and from this the victim suffered immediate unlawful </w:t>
      </w:r>
      <w:r w:rsidR="00995720">
        <w:rPr>
          <w:rFonts w:ascii="Arial" w:hAnsi="Arial" w:cs="Arial"/>
        </w:rPr>
        <w:lastRenderedPageBreak/>
        <w:t xml:space="preserve">violence which is known as battery. In this case Ali must have intended to cause battery by assaulting Lee. There are three </w:t>
      </w:r>
      <w:r w:rsidR="00130AAC">
        <w:rPr>
          <w:rFonts w:ascii="Arial" w:hAnsi="Arial" w:cs="Arial"/>
        </w:rPr>
        <w:t xml:space="preserve">ways that Ali could have possessed the means rea of assault. The first is that where it was Ali’s aim to cause Lee to apprehend immediate unlawful violence which is direct intention. The second is where it is virtually certain that Ali’s conduct would cause Lee to suffer immediate unlawful personal violence and Ali was aware of this which is indirect intention or that he realised the risk his action would cause which is subjective recklessness as held in Cunningham (1957). </w:t>
      </w:r>
      <w:r w:rsidR="004E2A5A">
        <w:rPr>
          <w:rFonts w:ascii="Arial" w:hAnsi="Arial" w:cs="Arial"/>
        </w:rPr>
        <w:t xml:space="preserve">Ali will be liable for committing assault as he posed a threat to Lee by throwing the punch whether he had made contact or not and that he was aware of this. </w:t>
      </w:r>
    </w:p>
    <w:p w14:paraId="63681ECF" w14:textId="77777777" w:rsidR="000A7570" w:rsidRDefault="000A7570" w:rsidP="00437244">
      <w:pPr>
        <w:spacing w:line="360" w:lineRule="auto"/>
        <w:rPr>
          <w:rFonts w:ascii="Arial" w:hAnsi="Arial" w:cs="Arial"/>
        </w:rPr>
      </w:pPr>
    </w:p>
    <w:p w14:paraId="633A1B8A" w14:textId="0E7A314E" w:rsidR="00E83886" w:rsidRDefault="00E83886" w:rsidP="00437244">
      <w:pPr>
        <w:spacing w:line="360" w:lineRule="auto"/>
        <w:rPr>
          <w:rFonts w:ascii="Arial" w:hAnsi="Arial" w:cs="Arial"/>
        </w:rPr>
      </w:pPr>
      <w:r>
        <w:rPr>
          <w:rFonts w:ascii="Arial" w:hAnsi="Arial" w:cs="Arial"/>
        </w:rPr>
        <w:t xml:space="preserve">Ali </w:t>
      </w:r>
      <w:r w:rsidR="00103668">
        <w:rPr>
          <w:rFonts w:ascii="Arial" w:hAnsi="Arial" w:cs="Arial"/>
        </w:rPr>
        <w:t xml:space="preserve">had also </w:t>
      </w:r>
      <w:r>
        <w:rPr>
          <w:rFonts w:ascii="Arial" w:hAnsi="Arial" w:cs="Arial"/>
        </w:rPr>
        <w:t xml:space="preserve">committed </w:t>
      </w:r>
      <w:r w:rsidR="00057AB3">
        <w:rPr>
          <w:rFonts w:ascii="Arial" w:hAnsi="Arial" w:cs="Arial"/>
        </w:rPr>
        <w:t>battery</w:t>
      </w:r>
      <w:r w:rsidR="00946EEB">
        <w:rPr>
          <w:rFonts w:ascii="Arial" w:hAnsi="Arial" w:cs="Arial"/>
        </w:rPr>
        <w:t xml:space="preserve"> </w:t>
      </w:r>
      <w:r>
        <w:rPr>
          <w:rFonts w:ascii="Arial" w:hAnsi="Arial" w:cs="Arial"/>
        </w:rPr>
        <w:t xml:space="preserve">when he punched Lee </w:t>
      </w:r>
      <w:r w:rsidR="00103668">
        <w:rPr>
          <w:rFonts w:ascii="Arial" w:hAnsi="Arial" w:cs="Arial"/>
        </w:rPr>
        <w:t>which caused him to fall to the ground</w:t>
      </w:r>
      <w:r w:rsidR="00E455A9">
        <w:rPr>
          <w:rFonts w:ascii="Arial" w:hAnsi="Arial" w:cs="Arial"/>
        </w:rPr>
        <w:t xml:space="preserve">. </w:t>
      </w:r>
      <w:r w:rsidR="0047595A">
        <w:rPr>
          <w:rFonts w:ascii="Arial" w:hAnsi="Arial" w:cs="Arial"/>
        </w:rPr>
        <w:t>B</w:t>
      </w:r>
      <w:r w:rsidR="00E40286">
        <w:rPr>
          <w:rFonts w:ascii="Arial" w:hAnsi="Arial" w:cs="Arial"/>
        </w:rPr>
        <w:t xml:space="preserve">attery is the intentional or reckless infliction of unlawful personal violence to </w:t>
      </w:r>
      <w:r w:rsidR="000A7570">
        <w:rPr>
          <w:rFonts w:ascii="Arial" w:hAnsi="Arial" w:cs="Arial"/>
        </w:rPr>
        <w:t>the victim</w:t>
      </w:r>
      <w:r w:rsidR="00946EEB">
        <w:rPr>
          <w:rFonts w:ascii="Arial" w:hAnsi="Arial" w:cs="Arial"/>
        </w:rPr>
        <w:t xml:space="preserve"> </w:t>
      </w:r>
      <w:r w:rsidR="00E40286">
        <w:rPr>
          <w:rFonts w:ascii="Arial" w:hAnsi="Arial" w:cs="Arial"/>
        </w:rPr>
        <w:t xml:space="preserve">as held in Rolfe (1952). </w:t>
      </w:r>
      <w:r w:rsidR="0047595A">
        <w:rPr>
          <w:rFonts w:ascii="Arial" w:hAnsi="Arial" w:cs="Arial"/>
        </w:rPr>
        <w:t>The actus reus of battery is that t</w:t>
      </w:r>
      <w:r w:rsidR="00E40286">
        <w:rPr>
          <w:rFonts w:ascii="Arial" w:hAnsi="Arial" w:cs="Arial"/>
        </w:rPr>
        <w:t xml:space="preserve">here must be some conduct on the </w:t>
      </w:r>
      <w:r w:rsidR="00946EEB">
        <w:rPr>
          <w:rFonts w:ascii="Arial" w:hAnsi="Arial" w:cs="Arial"/>
        </w:rPr>
        <w:t>D’s</w:t>
      </w:r>
      <w:r w:rsidR="00E40286">
        <w:rPr>
          <w:rFonts w:ascii="Arial" w:hAnsi="Arial" w:cs="Arial"/>
        </w:rPr>
        <w:t xml:space="preserve"> part as stated in Fagan v MPC (1968), the victim must have suffered unlawful personal violence which was a result of the </w:t>
      </w:r>
      <w:r w:rsidR="00946EEB">
        <w:rPr>
          <w:rFonts w:ascii="Arial" w:hAnsi="Arial" w:cs="Arial"/>
        </w:rPr>
        <w:t>D’s</w:t>
      </w:r>
      <w:r w:rsidR="00E40286">
        <w:rPr>
          <w:rFonts w:ascii="Arial" w:hAnsi="Arial" w:cs="Arial"/>
        </w:rPr>
        <w:t xml:space="preserve"> action. To suffice this offence </w:t>
      </w:r>
      <w:r w:rsidR="00946EEB">
        <w:rPr>
          <w:rFonts w:ascii="Arial" w:hAnsi="Arial" w:cs="Arial"/>
        </w:rPr>
        <w:t>D</w:t>
      </w:r>
      <w:r w:rsidR="00E40286">
        <w:rPr>
          <w:rFonts w:ascii="Arial" w:hAnsi="Arial" w:cs="Arial"/>
        </w:rPr>
        <w:t xml:space="preserve"> must have indented or acted recklessly to cause the outcome. </w:t>
      </w:r>
      <w:r w:rsidR="0047595A">
        <w:rPr>
          <w:rFonts w:ascii="Arial" w:hAnsi="Arial" w:cs="Arial"/>
        </w:rPr>
        <w:t xml:space="preserve">As Ali punched Lee, his conduct caused him to fall to the ground which means that he did suffer with unlawful personal violence. Ali did not hit Lee by accident which proves that he intended to punch him. </w:t>
      </w:r>
      <w:r w:rsidR="00E40286">
        <w:rPr>
          <w:rFonts w:ascii="Arial" w:hAnsi="Arial" w:cs="Arial"/>
        </w:rPr>
        <w:t xml:space="preserve">The </w:t>
      </w:r>
      <w:proofErr w:type="spellStart"/>
      <w:r w:rsidR="00E40286">
        <w:rPr>
          <w:rFonts w:ascii="Arial" w:hAnsi="Arial" w:cs="Arial"/>
        </w:rPr>
        <w:t>mens</w:t>
      </w:r>
      <w:proofErr w:type="spellEnd"/>
      <w:r w:rsidR="00E40286">
        <w:rPr>
          <w:rFonts w:ascii="Arial" w:hAnsi="Arial" w:cs="Arial"/>
        </w:rPr>
        <w:t xml:space="preserve"> rea of battery </w:t>
      </w:r>
      <w:r w:rsidR="00946EEB">
        <w:rPr>
          <w:rFonts w:ascii="Arial" w:hAnsi="Arial" w:cs="Arial"/>
        </w:rPr>
        <w:t>is that D intended or aimed to use unlawful personal violence or that it is virtually certain that the conduct will cause such violence while D was fully aware of this.</w:t>
      </w:r>
      <w:r w:rsidR="0047595A">
        <w:rPr>
          <w:rFonts w:ascii="Arial" w:hAnsi="Arial" w:cs="Arial"/>
        </w:rPr>
        <w:t xml:space="preserve"> Although Ali intended or acted recklessly when he punched Lee, he did not know that his action would cause him to fall to the ground and later die that night. However, Ali understood that by hitting Lee then his conduct could have potentially resulted in such violence and there was nothing preventing him from understanding this which is known as indirect intention. </w:t>
      </w:r>
      <w:r w:rsidR="00284AF5">
        <w:rPr>
          <w:rFonts w:ascii="Arial" w:hAnsi="Arial" w:cs="Arial"/>
        </w:rPr>
        <w:t xml:space="preserve">In Venna (1975) it was held that by doing an act deliberately such as lashing out or knowing that someone was there before you acted upon it then it is assault. </w:t>
      </w:r>
      <w:r w:rsidR="00284AF5">
        <w:rPr>
          <w:rFonts w:ascii="Arial" w:hAnsi="Arial" w:cs="Arial"/>
        </w:rPr>
        <w:t>In the case of Pegram v DPP (2019) the defendant had hit the officer without knowing</w:t>
      </w:r>
      <w:r w:rsidR="001C7B5C">
        <w:rPr>
          <w:rFonts w:ascii="Arial" w:hAnsi="Arial" w:cs="Arial"/>
        </w:rPr>
        <w:t xml:space="preserve"> and claimed his actions were accidental</w:t>
      </w:r>
      <w:r w:rsidR="00284AF5">
        <w:rPr>
          <w:rFonts w:ascii="Arial" w:hAnsi="Arial" w:cs="Arial"/>
        </w:rPr>
        <w:t>, however</w:t>
      </w:r>
      <w:r w:rsidR="001C7B5C">
        <w:rPr>
          <w:rFonts w:ascii="Arial" w:hAnsi="Arial" w:cs="Arial"/>
        </w:rPr>
        <w:t xml:space="preserve"> the courts dismissed the appeal as</w:t>
      </w:r>
      <w:r w:rsidR="00284AF5">
        <w:rPr>
          <w:rFonts w:ascii="Arial" w:hAnsi="Arial" w:cs="Arial"/>
        </w:rPr>
        <w:t xml:space="preserve"> the principles in Venna (1975) were upheld as </w:t>
      </w:r>
      <w:proofErr w:type="spellStart"/>
      <w:r w:rsidR="00284AF5">
        <w:rPr>
          <w:rFonts w:ascii="Arial" w:hAnsi="Arial" w:cs="Arial"/>
        </w:rPr>
        <w:t>mens</w:t>
      </w:r>
      <w:proofErr w:type="spellEnd"/>
      <w:r w:rsidR="00284AF5">
        <w:rPr>
          <w:rFonts w:ascii="Arial" w:hAnsi="Arial" w:cs="Arial"/>
        </w:rPr>
        <w:t xml:space="preserve"> rea of battery could be intentional or recklessness</w:t>
      </w:r>
      <w:r w:rsidR="001C7B5C">
        <w:rPr>
          <w:rFonts w:ascii="Arial" w:hAnsi="Arial" w:cs="Arial"/>
        </w:rPr>
        <w:t xml:space="preserve">. </w:t>
      </w:r>
      <w:r w:rsidR="006F0B1E">
        <w:rPr>
          <w:rFonts w:ascii="Arial" w:hAnsi="Arial" w:cs="Arial"/>
        </w:rPr>
        <w:t xml:space="preserve">Therefore, the principles hold that Ali would be liable for committing battery as his punch made contact with Lee which caused him immediate unlawful personal harm. </w:t>
      </w:r>
    </w:p>
    <w:p w14:paraId="6378F660" w14:textId="54E961EE" w:rsidR="00103668" w:rsidRDefault="00103668" w:rsidP="00437244">
      <w:pPr>
        <w:spacing w:line="360" w:lineRule="auto"/>
        <w:rPr>
          <w:rFonts w:ascii="Arial" w:hAnsi="Arial" w:cs="Arial"/>
        </w:rPr>
      </w:pPr>
    </w:p>
    <w:p w14:paraId="185ED529" w14:textId="7EB07C0E" w:rsidR="0033439B" w:rsidRDefault="0033439B" w:rsidP="00437244">
      <w:pPr>
        <w:spacing w:line="360" w:lineRule="auto"/>
        <w:rPr>
          <w:rFonts w:ascii="Arial" w:hAnsi="Arial" w:cs="Arial"/>
        </w:rPr>
      </w:pPr>
      <w:r>
        <w:rPr>
          <w:rFonts w:ascii="Arial" w:hAnsi="Arial" w:cs="Arial"/>
        </w:rPr>
        <w:t xml:space="preserve">The chain of causation must be established in this case as Lee died later that night in hospital and not in the bar, therefore it must be </w:t>
      </w:r>
      <w:r w:rsidR="004A7506">
        <w:rPr>
          <w:rFonts w:ascii="Arial" w:hAnsi="Arial" w:cs="Arial"/>
        </w:rPr>
        <w:t xml:space="preserve">proven that Lee died as a result from Ali punching him. </w:t>
      </w:r>
      <w:r w:rsidR="00AB41D4">
        <w:rPr>
          <w:rFonts w:ascii="Arial" w:hAnsi="Arial" w:cs="Arial"/>
        </w:rPr>
        <w:t>If the chain of causation was not broken, then Ali would be liable for constructive/unlawful and dangerous act manslaughter. This offence occurs when D kills a person as a result of committing some other crime such as assault, robbery, etc. The actus reus of constructive</w:t>
      </w:r>
      <w:r w:rsidR="00C461A5">
        <w:rPr>
          <w:rFonts w:ascii="Arial" w:hAnsi="Arial" w:cs="Arial"/>
        </w:rPr>
        <w:t xml:space="preserve">/unlawful and dangerous act manslaughter is that the defendant must commit an act with is unlawful and dangerous that causes the victim’s death. This act must be deliberate and unlawful. Unlawful acts must be a crime as held in Franklin (1883) and that the crime must require the </w:t>
      </w:r>
      <w:proofErr w:type="spellStart"/>
      <w:r w:rsidR="00C461A5">
        <w:rPr>
          <w:rFonts w:ascii="Arial" w:hAnsi="Arial" w:cs="Arial"/>
        </w:rPr>
        <w:t>mens</w:t>
      </w:r>
      <w:proofErr w:type="spellEnd"/>
      <w:r w:rsidR="00C461A5">
        <w:rPr>
          <w:rFonts w:ascii="Arial" w:hAnsi="Arial" w:cs="Arial"/>
        </w:rPr>
        <w:t xml:space="preserve"> rea as stated in Andrews v DPP (1937</w:t>
      </w:r>
      <w:r w:rsidR="00311A22">
        <w:rPr>
          <w:rFonts w:ascii="Arial" w:hAnsi="Arial" w:cs="Arial"/>
        </w:rPr>
        <w:t>) where the defendant had been convicted of manslaughter for driving a van above the speed limit where he hit a pedestrian and killed him</w:t>
      </w:r>
      <w:r w:rsidR="00C461A5">
        <w:rPr>
          <w:rFonts w:ascii="Arial" w:hAnsi="Arial" w:cs="Arial"/>
        </w:rPr>
        <w:t xml:space="preserve">. D’s act must have caused the victim’s death and that causation must be factual and a legal cause of the victim’s death. Therefore, Ali will be liable for constructive/unlawful and dangerous act manslaughter as there had been no break in the chain of causation and that his act of punching Lee resulted in him falling to the ground and later dying in the hospital. </w:t>
      </w:r>
      <w:r w:rsidR="00BA4D4D">
        <w:rPr>
          <w:rFonts w:ascii="Arial" w:hAnsi="Arial" w:cs="Arial"/>
        </w:rPr>
        <w:t xml:space="preserve">However, in this case it is important to consider the ‘but for’ test where it must be proven that ‘but for’ Ali’s actions, would Lee have died. This can be supported </w:t>
      </w:r>
      <w:r w:rsidR="00C15A52">
        <w:rPr>
          <w:rFonts w:ascii="Arial" w:hAnsi="Arial" w:cs="Arial"/>
        </w:rPr>
        <w:t xml:space="preserve">in White (1910) where D poisoned his </w:t>
      </w:r>
      <w:r w:rsidR="00FE4A3D">
        <w:rPr>
          <w:rFonts w:ascii="Arial" w:hAnsi="Arial" w:cs="Arial"/>
        </w:rPr>
        <w:t>mother,</w:t>
      </w:r>
      <w:r w:rsidR="00C15A52">
        <w:rPr>
          <w:rFonts w:ascii="Arial" w:hAnsi="Arial" w:cs="Arial"/>
        </w:rPr>
        <w:t xml:space="preserve"> but medical evidence showed the victim had died from a heart condition and not the poison. </w:t>
      </w:r>
    </w:p>
    <w:p w14:paraId="27105E52" w14:textId="39FF479B" w:rsidR="00983B4D" w:rsidRDefault="00983B4D" w:rsidP="00437244">
      <w:pPr>
        <w:spacing w:line="360" w:lineRule="auto"/>
        <w:rPr>
          <w:rFonts w:ascii="Arial" w:hAnsi="Arial" w:cs="Arial"/>
        </w:rPr>
      </w:pPr>
    </w:p>
    <w:p w14:paraId="5AF4C3AB" w14:textId="4FC23D0E" w:rsidR="00725161" w:rsidRDefault="008248A0" w:rsidP="00437244">
      <w:pPr>
        <w:spacing w:line="360" w:lineRule="auto"/>
        <w:rPr>
          <w:rFonts w:ascii="Arial" w:hAnsi="Arial" w:cs="Arial"/>
        </w:rPr>
      </w:pPr>
      <w:r>
        <w:rPr>
          <w:rFonts w:ascii="Arial" w:hAnsi="Arial" w:cs="Arial"/>
        </w:rPr>
        <w:t>As Ali stabbed Colin where he died within minutes it will need to be proven that he murdered Colin. The definition or murder is where D kills the victim and D intends to kill or intends to cause grievous bodily harm under the Queen’s peace. The actus reus or murder is where D unlawfully kills another person under the Queen’s peace by an act or omission. The means rea of murder is the intention to kill or cause grievous bodily harm, in Moloney (1985)</w:t>
      </w:r>
      <w:r w:rsidR="00A57C01">
        <w:rPr>
          <w:rFonts w:ascii="Arial" w:hAnsi="Arial" w:cs="Arial"/>
        </w:rPr>
        <w:t xml:space="preserve">, Lord Bridge ruled that in murder cases </w:t>
      </w:r>
      <w:r>
        <w:rPr>
          <w:rFonts w:ascii="Arial" w:hAnsi="Arial" w:cs="Arial"/>
        </w:rPr>
        <w:t>the jury</w:t>
      </w:r>
      <w:r w:rsidR="00A57C01">
        <w:rPr>
          <w:rFonts w:ascii="Arial" w:hAnsi="Arial" w:cs="Arial"/>
        </w:rPr>
        <w:t xml:space="preserve"> must</w:t>
      </w:r>
      <w:r>
        <w:rPr>
          <w:rFonts w:ascii="Arial" w:hAnsi="Arial" w:cs="Arial"/>
        </w:rPr>
        <w:t xml:space="preserve"> question </w:t>
      </w:r>
      <w:r w:rsidR="00A57C01">
        <w:rPr>
          <w:rFonts w:ascii="Arial" w:hAnsi="Arial" w:cs="Arial"/>
        </w:rPr>
        <w:t xml:space="preserve">whether the death or serious injury was a natural consequence of the defendant’s voluntary act. Secondly, was the defendant able to foresee the consequence of their act. If the jury were able to answer yes to both questions, then D will be liable for murder. In this case, Ali would be liable for murder as it was his intention to stab Colin, he was aware of the risk of his actions which resulted in Colin dying from his wounds. </w:t>
      </w:r>
    </w:p>
    <w:p w14:paraId="69AD2909" w14:textId="330C2E23" w:rsidR="00E165BE" w:rsidRDefault="00E165BE" w:rsidP="00437244">
      <w:pPr>
        <w:spacing w:line="360" w:lineRule="auto"/>
        <w:rPr>
          <w:rFonts w:ascii="Arial" w:hAnsi="Arial" w:cs="Arial"/>
        </w:rPr>
      </w:pPr>
    </w:p>
    <w:p w14:paraId="7552D5D2" w14:textId="0EF96AA7" w:rsidR="00E165BE" w:rsidRPr="00E165BE" w:rsidRDefault="00E165BE" w:rsidP="00437244">
      <w:pPr>
        <w:spacing w:line="360" w:lineRule="auto"/>
        <w:rPr>
          <w:rFonts w:ascii="Arial" w:hAnsi="Arial" w:cs="Arial"/>
        </w:rPr>
      </w:pPr>
      <w:r>
        <w:rPr>
          <w:rFonts w:ascii="Arial" w:hAnsi="Arial" w:cs="Arial"/>
        </w:rPr>
        <w:t xml:space="preserve">Therefore, Ali would be criminally liable for each offence he committed where he would then go on to use defences in trial. </w:t>
      </w:r>
    </w:p>
    <w:p w14:paraId="05E86A33" w14:textId="77777777" w:rsidR="00E165BE" w:rsidRDefault="00E165BE" w:rsidP="001125F5">
      <w:pPr>
        <w:spacing w:line="360" w:lineRule="auto"/>
        <w:rPr>
          <w:rFonts w:ascii="Arial" w:hAnsi="Arial" w:cs="Arial"/>
          <w:b/>
          <w:bCs/>
        </w:rPr>
      </w:pPr>
    </w:p>
    <w:p w14:paraId="693A4825" w14:textId="7B035561" w:rsidR="001125F5" w:rsidRPr="00725161" w:rsidRDefault="001125F5" w:rsidP="001125F5">
      <w:pPr>
        <w:spacing w:line="360" w:lineRule="auto"/>
        <w:rPr>
          <w:rFonts w:ascii="Arial" w:hAnsi="Arial" w:cs="Arial"/>
          <w:b/>
          <w:bCs/>
        </w:rPr>
      </w:pPr>
      <w:r w:rsidRPr="00725161">
        <w:rPr>
          <w:rFonts w:ascii="Arial" w:hAnsi="Arial" w:cs="Arial"/>
          <w:b/>
          <w:bCs/>
        </w:rPr>
        <w:t xml:space="preserve">References </w:t>
      </w:r>
    </w:p>
    <w:p w14:paraId="0D7FE6ED" w14:textId="77777777" w:rsidR="002903EF" w:rsidRDefault="002903EF" w:rsidP="001125F5">
      <w:pPr>
        <w:spacing w:line="360" w:lineRule="auto"/>
        <w:rPr>
          <w:rFonts w:ascii="Arial" w:hAnsi="Arial" w:cs="Arial"/>
        </w:rPr>
      </w:pPr>
    </w:p>
    <w:p w14:paraId="7ECACCFD" w14:textId="77777777" w:rsidR="002903EF" w:rsidRPr="00236603" w:rsidRDefault="002903EF" w:rsidP="005346E4">
      <w:pPr>
        <w:spacing w:line="360" w:lineRule="auto"/>
        <w:rPr>
          <w:rFonts w:ascii="Times New Roman" w:eastAsia="Times New Roman" w:hAnsi="Times New Roman" w:cs="Times New Roman"/>
          <w:color w:val="000000" w:themeColor="text1"/>
          <w:sz w:val="36"/>
          <w:szCs w:val="36"/>
          <w:lang w:eastAsia="en-GB"/>
        </w:rPr>
      </w:pPr>
      <w:proofErr w:type="spellStart"/>
      <w:r w:rsidRPr="00236603">
        <w:rPr>
          <w:rFonts w:ascii="Arial" w:eastAsia="Times New Roman" w:hAnsi="Arial" w:cs="Arial"/>
          <w:color w:val="000000" w:themeColor="text1"/>
          <w:shd w:val="clear" w:color="auto" w:fill="FFFFFF"/>
          <w:lang w:eastAsia="en-GB"/>
        </w:rPr>
        <w:t>Asokan</w:t>
      </w:r>
      <w:proofErr w:type="spellEnd"/>
      <w:r w:rsidRPr="00236603">
        <w:rPr>
          <w:rFonts w:ascii="Arial" w:eastAsia="Times New Roman" w:hAnsi="Arial" w:cs="Arial"/>
          <w:color w:val="000000" w:themeColor="text1"/>
          <w:shd w:val="clear" w:color="auto" w:fill="FFFFFF"/>
          <w:lang w:eastAsia="en-GB"/>
        </w:rPr>
        <w:t xml:space="preserve"> T. V.</w:t>
      </w:r>
      <w:r w:rsidRPr="00EB794A">
        <w:rPr>
          <w:rFonts w:ascii="Arial" w:eastAsia="Times New Roman" w:hAnsi="Arial" w:cs="Arial"/>
          <w:color w:val="000000" w:themeColor="text1"/>
          <w:shd w:val="clear" w:color="auto" w:fill="FFFFFF"/>
          <w:lang w:eastAsia="en-GB"/>
        </w:rPr>
        <w:t xml:space="preserve"> </w:t>
      </w:r>
      <w:r w:rsidRPr="00236603">
        <w:rPr>
          <w:rFonts w:ascii="Arial" w:eastAsia="Times New Roman" w:hAnsi="Arial" w:cs="Arial"/>
          <w:color w:val="000000" w:themeColor="text1"/>
          <w:shd w:val="clear" w:color="auto" w:fill="FFFFFF"/>
          <w:lang w:eastAsia="en-GB"/>
        </w:rPr>
        <w:t xml:space="preserve">(2016) </w:t>
      </w:r>
      <w:r w:rsidRPr="00EB794A">
        <w:rPr>
          <w:rFonts w:ascii="Arial" w:eastAsia="Times New Roman" w:hAnsi="Arial" w:cs="Arial"/>
          <w:color w:val="000000" w:themeColor="text1"/>
          <w:shd w:val="clear" w:color="auto" w:fill="FFFFFF"/>
          <w:lang w:eastAsia="en-GB"/>
        </w:rPr>
        <w:t>‘</w:t>
      </w:r>
      <w:r w:rsidRPr="00236603">
        <w:rPr>
          <w:rFonts w:ascii="Arial" w:eastAsia="Times New Roman" w:hAnsi="Arial" w:cs="Arial"/>
          <w:color w:val="000000" w:themeColor="text1"/>
          <w:shd w:val="clear" w:color="auto" w:fill="FFFFFF"/>
          <w:lang w:eastAsia="en-GB"/>
        </w:rPr>
        <w:t xml:space="preserve">The insanity </w:t>
      </w:r>
      <w:proofErr w:type="spellStart"/>
      <w:r w:rsidRPr="00236603">
        <w:rPr>
          <w:rFonts w:ascii="Arial" w:eastAsia="Times New Roman" w:hAnsi="Arial" w:cs="Arial"/>
          <w:color w:val="000000" w:themeColor="text1"/>
          <w:shd w:val="clear" w:color="auto" w:fill="FFFFFF"/>
          <w:lang w:eastAsia="en-GB"/>
        </w:rPr>
        <w:t>defense</w:t>
      </w:r>
      <w:proofErr w:type="spellEnd"/>
      <w:r w:rsidRPr="00236603">
        <w:rPr>
          <w:rFonts w:ascii="Arial" w:eastAsia="Times New Roman" w:hAnsi="Arial" w:cs="Arial"/>
          <w:color w:val="000000" w:themeColor="text1"/>
          <w:shd w:val="clear" w:color="auto" w:fill="FFFFFF"/>
          <w:lang w:eastAsia="en-GB"/>
        </w:rPr>
        <w:t>: Related issues</w:t>
      </w:r>
      <w:r w:rsidRPr="00EB794A">
        <w:rPr>
          <w:rFonts w:ascii="Arial" w:eastAsia="Times New Roman" w:hAnsi="Arial" w:cs="Arial"/>
          <w:color w:val="000000" w:themeColor="text1"/>
          <w:shd w:val="clear" w:color="auto" w:fill="FFFFFF"/>
          <w:lang w:eastAsia="en-GB"/>
        </w:rPr>
        <w:t>’,</w:t>
      </w:r>
      <w:r w:rsidRPr="00236603">
        <w:rPr>
          <w:rFonts w:ascii="Arial" w:eastAsia="Times New Roman" w:hAnsi="Arial" w:cs="Arial"/>
          <w:color w:val="000000" w:themeColor="text1"/>
          <w:shd w:val="clear" w:color="auto" w:fill="FFFFFF"/>
          <w:lang w:eastAsia="en-GB"/>
        </w:rPr>
        <w:t> </w:t>
      </w:r>
      <w:r w:rsidRPr="00236603">
        <w:rPr>
          <w:rFonts w:ascii="Arial" w:eastAsia="Times New Roman" w:hAnsi="Arial" w:cs="Arial"/>
          <w:i/>
          <w:iCs/>
          <w:color w:val="000000" w:themeColor="text1"/>
          <w:lang w:eastAsia="en-GB"/>
        </w:rPr>
        <w:t>Indian journal of psychiatry</w:t>
      </w:r>
      <w:r w:rsidRPr="00236603">
        <w:rPr>
          <w:rFonts w:ascii="Arial" w:eastAsia="Times New Roman" w:hAnsi="Arial" w:cs="Arial"/>
          <w:color w:val="000000" w:themeColor="text1"/>
          <w:shd w:val="clear" w:color="auto" w:fill="FFFFFF"/>
          <w:lang w:eastAsia="en-GB"/>
        </w:rPr>
        <w:t>, </w:t>
      </w:r>
      <w:r w:rsidRPr="00236603">
        <w:rPr>
          <w:rFonts w:ascii="Arial" w:eastAsia="Times New Roman" w:hAnsi="Arial" w:cs="Arial"/>
          <w:i/>
          <w:iCs/>
          <w:color w:val="000000" w:themeColor="text1"/>
          <w:lang w:eastAsia="en-GB"/>
        </w:rPr>
        <w:t>58</w:t>
      </w:r>
      <w:r w:rsidRPr="00236603">
        <w:rPr>
          <w:rFonts w:ascii="Arial" w:eastAsia="Times New Roman" w:hAnsi="Arial" w:cs="Arial"/>
          <w:color w:val="000000" w:themeColor="text1"/>
          <w:shd w:val="clear" w:color="auto" w:fill="FFFFFF"/>
          <w:lang w:eastAsia="en-GB"/>
        </w:rPr>
        <w:t xml:space="preserve">(2), </w:t>
      </w:r>
      <w:r w:rsidRPr="00EB794A">
        <w:rPr>
          <w:rFonts w:ascii="Arial" w:eastAsia="Times New Roman" w:hAnsi="Arial" w:cs="Arial"/>
          <w:color w:val="000000" w:themeColor="text1"/>
          <w:shd w:val="clear" w:color="auto" w:fill="FFFFFF"/>
          <w:lang w:eastAsia="en-GB"/>
        </w:rPr>
        <w:t>pp.</w:t>
      </w:r>
      <w:r w:rsidRPr="00236603">
        <w:rPr>
          <w:rFonts w:ascii="Arial" w:eastAsia="Times New Roman" w:hAnsi="Arial" w:cs="Arial"/>
          <w:color w:val="000000" w:themeColor="text1"/>
          <w:shd w:val="clear" w:color="auto" w:fill="FFFFFF"/>
          <w:lang w:eastAsia="en-GB"/>
        </w:rPr>
        <w:t>191</w:t>
      </w:r>
      <w:r w:rsidRPr="00EB794A">
        <w:rPr>
          <w:rFonts w:ascii="Arial" w:eastAsia="Times New Roman" w:hAnsi="Arial" w:cs="Arial"/>
          <w:color w:val="000000" w:themeColor="text1"/>
          <w:shd w:val="clear" w:color="auto" w:fill="FFFFFF"/>
          <w:lang w:eastAsia="en-GB"/>
        </w:rPr>
        <w:t>-</w:t>
      </w:r>
      <w:r w:rsidRPr="00236603">
        <w:rPr>
          <w:rFonts w:ascii="Arial" w:eastAsia="Times New Roman" w:hAnsi="Arial" w:cs="Arial"/>
          <w:color w:val="000000" w:themeColor="text1"/>
          <w:shd w:val="clear" w:color="auto" w:fill="FFFFFF"/>
          <w:lang w:eastAsia="en-GB"/>
        </w:rPr>
        <w:t xml:space="preserve">198. </w:t>
      </w:r>
      <w:r w:rsidRPr="00EB794A">
        <w:rPr>
          <w:rFonts w:ascii="Arial" w:eastAsia="Times New Roman" w:hAnsi="Arial" w:cs="Arial"/>
          <w:color w:val="000000" w:themeColor="text1"/>
          <w:shd w:val="clear" w:color="auto" w:fill="FFFFFF"/>
          <w:lang w:eastAsia="en-GB"/>
        </w:rPr>
        <w:t xml:space="preserve">DOI: </w:t>
      </w:r>
      <w:r w:rsidRPr="00236603">
        <w:rPr>
          <w:rFonts w:ascii="Arial" w:eastAsia="Times New Roman" w:hAnsi="Arial" w:cs="Arial"/>
          <w:color w:val="000000" w:themeColor="text1"/>
          <w:shd w:val="clear" w:color="auto" w:fill="FFFFFF"/>
          <w:lang w:eastAsia="en-GB"/>
        </w:rPr>
        <w:t>10.4103/0019-5545.196832</w:t>
      </w:r>
      <w:r w:rsidRPr="00EB794A">
        <w:rPr>
          <w:rFonts w:ascii="Arial" w:eastAsia="Times New Roman" w:hAnsi="Arial" w:cs="Arial"/>
          <w:color w:val="000000" w:themeColor="text1"/>
          <w:shd w:val="clear" w:color="auto" w:fill="FFFFFF"/>
          <w:lang w:eastAsia="en-GB"/>
        </w:rPr>
        <w:t>. [Accessed 19 April 2021].</w:t>
      </w:r>
    </w:p>
    <w:p w14:paraId="1755B2EC" w14:textId="77777777" w:rsidR="002903EF" w:rsidRDefault="002903EF" w:rsidP="001125F5">
      <w:pPr>
        <w:spacing w:line="360" w:lineRule="auto"/>
        <w:rPr>
          <w:rFonts w:ascii="Arial" w:hAnsi="Arial" w:cs="Arial"/>
        </w:rPr>
      </w:pPr>
    </w:p>
    <w:p w14:paraId="4526FD45" w14:textId="31EE2031" w:rsidR="002903EF" w:rsidRDefault="002903EF" w:rsidP="001125F5">
      <w:pPr>
        <w:spacing w:line="360" w:lineRule="auto"/>
        <w:rPr>
          <w:rFonts w:ascii="Arial" w:hAnsi="Arial" w:cs="Arial"/>
        </w:rPr>
      </w:pPr>
      <w:r>
        <w:rPr>
          <w:rFonts w:ascii="Arial" w:hAnsi="Arial" w:cs="Arial"/>
        </w:rPr>
        <w:t xml:space="preserve">Claydon, L. (2015) ‘Reforming automatism and insanity: neuroscience and claims of lack of capacity for control’. </w:t>
      </w:r>
      <w:r w:rsidRPr="00230AAC">
        <w:rPr>
          <w:rFonts w:ascii="Arial" w:hAnsi="Arial" w:cs="Arial"/>
          <w:i/>
          <w:iCs/>
        </w:rPr>
        <w:t>Medicine, Science and the Law</w:t>
      </w:r>
      <w:r>
        <w:rPr>
          <w:rFonts w:ascii="Arial" w:hAnsi="Arial" w:cs="Arial"/>
        </w:rPr>
        <w:t>, 55(3) pp.162-167. DOI: 10.1177/0025802415579374. [Accessed 20 April 2021].</w:t>
      </w:r>
    </w:p>
    <w:p w14:paraId="0492A379" w14:textId="77777777" w:rsidR="002903EF" w:rsidRDefault="002903EF" w:rsidP="001125F5">
      <w:pPr>
        <w:spacing w:line="360" w:lineRule="auto"/>
        <w:rPr>
          <w:rFonts w:ascii="Arial" w:hAnsi="Arial" w:cs="Arial"/>
        </w:rPr>
      </w:pPr>
    </w:p>
    <w:p w14:paraId="03CF278C" w14:textId="4DBDC746" w:rsidR="002903EF" w:rsidRDefault="002903EF" w:rsidP="001125F5">
      <w:pPr>
        <w:spacing w:line="360" w:lineRule="auto"/>
        <w:rPr>
          <w:rFonts w:ascii="Arial" w:hAnsi="Arial" w:cs="Arial"/>
        </w:rPr>
      </w:pPr>
      <w:r>
        <w:rPr>
          <w:rFonts w:ascii="Arial" w:hAnsi="Arial" w:cs="Arial"/>
        </w:rPr>
        <w:t xml:space="preserve">Claydon, L. and </w:t>
      </w:r>
      <w:proofErr w:type="spellStart"/>
      <w:r>
        <w:rPr>
          <w:rFonts w:ascii="Arial" w:hAnsi="Arial" w:cs="Arial"/>
        </w:rPr>
        <w:t>Catley</w:t>
      </w:r>
      <w:proofErr w:type="spellEnd"/>
      <w:r>
        <w:rPr>
          <w:rFonts w:ascii="Arial" w:hAnsi="Arial" w:cs="Arial"/>
        </w:rPr>
        <w:t xml:space="preserve">, P. (2016) </w:t>
      </w:r>
      <w:r w:rsidRPr="003E0CD2">
        <w:rPr>
          <w:rFonts w:ascii="Arial" w:hAnsi="Arial" w:cs="Arial"/>
          <w:i/>
          <w:iCs/>
        </w:rPr>
        <w:t>Abolishing the Insanity Verdict in England and Wales: A Better Balance between Legal Rules and Scientific Understanding</w:t>
      </w:r>
      <w:r>
        <w:rPr>
          <w:rFonts w:ascii="Arial" w:hAnsi="Arial" w:cs="Arial"/>
        </w:rPr>
        <w:t xml:space="preserve">. Oxford: Hart Publishing. </w:t>
      </w:r>
    </w:p>
    <w:p w14:paraId="7DA4844C" w14:textId="77777777" w:rsidR="002903EF" w:rsidRDefault="002903EF" w:rsidP="005A175B">
      <w:pPr>
        <w:spacing w:line="360" w:lineRule="auto"/>
        <w:rPr>
          <w:rFonts w:ascii="Arial" w:eastAsia="Times New Roman" w:hAnsi="Arial" w:cs="Arial"/>
          <w:color w:val="000000" w:themeColor="text1"/>
          <w:shd w:val="clear" w:color="auto" w:fill="FFFFFF"/>
          <w:lang w:eastAsia="en-GB"/>
        </w:rPr>
      </w:pPr>
    </w:p>
    <w:p w14:paraId="3D2CD36B" w14:textId="089600AC" w:rsidR="002903EF" w:rsidRDefault="002903EF" w:rsidP="005A175B">
      <w:pPr>
        <w:spacing w:line="360" w:lineRule="auto"/>
        <w:rPr>
          <w:rFonts w:ascii="Arial" w:eastAsia="Times New Roman" w:hAnsi="Arial" w:cs="Arial"/>
          <w:color w:val="000000" w:themeColor="text1"/>
          <w:shd w:val="clear" w:color="auto" w:fill="FFFFFF"/>
          <w:lang w:eastAsia="en-GB"/>
        </w:rPr>
      </w:pPr>
      <w:r w:rsidRPr="0037530B">
        <w:rPr>
          <w:rFonts w:ascii="Arial" w:eastAsia="Times New Roman" w:hAnsi="Arial" w:cs="Arial"/>
          <w:color w:val="000000" w:themeColor="text1"/>
          <w:shd w:val="clear" w:color="auto" w:fill="FFFFFF"/>
          <w:lang w:eastAsia="en-GB"/>
        </w:rPr>
        <w:t>Feuerstein, S.</w:t>
      </w:r>
      <w:r>
        <w:rPr>
          <w:rFonts w:ascii="Arial" w:eastAsia="Times New Roman" w:hAnsi="Arial" w:cs="Arial"/>
          <w:color w:val="000000" w:themeColor="text1"/>
          <w:shd w:val="clear" w:color="auto" w:fill="FFFFFF"/>
          <w:lang w:eastAsia="en-GB"/>
        </w:rPr>
        <w:t>,</w:t>
      </w:r>
      <w:r w:rsidRPr="0037530B">
        <w:rPr>
          <w:rFonts w:ascii="Arial" w:eastAsia="Times New Roman" w:hAnsi="Arial" w:cs="Arial"/>
          <w:color w:val="000000" w:themeColor="text1"/>
          <w:shd w:val="clear" w:color="auto" w:fill="FFFFFF"/>
          <w:lang w:eastAsia="en-GB"/>
        </w:rPr>
        <w:t xml:space="preserve"> </w:t>
      </w:r>
      <w:proofErr w:type="spellStart"/>
      <w:r w:rsidRPr="0037530B">
        <w:rPr>
          <w:rFonts w:ascii="Arial" w:eastAsia="Times New Roman" w:hAnsi="Arial" w:cs="Arial"/>
          <w:color w:val="000000" w:themeColor="text1"/>
          <w:shd w:val="clear" w:color="auto" w:fill="FFFFFF"/>
          <w:lang w:eastAsia="en-GB"/>
        </w:rPr>
        <w:t>Fortunati</w:t>
      </w:r>
      <w:proofErr w:type="spellEnd"/>
      <w:r w:rsidRPr="0037530B">
        <w:rPr>
          <w:rFonts w:ascii="Arial" w:eastAsia="Times New Roman" w:hAnsi="Arial" w:cs="Arial"/>
          <w:color w:val="000000" w:themeColor="text1"/>
          <w:shd w:val="clear" w:color="auto" w:fill="FFFFFF"/>
          <w:lang w:eastAsia="en-GB"/>
        </w:rPr>
        <w:t xml:space="preserve">, F., Morgan, C. A., </w:t>
      </w:r>
      <w:proofErr w:type="spellStart"/>
      <w:r w:rsidRPr="0037530B">
        <w:rPr>
          <w:rFonts w:ascii="Arial" w:eastAsia="Times New Roman" w:hAnsi="Arial" w:cs="Arial"/>
          <w:color w:val="000000" w:themeColor="text1"/>
          <w:shd w:val="clear" w:color="auto" w:fill="FFFFFF"/>
          <w:lang w:eastAsia="en-GB"/>
        </w:rPr>
        <w:t>Coric</w:t>
      </w:r>
      <w:proofErr w:type="spellEnd"/>
      <w:r w:rsidRPr="0037530B">
        <w:rPr>
          <w:rFonts w:ascii="Arial" w:eastAsia="Times New Roman" w:hAnsi="Arial" w:cs="Arial"/>
          <w:color w:val="000000" w:themeColor="text1"/>
          <w:shd w:val="clear" w:color="auto" w:fill="FFFFFF"/>
          <w:lang w:eastAsia="en-GB"/>
        </w:rPr>
        <w:t xml:space="preserve">, V., </w:t>
      </w:r>
      <w:proofErr w:type="spellStart"/>
      <w:r w:rsidRPr="0037530B">
        <w:rPr>
          <w:rFonts w:ascii="Arial" w:eastAsia="Times New Roman" w:hAnsi="Arial" w:cs="Arial"/>
          <w:color w:val="000000" w:themeColor="text1"/>
          <w:shd w:val="clear" w:color="auto" w:fill="FFFFFF"/>
          <w:lang w:eastAsia="en-GB"/>
        </w:rPr>
        <w:t>Temporini</w:t>
      </w:r>
      <w:proofErr w:type="spellEnd"/>
      <w:r w:rsidRPr="0037530B">
        <w:rPr>
          <w:rFonts w:ascii="Arial" w:eastAsia="Times New Roman" w:hAnsi="Arial" w:cs="Arial"/>
          <w:color w:val="000000" w:themeColor="text1"/>
          <w:shd w:val="clear" w:color="auto" w:fill="FFFFFF"/>
          <w:lang w:eastAsia="en-GB"/>
        </w:rPr>
        <w:t xml:space="preserve">, H., &amp; Southwick, S. (2005). </w:t>
      </w:r>
      <w:r>
        <w:rPr>
          <w:rFonts w:ascii="Arial" w:eastAsia="Times New Roman" w:hAnsi="Arial" w:cs="Arial"/>
          <w:color w:val="000000" w:themeColor="text1"/>
          <w:shd w:val="clear" w:color="auto" w:fill="FFFFFF"/>
          <w:lang w:eastAsia="en-GB"/>
        </w:rPr>
        <w:t>‘</w:t>
      </w:r>
      <w:r w:rsidRPr="0037530B">
        <w:rPr>
          <w:rFonts w:ascii="Arial" w:eastAsia="Times New Roman" w:hAnsi="Arial" w:cs="Arial"/>
          <w:color w:val="000000" w:themeColor="text1"/>
          <w:shd w:val="clear" w:color="auto" w:fill="FFFFFF"/>
          <w:lang w:eastAsia="en-GB"/>
        </w:rPr>
        <w:t xml:space="preserve">The insanity </w:t>
      </w:r>
      <w:proofErr w:type="spellStart"/>
      <w:r w:rsidRPr="0037530B">
        <w:rPr>
          <w:rFonts w:ascii="Arial" w:eastAsia="Times New Roman" w:hAnsi="Arial" w:cs="Arial"/>
          <w:color w:val="000000" w:themeColor="text1"/>
          <w:shd w:val="clear" w:color="auto" w:fill="FFFFFF"/>
          <w:lang w:eastAsia="en-GB"/>
        </w:rPr>
        <w:t>defense</w:t>
      </w:r>
      <w:proofErr w:type="spellEnd"/>
      <w:r>
        <w:rPr>
          <w:rFonts w:ascii="Arial" w:eastAsia="Times New Roman" w:hAnsi="Arial" w:cs="Arial"/>
          <w:color w:val="000000" w:themeColor="text1"/>
          <w:shd w:val="clear" w:color="auto" w:fill="FFFFFF"/>
          <w:lang w:eastAsia="en-GB"/>
        </w:rPr>
        <w:t>’,</w:t>
      </w:r>
      <w:r w:rsidRPr="0037530B">
        <w:rPr>
          <w:rFonts w:ascii="Arial" w:eastAsia="Times New Roman" w:hAnsi="Arial" w:cs="Arial"/>
          <w:color w:val="000000" w:themeColor="text1"/>
          <w:shd w:val="clear" w:color="auto" w:fill="FFFFFF"/>
          <w:lang w:eastAsia="en-GB"/>
        </w:rPr>
        <w:t> </w:t>
      </w:r>
      <w:r w:rsidRPr="0037530B">
        <w:rPr>
          <w:rFonts w:ascii="Arial" w:eastAsia="Times New Roman" w:hAnsi="Arial" w:cs="Arial"/>
          <w:i/>
          <w:iCs/>
          <w:color w:val="000000" w:themeColor="text1"/>
          <w:lang w:eastAsia="en-GB"/>
        </w:rPr>
        <w:t>Psychiatry</w:t>
      </w:r>
      <w:r w:rsidRPr="0037530B">
        <w:rPr>
          <w:rFonts w:ascii="Arial" w:eastAsia="Times New Roman" w:hAnsi="Arial" w:cs="Arial"/>
          <w:color w:val="000000" w:themeColor="text1"/>
          <w:shd w:val="clear" w:color="auto" w:fill="FFFFFF"/>
          <w:lang w:eastAsia="en-GB"/>
        </w:rPr>
        <w:t>, </w:t>
      </w:r>
      <w:r w:rsidRPr="0037530B">
        <w:rPr>
          <w:rFonts w:ascii="Arial" w:eastAsia="Times New Roman" w:hAnsi="Arial" w:cs="Arial"/>
          <w:i/>
          <w:iCs/>
          <w:color w:val="000000" w:themeColor="text1"/>
          <w:lang w:eastAsia="en-GB"/>
        </w:rPr>
        <w:t>2</w:t>
      </w:r>
      <w:r w:rsidRPr="0037530B">
        <w:rPr>
          <w:rFonts w:ascii="Arial" w:eastAsia="Times New Roman" w:hAnsi="Arial" w:cs="Arial"/>
          <w:color w:val="000000" w:themeColor="text1"/>
          <w:shd w:val="clear" w:color="auto" w:fill="FFFFFF"/>
          <w:lang w:eastAsia="en-GB"/>
        </w:rPr>
        <w:t>(9),</w:t>
      </w:r>
      <w:r>
        <w:rPr>
          <w:rFonts w:ascii="Arial" w:eastAsia="Times New Roman" w:hAnsi="Arial" w:cs="Arial"/>
          <w:color w:val="000000" w:themeColor="text1"/>
          <w:shd w:val="clear" w:color="auto" w:fill="FFFFFF"/>
          <w:lang w:eastAsia="en-GB"/>
        </w:rPr>
        <w:t xml:space="preserve"> pp.</w:t>
      </w:r>
      <w:r w:rsidRPr="0037530B">
        <w:rPr>
          <w:rFonts w:ascii="Arial" w:eastAsia="Times New Roman" w:hAnsi="Arial" w:cs="Arial"/>
          <w:color w:val="000000" w:themeColor="text1"/>
          <w:shd w:val="clear" w:color="auto" w:fill="FFFFFF"/>
          <w:lang w:eastAsia="en-GB"/>
        </w:rPr>
        <w:t xml:space="preserve"> 24–25</w:t>
      </w:r>
      <w:r>
        <w:rPr>
          <w:rFonts w:ascii="Arial" w:eastAsia="Times New Roman" w:hAnsi="Arial" w:cs="Arial"/>
          <w:color w:val="000000" w:themeColor="text1"/>
          <w:shd w:val="clear" w:color="auto" w:fill="FFFFFF"/>
          <w:lang w:eastAsia="en-GB"/>
        </w:rPr>
        <w:t xml:space="preserve">. URL: </w:t>
      </w:r>
      <w:r w:rsidRPr="005A175B">
        <w:rPr>
          <w:rFonts w:ascii="Arial" w:eastAsia="Times New Roman" w:hAnsi="Arial" w:cs="Arial"/>
          <w:color w:val="000000" w:themeColor="text1"/>
          <w:shd w:val="clear" w:color="auto" w:fill="FFFFFF"/>
          <w:lang w:eastAsia="en-GB"/>
        </w:rPr>
        <w:t>https://www.ncbi.nlm.nih.gov/pmc/articles/PMC2993532/</w:t>
      </w:r>
      <w:r>
        <w:rPr>
          <w:rFonts w:ascii="Arial" w:eastAsia="Times New Roman" w:hAnsi="Arial" w:cs="Arial"/>
          <w:color w:val="000000" w:themeColor="text1"/>
          <w:shd w:val="clear" w:color="auto" w:fill="FFFFFF"/>
          <w:lang w:eastAsia="en-GB"/>
        </w:rPr>
        <w:t xml:space="preserve"> [Accessed 19 April 2021].</w:t>
      </w:r>
    </w:p>
    <w:p w14:paraId="288201EF" w14:textId="77777777" w:rsidR="002903EF" w:rsidRDefault="002903EF" w:rsidP="001125F5">
      <w:pPr>
        <w:spacing w:line="360" w:lineRule="auto"/>
        <w:rPr>
          <w:rFonts w:ascii="Arial" w:hAnsi="Arial" w:cs="Arial"/>
        </w:rPr>
      </w:pPr>
    </w:p>
    <w:p w14:paraId="7BB77421" w14:textId="2B745232" w:rsidR="002903EF" w:rsidRDefault="002903EF" w:rsidP="001125F5">
      <w:pPr>
        <w:spacing w:line="360" w:lineRule="auto"/>
        <w:rPr>
          <w:rFonts w:ascii="Arial" w:hAnsi="Arial" w:cs="Arial"/>
        </w:rPr>
      </w:pPr>
      <w:r>
        <w:rPr>
          <w:rFonts w:ascii="Arial" w:hAnsi="Arial" w:cs="Arial"/>
        </w:rPr>
        <w:t xml:space="preserve">Howard, H. (2003) ‘Reform of the Insanity Defence: Theoretical Issues’. </w:t>
      </w:r>
      <w:r w:rsidRPr="00B26E47">
        <w:rPr>
          <w:rFonts w:ascii="Arial" w:hAnsi="Arial" w:cs="Arial"/>
          <w:i/>
          <w:iCs/>
        </w:rPr>
        <w:t>The Journal of Criminal Law</w:t>
      </w:r>
      <w:r>
        <w:rPr>
          <w:rFonts w:ascii="Arial" w:hAnsi="Arial" w:cs="Arial"/>
        </w:rPr>
        <w:t>, 67(1), pp. 51-67. DOI: 10.1177/002201830306700105. [Accessed 20 April 2021].</w:t>
      </w:r>
    </w:p>
    <w:p w14:paraId="3D21F375" w14:textId="77777777" w:rsidR="002903EF" w:rsidRDefault="002903EF" w:rsidP="005A175B">
      <w:pPr>
        <w:spacing w:line="360" w:lineRule="auto"/>
        <w:rPr>
          <w:rFonts w:ascii="Arial" w:hAnsi="Arial" w:cs="Arial"/>
        </w:rPr>
      </w:pPr>
    </w:p>
    <w:p w14:paraId="47EF0209" w14:textId="1E910964" w:rsidR="002903EF" w:rsidRDefault="002903EF" w:rsidP="005A175B">
      <w:pPr>
        <w:spacing w:line="360" w:lineRule="auto"/>
        <w:rPr>
          <w:rFonts w:ascii="Arial" w:hAnsi="Arial" w:cs="Arial"/>
        </w:rPr>
      </w:pPr>
      <w:r>
        <w:rPr>
          <w:rFonts w:ascii="Arial" w:hAnsi="Arial" w:cs="Arial"/>
        </w:rPr>
        <w:t xml:space="preserve">Howes, R. (2009) </w:t>
      </w:r>
      <w:r w:rsidRPr="00103663">
        <w:rPr>
          <w:rFonts w:ascii="Arial" w:hAnsi="Arial" w:cs="Arial"/>
          <w:i/>
          <w:iCs/>
        </w:rPr>
        <w:t>The Definition of Insanity</w:t>
      </w:r>
      <w:r>
        <w:rPr>
          <w:rFonts w:ascii="Arial" w:hAnsi="Arial" w:cs="Arial"/>
        </w:rPr>
        <w:t xml:space="preserve">. Available at: </w:t>
      </w:r>
      <w:r w:rsidRPr="00103663">
        <w:rPr>
          <w:rFonts w:ascii="Arial" w:hAnsi="Arial" w:cs="Arial"/>
        </w:rPr>
        <w:t>https://www.psychologytoday.com/gb/blog/in-therapy/200907/the-definition-insanity</w:t>
      </w:r>
      <w:r>
        <w:rPr>
          <w:rFonts w:ascii="Arial" w:hAnsi="Arial" w:cs="Arial"/>
        </w:rPr>
        <w:t xml:space="preserve"> [Accessed 26 April 2021].</w:t>
      </w:r>
    </w:p>
    <w:p w14:paraId="51F86695" w14:textId="77777777" w:rsidR="002903EF" w:rsidRDefault="002903EF" w:rsidP="005A175B">
      <w:pPr>
        <w:spacing w:line="360" w:lineRule="auto"/>
        <w:rPr>
          <w:rFonts w:ascii="Arial" w:hAnsi="Arial" w:cs="Arial"/>
        </w:rPr>
      </w:pPr>
    </w:p>
    <w:p w14:paraId="372DEA69" w14:textId="5A8596D6" w:rsidR="002903EF" w:rsidRDefault="002903EF" w:rsidP="005A175B">
      <w:pPr>
        <w:spacing w:line="360" w:lineRule="auto"/>
        <w:rPr>
          <w:rFonts w:ascii="Arial" w:hAnsi="Arial" w:cs="Arial"/>
        </w:rPr>
      </w:pPr>
      <w:r>
        <w:rPr>
          <w:rFonts w:ascii="Arial" w:hAnsi="Arial" w:cs="Arial"/>
        </w:rPr>
        <w:t xml:space="preserve">Laver, N. (Accessed 2021). </w:t>
      </w:r>
      <w:r w:rsidRPr="00B37B95">
        <w:rPr>
          <w:rFonts w:ascii="Arial" w:hAnsi="Arial" w:cs="Arial"/>
          <w:i/>
          <w:iCs/>
        </w:rPr>
        <w:t>Insanity as a criminal defence</w:t>
      </w:r>
      <w:r>
        <w:rPr>
          <w:rFonts w:ascii="Arial" w:hAnsi="Arial" w:cs="Arial"/>
        </w:rPr>
        <w:t xml:space="preserve">. Available at: </w:t>
      </w:r>
      <w:r w:rsidRPr="00B37B95">
        <w:rPr>
          <w:rFonts w:ascii="Arial" w:hAnsi="Arial" w:cs="Arial"/>
        </w:rPr>
        <w:t>https://www.inbrief.co.uk/court-proceedings/insanity-as-a-criminal-defence/</w:t>
      </w:r>
      <w:r>
        <w:rPr>
          <w:rFonts w:ascii="Arial" w:hAnsi="Arial" w:cs="Arial"/>
        </w:rPr>
        <w:t xml:space="preserve"> [Accessed 5 April 2021].</w:t>
      </w:r>
    </w:p>
    <w:p w14:paraId="7786A17F" w14:textId="77777777" w:rsidR="002903EF" w:rsidRDefault="002903EF" w:rsidP="001125F5">
      <w:pPr>
        <w:spacing w:line="360" w:lineRule="auto"/>
        <w:rPr>
          <w:rFonts w:ascii="Arial" w:hAnsi="Arial" w:cs="Arial"/>
        </w:rPr>
      </w:pPr>
      <w:r>
        <w:rPr>
          <w:rFonts w:ascii="Arial" w:hAnsi="Arial" w:cs="Arial"/>
        </w:rPr>
        <w:lastRenderedPageBreak/>
        <w:t xml:space="preserve">Law Commission. (2012) </w:t>
      </w:r>
      <w:r w:rsidRPr="0004725D">
        <w:rPr>
          <w:rFonts w:ascii="Arial" w:hAnsi="Arial" w:cs="Arial"/>
          <w:i/>
          <w:iCs/>
        </w:rPr>
        <w:t>Insanity and Automatism A Scoping Paper</w:t>
      </w:r>
      <w:r>
        <w:rPr>
          <w:rFonts w:ascii="Arial" w:hAnsi="Arial" w:cs="Arial"/>
        </w:rPr>
        <w:t xml:space="preserve">. Available at: </w:t>
      </w:r>
      <w:r w:rsidRPr="0004725D">
        <w:rPr>
          <w:rFonts w:ascii="Arial" w:hAnsi="Arial" w:cs="Arial"/>
        </w:rPr>
        <w:t>https://s3-eu-west-2.amazonaws.com/lawcom-prod-storage-11jsxou24uy7q/uploads/2015/06/insanity_scoping.pdf</w:t>
      </w:r>
      <w:r>
        <w:rPr>
          <w:rFonts w:ascii="Arial" w:hAnsi="Arial" w:cs="Arial"/>
        </w:rPr>
        <w:t xml:space="preserve"> [Accessed 27 April 2021].</w:t>
      </w:r>
    </w:p>
    <w:p w14:paraId="0BFCE83D" w14:textId="77777777" w:rsidR="002903EF" w:rsidRDefault="002903EF" w:rsidP="001125F5">
      <w:pPr>
        <w:spacing w:line="360" w:lineRule="auto"/>
        <w:rPr>
          <w:rFonts w:ascii="Arial" w:hAnsi="Arial" w:cs="Arial"/>
        </w:rPr>
      </w:pPr>
    </w:p>
    <w:p w14:paraId="02EE7FCC" w14:textId="41844FF9" w:rsidR="002903EF" w:rsidRDefault="002903EF" w:rsidP="001125F5">
      <w:pPr>
        <w:spacing w:line="360" w:lineRule="auto"/>
        <w:rPr>
          <w:rFonts w:ascii="Arial" w:hAnsi="Arial" w:cs="Arial"/>
        </w:rPr>
      </w:pPr>
      <w:r>
        <w:rPr>
          <w:rFonts w:ascii="Arial" w:hAnsi="Arial" w:cs="Arial"/>
        </w:rPr>
        <w:t xml:space="preserve">Law Commission. (2012) Insanity and Automatism Supplementary Material to the Scoping Paper. Available at: </w:t>
      </w:r>
      <w:r w:rsidRPr="000320D9">
        <w:rPr>
          <w:rFonts w:ascii="Arial" w:hAnsi="Arial" w:cs="Arial"/>
        </w:rPr>
        <w:t>https://s3-eu-west-2.amazonaws.com/lawcom-prod-storage-11jsxou24uy7q/uploads/2015/06/insanity_scoping_supplementary.pdf</w:t>
      </w:r>
      <w:r>
        <w:rPr>
          <w:rFonts w:ascii="Arial" w:hAnsi="Arial" w:cs="Arial"/>
        </w:rPr>
        <w:t xml:space="preserve"> [Accessed 19 April 2021].</w:t>
      </w:r>
    </w:p>
    <w:p w14:paraId="6A9BCD95" w14:textId="77777777" w:rsidR="002903EF" w:rsidRDefault="002903EF" w:rsidP="001125F5">
      <w:pPr>
        <w:spacing w:line="360" w:lineRule="auto"/>
        <w:rPr>
          <w:rFonts w:ascii="Arial" w:hAnsi="Arial" w:cs="Arial"/>
        </w:rPr>
      </w:pPr>
    </w:p>
    <w:p w14:paraId="12A975ED" w14:textId="00662B67" w:rsidR="002903EF" w:rsidRDefault="002903EF" w:rsidP="001125F5">
      <w:pPr>
        <w:spacing w:line="360" w:lineRule="auto"/>
        <w:rPr>
          <w:rFonts w:ascii="Arial" w:hAnsi="Arial" w:cs="Arial"/>
        </w:rPr>
      </w:pPr>
      <w:proofErr w:type="spellStart"/>
      <w:r>
        <w:rPr>
          <w:rFonts w:ascii="Arial" w:hAnsi="Arial" w:cs="Arial"/>
        </w:rPr>
        <w:t>Muhkia</w:t>
      </w:r>
      <w:proofErr w:type="spellEnd"/>
      <w:r>
        <w:rPr>
          <w:rFonts w:ascii="Arial" w:hAnsi="Arial" w:cs="Arial"/>
        </w:rPr>
        <w:t xml:space="preserve">, S. (2012) ‘Is the Common Law Defence of Insanity Ineffective and in Need of Reform?’. </w:t>
      </w:r>
      <w:r w:rsidRPr="0087554D">
        <w:rPr>
          <w:rFonts w:ascii="Arial" w:hAnsi="Arial" w:cs="Arial"/>
          <w:i/>
          <w:iCs/>
        </w:rPr>
        <w:t>Plymouth and Criminal Justice Law Review</w:t>
      </w:r>
      <w:r>
        <w:rPr>
          <w:rFonts w:ascii="Arial" w:hAnsi="Arial" w:cs="Arial"/>
        </w:rPr>
        <w:t xml:space="preserve">, 1. URL: </w:t>
      </w:r>
      <w:r w:rsidRPr="0006675C">
        <w:rPr>
          <w:rFonts w:ascii="Arial" w:hAnsi="Arial" w:cs="Arial"/>
        </w:rPr>
        <w:t>https://core.ac.uk/download/pdf/80690511.pdf</w:t>
      </w:r>
      <w:r>
        <w:rPr>
          <w:rFonts w:ascii="Arial" w:hAnsi="Arial" w:cs="Arial"/>
        </w:rPr>
        <w:t xml:space="preserve"> [Accessed 20 April 2021].</w:t>
      </w:r>
    </w:p>
    <w:p w14:paraId="0A1DBD26" w14:textId="77777777" w:rsidR="002903EF" w:rsidRDefault="002903EF" w:rsidP="005A175B">
      <w:pPr>
        <w:pStyle w:val="NormalWeb"/>
        <w:spacing w:line="360" w:lineRule="auto"/>
      </w:pPr>
      <w:proofErr w:type="spellStart"/>
      <w:r>
        <w:rPr>
          <w:rFonts w:ascii="Arial" w:hAnsi="Arial" w:cs="Arial"/>
        </w:rPr>
        <w:t>Suemnick</w:t>
      </w:r>
      <w:proofErr w:type="spellEnd"/>
      <w:r>
        <w:rPr>
          <w:rFonts w:ascii="Arial" w:hAnsi="Arial" w:cs="Arial"/>
        </w:rPr>
        <w:t xml:space="preserve">, D. (1963). ‘Insanity as a Defence and the Problem of Definition’, Marquette Law Review, 46(4), pp. 542-548. URL: </w:t>
      </w:r>
      <w:r w:rsidRPr="002C45E1">
        <w:rPr>
          <w:rFonts w:ascii="Arial" w:hAnsi="Arial" w:cs="Arial"/>
        </w:rPr>
        <w:t>https://scholarship.law.marquette.edu/mulr/vol46/iss4/13/</w:t>
      </w:r>
    </w:p>
    <w:p w14:paraId="55FD64BB" w14:textId="750E34F8" w:rsidR="00E74053" w:rsidRDefault="00E74053" w:rsidP="001125F5">
      <w:pPr>
        <w:spacing w:line="360" w:lineRule="auto"/>
        <w:rPr>
          <w:rFonts w:ascii="Arial" w:hAnsi="Arial" w:cs="Arial"/>
        </w:rPr>
      </w:pPr>
    </w:p>
    <w:p w14:paraId="3D130288" w14:textId="249B7AE0" w:rsidR="00E74053" w:rsidRDefault="00E74053" w:rsidP="001125F5">
      <w:pPr>
        <w:spacing w:line="360" w:lineRule="auto"/>
        <w:rPr>
          <w:rFonts w:ascii="Arial" w:hAnsi="Arial" w:cs="Arial"/>
          <w:b/>
          <w:bCs/>
        </w:rPr>
      </w:pPr>
      <w:r w:rsidRPr="00E74053">
        <w:rPr>
          <w:rFonts w:ascii="Arial" w:hAnsi="Arial" w:cs="Arial"/>
          <w:b/>
          <w:bCs/>
        </w:rPr>
        <w:t xml:space="preserve">Case Law </w:t>
      </w:r>
    </w:p>
    <w:p w14:paraId="0DE87B61" w14:textId="77777777" w:rsidR="002903EF" w:rsidRDefault="002903EF" w:rsidP="0093359E">
      <w:pPr>
        <w:spacing w:line="360" w:lineRule="auto"/>
        <w:rPr>
          <w:rFonts w:ascii="Arial" w:hAnsi="Arial" w:cs="Arial"/>
        </w:rPr>
      </w:pPr>
      <w:r>
        <w:rPr>
          <w:rFonts w:ascii="Arial" w:hAnsi="Arial" w:cs="Arial"/>
        </w:rPr>
        <w:t>Andrews v DPP (1937)</w:t>
      </w:r>
      <w:r>
        <w:rPr>
          <w:rFonts w:ascii="Arial" w:hAnsi="Arial" w:cs="Arial"/>
        </w:rPr>
        <w:t>.</w:t>
      </w:r>
    </w:p>
    <w:p w14:paraId="2AD1EF89" w14:textId="77777777" w:rsidR="002903EF" w:rsidRDefault="002903EF" w:rsidP="0093359E">
      <w:pPr>
        <w:spacing w:line="360" w:lineRule="auto"/>
        <w:rPr>
          <w:rFonts w:ascii="Arial" w:hAnsi="Arial" w:cs="Arial"/>
        </w:rPr>
      </w:pPr>
      <w:r>
        <w:rPr>
          <w:rFonts w:ascii="Arial" w:hAnsi="Arial" w:cs="Arial"/>
        </w:rPr>
        <w:t>Cunningham (1957).</w:t>
      </w:r>
    </w:p>
    <w:p w14:paraId="52DF368E" w14:textId="77777777" w:rsidR="002903EF" w:rsidRDefault="002903EF" w:rsidP="0093359E">
      <w:pPr>
        <w:spacing w:line="360" w:lineRule="auto"/>
        <w:rPr>
          <w:rFonts w:ascii="Arial" w:hAnsi="Arial" w:cs="Arial"/>
        </w:rPr>
      </w:pPr>
      <w:r>
        <w:rPr>
          <w:rFonts w:ascii="Arial" w:hAnsi="Arial" w:cs="Arial"/>
        </w:rPr>
        <w:t>Fagan v Metropolitan Police Commissioner (1968).</w:t>
      </w:r>
    </w:p>
    <w:p w14:paraId="583CD2FB" w14:textId="77777777" w:rsidR="002903EF" w:rsidRDefault="002903EF" w:rsidP="0093359E">
      <w:pPr>
        <w:spacing w:line="360" w:lineRule="auto"/>
        <w:rPr>
          <w:rFonts w:ascii="Arial" w:hAnsi="Arial" w:cs="Arial"/>
        </w:rPr>
      </w:pPr>
      <w:r>
        <w:rPr>
          <w:rFonts w:ascii="Arial" w:hAnsi="Arial" w:cs="Arial"/>
        </w:rPr>
        <w:t>Franklin (1883)</w:t>
      </w:r>
      <w:r>
        <w:rPr>
          <w:rFonts w:ascii="Arial" w:hAnsi="Arial" w:cs="Arial"/>
        </w:rPr>
        <w:t>.</w:t>
      </w:r>
    </w:p>
    <w:p w14:paraId="3076C884" w14:textId="77777777" w:rsidR="002903EF" w:rsidRPr="0045559C" w:rsidRDefault="002903EF" w:rsidP="0093359E">
      <w:pPr>
        <w:spacing w:line="360" w:lineRule="auto"/>
        <w:rPr>
          <w:rFonts w:ascii="Arial" w:hAnsi="Arial" w:cs="Arial"/>
        </w:rPr>
      </w:pPr>
      <w:r>
        <w:rPr>
          <w:rFonts w:ascii="Arial" w:hAnsi="Arial" w:cs="Arial"/>
        </w:rPr>
        <w:t>Moloney (1985)</w:t>
      </w:r>
      <w:r>
        <w:rPr>
          <w:rFonts w:ascii="Arial" w:hAnsi="Arial" w:cs="Arial"/>
        </w:rPr>
        <w:t>.</w:t>
      </w:r>
    </w:p>
    <w:p w14:paraId="57F747EB" w14:textId="77777777" w:rsidR="002903EF" w:rsidRDefault="002903EF" w:rsidP="0093359E">
      <w:pPr>
        <w:spacing w:line="360" w:lineRule="auto"/>
        <w:rPr>
          <w:rFonts w:ascii="Arial" w:hAnsi="Arial" w:cs="Arial"/>
        </w:rPr>
      </w:pPr>
      <w:r>
        <w:rPr>
          <w:rFonts w:ascii="Arial" w:hAnsi="Arial" w:cs="Arial"/>
        </w:rPr>
        <w:t>Pegram v DPP (2019)</w:t>
      </w:r>
      <w:r>
        <w:rPr>
          <w:rFonts w:ascii="Arial" w:hAnsi="Arial" w:cs="Arial"/>
        </w:rPr>
        <w:t>.</w:t>
      </w:r>
    </w:p>
    <w:p w14:paraId="448EE5A7" w14:textId="77777777" w:rsidR="002903EF" w:rsidRDefault="002903EF" w:rsidP="0093359E">
      <w:pPr>
        <w:spacing w:line="360" w:lineRule="auto"/>
        <w:rPr>
          <w:rFonts w:ascii="Arial" w:hAnsi="Arial" w:cs="Arial"/>
        </w:rPr>
      </w:pPr>
      <w:r>
        <w:rPr>
          <w:rFonts w:ascii="Arial" w:hAnsi="Arial" w:cs="Arial"/>
        </w:rPr>
        <w:t>R v Hennessy (1989).</w:t>
      </w:r>
    </w:p>
    <w:p w14:paraId="390D04FF" w14:textId="77777777" w:rsidR="002903EF" w:rsidRDefault="002903EF" w:rsidP="0093359E">
      <w:pPr>
        <w:spacing w:line="360" w:lineRule="auto"/>
        <w:rPr>
          <w:rFonts w:ascii="Arial" w:hAnsi="Arial" w:cs="Arial"/>
        </w:rPr>
      </w:pPr>
      <w:r>
        <w:rPr>
          <w:rFonts w:ascii="Arial" w:hAnsi="Arial" w:cs="Arial"/>
        </w:rPr>
        <w:t>R v Kemp (1957).</w:t>
      </w:r>
    </w:p>
    <w:p w14:paraId="43856F7F" w14:textId="77777777" w:rsidR="002903EF" w:rsidRDefault="002903EF" w:rsidP="0093359E">
      <w:pPr>
        <w:spacing w:line="360" w:lineRule="auto"/>
        <w:rPr>
          <w:rFonts w:ascii="Arial" w:hAnsi="Arial" w:cs="Arial"/>
        </w:rPr>
      </w:pPr>
      <w:r>
        <w:rPr>
          <w:rFonts w:ascii="Arial" w:hAnsi="Arial" w:cs="Arial"/>
        </w:rPr>
        <w:t xml:space="preserve">R v </w:t>
      </w:r>
      <w:proofErr w:type="spellStart"/>
      <w:r>
        <w:rPr>
          <w:rFonts w:ascii="Arial" w:hAnsi="Arial" w:cs="Arial"/>
        </w:rPr>
        <w:t>M’Naghten</w:t>
      </w:r>
      <w:proofErr w:type="spellEnd"/>
      <w:r>
        <w:rPr>
          <w:rFonts w:ascii="Arial" w:hAnsi="Arial" w:cs="Arial"/>
        </w:rPr>
        <w:t xml:space="preserve"> (1843). </w:t>
      </w:r>
    </w:p>
    <w:p w14:paraId="71133233" w14:textId="77777777" w:rsidR="002903EF" w:rsidRDefault="002903EF" w:rsidP="0093359E">
      <w:pPr>
        <w:spacing w:line="360" w:lineRule="auto"/>
        <w:rPr>
          <w:rFonts w:ascii="Arial" w:hAnsi="Arial" w:cs="Arial"/>
        </w:rPr>
      </w:pPr>
      <w:r>
        <w:rPr>
          <w:rFonts w:ascii="Arial" w:hAnsi="Arial" w:cs="Arial"/>
        </w:rPr>
        <w:t xml:space="preserve">R v Quick (1973). </w:t>
      </w:r>
    </w:p>
    <w:p w14:paraId="0879D148" w14:textId="77777777" w:rsidR="002903EF" w:rsidRDefault="002903EF" w:rsidP="0093359E">
      <w:pPr>
        <w:spacing w:line="360" w:lineRule="auto"/>
        <w:rPr>
          <w:rFonts w:ascii="Arial" w:hAnsi="Arial" w:cs="Arial"/>
        </w:rPr>
      </w:pPr>
      <w:r>
        <w:rPr>
          <w:rFonts w:ascii="Arial" w:hAnsi="Arial" w:cs="Arial"/>
        </w:rPr>
        <w:t>Rolfe (1952).</w:t>
      </w:r>
    </w:p>
    <w:p w14:paraId="445E6949" w14:textId="77777777" w:rsidR="002903EF" w:rsidRDefault="002903EF" w:rsidP="0093359E">
      <w:pPr>
        <w:spacing w:line="360" w:lineRule="auto"/>
        <w:rPr>
          <w:rFonts w:ascii="Arial" w:hAnsi="Arial" w:cs="Arial"/>
        </w:rPr>
      </w:pPr>
      <w:r>
        <w:rPr>
          <w:rFonts w:ascii="Arial" w:hAnsi="Arial" w:cs="Arial"/>
        </w:rPr>
        <w:t>Venna (1975)</w:t>
      </w:r>
      <w:r>
        <w:rPr>
          <w:rFonts w:ascii="Arial" w:hAnsi="Arial" w:cs="Arial"/>
        </w:rPr>
        <w:t>.</w:t>
      </w:r>
    </w:p>
    <w:p w14:paraId="74F9DCD9" w14:textId="77777777" w:rsidR="002903EF" w:rsidRDefault="002903EF" w:rsidP="0093359E">
      <w:pPr>
        <w:spacing w:line="360" w:lineRule="auto"/>
        <w:rPr>
          <w:rFonts w:ascii="Arial" w:hAnsi="Arial" w:cs="Arial"/>
        </w:rPr>
      </w:pPr>
      <w:r>
        <w:rPr>
          <w:rFonts w:ascii="Arial" w:hAnsi="Arial" w:cs="Arial"/>
        </w:rPr>
        <w:t>White (1910)</w:t>
      </w:r>
      <w:r>
        <w:rPr>
          <w:rFonts w:ascii="Arial" w:hAnsi="Arial" w:cs="Arial"/>
        </w:rPr>
        <w:t>.</w:t>
      </w:r>
    </w:p>
    <w:sectPr w:rsidR="002903EF" w:rsidSect="003B329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82D48"/>
    <w:multiLevelType w:val="hybridMultilevel"/>
    <w:tmpl w:val="B010C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726B6"/>
    <w:multiLevelType w:val="hybridMultilevel"/>
    <w:tmpl w:val="B794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B648F"/>
    <w:multiLevelType w:val="hybridMultilevel"/>
    <w:tmpl w:val="0854C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5E0"/>
    <w:rsid w:val="00002999"/>
    <w:rsid w:val="00024D27"/>
    <w:rsid w:val="000320D9"/>
    <w:rsid w:val="0004725D"/>
    <w:rsid w:val="00057AB3"/>
    <w:rsid w:val="0006675C"/>
    <w:rsid w:val="00085B7E"/>
    <w:rsid w:val="00093C8B"/>
    <w:rsid w:val="00094AF0"/>
    <w:rsid w:val="000A7570"/>
    <w:rsid w:val="000F709F"/>
    <w:rsid w:val="00103663"/>
    <w:rsid w:val="00103668"/>
    <w:rsid w:val="00107B76"/>
    <w:rsid w:val="001125F5"/>
    <w:rsid w:val="00130AAC"/>
    <w:rsid w:val="001A2CE7"/>
    <w:rsid w:val="001C7B5C"/>
    <w:rsid w:val="001E02C4"/>
    <w:rsid w:val="00200F09"/>
    <w:rsid w:val="00230AAC"/>
    <w:rsid w:val="00236603"/>
    <w:rsid w:val="002373B5"/>
    <w:rsid w:val="00265FAE"/>
    <w:rsid w:val="00284AF5"/>
    <w:rsid w:val="002903EF"/>
    <w:rsid w:val="002A073D"/>
    <w:rsid w:val="002C45E1"/>
    <w:rsid w:val="002D342D"/>
    <w:rsid w:val="003014A1"/>
    <w:rsid w:val="00311A22"/>
    <w:rsid w:val="00325D8B"/>
    <w:rsid w:val="0033439B"/>
    <w:rsid w:val="0037530B"/>
    <w:rsid w:val="003B3298"/>
    <w:rsid w:val="003E0CD2"/>
    <w:rsid w:val="003E5515"/>
    <w:rsid w:val="00405E72"/>
    <w:rsid w:val="00417C3E"/>
    <w:rsid w:val="00434552"/>
    <w:rsid w:val="00437244"/>
    <w:rsid w:val="0045559C"/>
    <w:rsid w:val="00462D90"/>
    <w:rsid w:val="00467A9B"/>
    <w:rsid w:val="0047595A"/>
    <w:rsid w:val="00486969"/>
    <w:rsid w:val="004A7506"/>
    <w:rsid w:val="004D12B1"/>
    <w:rsid w:val="004E2A5A"/>
    <w:rsid w:val="004E39C8"/>
    <w:rsid w:val="005136D1"/>
    <w:rsid w:val="00533D48"/>
    <w:rsid w:val="005346E4"/>
    <w:rsid w:val="00594988"/>
    <w:rsid w:val="00596E4F"/>
    <w:rsid w:val="005A175B"/>
    <w:rsid w:val="005B3D3E"/>
    <w:rsid w:val="006301B4"/>
    <w:rsid w:val="00697389"/>
    <w:rsid w:val="006F0B1E"/>
    <w:rsid w:val="006F5C67"/>
    <w:rsid w:val="00725161"/>
    <w:rsid w:val="00777803"/>
    <w:rsid w:val="007A514B"/>
    <w:rsid w:val="008248A0"/>
    <w:rsid w:val="00833133"/>
    <w:rsid w:val="00833B64"/>
    <w:rsid w:val="008421FD"/>
    <w:rsid w:val="0087554D"/>
    <w:rsid w:val="008918F0"/>
    <w:rsid w:val="008A4ACC"/>
    <w:rsid w:val="00923EA2"/>
    <w:rsid w:val="0093359E"/>
    <w:rsid w:val="00946EEB"/>
    <w:rsid w:val="00964CC1"/>
    <w:rsid w:val="00983B4D"/>
    <w:rsid w:val="009912B3"/>
    <w:rsid w:val="00995720"/>
    <w:rsid w:val="009B4171"/>
    <w:rsid w:val="009F4174"/>
    <w:rsid w:val="00A10AF6"/>
    <w:rsid w:val="00A57C01"/>
    <w:rsid w:val="00AB41D4"/>
    <w:rsid w:val="00B025E0"/>
    <w:rsid w:val="00B26E47"/>
    <w:rsid w:val="00B315C6"/>
    <w:rsid w:val="00B37B95"/>
    <w:rsid w:val="00BA3D5F"/>
    <w:rsid w:val="00BA4D4D"/>
    <w:rsid w:val="00BE5D0B"/>
    <w:rsid w:val="00BE68D3"/>
    <w:rsid w:val="00C15A52"/>
    <w:rsid w:val="00C461A5"/>
    <w:rsid w:val="00C54D13"/>
    <w:rsid w:val="00CC74B1"/>
    <w:rsid w:val="00CC75C7"/>
    <w:rsid w:val="00CD15FE"/>
    <w:rsid w:val="00CD21C9"/>
    <w:rsid w:val="00CD615A"/>
    <w:rsid w:val="00D04D05"/>
    <w:rsid w:val="00D139D0"/>
    <w:rsid w:val="00D62993"/>
    <w:rsid w:val="00D97BF3"/>
    <w:rsid w:val="00E165BE"/>
    <w:rsid w:val="00E279FF"/>
    <w:rsid w:val="00E40286"/>
    <w:rsid w:val="00E455A9"/>
    <w:rsid w:val="00E74053"/>
    <w:rsid w:val="00E741F8"/>
    <w:rsid w:val="00E7600A"/>
    <w:rsid w:val="00E83886"/>
    <w:rsid w:val="00E96A53"/>
    <w:rsid w:val="00EB1DE5"/>
    <w:rsid w:val="00EB794A"/>
    <w:rsid w:val="00ED223E"/>
    <w:rsid w:val="00F7532E"/>
    <w:rsid w:val="00F7665E"/>
    <w:rsid w:val="00FE42D3"/>
    <w:rsid w:val="00FE4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A0A4E7"/>
  <w14:defaultImageDpi w14:val="32767"/>
  <w15:chartTrackingRefBased/>
  <w15:docId w15:val="{5A038C78-224E-3D48-B427-A6F2B083E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42D"/>
    <w:pPr>
      <w:ind w:left="720"/>
      <w:contextualSpacing/>
    </w:pPr>
  </w:style>
  <w:style w:type="character" w:styleId="Hyperlink">
    <w:name w:val="Hyperlink"/>
    <w:basedOn w:val="DefaultParagraphFont"/>
    <w:uiPriority w:val="99"/>
    <w:unhideWhenUsed/>
    <w:rsid w:val="00E96A53"/>
    <w:rPr>
      <w:color w:val="0563C1" w:themeColor="hyperlink"/>
      <w:u w:val="single"/>
    </w:rPr>
  </w:style>
  <w:style w:type="character" w:styleId="UnresolvedMention">
    <w:name w:val="Unresolved Mention"/>
    <w:basedOn w:val="DefaultParagraphFont"/>
    <w:uiPriority w:val="99"/>
    <w:rsid w:val="00E96A53"/>
    <w:rPr>
      <w:color w:val="605E5C"/>
      <w:shd w:val="clear" w:color="auto" w:fill="E1DFDD"/>
    </w:rPr>
  </w:style>
  <w:style w:type="paragraph" w:styleId="NormalWeb">
    <w:name w:val="Normal (Web)"/>
    <w:basedOn w:val="Normal"/>
    <w:uiPriority w:val="99"/>
    <w:semiHidden/>
    <w:unhideWhenUsed/>
    <w:rsid w:val="002C45E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75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840320">
      <w:bodyDiv w:val="1"/>
      <w:marLeft w:val="0"/>
      <w:marRight w:val="0"/>
      <w:marTop w:val="0"/>
      <w:marBottom w:val="0"/>
      <w:divBdr>
        <w:top w:val="none" w:sz="0" w:space="0" w:color="auto"/>
        <w:left w:val="none" w:sz="0" w:space="0" w:color="auto"/>
        <w:bottom w:val="none" w:sz="0" w:space="0" w:color="auto"/>
        <w:right w:val="none" w:sz="0" w:space="0" w:color="auto"/>
      </w:divBdr>
    </w:div>
    <w:div w:id="49194479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48">
          <w:marLeft w:val="0"/>
          <w:marRight w:val="0"/>
          <w:marTop w:val="0"/>
          <w:marBottom w:val="0"/>
          <w:divBdr>
            <w:top w:val="none" w:sz="0" w:space="0" w:color="auto"/>
            <w:left w:val="none" w:sz="0" w:space="0" w:color="auto"/>
            <w:bottom w:val="none" w:sz="0" w:space="0" w:color="auto"/>
            <w:right w:val="none" w:sz="0" w:space="0" w:color="auto"/>
          </w:divBdr>
          <w:divsChild>
            <w:div w:id="133451751">
              <w:marLeft w:val="0"/>
              <w:marRight w:val="0"/>
              <w:marTop w:val="0"/>
              <w:marBottom w:val="0"/>
              <w:divBdr>
                <w:top w:val="none" w:sz="0" w:space="0" w:color="auto"/>
                <w:left w:val="none" w:sz="0" w:space="0" w:color="auto"/>
                <w:bottom w:val="none" w:sz="0" w:space="0" w:color="auto"/>
                <w:right w:val="none" w:sz="0" w:space="0" w:color="auto"/>
              </w:divBdr>
              <w:divsChild>
                <w:div w:id="50089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58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403</TotalTime>
  <Pages>7</Pages>
  <Words>2242</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Bevan (2003799)</dc:creator>
  <cp:keywords/>
  <dc:description/>
  <cp:lastModifiedBy>Rachel Bevan (2003799)</cp:lastModifiedBy>
  <cp:revision>95</cp:revision>
  <dcterms:created xsi:type="dcterms:W3CDTF">2021-04-05T15:55:00Z</dcterms:created>
  <dcterms:modified xsi:type="dcterms:W3CDTF">2021-05-04T13:16:00Z</dcterms:modified>
</cp:coreProperties>
</file>