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3F3EF0FE" w:rsidR="00DD5969" w:rsidRPr="00E55212" w:rsidRDefault="00DD5969" w:rsidP="00DD5969">
      <w:pPr>
        <w:spacing w:before="212"/>
        <w:rPr>
          <w:rFonts w:ascii="Arial"/>
          <w:b/>
          <w:sz w:val="40"/>
          <w:szCs w:val="40"/>
          <w:highlight w:val="yellow"/>
        </w:rPr>
      </w:pPr>
      <w:r w:rsidRPr="00E55212">
        <w:rPr>
          <w:rFonts w:ascii="Arial"/>
          <w:b/>
          <w:bCs/>
          <w:sz w:val="48"/>
          <w:szCs w:val="48"/>
        </w:rPr>
        <w:t>MODULE CODE:</w:t>
      </w:r>
      <w:r w:rsidR="095D05C6" w:rsidRPr="00E55212">
        <w:rPr>
          <w:rFonts w:ascii="Arial"/>
          <w:b/>
          <w:bCs/>
          <w:sz w:val="48"/>
          <w:szCs w:val="48"/>
        </w:rPr>
        <w:t xml:space="preserve"> </w:t>
      </w:r>
      <w:r w:rsidR="00545AD7" w:rsidRPr="00E55212">
        <w:rPr>
          <w:rFonts w:ascii="Arial"/>
          <w:b/>
          <w:bCs/>
          <w:sz w:val="40"/>
          <w:szCs w:val="40"/>
        </w:rPr>
        <w:t>EC</w:t>
      </w:r>
      <w:r w:rsidR="00D0262E" w:rsidRPr="00E55212">
        <w:rPr>
          <w:rFonts w:ascii="Arial"/>
          <w:b/>
          <w:bCs/>
          <w:sz w:val="40"/>
          <w:szCs w:val="40"/>
        </w:rPr>
        <w:t>PT600</w:t>
      </w:r>
      <w:r w:rsidR="00E55212" w:rsidRPr="00E55212">
        <w:rPr>
          <w:rFonts w:ascii="Arial"/>
          <w:b/>
          <w:bCs/>
          <w:sz w:val="40"/>
          <w:szCs w:val="40"/>
        </w:rPr>
        <w:t>7</w:t>
      </w:r>
      <w:r w:rsidR="00A6013A" w:rsidRPr="00E55212">
        <w:rPr>
          <w:rFonts w:ascii="Arial"/>
          <w:b/>
          <w:bCs/>
          <w:sz w:val="40"/>
          <w:szCs w:val="40"/>
        </w:rPr>
        <w:t xml:space="preserve"> </w:t>
      </w:r>
    </w:p>
    <w:p w14:paraId="5051A2D5" w14:textId="77777777" w:rsidR="00347EA1" w:rsidRPr="00E55212" w:rsidRDefault="00347EA1" w:rsidP="00DD5969">
      <w:pPr>
        <w:spacing w:before="212"/>
        <w:rPr>
          <w:rFonts w:ascii="Arial"/>
          <w:b/>
          <w:sz w:val="48"/>
          <w:szCs w:val="48"/>
        </w:rPr>
      </w:pPr>
    </w:p>
    <w:p w14:paraId="52D012F0" w14:textId="0D1B7609" w:rsidR="00347EA1" w:rsidRPr="00353860" w:rsidRDefault="00347EA1" w:rsidP="00DD5969">
      <w:pPr>
        <w:spacing w:before="212"/>
        <w:rPr>
          <w:rFonts w:ascii="Arial"/>
          <w:b/>
          <w:sz w:val="40"/>
          <w:szCs w:val="40"/>
          <w:highlight w:val="yellow"/>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5E5B97">
        <w:rPr>
          <w:rFonts w:ascii="Arial"/>
          <w:b/>
          <w:bCs/>
          <w:sz w:val="40"/>
          <w:szCs w:val="40"/>
        </w:rPr>
        <w:t>2</w:t>
      </w:r>
      <w:r w:rsidR="00353860" w:rsidRPr="00353860">
        <w:rPr>
          <w:rFonts w:ascii="Arial"/>
          <w:b/>
          <w:bCs/>
          <w:sz w:val="40"/>
          <w:szCs w:val="40"/>
        </w:rPr>
        <w:t xml:space="preserve"> </w:t>
      </w:r>
      <w:r w:rsidR="00E55212">
        <w:rPr>
          <w:rFonts w:ascii="Arial"/>
          <w:b/>
          <w:bCs/>
          <w:sz w:val="40"/>
          <w:szCs w:val="40"/>
        </w:rPr>
        <w:t>Written Reflection &amp; Peer Review</w:t>
      </w:r>
    </w:p>
    <w:p w14:paraId="6AA1A7DC" w14:textId="77777777" w:rsidR="00DD5969" w:rsidRPr="00353860" w:rsidRDefault="00DD5969" w:rsidP="00DD5969">
      <w:pPr>
        <w:spacing w:before="7"/>
        <w:jc w:val="center"/>
        <w:rPr>
          <w:rFonts w:ascii="Arial"/>
          <w:b/>
          <w:sz w:val="44"/>
        </w:rPr>
      </w:pPr>
    </w:p>
    <w:p w14:paraId="7681432B" w14:textId="78CFED62" w:rsidR="00DD5969" w:rsidRPr="00DD5969" w:rsidRDefault="00DD5969" w:rsidP="00DD5969">
      <w:pPr>
        <w:spacing w:before="3"/>
        <w:rPr>
          <w:rFonts w:ascii="Arial"/>
          <w:b/>
          <w:sz w:val="48"/>
          <w:szCs w:val="48"/>
        </w:rPr>
      </w:pPr>
      <w:r w:rsidRPr="00DD5969">
        <w:rPr>
          <w:rFonts w:ascii="Arial"/>
          <w:b/>
          <w:sz w:val="48"/>
          <w:szCs w:val="48"/>
        </w:rPr>
        <w:t>STUDENT NAME:</w:t>
      </w:r>
      <w:r w:rsidR="00D66307">
        <w:rPr>
          <w:rFonts w:ascii="Arial"/>
          <w:b/>
          <w:sz w:val="48"/>
          <w:szCs w:val="48"/>
        </w:rPr>
        <w:t xml:space="preserve"> Saskia Stocks</w:t>
      </w:r>
    </w:p>
    <w:p w14:paraId="0D16D138" w14:textId="77777777" w:rsidR="00DD5969" w:rsidRPr="00DD5969" w:rsidRDefault="00DD5969" w:rsidP="00DD5969">
      <w:pPr>
        <w:spacing w:before="3"/>
        <w:rPr>
          <w:rFonts w:ascii="Arial"/>
          <w:b/>
          <w:sz w:val="48"/>
          <w:szCs w:val="48"/>
        </w:rPr>
      </w:pPr>
    </w:p>
    <w:p w14:paraId="18107AFF" w14:textId="3C37B53C"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D66307">
        <w:rPr>
          <w:rFonts w:ascii="Arial"/>
          <w:b/>
          <w:sz w:val="48"/>
          <w:szCs w:val="48"/>
        </w:rPr>
        <w:t xml:space="preserve"> 1802572</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2AE1CF9A" w14:textId="5073F5F7" w:rsidR="000C541C" w:rsidRDefault="00E243A8" w:rsidP="00DD5969">
      <w:r w:rsidRPr="00E243A8">
        <w:t xml:space="preserve">I confirm </w:t>
      </w:r>
      <w:r w:rsidR="00C2550A">
        <w:t xml:space="preserve">that </w:t>
      </w:r>
      <w:r w:rsidRPr="00E243A8">
        <w:t>I have copies of my drafts, notes, and other resources I used, which I may be asked to provide in evidenc</w:t>
      </w:r>
      <w:r w:rsidR="00D66307">
        <w:t>e</w:t>
      </w:r>
    </w:p>
    <w:p w14:paraId="780B1567" w14:textId="77777777" w:rsidR="00D66307" w:rsidRDefault="00D66307" w:rsidP="00DD5969"/>
    <w:p w14:paraId="45362BCF" w14:textId="77777777" w:rsidR="00D66307" w:rsidRDefault="00D66307" w:rsidP="00DD5969"/>
    <w:p w14:paraId="64E993A0" w14:textId="77777777" w:rsidR="00D66307" w:rsidRDefault="00D66307" w:rsidP="00DD5969"/>
    <w:p w14:paraId="4BC3E564" w14:textId="77777777" w:rsidR="00D66307" w:rsidRDefault="00D66307" w:rsidP="00DD5969"/>
    <w:p w14:paraId="0C529FA0" w14:textId="77777777" w:rsidR="00D66307" w:rsidRDefault="00D66307" w:rsidP="00DD5969"/>
    <w:p w14:paraId="3899FC45" w14:textId="77777777" w:rsidR="00D66307" w:rsidRDefault="00D66307" w:rsidP="00DD5969"/>
    <w:p w14:paraId="074D265B" w14:textId="77777777" w:rsidR="00D66307" w:rsidRDefault="00D66307" w:rsidP="00DD5969"/>
    <w:p w14:paraId="6506853C" w14:textId="77777777" w:rsidR="00D66307" w:rsidRDefault="00D66307" w:rsidP="00DD5969"/>
    <w:p w14:paraId="11A354F8" w14:textId="77777777" w:rsidR="00D66307" w:rsidRDefault="00D66307" w:rsidP="00DD5969"/>
    <w:p w14:paraId="00514D0E" w14:textId="77777777" w:rsidR="00D66307" w:rsidRDefault="00D66307" w:rsidP="00DD5969"/>
    <w:p w14:paraId="5B9E29CB" w14:textId="77777777" w:rsidR="00D66307" w:rsidRDefault="00D66307" w:rsidP="00DD5969"/>
    <w:p w14:paraId="32E27344" w14:textId="77777777" w:rsidR="00D66307" w:rsidRDefault="00D66307" w:rsidP="00DD5969"/>
    <w:p w14:paraId="4BA46AB4" w14:textId="77777777" w:rsidR="00D66307" w:rsidRDefault="00D66307" w:rsidP="00DD5969"/>
    <w:p w14:paraId="4151E669" w14:textId="77777777" w:rsidR="00D66307" w:rsidRDefault="00D66307" w:rsidP="00DD5969"/>
    <w:p w14:paraId="0EC275B8" w14:textId="77777777" w:rsidR="00D66307" w:rsidRDefault="00D66307" w:rsidP="00DD5969"/>
    <w:p w14:paraId="66E252CD" w14:textId="77777777" w:rsidR="00D66307" w:rsidRDefault="00D66307" w:rsidP="00DD5969"/>
    <w:p w14:paraId="01A0CF07" w14:textId="77777777" w:rsidR="00D66307" w:rsidRDefault="00D66307" w:rsidP="00DD5969"/>
    <w:p w14:paraId="68CA6DB2" w14:textId="77777777" w:rsidR="00D66307" w:rsidRDefault="00D66307" w:rsidP="00DD5969"/>
    <w:p w14:paraId="67FCBDA1" w14:textId="77777777" w:rsidR="00D66307" w:rsidRDefault="00D66307" w:rsidP="00DD5969"/>
    <w:p w14:paraId="36470C0C" w14:textId="77777777" w:rsidR="00D66307" w:rsidRDefault="00D66307" w:rsidP="00DD5969"/>
    <w:p w14:paraId="22336A41" w14:textId="77777777" w:rsidR="00D66307" w:rsidRDefault="00D66307" w:rsidP="00DD5969"/>
    <w:p w14:paraId="3DBF7FD3" w14:textId="414CF450"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lastRenderedPageBreak/>
        <w:t xml:space="preserve">Description </w:t>
      </w:r>
    </w:p>
    <w:p w14:paraId="319F5DA9" w14:textId="25585EA0"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For this module, I was tasked with developing a new curriculum. The curriculum I decided to develop was entitled Gwaith </w:t>
      </w:r>
      <w:r w:rsidR="00BF2743" w:rsidRPr="00B11AC5">
        <w:rPr>
          <w:rFonts w:ascii="Times New Roman" w:hAnsi="Times New Roman" w:cs="Times New Roman"/>
        </w:rPr>
        <w:t>Therap</w:t>
      </w:r>
      <w:r w:rsidR="00275117">
        <w:rPr>
          <w:rFonts w:ascii="Times New Roman" w:hAnsi="Times New Roman" w:cs="Times New Roman"/>
        </w:rPr>
        <w:t>iwtig</w:t>
      </w:r>
      <w:r w:rsidRPr="00B11AC5">
        <w:rPr>
          <w:rFonts w:ascii="Times New Roman" w:hAnsi="Times New Roman" w:cs="Times New Roman"/>
        </w:rPr>
        <w:t xml:space="preserve"> gyda Plant a Phobl Ifanc/</w:t>
      </w:r>
      <w:r w:rsidR="00275117">
        <w:rPr>
          <w:rFonts w:ascii="Times New Roman" w:hAnsi="Times New Roman" w:cs="Times New Roman"/>
        </w:rPr>
        <w:t xml:space="preserve"> </w:t>
      </w:r>
      <w:r w:rsidRPr="00B11AC5">
        <w:rPr>
          <w:rFonts w:ascii="Times New Roman" w:hAnsi="Times New Roman" w:cs="Times New Roman"/>
        </w:rPr>
        <w:t xml:space="preserve">Therapeutic Work with Children and Young People for level 6 students on the Educational Studies course through Welsh. The module aimed to bridge theory and practice through experiential learning, encouraging learners to explore therapeutic principles and techniques through theoretical study and practical application. </w:t>
      </w:r>
    </w:p>
    <w:p w14:paraId="23822C70" w14:textId="7B9E8081"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The curriculum was structured around weekly themes, each with a theory-based and a practice-based session. These included approaches like creative arts therapies, mindfulness, and trauma-informed practice. I aligned the module with Welsh and UK educational standards ensuring best practice. </w:t>
      </w:r>
    </w:p>
    <w:p w14:paraId="53EF7D1C" w14:textId="496BF3B0"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In addition to developing the curriculum, I participated in peer revie</w:t>
      </w:r>
      <w:r w:rsidR="00B11AC5">
        <w:rPr>
          <w:rFonts w:ascii="Times New Roman" w:hAnsi="Times New Roman" w:cs="Times New Roman"/>
        </w:rPr>
        <w:t>w</w:t>
      </w:r>
      <w:r w:rsidRPr="00B11AC5">
        <w:rPr>
          <w:rFonts w:ascii="Times New Roman" w:hAnsi="Times New Roman" w:cs="Times New Roman"/>
        </w:rPr>
        <w:t>. I was asked to provide feedback on three of my peers’ curriculums and received three sets of peer feedback in return. These comments addressed the structure, coherence, alignment with professional standards, and pedagogical strategies within the curriculum development.</w:t>
      </w:r>
    </w:p>
    <w:p w14:paraId="259F6C65" w14:textId="77777777" w:rsidR="00D66307" w:rsidRPr="00B11AC5" w:rsidRDefault="00D66307" w:rsidP="00D66307">
      <w:pPr>
        <w:spacing w:line="360" w:lineRule="auto"/>
        <w:rPr>
          <w:rFonts w:ascii="Times New Roman" w:hAnsi="Times New Roman" w:cs="Times New Roman"/>
        </w:rPr>
      </w:pPr>
    </w:p>
    <w:p w14:paraId="6C0611CD" w14:textId="773B0130"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t>Feelings</w:t>
      </w:r>
    </w:p>
    <w:p w14:paraId="6F364BC9" w14:textId="2DA97DB5"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At the beginning, I felt enthusiastic about designing a module that reflected my interests and values. However, this quickly gave way to feelings of overwhelm as I realised the complexity involved </w:t>
      </w:r>
      <w:r w:rsidRPr="00B11AC5">
        <w:rPr>
          <w:rFonts w:ascii="Times New Roman" w:hAnsi="Times New Roman" w:cs="Times New Roman"/>
          <w:color w:val="000000"/>
        </w:rPr>
        <w:t>(Moghadasi and Keikavoosi-Arani, 2023)</w:t>
      </w:r>
      <w:r w:rsidRPr="00B11AC5">
        <w:rPr>
          <w:rFonts w:ascii="Times New Roman" w:hAnsi="Times New Roman" w:cs="Times New Roman"/>
        </w:rPr>
        <w:t xml:space="preserve">. I underestimated the amount of time and critical thought needed to meet both academic and professional standards. I found it hard to keep track of all the interconnected elements, such as, session content, learning outcomes, assessment methods, and theoretical justifications </w:t>
      </w:r>
      <w:r w:rsidRPr="00B11AC5">
        <w:rPr>
          <w:rFonts w:ascii="Times New Roman" w:hAnsi="Times New Roman" w:cs="Times New Roman"/>
          <w:color w:val="000000"/>
        </w:rPr>
        <w:t>(Sayed Munna and Kalam, 2021)</w:t>
      </w:r>
      <w:r w:rsidRPr="00B11AC5">
        <w:rPr>
          <w:rFonts w:ascii="Times New Roman" w:hAnsi="Times New Roman" w:cs="Times New Roman"/>
        </w:rPr>
        <w:t xml:space="preserve">. </w:t>
      </w:r>
    </w:p>
    <w:p w14:paraId="39FAFDAB" w14:textId="5A48588D"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When it came to reviewing my peer’s work. I felt uncomfortable. I knew how much work had gone into their curriculums, and it didn’t feel natural to review it. I was anxious about being too critical or not critical enough, especially as I lacked confidence in my own submission. Reviewing their work placed me in a role where comparison became prevalent </w:t>
      </w:r>
      <w:r w:rsidRPr="00B11AC5">
        <w:rPr>
          <w:rFonts w:ascii="Times New Roman" w:hAnsi="Times New Roman" w:cs="Times New Roman"/>
          <w:color w:val="000000"/>
        </w:rPr>
        <w:t>(Wei and Liu, 2024).</w:t>
      </w:r>
      <w:r w:rsidRPr="00B11AC5">
        <w:rPr>
          <w:rFonts w:ascii="Times New Roman" w:hAnsi="Times New Roman" w:cs="Times New Roman"/>
        </w:rPr>
        <w:t xml:space="preserve"> </w:t>
      </w:r>
    </w:p>
    <w:p w14:paraId="6CE255B2" w14:textId="7777777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lastRenderedPageBreak/>
        <w:t xml:space="preserve">Receiving feedback on my own work provoked a mix of emotions such as, relief, pride, and self-doubt. While I was pleased with the praise, I also questioned whether the feedback had missed areas I felt uncertain about myself </w:t>
      </w:r>
      <w:r w:rsidRPr="00B11AC5">
        <w:rPr>
          <w:rFonts w:ascii="Times New Roman" w:hAnsi="Times New Roman" w:cs="Times New Roman"/>
          <w:color w:val="000000"/>
        </w:rPr>
        <w:t>(Rowe, 2016)</w:t>
      </w:r>
      <w:r w:rsidRPr="00B11AC5">
        <w:rPr>
          <w:rFonts w:ascii="Times New Roman" w:hAnsi="Times New Roman" w:cs="Times New Roman"/>
        </w:rPr>
        <w:t xml:space="preserve">. </w:t>
      </w:r>
    </w:p>
    <w:p w14:paraId="41FE7FEE" w14:textId="77777777" w:rsidR="00D66307" w:rsidRPr="00B11AC5" w:rsidRDefault="00D66307" w:rsidP="00D66307">
      <w:pPr>
        <w:spacing w:line="360" w:lineRule="auto"/>
        <w:rPr>
          <w:rFonts w:ascii="Times New Roman" w:hAnsi="Times New Roman" w:cs="Times New Roman"/>
        </w:rPr>
      </w:pPr>
    </w:p>
    <w:p w14:paraId="24EAC663" w14:textId="247A0439"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t xml:space="preserve">Evaluation </w:t>
      </w:r>
    </w:p>
    <w:p w14:paraId="196A4883" w14:textId="7800C0DE"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The curriculum development process allowed me to deeply engage with pedagogical theory and apply it in a practical context </w:t>
      </w:r>
      <w:r w:rsidRPr="00B11AC5">
        <w:rPr>
          <w:rFonts w:ascii="Times New Roman" w:hAnsi="Times New Roman" w:cs="Times New Roman"/>
          <w:color w:val="000000"/>
        </w:rPr>
        <w:t>(Sayed Munna and Kalam, 2021)</w:t>
      </w:r>
      <w:r w:rsidRPr="00B11AC5">
        <w:rPr>
          <w:rFonts w:ascii="Times New Roman" w:hAnsi="Times New Roman" w:cs="Times New Roman"/>
        </w:rPr>
        <w:t xml:space="preserve">. I learned how to create measurable learning outcomes, plan coherent progression, and incorporate a mix of teaching strategies suited to therapeutic education. These are skills I will use regularly in planning schemes of work, lesson sequences, and cross-curricular projects in my future teaching role </w:t>
      </w:r>
      <w:r w:rsidRPr="00B11AC5">
        <w:rPr>
          <w:rFonts w:ascii="Times New Roman" w:hAnsi="Times New Roman" w:cs="Times New Roman"/>
          <w:color w:val="000000"/>
        </w:rPr>
        <w:t>(Henderson, 2024).</w:t>
      </w:r>
    </w:p>
    <w:p w14:paraId="689BE91A" w14:textId="4FF3ED66"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Peers described my curriculum as well-structured, inclusive, and thoughtfully aligned with professional and national standards. One reviewer stated that the module showed “expert knowledge of the subject,” while another highlighted the range of active and creative teaching methods. The bilingual, trauma-informed design was also praised as relevant and accessible.</w:t>
      </w:r>
    </w:p>
    <w:p w14:paraId="02940393" w14:textId="5BE73958"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The peer review experience was challenging but professionally valuable. Reading another student’s curriculum helped me better understand how different pedagogical approaches can be structured. It sharpened my eye for coherence and encouraged me to critically think about design and delivery in a way I had not previously thought </w:t>
      </w:r>
      <w:r w:rsidRPr="00B11AC5">
        <w:rPr>
          <w:rFonts w:ascii="Times New Roman" w:hAnsi="Times New Roman" w:cs="Times New Roman"/>
          <w:color w:val="000000"/>
        </w:rPr>
        <w:t>(Jiang et al., 2022).</w:t>
      </w:r>
    </w:p>
    <w:p w14:paraId="0359BF73" w14:textId="7777777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Time management and workload were major challenges. I did not fully appreciate how much research, referencing, and formatting are involved in curriculum design. Trying to maintain academic rigour while embedding therapeutic, relational practice was difficult to balance </w:t>
      </w:r>
      <w:r w:rsidRPr="00B11AC5">
        <w:rPr>
          <w:rFonts w:ascii="Times New Roman" w:hAnsi="Times New Roman" w:cs="Times New Roman"/>
          <w:color w:val="000000"/>
        </w:rPr>
        <w:t>(Atkinson and Kenneally, 2021).</w:t>
      </w:r>
    </w:p>
    <w:p w14:paraId="2512563B" w14:textId="77777777" w:rsidR="00D66307" w:rsidRPr="00B11AC5" w:rsidRDefault="00D66307" w:rsidP="00D66307">
      <w:pPr>
        <w:spacing w:line="360" w:lineRule="auto"/>
        <w:rPr>
          <w:rFonts w:ascii="Times New Roman" w:hAnsi="Times New Roman" w:cs="Times New Roman"/>
        </w:rPr>
      </w:pPr>
    </w:p>
    <w:p w14:paraId="73765567" w14:textId="508FD642"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Giving peer feedback was emotionally difficult. I didn’t want to discourage my peers or misjudge their efforts. I also found that the process of evaluating someone else’s ideas made me more self-critical about my own </w:t>
      </w:r>
      <w:r w:rsidRPr="00B11AC5">
        <w:rPr>
          <w:rFonts w:ascii="Times New Roman" w:hAnsi="Times New Roman" w:cs="Times New Roman"/>
          <w:color w:val="000000"/>
        </w:rPr>
        <w:t>(Wei et al., 2022).</w:t>
      </w:r>
    </w:p>
    <w:p w14:paraId="1DB74575" w14:textId="0F75364A"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When I received my own feedback, I noticed that although they were positive, they are lacking in constructive criticism. This left me without specific direction for improvement. </w:t>
      </w:r>
      <w:r w:rsidRPr="00B11AC5">
        <w:rPr>
          <w:rFonts w:ascii="Times New Roman" w:hAnsi="Times New Roman" w:cs="Times New Roman"/>
        </w:rPr>
        <w:lastRenderedPageBreak/>
        <w:t xml:space="preserve">Still, it taught me that meaningful feedback often requires prompting or </w:t>
      </w:r>
      <w:r w:rsidR="008E2B98" w:rsidRPr="00B11AC5">
        <w:rPr>
          <w:rFonts w:ascii="Times New Roman" w:hAnsi="Times New Roman" w:cs="Times New Roman"/>
        </w:rPr>
        <w:t>an</w:t>
      </w:r>
      <w:r w:rsidRPr="00B11AC5">
        <w:rPr>
          <w:rFonts w:ascii="Times New Roman" w:hAnsi="Times New Roman" w:cs="Times New Roman"/>
        </w:rPr>
        <w:t xml:space="preserve"> </w:t>
      </w:r>
      <w:r w:rsidR="008E2B98" w:rsidRPr="00B11AC5">
        <w:rPr>
          <w:rFonts w:ascii="Times New Roman" w:hAnsi="Times New Roman" w:cs="Times New Roman"/>
        </w:rPr>
        <w:t>in-person</w:t>
      </w:r>
      <w:r w:rsidRPr="00B11AC5">
        <w:rPr>
          <w:rFonts w:ascii="Times New Roman" w:hAnsi="Times New Roman" w:cs="Times New Roman"/>
        </w:rPr>
        <w:t xml:space="preserve"> exchange than a one-off written comment </w:t>
      </w:r>
      <w:r w:rsidRPr="00B11AC5">
        <w:rPr>
          <w:rFonts w:ascii="Times New Roman" w:hAnsi="Times New Roman" w:cs="Times New Roman"/>
          <w:color w:val="000000"/>
        </w:rPr>
        <w:t>(Armengol-Asparó, Mercader and Ion, 2020).</w:t>
      </w:r>
    </w:p>
    <w:p w14:paraId="1AF068B5" w14:textId="77777777" w:rsidR="00D66307" w:rsidRPr="00B11AC5" w:rsidRDefault="00D66307" w:rsidP="00D66307">
      <w:pPr>
        <w:spacing w:line="360" w:lineRule="auto"/>
        <w:rPr>
          <w:rFonts w:ascii="Times New Roman" w:hAnsi="Times New Roman" w:cs="Times New Roman"/>
        </w:rPr>
      </w:pPr>
    </w:p>
    <w:p w14:paraId="1D60587F" w14:textId="391B9465"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t>Analysis</w:t>
      </w:r>
    </w:p>
    <w:p w14:paraId="06D36B26" w14:textId="7218A82D"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Professionally, this process deepened my knowledge of how curriculum design functions as a pedagogical tool. It forced me to consider what It means to be a reflective, inclusive educator who centres learners’ emotional and developmental need</w:t>
      </w:r>
      <w:r w:rsidRPr="00B11AC5">
        <w:rPr>
          <w:rFonts w:ascii="Times New Roman" w:hAnsi="Times New Roman" w:cs="Times New Roman"/>
          <w:color w:val="000000"/>
        </w:rPr>
        <w:t xml:space="preserve"> (Lawrie et al., 2017)</w:t>
      </w:r>
      <w:r w:rsidRPr="00B11AC5">
        <w:rPr>
          <w:rFonts w:ascii="Times New Roman" w:hAnsi="Times New Roman" w:cs="Times New Roman"/>
        </w:rPr>
        <w:t xml:space="preserve">. The bilingual element of the curriculum helped me realise how vital it is to ensure accessibility – not just through language, but through task design, assessment, and delivery format. </w:t>
      </w:r>
    </w:p>
    <w:p w14:paraId="723B35E7" w14:textId="36F8BD1C"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Working with the Welsh Professional Standards, QAA Subject Benchmarks, and trauma-informed principles pushed me to design for multiple levels such as, academic growth, emotional safety, and practical application </w:t>
      </w:r>
      <w:r w:rsidRPr="00B11AC5">
        <w:rPr>
          <w:rFonts w:ascii="Times New Roman" w:hAnsi="Times New Roman" w:cs="Times New Roman"/>
          <w:color w:val="000000"/>
        </w:rPr>
        <w:t>(Poveda-Brotons et al., 2024)</w:t>
      </w:r>
      <w:r w:rsidRPr="00B11AC5">
        <w:rPr>
          <w:rFonts w:ascii="Times New Roman" w:hAnsi="Times New Roman" w:cs="Times New Roman"/>
        </w:rPr>
        <w:t>. I have learned that curriculum development is not just about content, but about context. This has strengthened my ability to design and adapt lessons within broader frameworks, which is essential for my future role as a PCET practitioner.</w:t>
      </w:r>
    </w:p>
    <w:p w14:paraId="648FE09E" w14:textId="7777777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The peer review element taught me about the relational dynamics of assessment. I realised that feedback is not just an academic task- it is emotional, interpersonal and ethical </w:t>
      </w:r>
      <w:r w:rsidRPr="00B11AC5">
        <w:rPr>
          <w:rFonts w:ascii="Times New Roman" w:hAnsi="Times New Roman" w:cs="Times New Roman"/>
          <w:color w:val="000000"/>
        </w:rPr>
        <w:t>(Lamph et al., 2023)</w:t>
      </w:r>
      <w:r w:rsidRPr="00B11AC5">
        <w:rPr>
          <w:rFonts w:ascii="Times New Roman" w:hAnsi="Times New Roman" w:cs="Times New Roman"/>
        </w:rPr>
        <w:t xml:space="preserve">. As a future PCET practitioner, I’ll be constantly navigating this terrain. Whether giving feedback to a level 4 student or a trainee practitioner, I will need to balance rigour with empathy. </w:t>
      </w:r>
    </w:p>
    <w:p w14:paraId="3328C4E6" w14:textId="7777777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Importantly, I also learned that feedback must be specific and actionable to be truly helpful </w:t>
      </w:r>
      <w:r w:rsidRPr="00B11AC5">
        <w:rPr>
          <w:rFonts w:ascii="Times New Roman" w:hAnsi="Times New Roman" w:cs="Times New Roman"/>
          <w:color w:val="000000"/>
        </w:rPr>
        <w:t>(Hattie et al., 2021)</w:t>
      </w:r>
      <w:r w:rsidRPr="00B11AC5">
        <w:rPr>
          <w:rFonts w:ascii="Times New Roman" w:hAnsi="Times New Roman" w:cs="Times New Roman"/>
        </w:rPr>
        <w:t>. The comments I received were affirming but lacked clear suggestions for improvement. However, this also gave me confidence in my work.  The absence of suggestions may reflect that the curriculum meet the key criteria and was well-received.</w:t>
      </w:r>
    </w:p>
    <w:p w14:paraId="7FCC1396" w14:textId="77777777" w:rsidR="00D66307" w:rsidRPr="00B11AC5" w:rsidRDefault="00D66307" w:rsidP="00D66307">
      <w:pPr>
        <w:spacing w:line="360" w:lineRule="auto"/>
        <w:rPr>
          <w:rFonts w:ascii="Times New Roman" w:hAnsi="Times New Roman" w:cs="Times New Roman"/>
        </w:rPr>
      </w:pPr>
    </w:p>
    <w:p w14:paraId="68494857" w14:textId="7F7BB143"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t xml:space="preserve">Conclusion </w:t>
      </w:r>
    </w:p>
    <w:p w14:paraId="042749B2" w14:textId="2BDEA35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Reflecting on the entire process, I see just how much professional learning has taken place. Developing the curriculum taught me about progression, structure, and theory-practice integration. It forced me to consider how national priorities (e.g., trauma-informed education, </w:t>
      </w:r>
      <w:r w:rsidRPr="00B11AC5">
        <w:rPr>
          <w:rFonts w:ascii="Times New Roman" w:hAnsi="Times New Roman" w:cs="Times New Roman"/>
        </w:rPr>
        <w:lastRenderedPageBreak/>
        <w:t xml:space="preserve">bilingualism, and inclusivity) are woven into the classroom – not as add-ons but as core components. </w:t>
      </w:r>
    </w:p>
    <w:p w14:paraId="0A57D386" w14:textId="37202750"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Giving and receiving peer feedback gave me practical experience of something I will be doing regularly in my teaching career such as, offering comments that help learners grow. It also made me conscious of the emotional weight that feedback carries. I now have knowledge that feedback is as much about how it is given as what is said. </w:t>
      </w:r>
    </w:p>
    <w:p w14:paraId="7CBCB866" w14:textId="500616F6"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Although not many changes suggested in the peer feedback,</w:t>
      </w:r>
      <w:r w:rsidR="000F176F">
        <w:rPr>
          <w:rFonts w:ascii="Times New Roman" w:hAnsi="Times New Roman" w:cs="Times New Roman"/>
        </w:rPr>
        <w:t xml:space="preserve"> </w:t>
      </w:r>
      <w:r w:rsidR="000F176F" w:rsidRPr="00B11AC5">
        <w:rPr>
          <w:rFonts w:ascii="Times New Roman" w:hAnsi="Times New Roman" w:cs="Times New Roman"/>
        </w:rPr>
        <w:t>I agree with the feedback from one reviewer that said the key differences between the current module and the proposed revised module could have been outlined.</w:t>
      </w:r>
      <w:r w:rsidRPr="00B11AC5">
        <w:rPr>
          <w:rFonts w:ascii="Times New Roman" w:hAnsi="Times New Roman" w:cs="Times New Roman"/>
        </w:rPr>
        <w:t xml:space="preserve"> I reviewed it thoroughly and I have decided the only change I would make is to include trauma-informed practice as benchmarking rather something that was only mentioned Reviewers highlighted the clarity of the structure, the strong alignment with standards, and the relevance of the assessment tasks. One reviewer mentioned the range of activities and how they would promote engagement and active learning. Given this consistently across three sets of feedback, I feel justified in retaining the original design. </w:t>
      </w:r>
    </w:p>
    <w:p w14:paraId="307D3213" w14:textId="3D90353A"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This experience has reshaped how I think about teaching and assessment. While I do not expect to design full university curricula in my future career, I now understand how to think systematically about planning learning. I will carry this into my lesson planning by designing with outcomes in mind and balancing academic and emotional development </w:t>
      </w:r>
    </w:p>
    <w:p w14:paraId="4DF6E056" w14:textId="7777777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Through the peer review process, I gained clarity on how powerful feedback can be, not just as a learning tool, but as a reflection of the professional values we bring to education. I’ve learned that feedback isn’t about judging, it is about connection, clarity and shared growth. </w:t>
      </w:r>
    </w:p>
    <w:p w14:paraId="6295FECE" w14:textId="77777777" w:rsidR="00D66307" w:rsidRPr="00B11AC5" w:rsidRDefault="00D66307" w:rsidP="00D66307">
      <w:pPr>
        <w:spacing w:line="360" w:lineRule="auto"/>
        <w:rPr>
          <w:rFonts w:ascii="Times New Roman" w:hAnsi="Times New Roman" w:cs="Times New Roman"/>
        </w:rPr>
      </w:pPr>
    </w:p>
    <w:p w14:paraId="1E975987" w14:textId="39C5DF20"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t>Action Plan</w:t>
      </w:r>
    </w:p>
    <w:p w14:paraId="06E2FE38" w14:textId="4337C48D" w:rsidR="00D66307" w:rsidRPr="00B11AC5" w:rsidRDefault="00B11AC5" w:rsidP="00D66307">
      <w:pPr>
        <w:spacing w:line="360" w:lineRule="auto"/>
        <w:rPr>
          <w:rFonts w:ascii="Times New Roman" w:hAnsi="Times New Roman" w:cs="Times New Roman"/>
        </w:rPr>
      </w:pPr>
      <w:r>
        <w:rPr>
          <w:rFonts w:ascii="Times New Roman" w:hAnsi="Times New Roman" w:cs="Times New Roman"/>
        </w:rPr>
        <w:t>My k</w:t>
      </w:r>
      <w:r w:rsidR="00D66307" w:rsidRPr="00B11AC5">
        <w:rPr>
          <w:rFonts w:ascii="Times New Roman" w:hAnsi="Times New Roman" w:cs="Times New Roman"/>
        </w:rPr>
        <w:t>ey goal moving forward is to be less critical on my own work. Throughout this process, I have noticed that I ten</w:t>
      </w:r>
      <w:r w:rsidR="00D66307" w:rsidRPr="00B11AC5">
        <w:rPr>
          <w:rFonts w:ascii="Times New Roman" w:hAnsi="Times New Roman" w:cs="Times New Roman"/>
        </w:rPr>
        <w:t>d</w:t>
      </w:r>
      <w:r w:rsidR="00D66307" w:rsidRPr="00B11AC5">
        <w:rPr>
          <w:rFonts w:ascii="Times New Roman" w:hAnsi="Times New Roman" w:cs="Times New Roman"/>
        </w:rPr>
        <w:t xml:space="preserve"> to focus heavily on what I could have done better, often overlooking the strengths of my planning and feedback. To address this, I will commit to recognising at least one strength in each weekly reflection I write about my teaching practice or assessment practice. I will use feedback from tutors and peers not only as a source of critique, but also as evidence of what I am doing well. This approach is both achievable and necessary to support </w:t>
      </w:r>
      <w:r w:rsidR="00D66307" w:rsidRPr="00B11AC5">
        <w:rPr>
          <w:rFonts w:ascii="Times New Roman" w:hAnsi="Times New Roman" w:cs="Times New Roman"/>
        </w:rPr>
        <w:lastRenderedPageBreak/>
        <w:t xml:space="preserve">my growth to my future learners. I will maintain this approach consistently throughout my teaching career and evaluate its impact at the end of every teaching term. </w:t>
      </w:r>
    </w:p>
    <w:p w14:paraId="1204FE37" w14:textId="2964F44E"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Another goal is to ensure that the feedback I provide to learners is always developmental, not just evaluative. I want to move beyond praise or correction and provide specific, actionable next steps that help learners improve. To do this, I will use structured formation such as “Next time, try” or “To improve this further” in all written and verbal feedback. I will aim to include at least one improvement point in each piece of work marked</w:t>
      </w:r>
      <w:r w:rsidRPr="00B11AC5">
        <w:rPr>
          <w:rFonts w:ascii="Times New Roman" w:hAnsi="Times New Roman" w:cs="Times New Roman"/>
        </w:rPr>
        <w:t xml:space="preserve"> </w:t>
      </w:r>
      <w:r w:rsidRPr="00B11AC5">
        <w:rPr>
          <w:rFonts w:ascii="Times New Roman" w:hAnsi="Times New Roman" w:cs="Times New Roman"/>
          <w:color w:val="000000"/>
        </w:rPr>
        <w:t>(Turnitin, 2023)</w:t>
      </w:r>
      <w:r w:rsidRPr="00B11AC5">
        <w:rPr>
          <w:rFonts w:ascii="Times New Roman" w:hAnsi="Times New Roman" w:cs="Times New Roman"/>
        </w:rPr>
        <w:t xml:space="preserve">. This will be supported by using clear success criteria or marking rubrics, so that my comments remain focused and consistent. I plan to trial this during the last 3 weeks of my placement as I mark the learners’ final submissions and seek mentor feedback on how well I’m supporting learners’ progression through my marking. </w:t>
      </w:r>
    </w:p>
    <w:p w14:paraId="66DCDF0F" w14:textId="3A94239D"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I want to build confidence and competence in giving all forms of feedback, whether to learners, peers, or colleagues. I will practice using feedback models like What Went Well and Even Better If in at least three examples as the next academic year begins, recording how my feedback was received and any student responses</w:t>
      </w:r>
      <w:r w:rsidRPr="00B11AC5">
        <w:rPr>
          <w:rFonts w:ascii="Times New Roman" w:hAnsi="Times New Roman" w:cs="Times New Roman"/>
        </w:rPr>
        <w:t xml:space="preserve"> </w:t>
      </w:r>
      <w:r w:rsidRPr="00B11AC5">
        <w:rPr>
          <w:rFonts w:ascii="Times New Roman" w:hAnsi="Times New Roman" w:cs="Times New Roman"/>
          <w:color w:val="000000"/>
        </w:rPr>
        <w:t>(NSW Government, 2022)</w:t>
      </w:r>
      <w:r w:rsidRPr="00B11AC5">
        <w:rPr>
          <w:rFonts w:ascii="Times New Roman" w:hAnsi="Times New Roman" w:cs="Times New Roman"/>
        </w:rPr>
        <w:t xml:space="preserve">. To support this goal, I will ask a mentor or colleague to informally review my comments and provide feedback on their clarity and usefulness. Developing a reliable and reflective feedback practice is directly relevant to my teaching role, especially as I take on more responsibility for assessing learning ad supporting learner development. I will apply this strategy throughout the next term and revisit it monthly to reflect and refine. </w:t>
      </w:r>
    </w:p>
    <w:p w14:paraId="4266340A" w14:textId="5F7EE4CA" w:rsidR="00D66307" w:rsidRPr="00B11AC5" w:rsidRDefault="00B11AC5" w:rsidP="00D66307">
      <w:pPr>
        <w:spacing w:line="360" w:lineRule="auto"/>
        <w:rPr>
          <w:rFonts w:ascii="Times New Roman" w:hAnsi="Times New Roman" w:cs="Times New Roman"/>
        </w:rPr>
      </w:pPr>
      <w:r>
        <w:rPr>
          <w:rFonts w:ascii="Times New Roman" w:hAnsi="Times New Roman" w:cs="Times New Roman"/>
        </w:rPr>
        <w:t>T</w:t>
      </w:r>
      <w:r w:rsidR="00D66307" w:rsidRPr="00B11AC5">
        <w:rPr>
          <w:rFonts w:ascii="Times New Roman" w:hAnsi="Times New Roman" w:cs="Times New Roman"/>
        </w:rPr>
        <w:t xml:space="preserve">hese goals reflect my commitment to growing as a fair, confident, and supportive PCET practitioner, one who values reflection, constructive dialogue, and learner development at every stage. </w:t>
      </w:r>
    </w:p>
    <w:p w14:paraId="5AB377EA" w14:textId="77777777" w:rsidR="00D66307" w:rsidRPr="00B11AC5" w:rsidRDefault="00D66307" w:rsidP="00DD5969">
      <w:pPr>
        <w:rPr>
          <w:rFonts w:ascii="Times New Roman" w:hAnsi="Times New Roman" w:cs="Times New Roman"/>
        </w:rPr>
      </w:pPr>
    </w:p>
    <w:p w14:paraId="5A3BD8AC" w14:textId="77777777" w:rsidR="00D66307" w:rsidRDefault="00D66307" w:rsidP="00DD5969">
      <w:pPr>
        <w:rPr>
          <w:rFonts w:ascii="Times New Roman" w:hAnsi="Times New Roman" w:cs="Times New Roman"/>
        </w:rPr>
      </w:pPr>
    </w:p>
    <w:p w14:paraId="31120B13" w14:textId="77777777" w:rsidR="000F176F" w:rsidRDefault="000F176F" w:rsidP="00DD5969">
      <w:pPr>
        <w:rPr>
          <w:rFonts w:ascii="Times New Roman" w:hAnsi="Times New Roman" w:cs="Times New Roman"/>
        </w:rPr>
      </w:pPr>
    </w:p>
    <w:p w14:paraId="51C68C61" w14:textId="77777777" w:rsidR="000F176F" w:rsidRDefault="000F176F" w:rsidP="00DD5969">
      <w:pPr>
        <w:rPr>
          <w:rFonts w:ascii="Times New Roman" w:hAnsi="Times New Roman" w:cs="Times New Roman"/>
        </w:rPr>
      </w:pPr>
    </w:p>
    <w:p w14:paraId="42F0642B" w14:textId="77777777" w:rsidR="000F176F" w:rsidRDefault="000F176F" w:rsidP="00DD5969">
      <w:pPr>
        <w:rPr>
          <w:rFonts w:ascii="Times New Roman" w:hAnsi="Times New Roman" w:cs="Times New Roman"/>
        </w:rPr>
      </w:pPr>
    </w:p>
    <w:p w14:paraId="7436D3A1" w14:textId="77777777" w:rsidR="000F176F" w:rsidRDefault="000F176F" w:rsidP="00DD5969">
      <w:pPr>
        <w:rPr>
          <w:rFonts w:ascii="Times New Roman" w:hAnsi="Times New Roman" w:cs="Times New Roman"/>
        </w:rPr>
      </w:pPr>
    </w:p>
    <w:p w14:paraId="1EEC11D9" w14:textId="77777777" w:rsidR="000F176F" w:rsidRDefault="000F176F" w:rsidP="00DD5969">
      <w:pPr>
        <w:rPr>
          <w:rFonts w:ascii="Times New Roman" w:hAnsi="Times New Roman" w:cs="Times New Roman"/>
        </w:rPr>
      </w:pPr>
    </w:p>
    <w:p w14:paraId="71B6429B" w14:textId="77777777" w:rsidR="000F176F" w:rsidRDefault="000F176F" w:rsidP="00DD5969">
      <w:pPr>
        <w:rPr>
          <w:rFonts w:ascii="Times New Roman" w:hAnsi="Times New Roman" w:cs="Times New Roman"/>
        </w:rPr>
      </w:pPr>
    </w:p>
    <w:p w14:paraId="1A78E23F" w14:textId="474014E7" w:rsidR="000F176F" w:rsidRPr="00B11AC5" w:rsidRDefault="000F176F" w:rsidP="000F176F">
      <w:pPr>
        <w:jc w:val="center"/>
        <w:rPr>
          <w:rFonts w:ascii="Times New Roman" w:hAnsi="Times New Roman" w:cs="Times New Roman"/>
        </w:rPr>
      </w:pPr>
      <w:r>
        <w:rPr>
          <w:rFonts w:ascii="Times New Roman" w:hAnsi="Times New Roman" w:cs="Times New Roman"/>
        </w:rPr>
        <w:lastRenderedPageBreak/>
        <w:t>Word Count – 1,646</w:t>
      </w:r>
    </w:p>
    <w:p w14:paraId="643ECF59" w14:textId="77777777" w:rsidR="00D66307" w:rsidRPr="00B11AC5" w:rsidRDefault="00D66307" w:rsidP="00DD5969">
      <w:pPr>
        <w:rPr>
          <w:rFonts w:ascii="Times New Roman" w:hAnsi="Times New Roman" w:cs="Times New Roman"/>
        </w:rPr>
      </w:pPr>
    </w:p>
    <w:p w14:paraId="5D80EDA5" w14:textId="77777777" w:rsidR="00D66307" w:rsidRPr="00B11AC5" w:rsidRDefault="00D66307" w:rsidP="00DD5969">
      <w:pPr>
        <w:rPr>
          <w:rFonts w:ascii="Times New Roman" w:hAnsi="Times New Roman" w:cs="Times New Roman"/>
        </w:rPr>
      </w:pPr>
    </w:p>
    <w:p w14:paraId="78F89943" w14:textId="77777777" w:rsidR="00D66307" w:rsidRDefault="00D66307" w:rsidP="00DD5969">
      <w:pPr>
        <w:rPr>
          <w:rFonts w:ascii="Times New Roman" w:hAnsi="Times New Roman" w:cs="Times New Roman"/>
        </w:rPr>
      </w:pPr>
    </w:p>
    <w:p w14:paraId="6D3211E7" w14:textId="77777777" w:rsidR="000F176F" w:rsidRDefault="000F176F" w:rsidP="00DD5969">
      <w:pPr>
        <w:rPr>
          <w:rFonts w:ascii="Times New Roman" w:hAnsi="Times New Roman" w:cs="Times New Roman"/>
        </w:rPr>
      </w:pPr>
    </w:p>
    <w:p w14:paraId="6CBA0C82" w14:textId="77777777" w:rsidR="000F176F" w:rsidRDefault="000F176F" w:rsidP="00DD5969">
      <w:pPr>
        <w:rPr>
          <w:rFonts w:ascii="Times New Roman" w:hAnsi="Times New Roman" w:cs="Times New Roman"/>
        </w:rPr>
      </w:pPr>
    </w:p>
    <w:p w14:paraId="744F51D0" w14:textId="77777777" w:rsidR="000F176F" w:rsidRDefault="000F176F" w:rsidP="00DD5969">
      <w:pPr>
        <w:rPr>
          <w:rFonts w:ascii="Times New Roman" w:hAnsi="Times New Roman" w:cs="Times New Roman"/>
        </w:rPr>
      </w:pPr>
    </w:p>
    <w:p w14:paraId="5675225A" w14:textId="77777777" w:rsidR="000F176F" w:rsidRDefault="000F176F" w:rsidP="00DD5969">
      <w:pPr>
        <w:rPr>
          <w:rFonts w:ascii="Times New Roman" w:hAnsi="Times New Roman" w:cs="Times New Roman"/>
        </w:rPr>
      </w:pPr>
    </w:p>
    <w:p w14:paraId="17659F7C" w14:textId="77777777" w:rsidR="000F176F" w:rsidRDefault="000F176F" w:rsidP="00DD5969">
      <w:pPr>
        <w:rPr>
          <w:rFonts w:ascii="Times New Roman" w:hAnsi="Times New Roman" w:cs="Times New Roman"/>
        </w:rPr>
      </w:pPr>
    </w:p>
    <w:p w14:paraId="2479D5E4" w14:textId="77777777" w:rsidR="000F176F" w:rsidRDefault="000F176F" w:rsidP="00DD5969">
      <w:pPr>
        <w:rPr>
          <w:rFonts w:ascii="Times New Roman" w:hAnsi="Times New Roman" w:cs="Times New Roman"/>
        </w:rPr>
      </w:pPr>
    </w:p>
    <w:p w14:paraId="743B1FA1" w14:textId="77777777" w:rsidR="000F176F" w:rsidRDefault="000F176F" w:rsidP="00DD5969">
      <w:pPr>
        <w:rPr>
          <w:rFonts w:ascii="Times New Roman" w:hAnsi="Times New Roman" w:cs="Times New Roman"/>
        </w:rPr>
      </w:pPr>
    </w:p>
    <w:p w14:paraId="0361D2AC" w14:textId="77777777" w:rsidR="000F176F" w:rsidRDefault="000F176F" w:rsidP="00DD5969">
      <w:pPr>
        <w:rPr>
          <w:rFonts w:ascii="Times New Roman" w:hAnsi="Times New Roman" w:cs="Times New Roman"/>
        </w:rPr>
      </w:pPr>
    </w:p>
    <w:p w14:paraId="3CFF1A45" w14:textId="77777777" w:rsidR="000F176F" w:rsidRDefault="000F176F" w:rsidP="00DD5969">
      <w:pPr>
        <w:rPr>
          <w:rFonts w:ascii="Times New Roman" w:hAnsi="Times New Roman" w:cs="Times New Roman"/>
        </w:rPr>
      </w:pPr>
    </w:p>
    <w:p w14:paraId="0572C1DC" w14:textId="77777777" w:rsidR="000F176F" w:rsidRDefault="000F176F" w:rsidP="00DD5969">
      <w:pPr>
        <w:rPr>
          <w:rFonts w:ascii="Times New Roman" w:hAnsi="Times New Roman" w:cs="Times New Roman"/>
        </w:rPr>
      </w:pPr>
    </w:p>
    <w:p w14:paraId="4246D03C" w14:textId="77777777" w:rsidR="000F176F" w:rsidRDefault="000F176F" w:rsidP="00DD5969">
      <w:pPr>
        <w:rPr>
          <w:rFonts w:ascii="Times New Roman" w:hAnsi="Times New Roman" w:cs="Times New Roman"/>
        </w:rPr>
      </w:pPr>
    </w:p>
    <w:p w14:paraId="2F02A297" w14:textId="77777777" w:rsidR="000F176F" w:rsidRDefault="000F176F" w:rsidP="00DD5969">
      <w:pPr>
        <w:rPr>
          <w:rFonts w:ascii="Times New Roman" w:hAnsi="Times New Roman" w:cs="Times New Roman"/>
        </w:rPr>
      </w:pPr>
    </w:p>
    <w:p w14:paraId="70FAC30D" w14:textId="77777777" w:rsidR="000F176F" w:rsidRDefault="000F176F" w:rsidP="00DD5969">
      <w:pPr>
        <w:rPr>
          <w:rFonts w:ascii="Times New Roman" w:hAnsi="Times New Roman" w:cs="Times New Roman"/>
        </w:rPr>
      </w:pPr>
    </w:p>
    <w:p w14:paraId="7C58AFC6" w14:textId="77777777" w:rsidR="000F176F" w:rsidRDefault="000F176F" w:rsidP="00DD5969">
      <w:pPr>
        <w:rPr>
          <w:rFonts w:ascii="Times New Roman" w:hAnsi="Times New Roman" w:cs="Times New Roman"/>
        </w:rPr>
      </w:pPr>
    </w:p>
    <w:p w14:paraId="7A1CF676" w14:textId="77777777" w:rsidR="000F176F" w:rsidRDefault="000F176F" w:rsidP="00DD5969">
      <w:pPr>
        <w:rPr>
          <w:rFonts w:ascii="Times New Roman" w:hAnsi="Times New Roman" w:cs="Times New Roman"/>
        </w:rPr>
      </w:pPr>
    </w:p>
    <w:p w14:paraId="4E930868" w14:textId="77777777" w:rsidR="000F176F" w:rsidRDefault="000F176F" w:rsidP="00DD5969">
      <w:pPr>
        <w:rPr>
          <w:rFonts w:ascii="Times New Roman" w:hAnsi="Times New Roman" w:cs="Times New Roman"/>
        </w:rPr>
      </w:pPr>
    </w:p>
    <w:p w14:paraId="65A50567" w14:textId="77777777" w:rsidR="000F176F" w:rsidRDefault="000F176F" w:rsidP="00DD5969">
      <w:pPr>
        <w:rPr>
          <w:rFonts w:ascii="Times New Roman" w:hAnsi="Times New Roman" w:cs="Times New Roman"/>
        </w:rPr>
      </w:pPr>
    </w:p>
    <w:p w14:paraId="088E83F5" w14:textId="77777777" w:rsidR="000F176F" w:rsidRDefault="000F176F" w:rsidP="00DD5969">
      <w:pPr>
        <w:rPr>
          <w:rFonts w:ascii="Times New Roman" w:hAnsi="Times New Roman" w:cs="Times New Roman"/>
        </w:rPr>
      </w:pPr>
    </w:p>
    <w:p w14:paraId="7F5EC6D9" w14:textId="77777777" w:rsidR="000F176F" w:rsidRDefault="000F176F" w:rsidP="00DD5969">
      <w:pPr>
        <w:rPr>
          <w:rFonts w:ascii="Times New Roman" w:hAnsi="Times New Roman" w:cs="Times New Roman"/>
        </w:rPr>
      </w:pPr>
    </w:p>
    <w:p w14:paraId="594EEAE2" w14:textId="77777777" w:rsidR="000F176F" w:rsidRDefault="000F176F" w:rsidP="00DD5969">
      <w:pPr>
        <w:rPr>
          <w:rFonts w:ascii="Times New Roman" w:hAnsi="Times New Roman" w:cs="Times New Roman"/>
        </w:rPr>
      </w:pPr>
    </w:p>
    <w:p w14:paraId="664C9335" w14:textId="77777777" w:rsidR="000F176F" w:rsidRPr="00B11AC5" w:rsidRDefault="000F176F" w:rsidP="00DD5969">
      <w:pPr>
        <w:rPr>
          <w:rFonts w:ascii="Times New Roman" w:hAnsi="Times New Roman" w:cs="Times New Roman"/>
        </w:rPr>
      </w:pPr>
    </w:p>
    <w:p w14:paraId="1D1EF85E" w14:textId="77777777" w:rsidR="00D66307" w:rsidRPr="00B11AC5" w:rsidRDefault="00D66307" w:rsidP="00DD5969">
      <w:pPr>
        <w:rPr>
          <w:rFonts w:ascii="Times New Roman" w:hAnsi="Times New Roman" w:cs="Times New Roman"/>
        </w:rPr>
      </w:pPr>
    </w:p>
    <w:p w14:paraId="25A58E66" w14:textId="77777777" w:rsidR="00B11AC5" w:rsidRPr="00B11AC5" w:rsidRDefault="00B11AC5" w:rsidP="00B11AC5">
      <w:pPr>
        <w:pStyle w:val="Heading1"/>
        <w:spacing w:before="0" w:after="240" w:line="540" w:lineRule="atLeast"/>
        <w:rPr>
          <w:rFonts w:ascii="Times New Roman" w:hAnsi="Times New Roman" w:cs="Times New Roman"/>
          <w:color w:val="000000"/>
          <w:sz w:val="24"/>
          <w:szCs w:val="24"/>
        </w:rPr>
      </w:pPr>
      <w:r w:rsidRPr="00B11AC5">
        <w:rPr>
          <w:rFonts w:ascii="Times New Roman" w:hAnsi="Times New Roman" w:cs="Times New Roman"/>
          <w:color w:val="000000"/>
          <w:sz w:val="24"/>
          <w:szCs w:val="24"/>
        </w:rPr>
        <w:lastRenderedPageBreak/>
        <w:t>Reference list</w:t>
      </w:r>
    </w:p>
    <w:p w14:paraId="5B549467"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Armengol-Asparó, C., Mercader, C. and Ion, G. (2020). Making peer-feedback More efficient: What Conditions of Its Delivery Make the difference?</w:t>
      </w:r>
      <w:r w:rsidRPr="00B11AC5">
        <w:rPr>
          <w:rStyle w:val="apple-converted-space"/>
          <w:rFonts w:eastAsiaTheme="majorEastAsia"/>
          <w:color w:val="000000"/>
        </w:rPr>
        <w:t> </w:t>
      </w:r>
      <w:r w:rsidRPr="00B11AC5">
        <w:rPr>
          <w:i/>
          <w:iCs/>
          <w:color w:val="000000"/>
        </w:rPr>
        <w:t>Higher Education Research &amp; Development</w:t>
      </w:r>
      <w:r w:rsidRPr="00B11AC5">
        <w:rPr>
          <w:color w:val="000000"/>
        </w:rPr>
        <w:t>, [online] 41(2), pp.1–14. doi:https://doi.org/10.1080/07294360.2020.1840527.</w:t>
      </w:r>
    </w:p>
    <w:p w14:paraId="56CE19D8"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Atkinson, C. and Kenneally, O. (2021). A Model for Therapeutic Educational Psychology Practice.</w:t>
      </w:r>
      <w:r w:rsidRPr="00B11AC5">
        <w:rPr>
          <w:rStyle w:val="apple-converted-space"/>
          <w:rFonts w:eastAsiaTheme="majorEastAsia"/>
          <w:color w:val="000000"/>
        </w:rPr>
        <w:t> </w:t>
      </w:r>
      <w:r w:rsidRPr="00B11AC5">
        <w:rPr>
          <w:i/>
          <w:iCs/>
          <w:color w:val="000000"/>
        </w:rPr>
        <w:t>Educational Psychology in Practice</w:t>
      </w:r>
      <w:r w:rsidRPr="00B11AC5">
        <w:rPr>
          <w:color w:val="000000"/>
        </w:rPr>
        <w:t>, [online] 37(3), pp.1–19. doi:https://doi.org/10.1080/02667363.2021.1933393.</w:t>
      </w:r>
    </w:p>
    <w:p w14:paraId="3BC258EC"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Hattie, J., Crivelli, J., Van Gompel, K., West-Smith, P. and Wike, K. (2021). Feedback That Leads to Improvement in Student Essays: Testing the Hypothesis That ‘Where to Next’ Feedback Is Most Powerful.</w:t>
      </w:r>
      <w:r w:rsidRPr="00B11AC5">
        <w:rPr>
          <w:rStyle w:val="apple-converted-space"/>
          <w:rFonts w:eastAsiaTheme="majorEastAsia"/>
          <w:color w:val="000000"/>
        </w:rPr>
        <w:t> </w:t>
      </w:r>
      <w:r w:rsidRPr="00B11AC5">
        <w:rPr>
          <w:i/>
          <w:iCs/>
          <w:color w:val="000000"/>
        </w:rPr>
        <w:t>Frontiers in Education</w:t>
      </w:r>
      <w:r w:rsidRPr="00B11AC5">
        <w:rPr>
          <w:color w:val="000000"/>
        </w:rPr>
        <w:t>, [online] 6(1). doi:https://doi.org/10.3389/feduc.2021.645758.</w:t>
      </w:r>
    </w:p>
    <w:p w14:paraId="29DA2D54"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Henderson, W. (2024).</w:t>
      </w:r>
      <w:r w:rsidRPr="00B11AC5">
        <w:rPr>
          <w:rStyle w:val="apple-converted-space"/>
          <w:rFonts w:eastAsiaTheme="majorEastAsia"/>
          <w:color w:val="000000"/>
        </w:rPr>
        <w:t> </w:t>
      </w:r>
      <w:r w:rsidRPr="00B11AC5">
        <w:rPr>
          <w:i/>
          <w:iCs/>
          <w:color w:val="000000"/>
        </w:rPr>
        <w:t>Effective Teaching</w:t>
      </w:r>
      <w:r w:rsidRPr="00B11AC5">
        <w:rPr>
          <w:color w:val="000000"/>
        </w:rPr>
        <w:t>. Taylor &amp; Francis.</w:t>
      </w:r>
    </w:p>
    <w:p w14:paraId="3209AFF5"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Jiang, J.-P., Hu, J.-Y., Zhang, Y.-B. and Yin, X.-C. (2022). Fostering college students’ critical thinking skills through peer assessment in the knowledge building community.</w:t>
      </w:r>
      <w:r w:rsidRPr="00B11AC5">
        <w:rPr>
          <w:rStyle w:val="apple-converted-space"/>
          <w:rFonts w:eastAsiaTheme="majorEastAsia"/>
          <w:color w:val="000000"/>
        </w:rPr>
        <w:t> </w:t>
      </w:r>
      <w:r w:rsidRPr="00B11AC5">
        <w:rPr>
          <w:i/>
          <w:iCs/>
          <w:color w:val="000000"/>
        </w:rPr>
        <w:t>Interactive Learning Environments</w:t>
      </w:r>
      <w:r w:rsidRPr="00B11AC5">
        <w:rPr>
          <w:color w:val="000000"/>
        </w:rPr>
        <w:t>, [online] 31(10), pp.1–17. doi:https://doi.org/10.1080/10494820.2022.2039949.</w:t>
      </w:r>
    </w:p>
    <w:p w14:paraId="38B00593"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Lamph, G., Nowland, R., Boland, P., Pearson, J., Connell, C., Jones, V., Wildbore, E., Christian, D., Harris, C., Ramsden, J., Kathryn Jane Gardner, Graham‐Kevan, N. and McKeown, M. (2023). Relational Practice in health, education, Criminal justice, and Social care: a Scoping Review.</w:t>
      </w:r>
      <w:r w:rsidRPr="00B11AC5">
        <w:rPr>
          <w:rStyle w:val="apple-converted-space"/>
          <w:rFonts w:eastAsiaTheme="majorEastAsia"/>
          <w:color w:val="000000"/>
        </w:rPr>
        <w:t> </w:t>
      </w:r>
      <w:r w:rsidRPr="00B11AC5">
        <w:rPr>
          <w:i/>
          <w:iCs/>
          <w:color w:val="000000"/>
        </w:rPr>
        <w:t>Systematic Reviews</w:t>
      </w:r>
      <w:r w:rsidRPr="00B11AC5">
        <w:rPr>
          <w:color w:val="000000"/>
        </w:rPr>
        <w:t>, [online] 12(1). doi:https://doi.org/10.1186/s13643-023-02344-9.</w:t>
      </w:r>
    </w:p>
    <w:p w14:paraId="53D29B63"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Lawrie, G., Marquis, E., Fuller, E., Newman, T., Qiu, M., Nomikoudis, M., Roelofs, F. and van Dam, L. (2017). Moving Towards Inclusive Learning and Teaching: A Synthesis of Recent Literature.</w:t>
      </w:r>
      <w:r w:rsidRPr="00B11AC5">
        <w:rPr>
          <w:rStyle w:val="apple-converted-space"/>
          <w:rFonts w:eastAsiaTheme="majorEastAsia"/>
          <w:color w:val="000000"/>
        </w:rPr>
        <w:t> </w:t>
      </w:r>
      <w:r w:rsidRPr="00B11AC5">
        <w:rPr>
          <w:i/>
          <w:iCs/>
          <w:color w:val="000000"/>
        </w:rPr>
        <w:t>Teaching &amp; Learning Inquiry: the ISSOTL Journal</w:t>
      </w:r>
      <w:r w:rsidRPr="00B11AC5">
        <w:rPr>
          <w:color w:val="000000"/>
        </w:rPr>
        <w:t>, [online] 5(1). doi:https://doi.org/10.20343/teachlearninqu.5.1.3.</w:t>
      </w:r>
    </w:p>
    <w:p w14:paraId="51A00DA4"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Moghadasi, J. and Keikavoosi-Arani, L. (2023). Investigating the Factors Influencing Students’ Academic Enthusiasm for a Shift of Paradigm among Education Managers Shaping Academic Pedagogy.</w:t>
      </w:r>
      <w:r w:rsidRPr="00B11AC5">
        <w:rPr>
          <w:rStyle w:val="apple-converted-space"/>
          <w:rFonts w:eastAsiaTheme="majorEastAsia"/>
          <w:color w:val="000000"/>
        </w:rPr>
        <w:t> </w:t>
      </w:r>
      <w:r w:rsidRPr="00B11AC5">
        <w:rPr>
          <w:i/>
          <w:iCs/>
          <w:color w:val="000000"/>
        </w:rPr>
        <w:t>BMC Med Education</w:t>
      </w:r>
      <w:r w:rsidRPr="00B11AC5">
        <w:rPr>
          <w:color w:val="000000"/>
        </w:rPr>
        <w:t>, [online] 23(1). doi:https://doi.org/10.1186/s12909-023-04453-4.</w:t>
      </w:r>
    </w:p>
    <w:p w14:paraId="04381CE8"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NSW Government (2022).</w:t>
      </w:r>
      <w:r w:rsidRPr="00B11AC5">
        <w:rPr>
          <w:rStyle w:val="apple-converted-space"/>
          <w:rFonts w:eastAsiaTheme="majorEastAsia"/>
          <w:color w:val="000000"/>
        </w:rPr>
        <w:t> </w:t>
      </w:r>
      <w:r w:rsidRPr="00B11AC5">
        <w:rPr>
          <w:i/>
          <w:iCs/>
          <w:color w:val="000000"/>
        </w:rPr>
        <w:t>Feedback Practices and Strategies</w:t>
      </w:r>
      <w:r w:rsidRPr="00B11AC5">
        <w:rPr>
          <w:color w:val="000000"/>
        </w:rPr>
        <w:t>. [online] Education. Available at: https://education.nsw.gov.au/teaching-and-learning/professional-learning/teacher-quality-</w:t>
      </w:r>
      <w:r w:rsidRPr="00B11AC5">
        <w:rPr>
          <w:color w:val="000000"/>
        </w:rPr>
        <w:lastRenderedPageBreak/>
        <w:t>and-accreditation/strong-start-great-teachers/refining-practice/feedback-to-students/feedback-practices-and-strategies [Accessed 22 May 2025].</w:t>
      </w:r>
    </w:p>
    <w:p w14:paraId="77B998F7"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Poveda-Brotons, R., Izquierdo, A., Perez-Soto, N., Pozo-Rico, T., Juan-Luis Castejón and Gilar-Corbi, R. (2024). Building paths to success: a multilevel analysis of the effects of an emotional intelligence development program on the academic achievement of future teachers.</w:t>
      </w:r>
      <w:r w:rsidRPr="00B11AC5">
        <w:rPr>
          <w:rStyle w:val="apple-converted-space"/>
          <w:rFonts w:eastAsiaTheme="majorEastAsia"/>
          <w:color w:val="000000"/>
        </w:rPr>
        <w:t> </w:t>
      </w:r>
      <w:r w:rsidRPr="00B11AC5">
        <w:rPr>
          <w:i/>
          <w:iCs/>
          <w:color w:val="000000"/>
        </w:rPr>
        <w:t>Frontiers in Psychology</w:t>
      </w:r>
      <w:r w:rsidRPr="00B11AC5">
        <w:rPr>
          <w:color w:val="000000"/>
        </w:rPr>
        <w:t>, [online] 15(1). doi:https://doi.org/10.3389/fpsyg.2024.1377176.</w:t>
      </w:r>
    </w:p>
    <w:p w14:paraId="262E2DC6"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Rowe, A.D. (2016). Feelings about feedback: the Role of Emotions in Assessment for Learning.</w:t>
      </w:r>
      <w:r w:rsidRPr="00B11AC5">
        <w:rPr>
          <w:rStyle w:val="apple-converted-space"/>
          <w:rFonts w:eastAsiaTheme="majorEastAsia"/>
          <w:color w:val="000000"/>
        </w:rPr>
        <w:t> </w:t>
      </w:r>
      <w:r w:rsidRPr="00B11AC5">
        <w:rPr>
          <w:i/>
          <w:iCs/>
          <w:color w:val="000000"/>
        </w:rPr>
        <w:t>The Enabling Power of Assessment</w:t>
      </w:r>
      <w:r w:rsidRPr="00B11AC5">
        <w:rPr>
          <w:color w:val="000000"/>
        </w:rPr>
        <w:t>, [online] 5(1), pp.159–172. doi:https://doi.org/10.1007/978-981-10-3045-1_11.</w:t>
      </w:r>
    </w:p>
    <w:p w14:paraId="549EC9F0"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Sayed Munna, A. and Kalam, A. (2021). Application of Theories, Principles and Models of Curriculum Design: a Literature Review.</w:t>
      </w:r>
      <w:r w:rsidRPr="00B11AC5">
        <w:rPr>
          <w:rStyle w:val="apple-converted-space"/>
          <w:rFonts w:eastAsiaTheme="majorEastAsia"/>
          <w:color w:val="000000"/>
        </w:rPr>
        <w:t> </w:t>
      </w:r>
      <w:r w:rsidRPr="00B11AC5">
        <w:rPr>
          <w:i/>
          <w:iCs/>
          <w:color w:val="000000"/>
        </w:rPr>
        <w:t>International Journal of Multidisciplinary and Current Educational Research (IJMCER)</w:t>
      </w:r>
      <w:r w:rsidRPr="00B11AC5">
        <w:rPr>
          <w:color w:val="000000"/>
        </w:rPr>
        <w:t>, [online] 3(1). Available at: https://files.eric.ed.gov/fulltext/ED610962.pdf [Accessed 12 May 2025].</w:t>
      </w:r>
    </w:p>
    <w:p w14:paraId="6AB5E130"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Turnitin (2023).</w:t>
      </w:r>
      <w:r w:rsidRPr="00B11AC5">
        <w:rPr>
          <w:rStyle w:val="apple-converted-space"/>
          <w:rFonts w:eastAsiaTheme="majorEastAsia"/>
          <w:color w:val="000000"/>
        </w:rPr>
        <w:t> </w:t>
      </w:r>
      <w:r w:rsidRPr="00B11AC5">
        <w:rPr>
          <w:i/>
          <w:iCs/>
          <w:color w:val="000000"/>
        </w:rPr>
        <w:t>https://www.turnitin.com/blog/constructive-feedback-examples-for-students</w:t>
      </w:r>
      <w:r w:rsidRPr="00B11AC5">
        <w:rPr>
          <w:color w:val="000000"/>
        </w:rPr>
        <w:t>. [online] www.turnitin.com. Available at: https://www.turnitin.com/blog/constructive-feedback-examples-for-students [Accessed 20 May 2025].</w:t>
      </w:r>
    </w:p>
    <w:p w14:paraId="5E8CE8F2"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Wei, W., Cheong, C.M., Zhu, X. and Lu, Q. (2022). Comparing self-reflection and Peer Feedback Practices in an Academic Writing task: a Student self-efficacy Perspective.</w:t>
      </w:r>
      <w:r w:rsidRPr="00B11AC5">
        <w:rPr>
          <w:rStyle w:val="apple-converted-space"/>
          <w:rFonts w:eastAsiaTheme="majorEastAsia"/>
          <w:color w:val="000000"/>
        </w:rPr>
        <w:t> </w:t>
      </w:r>
      <w:r w:rsidRPr="00B11AC5">
        <w:rPr>
          <w:i/>
          <w:iCs/>
          <w:color w:val="000000"/>
        </w:rPr>
        <w:t>Teaching in Higher Education</w:t>
      </w:r>
      <w:r w:rsidRPr="00B11AC5">
        <w:rPr>
          <w:color w:val="000000"/>
        </w:rPr>
        <w:t>, [online] 29(4), pp.1–17. doi:https://doi.org/10.1080/13562517.2022.2042242.</w:t>
      </w:r>
    </w:p>
    <w:p w14:paraId="5ED16514"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Wei, Y. and Liu, D. (2024). Incorporating Peer Feedback in Academic writing: a Systematic Review of Benefits and Challenges.</w:t>
      </w:r>
      <w:r w:rsidRPr="00B11AC5">
        <w:rPr>
          <w:rStyle w:val="apple-converted-space"/>
          <w:rFonts w:eastAsiaTheme="majorEastAsia"/>
          <w:color w:val="000000"/>
        </w:rPr>
        <w:t> </w:t>
      </w:r>
      <w:r w:rsidRPr="00B11AC5">
        <w:rPr>
          <w:i/>
          <w:iCs/>
          <w:color w:val="000000"/>
        </w:rPr>
        <w:t>Frontiers in Psychology</w:t>
      </w:r>
      <w:r w:rsidRPr="00B11AC5">
        <w:rPr>
          <w:color w:val="000000"/>
        </w:rPr>
        <w:t>, [online] 15(1). doi:https://doi.org/10.3389/fpsyg.2024.1506725.</w:t>
      </w:r>
    </w:p>
    <w:p w14:paraId="31BC762D" w14:textId="77777777" w:rsidR="00D66307" w:rsidRDefault="00D66307" w:rsidP="00DD5969">
      <w:pPr>
        <w:rPr>
          <w:rFonts w:ascii="Times New Roman" w:hAnsi="Times New Roman" w:cs="Times New Roman"/>
        </w:rPr>
      </w:pPr>
    </w:p>
    <w:p w14:paraId="40B83E6D" w14:textId="77777777" w:rsidR="00D110F3" w:rsidRDefault="00D110F3" w:rsidP="00DD5969">
      <w:pPr>
        <w:rPr>
          <w:rFonts w:ascii="Times New Roman" w:hAnsi="Times New Roman" w:cs="Times New Roman"/>
        </w:rPr>
      </w:pPr>
    </w:p>
    <w:p w14:paraId="60DB979C" w14:textId="77777777" w:rsidR="00D110F3" w:rsidRDefault="00D110F3" w:rsidP="00DD5969">
      <w:pPr>
        <w:rPr>
          <w:rFonts w:ascii="Times New Roman" w:hAnsi="Times New Roman" w:cs="Times New Roman"/>
        </w:rPr>
      </w:pPr>
    </w:p>
    <w:p w14:paraId="2CDE07D9" w14:textId="77777777" w:rsidR="00D110F3" w:rsidRDefault="00D110F3" w:rsidP="00DD5969">
      <w:pPr>
        <w:rPr>
          <w:rFonts w:ascii="Times New Roman" w:hAnsi="Times New Roman" w:cs="Times New Roman"/>
        </w:rPr>
      </w:pPr>
    </w:p>
    <w:p w14:paraId="133712A1" w14:textId="77777777" w:rsidR="00D110F3" w:rsidRDefault="00D110F3" w:rsidP="00DD5969">
      <w:pPr>
        <w:rPr>
          <w:rFonts w:ascii="Times New Roman" w:hAnsi="Times New Roman" w:cs="Times New Roman"/>
        </w:rPr>
      </w:pPr>
    </w:p>
    <w:p w14:paraId="1A632A4E" w14:textId="77777777" w:rsidR="00D110F3" w:rsidRDefault="00D110F3" w:rsidP="00DD5969">
      <w:pPr>
        <w:rPr>
          <w:rFonts w:ascii="Times New Roman" w:hAnsi="Times New Roman" w:cs="Times New Roman"/>
        </w:rPr>
      </w:pPr>
    </w:p>
    <w:p w14:paraId="54DA36C5" w14:textId="77777777" w:rsidR="00D110F3" w:rsidRDefault="00D110F3" w:rsidP="00DD5969">
      <w:pPr>
        <w:rPr>
          <w:rFonts w:ascii="Times New Roman" w:hAnsi="Times New Roman" w:cs="Times New Roman"/>
        </w:rPr>
      </w:pPr>
    </w:p>
    <w:p w14:paraId="47404B48" w14:textId="77777777" w:rsidR="00D110F3" w:rsidRDefault="00D110F3" w:rsidP="00DD5969">
      <w:pPr>
        <w:rPr>
          <w:rFonts w:ascii="Times New Roman" w:hAnsi="Times New Roman" w:cs="Times New Roman"/>
        </w:rPr>
      </w:pPr>
    </w:p>
    <w:p w14:paraId="510EF6BE" w14:textId="2446646A" w:rsidR="00D110F3" w:rsidRDefault="00D110F3" w:rsidP="00DD5969">
      <w:pPr>
        <w:rPr>
          <w:rFonts w:ascii="Times New Roman" w:hAnsi="Times New Roman" w:cs="Times New Roman"/>
        </w:rPr>
      </w:pPr>
      <w:r>
        <w:rPr>
          <w:rFonts w:ascii="Times New Roman" w:hAnsi="Times New Roman" w:cs="Times New Roman"/>
        </w:rPr>
        <w:lastRenderedPageBreak/>
        <w:t>Appendices</w:t>
      </w:r>
    </w:p>
    <w:p w14:paraId="5231D92F" w14:textId="4383D4E3" w:rsidR="00D110F3" w:rsidRDefault="00D110F3" w:rsidP="00DD5969">
      <w:pPr>
        <w:rPr>
          <w:rFonts w:ascii="Times New Roman" w:hAnsi="Times New Roman" w:cs="Times New Roman"/>
        </w:rPr>
      </w:pPr>
      <w:r w:rsidRPr="00D110F3">
        <w:rPr>
          <w:rFonts w:ascii="Times New Roman" w:hAnsi="Times New Roman" w:cs="Times New Roman"/>
        </w:rPr>
        <w:drawing>
          <wp:inline distT="0" distB="0" distL="0" distR="0" wp14:anchorId="338AEEF8" wp14:editId="09349828">
            <wp:extent cx="5731510" cy="7588885"/>
            <wp:effectExtent l="0" t="0" r="0" b="5715"/>
            <wp:docPr id="1380419863"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19863" name="Picture 1" descr="A paper with text on it&#10;&#10;AI-generated content may be incorrect."/>
                    <pic:cNvPicPr/>
                  </pic:nvPicPr>
                  <pic:blipFill>
                    <a:blip r:embed="rId10"/>
                    <a:stretch>
                      <a:fillRect/>
                    </a:stretch>
                  </pic:blipFill>
                  <pic:spPr>
                    <a:xfrm>
                      <a:off x="0" y="0"/>
                      <a:ext cx="5731510" cy="7588885"/>
                    </a:xfrm>
                    <a:prstGeom prst="rect">
                      <a:avLst/>
                    </a:prstGeom>
                  </pic:spPr>
                </pic:pic>
              </a:graphicData>
            </a:graphic>
          </wp:inline>
        </w:drawing>
      </w:r>
    </w:p>
    <w:p w14:paraId="07E55625" w14:textId="79090678" w:rsidR="00D110F3" w:rsidRDefault="00D110F3" w:rsidP="00DD5969">
      <w:pPr>
        <w:rPr>
          <w:rFonts w:ascii="Times New Roman" w:hAnsi="Times New Roman" w:cs="Times New Roman"/>
        </w:rPr>
      </w:pPr>
      <w:r w:rsidRPr="00D110F3">
        <w:rPr>
          <w:rFonts w:ascii="Times New Roman" w:hAnsi="Times New Roman" w:cs="Times New Roman"/>
        </w:rPr>
        <w:lastRenderedPageBreak/>
        <w:drawing>
          <wp:inline distT="0" distB="0" distL="0" distR="0" wp14:anchorId="6A4A0FDE" wp14:editId="045D6AA3">
            <wp:extent cx="5731510" cy="7588885"/>
            <wp:effectExtent l="0" t="0" r="0" b="5715"/>
            <wp:docPr id="152568311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83115" name="Picture 1" descr="A paper with text on it&#10;&#10;AI-generated content may be incorrect."/>
                    <pic:cNvPicPr/>
                  </pic:nvPicPr>
                  <pic:blipFill>
                    <a:blip r:embed="rId11"/>
                    <a:stretch>
                      <a:fillRect/>
                    </a:stretch>
                  </pic:blipFill>
                  <pic:spPr>
                    <a:xfrm>
                      <a:off x="0" y="0"/>
                      <a:ext cx="5731510" cy="7588885"/>
                    </a:xfrm>
                    <a:prstGeom prst="rect">
                      <a:avLst/>
                    </a:prstGeom>
                  </pic:spPr>
                </pic:pic>
              </a:graphicData>
            </a:graphic>
          </wp:inline>
        </w:drawing>
      </w:r>
    </w:p>
    <w:p w14:paraId="5393150B" w14:textId="033DC430" w:rsidR="00D110F3" w:rsidRDefault="00D110F3" w:rsidP="00DD5969">
      <w:pPr>
        <w:rPr>
          <w:rFonts w:ascii="Times New Roman" w:hAnsi="Times New Roman" w:cs="Times New Roman"/>
        </w:rPr>
      </w:pPr>
    </w:p>
    <w:p w14:paraId="73604498" w14:textId="77777777" w:rsidR="00D110F3" w:rsidRDefault="00D110F3" w:rsidP="00DD5969">
      <w:pPr>
        <w:rPr>
          <w:rFonts w:ascii="Times New Roman" w:hAnsi="Times New Roman" w:cs="Times New Roman"/>
        </w:rPr>
      </w:pPr>
    </w:p>
    <w:p w14:paraId="7BF7F57D" w14:textId="77777777" w:rsidR="00D110F3" w:rsidRDefault="00D110F3" w:rsidP="00DD5969">
      <w:pPr>
        <w:rPr>
          <w:rFonts w:ascii="Times New Roman" w:hAnsi="Times New Roman" w:cs="Times New Roman"/>
        </w:rPr>
      </w:pPr>
    </w:p>
    <w:p w14:paraId="5B346DD5" w14:textId="77777777" w:rsidR="00D110F3" w:rsidRDefault="00D110F3" w:rsidP="00DD5969">
      <w:pPr>
        <w:rPr>
          <w:rFonts w:ascii="Times New Roman" w:hAnsi="Times New Roman" w:cs="Times New Roman"/>
        </w:rPr>
      </w:pPr>
    </w:p>
    <w:p w14:paraId="4732EE3C" w14:textId="6D50DE56" w:rsidR="00D110F3" w:rsidRPr="00B11AC5" w:rsidRDefault="00D110F3" w:rsidP="00DD5969">
      <w:pPr>
        <w:rPr>
          <w:rFonts w:ascii="Times New Roman" w:hAnsi="Times New Roman" w:cs="Times New Roman"/>
        </w:rPr>
      </w:pPr>
      <w:r w:rsidRPr="00D110F3">
        <w:rPr>
          <w:rFonts w:ascii="Times New Roman" w:hAnsi="Times New Roman" w:cs="Times New Roman"/>
        </w:rPr>
        <w:lastRenderedPageBreak/>
        <w:drawing>
          <wp:inline distT="0" distB="0" distL="0" distR="0" wp14:anchorId="37B40BC2" wp14:editId="495139AC">
            <wp:extent cx="5731510" cy="8009255"/>
            <wp:effectExtent l="0" t="0" r="0" b="4445"/>
            <wp:docPr id="197197722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77225" name="Picture 1" descr="A paper with text on it&#10;&#10;AI-generated content may be incorrect."/>
                    <pic:cNvPicPr/>
                  </pic:nvPicPr>
                  <pic:blipFill>
                    <a:blip r:embed="rId12"/>
                    <a:stretch>
                      <a:fillRect/>
                    </a:stretch>
                  </pic:blipFill>
                  <pic:spPr>
                    <a:xfrm>
                      <a:off x="0" y="0"/>
                      <a:ext cx="5731510" cy="8009255"/>
                    </a:xfrm>
                    <a:prstGeom prst="rect">
                      <a:avLst/>
                    </a:prstGeom>
                  </pic:spPr>
                </pic:pic>
              </a:graphicData>
            </a:graphic>
          </wp:inline>
        </w:drawing>
      </w:r>
      <w:r w:rsidRPr="00D110F3">
        <w:rPr>
          <w:noProof/>
        </w:rPr>
        <w:t xml:space="preserve"> </w:t>
      </w:r>
      <w:r w:rsidRPr="00D110F3">
        <w:rPr>
          <w:rFonts w:ascii="Times New Roman" w:hAnsi="Times New Roman" w:cs="Times New Roman"/>
        </w:rPr>
        <w:lastRenderedPageBreak/>
        <w:drawing>
          <wp:inline distT="0" distB="0" distL="0" distR="0" wp14:anchorId="0212D774" wp14:editId="7C6EE8C7">
            <wp:extent cx="5731510" cy="8009255"/>
            <wp:effectExtent l="0" t="0" r="0" b="4445"/>
            <wp:docPr id="141854149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41492" name="Picture 1" descr="A screenshot of a document&#10;&#10;AI-generated content may be incorrect."/>
                    <pic:cNvPicPr/>
                  </pic:nvPicPr>
                  <pic:blipFill>
                    <a:blip r:embed="rId13"/>
                    <a:stretch>
                      <a:fillRect/>
                    </a:stretch>
                  </pic:blipFill>
                  <pic:spPr>
                    <a:xfrm>
                      <a:off x="0" y="0"/>
                      <a:ext cx="5731510" cy="8009255"/>
                    </a:xfrm>
                    <a:prstGeom prst="rect">
                      <a:avLst/>
                    </a:prstGeom>
                  </pic:spPr>
                </pic:pic>
              </a:graphicData>
            </a:graphic>
          </wp:inline>
        </w:drawing>
      </w:r>
      <w:r w:rsidR="0055470D" w:rsidRPr="0055470D">
        <w:rPr>
          <w:noProof/>
        </w:rPr>
        <w:t xml:space="preserve"> </w:t>
      </w:r>
      <w:r w:rsidR="0055470D" w:rsidRPr="0055470D">
        <w:rPr>
          <w:noProof/>
        </w:rPr>
        <w:lastRenderedPageBreak/>
        <w:drawing>
          <wp:inline distT="0" distB="0" distL="0" distR="0" wp14:anchorId="697780BD" wp14:editId="7D8F99CC">
            <wp:extent cx="5739618" cy="8477784"/>
            <wp:effectExtent l="0" t="0" r="1270" b="0"/>
            <wp:docPr id="72140171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01719" name="Picture 1" descr="A close-up of a document&#10;&#10;AI-generated content may be incorrect."/>
                    <pic:cNvPicPr/>
                  </pic:nvPicPr>
                  <pic:blipFill>
                    <a:blip r:embed="rId14"/>
                    <a:stretch>
                      <a:fillRect/>
                    </a:stretch>
                  </pic:blipFill>
                  <pic:spPr>
                    <a:xfrm>
                      <a:off x="0" y="0"/>
                      <a:ext cx="5754518" cy="8499793"/>
                    </a:xfrm>
                    <a:prstGeom prst="rect">
                      <a:avLst/>
                    </a:prstGeom>
                  </pic:spPr>
                </pic:pic>
              </a:graphicData>
            </a:graphic>
          </wp:inline>
        </w:drawing>
      </w:r>
      <w:r w:rsidR="0055470D" w:rsidRPr="0055470D">
        <w:rPr>
          <w:noProof/>
        </w:rPr>
        <w:t xml:space="preserve"> </w:t>
      </w:r>
      <w:r w:rsidR="0055470D" w:rsidRPr="0055470D">
        <w:rPr>
          <w:noProof/>
        </w:rPr>
        <w:lastRenderedPageBreak/>
        <w:drawing>
          <wp:inline distT="0" distB="0" distL="0" distR="0" wp14:anchorId="5E2AD5E3" wp14:editId="1235C8F4">
            <wp:extent cx="5809695" cy="8581292"/>
            <wp:effectExtent l="0" t="0" r="0" b="4445"/>
            <wp:docPr id="1056659945"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59945" name="Picture 1" descr="A close-up of a paper&#10;&#10;AI-generated content may be incorrect."/>
                    <pic:cNvPicPr/>
                  </pic:nvPicPr>
                  <pic:blipFill>
                    <a:blip r:embed="rId15"/>
                    <a:stretch>
                      <a:fillRect/>
                    </a:stretch>
                  </pic:blipFill>
                  <pic:spPr>
                    <a:xfrm>
                      <a:off x="0" y="0"/>
                      <a:ext cx="5824777" cy="8603569"/>
                    </a:xfrm>
                    <a:prstGeom prst="rect">
                      <a:avLst/>
                    </a:prstGeom>
                  </pic:spPr>
                </pic:pic>
              </a:graphicData>
            </a:graphic>
          </wp:inline>
        </w:drawing>
      </w:r>
    </w:p>
    <w:sectPr w:rsidR="00D110F3" w:rsidRPr="00B11A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B5A90" w14:textId="77777777" w:rsidR="00D87241" w:rsidRDefault="00D87241" w:rsidP="00011AB6">
      <w:pPr>
        <w:spacing w:after="0" w:line="240" w:lineRule="auto"/>
      </w:pPr>
      <w:r>
        <w:separator/>
      </w:r>
    </w:p>
  </w:endnote>
  <w:endnote w:type="continuationSeparator" w:id="0">
    <w:p w14:paraId="5A328608" w14:textId="77777777" w:rsidR="00D87241" w:rsidRDefault="00D87241"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1CCE9" w14:textId="77777777" w:rsidR="00D87241" w:rsidRDefault="00D87241" w:rsidP="00011AB6">
      <w:pPr>
        <w:spacing w:after="0" w:line="240" w:lineRule="auto"/>
      </w:pPr>
      <w:r>
        <w:separator/>
      </w:r>
    </w:p>
  </w:footnote>
  <w:footnote w:type="continuationSeparator" w:id="0">
    <w:p w14:paraId="70658BBE" w14:textId="77777777" w:rsidR="00D87241" w:rsidRDefault="00D87241"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7D86"/>
    <w:rsid w:val="00011AB6"/>
    <w:rsid w:val="00051C6A"/>
    <w:rsid w:val="00061BBC"/>
    <w:rsid w:val="00063ADC"/>
    <w:rsid w:val="000A2E17"/>
    <w:rsid w:val="000A470F"/>
    <w:rsid w:val="000C144A"/>
    <w:rsid w:val="000C541C"/>
    <w:rsid w:val="000C68CB"/>
    <w:rsid w:val="000D5B34"/>
    <w:rsid w:val="000F176F"/>
    <w:rsid w:val="0010406A"/>
    <w:rsid w:val="00110DEC"/>
    <w:rsid w:val="001118FB"/>
    <w:rsid w:val="00115538"/>
    <w:rsid w:val="00135DD1"/>
    <w:rsid w:val="00147924"/>
    <w:rsid w:val="00164156"/>
    <w:rsid w:val="001819DF"/>
    <w:rsid w:val="001B086C"/>
    <w:rsid w:val="001C6E70"/>
    <w:rsid w:val="002424D0"/>
    <w:rsid w:val="00262DC1"/>
    <w:rsid w:val="00275117"/>
    <w:rsid w:val="002E3BF2"/>
    <w:rsid w:val="002F243A"/>
    <w:rsid w:val="00301906"/>
    <w:rsid w:val="00302BB1"/>
    <w:rsid w:val="003341DF"/>
    <w:rsid w:val="00347EA1"/>
    <w:rsid w:val="00353860"/>
    <w:rsid w:val="00382546"/>
    <w:rsid w:val="003A4B66"/>
    <w:rsid w:val="003A709B"/>
    <w:rsid w:val="003C0139"/>
    <w:rsid w:val="003D223A"/>
    <w:rsid w:val="00417AB6"/>
    <w:rsid w:val="004D474C"/>
    <w:rsid w:val="0053246E"/>
    <w:rsid w:val="00536CFB"/>
    <w:rsid w:val="00543F5E"/>
    <w:rsid w:val="00545AD7"/>
    <w:rsid w:val="0055470D"/>
    <w:rsid w:val="00584970"/>
    <w:rsid w:val="005A71D9"/>
    <w:rsid w:val="005B4971"/>
    <w:rsid w:val="005B783A"/>
    <w:rsid w:val="005E5B97"/>
    <w:rsid w:val="005F42D0"/>
    <w:rsid w:val="005F7C42"/>
    <w:rsid w:val="0062310A"/>
    <w:rsid w:val="00664B16"/>
    <w:rsid w:val="00673F55"/>
    <w:rsid w:val="006B52C3"/>
    <w:rsid w:val="007203C3"/>
    <w:rsid w:val="00724112"/>
    <w:rsid w:val="007352C0"/>
    <w:rsid w:val="00743752"/>
    <w:rsid w:val="007D3AE1"/>
    <w:rsid w:val="007D6995"/>
    <w:rsid w:val="007D777F"/>
    <w:rsid w:val="007E01E0"/>
    <w:rsid w:val="00803155"/>
    <w:rsid w:val="00814F92"/>
    <w:rsid w:val="00840BEE"/>
    <w:rsid w:val="00851EDB"/>
    <w:rsid w:val="00887A61"/>
    <w:rsid w:val="008D7180"/>
    <w:rsid w:val="008E2B98"/>
    <w:rsid w:val="008F1086"/>
    <w:rsid w:val="009060A0"/>
    <w:rsid w:val="0091355A"/>
    <w:rsid w:val="00917008"/>
    <w:rsid w:val="00926D6E"/>
    <w:rsid w:val="00935B8D"/>
    <w:rsid w:val="009B02E5"/>
    <w:rsid w:val="009B164A"/>
    <w:rsid w:val="00A23D6E"/>
    <w:rsid w:val="00A476E3"/>
    <w:rsid w:val="00A6013A"/>
    <w:rsid w:val="00A93D88"/>
    <w:rsid w:val="00AD7313"/>
    <w:rsid w:val="00AE2AA9"/>
    <w:rsid w:val="00AE3307"/>
    <w:rsid w:val="00B028A8"/>
    <w:rsid w:val="00B053E6"/>
    <w:rsid w:val="00B103B9"/>
    <w:rsid w:val="00B11AC5"/>
    <w:rsid w:val="00B42784"/>
    <w:rsid w:val="00B51B61"/>
    <w:rsid w:val="00B724BB"/>
    <w:rsid w:val="00BE2A35"/>
    <w:rsid w:val="00BE3554"/>
    <w:rsid w:val="00BF2743"/>
    <w:rsid w:val="00C129B8"/>
    <w:rsid w:val="00C24461"/>
    <w:rsid w:val="00C2550A"/>
    <w:rsid w:val="00C4699D"/>
    <w:rsid w:val="00CF32AC"/>
    <w:rsid w:val="00D0262E"/>
    <w:rsid w:val="00D110F3"/>
    <w:rsid w:val="00D24ADF"/>
    <w:rsid w:val="00D26517"/>
    <w:rsid w:val="00D33868"/>
    <w:rsid w:val="00D52247"/>
    <w:rsid w:val="00D66307"/>
    <w:rsid w:val="00D87241"/>
    <w:rsid w:val="00DC55F3"/>
    <w:rsid w:val="00DD5969"/>
    <w:rsid w:val="00E10797"/>
    <w:rsid w:val="00E12EA7"/>
    <w:rsid w:val="00E243A8"/>
    <w:rsid w:val="00E47106"/>
    <w:rsid w:val="00E55212"/>
    <w:rsid w:val="00E6747C"/>
    <w:rsid w:val="00EA0B9A"/>
    <w:rsid w:val="00EA15D1"/>
    <w:rsid w:val="00EA6220"/>
    <w:rsid w:val="00EB204A"/>
    <w:rsid w:val="00EC1771"/>
    <w:rsid w:val="00EC3AD1"/>
    <w:rsid w:val="00ED493B"/>
    <w:rsid w:val="00F8089C"/>
    <w:rsid w:val="00F96C0B"/>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NormalWeb">
    <w:name w:val="Normal (Web)"/>
    <w:basedOn w:val="Normal"/>
    <w:uiPriority w:val="99"/>
    <w:semiHidden/>
    <w:unhideWhenUsed/>
    <w:rsid w:val="00B11AC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11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50894">
      <w:bodyDiv w:val="1"/>
      <w:marLeft w:val="0"/>
      <w:marRight w:val="0"/>
      <w:marTop w:val="0"/>
      <w:marBottom w:val="0"/>
      <w:divBdr>
        <w:top w:val="none" w:sz="0" w:space="0" w:color="auto"/>
        <w:left w:val="none" w:sz="0" w:space="0" w:color="auto"/>
        <w:bottom w:val="none" w:sz="0" w:space="0" w:color="auto"/>
        <w:right w:val="none" w:sz="0" w:space="0" w:color="auto"/>
      </w:divBdr>
      <w:divsChild>
        <w:div w:id="378016186">
          <w:marLeft w:val="0"/>
          <w:marRight w:val="0"/>
          <w:marTop w:val="0"/>
          <w:marBottom w:val="0"/>
          <w:divBdr>
            <w:top w:val="none" w:sz="0" w:space="0" w:color="auto"/>
            <w:left w:val="none" w:sz="0" w:space="0" w:color="auto"/>
            <w:bottom w:val="none" w:sz="0" w:space="0" w:color="auto"/>
            <w:right w:val="none" w:sz="0" w:space="0" w:color="auto"/>
          </w:divBdr>
        </w:div>
      </w:divsChild>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2467</Words>
  <Characters>14066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Saskia Stocks (1802572)</cp:lastModifiedBy>
  <cp:revision>2</cp:revision>
  <dcterms:created xsi:type="dcterms:W3CDTF">2025-05-23T19:39:00Z</dcterms:created>
  <dcterms:modified xsi:type="dcterms:W3CDTF">2025-05-23T19:39:00Z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