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95FD3" w14:textId="77777777" w:rsidR="00E77347" w:rsidRDefault="00E77347" w:rsidP="00841F01">
      <w:pPr>
        <w:spacing w:line="360" w:lineRule="auto"/>
        <w:rPr>
          <w:rFonts w:ascii="Arial" w:hAnsi="Arial" w:cs="Arial"/>
        </w:rPr>
      </w:pPr>
    </w:p>
    <w:p w14:paraId="26C1BF1A" w14:textId="77777777" w:rsidR="00E77347" w:rsidRDefault="00E77347" w:rsidP="00841F01">
      <w:pPr>
        <w:spacing w:line="360" w:lineRule="auto"/>
        <w:rPr>
          <w:rFonts w:ascii="Arial" w:hAnsi="Arial" w:cs="Arial"/>
        </w:rPr>
      </w:pPr>
    </w:p>
    <w:p w14:paraId="5C356170" w14:textId="77777777" w:rsidR="0026733A" w:rsidRPr="0026733A" w:rsidRDefault="0026733A" w:rsidP="0026733A">
      <w:pPr>
        <w:spacing w:line="360" w:lineRule="auto"/>
        <w:rPr>
          <w:rFonts w:ascii="Arial" w:hAnsi="Arial" w:cs="Arial"/>
          <w:b/>
          <w:bCs/>
          <w:sz w:val="36"/>
          <w:szCs w:val="36"/>
        </w:rPr>
      </w:pPr>
      <w:r w:rsidRPr="0026733A">
        <w:rPr>
          <w:rFonts w:ascii="Arial" w:hAnsi="Arial" w:cs="Arial"/>
          <w:b/>
          <w:bCs/>
          <w:sz w:val="36"/>
          <w:szCs w:val="36"/>
        </w:rPr>
        <w:t>Student name: Rosena Lucy</w:t>
      </w:r>
    </w:p>
    <w:p w14:paraId="06E7DE8E" w14:textId="77777777" w:rsidR="0026733A" w:rsidRPr="0026733A" w:rsidRDefault="0026733A" w:rsidP="0026733A">
      <w:pPr>
        <w:spacing w:line="360" w:lineRule="auto"/>
        <w:rPr>
          <w:rFonts w:ascii="Arial" w:hAnsi="Arial" w:cs="Arial"/>
          <w:b/>
          <w:bCs/>
          <w:sz w:val="36"/>
          <w:szCs w:val="36"/>
        </w:rPr>
      </w:pPr>
      <w:r w:rsidRPr="0026733A">
        <w:rPr>
          <w:rFonts w:ascii="Arial" w:hAnsi="Arial" w:cs="Arial"/>
          <w:b/>
          <w:bCs/>
          <w:sz w:val="36"/>
          <w:szCs w:val="36"/>
        </w:rPr>
        <w:t>Student ID number: 2210256</w:t>
      </w:r>
    </w:p>
    <w:p w14:paraId="0851B166" w14:textId="77777777" w:rsidR="0026733A" w:rsidRPr="0026733A" w:rsidRDefault="0026733A" w:rsidP="0026733A">
      <w:pPr>
        <w:spacing w:line="360" w:lineRule="auto"/>
        <w:rPr>
          <w:rFonts w:ascii="Arial" w:hAnsi="Arial" w:cs="Arial"/>
          <w:b/>
          <w:bCs/>
          <w:sz w:val="36"/>
          <w:szCs w:val="36"/>
        </w:rPr>
      </w:pPr>
      <w:r w:rsidRPr="0026733A">
        <w:rPr>
          <w:rFonts w:ascii="Arial" w:hAnsi="Arial" w:cs="Arial"/>
          <w:b/>
          <w:bCs/>
          <w:sz w:val="36"/>
          <w:szCs w:val="36"/>
        </w:rPr>
        <w:t xml:space="preserve">Programme: MSc Public Health and  </w:t>
      </w:r>
      <w:r w:rsidRPr="0026733A">
        <w:rPr>
          <w:rFonts w:ascii="Arial" w:hAnsi="Arial" w:cs="Arial"/>
          <w:b/>
          <w:bCs/>
          <w:sz w:val="36"/>
          <w:szCs w:val="36"/>
        </w:rPr>
        <w:tab/>
      </w:r>
      <w:r w:rsidRPr="0026733A">
        <w:rPr>
          <w:rFonts w:ascii="Arial" w:hAnsi="Arial" w:cs="Arial"/>
          <w:b/>
          <w:bCs/>
          <w:sz w:val="36"/>
          <w:szCs w:val="36"/>
        </w:rPr>
        <w:tab/>
      </w:r>
      <w:r w:rsidRPr="0026733A">
        <w:rPr>
          <w:rFonts w:ascii="Arial" w:hAnsi="Arial" w:cs="Arial"/>
          <w:b/>
          <w:bCs/>
          <w:sz w:val="36"/>
          <w:szCs w:val="36"/>
        </w:rPr>
        <w:tab/>
        <w:t xml:space="preserve">           Care in Practice </w:t>
      </w:r>
    </w:p>
    <w:p w14:paraId="410F584B" w14:textId="77777777" w:rsidR="0026733A" w:rsidRPr="0026733A" w:rsidRDefault="0026733A" w:rsidP="0026733A">
      <w:pPr>
        <w:spacing w:line="360" w:lineRule="auto"/>
        <w:ind w:left="2160" w:hanging="2160"/>
        <w:rPr>
          <w:rFonts w:ascii="Arial" w:hAnsi="Arial" w:cs="Arial"/>
          <w:b/>
          <w:bCs/>
          <w:sz w:val="36"/>
          <w:szCs w:val="36"/>
        </w:rPr>
      </w:pPr>
      <w:r w:rsidRPr="0026733A">
        <w:rPr>
          <w:rFonts w:ascii="Arial" w:hAnsi="Arial" w:cs="Arial"/>
          <w:b/>
          <w:bCs/>
          <w:sz w:val="36"/>
          <w:szCs w:val="36"/>
        </w:rPr>
        <w:t xml:space="preserve">Module: </w:t>
      </w:r>
      <w:r w:rsidRPr="0026733A">
        <w:rPr>
          <w:rFonts w:ascii="Arial" w:hAnsi="Arial" w:cs="Arial"/>
          <w:b/>
          <w:bCs/>
          <w:sz w:val="36"/>
          <w:szCs w:val="36"/>
        </w:rPr>
        <w:tab/>
        <w:t xml:space="preserve"> Quality Assurance and Service Improvements</w:t>
      </w:r>
    </w:p>
    <w:p w14:paraId="04BAFE9B" w14:textId="77777777" w:rsidR="0026733A" w:rsidRPr="0026733A" w:rsidRDefault="0026733A" w:rsidP="0026733A">
      <w:pPr>
        <w:spacing w:before="120" w:after="120"/>
        <w:rPr>
          <w:rFonts w:ascii="Arial" w:eastAsia="Arial" w:hAnsi="Arial" w:cs="Arial"/>
          <w:b/>
          <w:bCs/>
          <w:color w:val="000000" w:themeColor="text1"/>
          <w:sz w:val="36"/>
          <w:szCs w:val="36"/>
        </w:rPr>
      </w:pPr>
      <w:r w:rsidRPr="0026733A">
        <w:rPr>
          <w:rFonts w:ascii="Arial" w:hAnsi="Arial" w:cs="Arial"/>
          <w:b/>
          <w:bCs/>
          <w:sz w:val="36"/>
          <w:szCs w:val="36"/>
        </w:rPr>
        <w:t xml:space="preserve">Module code: </w:t>
      </w:r>
      <w:r w:rsidRPr="0026733A">
        <w:rPr>
          <w:rFonts w:ascii="Arial" w:eastAsia="Arial" w:hAnsi="Arial" w:cs="Arial"/>
          <w:b/>
          <w:bCs/>
          <w:color w:val="000000" w:themeColor="text1"/>
          <w:sz w:val="36"/>
          <w:szCs w:val="36"/>
        </w:rPr>
        <w:t>LCHS7006</w:t>
      </w:r>
    </w:p>
    <w:p w14:paraId="14C62D1E" w14:textId="77777777" w:rsidR="0026733A" w:rsidRPr="0026733A" w:rsidRDefault="0026733A" w:rsidP="0026733A">
      <w:pPr>
        <w:spacing w:before="120" w:after="120"/>
        <w:rPr>
          <w:rFonts w:ascii="Arial" w:eastAsia="Arial" w:hAnsi="Arial" w:cs="Arial"/>
          <w:b/>
          <w:bCs/>
          <w:color w:val="000000" w:themeColor="text1"/>
          <w:sz w:val="36"/>
          <w:szCs w:val="36"/>
        </w:rPr>
      </w:pPr>
    </w:p>
    <w:p w14:paraId="11BDA334" w14:textId="77777777" w:rsidR="0026733A" w:rsidRPr="0026733A" w:rsidRDefault="0026733A" w:rsidP="0026733A">
      <w:pPr>
        <w:spacing w:before="120" w:after="120"/>
        <w:rPr>
          <w:rFonts w:ascii="Arial" w:eastAsia="Arial" w:hAnsi="Arial" w:cs="Arial"/>
          <w:b/>
          <w:sz w:val="36"/>
          <w:szCs w:val="36"/>
        </w:rPr>
      </w:pPr>
      <w:r w:rsidRPr="0026733A">
        <w:rPr>
          <w:rFonts w:ascii="Arial" w:eastAsia="Arial" w:hAnsi="Arial" w:cs="Arial"/>
          <w:b/>
          <w:sz w:val="36"/>
          <w:szCs w:val="36"/>
        </w:rPr>
        <w:t>Assignment Title:</w:t>
      </w:r>
      <w:r w:rsidRPr="0026733A">
        <w:rPr>
          <w:rFonts w:ascii="Arial" w:eastAsia="Arial" w:hAnsi="Arial" w:cs="Arial"/>
          <w:b/>
          <w:bCs/>
          <w:kern w:val="0"/>
          <w:sz w:val="36"/>
          <w:szCs w:val="36"/>
          <w:lang w:eastAsia="en-GB"/>
          <w14:ligatures w14:val="none"/>
        </w:rPr>
        <w:t xml:space="preserve"> </w:t>
      </w:r>
      <w:r w:rsidRPr="0026733A">
        <w:rPr>
          <w:rFonts w:ascii="Arial" w:eastAsia="Arial" w:hAnsi="Arial" w:cs="Arial"/>
          <w:b/>
          <w:bCs/>
          <w:sz w:val="36"/>
          <w:szCs w:val="36"/>
        </w:rPr>
        <w:t xml:space="preserve">Component 2 </w:t>
      </w:r>
    </w:p>
    <w:p w14:paraId="332ACA6C" w14:textId="1E44F188" w:rsidR="0026733A" w:rsidRPr="0026733A" w:rsidRDefault="0026733A" w:rsidP="0026733A">
      <w:pPr>
        <w:spacing w:before="120" w:after="120"/>
        <w:rPr>
          <w:sz w:val="36"/>
          <w:szCs w:val="36"/>
        </w:rPr>
      </w:pPr>
      <w:r>
        <w:rPr>
          <w:rFonts w:ascii="Arial" w:eastAsia="Arial" w:hAnsi="Arial" w:cs="Arial"/>
          <w:b/>
          <w:bCs/>
          <w:sz w:val="36"/>
          <w:szCs w:val="36"/>
        </w:rPr>
        <w:t xml:space="preserve">                               </w:t>
      </w:r>
      <w:r w:rsidRPr="0026733A">
        <w:rPr>
          <w:rFonts w:ascii="Arial" w:eastAsia="Arial" w:hAnsi="Arial" w:cs="Arial"/>
          <w:b/>
          <w:bCs/>
          <w:sz w:val="36"/>
          <w:szCs w:val="36"/>
        </w:rPr>
        <w:t>Service Improvement Report</w:t>
      </w:r>
    </w:p>
    <w:p w14:paraId="0BA4647C" w14:textId="77777777" w:rsidR="0026733A" w:rsidRPr="0026733A" w:rsidRDefault="0026733A" w:rsidP="0026733A">
      <w:pPr>
        <w:spacing w:line="360" w:lineRule="auto"/>
        <w:rPr>
          <w:rFonts w:ascii="Arial" w:hAnsi="Arial" w:cs="Arial"/>
          <w:b/>
          <w:bCs/>
          <w:sz w:val="36"/>
          <w:szCs w:val="36"/>
        </w:rPr>
      </w:pPr>
      <w:r w:rsidRPr="0026733A">
        <w:rPr>
          <w:rFonts w:ascii="Arial" w:hAnsi="Arial" w:cs="Arial"/>
          <w:b/>
          <w:bCs/>
          <w:sz w:val="36"/>
          <w:szCs w:val="36"/>
        </w:rPr>
        <w:t xml:space="preserve">Lecturer: </w:t>
      </w:r>
      <w:r w:rsidRPr="0026733A">
        <w:rPr>
          <w:rFonts w:ascii="Arial" w:hAnsi="Arial" w:cs="Arial"/>
          <w:b/>
          <w:bCs/>
          <w:sz w:val="36"/>
          <w:szCs w:val="36"/>
        </w:rPr>
        <w:tab/>
      </w:r>
      <w:r w:rsidRPr="0026733A">
        <w:rPr>
          <w:rFonts w:ascii="Arial" w:hAnsi="Arial" w:cs="Arial"/>
          <w:b/>
          <w:bCs/>
          <w:sz w:val="36"/>
          <w:szCs w:val="36"/>
        </w:rPr>
        <w:tab/>
        <w:t>Dr Fahad Khan</w:t>
      </w:r>
    </w:p>
    <w:p w14:paraId="6208A5F6" w14:textId="77777777" w:rsidR="00E77347" w:rsidRPr="0026733A" w:rsidRDefault="00E77347" w:rsidP="00841F01">
      <w:pPr>
        <w:spacing w:line="360" w:lineRule="auto"/>
        <w:rPr>
          <w:rFonts w:ascii="Arial" w:hAnsi="Arial" w:cs="Arial"/>
          <w:sz w:val="36"/>
          <w:szCs w:val="36"/>
        </w:rPr>
      </w:pPr>
    </w:p>
    <w:p w14:paraId="56DC9D67" w14:textId="77777777" w:rsidR="00E77347" w:rsidRDefault="00E77347" w:rsidP="00841F01">
      <w:pPr>
        <w:spacing w:line="360" w:lineRule="auto"/>
        <w:rPr>
          <w:rFonts w:ascii="Arial" w:hAnsi="Arial" w:cs="Arial"/>
        </w:rPr>
      </w:pPr>
    </w:p>
    <w:p w14:paraId="5E563F79" w14:textId="77777777" w:rsidR="00E77347" w:rsidRDefault="00E77347" w:rsidP="00841F01">
      <w:pPr>
        <w:spacing w:line="360" w:lineRule="auto"/>
        <w:rPr>
          <w:rFonts w:ascii="Arial" w:hAnsi="Arial" w:cs="Arial"/>
        </w:rPr>
      </w:pPr>
    </w:p>
    <w:p w14:paraId="5D1E7463" w14:textId="77777777" w:rsidR="0026733A" w:rsidRDefault="0026733A" w:rsidP="00841F01">
      <w:pPr>
        <w:spacing w:line="360" w:lineRule="auto"/>
        <w:rPr>
          <w:rFonts w:ascii="Arial" w:hAnsi="Arial" w:cs="Arial"/>
        </w:rPr>
      </w:pPr>
    </w:p>
    <w:p w14:paraId="35A18D6C" w14:textId="77777777" w:rsidR="0026733A" w:rsidRDefault="0026733A" w:rsidP="00841F01">
      <w:pPr>
        <w:spacing w:line="360" w:lineRule="auto"/>
        <w:rPr>
          <w:rFonts w:ascii="Arial" w:hAnsi="Arial" w:cs="Arial"/>
        </w:rPr>
      </w:pPr>
    </w:p>
    <w:p w14:paraId="55A3BE70" w14:textId="77777777" w:rsidR="0026733A" w:rsidRDefault="0026733A" w:rsidP="00841F01">
      <w:pPr>
        <w:spacing w:line="360" w:lineRule="auto"/>
        <w:rPr>
          <w:rFonts w:ascii="Arial" w:hAnsi="Arial" w:cs="Arial"/>
        </w:rPr>
      </w:pPr>
    </w:p>
    <w:p w14:paraId="407EB56B" w14:textId="77777777" w:rsidR="0026733A" w:rsidRDefault="0026733A" w:rsidP="00841F01">
      <w:pPr>
        <w:spacing w:line="360" w:lineRule="auto"/>
        <w:rPr>
          <w:rFonts w:ascii="Arial" w:hAnsi="Arial" w:cs="Arial"/>
        </w:rPr>
      </w:pPr>
    </w:p>
    <w:p w14:paraId="7843CF4E" w14:textId="77777777" w:rsidR="0026733A" w:rsidRDefault="0026733A" w:rsidP="00841F01">
      <w:pPr>
        <w:spacing w:line="360" w:lineRule="auto"/>
        <w:rPr>
          <w:rFonts w:ascii="Arial" w:hAnsi="Arial" w:cs="Arial"/>
        </w:rPr>
      </w:pPr>
    </w:p>
    <w:p w14:paraId="0A319969" w14:textId="77777777" w:rsidR="00E77347" w:rsidRDefault="00E77347" w:rsidP="00841F01">
      <w:pPr>
        <w:spacing w:line="360" w:lineRule="auto"/>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477534036"/>
        <w:docPartObj>
          <w:docPartGallery w:val="Table of Contents"/>
          <w:docPartUnique/>
        </w:docPartObj>
      </w:sdtPr>
      <w:sdtEndPr>
        <w:rPr>
          <w:b/>
          <w:bCs/>
          <w:noProof/>
        </w:rPr>
      </w:sdtEndPr>
      <w:sdtContent>
        <w:p w14:paraId="068D054A" w14:textId="23C25860" w:rsidR="00E77347" w:rsidRDefault="00E77347">
          <w:pPr>
            <w:pStyle w:val="TOCHeading"/>
          </w:pPr>
          <w:r>
            <w:t>Contents</w:t>
          </w:r>
        </w:p>
        <w:p w14:paraId="53461DCC" w14:textId="32A2A0FB" w:rsidR="000A0182" w:rsidRDefault="00E7734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42561" w:history="1">
            <w:r w:rsidR="000A0182" w:rsidRPr="00E72957">
              <w:rPr>
                <w:rStyle w:val="Hyperlink"/>
                <w:rFonts w:ascii="Arial" w:hAnsi="Arial" w:cs="Arial"/>
                <w:b/>
                <w:bCs/>
                <w:noProof/>
              </w:rPr>
              <w:t>1 Introduction</w:t>
            </w:r>
            <w:r w:rsidR="000A0182">
              <w:rPr>
                <w:noProof/>
                <w:webHidden/>
              </w:rPr>
              <w:tab/>
            </w:r>
            <w:r w:rsidR="000A0182">
              <w:rPr>
                <w:noProof/>
                <w:webHidden/>
              </w:rPr>
              <w:fldChar w:fldCharType="begin"/>
            </w:r>
            <w:r w:rsidR="000A0182">
              <w:rPr>
                <w:noProof/>
                <w:webHidden/>
              </w:rPr>
              <w:instrText xml:space="preserve"> PAGEREF _Toc225442561 \h </w:instrText>
            </w:r>
            <w:r w:rsidR="000A0182">
              <w:rPr>
                <w:noProof/>
                <w:webHidden/>
              </w:rPr>
            </w:r>
            <w:r w:rsidR="000A0182">
              <w:rPr>
                <w:noProof/>
                <w:webHidden/>
              </w:rPr>
              <w:fldChar w:fldCharType="separate"/>
            </w:r>
            <w:r w:rsidR="000A0182">
              <w:rPr>
                <w:noProof/>
                <w:webHidden/>
              </w:rPr>
              <w:t>3</w:t>
            </w:r>
            <w:r w:rsidR="000A0182">
              <w:rPr>
                <w:noProof/>
                <w:webHidden/>
              </w:rPr>
              <w:fldChar w:fldCharType="end"/>
            </w:r>
          </w:hyperlink>
        </w:p>
        <w:p w14:paraId="43F1FCF7" w14:textId="291972AB" w:rsidR="000A0182" w:rsidRDefault="000A0182">
          <w:pPr>
            <w:pStyle w:val="TOC2"/>
            <w:tabs>
              <w:tab w:val="right" w:leader="dot" w:pos="9016"/>
            </w:tabs>
            <w:rPr>
              <w:rFonts w:eastAsiaTheme="minorEastAsia"/>
              <w:noProof/>
              <w:lang w:eastAsia="en-GB"/>
            </w:rPr>
          </w:pPr>
          <w:hyperlink w:anchor="_Toc225442562" w:history="1">
            <w:r w:rsidRPr="00E72957">
              <w:rPr>
                <w:rStyle w:val="Hyperlink"/>
                <w:rFonts w:ascii="Arial" w:hAnsi="Arial" w:cs="Arial"/>
                <w:b/>
                <w:bCs/>
                <w:noProof/>
              </w:rPr>
              <w:t>2.1 Donabedian Model Analysis</w:t>
            </w:r>
            <w:r>
              <w:rPr>
                <w:noProof/>
                <w:webHidden/>
              </w:rPr>
              <w:tab/>
            </w:r>
            <w:r>
              <w:rPr>
                <w:noProof/>
                <w:webHidden/>
              </w:rPr>
              <w:fldChar w:fldCharType="begin"/>
            </w:r>
            <w:r>
              <w:rPr>
                <w:noProof/>
                <w:webHidden/>
              </w:rPr>
              <w:instrText xml:space="preserve"> PAGEREF _Toc225442562 \h </w:instrText>
            </w:r>
            <w:r>
              <w:rPr>
                <w:noProof/>
                <w:webHidden/>
              </w:rPr>
            </w:r>
            <w:r>
              <w:rPr>
                <w:noProof/>
                <w:webHidden/>
              </w:rPr>
              <w:fldChar w:fldCharType="separate"/>
            </w:r>
            <w:r>
              <w:rPr>
                <w:noProof/>
                <w:webHidden/>
              </w:rPr>
              <w:t>5</w:t>
            </w:r>
            <w:r>
              <w:rPr>
                <w:noProof/>
                <w:webHidden/>
              </w:rPr>
              <w:fldChar w:fldCharType="end"/>
            </w:r>
          </w:hyperlink>
        </w:p>
        <w:p w14:paraId="3582721D" w14:textId="46E7CCD6" w:rsidR="000A0182" w:rsidRDefault="000A0182">
          <w:pPr>
            <w:pStyle w:val="TOC2"/>
            <w:tabs>
              <w:tab w:val="right" w:leader="dot" w:pos="9016"/>
            </w:tabs>
            <w:rPr>
              <w:rFonts w:eastAsiaTheme="minorEastAsia"/>
              <w:noProof/>
              <w:lang w:eastAsia="en-GB"/>
            </w:rPr>
          </w:pPr>
          <w:hyperlink w:anchor="_Toc225442563" w:history="1">
            <w:r w:rsidRPr="00E72957">
              <w:rPr>
                <w:rStyle w:val="Hyperlink"/>
                <w:rFonts w:ascii="Arial" w:hAnsi="Arial" w:cs="Arial"/>
                <w:b/>
                <w:bCs/>
                <w:noProof/>
              </w:rPr>
              <w:t>2.5  Kotter’s Eight-Step Change Model</w:t>
            </w:r>
            <w:r>
              <w:rPr>
                <w:noProof/>
                <w:webHidden/>
              </w:rPr>
              <w:tab/>
            </w:r>
            <w:r>
              <w:rPr>
                <w:noProof/>
                <w:webHidden/>
              </w:rPr>
              <w:fldChar w:fldCharType="begin"/>
            </w:r>
            <w:r>
              <w:rPr>
                <w:noProof/>
                <w:webHidden/>
              </w:rPr>
              <w:instrText xml:space="preserve"> PAGEREF _Toc225442563 \h </w:instrText>
            </w:r>
            <w:r>
              <w:rPr>
                <w:noProof/>
                <w:webHidden/>
              </w:rPr>
            </w:r>
            <w:r>
              <w:rPr>
                <w:noProof/>
                <w:webHidden/>
              </w:rPr>
              <w:fldChar w:fldCharType="separate"/>
            </w:r>
            <w:r>
              <w:rPr>
                <w:noProof/>
                <w:webHidden/>
              </w:rPr>
              <w:t>10</w:t>
            </w:r>
            <w:r>
              <w:rPr>
                <w:noProof/>
                <w:webHidden/>
              </w:rPr>
              <w:fldChar w:fldCharType="end"/>
            </w:r>
          </w:hyperlink>
        </w:p>
        <w:p w14:paraId="686088F7" w14:textId="282DE294" w:rsidR="000A0182" w:rsidRDefault="000A0182">
          <w:pPr>
            <w:pStyle w:val="TOC2"/>
            <w:tabs>
              <w:tab w:val="right" w:leader="dot" w:pos="9016"/>
            </w:tabs>
            <w:rPr>
              <w:rFonts w:eastAsiaTheme="minorEastAsia"/>
              <w:noProof/>
              <w:lang w:eastAsia="en-GB"/>
            </w:rPr>
          </w:pPr>
          <w:hyperlink w:anchor="_Toc225442564" w:history="1">
            <w:r w:rsidRPr="00E72957">
              <w:rPr>
                <w:rStyle w:val="Hyperlink"/>
                <w:rFonts w:ascii="Arial" w:hAnsi="Arial" w:cs="Arial"/>
                <w:b/>
                <w:bCs/>
                <w:noProof/>
              </w:rPr>
              <w:t>2.6 Applying Kurt Lewin’s Change Model to NHS Governance</w:t>
            </w:r>
            <w:r>
              <w:rPr>
                <w:noProof/>
                <w:webHidden/>
              </w:rPr>
              <w:tab/>
            </w:r>
            <w:r>
              <w:rPr>
                <w:noProof/>
                <w:webHidden/>
              </w:rPr>
              <w:fldChar w:fldCharType="begin"/>
            </w:r>
            <w:r>
              <w:rPr>
                <w:noProof/>
                <w:webHidden/>
              </w:rPr>
              <w:instrText xml:space="preserve"> PAGEREF _Toc225442564 \h </w:instrText>
            </w:r>
            <w:r>
              <w:rPr>
                <w:noProof/>
                <w:webHidden/>
              </w:rPr>
            </w:r>
            <w:r>
              <w:rPr>
                <w:noProof/>
                <w:webHidden/>
              </w:rPr>
              <w:fldChar w:fldCharType="separate"/>
            </w:r>
            <w:r>
              <w:rPr>
                <w:noProof/>
                <w:webHidden/>
              </w:rPr>
              <w:t>11</w:t>
            </w:r>
            <w:r>
              <w:rPr>
                <w:noProof/>
                <w:webHidden/>
              </w:rPr>
              <w:fldChar w:fldCharType="end"/>
            </w:r>
          </w:hyperlink>
        </w:p>
        <w:p w14:paraId="5A73620A" w14:textId="2F053FD1" w:rsidR="000A0182" w:rsidRDefault="000A0182">
          <w:pPr>
            <w:pStyle w:val="TOC2"/>
            <w:tabs>
              <w:tab w:val="right" w:leader="dot" w:pos="9016"/>
            </w:tabs>
            <w:rPr>
              <w:rFonts w:eastAsiaTheme="minorEastAsia"/>
              <w:noProof/>
              <w:lang w:eastAsia="en-GB"/>
            </w:rPr>
          </w:pPr>
          <w:hyperlink w:anchor="_Toc225442565" w:history="1">
            <w:r w:rsidRPr="00E72957">
              <w:rPr>
                <w:rStyle w:val="Hyperlink"/>
                <w:rFonts w:ascii="Arial" w:hAnsi="Arial" w:cs="Arial"/>
                <w:b/>
                <w:bCs/>
                <w:noProof/>
              </w:rPr>
              <w:t>3.0 Recommendations for Strategic Transformation</w:t>
            </w:r>
            <w:r>
              <w:rPr>
                <w:noProof/>
                <w:webHidden/>
              </w:rPr>
              <w:tab/>
            </w:r>
            <w:r>
              <w:rPr>
                <w:noProof/>
                <w:webHidden/>
              </w:rPr>
              <w:fldChar w:fldCharType="begin"/>
            </w:r>
            <w:r>
              <w:rPr>
                <w:noProof/>
                <w:webHidden/>
              </w:rPr>
              <w:instrText xml:space="preserve"> PAGEREF _Toc225442565 \h </w:instrText>
            </w:r>
            <w:r>
              <w:rPr>
                <w:noProof/>
                <w:webHidden/>
              </w:rPr>
            </w:r>
            <w:r>
              <w:rPr>
                <w:noProof/>
                <w:webHidden/>
              </w:rPr>
              <w:fldChar w:fldCharType="separate"/>
            </w:r>
            <w:r>
              <w:rPr>
                <w:noProof/>
                <w:webHidden/>
              </w:rPr>
              <w:t>12</w:t>
            </w:r>
            <w:r>
              <w:rPr>
                <w:noProof/>
                <w:webHidden/>
              </w:rPr>
              <w:fldChar w:fldCharType="end"/>
            </w:r>
          </w:hyperlink>
        </w:p>
        <w:p w14:paraId="17851292" w14:textId="518D25A7" w:rsidR="000A0182" w:rsidRDefault="000A0182">
          <w:pPr>
            <w:pStyle w:val="TOC2"/>
            <w:tabs>
              <w:tab w:val="right" w:leader="dot" w:pos="9016"/>
            </w:tabs>
            <w:rPr>
              <w:rFonts w:eastAsiaTheme="minorEastAsia"/>
              <w:noProof/>
              <w:lang w:eastAsia="en-GB"/>
            </w:rPr>
          </w:pPr>
          <w:hyperlink w:anchor="_Toc225442566" w:history="1">
            <w:r w:rsidRPr="00E72957">
              <w:rPr>
                <w:rStyle w:val="Hyperlink"/>
                <w:rFonts w:ascii="Arial" w:hAnsi="Arial" w:cs="Arial"/>
                <w:b/>
                <w:bCs/>
                <w:noProof/>
              </w:rPr>
              <w:t>4.0 Benchmark</w:t>
            </w:r>
            <w:r>
              <w:rPr>
                <w:noProof/>
                <w:webHidden/>
              </w:rPr>
              <w:tab/>
            </w:r>
            <w:r>
              <w:rPr>
                <w:noProof/>
                <w:webHidden/>
              </w:rPr>
              <w:fldChar w:fldCharType="begin"/>
            </w:r>
            <w:r>
              <w:rPr>
                <w:noProof/>
                <w:webHidden/>
              </w:rPr>
              <w:instrText xml:space="preserve"> PAGEREF _Toc225442566 \h </w:instrText>
            </w:r>
            <w:r>
              <w:rPr>
                <w:noProof/>
                <w:webHidden/>
              </w:rPr>
            </w:r>
            <w:r>
              <w:rPr>
                <w:noProof/>
                <w:webHidden/>
              </w:rPr>
              <w:fldChar w:fldCharType="separate"/>
            </w:r>
            <w:r>
              <w:rPr>
                <w:noProof/>
                <w:webHidden/>
              </w:rPr>
              <w:t>15</w:t>
            </w:r>
            <w:r>
              <w:rPr>
                <w:noProof/>
                <w:webHidden/>
              </w:rPr>
              <w:fldChar w:fldCharType="end"/>
            </w:r>
          </w:hyperlink>
        </w:p>
        <w:p w14:paraId="672624F5" w14:textId="7176152B" w:rsidR="000A0182" w:rsidRDefault="000A0182">
          <w:pPr>
            <w:pStyle w:val="TOC2"/>
            <w:tabs>
              <w:tab w:val="right" w:leader="dot" w:pos="9016"/>
            </w:tabs>
            <w:rPr>
              <w:rFonts w:eastAsiaTheme="minorEastAsia"/>
              <w:noProof/>
              <w:lang w:eastAsia="en-GB"/>
            </w:rPr>
          </w:pPr>
          <w:hyperlink w:anchor="_Toc225442567" w:history="1">
            <w:r w:rsidRPr="00E72957">
              <w:rPr>
                <w:rStyle w:val="Hyperlink"/>
                <w:rFonts w:ascii="Arial" w:hAnsi="Arial" w:cs="Arial"/>
                <w:b/>
                <w:bCs/>
                <w:noProof/>
              </w:rPr>
              <w:t>6.0 Reference List</w:t>
            </w:r>
            <w:r>
              <w:rPr>
                <w:noProof/>
                <w:webHidden/>
              </w:rPr>
              <w:tab/>
            </w:r>
            <w:r>
              <w:rPr>
                <w:noProof/>
                <w:webHidden/>
              </w:rPr>
              <w:fldChar w:fldCharType="begin"/>
            </w:r>
            <w:r>
              <w:rPr>
                <w:noProof/>
                <w:webHidden/>
              </w:rPr>
              <w:instrText xml:space="preserve"> PAGEREF _Toc225442567 \h </w:instrText>
            </w:r>
            <w:r>
              <w:rPr>
                <w:noProof/>
                <w:webHidden/>
              </w:rPr>
            </w:r>
            <w:r>
              <w:rPr>
                <w:noProof/>
                <w:webHidden/>
              </w:rPr>
              <w:fldChar w:fldCharType="separate"/>
            </w:r>
            <w:r>
              <w:rPr>
                <w:noProof/>
                <w:webHidden/>
              </w:rPr>
              <w:t>18</w:t>
            </w:r>
            <w:r>
              <w:rPr>
                <w:noProof/>
                <w:webHidden/>
              </w:rPr>
              <w:fldChar w:fldCharType="end"/>
            </w:r>
          </w:hyperlink>
        </w:p>
        <w:p w14:paraId="6B108A0C" w14:textId="3D64B481" w:rsidR="00E77347" w:rsidRDefault="00E77347">
          <w:r>
            <w:rPr>
              <w:b/>
              <w:bCs/>
              <w:noProof/>
            </w:rPr>
            <w:fldChar w:fldCharType="end"/>
          </w:r>
        </w:p>
      </w:sdtContent>
    </w:sdt>
    <w:p w14:paraId="5CF7D4DD" w14:textId="77777777" w:rsidR="00D723C1" w:rsidRDefault="00AB7A3C" w:rsidP="00544294">
      <w:pPr>
        <w:spacing w:line="360" w:lineRule="auto"/>
        <w:jc w:val="both"/>
      </w:pPr>
      <w:r w:rsidRPr="00E77347">
        <w:rPr>
          <w:rFonts w:ascii="Arial" w:hAnsi="Arial" w:cs="Arial"/>
          <w:b/>
          <w:bCs/>
        </w:rPr>
        <w:t>Executive Summary</w:t>
      </w:r>
      <w:r w:rsidR="00192BC2">
        <w:rPr>
          <w:rFonts w:ascii="Arial" w:hAnsi="Arial" w:cs="Arial"/>
          <w:b/>
          <w:bCs/>
        </w:rPr>
        <w:t>:</w:t>
      </w:r>
      <w:r w:rsidR="00D723C1" w:rsidRPr="00D723C1">
        <w:t xml:space="preserve"> </w:t>
      </w:r>
    </w:p>
    <w:p w14:paraId="0AE24700" w14:textId="0EF4D8F8" w:rsidR="00E77347" w:rsidRPr="00E77347" w:rsidRDefault="00D723C1" w:rsidP="00544294">
      <w:pPr>
        <w:spacing w:line="360" w:lineRule="auto"/>
        <w:jc w:val="both"/>
        <w:rPr>
          <w:rFonts w:ascii="Arial" w:hAnsi="Arial" w:cs="Arial"/>
          <w:b/>
          <w:bCs/>
        </w:rPr>
      </w:pPr>
      <w:r w:rsidRPr="00D723C1">
        <w:rPr>
          <w:rFonts w:ascii="Arial" w:hAnsi="Arial" w:cs="Arial"/>
          <w:b/>
          <w:bCs/>
        </w:rPr>
        <w:t xml:space="preserve">Component 2 </w:t>
      </w:r>
      <w:r>
        <w:rPr>
          <w:rFonts w:ascii="Arial" w:hAnsi="Arial" w:cs="Arial"/>
          <w:b/>
          <w:bCs/>
        </w:rPr>
        <w:t xml:space="preserve"> </w:t>
      </w:r>
      <w:r w:rsidRPr="00D723C1">
        <w:rPr>
          <w:rFonts w:ascii="Arial" w:hAnsi="Arial" w:cs="Arial"/>
          <w:b/>
          <w:bCs/>
        </w:rPr>
        <w:t>Service Improvement Report</w:t>
      </w:r>
      <w:r w:rsidR="001432B8">
        <w:rPr>
          <w:rFonts w:ascii="Arial" w:hAnsi="Arial" w:cs="Arial"/>
          <w:b/>
          <w:bCs/>
        </w:rPr>
        <w:t>:</w:t>
      </w:r>
      <w:r w:rsidR="001432B8" w:rsidRPr="001432B8">
        <w:t xml:space="preserve"> </w:t>
      </w:r>
      <w:r w:rsidR="001432B8" w:rsidRPr="001432B8">
        <w:rPr>
          <w:rFonts w:ascii="Arial" w:hAnsi="Arial" w:cs="Arial"/>
          <w:b/>
          <w:bCs/>
        </w:rPr>
        <w:t>The Infected Blood Scandal (1970–1991)</w:t>
      </w:r>
    </w:p>
    <w:p w14:paraId="30956EA5" w14:textId="77777777" w:rsidR="00AB7A3C" w:rsidRPr="00AB7A3C" w:rsidRDefault="00AB7A3C" w:rsidP="00544294">
      <w:pPr>
        <w:spacing w:line="360" w:lineRule="auto"/>
        <w:jc w:val="both"/>
        <w:rPr>
          <w:rFonts w:ascii="Arial" w:hAnsi="Arial" w:cs="Arial"/>
        </w:rPr>
      </w:pPr>
      <w:r w:rsidRPr="00AB7A3C">
        <w:rPr>
          <w:rFonts w:ascii="Arial" w:hAnsi="Arial" w:cs="Arial"/>
        </w:rPr>
        <w:t>The Infected Blood Scandal (1970–1991) represents the most catastrophic systemic failure in the history of the National Health Service (NHS), characterised by a profound breakdown in clinical governance, ethical stewardship, and patient safety protocols. This report provides a forensic service improvement analysis of the crisis, which resulted in the infection of over 30,000 individuals with HIV and Hepatitis C (HCV), leading to approximately 3,000 deaths and an estimated £11.8 billion in state compensation liabilities (Infected Blood Inquiry, 2024).</w:t>
      </w:r>
    </w:p>
    <w:p w14:paraId="6FC28F53" w14:textId="77777777" w:rsidR="00AB7A3C" w:rsidRPr="00AB7A3C" w:rsidRDefault="00AB7A3C" w:rsidP="00544294">
      <w:pPr>
        <w:spacing w:line="360" w:lineRule="auto"/>
        <w:jc w:val="both"/>
        <w:rPr>
          <w:rFonts w:ascii="Arial" w:hAnsi="Arial" w:cs="Arial"/>
        </w:rPr>
      </w:pPr>
      <w:r w:rsidRPr="00AB7A3C">
        <w:rPr>
          <w:rFonts w:ascii="Arial" w:hAnsi="Arial" w:cs="Arial"/>
        </w:rPr>
        <w:t>Utilising a multi-dimensional theoretical framework, the report deconstructs the root causes of this governance collapse:</w:t>
      </w:r>
    </w:p>
    <w:p w14:paraId="160145C3" w14:textId="101C3AE0" w:rsidR="00AB7A3C" w:rsidRPr="00AB7A3C" w:rsidRDefault="00AB7A3C" w:rsidP="00544294">
      <w:pPr>
        <w:spacing w:line="360" w:lineRule="auto"/>
        <w:jc w:val="both"/>
        <w:rPr>
          <w:rFonts w:ascii="Arial" w:hAnsi="Arial" w:cs="Arial"/>
        </w:rPr>
      </w:pPr>
      <w:r w:rsidRPr="0081681A">
        <w:rPr>
          <w:rFonts w:ascii="Arial" w:hAnsi="Arial" w:cs="Arial"/>
          <w:b/>
          <w:bCs/>
        </w:rPr>
        <w:t>The Donabedian Model</w:t>
      </w:r>
      <w:r w:rsidRPr="00AB7A3C">
        <w:rPr>
          <w:rFonts w:ascii="Arial" w:hAnsi="Arial" w:cs="Arial"/>
        </w:rPr>
        <w:t xml:space="preserve"> reveals critical structural deficiencies</w:t>
      </w:r>
      <w:r w:rsidR="0081681A">
        <w:rPr>
          <w:rFonts w:ascii="Arial" w:hAnsi="Arial" w:cs="Arial"/>
        </w:rPr>
        <w:t xml:space="preserve">, </w:t>
      </w:r>
      <w:r w:rsidRPr="00AB7A3C">
        <w:rPr>
          <w:rFonts w:ascii="Arial" w:hAnsi="Arial" w:cs="Arial"/>
        </w:rPr>
        <w:t>specifically the UK’s failure to achieve plasma self-sufficiency</w:t>
      </w:r>
      <w:r w:rsidR="0081681A">
        <w:rPr>
          <w:rFonts w:ascii="Arial" w:hAnsi="Arial" w:cs="Arial"/>
        </w:rPr>
        <w:t xml:space="preserve">, </w:t>
      </w:r>
      <w:r w:rsidRPr="00AB7A3C">
        <w:rPr>
          <w:rFonts w:ascii="Arial" w:hAnsi="Arial" w:cs="Arial"/>
        </w:rPr>
        <w:t>and process failures in risk screening and informed patient consent.</w:t>
      </w:r>
    </w:p>
    <w:p w14:paraId="49DDFED0" w14:textId="77777777" w:rsidR="00AB7A3C" w:rsidRPr="00AB7A3C" w:rsidRDefault="00AB7A3C" w:rsidP="00544294">
      <w:pPr>
        <w:spacing w:line="360" w:lineRule="auto"/>
        <w:jc w:val="both"/>
        <w:rPr>
          <w:rFonts w:ascii="Arial" w:hAnsi="Arial" w:cs="Arial"/>
        </w:rPr>
      </w:pPr>
      <w:r w:rsidRPr="0081681A">
        <w:rPr>
          <w:rFonts w:ascii="Arial" w:hAnsi="Arial" w:cs="Arial"/>
          <w:b/>
          <w:bCs/>
        </w:rPr>
        <w:t>Fishbone (Ishikawa)</w:t>
      </w:r>
      <w:r w:rsidRPr="00AB7A3C">
        <w:rPr>
          <w:rFonts w:ascii="Arial" w:hAnsi="Arial" w:cs="Arial"/>
        </w:rPr>
        <w:t xml:space="preserve"> Analysis identifies a "catalogue of failures" across policy, workforce, and organisational culture, underpinned by institutional defensiveness and a "chilling" lack of transparency.</w:t>
      </w:r>
    </w:p>
    <w:p w14:paraId="64855B82" w14:textId="77777777" w:rsidR="00AB7A3C" w:rsidRPr="00AB7A3C" w:rsidRDefault="00AB7A3C" w:rsidP="00544294">
      <w:pPr>
        <w:spacing w:line="360" w:lineRule="auto"/>
        <w:jc w:val="both"/>
        <w:rPr>
          <w:rFonts w:ascii="Arial" w:hAnsi="Arial" w:cs="Arial"/>
        </w:rPr>
      </w:pPr>
      <w:r w:rsidRPr="0081681A">
        <w:rPr>
          <w:rFonts w:ascii="Arial" w:hAnsi="Arial" w:cs="Arial"/>
          <w:b/>
          <w:bCs/>
        </w:rPr>
        <w:t>SWOT</w:t>
      </w:r>
      <w:r w:rsidRPr="00AB7A3C">
        <w:rPr>
          <w:rFonts w:ascii="Arial" w:hAnsi="Arial" w:cs="Arial"/>
        </w:rPr>
        <w:t xml:space="preserve"> and </w:t>
      </w:r>
      <w:r w:rsidRPr="0081681A">
        <w:rPr>
          <w:rFonts w:ascii="Arial" w:hAnsi="Arial" w:cs="Arial"/>
          <w:b/>
          <w:bCs/>
        </w:rPr>
        <w:t>Five Whys</w:t>
      </w:r>
      <w:r w:rsidRPr="00AB7A3C">
        <w:rPr>
          <w:rFonts w:ascii="Arial" w:hAnsi="Arial" w:cs="Arial"/>
        </w:rPr>
        <w:t xml:space="preserve"> Analysis further scrutinise the interplay between internal vulnerabilities and external political pressures, highlighting how a paternalistic medical culture suppressed the "Precautionary Principle".</w:t>
      </w:r>
    </w:p>
    <w:p w14:paraId="6B148448" w14:textId="034F10D6" w:rsidR="00AB7A3C" w:rsidRPr="00E663AA" w:rsidRDefault="00AB7A3C" w:rsidP="00544294">
      <w:pPr>
        <w:spacing w:line="360" w:lineRule="auto"/>
        <w:jc w:val="both"/>
        <w:rPr>
          <w:rFonts w:ascii="Arial" w:hAnsi="Arial" w:cs="Arial"/>
          <w:b/>
          <w:bCs/>
        </w:rPr>
      </w:pPr>
      <w:r w:rsidRPr="00AB7A3C">
        <w:rPr>
          <w:rFonts w:ascii="Arial" w:hAnsi="Arial" w:cs="Arial"/>
        </w:rPr>
        <w:lastRenderedPageBreak/>
        <w:t xml:space="preserve">The report concludes that the tragedy was not a series of isolated </w:t>
      </w:r>
      <w:r w:rsidR="004019E6" w:rsidRPr="00AB7A3C">
        <w:rPr>
          <w:rFonts w:ascii="Arial" w:hAnsi="Arial" w:cs="Arial"/>
        </w:rPr>
        <w:t>accidents,</w:t>
      </w:r>
      <w:r w:rsidRPr="00AB7A3C">
        <w:rPr>
          <w:rFonts w:ascii="Arial" w:hAnsi="Arial" w:cs="Arial"/>
        </w:rPr>
        <w:t xml:space="preserve"> but a predictable systemic failure caused by authorities prioritising administrative convenience over human life. To ensure such a collapse never recurs, the report proposes a strategic implementation roadmap anchored in </w:t>
      </w:r>
      <w:r w:rsidRPr="00E663AA">
        <w:rPr>
          <w:rFonts w:ascii="Arial" w:hAnsi="Arial" w:cs="Arial"/>
          <w:b/>
          <w:bCs/>
        </w:rPr>
        <w:t>Kotter’s Eight-Step Model and the Plan–Do–Study–Act (PDSA) cycle.</w:t>
      </w:r>
    </w:p>
    <w:p w14:paraId="0D23BA3E" w14:textId="77777777" w:rsidR="00AB7A3C" w:rsidRPr="00AB7A3C" w:rsidRDefault="00AB7A3C" w:rsidP="00544294">
      <w:pPr>
        <w:spacing w:line="360" w:lineRule="auto"/>
        <w:jc w:val="both"/>
        <w:rPr>
          <w:rFonts w:ascii="Arial" w:hAnsi="Arial" w:cs="Arial"/>
        </w:rPr>
      </w:pPr>
      <w:r w:rsidRPr="00AB7A3C">
        <w:rPr>
          <w:rFonts w:ascii="Arial" w:hAnsi="Arial" w:cs="Arial"/>
        </w:rPr>
        <w:t>Primary Strategic Recommendations include:</w:t>
      </w:r>
    </w:p>
    <w:p w14:paraId="2EAC8835" w14:textId="77777777" w:rsidR="00AB7A3C" w:rsidRPr="00AB7A3C" w:rsidRDefault="00AB7A3C" w:rsidP="00544294">
      <w:pPr>
        <w:spacing w:line="360" w:lineRule="auto"/>
        <w:jc w:val="both"/>
        <w:rPr>
          <w:rFonts w:ascii="Arial" w:hAnsi="Arial" w:cs="Arial"/>
        </w:rPr>
      </w:pPr>
      <w:r w:rsidRPr="00E663AA">
        <w:rPr>
          <w:rFonts w:ascii="Arial" w:hAnsi="Arial" w:cs="Arial"/>
          <w:b/>
          <w:bCs/>
        </w:rPr>
        <w:t>Governance Reform:</w:t>
      </w:r>
      <w:r w:rsidRPr="00AB7A3C">
        <w:rPr>
          <w:rFonts w:ascii="Arial" w:hAnsi="Arial" w:cs="Arial"/>
        </w:rPr>
        <w:t xml:space="preserve"> Establishing a centralised, statutory National Blood Safety Authority to provide unified, evidence-based oversight.</w:t>
      </w:r>
    </w:p>
    <w:p w14:paraId="2BF22F20" w14:textId="77777777" w:rsidR="00AB7A3C" w:rsidRPr="00AB7A3C" w:rsidRDefault="00AB7A3C" w:rsidP="00544294">
      <w:pPr>
        <w:spacing w:line="360" w:lineRule="auto"/>
        <w:jc w:val="both"/>
        <w:rPr>
          <w:rFonts w:ascii="Arial" w:hAnsi="Arial" w:cs="Arial"/>
        </w:rPr>
      </w:pPr>
      <w:r w:rsidRPr="00E663AA">
        <w:rPr>
          <w:rFonts w:ascii="Arial" w:hAnsi="Arial" w:cs="Arial"/>
          <w:b/>
          <w:bCs/>
        </w:rPr>
        <w:t>Cultural Transformation:</w:t>
      </w:r>
      <w:r w:rsidRPr="00AB7A3C">
        <w:rPr>
          <w:rFonts w:ascii="Arial" w:hAnsi="Arial" w:cs="Arial"/>
        </w:rPr>
        <w:t xml:space="preserve"> Implementing a Statutory Duty of Candour for all NHS leadership to eliminate institutional "secrecy" and defensiveness.</w:t>
      </w:r>
    </w:p>
    <w:p w14:paraId="05069840" w14:textId="667ABD8F" w:rsidR="00AB7A3C" w:rsidRPr="00AB7A3C" w:rsidRDefault="00AB7A3C" w:rsidP="00544294">
      <w:pPr>
        <w:spacing w:line="360" w:lineRule="auto"/>
        <w:jc w:val="both"/>
        <w:rPr>
          <w:rFonts w:ascii="Arial" w:hAnsi="Arial" w:cs="Arial"/>
        </w:rPr>
      </w:pPr>
      <w:r w:rsidRPr="00E663AA">
        <w:rPr>
          <w:rFonts w:ascii="Arial" w:hAnsi="Arial" w:cs="Arial"/>
          <w:b/>
          <w:bCs/>
        </w:rPr>
        <w:t>Operational Safeguards:</w:t>
      </w:r>
      <w:r w:rsidRPr="00AB7A3C">
        <w:rPr>
          <w:rFonts w:ascii="Arial" w:hAnsi="Arial" w:cs="Arial"/>
        </w:rPr>
        <w:t xml:space="preserve"> Transitioning to Domestic Plasma Sovereignty and real-time digital haemovigilance to secure the safety of the national blood supply.</w:t>
      </w:r>
    </w:p>
    <w:p w14:paraId="72F65D1D" w14:textId="690B7683" w:rsidR="00F23E23" w:rsidRPr="00F23E23" w:rsidRDefault="00AB7A3C" w:rsidP="00544294">
      <w:pPr>
        <w:spacing w:line="360" w:lineRule="auto"/>
        <w:jc w:val="both"/>
        <w:rPr>
          <w:rFonts w:ascii="Arial" w:hAnsi="Arial" w:cs="Arial"/>
        </w:rPr>
      </w:pPr>
      <w:r w:rsidRPr="00AB7A3C">
        <w:rPr>
          <w:rFonts w:ascii="Arial" w:hAnsi="Arial" w:cs="Arial"/>
        </w:rPr>
        <w:t>Ultimately, this report serves as a rigorous blueprint for institutionalising a "safety-first" culture, restoring public trust, and aligning the NHS with modern high-reliability healthcare principles.</w:t>
      </w:r>
    </w:p>
    <w:p w14:paraId="55EFFD02" w14:textId="032CE72C" w:rsidR="00310543" w:rsidRDefault="00310543" w:rsidP="00544294">
      <w:pPr>
        <w:jc w:val="both"/>
      </w:pPr>
    </w:p>
    <w:p w14:paraId="253B399B" w14:textId="77777777" w:rsidR="009D4F26" w:rsidRDefault="009D4F26" w:rsidP="00544294">
      <w:pPr>
        <w:jc w:val="both"/>
      </w:pPr>
    </w:p>
    <w:p w14:paraId="1453F33B" w14:textId="77777777" w:rsidR="00841F01" w:rsidRDefault="00841F01" w:rsidP="00544294">
      <w:pPr>
        <w:jc w:val="both"/>
      </w:pPr>
    </w:p>
    <w:p w14:paraId="62C9BE10" w14:textId="77777777" w:rsidR="00841F01" w:rsidRDefault="00841F01" w:rsidP="00544294">
      <w:pPr>
        <w:jc w:val="both"/>
      </w:pPr>
    </w:p>
    <w:p w14:paraId="7A6A7EA9" w14:textId="77777777" w:rsidR="00841F01" w:rsidRDefault="00841F01" w:rsidP="00544294">
      <w:pPr>
        <w:jc w:val="both"/>
      </w:pPr>
    </w:p>
    <w:p w14:paraId="645E72D9" w14:textId="77777777" w:rsidR="00841F01" w:rsidRDefault="00841F01" w:rsidP="00544294">
      <w:pPr>
        <w:jc w:val="both"/>
      </w:pPr>
    </w:p>
    <w:p w14:paraId="4FE6BDA0" w14:textId="77777777" w:rsidR="00841F01" w:rsidRDefault="00841F01" w:rsidP="00544294">
      <w:pPr>
        <w:jc w:val="both"/>
      </w:pPr>
    </w:p>
    <w:p w14:paraId="095B2D1A" w14:textId="77777777" w:rsidR="00841F01" w:rsidRDefault="00841F01" w:rsidP="00544294">
      <w:pPr>
        <w:jc w:val="both"/>
      </w:pPr>
    </w:p>
    <w:p w14:paraId="234BD443" w14:textId="77777777" w:rsidR="00841F01" w:rsidRDefault="00841F01" w:rsidP="00544294">
      <w:pPr>
        <w:jc w:val="both"/>
      </w:pPr>
    </w:p>
    <w:p w14:paraId="68AEB1AA" w14:textId="77777777" w:rsidR="00841F01" w:rsidRDefault="00841F01" w:rsidP="00544294">
      <w:pPr>
        <w:jc w:val="both"/>
      </w:pPr>
    </w:p>
    <w:p w14:paraId="0F0DD2A1" w14:textId="77777777" w:rsidR="004B3862" w:rsidRPr="004B1DD6" w:rsidRDefault="004B3862" w:rsidP="003576E0">
      <w:pPr>
        <w:pStyle w:val="Heading2"/>
        <w:spacing w:line="360" w:lineRule="auto"/>
        <w:jc w:val="both"/>
        <w:rPr>
          <w:rFonts w:ascii="Arial" w:hAnsi="Arial" w:cs="Arial"/>
          <w:b/>
          <w:bCs/>
          <w:color w:val="auto"/>
        </w:rPr>
      </w:pPr>
      <w:bookmarkStart w:id="0" w:name="_Toc225442561"/>
      <w:r w:rsidRPr="004B1DD6">
        <w:rPr>
          <w:rFonts w:ascii="Arial" w:hAnsi="Arial" w:cs="Arial"/>
          <w:b/>
          <w:bCs/>
          <w:color w:val="auto"/>
        </w:rPr>
        <w:t>1 Introduction</w:t>
      </w:r>
      <w:bookmarkEnd w:id="0"/>
    </w:p>
    <w:p w14:paraId="20563678" w14:textId="77777777" w:rsidR="004B3862" w:rsidRPr="004B3862" w:rsidRDefault="004B3862" w:rsidP="003576E0">
      <w:pPr>
        <w:spacing w:line="360" w:lineRule="auto"/>
        <w:jc w:val="both"/>
        <w:rPr>
          <w:rFonts w:ascii="Arial" w:hAnsi="Arial" w:cs="Arial"/>
        </w:rPr>
      </w:pPr>
      <w:r w:rsidRPr="004B3862">
        <w:rPr>
          <w:rFonts w:ascii="Arial" w:hAnsi="Arial" w:cs="Arial"/>
        </w:rPr>
        <w:t xml:space="preserve">The contaminated blood scandal (1970s–1990s) is widely recognised as one of the most significant systemic failures in the history of the National Health Service (NHS) (House of Lords Library, 2024). During this period, over 30,000 individuals in the </w:t>
      </w:r>
      <w:r w:rsidRPr="004B3862">
        <w:rPr>
          <w:rFonts w:ascii="Arial" w:hAnsi="Arial" w:cs="Arial"/>
        </w:rPr>
        <w:lastRenderedPageBreak/>
        <w:t>United Kingdom were infected with blood-borne viruses, including HIV and hepatitis C, through contaminated transfusions or plasma-derived products (Infected Blood Inquiry, 2024). The scale of harm and prolonged delays in risk recognition led the Infected Blood Inquiry to characterise the scandal as a catastrophic failure of healthcare governance, patient safety, and institutional accountability (Infected Blood Inquiry, 2024).</w:t>
      </w:r>
    </w:p>
    <w:p w14:paraId="3CBC844A" w14:textId="77777777" w:rsidR="00FF4182" w:rsidRDefault="004B3862" w:rsidP="003576E0">
      <w:pPr>
        <w:spacing w:line="360" w:lineRule="auto"/>
        <w:jc w:val="both"/>
        <w:rPr>
          <w:rFonts w:ascii="Arial" w:hAnsi="Arial" w:cs="Arial"/>
        </w:rPr>
      </w:pPr>
      <w:r w:rsidRPr="004B3862">
        <w:rPr>
          <w:rFonts w:ascii="Arial" w:hAnsi="Arial" w:cs="Arial"/>
        </w:rPr>
        <w:t xml:space="preserve">Evidence suggests </w:t>
      </w:r>
      <w:r w:rsidR="00A34943">
        <w:rPr>
          <w:rFonts w:ascii="Arial" w:hAnsi="Arial" w:cs="Arial"/>
        </w:rPr>
        <w:t>that patients were exposed despite increasing scientific knowledge of viral transmission and the availability of</w:t>
      </w:r>
      <w:r w:rsidRPr="004B3862">
        <w:rPr>
          <w:rFonts w:ascii="Arial" w:hAnsi="Arial" w:cs="Arial"/>
        </w:rPr>
        <w:t xml:space="preserve"> safer alternatives (Infected Blood Inquiry, 2024). A primary factor was the UK’s reliance on imported Factor VIII concentrates sourced from high-risk donor populations in the United States, including prisoners and individuals with substance-use histories (Infected Blood Inquiry, 2024; UK Government, 2024). </w:t>
      </w:r>
    </w:p>
    <w:p w14:paraId="2674541D" w14:textId="557676E8" w:rsidR="004B3862" w:rsidRPr="004B3862" w:rsidRDefault="004B3862" w:rsidP="003576E0">
      <w:pPr>
        <w:spacing w:line="360" w:lineRule="auto"/>
        <w:jc w:val="both"/>
        <w:rPr>
          <w:rFonts w:ascii="Arial" w:hAnsi="Arial" w:cs="Arial"/>
        </w:rPr>
      </w:pPr>
      <w:r w:rsidRPr="004B3862">
        <w:rPr>
          <w:rFonts w:ascii="Arial" w:hAnsi="Arial" w:cs="Arial"/>
        </w:rPr>
        <w:t>Individuals with haemophilia were disproportionately affected, as their treatment required repeated administration of products derived from pooled plasma donations before effective viral screening or inactivation procedures were implemented (NHS, 2023; Infected Blood Inquiry, 2024).</w:t>
      </w:r>
    </w:p>
    <w:p w14:paraId="57CBB10E" w14:textId="77777777" w:rsidR="004B3862" w:rsidRPr="004B3862" w:rsidRDefault="004B3862" w:rsidP="003576E0">
      <w:pPr>
        <w:spacing w:line="360" w:lineRule="auto"/>
        <w:jc w:val="both"/>
        <w:rPr>
          <w:rFonts w:ascii="Arial" w:hAnsi="Arial" w:cs="Arial"/>
        </w:rPr>
      </w:pPr>
      <w:r w:rsidRPr="004B3862">
        <w:rPr>
          <w:rFonts w:ascii="Arial" w:hAnsi="Arial" w:cs="Arial"/>
        </w:rPr>
        <w:t>Inquiry findings further reveal that many patients were not informed of their infection status for extended periods. This reflected a paternalistic medical culture that prioritised professional authority and institutional reputation over transparency, patient autonomy, and informed consent (House of Lords Library, 2024). Such practices raise profound ethical concerns regarding the duty of care within publicly funded systems (Infected Blood Inquiry, 2024).</w:t>
      </w:r>
    </w:p>
    <w:p w14:paraId="3C543BBB" w14:textId="77777777" w:rsidR="004B3862" w:rsidRPr="004B3862" w:rsidRDefault="004B3862" w:rsidP="003576E0">
      <w:pPr>
        <w:spacing w:line="360" w:lineRule="auto"/>
        <w:jc w:val="both"/>
        <w:rPr>
          <w:rFonts w:ascii="Arial" w:hAnsi="Arial" w:cs="Arial"/>
        </w:rPr>
      </w:pPr>
      <w:r w:rsidRPr="004B3862">
        <w:rPr>
          <w:rFonts w:ascii="Arial" w:hAnsi="Arial" w:cs="Arial"/>
        </w:rPr>
        <w:t>The scandal exposes structural weaknesses within NHS governance, including inadequate risk assessment, delayed screening implementation, fragmented oversight, and the lack of a coordinated national strategy for blood self-sufficiency (NHS, 2023; UK Government, 2024). Political reluctance to invest in domestic production further entrenched reliance on imported products despite international safety concerns (House of Lords Library, 2024; Cabinet Office, 2025). Collectively, these failures demonstrate how systemic governance weaknesses can generate widespread, preventable harm (Cabinet Office, 2025).</w:t>
      </w:r>
    </w:p>
    <w:p w14:paraId="7AF80B00" w14:textId="77777777" w:rsidR="00BD1041" w:rsidRDefault="004B3862" w:rsidP="003576E0">
      <w:pPr>
        <w:spacing w:line="360" w:lineRule="auto"/>
        <w:jc w:val="both"/>
        <w:rPr>
          <w:rFonts w:ascii="Arial" w:hAnsi="Arial" w:cs="Arial"/>
        </w:rPr>
      </w:pPr>
      <w:r w:rsidRPr="00300043">
        <w:rPr>
          <w:rFonts w:ascii="Arial" w:hAnsi="Arial" w:cs="Arial"/>
        </w:rPr>
        <w:t xml:space="preserve">This report critically analyses the scandal using established quality improvement frameworks. The Donabedian Model assesses structural and process failures </w:t>
      </w:r>
      <w:r w:rsidRPr="00300043">
        <w:rPr>
          <w:rFonts w:ascii="Arial" w:hAnsi="Arial" w:cs="Arial"/>
        </w:rPr>
        <w:lastRenderedPageBreak/>
        <w:t>(Infected Blood Inquiry, 2024), while a Fishbone (Ishikawa) analysis identifies root causes across policy and culture (Cabinet Office, 2025). A SWOT analysis evaluates internal weaknesses and external pressures (House of Lords Library, 2024). Finally, the Plan–Do–Study–Act (PDSA) cycle examines the absence of systematic learning (Infected Blood Inquiry, 2024), and Kotter’s Eight-Step Model assesses how leadership failures delayed essential reform (Cabinet Office, 2025).</w:t>
      </w:r>
    </w:p>
    <w:p w14:paraId="0EECFA43" w14:textId="72928B54" w:rsidR="00A672D7" w:rsidRPr="003D1956" w:rsidRDefault="00A672D7" w:rsidP="003576E0">
      <w:pPr>
        <w:pStyle w:val="Heading2"/>
        <w:spacing w:line="360" w:lineRule="auto"/>
        <w:jc w:val="both"/>
        <w:rPr>
          <w:rFonts w:ascii="Arial" w:hAnsi="Arial" w:cs="Arial"/>
          <w:b/>
          <w:bCs/>
          <w:color w:val="auto"/>
          <w:sz w:val="24"/>
          <w:szCs w:val="24"/>
        </w:rPr>
      </w:pPr>
      <w:bookmarkStart w:id="1" w:name="_Toc225442562"/>
      <w:r w:rsidRPr="003D1956">
        <w:rPr>
          <w:rFonts w:ascii="Arial" w:hAnsi="Arial" w:cs="Arial"/>
          <w:b/>
          <w:bCs/>
          <w:color w:val="auto"/>
          <w:sz w:val="24"/>
          <w:szCs w:val="24"/>
        </w:rPr>
        <w:t>2.1 Donabedian Model Analysis</w:t>
      </w:r>
      <w:bookmarkEnd w:id="1"/>
    </w:p>
    <w:p w14:paraId="1D345E14" w14:textId="77777777" w:rsidR="005420D3" w:rsidRPr="00544294" w:rsidRDefault="005420D3" w:rsidP="003576E0">
      <w:pPr>
        <w:spacing w:line="360" w:lineRule="auto"/>
        <w:jc w:val="both"/>
        <w:rPr>
          <w:rFonts w:ascii="Arial" w:hAnsi="Arial" w:cs="Arial"/>
        </w:rPr>
      </w:pPr>
      <w:r w:rsidRPr="00544294">
        <w:rPr>
          <w:rFonts w:ascii="Arial" w:hAnsi="Arial" w:cs="Arial"/>
        </w:rPr>
        <w:t>The Donabedian Model (1988) evaluates healthcare quality through three interconnected pillars: structure, process, and outcomes. Applying this framework to the contaminated blood scandal exposes a systemic collapse across all three dimensions, exacerbated by a catastrophic failure in institutional learning (Infected Blood Inquiry, 2024).</w:t>
      </w:r>
    </w:p>
    <w:p w14:paraId="7D09F37D" w14:textId="77777777" w:rsidR="005420D3" w:rsidRPr="00544294" w:rsidRDefault="005420D3" w:rsidP="003576E0">
      <w:pPr>
        <w:spacing w:line="360" w:lineRule="auto"/>
        <w:jc w:val="both"/>
        <w:rPr>
          <w:rFonts w:ascii="Arial" w:hAnsi="Arial" w:cs="Arial"/>
        </w:rPr>
      </w:pPr>
      <w:r w:rsidRPr="00544294">
        <w:rPr>
          <w:rFonts w:ascii="Arial" w:hAnsi="Arial" w:cs="Arial"/>
        </w:rPr>
        <w:t>Structure</w:t>
      </w:r>
    </w:p>
    <w:p w14:paraId="01CEF488" w14:textId="77777777" w:rsidR="005420D3" w:rsidRPr="00544294" w:rsidRDefault="005420D3" w:rsidP="003576E0">
      <w:pPr>
        <w:spacing w:line="360" w:lineRule="auto"/>
        <w:jc w:val="both"/>
        <w:rPr>
          <w:rFonts w:ascii="Arial" w:hAnsi="Arial" w:cs="Arial"/>
        </w:rPr>
      </w:pPr>
      <w:r w:rsidRPr="00544294">
        <w:rPr>
          <w:rFonts w:ascii="Arial" w:hAnsi="Arial" w:cs="Arial"/>
        </w:rPr>
        <w:t>The UK lacked a resilient national strategy for blood safety, resulting in a structural dependency where 75% of Factor VIII concentrates were imported from high-risk US commercial donor populations, including prisoners, by the mid-1970s (Infected Blood Inquiry, 2024). These structural vulnerabilities were compounded by fragmented oversight between the Department of Health and regional blood transfusion centres. This lack of "therapeutic sovereignty" was driven by a political reluctance to invest in domestic self-sufficiency, leaving the NHS structurally exposed to viral contamination (Cabinet Office, 2025).</w:t>
      </w:r>
    </w:p>
    <w:p w14:paraId="7B87AB18" w14:textId="77777777" w:rsidR="005420D3" w:rsidRPr="00544294" w:rsidRDefault="005420D3" w:rsidP="003576E0">
      <w:pPr>
        <w:spacing w:line="360" w:lineRule="auto"/>
        <w:jc w:val="both"/>
        <w:rPr>
          <w:rFonts w:ascii="Arial" w:hAnsi="Arial" w:cs="Arial"/>
        </w:rPr>
      </w:pPr>
      <w:r w:rsidRPr="00544294">
        <w:rPr>
          <w:rFonts w:ascii="Arial" w:hAnsi="Arial" w:cs="Arial"/>
        </w:rPr>
        <w:t>Process</w:t>
      </w:r>
    </w:p>
    <w:p w14:paraId="631D257C" w14:textId="15913158" w:rsidR="00BD1041" w:rsidRPr="00544294" w:rsidRDefault="005420D3" w:rsidP="003576E0">
      <w:pPr>
        <w:spacing w:line="360" w:lineRule="auto"/>
        <w:jc w:val="both"/>
        <w:rPr>
          <w:rFonts w:ascii="Arial" w:hAnsi="Arial" w:cs="Arial"/>
        </w:rPr>
      </w:pPr>
      <w:r w:rsidRPr="00544294">
        <w:rPr>
          <w:rFonts w:ascii="Arial" w:hAnsi="Arial" w:cs="Arial"/>
        </w:rPr>
        <w:t>Clinical processes failed to uphold the Precautionary Principle. Despite emerging evidence of viral transmission, there was a three-year delay in implementing universal heat-treatment (1982–1985) for blood products (House of Lords Library, 2024). These technical failures were mirrored by ethical breaches in clinical governance; a paternalistic culture prioritised "institutional reputation" over the Statutory Duty of Candour. This resulted in systemic failures in informed consent, where patients were often treated with high-risk products</w:t>
      </w:r>
      <w:r w:rsidR="00297B3B" w:rsidRPr="00544294">
        <w:rPr>
          <w:rFonts w:ascii="Arial" w:hAnsi="Arial" w:cs="Arial"/>
        </w:rPr>
        <w:t xml:space="preserve"> </w:t>
      </w:r>
      <w:r w:rsidRPr="00544294">
        <w:rPr>
          <w:rFonts w:ascii="Arial" w:hAnsi="Arial" w:cs="Arial"/>
        </w:rPr>
        <w:t>or enrolled in research trials</w:t>
      </w:r>
      <w:r w:rsidR="00297B3B" w:rsidRPr="00544294">
        <w:rPr>
          <w:rFonts w:ascii="Arial" w:hAnsi="Arial" w:cs="Arial"/>
        </w:rPr>
        <w:t xml:space="preserve"> </w:t>
      </w:r>
      <w:r w:rsidRPr="00544294">
        <w:rPr>
          <w:rFonts w:ascii="Arial" w:hAnsi="Arial" w:cs="Arial"/>
        </w:rPr>
        <w:t>without their knowledge or clinical justification.</w:t>
      </w:r>
    </w:p>
    <w:p w14:paraId="1EE58B84" w14:textId="77777777" w:rsidR="005420D3" w:rsidRPr="00BD1041" w:rsidRDefault="005420D3" w:rsidP="003576E0">
      <w:pPr>
        <w:spacing w:line="360" w:lineRule="auto"/>
        <w:jc w:val="both"/>
        <w:rPr>
          <w:rFonts w:ascii="Arial" w:hAnsi="Arial" w:cs="Arial"/>
        </w:rPr>
      </w:pPr>
      <w:r w:rsidRPr="00BD1041">
        <w:rPr>
          <w:rFonts w:ascii="Arial" w:hAnsi="Arial" w:cs="Arial"/>
        </w:rPr>
        <w:t>Outcomes</w:t>
      </w:r>
    </w:p>
    <w:p w14:paraId="6E366973" w14:textId="59AEEA21" w:rsidR="001F0DCD" w:rsidRPr="005420D3" w:rsidRDefault="005420D3" w:rsidP="003576E0">
      <w:pPr>
        <w:spacing w:line="360" w:lineRule="auto"/>
        <w:jc w:val="both"/>
        <w:rPr>
          <w:rFonts w:ascii="Arial" w:hAnsi="Arial" w:cs="Arial"/>
        </w:rPr>
      </w:pPr>
      <w:r w:rsidRPr="00BD1041">
        <w:rPr>
          <w:rFonts w:ascii="Arial" w:hAnsi="Arial" w:cs="Arial"/>
        </w:rPr>
        <w:lastRenderedPageBreak/>
        <w:t>The structural and process deficiencies resulted in the infection of 30,000 patients with HIV and Hepatitis C, leading to approximately 3,000 deaths (Infected Blood Inquiry, 2024). Beyond physical morbidity, the "</w:t>
      </w:r>
      <w:r w:rsidR="001F0DCD" w:rsidRPr="00BD1041">
        <w:rPr>
          <w:rFonts w:ascii="Arial" w:hAnsi="Arial" w:cs="Arial"/>
        </w:rPr>
        <w:t>second order</w:t>
      </w:r>
      <w:r w:rsidRPr="00BD1041">
        <w:rPr>
          <w:rFonts w:ascii="Arial" w:hAnsi="Arial" w:cs="Arial"/>
        </w:rPr>
        <w:t>" outcomes include a total erosion of public trust in the medical establishment and a projected £11.8 billion compensation liability (Cabinet Office, 2025).</w:t>
      </w:r>
    </w:p>
    <w:p w14:paraId="3BE1C7A3" w14:textId="623C5539" w:rsidR="005420D3" w:rsidRPr="00BD1041" w:rsidRDefault="005420D3" w:rsidP="003576E0">
      <w:pPr>
        <w:spacing w:line="360" w:lineRule="auto"/>
        <w:jc w:val="both"/>
        <w:rPr>
          <w:rFonts w:ascii="Arial" w:hAnsi="Arial" w:cs="Arial"/>
        </w:rPr>
      </w:pPr>
      <w:r w:rsidRPr="00BD1041">
        <w:rPr>
          <w:rFonts w:ascii="Arial" w:hAnsi="Arial" w:cs="Arial"/>
        </w:rPr>
        <w:t>Critique: The Feedback Loop Failure</w:t>
      </w:r>
    </w:p>
    <w:p w14:paraId="150FD878" w14:textId="184E86C0" w:rsidR="00862299" w:rsidRDefault="00851BA6" w:rsidP="003576E0">
      <w:pPr>
        <w:spacing w:line="360" w:lineRule="auto"/>
        <w:jc w:val="both"/>
        <w:rPr>
          <w:rFonts w:ascii="Arial" w:hAnsi="Arial" w:cs="Arial"/>
        </w:rPr>
      </w:pPr>
      <w:r w:rsidRPr="00BD1041">
        <w:rPr>
          <w:rFonts w:ascii="Arial" w:hAnsi="Arial" w:cs="Arial"/>
        </w:rPr>
        <w:t xml:space="preserve">This </w:t>
      </w:r>
      <w:r w:rsidR="005420D3" w:rsidRPr="00BD1041">
        <w:rPr>
          <w:rFonts w:ascii="Arial" w:hAnsi="Arial" w:cs="Arial"/>
        </w:rPr>
        <w:t>critique of Donabedian’s model suggests it is often insufficiently dynamic for multi-decade failures. While the model assumes that "Outcomes" act as indicators to trigger structural reform, in this instance, the information feedback loop was broken. Institutional "groupthink" and political inertia ensured that evidence of harm did not lead to structural change for decades. Consequently, the model fails to account for "institutional blindness," where the "Process" is intentionally obscured to protect the "Structure" from legal and reputational accountability (Donabedian, 1988).</w:t>
      </w:r>
    </w:p>
    <w:p w14:paraId="1C2345C4" w14:textId="3A95880D" w:rsidR="00E957BA" w:rsidRPr="003D1956" w:rsidRDefault="00F44D25" w:rsidP="003576E0">
      <w:pPr>
        <w:spacing w:line="360" w:lineRule="auto"/>
        <w:jc w:val="both"/>
        <w:rPr>
          <w:rFonts w:ascii="Arial" w:hAnsi="Arial" w:cs="Arial"/>
        </w:rPr>
      </w:pPr>
      <w:r w:rsidRPr="003D1956">
        <w:rPr>
          <w:rFonts w:ascii="Arial" w:hAnsi="Arial" w:cs="Arial"/>
          <w:b/>
          <w:bCs/>
        </w:rPr>
        <w:drawing>
          <wp:anchor distT="0" distB="0" distL="114300" distR="114300" simplePos="0" relativeHeight="251661312" behindDoc="0" locked="0" layoutInCell="1" allowOverlap="1" wp14:anchorId="0F51C211" wp14:editId="3AFDE08B">
            <wp:simplePos x="0" y="0"/>
            <wp:positionH relativeFrom="margin">
              <wp:posOffset>-374650</wp:posOffset>
            </wp:positionH>
            <wp:positionV relativeFrom="paragraph">
              <wp:posOffset>383540</wp:posOffset>
            </wp:positionV>
            <wp:extent cx="7000240" cy="3609975"/>
            <wp:effectExtent l="0" t="0" r="0" b="5080"/>
            <wp:wrapSquare wrapText="bothSides"/>
            <wp:docPr id="339085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73583" name=""/>
                    <pic:cNvPicPr/>
                  </pic:nvPicPr>
                  <pic:blipFill>
                    <a:blip r:embed="rId11"/>
                    <a:stretch>
                      <a:fillRect/>
                    </a:stretch>
                  </pic:blipFill>
                  <pic:spPr>
                    <a:xfrm>
                      <a:off x="0" y="0"/>
                      <a:ext cx="7000240" cy="3609975"/>
                    </a:xfrm>
                    <a:prstGeom prst="rect">
                      <a:avLst/>
                    </a:prstGeom>
                  </pic:spPr>
                </pic:pic>
              </a:graphicData>
            </a:graphic>
            <wp14:sizeRelH relativeFrom="margin">
              <wp14:pctWidth>0</wp14:pctWidth>
            </wp14:sizeRelH>
            <wp14:sizeRelV relativeFrom="margin">
              <wp14:pctHeight>0</wp14:pctHeight>
            </wp14:sizeRelV>
          </wp:anchor>
        </w:drawing>
      </w:r>
      <w:r w:rsidR="00C4605D" w:rsidRPr="003D1956">
        <w:rPr>
          <w:rFonts w:ascii="Arial" w:hAnsi="Arial" w:cs="Arial"/>
          <w:b/>
          <w:bCs/>
        </w:rPr>
        <w:t xml:space="preserve">2.2 Fishbone (Ishikawa) Analysis </w:t>
      </w:r>
    </w:p>
    <w:p w14:paraId="20382DB9" w14:textId="77777777" w:rsidR="00F44D25" w:rsidRPr="00946265" w:rsidRDefault="00F44D25" w:rsidP="003576E0">
      <w:pPr>
        <w:spacing w:line="360" w:lineRule="auto"/>
        <w:jc w:val="both"/>
        <w:rPr>
          <w:rFonts w:ascii="Arial" w:hAnsi="Arial" w:cs="Arial"/>
          <w:b/>
          <w:bCs/>
        </w:rPr>
      </w:pPr>
    </w:p>
    <w:p w14:paraId="0B773D94" w14:textId="214CE5CF" w:rsidR="00946265" w:rsidRPr="008A284A" w:rsidRDefault="00946265" w:rsidP="003576E0">
      <w:pPr>
        <w:spacing w:line="360" w:lineRule="auto"/>
        <w:jc w:val="both"/>
        <w:rPr>
          <w:rFonts w:ascii="Arial" w:hAnsi="Arial" w:cs="Arial"/>
        </w:rPr>
      </w:pPr>
      <w:r w:rsidRPr="008A284A">
        <w:rPr>
          <w:rFonts w:ascii="Arial" w:hAnsi="Arial" w:cs="Arial"/>
        </w:rPr>
        <w:t>The Ishikawa framework deconstructs the scandal into interrelated causal vectors, revealing a "systemic organisational accident" rather than isolated clinical errors (Reason, 2000; UK Government, 2024).</w:t>
      </w:r>
    </w:p>
    <w:p w14:paraId="7881FBDA" w14:textId="77777777" w:rsidR="00946265" w:rsidRPr="008A284A" w:rsidRDefault="00946265" w:rsidP="003576E0">
      <w:pPr>
        <w:spacing w:line="360" w:lineRule="auto"/>
        <w:jc w:val="both"/>
        <w:rPr>
          <w:rFonts w:ascii="Arial" w:hAnsi="Arial" w:cs="Arial"/>
        </w:rPr>
      </w:pPr>
      <w:r w:rsidRPr="008A284A">
        <w:rPr>
          <w:rFonts w:ascii="Arial" w:hAnsi="Arial" w:cs="Arial"/>
        </w:rPr>
        <w:lastRenderedPageBreak/>
        <w:t>Policy &amp; Governance: A primary "bone" was the failure of the licensing regime and the rejection of the "Precautionary Principle" in favour of cost-containment (Infected Blood Inquiry, 2024). Strategic reliance on high-risk, commercially sourced US plasma created a structural vulnerability that domestic self-sufficiency could have mitigated (House of Lords Library, 2024).</w:t>
      </w:r>
    </w:p>
    <w:p w14:paraId="2DA7D707" w14:textId="77777777" w:rsidR="00946265" w:rsidRPr="008A284A" w:rsidRDefault="00946265" w:rsidP="003576E0">
      <w:pPr>
        <w:spacing w:line="360" w:lineRule="auto"/>
        <w:jc w:val="both"/>
        <w:rPr>
          <w:rFonts w:ascii="Arial" w:hAnsi="Arial" w:cs="Arial"/>
        </w:rPr>
      </w:pPr>
      <w:r w:rsidRPr="008A284A">
        <w:rPr>
          <w:rFonts w:ascii="Arial" w:hAnsi="Arial" w:cs="Arial"/>
        </w:rPr>
        <w:t>Workforce &amp; Clinical Freedom: Professional "clinical freedom" often superseded patient safety, allowing clinicians to ignore WHO warnings (1975) regarding viral hepatitis and continue using hazardous concentrates (Infected Blood Inquiry, 2024). This was compounded by a lack of standardised safety training and a paternalistic culture that delayed disclosure to patients (NHS, 2023).</w:t>
      </w:r>
    </w:p>
    <w:p w14:paraId="1AF0F2B3" w14:textId="77777777" w:rsidR="00946265" w:rsidRPr="008A284A" w:rsidRDefault="00946265" w:rsidP="003576E0">
      <w:pPr>
        <w:spacing w:line="360" w:lineRule="auto"/>
        <w:jc w:val="both"/>
        <w:rPr>
          <w:rFonts w:ascii="Arial" w:hAnsi="Arial" w:cs="Arial"/>
        </w:rPr>
      </w:pPr>
      <w:r w:rsidRPr="008A284A">
        <w:rPr>
          <w:rFonts w:ascii="Arial" w:hAnsi="Arial" w:cs="Arial"/>
        </w:rPr>
        <w:t>Operational Systems: Deficiencies in traceability and "look-back" procedures, alongside the documented loss and destruction of medical records, represent a failure in information management that prevented timely notification of infection clusters (Cabinet Office, 2025; UK Government, 2024).</w:t>
      </w:r>
    </w:p>
    <w:p w14:paraId="289B779F" w14:textId="77777777" w:rsidR="00946265" w:rsidRPr="008A284A" w:rsidRDefault="00946265" w:rsidP="003576E0">
      <w:pPr>
        <w:spacing w:line="360" w:lineRule="auto"/>
        <w:jc w:val="both"/>
        <w:rPr>
          <w:rFonts w:ascii="Arial" w:hAnsi="Arial" w:cs="Arial"/>
        </w:rPr>
      </w:pPr>
      <w:r w:rsidRPr="008A284A">
        <w:rPr>
          <w:rFonts w:ascii="Arial" w:hAnsi="Arial" w:cs="Arial"/>
        </w:rPr>
        <w:t>Critique: While the Fishbone identifies specific categories, its linear nature fails to account for complex, non-linear system dynamics (Senge, 2006). It struggles to capture the "recursive" effect where institutional "groupthink" (Janis, 1982) and defensiveness actively suppressed the feedback loops required for effective Plan–Do–Study–Act (PDSA) cycles. Collectively, these factors demonstrate a collapse of ethical stewardship where institutional reputation was prioritised over the Statutory Duty of Candour (Francis, 2013).</w:t>
      </w:r>
    </w:p>
    <w:p w14:paraId="5037306C" w14:textId="17E1AAC4" w:rsidR="004A2541" w:rsidRPr="004A2541" w:rsidRDefault="004A2541" w:rsidP="003576E0">
      <w:pPr>
        <w:spacing w:line="360" w:lineRule="auto"/>
        <w:jc w:val="both"/>
        <w:rPr>
          <w:rStyle w:val="Heading2Char"/>
          <w:rFonts w:ascii="Arial" w:hAnsi="Arial" w:cs="Arial"/>
          <w:b/>
          <w:bCs/>
          <w:color w:val="auto"/>
          <w:sz w:val="24"/>
          <w:szCs w:val="24"/>
        </w:rPr>
      </w:pPr>
      <w:r w:rsidRPr="004A2541">
        <w:rPr>
          <w:rFonts w:ascii="Arial" w:hAnsi="Arial" w:cs="Arial"/>
          <w:b/>
          <w:bCs/>
        </w:rPr>
        <w:t>2.</w:t>
      </w:r>
      <w:r w:rsidRPr="004A2541">
        <w:rPr>
          <w:rStyle w:val="Heading2Char"/>
          <w:rFonts w:ascii="Arial" w:hAnsi="Arial" w:cs="Arial"/>
          <w:b/>
          <w:bCs/>
          <w:color w:val="auto"/>
          <w:sz w:val="24"/>
          <w:szCs w:val="24"/>
        </w:rPr>
        <w:t>3 SWOT Analysis (Linked to the Five Whys Technique)</w:t>
      </w:r>
    </w:p>
    <w:p w14:paraId="704979BF" w14:textId="39E00FA7" w:rsidR="004A2541" w:rsidRPr="004A2541" w:rsidRDefault="004A2541" w:rsidP="003576E0">
      <w:pPr>
        <w:spacing w:line="360" w:lineRule="auto"/>
        <w:jc w:val="both"/>
        <w:rPr>
          <w:rFonts w:ascii="Arial" w:hAnsi="Arial" w:cs="Arial"/>
        </w:rPr>
      </w:pPr>
      <w:r w:rsidRPr="004A2541">
        <w:rPr>
          <w:rFonts w:ascii="Arial" w:hAnsi="Arial" w:cs="Arial"/>
        </w:rPr>
        <w:t xml:space="preserve">SWOT analysis provides a structured framework for evaluating internal organisational capacities against external regulatory and policy pressures (Gürel and Tat, 2017; Helms and Nixon, 2010). Within the NHS, this tool supports the examination of how internal governance structures </w:t>
      </w:r>
      <w:r>
        <w:rPr>
          <w:rFonts w:ascii="Arial" w:hAnsi="Arial" w:cs="Arial"/>
        </w:rPr>
        <w:t>interact</w:t>
      </w:r>
      <w:r w:rsidRPr="004A2541">
        <w:rPr>
          <w:rFonts w:ascii="Arial" w:hAnsi="Arial" w:cs="Arial"/>
        </w:rPr>
        <w:t xml:space="preserve"> with external threats, such as emerging virological risks and </w:t>
      </w:r>
      <w:r>
        <w:rPr>
          <w:rFonts w:ascii="Arial" w:hAnsi="Arial" w:cs="Arial"/>
        </w:rPr>
        <w:t>political-economic</w:t>
      </w:r>
      <w:r w:rsidRPr="004A2541">
        <w:rPr>
          <w:rFonts w:ascii="Arial" w:hAnsi="Arial" w:cs="Arial"/>
        </w:rPr>
        <w:t xml:space="preserve"> constraints (NHS England, 2022). Safety incidents</w:t>
      </w:r>
      <w:r>
        <w:rPr>
          <w:rFonts w:ascii="Arial" w:hAnsi="Arial" w:cs="Arial"/>
        </w:rPr>
        <w:t xml:space="preserve">, </w:t>
      </w:r>
      <w:r w:rsidRPr="004A2541">
        <w:rPr>
          <w:rFonts w:ascii="Arial" w:hAnsi="Arial" w:cs="Arial"/>
        </w:rPr>
        <w:t>unintended events resulting in patient harm</w:t>
      </w:r>
      <w:r>
        <w:rPr>
          <w:rFonts w:ascii="Arial" w:hAnsi="Arial" w:cs="Arial"/>
        </w:rPr>
        <w:t xml:space="preserve">, </w:t>
      </w:r>
      <w:r w:rsidRPr="004A2541">
        <w:rPr>
          <w:rFonts w:ascii="Arial" w:hAnsi="Arial" w:cs="Arial"/>
        </w:rPr>
        <w:t>often arise from these systemic failures, including inadequate clinical protocols and ineffective organisational oversight (Reason, 2000).</w:t>
      </w:r>
    </w:p>
    <w:p w14:paraId="740B608E" w14:textId="77777777" w:rsidR="002323D5" w:rsidRDefault="004A2541" w:rsidP="003576E0">
      <w:pPr>
        <w:spacing w:line="360" w:lineRule="auto"/>
        <w:jc w:val="both"/>
        <w:rPr>
          <w:rFonts w:ascii="Arial" w:hAnsi="Arial" w:cs="Arial"/>
        </w:rPr>
      </w:pPr>
      <w:r w:rsidRPr="004A2541">
        <w:rPr>
          <w:rFonts w:ascii="Arial" w:hAnsi="Arial" w:cs="Arial"/>
        </w:rPr>
        <w:lastRenderedPageBreak/>
        <w:t xml:space="preserve">Applying the Five Whys technique illustrates a linear causal chain: patients were harmed because infected products were administered; this occurred because screening was inadequate; screening remained insufficient due to delayed regulatory action; and these delays were reinforced by ineffective institutional oversight (Infected Blood Inquiry, 2024). </w:t>
      </w:r>
    </w:p>
    <w:p w14:paraId="4DD07E69" w14:textId="5C7AF4BA" w:rsidR="004A2541" w:rsidRPr="004A2541" w:rsidRDefault="004A2541" w:rsidP="003576E0">
      <w:pPr>
        <w:spacing w:line="360" w:lineRule="auto"/>
        <w:jc w:val="both"/>
        <w:rPr>
          <w:rFonts w:ascii="Arial" w:hAnsi="Arial" w:cs="Arial"/>
        </w:rPr>
      </w:pPr>
      <w:r w:rsidRPr="004A2541">
        <w:rPr>
          <w:rFonts w:ascii="Arial" w:hAnsi="Arial" w:cs="Arial"/>
        </w:rPr>
        <w:t>However, a critical evaluation reveals that the Five Whys is limited by its linear structure, which oversimplifies complex healthcare failures involving multiple institutional and political influences (Mind Tools, 2022; Vincent and Amalberti, 2016). While change management frameworks like Kotter’s 8-Step Model or Lewin’s Change Model provide structured approaches for implementing transformation, they are "prospective" tools focused on guiding organisational change rather than "retrospective" root-cause analysis of systemic failures.</w:t>
      </w:r>
    </w:p>
    <w:p w14:paraId="528E5CE2" w14:textId="78D20379" w:rsidR="004A2541" w:rsidRDefault="004A2541" w:rsidP="003576E0">
      <w:pPr>
        <w:spacing w:line="360" w:lineRule="auto"/>
        <w:jc w:val="both"/>
        <w:rPr>
          <w:rFonts w:ascii="Arial" w:hAnsi="Arial" w:cs="Arial"/>
        </w:rPr>
      </w:pPr>
      <w:r w:rsidRPr="004A2541">
        <w:rPr>
          <w:rFonts w:ascii="Arial" w:hAnsi="Arial" w:cs="Arial"/>
        </w:rPr>
        <w:t>Furthermore, while the DMAIC (Define, Measure, Analyse, Improve, Control) model is frequently used, it is often criticised in healthcare for being overly linear and slow to respond to rapidly evolving safety risks (Antony et al., 2021). Evidence suggests that only 30–40% of DMAIC projects achieve sustained improvement, highlighting significant long-term implementation challenges (de Koning et al., 2020). Its heavy reliance on quantitative data can also overlook the "soft" cultural, ethical, and governance failures</w:t>
      </w:r>
      <w:r w:rsidR="003D07A1">
        <w:rPr>
          <w:rFonts w:ascii="Arial" w:hAnsi="Arial" w:cs="Arial"/>
        </w:rPr>
        <w:t xml:space="preserve">, </w:t>
      </w:r>
      <w:r w:rsidRPr="004A2541">
        <w:rPr>
          <w:rFonts w:ascii="Arial" w:hAnsi="Arial" w:cs="Arial"/>
        </w:rPr>
        <w:t>such as the Statutory Duty of Candour</w:t>
      </w:r>
      <w:r w:rsidR="003D07A1">
        <w:rPr>
          <w:rFonts w:ascii="Arial" w:hAnsi="Arial" w:cs="Arial"/>
        </w:rPr>
        <w:t xml:space="preserve">, </w:t>
      </w:r>
      <w:r w:rsidRPr="004A2541">
        <w:rPr>
          <w:rFonts w:ascii="Arial" w:hAnsi="Arial" w:cs="Arial"/>
        </w:rPr>
        <w:t>that defined the contaminated blood scandal (</w:t>
      </w:r>
      <w:r w:rsidRPr="003856F5">
        <w:rPr>
          <w:rFonts w:ascii="Arial" w:hAnsi="Arial" w:cs="Arial"/>
        </w:rPr>
        <w:t>NHS England, 2022; Francis,</w:t>
      </w:r>
      <w:r w:rsidRPr="004A2541">
        <w:rPr>
          <w:rFonts w:ascii="Arial" w:hAnsi="Arial" w:cs="Arial"/>
        </w:rPr>
        <w:t xml:space="preserve"> 2013).</w:t>
      </w:r>
    </w:p>
    <w:p w14:paraId="2DB00CA8" w14:textId="2B2AF3D1" w:rsidR="006405B5" w:rsidRDefault="006405B5" w:rsidP="003576E0">
      <w:pPr>
        <w:spacing w:line="360" w:lineRule="auto"/>
        <w:jc w:val="both"/>
      </w:pPr>
      <w:r w:rsidRPr="004A2541">
        <w:t>Critique: Consequently, SWOT is the superior framework here. Unlike the Five Whys or DMAIC, SWOT captures the multi-dimensional nature of the crisis by examining how internal "Weaknesses"</w:t>
      </w:r>
      <w:r>
        <w:t xml:space="preserve">, </w:t>
      </w:r>
      <w:r w:rsidRPr="004A2541">
        <w:t>such as a paternalistic culture</w:t>
      </w:r>
      <w:r>
        <w:t xml:space="preserve">, </w:t>
      </w:r>
      <w:r w:rsidRPr="004A2541">
        <w:t>were catastrophically</w:t>
      </w:r>
      <w:r w:rsidRPr="00862299">
        <w:t xml:space="preserve"> activated by external "Threats" like the reliance on high-risk US plasma (Department of Health and Social Care, 2023; Infected Blood Inquiry, 2024).</w:t>
      </w:r>
      <w:r w:rsidRPr="004A2541">
        <w:t xml:space="preserve"> activated by externa</w:t>
      </w:r>
      <w:r>
        <w:t xml:space="preserve">l                                          </w:t>
      </w:r>
      <w:r w:rsidRPr="004A2541">
        <w:t>"Threats" like the reliance on high-risk US plasma (Department of Health and Social</w:t>
      </w:r>
      <w:r>
        <w:t xml:space="preserve"> </w:t>
      </w:r>
      <w:r w:rsidRPr="004A2541">
        <w:t>Care, 2023; Infected Blood Inquiry, 2024)</w:t>
      </w:r>
    </w:p>
    <w:p w14:paraId="1FC2F184" w14:textId="77777777" w:rsidR="008C2247" w:rsidRDefault="008C2247" w:rsidP="003576E0">
      <w:pPr>
        <w:spacing w:line="360" w:lineRule="auto"/>
        <w:jc w:val="both"/>
      </w:pPr>
    </w:p>
    <w:p w14:paraId="779A826B" w14:textId="77777777" w:rsidR="008C2247" w:rsidRDefault="008C2247" w:rsidP="003576E0">
      <w:pPr>
        <w:spacing w:line="360" w:lineRule="auto"/>
        <w:jc w:val="both"/>
      </w:pPr>
    </w:p>
    <w:p w14:paraId="4AF10FEE" w14:textId="77777777" w:rsidR="00724692" w:rsidRDefault="00724692" w:rsidP="003576E0">
      <w:pPr>
        <w:spacing w:line="360" w:lineRule="auto"/>
        <w:jc w:val="both"/>
        <w:rPr>
          <w:rFonts w:ascii="Arial" w:hAnsi="Arial" w:cs="Arial"/>
          <w:b/>
          <w:bCs/>
        </w:rPr>
      </w:pPr>
      <w:r w:rsidRPr="002A5B8A">
        <w:rPr>
          <w:rFonts w:eastAsia="Aptos"/>
          <w:noProof/>
        </w:rPr>
        <w:lastRenderedPageBreak/>
        <w:drawing>
          <wp:anchor distT="0" distB="0" distL="114300" distR="114300" simplePos="0" relativeHeight="251665408" behindDoc="0" locked="0" layoutInCell="1" allowOverlap="1" wp14:anchorId="04D71F70" wp14:editId="4BDDC814">
            <wp:simplePos x="0" y="0"/>
            <wp:positionH relativeFrom="page">
              <wp:posOffset>511810</wp:posOffset>
            </wp:positionH>
            <wp:positionV relativeFrom="paragraph">
              <wp:posOffset>478155</wp:posOffset>
            </wp:positionV>
            <wp:extent cx="7039610" cy="8381365"/>
            <wp:effectExtent l="0" t="0" r="8890" b="635"/>
            <wp:wrapSquare wrapText="bothSides"/>
            <wp:docPr id="287225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652136" name=""/>
                    <pic:cNvPicPr/>
                  </pic:nvPicPr>
                  <pic:blipFill>
                    <a:blip r:embed="rId12"/>
                    <a:stretch>
                      <a:fillRect/>
                    </a:stretch>
                  </pic:blipFill>
                  <pic:spPr>
                    <a:xfrm>
                      <a:off x="0" y="0"/>
                      <a:ext cx="7039610" cy="8381365"/>
                    </a:xfrm>
                    <a:prstGeom prst="rect">
                      <a:avLst/>
                    </a:prstGeom>
                  </pic:spPr>
                </pic:pic>
              </a:graphicData>
            </a:graphic>
            <wp14:sizeRelH relativeFrom="margin">
              <wp14:pctWidth>0</wp14:pctWidth>
            </wp14:sizeRelH>
            <wp14:sizeRelV relativeFrom="margin">
              <wp14:pctHeight>0</wp14:pctHeight>
            </wp14:sizeRelV>
          </wp:anchor>
        </w:drawing>
      </w:r>
    </w:p>
    <w:p w14:paraId="4F3BE6A5" w14:textId="6C31BB73" w:rsidR="00186242" w:rsidRPr="00724692" w:rsidRDefault="00186242" w:rsidP="003576E0">
      <w:pPr>
        <w:spacing w:line="360" w:lineRule="auto"/>
        <w:jc w:val="both"/>
      </w:pPr>
      <w:r w:rsidRPr="00186242">
        <w:rPr>
          <w:rFonts w:ascii="Arial" w:hAnsi="Arial" w:cs="Arial"/>
          <w:b/>
          <w:bCs/>
        </w:rPr>
        <w:lastRenderedPageBreak/>
        <w:t xml:space="preserve">2.4 Plan–Do–Study–Act (PDSA) Cycle Analysis </w:t>
      </w:r>
    </w:p>
    <w:p w14:paraId="2DD8ECD7" w14:textId="3E3A09F1" w:rsidR="002D2738" w:rsidRPr="002D2738" w:rsidRDefault="002D2738" w:rsidP="003576E0">
      <w:pPr>
        <w:spacing w:line="360" w:lineRule="auto"/>
        <w:jc w:val="both"/>
      </w:pPr>
    </w:p>
    <w:p w14:paraId="5D1D6632" w14:textId="77777777" w:rsidR="002D2738" w:rsidRPr="002D2738" w:rsidRDefault="002D2738" w:rsidP="003576E0">
      <w:pPr>
        <w:spacing w:line="360" w:lineRule="auto"/>
        <w:jc w:val="both"/>
        <w:rPr>
          <w:rFonts w:ascii="Arial" w:hAnsi="Arial" w:cs="Arial"/>
        </w:rPr>
      </w:pPr>
      <w:r w:rsidRPr="002D2738">
        <w:rPr>
          <w:rFonts w:ascii="Arial" w:hAnsi="Arial" w:cs="Arial"/>
        </w:rPr>
        <w:t>The </w:t>
      </w:r>
      <w:r w:rsidRPr="002D2738">
        <w:rPr>
          <w:rFonts w:ascii="Arial" w:hAnsi="Arial" w:cs="Arial"/>
          <w:b/>
          <w:bCs/>
        </w:rPr>
        <w:t>PDSA cycle</w:t>
      </w:r>
      <w:r w:rsidRPr="002D2738">
        <w:rPr>
          <w:rFonts w:ascii="Arial" w:hAnsi="Arial" w:cs="Arial"/>
        </w:rPr>
        <w:t> is a structured, four-step framework designed for iterative, continuous quality improvement; however, during the contaminated blood scandal, these stages were systematically bypassed (NHS England, 2022). In the </w:t>
      </w:r>
      <w:r w:rsidRPr="002D2738">
        <w:rPr>
          <w:rFonts w:ascii="Arial" w:hAnsi="Arial" w:cs="Arial"/>
          <w:b/>
          <w:bCs/>
        </w:rPr>
        <w:t>'Plan'</w:t>
      </w:r>
      <w:r w:rsidRPr="002D2738">
        <w:rPr>
          <w:rFonts w:ascii="Arial" w:hAnsi="Arial" w:cs="Arial"/>
        </w:rPr>
        <w:t> phase, NHS governance failed to implement proactive risk assessments despite 1970s evidence regarding virological hazards (Infected Blood Inquiry, 2024). Effective planning should have prioritised domestic self-sufficiency and early screening, yet policy inertia maintained a fatal reliance on high-risk imports (House of Lords Library, 2024; UK Government, 2024).</w:t>
      </w:r>
    </w:p>
    <w:p w14:paraId="4BE66B79" w14:textId="757699C9" w:rsidR="002D2738" w:rsidRPr="002D2738" w:rsidRDefault="002D2738" w:rsidP="003576E0">
      <w:pPr>
        <w:spacing w:line="360" w:lineRule="auto"/>
        <w:jc w:val="both"/>
        <w:rPr>
          <w:rFonts w:ascii="Arial" w:hAnsi="Arial" w:cs="Arial"/>
        </w:rPr>
      </w:pPr>
      <w:r w:rsidRPr="002D2738">
        <w:rPr>
          <w:rFonts w:ascii="Arial" w:hAnsi="Arial" w:cs="Arial"/>
        </w:rPr>
        <w:t>During the </w:t>
      </w:r>
      <w:r w:rsidRPr="002D2738">
        <w:rPr>
          <w:rFonts w:ascii="Arial" w:hAnsi="Arial" w:cs="Arial"/>
          <w:b/>
          <w:bCs/>
        </w:rPr>
        <w:t>'Do'</w:t>
      </w:r>
      <w:r w:rsidRPr="002D2738">
        <w:rPr>
          <w:rFonts w:ascii="Arial" w:hAnsi="Arial" w:cs="Arial"/>
        </w:rPr>
        <w:t> phase, unsafe Factor VIII continued to be administered despite international warnings, demonstrating a catastrophic failure in clinical risk response (Infected Blood Inquiry, 2024). The </w:t>
      </w:r>
      <w:r w:rsidRPr="002D2738">
        <w:rPr>
          <w:rFonts w:ascii="Arial" w:hAnsi="Arial" w:cs="Arial"/>
          <w:b/>
          <w:bCs/>
        </w:rPr>
        <w:t>'Study'</w:t>
      </w:r>
      <w:r w:rsidRPr="002D2738">
        <w:rPr>
          <w:rFonts w:ascii="Arial" w:hAnsi="Arial" w:cs="Arial"/>
        </w:rPr>
        <w:t> stage</w:t>
      </w:r>
      <w:r w:rsidR="00A44D83">
        <w:rPr>
          <w:rFonts w:ascii="Arial" w:hAnsi="Arial" w:cs="Arial"/>
        </w:rPr>
        <w:t xml:space="preserve">, </w:t>
      </w:r>
      <w:r w:rsidRPr="002D2738">
        <w:rPr>
          <w:rFonts w:ascii="Arial" w:hAnsi="Arial" w:cs="Arial"/>
        </w:rPr>
        <w:t>requiring rigorous monitoring and data analysis</w:t>
      </w:r>
      <w:r w:rsidR="00A44D83">
        <w:rPr>
          <w:rFonts w:ascii="Arial" w:hAnsi="Arial" w:cs="Arial"/>
        </w:rPr>
        <w:t xml:space="preserve">, </w:t>
      </w:r>
      <w:r w:rsidRPr="002D2738">
        <w:rPr>
          <w:rFonts w:ascii="Arial" w:hAnsi="Arial" w:cs="Arial"/>
        </w:rPr>
        <w:t>was undermined by fragmented surveillance and an organisational culture that discouraged transparent reporting (WHO, 2021). Consequently, infection patterns remained unaddressed until widespread harm occurred. Finally, the </w:t>
      </w:r>
      <w:r w:rsidRPr="002D2738">
        <w:rPr>
          <w:rFonts w:ascii="Arial" w:hAnsi="Arial" w:cs="Arial"/>
          <w:b/>
          <w:bCs/>
        </w:rPr>
        <w:t>'Act'</w:t>
      </w:r>
      <w:r w:rsidRPr="002D2738">
        <w:rPr>
          <w:rFonts w:ascii="Arial" w:hAnsi="Arial" w:cs="Arial"/>
        </w:rPr>
        <w:t> phase was delayed by decades, with meaningful reform only following external inquiry rather than internal organisational learning (Cabinet Office, 2025).</w:t>
      </w:r>
    </w:p>
    <w:p w14:paraId="5D1F9EB4" w14:textId="1245C9FC" w:rsidR="00E56CD7" w:rsidRPr="002D2738" w:rsidRDefault="002D2738" w:rsidP="003576E0">
      <w:pPr>
        <w:spacing w:line="360" w:lineRule="auto"/>
        <w:jc w:val="both"/>
        <w:rPr>
          <w:rFonts w:ascii="Arial" w:hAnsi="Arial" w:cs="Arial"/>
        </w:rPr>
      </w:pPr>
      <w:r w:rsidRPr="00CB6C0E">
        <w:rPr>
          <w:rFonts w:ascii="Arial" w:hAnsi="Arial" w:cs="Arial"/>
        </w:rPr>
        <w:t>Critique: While PDSA is effective for rapid, small-scale clinical changes, its application here reveals a "frozen" system where institutional defensiveness prevented the cycle from ever completing. The scandal proves that PDSA cycles are futile if the 'Study' and 'Act' phases are suppressed by a paternalistic culture that prioritises professional authority over the Statutory Duty of Candour (Francis, 2013; NHS England, 2022). This highlights the need for psychological safety to ensure quality tools function as intended in complex healthcare environments</w:t>
      </w:r>
      <w:r w:rsidRPr="002D2738">
        <w:rPr>
          <w:rFonts w:ascii="Arial" w:hAnsi="Arial" w:cs="Arial"/>
        </w:rPr>
        <w:t>.</w:t>
      </w:r>
    </w:p>
    <w:p w14:paraId="3476DB59" w14:textId="063E8CDE" w:rsidR="007753C7" w:rsidRPr="007753C7" w:rsidRDefault="007753C7" w:rsidP="003576E0">
      <w:pPr>
        <w:pStyle w:val="Heading2"/>
        <w:spacing w:line="360" w:lineRule="auto"/>
        <w:jc w:val="both"/>
        <w:rPr>
          <w:rFonts w:ascii="Arial" w:hAnsi="Arial" w:cs="Arial"/>
          <w:b/>
          <w:bCs/>
          <w:color w:val="auto"/>
          <w:sz w:val="24"/>
          <w:szCs w:val="24"/>
        </w:rPr>
      </w:pPr>
      <w:bookmarkStart w:id="2" w:name="_Toc225442563"/>
      <w:r w:rsidRPr="007753C7">
        <w:rPr>
          <w:rFonts w:ascii="Arial" w:hAnsi="Arial" w:cs="Arial"/>
          <w:b/>
          <w:bCs/>
          <w:color w:val="auto"/>
          <w:sz w:val="24"/>
          <w:szCs w:val="24"/>
        </w:rPr>
        <w:t>2.</w:t>
      </w:r>
      <w:r w:rsidR="004E1D31">
        <w:rPr>
          <w:rFonts w:ascii="Arial" w:hAnsi="Arial" w:cs="Arial"/>
          <w:b/>
          <w:bCs/>
          <w:color w:val="auto"/>
          <w:sz w:val="24"/>
          <w:szCs w:val="24"/>
        </w:rPr>
        <w:t xml:space="preserve">5 </w:t>
      </w:r>
      <w:r w:rsidRPr="007753C7">
        <w:rPr>
          <w:rFonts w:ascii="Arial" w:hAnsi="Arial" w:cs="Arial"/>
          <w:b/>
          <w:bCs/>
          <w:color w:val="auto"/>
          <w:sz w:val="24"/>
          <w:szCs w:val="24"/>
        </w:rPr>
        <w:t xml:space="preserve"> Kotter’s Eight-Step Change Model</w:t>
      </w:r>
      <w:bookmarkEnd w:id="2"/>
    </w:p>
    <w:p w14:paraId="7F6BED36" w14:textId="77777777" w:rsidR="00DE5532" w:rsidRDefault="007753C7" w:rsidP="003576E0">
      <w:pPr>
        <w:spacing w:line="360" w:lineRule="auto"/>
        <w:jc w:val="both"/>
        <w:rPr>
          <w:rFonts w:ascii="Arial" w:hAnsi="Arial" w:cs="Arial"/>
        </w:rPr>
      </w:pPr>
      <w:r w:rsidRPr="007753C7">
        <w:rPr>
          <w:rFonts w:ascii="Arial" w:hAnsi="Arial" w:cs="Arial"/>
        </w:rPr>
        <w:t xml:space="preserve">Kotter’s Eight-Step Model provides a structured framework for implementing sustainable change, beginning with a compelling sense of urgency (Kotter, 1996). During the contaminated blood scandal, this urgency was fatally absent; despite 1970s virological warnings, a paternalistic culture suppressed the need for rapid reform (Infected Blood Inquiry, 2024). </w:t>
      </w:r>
    </w:p>
    <w:p w14:paraId="63250DF9" w14:textId="77777777" w:rsidR="00002862" w:rsidRDefault="007753C7" w:rsidP="003576E0">
      <w:pPr>
        <w:spacing w:line="360" w:lineRule="auto"/>
        <w:jc w:val="both"/>
        <w:rPr>
          <w:rFonts w:ascii="Arial" w:hAnsi="Arial" w:cs="Arial"/>
        </w:rPr>
      </w:pPr>
      <w:r w:rsidRPr="007753C7">
        <w:rPr>
          <w:rFonts w:ascii="Arial" w:hAnsi="Arial" w:cs="Arial"/>
        </w:rPr>
        <w:lastRenderedPageBreak/>
        <w:t>Furthermore, the lack of a "guiding coalition</w:t>
      </w:r>
      <w:r w:rsidR="00DE5532">
        <w:rPr>
          <w:rFonts w:ascii="Arial" w:hAnsi="Arial" w:cs="Arial"/>
        </w:rPr>
        <w:t>,</w:t>
      </w:r>
      <w:r w:rsidRPr="007753C7">
        <w:rPr>
          <w:rFonts w:ascii="Arial" w:hAnsi="Arial" w:cs="Arial"/>
        </w:rPr>
        <w:t>"</w:t>
      </w:r>
      <w:r w:rsidR="00DE5532">
        <w:rPr>
          <w:rFonts w:ascii="Arial" w:hAnsi="Arial" w:cs="Arial"/>
        </w:rPr>
        <w:t xml:space="preserve"> </w:t>
      </w:r>
      <w:r w:rsidRPr="007753C7">
        <w:rPr>
          <w:rFonts w:ascii="Arial" w:hAnsi="Arial" w:cs="Arial"/>
        </w:rPr>
        <w:t>integrating clinicians, patients, and policy actors</w:t>
      </w:r>
      <w:r w:rsidR="00DE5532">
        <w:rPr>
          <w:rFonts w:ascii="Arial" w:hAnsi="Arial" w:cs="Arial"/>
        </w:rPr>
        <w:t xml:space="preserve">, </w:t>
      </w:r>
      <w:r w:rsidRPr="007753C7">
        <w:rPr>
          <w:rFonts w:ascii="Arial" w:hAnsi="Arial" w:cs="Arial"/>
        </w:rPr>
        <w:t>meant there was no multidisciplinary accountability to drive safety improvements (Kotter, 1996; NHS England, 2022).</w:t>
      </w:r>
      <w:r w:rsidR="00002862">
        <w:rPr>
          <w:rFonts w:ascii="Arial" w:hAnsi="Arial" w:cs="Arial"/>
        </w:rPr>
        <w:t xml:space="preserve"> </w:t>
      </w:r>
      <w:r w:rsidRPr="007753C7">
        <w:rPr>
          <w:rFonts w:ascii="Arial" w:hAnsi="Arial" w:cs="Arial"/>
        </w:rPr>
        <w:t xml:space="preserve">Without a clear strategic vision, frontline staff remained disempowered, unable to act on emerging risks or remove organisational barriers (Kotter, 1996). </w:t>
      </w:r>
    </w:p>
    <w:p w14:paraId="2970726C" w14:textId="5D38B282" w:rsidR="007753C7" w:rsidRPr="007753C7" w:rsidRDefault="007753C7" w:rsidP="003576E0">
      <w:pPr>
        <w:spacing w:line="360" w:lineRule="auto"/>
        <w:jc w:val="both"/>
        <w:rPr>
          <w:rFonts w:ascii="Arial" w:hAnsi="Arial" w:cs="Arial"/>
        </w:rPr>
      </w:pPr>
      <w:r w:rsidRPr="007753C7">
        <w:rPr>
          <w:rFonts w:ascii="Arial" w:hAnsi="Arial" w:cs="Arial"/>
        </w:rPr>
        <w:t>The failure to generate "short-term wins," such as early domestic heat-treatment trials, further stalled momentum, preventing the consolidation of safer clinical practices (Infected Blood Inquiry, 2024). Consequently, instead of anchoring safety within the organisational culture, institutional defensiveness became embedded, delaying the Statutory Duty of Candour for decades (Francis, 2013; WHO, 2021).</w:t>
      </w:r>
    </w:p>
    <w:p w14:paraId="18DC92AE" w14:textId="59E25A59" w:rsidR="002D2738" w:rsidRDefault="007753C7" w:rsidP="003576E0">
      <w:pPr>
        <w:spacing w:line="360" w:lineRule="auto"/>
        <w:jc w:val="both"/>
        <w:rPr>
          <w:rFonts w:ascii="Arial" w:hAnsi="Arial" w:cs="Arial"/>
        </w:rPr>
      </w:pPr>
      <w:r w:rsidRPr="007753C7">
        <w:rPr>
          <w:rFonts w:ascii="Arial" w:hAnsi="Arial" w:cs="Arial"/>
        </w:rPr>
        <w:t>Critique: While Kotter’s model is a powerful tool for prospective transformation, its retrospective application reveals that change is impossible in "low-trust" environments where leadership prioritises reputation over transparency (Cabinet Office, 2025). The scandal proves that a "sense of urgency" cannot be manufactured if the "Study" and "Act" phases of governance are structurally suppressed by rigid hierarchies, highlighting the modern necessity for psychological safety (NHS England, 2022).</w:t>
      </w:r>
    </w:p>
    <w:p w14:paraId="525553A7" w14:textId="77777777" w:rsidR="003576E0" w:rsidRDefault="003576E0" w:rsidP="003576E0">
      <w:pPr>
        <w:spacing w:line="360" w:lineRule="auto"/>
        <w:jc w:val="both"/>
        <w:rPr>
          <w:rFonts w:ascii="Arial" w:hAnsi="Arial" w:cs="Arial"/>
        </w:rPr>
      </w:pPr>
    </w:p>
    <w:p w14:paraId="062BADE1" w14:textId="261DE750" w:rsidR="007742DB" w:rsidRDefault="007742DB" w:rsidP="003576E0">
      <w:pPr>
        <w:pStyle w:val="Heading2"/>
        <w:spacing w:line="360" w:lineRule="auto"/>
        <w:jc w:val="both"/>
        <w:rPr>
          <w:rFonts w:ascii="Arial" w:hAnsi="Arial" w:cs="Arial"/>
          <w:b/>
          <w:bCs/>
          <w:color w:val="auto"/>
          <w:sz w:val="24"/>
          <w:szCs w:val="24"/>
        </w:rPr>
      </w:pPr>
      <w:bookmarkStart w:id="3" w:name="_Toc225442564"/>
      <w:r w:rsidRPr="007742DB">
        <w:rPr>
          <w:rFonts w:ascii="Arial" w:hAnsi="Arial" w:cs="Arial"/>
          <w:b/>
          <w:bCs/>
          <w:color w:val="auto"/>
          <w:sz w:val="24"/>
          <w:szCs w:val="24"/>
        </w:rPr>
        <w:t>2.6 Applying Kurt Lewin’s Change Model to NHS Governance</w:t>
      </w:r>
      <w:bookmarkEnd w:id="3"/>
    </w:p>
    <w:p w14:paraId="590B0239" w14:textId="77777777" w:rsidR="007742DB" w:rsidRPr="007742DB" w:rsidRDefault="007742DB" w:rsidP="003576E0">
      <w:pPr>
        <w:spacing w:line="360" w:lineRule="auto"/>
        <w:jc w:val="both"/>
      </w:pPr>
    </w:p>
    <w:p w14:paraId="54BA4244" w14:textId="77777777" w:rsidR="007742DB" w:rsidRPr="007742DB" w:rsidRDefault="007742DB" w:rsidP="003576E0">
      <w:pPr>
        <w:spacing w:line="360" w:lineRule="auto"/>
        <w:jc w:val="both"/>
        <w:rPr>
          <w:rFonts w:ascii="Arial" w:hAnsi="Arial" w:cs="Arial"/>
        </w:rPr>
      </w:pPr>
      <w:r w:rsidRPr="007742DB">
        <w:rPr>
          <w:rFonts w:ascii="Arial" w:hAnsi="Arial" w:cs="Arial"/>
        </w:rPr>
        <w:t>Lewin’s Three-Stage Model (Unfreeze, Change, Refreeze) provides a powerful lens for understanding the transition from a "closed" paternalistic culture to a transparent, high-reliability safety system (Lewin, 1951; Burnes, 2020).</w:t>
      </w:r>
    </w:p>
    <w:p w14:paraId="4969E85E" w14:textId="77777777" w:rsidR="00225813" w:rsidRDefault="007742DB" w:rsidP="003576E0">
      <w:pPr>
        <w:pStyle w:val="ListParagraph"/>
        <w:numPr>
          <w:ilvl w:val="0"/>
          <w:numId w:val="13"/>
        </w:numPr>
        <w:spacing w:line="360" w:lineRule="auto"/>
        <w:jc w:val="both"/>
        <w:rPr>
          <w:b/>
          <w:bCs/>
        </w:rPr>
      </w:pPr>
      <w:r w:rsidRPr="0010302A">
        <w:rPr>
          <w:b/>
          <w:bCs/>
        </w:rPr>
        <w:t>Unfreezing: Breaking the Status Quo</w:t>
      </w:r>
    </w:p>
    <w:p w14:paraId="088D0705" w14:textId="01AF9EC0" w:rsidR="007742DB" w:rsidRDefault="007742DB" w:rsidP="003576E0">
      <w:pPr>
        <w:pStyle w:val="ListParagraph"/>
        <w:spacing w:line="360" w:lineRule="auto"/>
        <w:jc w:val="both"/>
        <w:rPr>
          <w:rFonts w:ascii="Arial" w:hAnsi="Arial" w:cs="Arial"/>
        </w:rPr>
      </w:pPr>
      <w:r w:rsidRPr="00225813">
        <w:rPr>
          <w:rFonts w:ascii="Arial" w:hAnsi="Arial" w:cs="Arial"/>
        </w:rPr>
        <w:br/>
        <w:t xml:space="preserve">The "Unfreezing" stage involves destabilising the existing equilibrium of institutional defensiveness. For decades, the NHS remained "frozen" in a state where professional authority superseded the Statutory Duty of Candour (Francis, 2013). The Infected Blood Inquiry (2024) serves as the ultimate "Driving Force," creating the psychological disconfirmation necessary to prove that the old ways are no longer viable. To complete this stage, leadership must acknowledge past failures to reduce "Restraining Forces," </w:t>
      </w:r>
      <w:r w:rsidRPr="00225813">
        <w:rPr>
          <w:rFonts w:ascii="Arial" w:hAnsi="Arial" w:cs="Arial"/>
        </w:rPr>
        <w:lastRenderedPageBreak/>
        <w:t>such as the fear of litigation or loss of reputation (Infected Blood Inquiry, 2024; NHS England, 2022).</w:t>
      </w:r>
    </w:p>
    <w:p w14:paraId="26680369" w14:textId="77777777" w:rsidR="003576E0" w:rsidRPr="00225813" w:rsidRDefault="003576E0" w:rsidP="003576E0">
      <w:pPr>
        <w:pStyle w:val="ListParagraph"/>
        <w:spacing w:line="360" w:lineRule="auto"/>
        <w:jc w:val="both"/>
        <w:rPr>
          <w:b/>
          <w:bCs/>
        </w:rPr>
      </w:pPr>
    </w:p>
    <w:p w14:paraId="5F973113" w14:textId="464298EB" w:rsidR="00225813" w:rsidRPr="00225813" w:rsidRDefault="007742DB" w:rsidP="003576E0">
      <w:pPr>
        <w:pStyle w:val="ListParagraph"/>
        <w:numPr>
          <w:ilvl w:val="0"/>
          <w:numId w:val="13"/>
        </w:numPr>
        <w:spacing w:line="360" w:lineRule="auto"/>
        <w:jc w:val="both"/>
        <w:rPr>
          <w:rFonts w:ascii="Arial" w:hAnsi="Arial" w:cs="Arial"/>
          <w:b/>
          <w:bCs/>
        </w:rPr>
      </w:pPr>
      <w:r w:rsidRPr="00225813">
        <w:rPr>
          <w:rFonts w:ascii="Arial" w:hAnsi="Arial" w:cs="Arial"/>
          <w:b/>
          <w:bCs/>
        </w:rPr>
        <w:t>Movement: Shifting to New Behaviours</w:t>
      </w:r>
    </w:p>
    <w:p w14:paraId="2552F5E7" w14:textId="59B17241" w:rsidR="007742DB" w:rsidRDefault="007742DB" w:rsidP="003576E0">
      <w:pPr>
        <w:pStyle w:val="ListParagraph"/>
        <w:spacing w:line="360" w:lineRule="auto"/>
        <w:jc w:val="both"/>
        <w:rPr>
          <w:rFonts w:ascii="Arial" w:hAnsi="Arial" w:cs="Arial"/>
        </w:rPr>
      </w:pPr>
      <w:r w:rsidRPr="00225813">
        <w:rPr>
          <w:rFonts w:ascii="Arial" w:hAnsi="Arial" w:cs="Arial"/>
        </w:rPr>
        <w:br/>
        <w:t>The "Movement" stage requires a transition toward new values and practices. In the context of blood safety, this involves implementing the "Hillsborough Law" principles and domestic plasma self-sufficiency (UK Government, 2024). This shift is not merely technical but behavioural; it requires moving from a "blame culture" to a "Just Culture" where staff feel safe to report "near misses" (Reason, 2000). Applying PDSA cycles during this phase allows for iterative testing of new governance structures, ensuring that reforms are practical and evidence-based (NHS, 2023).</w:t>
      </w:r>
    </w:p>
    <w:p w14:paraId="3F585A29" w14:textId="77777777" w:rsidR="008329F7" w:rsidRPr="00225813" w:rsidRDefault="008329F7" w:rsidP="003576E0">
      <w:pPr>
        <w:pStyle w:val="ListParagraph"/>
        <w:spacing w:line="360" w:lineRule="auto"/>
        <w:jc w:val="both"/>
        <w:rPr>
          <w:rFonts w:ascii="Arial" w:hAnsi="Arial" w:cs="Arial"/>
        </w:rPr>
      </w:pPr>
    </w:p>
    <w:p w14:paraId="1382BC0E" w14:textId="77777777" w:rsidR="008329F7" w:rsidRDefault="007742DB" w:rsidP="003576E0">
      <w:pPr>
        <w:pStyle w:val="ListParagraph"/>
        <w:numPr>
          <w:ilvl w:val="0"/>
          <w:numId w:val="13"/>
        </w:numPr>
        <w:spacing w:line="360" w:lineRule="auto"/>
        <w:jc w:val="both"/>
        <w:rPr>
          <w:rFonts w:ascii="Arial" w:hAnsi="Arial" w:cs="Arial"/>
          <w:b/>
          <w:bCs/>
        </w:rPr>
      </w:pPr>
      <w:r w:rsidRPr="00225813">
        <w:rPr>
          <w:rFonts w:ascii="Arial" w:hAnsi="Arial" w:cs="Arial"/>
          <w:b/>
          <w:bCs/>
        </w:rPr>
        <w:t>Refreezing: Embedding Ethical Stewardship</w:t>
      </w:r>
    </w:p>
    <w:p w14:paraId="7AB06366" w14:textId="65CD6403" w:rsidR="007742DB" w:rsidRPr="008329F7" w:rsidRDefault="007742DB" w:rsidP="003576E0">
      <w:pPr>
        <w:pStyle w:val="ListParagraph"/>
        <w:spacing w:line="360" w:lineRule="auto"/>
        <w:jc w:val="both"/>
        <w:rPr>
          <w:rFonts w:ascii="Arial" w:hAnsi="Arial" w:cs="Arial"/>
          <w:b/>
          <w:bCs/>
        </w:rPr>
      </w:pPr>
      <w:r w:rsidRPr="008329F7">
        <w:rPr>
          <w:rFonts w:ascii="Arial" w:hAnsi="Arial" w:cs="Arial"/>
        </w:rPr>
        <w:br/>
        <w:t>The final stage, "Refreezing," aims to stabilise the new state to prevent regression. This is achieved by anchoring transparency and patient autonomy into the NHS Constitution and mandatory clinical training (Cabinet Office, 2025; WHO, 2021).</w:t>
      </w:r>
    </w:p>
    <w:p w14:paraId="6F3A4F62" w14:textId="110EB970" w:rsidR="00715668" w:rsidRPr="00466807" w:rsidRDefault="007742DB" w:rsidP="003576E0">
      <w:pPr>
        <w:spacing w:line="360" w:lineRule="auto"/>
        <w:jc w:val="both"/>
        <w:rPr>
          <w:rFonts w:ascii="Arial" w:hAnsi="Arial" w:cs="Arial"/>
          <w:b/>
          <w:bCs/>
        </w:rPr>
      </w:pPr>
      <w:r w:rsidRPr="001C44A9">
        <w:rPr>
          <w:rFonts w:ascii="Arial" w:hAnsi="Arial" w:cs="Arial"/>
        </w:rPr>
        <w:t>Critique: </w:t>
      </w:r>
      <w:r w:rsidR="00466807" w:rsidRPr="00466807">
        <w:rPr>
          <w:rFonts w:ascii="Arial" w:hAnsi="Arial" w:cs="Arial"/>
        </w:rPr>
        <w:t>In a high-reliability context, a traditional 'Refreeze' is a strategic risk; the NHS must instead cultivate </w:t>
      </w:r>
      <w:r w:rsidR="00466807" w:rsidRPr="00A87E00">
        <w:rPr>
          <w:rFonts w:ascii="Arial" w:hAnsi="Arial" w:cs="Arial"/>
        </w:rPr>
        <w:t>dynamic capabilities</w:t>
      </w:r>
      <w:r w:rsidR="00466807" w:rsidRPr="00466807">
        <w:rPr>
          <w:rFonts w:ascii="Arial" w:hAnsi="Arial" w:cs="Arial"/>
        </w:rPr>
        <w:t xml:space="preserve">, where safety protocols remain </w:t>
      </w:r>
      <w:proofErr w:type="gramStart"/>
      <w:r w:rsidR="00466807" w:rsidRPr="00466807">
        <w:rPr>
          <w:rFonts w:ascii="Arial" w:hAnsi="Arial" w:cs="Arial"/>
        </w:rPr>
        <w:t>firm</w:t>
      </w:r>
      <w:proofErr w:type="gramEnd"/>
      <w:r w:rsidR="00466807" w:rsidRPr="00466807">
        <w:rPr>
          <w:rFonts w:ascii="Arial" w:hAnsi="Arial" w:cs="Arial"/>
        </w:rPr>
        <w:t xml:space="preserve"> but the organisational mindset stays 'unfrozen' to detect weak signals of emerging pathogens (Weick &amp; Sutcliffe, 2007).</w:t>
      </w:r>
    </w:p>
    <w:p w14:paraId="41C45BBF" w14:textId="77777777" w:rsidR="003576E0" w:rsidRPr="001C44A9" w:rsidRDefault="003576E0" w:rsidP="003576E0">
      <w:pPr>
        <w:spacing w:line="360" w:lineRule="auto"/>
        <w:jc w:val="both"/>
        <w:rPr>
          <w:rFonts w:ascii="Arial" w:hAnsi="Arial" w:cs="Arial"/>
        </w:rPr>
      </w:pPr>
    </w:p>
    <w:p w14:paraId="130B9971" w14:textId="6B8B7FE0" w:rsidR="00C63C60" w:rsidRDefault="00760C81" w:rsidP="003576E0">
      <w:pPr>
        <w:pStyle w:val="Heading2"/>
        <w:spacing w:line="360" w:lineRule="auto"/>
        <w:jc w:val="both"/>
        <w:rPr>
          <w:rFonts w:ascii="Arial" w:hAnsi="Arial" w:cs="Arial"/>
          <w:b/>
          <w:bCs/>
          <w:color w:val="auto"/>
          <w:sz w:val="24"/>
          <w:szCs w:val="24"/>
        </w:rPr>
      </w:pPr>
      <w:bookmarkStart w:id="4" w:name="_Toc225442565"/>
      <w:r w:rsidRPr="00AF547E">
        <w:rPr>
          <w:rFonts w:ascii="Arial" w:hAnsi="Arial" w:cs="Arial"/>
          <w:b/>
          <w:bCs/>
          <w:color w:val="auto"/>
          <w:sz w:val="24"/>
          <w:szCs w:val="24"/>
        </w:rPr>
        <w:t>3.0 Recommendations for Strategic Transformation</w:t>
      </w:r>
      <w:bookmarkEnd w:id="4"/>
    </w:p>
    <w:p w14:paraId="3A423CE2" w14:textId="77777777" w:rsidR="003576E0" w:rsidRPr="003576E0" w:rsidRDefault="003576E0" w:rsidP="003576E0">
      <w:pPr>
        <w:spacing w:line="360" w:lineRule="auto"/>
      </w:pPr>
    </w:p>
    <w:p w14:paraId="578EA27C" w14:textId="3DF00799" w:rsidR="00C63C60" w:rsidRDefault="00760C81" w:rsidP="003576E0">
      <w:pPr>
        <w:spacing w:line="360" w:lineRule="auto"/>
        <w:jc w:val="both"/>
        <w:rPr>
          <w:rFonts w:ascii="Arial" w:hAnsi="Arial" w:cs="Arial"/>
        </w:rPr>
      </w:pPr>
      <w:r w:rsidRPr="00760C81">
        <w:rPr>
          <w:rFonts w:ascii="Arial" w:hAnsi="Arial" w:cs="Arial"/>
        </w:rPr>
        <w:t xml:space="preserve">To mitigate the systemic governance and ethical failures identified by the Infected Blood Inquiry (2024), the NHS must undergo a fundamental paradigm shift toward a High-Reliability Organisation (HRO) framework. This transition requires moving beyond retrospective "blame cultures" toward a prospective "risk-sensing" model, where clinical safety is prioritised over institutional reputation. </w:t>
      </w:r>
    </w:p>
    <w:p w14:paraId="063D6501" w14:textId="70C78B4A" w:rsidR="00C63C60" w:rsidRPr="00760C81" w:rsidRDefault="00760C81" w:rsidP="003576E0">
      <w:pPr>
        <w:spacing w:line="360" w:lineRule="auto"/>
        <w:jc w:val="both"/>
        <w:rPr>
          <w:rFonts w:ascii="Arial" w:hAnsi="Arial" w:cs="Arial"/>
        </w:rPr>
      </w:pPr>
      <w:r w:rsidRPr="00760C81">
        <w:rPr>
          <w:rFonts w:ascii="Arial" w:hAnsi="Arial" w:cs="Arial"/>
        </w:rPr>
        <w:lastRenderedPageBreak/>
        <w:t>The following recommendations provide a strategic roadmap for this evolution.</w:t>
      </w:r>
    </w:p>
    <w:p w14:paraId="1DFD25D9" w14:textId="77777777" w:rsidR="00760C81" w:rsidRDefault="00760C81" w:rsidP="003576E0">
      <w:pPr>
        <w:spacing w:line="360" w:lineRule="auto"/>
        <w:jc w:val="both"/>
        <w:rPr>
          <w:rFonts w:ascii="Arial" w:hAnsi="Arial" w:cs="Arial"/>
          <w:b/>
          <w:bCs/>
        </w:rPr>
      </w:pPr>
      <w:r w:rsidRPr="00760C81">
        <w:rPr>
          <w:rFonts w:ascii="Arial" w:hAnsi="Arial" w:cs="Arial"/>
          <w:b/>
          <w:bCs/>
        </w:rPr>
        <w:t>3.1 Structural Governance and the Statutory Duty of Candour</w:t>
      </w:r>
    </w:p>
    <w:p w14:paraId="2ED772F8" w14:textId="2399D736" w:rsidR="00493EE0" w:rsidRPr="00493EE0" w:rsidRDefault="00493EE0" w:rsidP="003576E0">
      <w:pPr>
        <w:spacing w:line="360" w:lineRule="auto"/>
        <w:jc w:val="both"/>
        <w:rPr>
          <w:rFonts w:ascii="Arial" w:hAnsi="Arial" w:cs="Arial"/>
        </w:rPr>
      </w:pPr>
      <w:r w:rsidRPr="00493EE0">
        <w:rPr>
          <w:rFonts w:ascii="Arial" w:hAnsi="Arial" w:cs="Arial"/>
        </w:rPr>
        <w:t>The NHS must transcend fragmented oversight by empowering a centralised, UK-wide Safety Management System (SMS). While the Infected Blood Compensation Authority (IBCA) serves as a vehicle for restorative justice, the scale of this governance failure</w:t>
      </w:r>
      <w:r w:rsidR="00D90650">
        <w:rPr>
          <w:rFonts w:ascii="Arial" w:hAnsi="Arial" w:cs="Arial"/>
        </w:rPr>
        <w:t xml:space="preserve">, </w:t>
      </w:r>
      <w:r w:rsidRPr="00493EE0">
        <w:rPr>
          <w:rFonts w:ascii="Arial" w:hAnsi="Arial" w:cs="Arial"/>
        </w:rPr>
        <w:t>marked by 30,000 infections and 3,000 deaths</w:t>
      </w:r>
      <w:r w:rsidR="00D90650">
        <w:rPr>
          <w:rFonts w:ascii="Arial" w:hAnsi="Arial" w:cs="Arial"/>
        </w:rPr>
        <w:t xml:space="preserve">, </w:t>
      </w:r>
      <w:r w:rsidRPr="00493EE0">
        <w:rPr>
          <w:rFonts w:ascii="Arial" w:hAnsi="Arial" w:cs="Arial"/>
        </w:rPr>
        <w:t>necessitates a corresponding SMS capable of coordinating real-time safety alerts across devolved nations (Infected Blood Inquiry, 2024).</w:t>
      </w:r>
    </w:p>
    <w:p w14:paraId="0BD88E73" w14:textId="77777777" w:rsidR="00406DF5" w:rsidRDefault="00493EE0" w:rsidP="003576E0">
      <w:pPr>
        <w:spacing w:line="360" w:lineRule="auto"/>
        <w:jc w:val="both"/>
        <w:rPr>
          <w:rFonts w:ascii="Arial" w:hAnsi="Arial" w:cs="Arial"/>
        </w:rPr>
      </w:pPr>
      <w:r w:rsidRPr="00493EE0">
        <w:rPr>
          <w:rFonts w:ascii="Arial" w:hAnsi="Arial" w:cs="Arial"/>
        </w:rPr>
        <w:t xml:space="preserve">Crucially, this must be underpinned by a reinforced Statutory Duty of Candour for senior leaders. </w:t>
      </w:r>
      <w:r w:rsidR="00406DF5" w:rsidRPr="00406DF5">
        <w:rPr>
          <w:rFonts w:ascii="Arial" w:hAnsi="Arial" w:cs="Arial"/>
        </w:rPr>
        <w:t>This transition must move beyond 'box-ticking' compliance to ensure that ethical stewardship is embedded as a core leadership competency, rather than an administrative burden (Francis, 2013)</w:t>
      </w:r>
      <w:r w:rsidR="00406DF5">
        <w:rPr>
          <w:rFonts w:ascii="Arial" w:hAnsi="Arial" w:cs="Arial"/>
        </w:rPr>
        <w:t xml:space="preserve">. </w:t>
      </w:r>
      <w:r w:rsidRPr="00493EE0">
        <w:rPr>
          <w:rFonts w:ascii="Arial" w:hAnsi="Arial" w:cs="Arial"/>
        </w:rPr>
        <w:t xml:space="preserve">Analysis suggests that previous failures were rooted in "paternalistic inertia" and "institutional defensiveness" (Francis, 2013; Cabinet Office, 2025). </w:t>
      </w:r>
    </w:p>
    <w:p w14:paraId="36F5B117" w14:textId="1422886E" w:rsidR="00493EE0" w:rsidRPr="00760C81" w:rsidRDefault="00493EE0" w:rsidP="003576E0">
      <w:pPr>
        <w:spacing w:line="360" w:lineRule="auto"/>
        <w:jc w:val="both"/>
        <w:rPr>
          <w:rFonts w:ascii="Arial" w:hAnsi="Arial" w:cs="Arial"/>
        </w:rPr>
      </w:pPr>
      <w:r w:rsidRPr="00493EE0">
        <w:rPr>
          <w:rFonts w:ascii="Arial" w:hAnsi="Arial" w:cs="Arial"/>
        </w:rPr>
        <w:t>To counter this, executive boards must be held personally and legally accountable for the suppression of safety concerns. This structural accountability ensures that transparency is a mandatory leadership metric, shifting the institutional focus from "reputational management" to "patient-centred integrity" and ethical stewardship.</w:t>
      </w:r>
    </w:p>
    <w:p w14:paraId="124C30A7" w14:textId="77777777" w:rsidR="00760C81" w:rsidRDefault="00760C81" w:rsidP="003576E0">
      <w:pPr>
        <w:spacing w:line="360" w:lineRule="auto"/>
        <w:jc w:val="both"/>
        <w:rPr>
          <w:rFonts w:ascii="Arial" w:hAnsi="Arial" w:cs="Arial"/>
          <w:b/>
          <w:bCs/>
        </w:rPr>
      </w:pPr>
      <w:r w:rsidRPr="00760C81">
        <w:rPr>
          <w:rFonts w:ascii="Arial" w:hAnsi="Arial" w:cs="Arial"/>
          <w:b/>
          <w:bCs/>
        </w:rPr>
        <w:t>3.2 Technical Resilience through Domestic Self-Sufficiency</w:t>
      </w:r>
    </w:p>
    <w:p w14:paraId="2165C3AC" w14:textId="4659AC23" w:rsidR="00AC18A7" w:rsidRPr="00AC18A7" w:rsidRDefault="00AC18A7" w:rsidP="003576E0">
      <w:pPr>
        <w:spacing w:line="360" w:lineRule="auto"/>
        <w:jc w:val="both"/>
        <w:rPr>
          <w:rFonts w:ascii="Arial" w:hAnsi="Arial" w:cs="Arial"/>
        </w:rPr>
      </w:pPr>
      <w:r w:rsidRPr="00AC18A7">
        <w:rPr>
          <w:rFonts w:ascii="Arial" w:hAnsi="Arial" w:cs="Arial"/>
        </w:rPr>
        <w:t>A core strategic failure identified in the inquiry was the protracted reliance on high-risk international blood products. Historically, the UK’s 80% reliance on US imports created a supply chain vulnerability that prioritised commercial availability over stringent viral screening. To achieve technical resilience, the NHS must accelerate the expansion of the UK’s domestic plasma supply</w:t>
      </w:r>
      <w:r w:rsidR="001C44A9">
        <w:rPr>
          <w:rFonts w:ascii="Arial" w:hAnsi="Arial" w:cs="Arial"/>
        </w:rPr>
        <w:t xml:space="preserve">, </w:t>
      </w:r>
      <w:r w:rsidRPr="00AC18A7">
        <w:rPr>
          <w:rFonts w:ascii="Arial" w:hAnsi="Arial" w:cs="Arial"/>
        </w:rPr>
        <w:t>facilitated by the 2021 lifting of the donor ban</w:t>
      </w:r>
      <w:r w:rsidR="009130F9">
        <w:rPr>
          <w:rFonts w:ascii="Arial" w:hAnsi="Arial" w:cs="Arial"/>
        </w:rPr>
        <w:t xml:space="preserve">, </w:t>
      </w:r>
      <w:r w:rsidRPr="00AC18A7">
        <w:rPr>
          <w:rFonts w:ascii="Arial" w:hAnsi="Arial" w:cs="Arial"/>
        </w:rPr>
        <w:t>to secure treatment for over 5,000 patients currently dependent on immunoglobulin therapies (UK Government, 2024).</w:t>
      </w:r>
    </w:p>
    <w:p w14:paraId="57FE971E" w14:textId="2B441813" w:rsidR="006F50E2" w:rsidRPr="00AC18A7" w:rsidRDefault="00AC18A7" w:rsidP="003576E0">
      <w:pPr>
        <w:spacing w:line="360" w:lineRule="auto"/>
        <w:jc w:val="both"/>
        <w:rPr>
          <w:rFonts w:ascii="Arial" w:hAnsi="Arial" w:cs="Arial"/>
        </w:rPr>
      </w:pPr>
      <w:r w:rsidRPr="00AC18A7">
        <w:rPr>
          <w:rFonts w:ascii="Arial" w:hAnsi="Arial" w:cs="Arial"/>
        </w:rPr>
        <w:t xml:space="preserve">However, domestic supply must be coupled with advanced viral screening and mandatory "vein-to-vein" digital traceability. By investing in dedicated donor centres and modernised tracking (Reason, 2000), the NHS can eliminate the "blind spots" inherent in commercially sourced products (House of Lords Library, 2024). This represents a shift toward the Precautionary Principle, where the absence of absolute </w:t>
      </w:r>
      <w:r w:rsidRPr="00AC18A7">
        <w:rPr>
          <w:rFonts w:ascii="Arial" w:hAnsi="Arial" w:cs="Arial"/>
        </w:rPr>
        <w:lastRenderedPageBreak/>
        <w:t xml:space="preserve">scientific certainty no longer justifies delaying preventative safety actions. </w:t>
      </w:r>
      <w:r w:rsidR="00B11C04" w:rsidRPr="00B11C04">
        <w:rPr>
          <w:rFonts w:ascii="Arial" w:hAnsi="Arial" w:cs="Arial"/>
        </w:rPr>
        <w:t>Achieving therapeutic sovereignty through an altruistic domestic model provides a dual benefit: it secures the supply chain while eliminating the ethical compromises inherent in international 'paid-for' donor markets (Infected Blood Inquiry, 2024)</w:t>
      </w:r>
      <w:r w:rsidR="00B11C04">
        <w:rPr>
          <w:rFonts w:ascii="Arial" w:hAnsi="Arial" w:cs="Arial"/>
        </w:rPr>
        <w:t xml:space="preserve">. </w:t>
      </w:r>
      <w:r w:rsidRPr="00AC18A7">
        <w:rPr>
          <w:rFonts w:ascii="Arial" w:hAnsi="Arial" w:cs="Arial"/>
        </w:rPr>
        <w:t>Crucially, this transition moves the NHS toward therapeutic sovereignty, replacing the ethically compromised "paid-for" international donor models with a resilient, altruistic domestic framework.</w:t>
      </w:r>
    </w:p>
    <w:p w14:paraId="505539AE" w14:textId="621AB5FC" w:rsidR="006F50E2" w:rsidRPr="006F50E2" w:rsidRDefault="00760C81" w:rsidP="003576E0">
      <w:pPr>
        <w:spacing w:line="360" w:lineRule="auto"/>
        <w:jc w:val="both"/>
        <w:rPr>
          <w:rFonts w:ascii="Arial" w:hAnsi="Arial" w:cs="Arial"/>
          <w:b/>
          <w:bCs/>
        </w:rPr>
      </w:pPr>
      <w:r w:rsidRPr="00760C81">
        <w:rPr>
          <w:rFonts w:ascii="Arial" w:hAnsi="Arial" w:cs="Arial"/>
          <w:b/>
          <w:bCs/>
        </w:rPr>
        <w:t>3.3 Cultivating Psychological Safety and the "Patient Voice"</w:t>
      </w:r>
    </w:p>
    <w:p w14:paraId="276DA510" w14:textId="452C5211" w:rsidR="00D97B54" w:rsidRPr="00D97B54" w:rsidRDefault="00D97B54" w:rsidP="003576E0">
      <w:pPr>
        <w:spacing w:line="360" w:lineRule="auto"/>
        <w:jc w:val="both"/>
        <w:rPr>
          <w:rFonts w:ascii="Arial" w:hAnsi="Arial" w:cs="Arial"/>
        </w:rPr>
      </w:pPr>
      <w:r w:rsidRPr="00D97B54">
        <w:rPr>
          <w:rFonts w:ascii="Arial" w:hAnsi="Arial" w:cs="Arial"/>
        </w:rPr>
        <w:t xml:space="preserve">Cultural transformation requires the structural integration of Psychological Safety, a state where clinical staff feel empowered to "stop the line" without fear of reprisal (Edmondson, 1999). This is currently being operationalised through the Patient Safety Incident Response Framework (PSIRF), which shifts the focus from blame to systems-based learning. By 2026, all clinical curricula should incorporate lessons from the infected blood scandal, using patient testimony to humanise systemic risk and prevent historical desensitisation. </w:t>
      </w:r>
    </w:p>
    <w:p w14:paraId="07881BE2" w14:textId="304EAC8F" w:rsidR="00C85283" w:rsidRDefault="00D97B54" w:rsidP="003576E0">
      <w:pPr>
        <w:spacing w:line="360" w:lineRule="auto"/>
        <w:jc w:val="both"/>
        <w:rPr>
          <w:rFonts w:ascii="Arial" w:hAnsi="Arial" w:cs="Arial"/>
        </w:rPr>
      </w:pPr>
      <w:r w:rsidRPr="00D97B54">
        <w:rPr>
          <w:rFonts w:ascii="Arial" w:hAnsi="Arial" w:cs="Arial"/>
        </w:rPr>
        <w:t>Furthermore, the "Patient Voice" must move from the periphery to the centre of governance. The 2024 implementation of Martha’s Rule</w:t>
      </w:r>
      <w:r w:rsidR="00697929">
        <w:rPr>
          <w:rFonts w:ascii="Arial" w:hAnsi="Arial" w:cs="Arial"/>
        </w:rPr>
        <w:t xml:space="preserve">, </w:t>
      </w:r>
      <w:r w:rsidRPr="00D97B54">
        <w:rPr>
          <w:rFonts w:ascii="Arial" w:hAnsi="Arial" w:cs="Arial"/>
        </w:rPr>
        <w:t>now active in all 210 acute inpatient sites</w:t>
      </w:r>
      <w:r w:rsidR="00697929">
        <w:rPr>
          <w:rFonts w:ascii="Arial" w:hAnsi="Arial" w:cs="Arial"/>
        </w:rPr>
        <w:t xml:space="preserve">, </w:t>
      </w:r>
      <w:r w:rsidRPr="00D97B54">
        <w:rPr>
          <w:rFonts w:ascii="Arial" w:hAnsi="Arial" w:cs="Arial"/>
        </w:rPr>
        <w:t>provides a formalised escalation route that has already triggered over 400 life-saving interventions. Providing patients with real-time access to the forthcoming Single Patient Record (SPR) further facilitates a "collaborative safety" model, allowing them to verify informed consent and identify diagnostic discrepancies.</w:t>
      </w:r>
      <w:r w:rsidR="00F7627C" w:rsidRPr="00F7627C">
        <w:t xml:space="preserve"> </w:t>
      </w:r>
      <w:r w:rsidR="00F7627C" w:rsidRPr="00F7627C">
        <w:rPr>
          <w:rFonts w:ascii="Arial" w:hAnsi="Arial" w:cs="Arial"/>
        </w:rPr>
        <w:t>However, the efficacy of the Single Patient Record (SPR) is contingent upon bridging the digital divide, as approximately 31% of the UK population still does not access health services online, ensuring that vulnerable populations with low digital literacy are not structurally excluded from these new safety mechanisms (Good Things Foundation, 2025).</w:t>
      </w:r>
      <w:r w:rsidRPr="00D97B54">
        <w:rPr>
          <w:rFonts w:ascii="Arial" w:hAnsi="Arial" w:cs="Arial"/>
        </w:rPr>
        <w:t xml:space="preserve"> While this democratisation of data acts as a safeguard against professional "groupthink," its success is contingent upon the NHS addressing the digital divide and reversing the declining confidence in "speaking up" reported in recent staff surveys. </w:t>
      </w:r>
    </w:p>
    <w:p w14:paraId="7378F92A" w14:textId="28D17BD3" w:rsidR="00694E58" w:rsidRPr="00694E58" w:rsidRDefault="00694E58" w:rsidP="003576E0">
      <w:pPr>
        <w:spacing w:line="360" w:lineRule="auto"/>
        <w:jc w:val="both"/>
        <w:rPr>
          <w:rFonts w:ascii="Arial" w:hAnsi="Arial" w:cs="Arial"/>
          <w:b/>
          <w:bCs/>
        </w:rPr>
      </w:pPr>
      <w:r w:rsidRPr="00694E58">
        <w:rPr>
          <w:rFonts w:ascii="Arial" w:hAnsi="Arial" w:cs="Arial"/>
          <w:b/>
          <w:bCs/>
        </w:rPr>
        <w:t>3.4 Sustaining Change: Leadership and Iterative Learning</w:t>
      </w:r>
    </w:p>
    <w:p w14:paraId="02FBBC91" w14:textId="4A46ED72" w:rsidR="00694E58" w:rsidRPr="00694E58" w:rsidRDefault="00694E58" w:rsidP="003576E0">
      <w:pPr>
        <w:spacing w:line="360" w:lineRule="auto"/>
        <w:jc w:val="both"/>
        <w:rPr>
          <w:rFonts w:ascii="Arial" w:hAnsi="Arial" w:cs="Arial"/>
        </w:rPr>
      </w:pPr>
      <w:r w:rsidRPr="00694E58">
        <w:rPr>
          <w:rFonts w:ascii="Arial" w:hAnsi="Arial" w:cs="Arial"/>
        </w:rPr>
        <w:t xml:space="preserve">The success of these reforms is contingent upon Strategic Leadership that avoids the "regression" typical of large-scale professional bureaucracies. Using Kotter’s (1996) </w:t>
      </w:r>
      <w:r w:rsidRPr="00694E58">
        <w:rPr>
          <w:rFonts w:ascii="Arial" w:hAnsi="Arial" w:cs="Arial"/>
        </w:rPr>
        <w:lastRenderedPageBreak/>
        <w:t>Eight-Step framework, leadership must anchor these changes in the institutional culture to prevent a return to the silos that obscured previous failures. While "short-term wins"</w:t>
      </w:r>
      <w:r>
        <w:rPr>
          <w:rFonts w:ascii="Arial" w:hAnsi="Arial" w:cs="Arial"/>
        </w:rPr>
        <w:t xml:space="preserve"> </w:t>
      </w:r>
      <w:r w:rsidRPr="00694E58">
        <w:rPr>
          <w:rFonts w:ascii="Arial" w:hAnsi="Arial" w:cs="Arial"/>
        </w:rPr>
        <w:t>such as the 2024 initiative to identify undiagnosed Hepatitis C cases</w:t>
      </w:r>
      <w:r w:rsidR="00570919">
        <w:rPr>
          <w:rFonts w:ascii="Arial" w:hAnsi="Arial" w:cs="Arial"/>
        </w:rPr>
        <w:t xml:space="preserve"> </w:t>
      </w:r>
      <w:r w:rsidRPr="00694E58">
        <w:rPr>
          <w:rFonts w:ascii="Arial" w:hAnsi="Arial" w:cs="Arial"/>
        </w:rPr>
        <w:t>are vital for rebuilding public trust, they must be viewed as the start of an iterative Plan-Do-Study-Act (PDSA) cycle, rather than a final destination.</w:t>
      </w:r>
    </w:p>
    <w:p w14:paraId="051800D0" w14:textId="5A315DE6" w:rsidR="00715668" w:rsidRDefault="00694E58" w:rsidP="003576E0">
      <w:pPr>
        <w:spacing w:line="360" w:lineRule="auto"/>
        <w:jc w:val="both"/>
        <w:rPr>
          <w:rFonts w:ascii="Arial" w:hAnsi="Arial" w:cs="Arial"/>
        </w:rPr>
      </w:pPr>
      <w:r w:rsidRPr="00694E58">
        <w:rPr>
          <w:rFonts w:ascii="Arial" w:hAnsi="Arial" w:cs="Arial"/>
        </w:rPr>
        <w:t>The efficacy of this iterative approach is evidenced by the NHS 'find and treat' programme, which has already achieved a 35% reduction in Hepatitis C mortality since 2015. This data validates the PDSA cycle as a mechanism for tangible clinical improvement, providing a benchmark for the total elimination of the virus by 2025 (NHS England, 2024). Ultimately, this demands a generational commitment to funding and a total abandonment of the defensive, cost-centric cultures that historically prioritised economy over human life and safety</w:t>
      </w:r>
    </w:p>
    <w:p w14:paraId="346EFA20" w14:textId="796A39F7" w:rsidR="00715668" w:rsidRPr="00715668" w:rsidRDefault="00715668" w:rsidP="003576E0">
      <w:pPr>
        <w:pStyle w:val="Heading2"/>
        <w:spacing w:line="360" w:lineRule="auto"/>
        <w:jc w:val="both"/>
        <w:rPr>
          <w:rFonts w:ascii="Arial" w:hAnsi="Arial" w:cs="Arial"/>
          <w:b/>
          <w:bCs/>
          <w:sz w:val="24"/>
          <w:szCs w:val="24"/>
        </w:rPr>
      </w:pPr>
      <w:r w:rsidRPr="00715668">
        <w:lastRenderedPageBreak/>
        <w:t xml:space="preserve"> </w:t>
      </w:r>
      <w:r w:rsidRPr="00715668">
        <w:rPr>
          <w:rFonts w:ascii="Arial" w:hAnsi="Arial" w:cs="Arial"/>
          <w:b/>
          <w:bCs/>
          <w:color w:val="auto"/>
          <w:sz w:val="24"/>
          <w:szCs w:val="24"/>
        </w:rPr>
        <w:t xml:space="preserve"> </w:t>
      </w:r>
      <w:bookmarkStart w:id="5" w:name="_Toc225442566"/>
      <w:r>
        <w:rPr>
          <w:rFonts w:ascii="Arial" w:hAnsi="Arial" w:cs="Arial"/>
          <w:b/>
          <w:bCs/>
          <w:color w:val="auto"/>
          <w:sz w:val="24"/>
          <w:szCs w:val="24"/>
        </w:rPr>
        <w:t xml:space="preserve">4.0 </w:t>
      </w:r>
      <w:r w:rsidRPr="00715668">
        <w:rPr>
          <w:rFonts w:ascii="Arial" w:hAnsi="Arial" w:cs="Arial"/>
          <w:b/>
          <w:bCs/>
          <w:color w:val="auto"/>
          <w:sz w:val="24"/>
          <w:szCs w:val="24"/>
        </w:rPr>
        <w:t>Benchmark</w:t>
      </w:r>
      <w:bookmarkEnd w:id="5"/>
    </w:p>
    <w:p w14:paraId="043B871F" w14:textId="77777777" w:rsidR="003D0D2D" w:rsidRDefault="00715668" w:rsidP="006F50E2">
      <w:pPr>
        <w:spacing w:line="360" w:lineRule="auto"/>
        <w:jc w:val="both"/>
        <w:rPr>
          <w:rFonts w:ascii="Arial" w:hAnsi="Arial" w:cs="Arial"/>
          <w:b/>
          <w:bCs/>
        </w:rPr>
      </w:pPr>
      <w:r w:rsidRPr="00715668">
        <w:rPr>
          <w:rFonts w:ascii="Arial" w:eastAsia="Aptos" w:hAnsi="Arial" w:cs="Arial"/>
          <w:b/>
          <w:bCs/>
          <w:noProof/>
        </w:rPr>
        <w:drawing>
          <wp:inline distT="0" distB="0" distL="0" distR="0" wp14:anchorId="1EF0CDC4" wp14:editId="271D6122">
            <wp:extent cx="5730176" cy="6336890"/>
            <wp:effectExtent l="0" t="0" r="4445" b="6985"/>
            <wp:docPr id="17727561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2655" cy="6383867"/>
                    </a:xfrm>
                    <a:prstGeom prst="rect">
                      <a:avLst/>
                    </a:prstGeom>
                    <a:noFill/>
                    <a:ln>
                      <a:noFill/>
                    </a:ln>
                  </pic:spPr>
                </pic:pic>
              </a:graphicData>
            </a:graphic>
          </wp:inline>
        </w:drawing>
      </w:r>
    </w:p>
    <w:p w14:paraId="0110C54B" w14:textId="77777777" w:rsidR="003D0D2D" w:rsidRDefault="003D0D2D" w:rsidP="006F50E2">
      <w:pPr>
        <w:spacing w:line="360" w:lineRule="auto"/>
        <w:jc w:val="both"/>
        <w:rPr>
          <w:rFonts w:ascii="Arial" w:hAnsi="Arial" w:cs="Arial"/>
          <w:b/>
          <w:bCs/>
        </w:rPr>
      </w:pPr>
    </w:p>
    <w:p w14:paraId="3497968D" w14:textId="77777777" w:rsidR="003D0D2D" w:rsidRDefault="003D0D2D" w:rsidP="006F50E2">
      <w:pPr>
        <w:spacing w:line="360" w:lineRule="auto"/>
        <w:jc w:val="both"/>
        <w:rPr>
          <w:rFonts w:ascii="Arial" w:hAnsi="Arial" w:cs="Arial"/>
          <w:b/>
          <w:bCs/>
        </w:rPr>
      </w:pPr>
    </w:p>
    <w:p w14:paraId="691FBADC" w14:textId="7B6D8BC2" w:rsidR="008E6164" w:rsidRPr="006F50E2" w:rsidRDefault="00E77E65" w:rsidP="006F50E2">
      <w:pPr>
        <w:spacing w:line="360" w:lineRule="auto"/>
        <w:jc w:val="both"/>
        <w:rPr>
          <w:rFonts w:ascii="Arial" w:hAnsi="Arial" w:cs="Arial"/>
        </w:rPr>
      </w:pPr>
      <w:r>
        <w:rPr>
          <w:rFonts w:ascii="Arial" w:hAnsi="Arial" w:cs="Arial"/>
          <w:b/>
          <w:bCs/>
        </w:rPr>
        <w:t>5</w:t>
      </w:r>
      <w:r w:rsidR="00715668">
        <w:rPr>
          <w:rFonts w:ascii="Arial" w:hAnsi="Arial" w:cs="Arial"/>
          <w:b/>
          <w:bCs/>
        </w:rPr>
        <w:t>.</w:t>
      </w:r>
      <w:r>
        <w:rPr>
          <w:rFonts w:ascii="Arial" w:hAnsi="Arial" w:cs="Arial"/>
          <w:b/>
          <w:bCs/>
        </w:rPr>
        <w:t>0</w:t>
      </w:r>
      <w:r w:rsidR="006C2D86" w:rsidRPr="006C2D86">
        <w:rPr>
          <w:rFonts w:ascii="Arial" w:hAnsi="Arial" w:cs="Arial"/>
          <w:b/>
          <w:bCs/>
        </w:rPr>
        <w:t xml:space="preserve"> Summary</w:t>
      </w:r>
    </w:p>
    <w:p w14:paraId="50B4B627" w14:textId="77777777" w:rsidR="006A149D" w:rsidRPr="006A149D" w:rsidRDefault="006A149D" w:rsidP="003576E0">
      <w:pPr>
        <w:spacing w:line="360" w:lineRule="auto"/>
        <w:jc w:val="both"/>
        <w:rPr>
          <w:rFonts w:ascii="Arial" w:hAnsi="Arial" w:cs="Arial"/>
        </w:rPr>
      </w:pPr>
      <w:r w:rsidRPr="006A149D">
        <w:rPr>
          <w:rFonts w:ascii="Arial" w:hAnsi="Arial" w:cs="Arial"/>
        </w:rPr>
        <w:t xml:space="preserve">The contaminated blood scandal represents one of the most profound and preventable failures in NHS history, exposing deep structural weaknesses in governance, risk management, and patient-safety culture. Between the 1970s and 1990s, more than </w:t>
      </w:r>
      <w:r w:rsidRPr="006A149D">
        <w:rPr>
          <w:rFonts w:ascii="Arial" w:hAnsi="Arial" w:cs="Arial"/>
        </w:rPr>
        <w:lastRenderedPageBreak/>
        <w:t xml:space="preserve">30,000 patients were infected with HIV and Hepatitis C through contaminated products, despite emerging scientific evidence of virological risk and the availability of safer alternatives. The Infected Blood Inquiry (2024) concluded that these harms were not accidental but stemmed from a "catalogue of failures" across policy, regulation, and organisational accountability, compounded by a lack of transparency that prioritised institutional reputation over patient safety. </w:t>
      </w:r>
    </w:p>
    <w:p w14:paraId="7DFDD939" w14:textId="1FBE79FE" w:rsidR="006A149D" w:rsidRPr="006A149D" w:rsidRDefault="006A149D" w:rsidP="003576E0">
      <w:pPr>
        <w:spacing w:line="360" w:lineRule="auto"/>
        <w:jc w:val="both"/>
        <w:rPr>
          <w:rFonts w:ascii="Arial" w:hAnsi="Arial" w:cs="Arial"/>
        </w:rPr>
      </w:pPr>
      <w:r w:rsidRPr="006A149D">
        <w:rPr>
          <w:rFonts w:ascii="Arial" w:hAnsi="Arial" w:cs="Arial"/>
        </w:rPr>
        <w:t xml:space="preserve">This report has applied established quality-improvement frameworks to critically examine these failures. The Donabedian Model highlights how inadequate national infrastructure and delayed screening technologies created unsafe structural conditions. Fishbone (Ishikawa) analysis demonstrates the interconnected nature of policy shortcomings, operational weaknesses, and cultural complacency. SWOT analysis further reveals how </w:t>
      </w:r>
      <w:r w:rsidR="0057160A">
        <w:rPr>
          <w:rFonts w:ascii="Arial" w:hAnsi="Arial" w:cs="Arial"/>
        </w:rPr>
        <w:t>external political pressures intensified internal vulnerabilities</w:t>
      </w:r>
      <w:r w:rsidRPr="006A149D">
        <w:rPr>
          <w:rFonts w:ascii="Arial" w:hAnsi="Arial" w:cs="Arial"/>
        </w:rPr>
        <w:t>, while the PDSA cycle exposes the absence of the proactive monitoring required for a high-reliability system.</w:t>
      </w:r>
    </w:p>
    <w:p w14:paraId="0E834C0F" w14:textId="77777777" w:rsidR="006A149D" w:rsidRPr="006A149D" w:rsidRDefault="006A149D" w:rsidP="003576E0">
      <w:pPr>
        <w:spacing w:line="360" w:lineRule="auto"/>
        <w:jc w:val="both"/>
        <w:rPr>
          <w:rFonts w:ascii="Arial" w:hAnsi="Arial" w:cs="Arial"/>
        </w:rPr>
      </w:pPr>
      <w:r w:rsidRPr="006A149D">
        <w:rPr>
          <w:rFonts w:ascii="Arial" w:hAnsi="Arial" w:cs="Arial"/>
        </w:rPr>
        <w:t xml:space="preserve">Furthermore, Kotter’s Eight-Step Model illustrates how leadership inertia and a weak strategic vision hindered the urgent reform required during the crisis. While the DMAIC framework offers a structured, data-driven approach for strengthening future operational controls, its retrospective application highlights that quantitative data alone cannot rectify "harms of misrecognition" or ethical breaches. Finally, Lewin’s Change Model reinforces the importance of "unfreezing" the historically paternalistic NHS culture to allow for a permanent shift toward "ethical stewardship" and a robust Statutory Duty of Candour. </w:t>
      </w:r>
    </w:p>
    <w:p w14:paraId="5D0CD930" w14:textId="2B5629D0" w:rsidR="00544294" w:rsidRDefault="006A149D" w:rsidP="00544294">
      <w:pPr>
        <w:spacing w:line="360" w:lineRule="auto"/>
        <w:jc w:val="both"/>
        <w:rPr>
          <w:rFonts w:ascii="Arial" w:hAnsi="Arial" w:cs="Arial"/>
        </w:rPr>
      </w:pPr>
      <w:r w:rsidRPr="006A149D">
        <w:rPr>
          <w:rFonts w:ascii="Arial" w:hAnsi="Arial" w:cs="Arial"/>
        </w:rPr>
        <w:t>Collectively, these analyses demonstrate that preventing future failures requires a fundamental shift in leadership accountability and organisational learning. Strengthening regulatory coherence, investing in domestic plasma self-sufficiency, and embedding robust improvement frameworks are essential to restoring public trust. As the UK implements the Infected Blood Compensation Authority (IBCA) in 2024–2025, the focus must remain on a "Just Culture" that ensures such catastrophic, preventable harm can never recur.</w:t>
      </w:r>
    </w:p>
    <w:p w14:paraId="3A867E1C" w14:textId="77777777" w:rsidR="006F60F8" w:rsidRDefault="006F60F8" w:rsidP="00544294">
      <w:pPr>
        <w:spacing w:line="360" w:lineRule="auto"/>
        <w:jc w:val="both"/>
        <w:rPr>
          <w:rFonts w:ascii="Arial" w:hAnsi="Arial" w:cs="Arial"/>
        </w:rPr>
      </w:pPr>
    </w:p>
    <w:p w14:paraId="2B0EE744" w14:textId="77777777" w:rsidR="006F60F8" w:rsidRDefault="006F60F8" w:rsidP="00544294">
      <w:pPr>
        <w:spacing w:line="360" w:lineRule="auto"/>
        <w:jc w:val="both"/>
        <w:rPr>
          <w:rFonts w:ascii="Arial" w:hAnsi="Arial" w:cs="Arial"/>
        </w:rPr>
      </w:pPr>
    </w:p>
    <w:p w14:paraId="024114F4" w14:textId="77777777" w:rsidR="006F60F8" w:rsidRDefault="006F60F8" w:rsidP="00544294">
      <w:pPr>
        <w:spacing w:line="360" w:lineRule="auto"/>
        <w:jc w:val="both"/>
        <w:rPr>
          <w:rFonts w:ascii="Arial" w:hAnsi="Arial" w:cs="Arial"/>
        </w:rPr>
      </w:pPr>
    </w:p>
    <w:p w14:paraId="0902B78B" w14:textId="77777777" w:rsidR="006F60F8" w:rsidRDefault="006F60F8" w:rsidP="00544294">
      <w:pPr>
        <w:spacing w:line="360" w:lineRule="auto"/>
        <w:jc w:val="both"/>
        <w:rPr>
          <w:rFonts w:ascii="Arial" w:hAnsi="Arial" w:cs="Arial"/>
        </w:rPr>
      </w:pPr>
    </w:p>
    <w:p w14:paraId="0C174E1C" w14:textId="77777777" w:rsidR="006F60F8" w:rsidRDefault="006F60F8" w:rsidP="00544294">
      <w:pPr>
        <w:spacing w:line="360" w:lineRule="auto"/>
        <w:jc w:val="both"/>
        <w:rPr>
          <w:rFonts w:ascii="Arial" w:hAnsi="Arial" w:cs="Arial"/>
        </w:rPr>
      </w:pPr>
    </w:p>
    <w:p w14:paraId="56B34647" w14:textId="77777777" w:rsidR="006F60F8" w:rsidRDefault="006F60F8" w:rsidP="00544294">
      <w:pPr>
        <w:spacing w:line="360" w:lineRule="auto"/>
        <w:jc w:val="both"/>
        <w:rPr>
          <w:rFonts w:ascii="Arial" w:hAnsi="Arial" w:cs="Arial"/>
        </w:rPr>
      </w:pPr>
    </w:p>
    <w:p w14:paraId="18F01D67" w14:textId="77777777" w:rsidR="006F60F8" w:rsidRDefault="006F60F8" w:rsidP="00544294">
      <w:pPr>
        <w:spacing w:line="360" w:lineRule="auto"/>
        <w:jc w:val="both"/>
        <w:rPr>
          <w:rFonts w:ascii="Arial" w:hAnsi="Arial" w:cs="Arial"/>
        </w:rPr>
      </w:pPr>
    </w:p>
    <w:p w14:paraId="200CAEBA" w14:textId="77777777" w:rsidR="006F60F8" w:rsidRDefault="006F60F8" w:rsidP="00544294">
      <w:pPr>
        <w:spacing w:line="360" w:lineRule="auto"/>
        <w:jc w:val="both"/>
        <w:rPr>
          <w:rFonts w:ascii="Arial" w:hAnsi="Arial" w:cs="Arial"/>
        </w:rPr>
      </w:pPr>
    </w:p>
    <w:p w14:paraId="578CDD15" w14:textId="77777777" w:rsidR="006F60F8" w:rsidRDefault="006F60F8" w:rsidP="00544294">
      <w:pPr>
        <w:spacing w:line="360" w:lineRule="auto"/>
        <w:jc w:val="both"/>
        <w:rPr>
          <w:rFonts w:ascii="Arial" w:hAnsi="Arial" w:cs="Arial"/>
        </w:rPr>
      </w:pPr>
    </w:p>
    <w:p w14:paraId="6FCFF229" w14:textId="77777777" w:rsidR="006F60F8" w:rsidRDefault="006F60F8" w:rsidP="00544294">
      <w:pPr>
        <w:spacing w:line="360" w:lineRule="auto"/>
        <w:jc w:val="both"/>
        <w:rPr>
          <w:rFonts w:ascii="Arial" w:hAnsi="Arial" w:cs="Arial"/>
        </w:rPr>
      </w:pPr>
    </w:p>
    <w:p w14:paraId="230DEAE3" w14:textId="77777777" w:rsidR="006F60F8" w:rsidRDefault="006F60F8" w:rsidP="00544294">
      <w:pPr>
        <w:spacing w:line="360" w:lineRule="auto"/>
        <w:jc w:val="both"/>
        <w:rPr>
          <w:rFonts w:ascii="Arial" w:hAnsi="Arial" w:cs="Arial"/>
        </w:rPr>
      </w:pPr>
    </w:p>
    <w:p w14:paraId="4F85DBBE" w14:textId="77777777" w:rsidR="006F60F8" w:rsidRDefault="006F60F8" w:rsidP="00544294">
      <w:pPr>
        <w:spacing w:line="360" w:lineRule="auto"/>
        <w:jc w:val="both"/>
        <w:rPr>
          <w:rFonts w:ascii="Arial" w:hAnsi="Arial" w:cs="Arial"/>
        </w:rPr>
      </w:pPr>
    </w:p>
    <w:p w14:paraId="453E34C6" w14:textId="77777777" w:rsidR="006F60F8" w:rsidRDefault="006F60F8" w:rsidP="00544294">
      <w:pPr>
        <w:spacing w:line="360" w:lineRule="auto"/>
        <w:jc w:val="both"/>
        <w:rPr>
          <w:rFonts w:ascii="Arial" w:hAnsi="Arial" w:cs="Arial"/>
        </w:rPr>
      </w:pPr>
    </w:p>
    <w:p w14:paraId="5F02E2D5" w14:textId="77777777" w:rsidR="006F60F8" w:rsidRDefault="006F60F8" w:rsidP="00544294">
      <w:pPr>
        <w:spacing w:line="360" w:lineRule="auto"/>
        <w:jc w:val="both"/>
        <w:rPr>
          <w:rFonts w:ascii="Arial" w:hAnsi="Arial" w:cs="Arial"/>
        </w:rPr>
      </w:pPr>
    </w:p>
    <w:p w14:paraId="7A6619F9" w14:textId="77777777" w:rsidR="006F60F8" w:rsidRDefault="006F60F8" w:rsidP="00544294">
      <w:pPr>
        <w:spacing w:line="360" w:lineRule="auto"/>
        <w:jc w:val="both"/>
        <w:rPr>
          <w:rFonts w:ascii="Arial" w:hAnsi="Arial" w:cs="Arial"/>
        </w:rPr>
      </w:pPr>
    </w:p>
    <w:p w14:paraId="171C8870" w14:textId="77777777" w:rsidR="006F60F8" w:rsidRDefault="006F60F8" w:rsidP="00544294">
      <w:pPr>
        <w:spacing w:line="360" w:lineRule="auto"/>
        <w:jc w:val="both"/>
        <w:rPr>
          <w:rFonts w:ascii="Arial" w:hAnsi="Arial" w:cs="Arial"/>
        </w:rPr>
      </w:pPr>
    </w:p>
    <w:p w14:paraId="01C0DF4A" w14:textId="77777777" w:rsidR="006F60F8" w:rsidRDefault="006F60F8" w:rsidP="00544294">
      <w:pPr>
        <w:spacing w:line="360" w:lineRule="auto"/>
        <w:jc w:val="both"/>
        <w:rPr>
          <w:rFonts w:ascii="Arial" w:hAnsi="Arial" w:cs="Arial"/>
        </w:rPr>
      </w:pPr>
    </w:p>
    <w:p w14:paraId="204BB9EB" w14:textId="77777777" w:rsidR="006F60F8" w:rsidRDefault="006F60F8" w:rsidP="00544294">
      <w:pPr>
        <w:spacing w:line="360" w:lineRule="auto"/>
        <w:jc w:val="both"/>
        <w:rPr>
          <w:rFonts w:ascii="Arial" w:hAnsi="Arial" w:cs="Arial"/>
        </w:rPr>
      </w:pPr>
    </w:p>
    <w:p w14:paraId="64C77D91" w14:textId="77777777" w:rsidR="006F60F8" w:rsidRDefault="006F60F8" w:rsidP="00544294">
      <w:pPr>
        <w:spacing w:line="360" w:lineRule="auto"/>
        <w:jc w:val="both"/>
        <w:rPr>
          <w:rFonts w:ascii="Arial" w:hAnsi="Arial" w:cs="Arial"/>
        </w:rPr>
      </w:pPr>
    </w:p>
    <w:p w14:paraId="48160EA3" w14:textId="77777777" w:rsidR="006F60F8" w:rsidRDefault="006F60F8" w:rsidP="00544294">
      <w:pPr>
        <w:spacing w:line="360" w:lineRule="auto"/>
        <w:jc w:val="both"/>
        <w:rPr>
          <w:rFonts w:ascii="Arial" w:hAnsi="Arial" w:cs="Arial"/>
        </w:rPr>
      </w:pPr>
    </w:p>
    <w:p w14:paraId="52AB40B1" w14:textId="77777777" w:rsidR="006F60F8" w:rsidRDefault="006F60F8" w:rsidP="00544294">
      <w:pPr>
        <w:spacing w:line="360" w:lineRule="auto"/>
        <w:jc w:val="both"/>
        <w:rPr>
          <w:rFonts w:ascii="Arial" w:hAnsi="Arial" w:cs="Arial"/>
        </w:rPr>
      </w:pPr>
    </w:p>
    <w:p w14:paraId="183B6E59" w14:textId="77777777" w:rsidR="006F60F8" w:rsidRDefault="006F60F8" w:rsidP="00544294">
      <w:pPr>
        <w:spacing w:line="360" w:lineRule="auto"/>
        <w:jc w:val="both"/>
        <w:rPr>
          <w:rFonts w:ascii="Arial" w:hAnsi="Arial" w:cs="Arial"/>
        </w:rPr>
      </w:pPr>
    </w:p>
    <w:p w14:paraId="5EF600C4" w14:textId="77777777" w:rsidR="006F60F8" w:rsidRDefault="006F60F8" w:rsidP="00544294">
      <w:pPr>
        <w:spacing w:line="360" w:lineRule="auto"/>
        <w:jc w:val="both"/>
        <w:rPr>
          <w:rFonts w:ascii="Arial" w:hAnsi="Arial" w:cs="Arial"/>
        </w:rPr>
      </w:pPr>
    </w:p>
    <w:p w14:paraId="28741074" w14:textId="2D8404E6" w:rsidR="008B5BBF" w:rsidRPr="000A0182" w:rsidRDefault="008B5BBF" w:rsidP="000A0182">
      <w:pPr>
        <w:pStyle w:val="Heading2"/>
        <w:rPr>
          <w:rFonts w:ascii="Arial" w:hAnsi="Arial" w:cs="Arial"/>
          <w:b/>
          <w:bCs/>
          <w:color w:val="auto"/>
          <w:sz w:val="24"/>
          <w:szCs w:val="24"/>
        </w:rPr>
      </w:pPr>
      <w:bookmarkStart w:id="6" w:name="_Toc225442567"/>
      <w:r w:rsidRPr="000A0182">
        <w:rPr>
          <w:rFonts w:ascii="Arial" w:hAnsi="Arial" w:cs="Arial"/>
          <w:b/>
          <w:bCs/>
          <w:color w:val="auto"/>
          <w:sz w:val="24"/>
          <w:szCs w:val="24"/>
        </w:rPr>
        <w:t>6.0 Reference List</w:t>
      </w:r>
      <w:bookmarkEnd w:id="6"/>
    </w:p>
    <w:p w14:paraId="232A0FF6" w14:textId="6C319317" w:rsidR="00F1234F" w:rsidRPr="00F1234F" w:rsidRDefault="00F1234F" w:rsidP="00544294">
      <w:pPr>
        <w:spacing w:line="360" w:lineRule="auto"/>
        <w:jc w:val="both"/>
        <w:rPr>
          <w:rFonts w:ascii="Arial" w:hAnsi="Arial" w:cs="Arial"/>
        </w:rPr>
      </w:pPr>
      <w:r w:rsidRPr="00F1234F">
        <w:rPr>
          <w:rFonts w:ascii="Arial" w:hAnsi="Arial" w:cs="Arial"/>
        </w:rPr>
        <w:t>Antony, J., Snee, R. and Hoerl, R. (2021) 'Lean Six Sigma: yesterday, today and tomorrow', </w:t>
      </w:r>
      <w:r w:rsidRPr="00F1234F">
        <w:rPr>
          <w:rFonts w:ascii="Arial" w:hAnsi="Arial" w:cs="Arial"/>
          <w:i/>
          <w:iCs/>
        </w:rPr>
        <w:t>International Journal of Quality &amp; Reliability Management</w:t>
      </w:r>
      <w:r w:rsidRPr="00F1234F">
        <w:rPr>
          <w:rFonts w:ascii="Arial" w:hAnsi="Arial" w:cs="Arial"/>
        </w:rPr>
        <w:t>, 38(1), pp. 1–12. Available at: </w:t>
      </w:r>
      <w:r w:rsidR="00C82E2A" w:rsidRPr="00C82E2A">
        <w:rPr>
          <w:rFonts w:ascii="Arial" w:hAnsi="Arial" w:cs="Arial"/>
        </w:rPr>
        <w:t>DOI:</w:t>
      </w:r>
      <w:hyperlink r:id="rId14" w:tgtFrame="_blank" w:history="1">
        <w:r w:rsidR="00C82E2A" w:rsidRPr="00C82E2A">
          <w:rPr>
            <w:rStyle w:val="Hyperlink"/>
            <w:rFonts w:ascii="Arial" w:hAnsi="Arial" w:cs="Arial"/>
          </w:rPr>
          <w:t>10.1108/IJQRM-03-2016-0035</w:t>
        </w:r>
      </w:hyperlink>
      <w:r>
        <w:rPr>
          <w:rFonts w:ascii="Arial" w:hAnsi="Arial" w:cs="Arial"/>
        </w:rPr>
        <w:t>.</w:t>
      </w:r>
      <w:r w:rsidRPr="00F1234F">
        <w:rPr>
          <w:rFonts w:ascii="Arial" w:hAnsi="Arial" w:cs="Arial"/>
        </w:rPr>
        <w:t> </w:t>
      </w:r>
    </w:p>
    <w:p w14:paraId="1FB3166D" w14:textId="52AC0352" w:rsidR="00F1234F" w:rsidRPr="00F1234F" w:rsidRDefault="00F1234F" w:rsidP="00544294">
      <w:pPr>
        <w:spacing w:line="360" w:lineRule="auto"/>
        <w:jc w:val="both"/>
        <w:rPr>
          <w:rFonts w:ascii="Arial" w:hAnsi="Arial" w:cs="Arial"/>
        </w:rPr>
      </w:pPr>
      <w:r w:rsidRPr="00F1234F">
        <w:rPr>
          <w:rFonts w:ascii="Arial" w:hAnsi="Arial" w:cs="Arial"/>
        </w:rPr>
        <w:lastRenderedPageBreak/>
        <w:t>Burnes, B. (2017) </w:t>
      </w:r>
      <w:r w:rsidRPr="00F1234F">
        <w:rPr>
          <w:rFonts w:ascii="Arial" w:hAnsi="Arial" w:cs="Arial"/>
          <w:i/>
          <w:iCs/>
        </w:rPr>
        <w:t>Managing change</w:t>
      </w:r>
      <w:r w:rsidRPr="00F1234F">
        <w:rPr>
          <w:rFonts w:ascii="Arial" w:hAnsi="Arial" w:cs="Arial"/>
        </w:rPr>
        <w:t xml:space="preserve">. 7th </w:t>
      </w:r>
      <w:proofErr w:type="spellStart"/>
      <w:r w:rsidRPr="00F1234F">
        <w:rPr>
          <w:rFonts w:ascii="Arial" w:hAnsi="Arial" w:cs="Arial"/>
        </w:rPr>
        <w:t>edn</w:t>
      </w:r>
      <w:proofErr w:type="spellEnd"/>
      <w:r w:rsidRPr="00F1234F">
        <w:rPr>
          <w:rFonts w:ascii="Arial" w:hAnsi="Arial" w:cs="Arial"/>
        </w:rPr>
        <w:t>. Harlow: Pearson Education. Available at: </w:t>
      </w:r>
      <w:r w:rsidR="00505B32" w:rsidRPr="00505B32">
        <w:rPr>
          <w:rFonts w:ascii="Arial" w:hAnsi="Arial" w:cs="Arial"/>
        </w:rPr>
        <w:t>https://</w:t>
      </w:r>
      <w:hyperlink r:id="rId15" w:history="1">
        <w:r w:rsidR="00931936" w:rsidRPr="00931936">
          <w:rPr>
            <w:rStyle w:val="Hyperlink"/>
            <w:rFonts w:ascii="Arial" w:hAnsi="Arial" w:cs="Arial"/>
          </w:rPr>
          <w:t>BurnesBernard-Managingchange2017Pearson (1).pdf</w:t>
        </w:r>
      </w:hyperlink>
      <w:r w:rsidR="00A81DCE">
        <w:rPr>
          <w:rFonts w:ascii="Arial" w:hAnsi="Arial" w:cs="Arial"/>
        </w:rPr>
        <w:t>.</w:t>
      </w:r>
      <w:r w:rsidR="00931936" w:rsidRPr="00F1234F">
        <w:rPr>
          <w:rFonts w:ascii="Arial" w:hAnsi="Arial" w:cs="Arial"/>
        </w:rPr>
        <w:t xml:space="preserve"> </w:t>
      </w:r>
      <w:r w:rsidRPr="00F1234F">
        <w:rPr>
          <w:rFonts w:ascii="Arial" w:hAnsi="Arial" w:cs="Arial"/>
        </w:rPr>
        <w:t>(Accessed: 6 March 2026).</w:t>
      </w:r>
    </w:p>
    <w:p w14:paraId="34702712" w14:textId="1B022EB2" w:rsidR="00F1234F" w:rsidRPr="00F1234F" w:rsidRDefault="00F1234F" w:rsidP="00544294">
      <w:pPr>
        <w:spacing w:line="360" w:lineRule="auto"/>
        <w:jc w:val="both"/>
        <w:rPr>
          <w:rFonts w:ascii="Arial" w:hAnsi="Arial" w:cs="Arial"/>
        </w:rPr>
      </w:pPr>
      <w:r w:rsidRPr="00F1234F">
        <w:rPr>
          <w:rFonts w:ascii="Arial" w:hAnsi="Arial" w:cs="Arial"/>
        </w:rPr>
        <w:t>Burnes, B. (2020) 'The Origins of Lewin’s Three-Step Model of Change', </w:t>
      </w:r>
      <w:r w:rsidRPr="00F1234F">
        <w:rPr>
          <w:rFonts w:ascii="Arial" w:hAnsi="Arial" w:cs="Arial"/>
          <w:i/>
          <w:iCs/>
        </w:rPr>
        <w:t xml:space="preserve">Journal of Applied </w:t>
      </w:r>
      <w:r w:rsidR="009C2EC1">
        <w:rPr>
          <w:rFonts w:ascii="Arial" w:hAnsi="Arial" w:cs="Arial"/>
          <w:i/>
          <w:iCs/>
        </w:rPr>
        <w:t>Behavioural</w:t>
      </w:r>
      <w:r w:rsidRPr="00F1234F">
        <w:rPr>
          <w:rFonts w:ascii="Arial" w:hAnsi="Arial" w:cs="Arial"/>
          <w:i/>
          <w:iCs/>
        </w:rPr>
        <w:t xml:space="preserve"> Science</w:t>
      </w:r>
      <w:r w:rsidRPr="00F1234F">
        <w:rPr>
          <w:rFonts w:ascii="Arial" w:hAnsi="Arial" w:cs="Arial"/>
        </w:rPr>
        <w:t>, 56(1), pp. 32–59. Available at: </w:t>
      </w:r>
      <w:r w:rsidR="00A81DCE">
        <w:rPr>
          <w:rFonts w:ascii="Arial" w:hAnsi="Arial" w:cs="Arial"/>
        </w:rPr>
        <w:t xml:space="preserve"> </w:t>
      </w:r>
      <w:r w:rsidR="00A81DCE" w:rsidRPr="00F1234F">
        <w:rPr>
          <w:rFonts w:ascii="Arial" w:hAnsi="Arial" w:cs="Arial"/>
        </w:rPr>
        <w:t xml:space="preserve"> </w:t>
      </w:r>
      <w:hyperlink r:id="rId16" w:history="1">
        <w:r w:rsidR="00BF5C52" w:rsidRPr="00BF5C52">
          <w:rPr>
            <w:rStyle w:val="Hyperlink"/>
            <w:rFonts w:ascii="Arial" w:hAnsi="Arial" w:cs="Arial"/>
          </w:rPr>
          <w:t>https://doi.org/10.1177/0021886319892</w:t>
        </w:r>
      </w:hyperlink>
    </w:p>
    <w:p w14:paraId="4D979E5A" w14:textId="43D2841E" w:rsidR="00F1234F" w:rsidRPr="00F1234F" w:rsidRDefault="00F1234F" w:rsidP="00544294">
      <w:pPr>
        <w:spacing w:line="360" w:lineRule="auto"/>
        <w:jc w:val="both"/>
        <w:rPr>
          <w:rFonts w:ascii="Arial" w:hAnsi="Arial" w:cs="Arial"/>
        </w:rPr>
      </w:pPr>
      <w:r w:rsidRPr="00F1234F">
        <w:rPr>
          <w:rFonts w:ascii="Arial" w:hAnsi="Arial" w:cs="Arial"/>
        </w:rPr>
        <w:t>Burnes, B. and Cooke, B. (2013) 'Kurt Lewin’s legacy for change management: A critical review', </w:t>
      </w:r>
      <w:r w:rsidRPr="00F1234F">
        <w:rPr>
          <w:rFonts w:ascii="Arial" w:hAnsi="Arial" w:cs="Arial"/>
          <w:i/>
          <w:iCs/>
        </w:rPr>
        <w:t>Journal of Management Studies</w:t>
      </w:r>
      <w:r w:rsidRPr="00F1234F">
        <w:rPr>
          <w:rFonts w:ascii="Arial" w:hAnsi="Arial" w:cs="Arial"/>
        </w:rPr>
        <w:t>, 50(6), pp. 977–1002. Available at: </w:t>
      </w:r>
      <w:r w:rsidR="007A0AF0" w:rsidRPr="007A0AF0">
        <w:rPr>
          <w:rFonts w:ascii="Arial" w:hAnsi="Arial" w:cs="Arial"/>
        </w:rPr>
        <w:t>https://</w:t>
      </w:r>
      <w:hyperlink r:id="rId17" w:history="1">
        <w:r w:rsidR="0082373B" w:rsidRPr="0082373B">
          <w:rPr>
            <w:rStyle w:val="Hyperlink"/>
            <w:rFonts w:ascii="Arial" w:hAnsi="Arial" w:cs="Arial"/>
          </w:rPr>
          <w:t>Burnes, Bernard: Choices, Contexts, and Changes | Springer Nature Link</w:t>
        </w:r>
      </w:hyperlink>
      <w:r w:rsidR="0082373B" w:rsidRPr="00F1234F">
        <w:rPr>
          <w:rFonts w:ascii="Arial" w:hAnsi="Arial" w:cs="Arial"/>
        </w:rPr>
        <w:t xml:space="preserve"> </w:t>
      </w:r>
      <w:r w:rsidRPr="00F1234F">
        <w:rPr>
          <w:rFonts w:ascii="Arial" w:hAnsi="Arial" w:cs="Arial"/>
        </w:rPr>
        <w:t>Accessed: 6 March 2026).</w:t>
      </w:r>
    </w:p>
    <w:p w14:paraId="4CA2C11B" w14:textId="6790AB33" w:rsidR="00F1234F" w:rsidRPr="00F1234F" w:rsidRDefault="00F1234F" w:rsidP="00544294">
      <w:pPr>
        <w:spacing w:line="360" w:lineRule="auto"/>
        <w:jc w:val="both"/>
        <w:rPr>
          <w:rFonts w:ascii="Arial" w:hAnsi="Arial" w:cs="Arial"/>
        </w:rPr>
      </w:pPr>
      <w:r w:rsidRPr="00F1234F">
        <w:rPr>
          <w:rFonts w:ascii="Arial" w:hAnsi="Arial" w:cs="Arial"/>
        </w:rPr>
        <w:t>Cabinet Office (2025) </w:t>
      </w:r>
      <w:r w:rsidRPr="00F1234F">
        <w:rPr>
          <w:rFonts w:ascii="Arial" w:hAnsi="Arial" w:cs="Arial"/>
          <w:i/>
          <w:iCs/>
        </w:rPr>
        <w:t>Full government response to the Infected Blood Inquiry’s May 2024 report</w:t>
      </w:r>
      <w:r w:rsidRPr="00F1234F">
        <w:rPr>
          <w:rFonts w:ascii="Arial" w:hAnsi="Arial" w:cs="Arial"/>
        </w:rPr>
        <w:t>. London: UK Government. Available at: </w:t>
      </w:r>
      <w:r w:rsidR="009E2AE7">
        <w:rPr>
          <w:rFonts w:ascii="Arial" w:hAnsi="Arial" w:cs="Arial"/>
        </w:rPr>
        <w:t xml:space="preserve"> </w:t>
      </w:r>
      <w:r w:rsidR="000C77B6" w:rsidRPr="000C77B6">
        <w:rPr>
          <w:rFonts w:ascii="Arial" w:hAnsi="Arial" w:cs="Arial"/>
        </w:rPr>
        <w:t>https://</w:t>
      </w:r>
      <w:r w:rsidR="00B37252" w:rsidRPr="00B37252">
        <w:t xml:space="preserve"> </w:t>
      </w:r>
      <w:hyperlink r:id="rId18" w:history="1">
        <w:r w:rsidR="00B37252" w:rsidRPr="00B37252">
          <w:rPr>
            <w:rStyle w:val="Hyperlink"/>
            <w:rFonts w:ascii="Arial" w:hAnsi="Arial" w:cs="Arial"/>
          </w:rPr>
          <w:t>Full Government Response to the Infected Blood Inquiry's May 2024 Report (HTML) - GOV.UK</w:t>
        </w:r>
      </w:hyperlink>
      <w:r w:rsidR="000C77B6" w:rsidRPr="000C77B6">
        <w:rPr>
          <w:rFonts w:ascii="Arial" w:hAnsi="Arial" w:cs="Arial"/>
        </w:rPr>
        <w:t xml:space="preserve"> </w:t>
      </w:r>
      <w:r w:rsidRPr="00F1234F">
        <w:rPr>
          <w:rFonts w:ascii="Arial" w:hAnsi="Arial" w:cs="Arial"/>
        </w:rPr>
        <w:t>(Accessed: 6 March 2026).</w:t>
      </w:r>
    </w:p>
    <w:p w14:paraId="1AD6FD8E" w14:textId="39CBF1BF" w:rsidR="00F1234F" w:rsidRPr="00F1234F" w:rsidRDefault="00F1234F" w:rsidP="00544294">
      <w:pPr>
        <w:spacing w:line="360" w:lineRule="auto"/>
        <w:jc w:val="both"/>
        <w:rPr>
          <w:rFonts w:ascii="Arial" w:hAnsi="Arial" w:cs="Arial"/>
        </w:rPr>
      </w:pPr>
      <w:r w:rsidRPr="00F1234F">
        <w:rPr>
          <w:rFonts w:ascii="Arial" w:hAnsi="Arial" w:cs="Arial"/>
        </w:rPr>
        <w:t>Cummings, S., Bridgman, T. and Brown, K. (2016) 'Unfreezing change as three steps: Rethinking Kurt Lewin’s legacy', </w:t>
      </w:r>
      <w:r w:rsidRPr="00F1234F">
        <w:rPr>
          <w:rFonts w:ascii="Arial" w:hAnsi="Arial" w:cs="Arial"/>
          <w:i/>
          <w:iCs/>
        </w:rPr>
        <w:t>Human Relations</w:t>
      </w:r>
      <w:r w:rsidRPr="00F1234F">
        <w:rPr>
          <w:rFonts w:ascii="Arial" w:hAnsi="Arial" w:cs="Arial"/>
        </w:rPr>
        <w:t>, 69(1), pp. 33–60. Available at: </w:t>
      </w:r>
      <w:hyperlink r:id="rId19" w:history="1">
        <w:r w:rsidR="00FE43D7" w:rsidRPr="00FE43D7">
          <w:rPr>
            <w:rStyle w:val="Hyperlink"/>
            <w:rFonts w:ascii="Arial" w:hAnsi="Arial" w:cs="Arial"/>
          </w:rPr>
          <w:t>https://doi.org/10.1177/00187267155777</w:t>
        </w:r>
      </w:hyperlink>
      <w:r w:rsidR="007D56BC">
        <w:rPr>
          <w:rFonts w:ascii="Arial" w:hAnsi="Arial" w:cs="Arial"/>
        </w:rPr>
        <w:t>.</w:t>
      </w:r>
      <w:r w:rsidR="00FE43D7" w:rsidRPr="00F1234F">
        <w:rPr>
          <w:rFonts w:ascii="Arial" w:hAnsi="Arial" w:cs="Arial"/>
        </w:rPr>
        <w:t xml:space="preserve"> </w:t>
      </w:r>
    </w:p>
    <w:p w14:paraId="44C9F4C5" w14:textId="3882ADD6" w:rsidR="00F1234F" w:rsidRPr="00F1234F" w:rsidRDefault="00F1234F" w:rsidP="00544294">
      <w:pPr>
        <w:spacing w:line="360" w:lineRule="auto"/>
        <w:jc w:val="both"/>
        <w:rPr>
          <w:rFonts w:ascii="Arial" w:hAnsi="Arial" w:cs="Arial"/>
        </w:rPr>
      </w:pPr>
      <w:r w:rsidRPr="00F1234F">
        <w:rPr>
          <w:rFonts w:ascii="Arial" w:hAnsi="Arial" w:cs="Arial"/>
        </w:rPr>
        <w:t>Department of Health and Social Care (2024) </w:t>
      </w:r>
      <w:r w:rsidRPr="00F1234F">
        <w:rPr>
          <w:rFonts w:ascii="Arial" w:hAnsi="Arial" w:cs="Arial"/>
          <w:i/>
          <w:iCs/>
        </w:rPr>
        <w:t>Government response to the Infected Blood Inquiry</w:t>
      </w:r>
      <w:r w:rsidRPr="00F1234F">
        <w:rPr>
          <w:rFonts w:ascii="Arial" w:hAnsi="Arial" w:cs="Arial"/>
        </w:rPr>
        <w:t>. London: UK Government. Available at: </w:t>
      </w:r>
      <w:hyperlink r:id="rId20" w:history="1">
        <w:r w:rsidR="006964BF" w:rsidRPr="006964BF">
          <w:rPr>
            <w:rStyle w:val="Hyperlink"/>
            <w:rFonts w:ascii="Arial" w:hAnsi="Arial" w:cs="Arial"/>
          </w:rPr>
          <w:t>Full Government Response to the Infected Blood Inquiry's May 2024 Report (HTML) - GOV.UK</w:t>
        </w:r>
      </w:hyperlink>
      <w:r w:rsidR="006964BF">
        <w:rPr>
          <w:rFonts w:ascii="Arial" w:hAnsi="Arial" w:cs="Arial"/>
        </w:rPr>
        <w:t>.</w:t>
      </w:r>
      <w:r w:rsidR="006964BF" w:rsidRPr="00F1234F">
        <w:rPr>
          <w:rFonts w:ascii="Arial" w:hAnsi="Arial" w:cs="Arial"/>
        </w:rPr>
        <w:t xml:space="preserve"> </w:t>
      </w:r>
      <w:r w:rsidRPr="00F1234F">
        <w:rPr>
          <w:rFonts w:ascii="Arial" w:hAnsi="Arial" w:cs="Arial"/>
        </w:rPr>
        <w:t>(Accessed: 6 March 2026).</w:t>
      </w:r>
    </w:p>
    <w:p w14:paraId="12C00EA6" w14:textId="7046D5D7" w:rsidR="00F1234F" w:rsidRPr="00F1234F" w:rsidRDefault="00F1234F" w:rsidP="00544294">
      <w:pPr>
        <w:spacing w:line="360" w:lineRule="auto"/>
        <w:jc w:val="both"/>
        <w:rPr>
          <w:rFonts w:ascii="Arial" w:hAnsi="Arial" w:cs="Arial"/>
        </w:rPr>
      </w:pPr>
      <w:r w:rsidRPr="00F1234F">
        <w:rPr>
          <w:rFonts w:ascii="Arial" w:hAnsi="Arial" w:cs="Arial"/>
        </w:rPr>
        <w:t>Donabedian, A. (1988) 'The quality of care: How can it be assessed?', </w:t>
      </w:r>
      <w:r w:rsidRPr="00F1234F">
        <w:rPr>
          <w:rFonts w:ascii="Arial" w:hAnsi="Arial" w:cs="Arial"/>
          <w:i/>
          <w:iCs/>
        </w:rPr>
        <w:t>Journal of the American Medical Association</w:t>
      </w:r>
      <w:r w:rsidRPr="00F1234F">
        <w:rPr>
          <w:rFonts w:ascii="Arial" w:hAnsi="Arial" w:cs="Arial"/>
        </w:rPr>
        <w:t>, 260(12), pp. 1743–1748. Available at: </w:t>
      </w:r>
      <w:r w:rsidR="00C95CA1" w:rsidRPr="00C95CA1">
        <w:rPr>
          <w:rFonts w:ascii="Arial" w:hAnsi="Arial" w:cs="Arial"/>
        </w:rPr>
        <w:t>DOI: </w:t>
      </w:r>
      <w:hyperlink r:id="rId21" w:tgtFrame="_blank" w:history="1">
        <w:r w:rsidR="00C95CA1" w:rsidRPr="00C95CA1">
          <w:rPr>
            <w:rStyle w:val="Hyperlink"/>
            <w:rFonts w:ascii="Arial" w:hAnsi="Arial" w:cs="Arial"/>
          </w:rPr>
          <w:t>10.1001/jama.260.12.1743</w:t>
        </w:r>
      </w:hyperlink>
      <w:r w:rsidR="00C95CA1">
        <w:rPr>
          <w:rFonts w:ascii="Arial" w:hAnsi="Arial" w:cs="Arial"/>
        </w:rPr>
        <w:t>.</w:t>
      </w:r>
      <w:r w:rsidR="00C95CA1" w:rsidRPr="00F1234F">
        <w:rPr>
          <w:rFonts w:ascii="Arial" w:hAnsi="Arial" w:cs="Arial"/>
        </w:rPr>
        <w:t xml:space="preserve"> </w:t>
      </w:r>
    </w:p>
    <w:p w14:paraId="6CFEAB0D" w14:textId="4135A450" w:rsidR="00F1234F" w:rsidRDefault="00F1234F" w:rsidP="00544294">
      <w:pPr>
        <w:spacing w:line="360" w:lineRule="auto"/>
        <w:jc w:val="both"/>
        <w:rPr>
          <w:rFonts w:ascii="Arial" w:hAnsi="Arial" w:cs="Arial"/>
        </w:rPr>
      </w:pPr>
      <w:r w:rsidRPr="00F1234F">
        <w:rPr>
          <w:rFonts w:ascii="Arial" w:hAnsi="Arial" w:cs="Arial"/>
        </w:rPr>
        <w:t>Francis, R. (2013) </w:t>
      </w:r>
      <w:r w:rsidRPr="00F1234F">
        <w:rPr>
          <w:rFonts w:ascii="Arial" w:hAnsi="Arial" w:cs="Arial"/>
          <w:i/>
          <w:iCs/>
        </w:rPr>
        <w:t>Report of the Mid Staffordshire NHS Foundation Trust Public Inquiry</w:t>
      </w:r>
      <w:r w:rsidRPr="00F1234F">
        <w:rPr>
          <w:rFonts w:ascii="Arial" w:hAnsi="Arial" w:cs="Arial"/>
        </w:rPr>
        <w:t>. London: The Stationery Office. Available at: </w:t>
      </w:r>
      <w:hyperlink r:id="rId22" w:history="1">
        <w:r w:rsidR="005C709C" w:rsidRPr="005C709C">
          <w:rPr>
            <w:rStyle w:val="Hyperlink"/>
            <w:rFonts w:ascii="Arial" w:hAnsi="Arial" w:cs="Arial"/>
          </w:rPr>
          <w:t>About the Francis Inquiry | The Health Foundation</w:t>
        </w:r>
      </w:hyperlink>
      <w:r w:rsidR="005C709C">
        <w:rPr>
          <w:rFonts w:ascii="Arial" w:hAnsi="Arial" w:cs="Arial"/>
        </w:rPr>
        <w:t>.</w:t>
      </w:r>
      <w:r w:rsidR="005C709C" w:rsidRPr="00F1234F">
        <w:rPr>
          <w:rFonts w:ascii="Arial" w:hAnsi="Arial" w:cs="Arial"/>
        </w:rPr>
        <w:t xml:space="preserve"> </w:t>
      </w:r>
      <w:r w:rsidRPr="00F1234F">
        <w:rPr>
          <w:rFonts w:ascii="Arial" w:hAnsi="Arial" w:cs="Arial"/>
        </w:rPr>
        <w:t>(Accessed: 7 March 2026).</w:t>
      </w:r>
    </w:p>
    <w:p w14:paraId="5FB6DE6C" w14:textId="7DDC17DC" w:rsidR="00267D0A" w:rsidRPr="00F1234F" w:rsidRDefault="00267D0A" w:rsidP="00544294">
      <w:pPr>
        <w:spacing w:line="360" w:lineRule="auto"/>
        <w:jc w:val="both"/>
        <w:rPr>
          <w:rFonts w:ascii="Arial" w:hAnsi="Arial" w:cs="Arial"/>
        </w:rPr>
      </w:pPr>
      <w:hyperlink r:id="rId23" w:tgtFrame="_blank" w:history="1">
        <w:r w:rsidRPr="00267D0A">
          <w:rPr>
            <w:rStyle w:val="Hyperlink"/>
            <w:rFonts w:ascii="Arial" w:hAnsi="Arial" w:cs="Arial"/>
            <w:color w:val="auto"/>
            <w:u w:val="none"/>
          </w:rPr>
          <w:t>Good Things Foundation</w:t>
        </w:r>
      </w:hyperlink>
      <w:r w:rsidRPr="00267D0A">
        <w:rPr>
          <w:rFonts w:ascii="Arial" w:hAnsi="Arial" w:cs="Arial"/>
        </w:rPr>
        <w:t> (2025) </w:t>
      </w:r>
      <w:r w:rsidRPr="00267D0A">
        <w:rPr>
          <w:rFonts w:ascii="Arial" w:hAnsi="Arial" w:cs="Arial"/>
          <w:i/>
          <w:iCs/>
        </w:rPr>
        <w:t>Tackling inequality and digital exclusion in the future NHS</w:t>
      </w:r>
      <w:r w:rsidR="00D8214C">
        <w:rPr>
          <w:rFonts w:ascii="Arial" w:hAnsi="Arial" w:cs="Arial"/>
        </w:rPr>
        <w:t xml:space="preserve">. </w:t>
      </w:r>
      <w:r w:rsidRPr="00267D0A">
        <w:rPr>
          <w:rFonts w:ascii="Arial" w:hAnsi="Arial" w:cs="Arial"/>
        </w:rPr>
        <w:t xml:space="preserve">Available at: </w:t>
      </w:r>
      <w:hyperlink r:id="rId24" w:history="1">
        <w:r w:rsidR="0008547C" w:rsidRPr="0008547C">
          <w:rPr>
            <w:rStyle w:val="Hyperlink"/>
            <w:rFonts w:ascii="Arial" w:hAnsi="Arial" w:cs="Arial"/>
          </w:rPr>
          <w:t>From analogue to digital: Tackling inequality and digital exclusion in the future NHS | Good Things Foundation</w:t>
        </w:r>
      </w:hyperlink>
      <w:r w:rsidR="0008547C">
        <w:rPr>
          <w:rFonts w:ascii="Arial" w:hAnsi="Arial" w:cs="Arial"/>
        </w:rPr>
        <w:t xml:space="preserve">. </w:t>
      </w:r>
      <w:r w:rsidRPr="00267D0A">
        <w:rPr>
          <w:rFonts w:ascii="Arial" w:hAnsi="Arial" w:cs="Arial"/>
        </w:rPr>
        <w:t>(Accessed: 26 March 2026)</w:t>
      </w:r>
    </w:p>
    <w:p w14:paraId="00F50D22" w14:textId="3D58BFF1" w:rsidR="00F1234F" w:rsidRPr="00F1234F" w:rsidRDefault="00F1234F" w:rsidP="00544294">
      <w:pPr>
        <w:spacing w:line="360" w:lineRule="auto"/>
        <w:jc w:val="both"/>
        <w:rPr>
          <w:rFonts w:ascii="Arial" w:hAnsi="Arial" w:cs="Arial"/>
        </w:rPr>
      </w:pPr>
      <w:r w:rsidRPr="00F1234F">
        <w:rPr>
          <w:rFonts w:ascii="Arial" w:hAnsi="Arial" w:cs="Arial"/>
        </w:rPr>
        <w:lastRenderedPageBreak/>
        <w:t>Gürel, E. and Tat, M. (2017) 'SWOT analysis: A theoretical review', </w:t>
      </w:r>
      <w:r w:rsidRPr="00F1234F">
        <w:rPr>
          <w:rFonts w:ascii="Arial" w:hAnsi="Arial" w:cs="Arial"/>
          <w:i/>
          <w:iCs/>
        </w:rPr>
        <w:t>Journal of International Social Research</w:t>
      </w:r>
      <w:r w:rsidRPr="00F1234F">
        <w:rPr>
          <w:rFonts w:ascii="Arial" w:hAnsi="Arial" w:cs="Arial"/>
        </w:rPr>
        <w:t>, 10(51), pp. 994–1006. Available at: </w:t>
      </w:r>
      <w:hyperlink r:id="rId25" w:history="1">
        <w:r w:rsidR="00B34680" w:rsidRPr="00B34680">
          <w:rPr>
            <w:rStyle w:val="Hyperlink"/>
            <w:rFonts w:ascii="Arial" w:hAnsi="Arial" w:cs="Arial"/>
          </w:rPr>
          <w:t>jisr.2017-libre.pdf</w:t>
        </w:r>
      </w:hyperlink>
      <w:r w:rsidR="00B34680">
        <w:rPr>
          <w:rFonts w:ascii="Arial" w:hAnsi="Arial" w:cs="Arial"/>
        </w:rPr>
        <w:t>.</w:t>
      </w:r>
      <w:r w:rsidR="00B34680" w:rsidRPr="00F1234F">
        <w:rPr>
          <w:rFonts w:ascii="Arial" w:hAnsi="Arial" w:cs="Arial"/>
        </w:rPr>
        <w:t xml:space="preserve"> </w:t>
      </w:r>
      <w:r w:rsidRPr="00F1234F">
        <w:rPr>
          <w:rFonts w:ascii="Arial" w:hAnsi="Arial" w:cs="Arial"/>
        </w:rPr>
        <w:t>(Accessed: 7 March 2026).</w:t>
      </w:r>
    </w:p>
    <w:p w14:paraId="54058B1F" w14:textId="6043E9C9" w:rsidR="00F1234F" w:rsidRPr="00F1234F" w:rsidRDefault="00F1234F" w:rsidP="00544294">
      <w:pPr>
        <w:spacing w:line="360" w:lineRule="auto"/>
        <w:jc w:val="both"/>
        <w:rPr>
          <w:rFonts w:ascii="Arial" w:hAnsi="Arial" w:cs="Arial"/>
        </w:rPr>
      </w:pPr>
      <w:r w:rsidRPr="00F1234F">
        <w:rPr>
          <w:rFonts w:ascii="Arial" w:hAnsi="Arial" w:cs="Arial"/>
        </w:rPr>
        <w:t>Helms, M. and Nixon, J. (2010) 'Exploring SWOT analysis – where are we now?', </w:t>
      </w:r>
      <w:r w:rsidRPr="00F1234F">
        <w:rPr>
          <w:rFonts w:ascii="Arial" w:hAnsi="Arial" w:cs="Arial"/>
          <w:i/>
          <w:iCs/>
        </w:rPr>
        <w:t>Journal of Strategy and Management</w:t>
      </w:r>
      <w:r w:rsidRPr="00F1234F">
        <w:rPr>
          <w:rFonts w:ascii="Arial" w:hAnsi="Arial" w:cs="Arial"/>
        </w:rPr>
        <w:t>, 3(3), pp. 215–251. Available at: </w:t>
      </w:r>
      <w:hyperlink r:id="rId26" w:tgtFrame="_blank" w:history="1">
        <w:r w:rsidR="00CF4CAC" w:rsidRPr="00CF4CAC">
          <w:rPr>
            <w:rStyle w:val="Hyperlink"/>
            <w:rFonts w:ascii="Arial" w:hAnsi="Arial" w:cs="Arial"/>
          </w:rPr>
          <w:t>https://doi.org/10.1108/17554251011064837</w:t>
        </w:r>
      </w:hyperlink>
      <w:r w:rsidR="00CF4CAC">
        <w:rPr>
          <w:rFonts w:ascii="Arial" w:hAnsi="Arial" w:cs="Arial"/>
        </w:rPr>
        <w:t>.</w:t>
      </w:r>
      <w:r w:rsidR="00CF4CAC" w:rsidRPr="00F1234F">
        <w:rPr>
          <w:rFonts w:ascii="Arial" w:hAnsi="Arial" w:cs="Arial"/>
        </w:rPr>
        <w:t xml:space="preserve"> </w:t>
      </w:r>
    </w:p>
    <w:p w14:paraId="73B6FFD3" w14:textId="2E7C2042" w:rsidR="00F1234F" w:rsidRPr="00F1234F" w:rsidRDefault="00F1234F" w:rsidP="00544294">
      <w:pPr>
        <w:spacing w:line="360" w:lineRule="auto"/>
        <w:jc w:val="both"/>
        <w:rPr>
          <w:rFonts w:ascii="Arial" w:hAnsi="Arial" w:cs="Arial"/>
        </w:rPr>
      </w:pPr>
      <w:r w:rsidRPr="00F1234F">
        <w:rPr>
          <w:rFonts w:ascii="Arial" w:hAnsi="Arial" w:cs="Arial"/>
        </w:rPr>
        <w:t>House of Lords Library (2024) </w:t>
      </w:r>
      <w:r w:rsidRPr="00F1234F">
        <w:rPr>
          <w:rFonts w:ascii="Arial" w:hAnsi="Arial" w:cs="Arial"/>
          <w:i/>
          <w:iCs/>
        </w:rPr>
        <w:t>Infected blood scandal: Background, impacts, inquiry outcomes and compensation</w:t>
      </w:r>
      <w:r w:rsidRPr="00F1234F">
        <w:rPr>
          <w:rFonts w:ascii="Arial" w:hAnsi="Arial" w:cs="Arial"/>
        </w:rPr>
        <w:t>. London: House of Lords. Available at: </w:t>
      </w:r>
      <w:hyperlink r:id="rId27" w:history="1">
        <w:r w:rsidR="002D320F" w:rsidRPr="002D320F">
          <w:rPr>
            <w:rStyle w:val="Hyperlink"/>
            <w:rFonts w:ascii="Arial" w:hAnsi="Arial" w:cs="Arial"/>
          </w:rPr>
          <w:t>Infected blood scandal: Background, impacts, inquiry outcomes and compensation - House of Lords Library</w:t>
        </w:r>
      </w:hyperlink>
      <w:r w:rsidR="002D320F">
        <w:rPr>
          <w:rFonts w:ascii="Arial" w:hAnsi="Arial" w:cs="Arial"/>
        </w:rPr>
        <w:t>.</w:t>
      </w:r>
      <w:r w:rsidR="002D320F" w:rsidRPr="00F1234F">
        <w:rPr>
          <w:rFonts w:ascii="Arial" w:hAnsi="Arial" w:cs="Arial"/>
        </w:rPr>
        <w:t xml:space="preserve"> </w:t>
      </w:r>
      <w:r w:rsidRPr="00F1234F">
        <w:rPr>
          <w:rFonts w:ascii="Arial" w:hAnsi="Arial" w:cs="Arial"/>
        </w:rPr>
        <w:t>(Accessed: 6 March 2026).</w:t>
      </w:r>
    </w:p>
    <w:p w14:paraId="4E81259B" w14:textId="6AEE5259" w:rsidR="00F1234F" w:rsidRPr="00F1234F" w:rsidRDefault="00F1234F" w:rsidP="00544294">
      <w:pPr>
        <w:spacing w:line="360" w:lineRule="auto"/>
        <w:jc w:val="both"/>
        <w:rPr>
          <w:rFonts w:ascii="Arial" w:hAnsi="Arial" w:cs="Arial"/>
        </w:rPr>
      </w:pPr>
      <w:r w:rsidRPr="00F1234F">
        <w:rPr>
          <w:rFonts w:ascii="Arial" w:hAnsi="Arial" w:cs="Arial"/>
        </w:rPr>
        <w:t>Infected Blood Inquiry (2024) </w:t>
      </w:r>
      <w:r w:rsidRPr="00F1234F">
        <w:rPr>
          <w:rFonts w:ascii="Arial" w:hAnsi="Arial" w:cs="Arial"/>
          <w:i/>
          <w:iCs/>
        </w:rPr>
        <w:t>Final report of the Infected Blood Inquiry</w:t>
      </w:r>
      <w:r w:rsidRPr="00F1234F">
        <w:rPr>
          <w:rFonts w:ascii="Arial" w:hAnsi="Arial" w:cs="Arial"/>
        </w:rPr>
        <w:t>. London: HMSO. Available at: </w:t>
      </w:r>
      <w:hyperlink r:id="rId28" w:tgtFrame="_blank" w:history="1">
        <w:r w:rsidRPr="00F1234F">
          <w:rPr>
            <w:rStyle w:val="Hyperlink"/>
            <w:rFonts w:ascii="Arial" w:hAnsi="Arial" w:cs="Arial"/>
          </w:rPr>
          <w:t>infectedbloodinquiry.org.uk</w:t>
        </w:r>
      </w:hyperlink>
      <w:r w:rsidR="002D320F">
        <w:rPr>
          <w:rFonts w:ascii="Arial" w:hAnsi="Arial" w:cs="Arial"/>
        </w:rPr>
        <w:t>.</w:t>
      </w:r>
      <w:r w:rsidRPr="00F1234F">
        <w:rPr>
          <w:rFonts w:ascii="Arial" w:hAnsi="Arial" w:cs="Arial"/>
        </w:rPr>
        <w:t> (Accessed: 5 March 2026).</w:t>
      </w:r>
    </w:p>
    <w:p w14:paraId="4B8C9123" w14:textId="71501EA7" w:rsidR="00F1234F" w:rsidRPr="00F1234F" w:rsidRDefault="00F1234F" w:rsidP="00544294">
      <w:pPr>
        <w:spacing w:line="360" w:lineRule="auto"/>
        <w:jc w:val="both"/>
        <w:rPr>
          <w:rFonts w:ascii="Arial" w:hAnsi="Arial" w:cs="Arial"/>
          <w:b/>
          <w:bCs/>
        </w:rPr>
      </w:pPr>
      <w:r w:rsidRPr="00F1234F">
        <w:rPr>
          <w:rFonts w:ascii="Arial" w:hAnsi="Arial" w:cs="Arial"/>
        </w:rPr>
        <w:t>Janis, I.L. (1982) </w:t>
      </w:r>
      <w:r w:rsidRPr="00F1234F">
        <w:rPr>
          <w:rFonts w:ascii="Arial" w:hAnsi="Arial" w:cs="Arial"/>
          <w:i/>
          <w:iCs/>
        </w:rPr>
        <w:t xml:space="preserve">Groupthink: psychological studies of policy decisions and </w:t>
      </w:r>
      <w:proofErr w:type="spellStart"/>
      <w:r w:rsidRPr="00F1234F">
        <w:rPr>
          <w:rFonts w:ascii="Arial" w:hAnsi="Arial" w:cs="Arial"/>
          <w:i/>
          <w:iCs/>
        </w:rPr>
        <w:t>fiascoes</w:t>
      </w:r>
      <w:proofErr w:type="spellEnd"/>
      <w:r w:rsidRPr="00F1234F">
        <w:rPr>
          <w:rFonts w:ascii="Arial" w:hAnsi="Arial" w:cs="Arial"/>
        </w:rPr>
        <w:t xml:space="preserve">. 2nd </w:t>
      </w:r>
      <w:proofErr w:type="spellStart"/>
      <w:r w:rsidRPr="00F1234F">
        <w:rPr>
          <w:rFonts w:ascii="Arial" w:hAnsi="Arial" w:cs="Arial"/>
        </w:rPr>
        <w:t>edn</w:t>
      </w:r>
      <w:proofErr w:type="spellEnd"/>
      <w:r w:rsidRPr="00F1234F">
        <w:rPr>
          <w:rFonts w:ascii="Arial" w:hAnsi="Arial" w:cs="Arial"/>
        </w:rPr>
        <w:t>. Boston: Houghton Mifflin. Available at:</w:t>
      </w:r>
      <w:r w:rsidR="001C170A">
        <w:rPr>
          <w:rFonts w:ascii="Arial" w:hAnsi="Arial" w:cs="Arial"/>
          <w:b/>
          <w:bCs/>
        </w:rPr>
        <w:t xml:space="preserve"> </w:t>
      </w:r>
      <w:hyperlink r:id="rId29" w:history="1">
        <w:r w:rsidR="001C170A" w:rsidRPr="001C6EA2">
          <w:rPr>
            <w:rStyle w:val="Hyperlink"/>
            <w:rFonts w:ascii="Arial" w:hAnsi="Arial" w:cs="Arial"/>
          </w:rPr>
          <w:t>https://doi.org/10.1108/978-1-62396-191-620251016</w:t>
        </w:r>
      </w:hyperlink>
      <w:r w:rsidR="001C170A">
        <w:rPr>
          <w:rFonts w:ascii="Arial" w:hAnsi="Arial" w:cs="Arial"/>
        </w:rPr>
        <w:t>.</w:t>
      </w:r>
    </w:p>
    <w:p w14:paraId="6AA8BFC8" w14:textId="4740BCD3" w:rsidR="00F1234F" w:rsidRPr="00F1234F" w:rsidRDefault="00F1234F" w:rsidP="00544294">
      <w:pPr>
        <w:spacing w:line="360" w:lineRule="auto"/>
        <w:jc w:val="both"/>
        <w:rPr>
          <w:rFonts w:ascii="Arial" w:hAnsi="Arial" w:cs="Arial"/>
        </w:rPr>
      </w:pPr>
      <w:r w:rsidRPr="00F1234F">
        <w:rPr>
          <w:rFonts w:ascii="Arial" w:hAnsi="Arial" w:cs="Arial"/>
        </w:rPr>
        <w:t>Kotter, J.P. (1996) </w:t>
      </w:r>
      <w:r w:rsidRPr="00F1234F">
        <w:rPr>
          <w:rFonts w:ascii="Arial" w:hAnsi="Arial" w:cs="Arial"/>
          <w:i/>
          <w:iCs/>
        </w:rPr>
        <w:t>Leading change</w:t>
      </w:r>
      <w:r w:rsidRPr="00F1234F">
        <w:rPr>
          <w:rFonts w:ascii="Arial" w:hAnsi="Arial" w:cs="Arial"/>
        </w:rPr>
        <w:t>. Boston: Harvard Business School Press. Available at: </w:t>
      </w:r>
      <w:hyperlink r:id="rId30" w:history="1">
        <w:r w:rsidR="00D26371" w:rsidRPr="00D26371">
          <w:rPr>
            <w:rStyle w:val="Hyperlink"/>
            <w:rFonts w:ascii="Arial" w:hAnsi="Arial" w:cs="Arial"/>
          </w:rPr>
          <w:t>Leading Change - Book - Faculty &amp; Research - Harvard Business School</w:t>
        </w:r>
      </w:hyperlink>
      <w:r w:rsidR="00D26371">
        <w:rPr>
          <w:rFonts w:ascii="Arial" w:hAnsi="Arial" w:cs="Arial"/>
        </w:rPr>
        <w:t>.</w:t>
      </w:r>
      <w:r w:rsidR="00D26371" w:rsidRPr="00F1234F">
        <w:rPr>
          <w:rFonts w:ascii="Arial" w:hAnsi="Arial" w:cs="Arial"/>
        </w:rPr>
        <w:t xml:space="preserve"> </w:t>
      </w:r>
      <w:r w:rsidRPr="00F1234F">
        <w:rPr>
          <w:rFonts w:ascii="Arial" w:hAnsi="Arial" w:cs="Arial"/>
        </w:rPr>
        <w:t>(Accessed: 5 March 2026).</w:t>
      </w:r>
    </w:p>
    <w:p w14:paraId="66D25437" w14:textId="6E0A5C6E" w:rsidR="00F1234F" w:rsidRPr="00F1234F" w:rsidRDefault="00F1234F" w:rsidP="00544294">
      <w:pPr>
        <w:spacing w:line="360" w:lineRule="auto"/>
        <w:jc w:val="both"/>
        <w:rPr>
          <w:rFonts w:ascii="Arial" w:hAnsi="Arial" w:cs="Arial"/>
        </w:rPr>
      </w:pPr>
      <w:r w:rsidRPr="00F1234F">
        <w:rPr>
          <w:rFonts w:ascii="Arial" w:hAnsi="Arial" w:cs="Arial"/>
        </w:rPr>
        <w:t>Mind Tools (2022) </w:t>
      </w:r>
      <w:r w:rsidRPr="00F1234F">
        <w:rPr>
          <w:rFonts w:ascii="Arial" w:hAnsi="Arial" w:cs="Arial"/>
          <w:i/>
          <w:iCs/>
        </w:rPr>
        <w:t>Five Whys: Getting to the root of a problem quickly</w:t>
      </w:r>
      <w:r w:rsidRPr="00F1234F">
        <w:rPr>
          <w:rFonts w:ascii="Arial" w:hAnsi="Arial" w:cs="Arial"/>
        </w:rPr>
        <w:t>. Available at: </w:t>
      </w:r>
      <w:hyperlink r:id="rId31" w:history="1">
        <w:r w:rsidR="00B53B9A" w:rsidRPr="00B53B9A">
          <w:rPr>
            <w:rStyle w:val="Hyperlink"/>
            <w:rFonts w:ascii="Arial" w:hAnsi="Arial" w:cs="Arial"/>
          </w:rPr>
          <w:t>Finding the Cause of a Problem</w:t>
        </w:r>
      </w:hyperlink>
      <w:r w:rsidR="00B53B9A">
        <w:rPr>
          <w:rFonts w:ascii="Arial" w:hAnsi="Arial" w:cs="Arial"/>
        </w:rPr>
        <w:t>.</w:t>
      </w:r>
      <w:r w:rsidR="00B53B9A" w:rsidRPr="00F1234F">
        <w:rPr>
          <w:rFonts w:ascii="Arial" w:hAnsi="Arial" w:cs="Arial"/>
        </w:rPr>
        <w:t xml:space="preserve"> </w:t>
      </w:r>
      <w:r w:rsidRPr="00F1234F">
        <w:rPr>
          <w:rFonts w:ascii="Arial" w:hAnsi="Arial" w:cs="Arial"/>
        </w:rPr>
        <w:t>(Accessed: 7 March 2026).</w:t>
      </w:r>
    </w:p>
    <w:p w14:paraId="2DF5A5C9" w14:textId="252C09B2" w:rsidR="00F1234F" w:rsidRPr="00F1234F" w:rsidRDefault="00F1234F" w:rsidP="00544294">
      <w:pPr>
        <w:spacing w:line="360" w:lineRule="auto"/>
        <w:jc w:val="both"/>
        <w:rPr>
          <w:rFonts w:ascii="Arial" w:hAnsi="Arial" w:cs="Arial"/>
        </w:rPr>
      </w:pPr>
      <w:r w:rsidRPr="00F1234F">
        <w:rPr>
          <w:rFonts w:ascii="Arial" w:hAnsi="Arial" w:cs="Arial"/>
        </w:rPr>
        <w:t>NHS Blood and Transplant (2025) </w:t>
      </w:r>
      <w:r w:rsidRPr="00F1234F">
        <w:rPr>
          <w:rFonts w:ascii="Arial" w:hAnsi="Arial" w:cs="Arial"/>
          <w:i/>
          <w:iCs/>
        </w:rPr>
        <w:t>Annual Report and Accounts 2024 to 2025</w:t>
      </w:r>
      <w:r w:rsidRPr="00F1234F">
        <w:rPr>
          <w:rFonts w:ascii="Arial" w:hAnsi="Arial" w:cs="Arial"/>
        </w:rPr>
        <w:t>. London: NHSBT. Available at: </w:t>
      </w:r>
      <w:hyperlink r:id="rId32" w:history="1">
        <w:r w:rsidR="00555B29" w:rsidRPr="00555B29">
          <w:rPr>
            <w:rStyle w:val="Hyperlink"/>
            <w:rFonts w:ascii="Arial" w:hAnsi="Arial" w:cs="Arial"/>
          </w:rPr>
          <w:t>NHS Blood and Transplant annual report and accounts: 2024 to 2025</w:t>
        </w:r>
      </w:hyperlink>
      <w:r w:rsidR="00555B29">
        <w:rPr>
          <w:rFonts w:ascii="Arial" w:hAnsi="Arial" w:cs="Arial"/>
        </w:rPr>
        <w:t>.</w:t>
      </w:r>
      <w:r w:rsidR="00555B29" w:rsidRPr="00F1234F">
        <w:rPr>
          <w:rFonts w:ascii="Arial" w:hAnsi="Arial" w:cs="Arial"/>
        </w:rPr>
        <w:t xml:space="preserve"> </w:t>
      </w:r>
      <w:r w:rsidRPr="00F1234F">
        <w:rPr>
          <w:rFonts w:ascii="Arial" w:hAnsi="Arial" w:cs="Arial"/>
        </w:rPr>
        <w:t>(Accessed: 26 March 2026).</w:t>
      </w:r>
    </w:p>
    <w:p w14:paraId="43E5E7C3" w14:textId="665E78C4" w:rsidR="00F1234F" w:rsidRPr="00F1234F" w:rsidRDefault="00F1234F" w:rsidP="00544294">
      <w:pPr>
        <w:spacing w:line="360" w:lineRule="auto"/>
        <w:jc w:val="both"/>
        <w:rPr>
          <w:rFonts w:ascii="Arial" w:hAnsi="Arial" w:cs="Arial"/>
        </w:rPr>
      </w:pPr>
      <w:r w:rsidRPr="00F1234F">
        <w:rPr>
          <w:rFonts w:ascii="Arial" w:hAnsi="Arial" w:cs="Arial"/>
        </w:rPr>
        <w:t>NHS England (2022) </w:t>
      </w:r>
      <w:r w:rsidRPr="00F1234F">
        <w:rPr>
          <w:rFonts w:ascii="Arial" w:hAnsi="Arial" w:cs="Arial"/>
          <w:i/>
          <w:iCs/>
        </w:rPr>
        <w:t>Patient safety incident response framework</w:t>
      </w:r>
      <w:r w:rsidRPr="00F1234F">
        <w:rPr>
          <w:rFonts w:ascii="Arial" w:hAnsi="Arial" w:cs="Arial"/>
        </w:rPr>
        <w:t>. London: NHS England. Available at: </w:t>
      </w:r>
      <w:hyperlink r:id="rId33" w:history="1">
        <w:r w:rsidR="00F5534B" w:rsidRPr="00F5534B">
          <w:rPr>
            <w:rStyle w:val="Hyperlink"/>
            <w:rFonts w:ascii="Arial" w:hAnsi="Arial" w:cs="Arial"/>
          </w:rPr>
          <w:t>Patient Safety Incident Response Framework (PSIRF) | Haven House</w:t>
        </w:r>
      </w:hyperlink>
      <w:r w:rsidR="00F5534B">
        <w:rPr>
          <w:rFonts w:ascii="Arial" w:hAnsi="Arial" w:cs="Arial"/>
        </w:rPr>
        <w:t>.</w:t>
      </w:r>
      <w:r w:rsidR="00F5534B" w:rsidRPr="00F1234F">
        <w:rPr>
          <w:rFonts w:ascii="Arial" w:hAnsi="Arial" w:cs="Arial"/>
        </w:rPr>
        <w:t xml:space="preserve"> </w:t>
      </w:r>
      <w:r w:rsidRPr="00F1234F">
        <w:rPr>
          <w:rFonts w:ascii="Arial" w:hAnsi="Arial" w:cs="Arial"/>
        </w:rPr>
        <w:t>(Accessed: 7 March 2026).</w:t>
      </w:r>
    </w:p>
    <w:p w14:paraId="65F8F236" w14:textId="5DEA7C0F" w:rsidR="00F1234F" w:rsidRPr="00F1234F" w:rsidRDefault="00F1234F" w:rsidP="00544294">
      <w:pPr>
        <w:spacing w:line="360" w:lineRule="auto"/>
        <w:jc w:val="both"/>
        <w:rPr>
          <w:rFonts w:ascii="Arial" w:hAnsi="Arial" w:cs="Arial"/>
        </w:rPr>
      </w:pPr>
      <w:r w:rsidRPr="00F1234F">
        <w:rPr>
          <w:rFonts w:ascii="Arial" w:hAnsi="Arial" w:cs="Arial"/>
        </w:rPr>
        <w:t>Reason, J. (2000) 'Human error: models and management', </w:t>
      </w:r>
      <w:r w:rsidRPr="00F1234F">
        <w:rPr>
          <w:rFonts w:ascii="Arial" w:hAnsi="Arial" w:cs="Arial"/>
          <w:i/>
          <w:iCs/>
        </w:rPr>
        <w:t>BMJ</w:t>
      </w:r>
      <w:r w:rsidRPr="00F1234F">
        <w:rPr>
          <w:rFonts w:ascii="Arial" w:hAnsi="Arial" w:cs="Arial"/>
        </w:rPr>
        <w:t>, 320(7237), pp. 768–770. Available at:</w:t>
      </w:r>
      <w:r w:rsidR="00AC3889" w:rsidRPr="00AC3889">
        <w:rPr>
          <w:rFonts w:ascii="Arial" w:hAnsi="Arial" w:cs="Arial"/>
        </w:rPr>
        <w:t> </w:t>
      </w:r>
      <w:hyperlink r:id="rId34" w:history="1">
        <w:r w:rsidR="00AC3889" w:rsidRPr="00AC3889">
          <w:rPr>
            <w:rStyle w:val="Hyperlink"/>
            <w:rFonts w:ascii="Arial" w:hAnsi="Arial" w:cs="Arial"/>
          </w:rPr>
          <w:t>https://doi.org/10.1136/bmj.320.7237.768</w:t>
        </w:r>
      </w:hyperlink>
      <w:r w:rsidR="00AC3889">
        <w:rPr>
          <w:rFonts w:ascii="Arial" w:hAnsi="Arial" w:cs="Arial"/>
        </w:rPr>
        <w:t>.</w:t>
      </w:r>
      <w:r w:rsidR="00AC3889" w:rsidRPr="00F1234F">
        <w:rPr>
          <w:rFonts w:ascii="Arial" w:hAnsi="Arial" w:cs="Arial"/>
        </w:rPr>
        <w:t xml:space="preserve"> </w:t>
      </w:r>
    </w:p>
    <w:p w14:paraId="1A7101AC" w14:textId="7B99F5C7" w:rsidR="00F1234F" w:rsidRPr="00F1234F" w:rsidRDefault="00F1234F" w:rsidP="00544294">
      <w:pPr>
        <w:spacing w:line="360" w:lineRule="auto"/>
        <w:jc w:val="both"/>
        <w:rPr>
          <w:rFonts w:ascii="Arial" w:hAnsi="Arial" w:cs="Arial"/>
        </w:rPr>
      </w:pPr>
      <w:r w:rsidRPr="00F1234F">
        <w:rPr>
          <w:rFonts w:ascii="Arial" w:hAnsi="Arial" w:cs="Arial"/>
        </w:rPr>
        <w:t>Senge, P.M. (2006) </w:t>
      </w:r>
      <w:r w:rsidRPr="00F1234F">
        <w:rPr>
          <w:rFonts w:ascii="Arial" w:hAnsi="Arial" w:cs="Arial"/>
          <w:i/>
          <w:iCs/>
        </w:rPr>
        <w:t>The fifth discipline: the art and practice of the learning organization</w:t>
      </w:r>
      <w:r w:rsidRPr="00F1234F">
        <w:rPr>
          <w:rFonts w:ascii="Arial" w:hAnsi="Arial" w:cs="Arial"/>
        </w:rPr>
        <w:t xml:space="preserve">. 2nd </w:t>
      </w:r>
      <w:proofErr w:type="spellStart"/>
      <w:r w:rsidRPr="00F1234F">
        <w:rPr>
          <w:rFonts w:ascii="Arial" w:hAnsi="Arial" w:cs="Arial"/>
        </w:rPr>
        <w:t>edn</w:t>
      </w:r>
      <w:proofErr w:type="spellEnd"/>
      <w:r w:rsidRPr="00F1234F">
        <w:rPr>
          <w:rFonts w:ascii="Arial" w:hAnsi="Arial" w:cs="Arial"/>
        </w:rPr>
        <w:t>. London: Random House Business. Available at: </w:t>
      </w:r>
      <w:hyperlink r:id="rId35" w:history="1">
        <w:r w:rsidR="00CB3674" w:rsidRPr="00CB3674">
          <w:rPr>
            <w:rStyle w:val="Hyperlink"/>
            <w:rFonts w:ascii="Arial" w:hAnsi="Arial" w:cs="Arial"/>
          </w:rPr>
          <w:t xml:space="preserve">Senge, P.M. </w:t>
        </w:r>
        <w:r w:rsidR="00CB3674" w:rsidRPr="00CB3674">
          <w:rPr>
            <w:rStyle w:val="Hyperlink"/>
            <w:rFonts w:ascii="Arial" w:hAnsi="Arial" w:cs="Arial"/>
          </w:rPr>
          <w:lastRenderedPageBreak/>
          <w:t>(2006) The Fifth Discipline The Art and Practice of the Learning Organization. Doubleday - References - Scientific Research Publishing</w:t>
        </w:r>
      </w:hyperlink>
      <w:r w:rsidR="00CB3674">
        <w:rPr>
          <w:rFonts w:ascii="Arial" w:hAnsi="Arial" w:cs="Arial"/>
        </w:rPr>
        <w:t>.</w:t>
      </w:r>
      <w:r w:rsidR="00CB3674" w:rsidRPr="00F1234F">
        <w:rPr>
          <w:rFonts w:ascii="Arial" w:hAnsi="Arial" w:cs="Arial"/>
        </w:rPr>
        <w:t xml:space="preserve"> </w:t>
      </w:r>
      <w:r w:rsidRPr="00F1234F">
        <w:rPr>
          <w:rFonts w:ascii="Arial" w:hAnsi="Arial" w:cs="Arial"/>
        </w:rPr>
        <w:t>(Accessed: 26 March 2026).</w:t>
      </w:r>
    </w:p>
    <w:p w14:paraId="7C59E737" w14:textId="18816608" w:rsidR="00F1234F" w:rsidRPr="00F1234F" w:rsidRDefault="00F1234F" w:rsidP="00544294">
      <w:pPr>
        <w:spacing w:line="360" w:lineRule="auto"/>
        <w:jc w:val="both"/>
        <w:rPr>
          <w:rFonts w:ascii="Arial" w:hAnsi="Arial" w:cs="Arial"/>
        </w:rPr>
      </w:pPr>
      <w:r w:rsidRPr="00F1234F">
        <w:rPr>
          <w:rFonts w:ascii="Arial" w:hAnsi="Arial" w:cs="Arial"/>
        </w:rPr>
        <w:t>UK Government (2024) </w:t>
      </w:r>
      <w:r w:rsidRPr="00F1234F">
        <w:rPr>
          <w:rFonts w:ascii="Arial" w:hAnsi="Arial" w:cs="Arial"/>
          <w:i/>
          <w:iCs/>
        </w:rPr>
        <w:t>Blood safety and supply chain policy update</w:t>
      </w:r>
      <w:r w:rsidRPr="00F1234F">
        <w:rPr>
          <w:rFonts w:ascii="Arial" w:hAnsi="Arial" w:cs="Arial"/>
        </w:rPr>
        <w:t>. London: UK Government. Available at: </w:t>
      </w:r>
      <w:hyperlink r:id="rId36" w:history="1">
        <w:r w:rsidR="00600F81" w:rsidRPr="00600F81">
          <w:rPr>
            <w:rStyle w:val="Hyperlink"/>
            <w:rFonts w:ascii="Arial" w:hAnsi="Arial" w:cs="Arial"/>
          </w:rPr>
          <w:t>The Blood Safety and Quality Common Framework - GOV.UK</w:t>
        </w:r>
      </w:hyperlink>
      <w:r w:rsidR="00600F81">
        <w:rPr>
          <w:rFonts w:ascii="Arial" w:hAnsi="Arial" w:cs="Arial"/>
        </w:rPr>
        <w:t>.</w:t>
      </w:r>
      <w:r w:rsidR="00600F81" w:rsidRPr="00F1234F">
        <w:rPr>
          <w:rFonts w:ascii="Arial" w:hAnsi="Arial" w:cs="Arial"/>
        </w:rPr>
        <w:t xml:space="preserve"> </w:t>
      </w:r>
      <w:r w:rsidRPr="00F1234F">
        <w:rPr>
          <w:rFonts w:ascii="Arial" w:hAnsi="Arial" w:cs="Arial"/>
        </w:rPr>
        <w:t>(Accessed: 7 March 2026).</w:t>
      </w:r>
    </w:p>
    <w:p w14:paraId="200830FA" w14:textId="655504A0" w:rsidR="00F1234F" w:rsidRDefault="00F1234F" w:rsidP="00544294">
      <w:pPr>
        <w:spacing w:line="360" w:lineRule="auto"/>
        <w:jc w:val="both"/>
        <w:rPr>
          <w:rFonts w:ascii="Arial" w:hAnsi="Arial" w:cs="Arial"/>
        </w:rPr>
      </w:pPr>
      <w:r w:rsidRPr="00F1234F">
        <w:rPr>
          <w:rFonts w:ascii="Arial" w:hAnsi="Arial" w:cs="Arial"/>
        </w:rPr>
        <w:t>Vincent, C. and Amalberti, R. (2016) </w:t>
      </w:r>
      <w:r w:rsidRPr="00F1234F">
        <w:rPr>
          <w:rFonts w:ascii="Arial" w:hAnsi="Arial" w:cs="Arial"/>
          <w:i/>
          <w:iCs/>
        </w:rPr>
        <w:t>Safer healthcare: Strategies for the real world</w:t>
      </w:r>
      <w:r w:rsidRPr="00F1234F">
        <w:rPr>
          <w:rFonts w:ascii="Arial" w:hAnsi="Arial" w:cs="Arial"/>
        </w:rPr>
        <w:t>. Cham: Springer. Available at: </w:t>
      </w:r>
      <w:hyperlink r:id="rId37" w:history="1">
        <w:r w:rsidR="004B4DAC" w:rsidRPr="004B4DAC">
          <w:rPr>
            <w:rStyle w:val="Hyperlink"/>
            <w:rFonts w:ascii="Arial" w:hAnsi="Arial" w:cs="Arial"/>
          </w:rPr>
          <w:t>Safer Healthcare: Strategies for the Real World | Springer Nature Link</w:t>
        </w:r>
      </w:hyperlink>
      <w:r w:rsidR="004B4DAC">
        <w:rPr>
          <w:rFonts w:ascii="Arial" w:hAnsi="Arial" w:cs="Arial"/>
        </w:rPr>
        <w:t>.</w:t>
      </w:r>
      <w:r w:rsidR="004B4DAC" w:rsidRPr="00F1234F">
        <w:rPr>
          <w:rFonts w:ascii="Arial" w:hAnsi="Arial" w:cs="Arial"/>
        </w:rPr>
        <w:t xml:space="preserve"> </w:t>
      </w:r>
      <w:r w:rsidRPr="00F1234F">
        <w:rPr>
          <w:rFonts w:ascii="Arial" w:hAnsi="Arial" w:cs="Arial"/>
        </w:rPr>
        <w:t>(Accessed: 7 March 2026).</w:t>
      </w:r>
    </w:p>
    <w:p w14:paraId="3895DE81" w14:textId="0AB7C953" w:rsidR="00B65A82" w:rsidRPr="00F1234F" w:rsidRDefault="00B65A82" w:rsidP="00544294">
      <w:pPr>
        <w:spacing w:line="360" w:lineRule="auto"/>
        <w:jc w:val="both"/>
        <w:rPr>
          <w:rFonts w:ascii="Arial" w:hAnsi="Arial" w:cs="Arial"/>
        </w:rPr>
      </w:pPr>
      <w:r w:rsidRPr="00B65A82">
        <w:rPr>
          <w:rFonts w:ascii="Arial" w:hAnsi="Arial" w:cs="Arial"/>
        </w:rPr>
        <w:t>Weick, K.E. and Sutcliffe, K.M. (2007) </w:t>
      </w:r>
      <w:r w:rsidRPr="00B65A82">
        <w:rPr>
          <w:rFonts w:ascii="Arial" w:hAnsi="Arial" w:cs="Arial"/>
          <w:i/>
          <w:iCs/>
        </w:rPr>
        <w:t>Managing the unexpected: resilient performance in an age of uncertainty</w:t>
      </w:r>
      <w:r w:rsidRPr="00B65A82">
        <w:rPr>
          <w:rFonts w:ascii="Arial" w:hAnsi="Arial" w:cs="Arial"/>
        </w:rPr>
        <w:t xml:space="preserve">. 2nd </w:t>
      </w:r>
      <w:proofErr w:type="spellStart"/>
      <w:r w:rsidRPr="00B65A82">
        <w:rPr>
          <w:rFonts w:ascii="Arial" w:hAnsi="Arial" w:cs="Arial"/>
        </w:rPr>
        <w:t>edn</w:t>
      </w:r>
      <w:proofErr w:type="spellEnd"/>
      <w:r w:rsidRPr="00B65A82">
        <w:rPr>
          <w:rFonts w:ascii="Arial" w:hAnsi="Arial" w:cs="Arial"/>
        </w:rPr>
        <w:t>. San Francisco: Jossey-Bass.</w:t>
      </w:r>
      <w:r w:rsidR="000C43AB">
        <w:rPr>
          <w:rFonts w:ascii="Arial" w:hAnsi="Arial" w:cs="Arial"/>
        </w:rPr>
        <w:t xml:space="preserve"> Available at: </w:t>
      </w:r>
      <w:hyperlink r:id="rId38" w:history="1">
        <w:r w:rsidR="000C43AB" w:rsidRPr="000C43AB">
          <w:rPr>
            <w:rStyle w:val="Hyperlink"/>
            <w:rFonts w:ascii="Arial" w:hAnsi="Arial" w:cs="Arial"/>
          </w:rPr>
          <w:t>Weick, K. E., &amp; Sutcliffe, K. M. (2007). Managing the unexpected Resilient performance in an age of uncertainty (2nd ed.). San Francisco John Wiley &amp; Sons. - References - Scientific Research Publishing</w:t>
        </w:r>
      </w:hyperlink>
      <w:r w:rsidR="000C43AB">
        <w:rPr>
          <w:rFonts w:ascii="Arial" w:hAnsi="Arial" w:cs="Arial"/>
        </w:rPr>
        <w:t xml:space="preserve">. </w:t>
      </w:r>
      <w:r w:rsidR="000C43AB" w:rsidRPr="000C43AB">
        <w:rPr>
          <w:rFonts w:ascii="Arial" w:hAnsi="Arial" w:cs="Arial"/>
        </w:rPr>
        <w:t xml:space="preserve">(Accessed: </w:t>
      </w:r>
      <w:r w:rsidR="00FE51B3">
        <w:rPr>
          <w:rFonts w:ascii="Arial" w:hAnsi="Arial" w:cs="Arial"/>
        </w:rPr>
        <w:t>1</w:t>
      </w:r>
      <w:r w:rsidR="000C43AB" w:rsidRPr="000C43AB">
        <w:rPr>
          <w:rFonts w:ascii="Arial" w:hAnsi="Arial" w:cs="Arial"/>
        </w:rPr>
        <w:t xml:space="preserve"> March 2026).</w:t>
      </w:r>
    </w:p>
    <w:p w14:paraId="754BB45E" w14:textId="3A882E14" w:rsidR="00F1234F" w:rsidRPr="00F1234F" w:rsidRDefault="00F1234F" w:rsidP="00544294">
      <w:pPr>
        <w:spacing w:line="360" w:lineRule="auto"/>
        <w:jc w:val="both"/>
        <w:rPr>
          <w:rFonts w:ascii="Arial" w:hAnsi="Arial" w:cs="Arial"/>
        </w:rPr>
      </w:pPr>
      <w:r w:rsidRPr="00F1234F">
        <w:rPr>
          <w:rFonts w:ascii="Arial" w:hAnsi="Arial" w:cs="Arial"/>
        </w:rPr>
        <w:t>World Health Organisation (2021) </w:t>
      </w:r>
      <w:r w:rsidRPr="00F1234F">
        <w:rPr>
          <w:rFonts w:ascii="Arial" w:hAnsi="Arial" w:cs="Arial"/>
          <w:i/>
          <w:iCs/>
        </w:rPr>
        <w:t>Patient safety incident reporting and learning systems</w:t>
      </w:r>
      <w:r w:rsidRPr="00F1234F">
        <w:rPr>
          <w:rFonts w:ascii="Arial" w:hAnsi="Arial" w:cs="Arial"/>
        </w:rPr>
        <w:t>. Geneva: WHO. Available at: </w:t>
      </w:r>
      <w:hyperlink r:id="rId39" w:history="1">
        <w:r w:rsidR="00A7366E" w:rsidRPr="00A7366E">
          <w:rPr>
            <w:rStyle w:val="Hyperlink"/>
            <w:rFonts w:ascii="Arial" w:hAnsi="Arial" w:cs="Arial"/>
          </w:rPr>
          <w:t>Patient safety incident reporting and learning systems: technical report and guidance</w:t>
        </w:r>
      </w:hyperlink>
      <w:r w:rsidR="00A7366E" w:rsidRPr="00F1234F">
        <w:rPr>
          <w:rFonts w:ascii="Arial" w:hAnsi="Arial" w:cs="Arial"/>
        </w:rPr>
        <w:t xml:space="preserve"> </w:t>
      </w:r>
      <w:r w:rsidRPr="00F1234F">
        <w:rPr>
          <w:rFonts w:ascii="Arial" w:hAnsi="Arial" w:cs="Arial"/>
        </w:rPr>
        <w:t>(Accessed: 7 March 2026).</w:t>
      </w:r>
    </w:p>
    <w:p w14:paraId="2E667807" w14:textId="77777777" w:rsidR="006C2D86" w:rsidRPr="009D4F26" w:rsidRDefault="006C2D86" w:rsidP="00544294">
      <w:pPr>
        <w:spacing w:line="360" w:lineRule="auto"/>
        <w:jc w:val="both"/>
        <w:rPr>
          <w:rFonts w:ascii="Arial" w:hAnsi="Arial" w:cs="Arial"/>
        </w:rPr>
      </w:pPr>
    </w:p>
    <w:sectPr w:rsidR="006C2D86" w:rsidRPr="009D4F26">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D9F80" w14:textId="77777777" w:rsidR="005B7A73" w:rsidRDefault="005B7A73" w:rsidP="00544294">
      <w:pPr>
        <w:spacing w:after="0" w:line="240" w:lineRule="auto"/>
      </w:pPr>
      <w:r>
        <w:separator/>
      </w:r>
    </w:p>
  </w:endnote>
  <w:endnote w:type="continuationSeparator" w:id="0">
    <w:p w14:paraId="20ED4FAD" w14:textId="77777777" w:rsidR="005B7A73" w:rsidRDefault="005B7A73" w:rsidP="0054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2071833"/>
      <w:docPartObj>
        <w:docPartGallery w:val="Page Numbers (Bottom of Page)"/>
        <w:docPartUnique/>
      </w:docPartObj>
    </w:sdtPr>
    <w:sdtEndPr>
      <w:rPr>
        <w:noProof/>
      </w:rPr>
    </w:sdtEndPr>
    <w:sdtContent>
      <w:p w14:paraId="36A64959" w14:textId="395C78CB" w:rsidR="00544294" w:rsidRDefault="005442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C3515" w14:textId="77777777" w:rsidR="00544294" w:rsidRDefault="00544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78F13" w14:textId="77777777" w:rsidR="005B7A73" w:rsidRDefault="005B7A73" w:rsidP="00544294">
      <w:pPr>
        <w:spacing w:after="0" w:line="240" w:lineRule="auto"/>
      </w:pPr>
      <w:r>
        <w:separator/>
      </w:r>
    </w:p>
  </w:footnote>
  <w:footnote w:type="continuationSeparator" w:id="0">
    <w:p w14:paraId="698F4415" w14:textId="77777777" w:rsidR="005B7A73" w:rsidRDefault="005B7A73" w:rsidP="00544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C7C27"/>
    <w:multiLevelType w:val="multilevel"/>
    <w:tmpl w:val="6338A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6979B4"/>
    <w:multiLevelType w:val="multilevel"/>
    <w:tmpl w:val="9B5ED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C27D9F"/>
    <w:multiLevelType w:val="multilevel"/>
    <w:tmpl w:val="FEBC33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3B0F46"/>
    <w:multiLevelType w:val="multilevel"/>
    <w:tmpl w:val="3B00B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7B768E"/>
    <w:multiLevelType w:val="multilevel"/>
    <w:tmpl w:val="0F22D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531E84"/>
    <w:multiLevelType w:val="hybridMultilevel"/>
    <w:tmpl w:val="83304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C809B6"/>
    <w:multiLevelType w:val="multilevel"/>
    <w:tmpl w:val="87E2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28237C"/>
    <w:multiLevelType w:val="multilevel"/>
    <w:tmpl w:val="EBEC6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96873">
    <w:abstractNumId w:val="2"/>
  </w:num>
  <w:num w:numId="2" w16cid:durableId="1439836285">
    <w:abstractNumId w:val="2"/>
    <w:lvlOverride w:ilvl="1">
      <w:lvl w:ilvl="1">
        <w:numFmt w:val="decimal"/>
        <w:lvlText w:val="%2."/>
        <w:lvlJc w:val="left"/>
      </w:lvl>
    </w:lvlOverride>
  </w:num>
  <w:num w:numId="3" w16cid:durableId="1004211616">
    <w:abstractNumId w:val="2"/>
    <w:lvlOverride w:ilvl="1">
      <w:lvl w:ilvl="1">
        <w:numFmt w:val="decimal"/>
        <w:lvlText w:val="%2."/>
        <w:lvlJc w:val="left"/>
      </w:lvl>
    </w:lvlOverride>
  </w:num>
  <w:num w:numId="4" w16cid:durableId="1530293767">
    <w:abstractNumId w:val="2"/>
    <w:lvlOverride w:ilvl="1">
      <w:lvl w:ilvl="1">
        <w:numFmt w:val="decimal"/>
        <w:lvlText w:val="%2."/>
        <w:lvlJc w:val="left"/>
      </w:lvl>
    </w:lvlOverride>
  </w:num>
  <w:num w:numId="5" w16cid:durableId="1581134448">
    <w:abstractNumId w:val="2"/>
    <w:lvlOverride w:ilvl="1">
      <w:lvl w:ilvl="1">
        <w:numFmt w:val="decimal"/>
        <w:lvlText w:val="%2."/>
        <w:lvlJc w:val="left"/>
      </w:lvl>
    </w:lvlOverride>
  </w:num>
  <w:num w:numId="6" w16cid:durableId="1757898897">
    <w:abstractNumId w:val="2"/>
    <w:lvlOverride w:ilvl="1">
      <w:lvl w:ilvl="1">
        <w:numFmt w:val="decimal"/>
        <w:lvlText w:val="%2."/>
        <w:lvlJc w:val="left"/>
      </w:lvl>
    </w:lvlOverride>
  </w:num>
  <w:num w:numId="7" w16cid:durableId="876967315">
    <w:abstractNumId w:val="7"/>
  </w:num>
  <w:num w:numId="8" w16cid:durableId="669412977">
    <w:abstractNumId w:val="6"/>
  </w:num>
  <w:num w:numId="9" w16cid:durableId="1495952585">
    <w:abstractNumId w:val="1"/>
  </w:num>
  <w:num w:numId="10" w16cid:durableId="1611205482">
    <w:abstractNumId w:val="4"/>
  </w:num>
  <w:num w:numId="11" w16cid:durableId="1057361132">
    <w:abstractNumId w:val="0"/>
  </w:num>
  <w:num w:numId="12" w16cid:durableId="898057178">
    <w:abstractNumId w:val="3"/>
  </w:num>
  <w:num w:numId="13" w16cid:durableId="21041085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543"/>
    <w:rsid w:val="00002862"/>
    <w:rsid w:val="00004791"/>
    <w:rsid w:val="0003485E"/>
    <w:rsid w:val="000456D0"/>
    <w:rsid w:val="0008547C"/>
    <w:rsid w:val="000A0182"/>
    <w:rsid w:val="000C43AB"/>
    <w:rsid w:val="000C77B6"/>
    <w:rsid w:val="000F0832"/>
    <w:rsid w:val="000F3090"/>
    <w:rsid w:val="0010302A"/>
    <w:rsid w:val="00110A56"/>
    <w:rsid w:val="0012627C"/>
    <w:rsid w:val="00135DA6"/>
    <w:rsid w:val="001432B8"/>
    <w:rsid w:val="00183B5D"/>
    <w:rsid w:val="00186242"/>
    <w:rsid w:val="00186F04"/>
    <w:rsid w:val="00192BC2"/>
    <w:rsid w:val="001976E1"/>
    <w:rsid w:val="001C170A"/>
    <w:rsid w:val="001C44A9"/>
    <w:rsid w:val="001C6D07"/>
    <w:rsid w:val="001C6EA2"/>
    <w:rsid w:val="001E72CE"/>
    <w:rsid w:val="001F0DCD"/>
    <w:rsid w:val="00201B1D"/>
    <w:rsid w:val="00225813"/>
    <w:rsid w:val="002323D5"/>
    <w:rsid w:val="0026733A"/>
    <w:rsid w:val="00267D0A"/>
    <w:rsid w:val="00297B3B"/>
    <w:rsid w:val="002A5029"/>
    <w:rsid w:val="002A5B8A"/>
    <w:rsid w:val="002B3F25"/>
    <w:rsid w:val="002D2738"/>
    <w:rsid w:val="002D320F"/>
    <w:rsid w:val="00300043"/>
    <w:rsid w:val="00302528"/>
    <w:rsid w:val="0030644F"/>
    <w:rsid w:val="00310543"/>
    <w:rsid w:val="003151A1"/>
    <w:rsid w:val="00327605"/>
    <w:rsid w:val="00331D34"/>
    <w:rsid w:val="003576E0"/>
    <w:rsid w:val="00361444"/>
    <w:rsid w:val="00382BFB"/>
    <w:rsid w:val="003856F5"/>
    <w:rsid w:val="00391150"/>
    <w:rsid w:val="003D07A1"/>
    <w:rsid w:val="003D0D2D"/>
    <w:rsid w:val="003D1956"/>
    <w:rsid w:val="004019E6"/>
    <w:rsid w:val="00406DF5"/>
    <w:rsid w:val="00450298"/>
    <w:rsid w:val="00466807"/>
    <w:rsid w:val="00493EE0"/>
    <w:rsid w:val="004A2541"/>
    <w:rsid w:val="004B1DD6"/>
    <w:rsid w:val="004B3862"/>
    <w:rsid w:val="004B48B1"/>
    <w:rsid w:val="004B4DAC"/>
    <w:rsid w:val="004C0264"/>
    <w:rsid w:val="004E1D31"/>
    <w:rsid w:val="004F0A09"/>
    <w:rsid w:val="00505B32"/>
    <w:rsid w:val="00514059"/>
    <w:rsid w:val="005420D3"/>
    <w:rsid w:val="00544294"/>
    <w:rsid w:val="00555B29"/>
    <w:rsid w:val="00560280"/>
    <w:rsid w:val="00570919"/>
    <w:rsid w:val="0057160A"/>
    <w:rsid w:val="00592660"/>
    <w:rsid w:val="00594EE1"/>
    <w:rsid w:val="005A6D94"/>
    <w:rsid w:val="005B21B2"/>
    <w:rsid w:val="005B7A73"/>
    <w:rsid w:val="005C709C"/>
    <w:rsid w:val="005E788C"/>
    <w:rsid w:val="005F5086"/>
    <w:rsid w:val="00600F81"/>
    <w:rsid w:val="006062E6"/>
    <w:rsid w:val="006108DE"/>
    <w:rsid w:val="00617175"/>
    <w:rsid w:val="006356AB"/>
    <w:rsid w:val="006405B5"/>
    <w:rsid w:val="00672E71"/>
    <w:rsid w:val="00694E58"/>
    <w:rsid w:val="006964BF"/>
    <w:rsid w:val="00697929"/>
    <w:rsid w:val="006A149D"/>
    <w:rsid w:val="006C2D86"/>
    <w:rsid w:val="006C68AC"/>
    <w:rsid w:val="006D3E7F"/>
    <w:rsid w:val="006F50E2"/>
    <w:rsid w:val="006F60F8"/>
    <w:rsid w:val="00704CF9"/>
    <w:rsid w:val="00715668"/>
    <w:rsid w:val="00724692"/>
    <w:rsid w:val="007378A0"/>
    <w:rsid w:val="00760C81"/>
    <w:rsid w:val="0077103A"/>
    <w:rsid w:val="007742DB"/>
    <w:rsid w:val="007753C7"/>
    <w:rsid w:val="007A0AF0"/>
    <w:rsid w:val="007D56BC"/>
    <w:rsid w:val="0080058E"/>
    <w:rsid w:val="008008DE"/>
    <w:rsid w:val="008035BD"/>
    <w:rsid w:val="00807388"/>
    <w:rsid w:val="0081681A"/>
    <w:rsid w:val="0082373B"/>
    <w:rsid w:val="00827F0A"/>
    <w:rsid w:val="008329F7"/>
    <w:rsid w:val="00834D27"/>
    <w:rsid w:val="00841F01"/>
    <w:rsid w:val="00851BA6"/>
    <w:rsid w:val="00862299"/>
    <w:rsid w:val="008941B0"/>
    <w:rsid w:val="008965F9"/>
    <w:rsid w:val="008A284A"/>
    <w:rsid w:val="008A71C6"/>
    <w:rsid w:val="008B5BBF"/>
    <w:rsid w:val="008B6DA5"/>
    <w:rsid w:val="008C2247"/>
    <w:rsid w:val="008E6164"/>
    <w:rsid w:val="009130F9"/>
    <w:rsid w:val="009267C7"/>
    <w:rsid w:val="00931936"/>
    <w:rsid w:val="00946265"/>
    <w:rsid w:val="00951320"/>
    <w:rsid w:val="009826D0"/>
    <w:rsid w:val="009C2EC1"/>
    <w:rsid w:val="009C40FF"/>
    <w:rsid w:val="009D4F26"/>
    <w:rsid w:val="009E2AE7"/>
    <w:rsid w:val="009E3131"/>
    <w:rsid w:val="009E4AC4"/>
    <w:rsid w:val="00A34943"/>
    <w:rsid w:val="00A44D83"/>
    <w:rsid w:val="00A672D7"/>
    <w:rsid w:val="00A7366E"/>
    <w:rsid w:val="00A81DCE"/>
    <w:rsid w:val="00A83BED"/>
    <w:rsid w:val="00A860D7"/>
    <w:rsid w:val="00A87E00"/>
    <w:rsid w:val="00A87EBD"/>
    <w:rsid w:val="00AB7A3C"/>
    <w:rsid w:val="00AC18A7"/>
    <w:rsid w:val="00AC3889"/>
    <w:rsid w:val="00AF547E"/>
    <w:rsid w:val="00B0350D"/>
    <w:rsid w:val="00B11A05"/>
    <w:rsid w:val="00B11C04"/>
    <w:rsid w:val="00B2687C"/>
    <w:rsid w:val="00B34680"/>
    <w:rsid w:val="00B37252"/>
    <w:rsid w:val="00B53B9A"/>
    <w:rsid w:val="00B65A82"/>
    <w:rsid w:val="00BC3D06"/>
    <w:rsid w:val="00BD1041"/>
    <w:rsid w:val="00BF5C52"/>
    <w:rsid w:val="00C12BF0"/>
    <w:rsid w:val="00C4605D"/>
    <w:rsid w:val="00C63C60"/>
    <w:rsid w:val="00C66854"/>
    <w:rsid w:val="00C82E2A"/>
    <w:rsid w:val="00C85283"/>
    <w:rsid w:val="00C9526B"/>
    <w:rsid w:val="00C95CA1"/>
    <w:rsid w:val="00CB3674"/>
    <w:rsid w:val="00CB6C0E"/>
    <w:rsid w:val="00CF4CAC"/>
    <w:rsid w:val="00D26371"/>
    <w:rsid w:val="00D4786F"/>
    <w:rsid w:val="00D54E11"/>
    <w:rsid w:val="00D723C1"/>
    <w:rsid w:val="00D8214C"/>
    <w:rsid w:val="00D90650"/>
    <w:rsid w:val="00D97B54"/>
    <w:rsid w:val="00DC7D96"/>
    <w:rsid w:val="00DE4F03"/>
    <w:rsid w:val="00DE5532"/>
    <w:rsid w:val="00E25BB3"/>
    <w:rsid w:val="00E56CD7"/>
    <w:rsid w:val="00E62271"/>
    <w:rsid w:val="00E663AA"/>
    <w:rsid w:val="00E77347"/>
    <w:rsid w:val="00E77E65"/>
    <w:rsid w:val="00E95368"/>
    <w:rsid w:val="00E957BA"/>
    <w:rsid w:val="00EF5EB3"/>
    <w:rsid w:val="00F1234F"/>
    <w:rsid w:val="00F218BA"/>
    <w:rsid w:val="00F22485"/>
    <w:rsid w:val="00F23E23"/>
    <w:rsid w:val="00F448CF"/>
    <w:rsid w:val="00F44D25"/>
    <w:rsid w:val="00F45DAB"/>
    <w:rsid w:val="00F46E92"/>
    <w:rsid w:val="00F5534B"/>
    <w:rsid w:val="00F7627C"/>
    <w:rsid w:val="00FB0F32"/>
    <w:rsid w:val="00FC4B4E"/>
    <w:rsid w:val="00FE096F"/>
    <w:rsid w:val="00FE0AA5"/>
    <w:rsid w:val="00FE43D7"/>
    <w:rsid w:val="00FE51B3"/>
    <w:rsid w:val="00FF4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15432"/>
  <w15:chartTrackingRefBased/>
  <w15:docId w15:val="{8BD6B6F8-423D-47E4-95DF-03962317B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0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0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0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0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543"/>
    <w:rPr>
      <w:rFonts w:eastAsiaTheme="majorEastAsia" w:cstheme="majorBidi"/>
      <w:color w:val="272727" w:themeColor="text1" w:themeTint="D8"/>
    </w:rPr>
  </w:style>
  <w:style w:type="paragraph" w:styleId="Title">
    <w:name w:val="Title"/>
    <w:basedOn w:val="Normal"/>
    <w:next w:val="Normal"/>
    <w:link w:val="TitleChar"/>
    <w:uiPriority w:val="10"/>
    <w:qFormat/>
    <w:rsid w:val="00310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543"/>
    <w:pPr>
      <w:spacing w:before="160"/>
      <w:jc w:val="center"/>
    </w:pPr>
    <w:rPr>
      <w:i/>
      <w:iCs/>
      <w:color w:val="404040" w:themeColor="text1" w:themeTint="BF"/>
    </w:rPr>
  </w:style>
  <w:style w:type="character" w:customStyle="1" w:styleId="QuoteChar">
    <w:name w:val="Quote Char"/>
    <w:basedOn w:val="DefaultParagraphFont"/>
    <w:link w:val="Quote"/>
    <w:uiPriority w:val="29"/>
    <w:rsid w:val="00310543"/>
    <w:rPr>
      <w:i/>
      <w:iCs/>
      <w:color w:val="404040" w:themeColor="text1" w:themeTint="BF"/>
    </w:rPr>
  </w:style>
  <w:style w:type="paragraph" w:styleId="ListParagraph">
    <w:name w:val="List Paragraph"/>
    <w:basedOn w:val="Normal"/>
    <w:uiPriority w:val="34"/>
    <w:qFormat/>
    <w:rsid w:val="00310543"/>
    <w:pPr>
      <w:ind w:left="720"/>
      <w:contextualSpacing/>
    </w:pPr>
  </w:style>
  <w:style w:type="character" w:styleId="IntenseEmphasis">
    <w:name w:val="Intense Emphasis"/>
    <w:basedOn w:val="DefaultParagraphFont"/>
    <w:uiPriority w:val="21"/>
    <w:qFormat/>
    <w:rsid w:val="00310543"/>
    <w:rPr>
      <w:i/>
      <w:iCs/>
      <w:color w:val="0F4761" w:themeColor="accent1" w:themeShade="BF"/>
    </w:rPr>
  </w:style>
  <w:style w:type="paragraph" w:styleId="IntenseQuote">
    <w:name w:val="Intense Quote"/>
    <w:basedOn w:val="Normal"/>
    <w:next w:val="Normal"/>
    <w:link w:val="IntenseQuoteChar"/>
    <w:uiPriority w:val="30"/>
    <w:qFormat/>
    <w:rsid w:val="00310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543"/>
    <w:rPr>
      <w:i/>
      <w:iCs/>
      <w:color w:val="0F4761" w:themeColor="accent1" w:themeShade="BF"/>
    </w:rPr>
  </w:style>
  <w:style w:type="character" w:styleId="IntenseReference">
    <w:name w:val="Intense Reference"/>
    <w:basedOn w:val="DefaultParagraphFont"/>
    <w:uiPriority w:val="32"/>
    <w:qFormat/>
    <w:rsid w:val="00310543"/>
    <w:rPr>
      <w:b/>
      <w:bCs/>
      <w:smallCaps/>
      <w:color w:val="0F4761" w:themeColor="accent1" w:themeShade="BF"/>
      <w:spacing w:val="5"/>
    </w:rPr>
  </w:style>
  <w:style w:type="character" w:styleId="Hyperlink">
    <w:name w:val="Hyperlink"/>
    <w:basedOn w:val="DefaultParagraphFont"/>
    <w:uiPriority w:val="99"/>
    <w:unhideWhenUsed/>
    <w:rsid w:val="00F1234F"/>
    <w:rPr>
      <w:color w:val="467886" w:themeColor="hyperlink"/>
      <w:u w:val="single"/>
    </w:rPr>
  </w:style>
  <w:style w:type="character" w:styleId="UnresolvedMention">
    <w:name w:val="Unresolved Mention"/>
    <w:basedOn w:val="DefaultParagraphFont"/>
    <w:uiPriority w:val="99"/>
    <w:semiHidden/>
    <w:unhideWhenUsed/>
    <w:rsid w:val="00F1234F"/>
    <w:rPr>
      <w:color w:val="605E5C"/>
      <w:shd w:val="clear" w:color="auto" w:fill="E1DFDD"/>
    </w:rPr>
  </w:style>
  <w:style w:type="character" w:styleId="FollowedHyperlink">
    <w:name w:val="FollowedHyperlink"/>
    <w:basedOn w:val="DefaultParagraphFont"/>
    <w:uiPriority w:val="99"/>
    <w:semiHidden/>
    <w:unhideWhenUsed/>
    <w:rsid w:val="00C82E2A"/>
    <w:rPr>
      <w:color w:val="96607D" w:themeColor="followedHyperlink"/>
      <w:u w:val="single"/>
    </w:rPr>
  </w:style>
  <w:style w:type="paragraph" w:styleId="TOCHeading">
    <w:name w:val="TOC Heading"/>
    <w:basedOn w:val="Heading1"/>
    <w:next w:val="Normal"/>
    <w:uiPriority w:val="39"/>
    <w:unhideWhenUsed/>
    <w:qFormat/>
    <w:rsid w:val="00A7366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7366E"/>
    <w:pPr>
      <w:spacing w:after="100"/>
      <w:ind w:left="240"/>
    </w:pPr>
  </w:style>
  <w:style w:type="paragraph" w:styleId="Header">
    <w:name w:val="header"/>
    <w:basedOn w:val="Normal"/>
    <w:link w:val="HeaderChar"/>
    <w:uiPriority w:val="99"/>
    <w:unhideWhenUsed/>
    <w:rsid w:val="0054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294"/>
  </w:style>
  <w:style w:type="paragraph" w:styleId="Footer">
    <w:name w:val="footer"/>
    <w:basedOn w:val="Normal"/>
    <w:link w:val="FooterChar"/>
    <w:uiPriority w:val="99"/>
    <w:unhideWhenUsed/>
    <w:rsid w:val="0054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gov.uk/government/publications/full-government-response-to-the-infected-blood-inquirys-may-2024-report/full-government-response-to-the-infected-blood-inquirys-may-2024-report-html" TargetMode="External"/><Relationship Id="rId26" Type="http://schemas.openxmlformats.org/officeDocument/2006/relationships/hyperlink" Target="https://doi.org/10.1108/17554251011064837" TargetMode="External"/><Relationship Id="rId39" Type="http://schemas.openxmlformats.org/officeDocument/2006/relationships/hyperlink" Target="https://www.who.int/publications/i/item/9789240010338" TargetMode="External"/><Relationship Id="rId21" Type="http://schemas.openxmlformats.org/officeDocument/2006/relationships/hyperlink" Target="https://doi.org/10.1001/jama.260.12.1743" TargetMode="External"/><Relationship Id="rId34" Type="http://schemas.openxmlformats.org/officeDocument/2006/relationships/hyperlink" Target="https://doi.org/10.1136/bmj.320.7237.768"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0021886319892685" TargetMode="External"/><Relationship Id="rId20" Type="http://schemas.openxmlformats.org/officeDocument/2006/relationships/hyperlink" Target="https://www.gov.uk/government/publications/full-government-response-to-the-infected-blood-inquirys-may-2024-report/full-government-response-to-the-infected-blood-inquirys-may-2024-report-html" TargetMode="External"/><Relationship Id="rId29" Type="http://schemas.openxmlformats.org/officeDocument/2006/relationships/hyperlink" Target="https://doi.org/10.1108/978-1-62396-191-62025101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odthingsfoundation.org/discover/digital-inclusion-insights/digital-inclusion-insights-2025/tackling-digital-exclusion-in-the-future-nhs" TargetMode="External"/><Relationship Id="rId32" Type="http://schemas.openxmlformats.org/officeDocument/2006/relationships/hyperlink" Target="https://assets.publishing.service.gov.uk/media/6878a0f80263c35f52e4dcd3/nhsbt-annual-report-and-accounts-2024-to-2025.pdf" TargetMode="External"/><Relationship Id="rId37" Type="http://schemas.openxmlformats.org/officeDocument/2006/relationships/hyperlink" Target="https://link.springer.com/book/10.1007/978-3-319-25559-0"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file:///C:\Users\rosen\Downloads\BurnesBernard-Managingchange2017Pearson%20(1).pdf" TargetMode="External"/><Relationship Id="rId23" Type="http://schemas.openxmlformats.org/officeDocument/2006/relationships/hyperlink" Target="https://www.goodthingsfoundation.org/discover/digital-inclusion-insights/digital-inclusion-insights-2025/tackling-digital-exclusion-in-the-future-nhs" TargetMode="External"/><Relationship Id="rId28" Type="http://schemas.openxmlformats.org/officeDocument/2006/relationships/hyperlink" Target="https://www.infectedbloodinquiry.org.uk/reports/inquiry-report" TargetMode="External"/><Relationship Id="rId36" Type="http://schemas.openxmlformats.org/officeDocument/2006/relationships/hyperlink" Target="https://www.gov.uk/government/publications/the-blood-safety-and-quality-common-framework" TargetMode="External"/><Relationship Id="rId10" Type="http://schemas.openxmlformats.org/officeDocument/2006/relationships/endnotes" Target="endnotes.xml"/><Relationship Id="rId19" Type="http://schemas.openxmlformats.org/officeDocument/2006/relationships/hyperlink" Target="https://doi.org/10.1177/0018726715577707" TargetMode="External"/><Relationship Id="rId31" Type="http://schemas.openxmlformats.org/officeDocument/2006/relationships/hyperlink" Target="https://www.mindtools.com/cfvnpg1/finding-the-cause-of-a-proble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IJQRM-03-2016-0035" TargetMode="External"/><Relationship Id="rId22" Type="http://schemas.openxmlformats.org/officeDocument/2006/relationships/hyperlink" Target="https://www.health.org.uk/reports-and-analysis/briefings/about-the-francis-inquiry?gad_source=1&amp;gad_campaignid=13881943831&amp;gbraid=0AAAAADunFmRrkb7C5JPh47ql7UWIbEvBk&amp;gclid=CjwKCAjwspPOBhB9EiwATFbi5KKB4nDdk82JZY1DACa1jDKUTkm6zB2UmXL28frYTtaFtJm2BqS85xoCAMIQAvD_BwE" TargetMode="External"/><Relationship Id="rId27" Type="http://schemas.openxmlformats.org/officeDocument/2006/relationships/hyperlink" Target="https://lordslibrary.parliament.uk/infected-blood-scandal-background-impacts-interim-compensation-and-inquiry-outcomes/" TargetMode="External"/><Relationship Id="rId30" Type="http://schemas.openxmlformats.org/officeDocument/2006/relationships/hyperlink" Target="https://www.hbs.edu/faculty/Pages/item.aspx?num=137" TargetMode="External"/><Relationship Id="rId35" Type="http://schemas.openxmlformats.org/officeDocument/2006/relationships/hyperlink" Target="https://www.scirp.org/reference/referencespapers?referenceid=1122355"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link.springer.com/rwe/10.1007/978-3-030-38324-4_68" TargetMode="External"/><Relationship Id="rId25" Type="http://schemas.openxmlformats.org/officeDocument/2006/relationships/hyperlink" Target="https://d1wqtxts1xzle7.cloudfront.net/109539676/jisr.2017-libre.pdf?1703499580=&amp;response-content-disposition=inline%3B+filename%3DSwot_Analysis_A_Theoretical_Review.pdf&amp;Expires=1774539459&amp;Signature=fje~tURVZREZCYtHOc5s1r~BbnDHwkl~1oXzppjV6-R61r3jLNTKUrt2TXn6~eqcxtXZAyt2nd4Fg5LDUzx3OUAzpVXst8oNPNbzV~9ITeJ8b-UuL~9iC38rM9d3uAfF0813-8vfNEafVIHnwDYwI0yGOYR7qV7EHjPHy978544rKBrh0FgA3N~vXhPmsXseyR5hcrSp6woLwtXwld-qpHyJTQkmH~9gRkPMQACEC1EN4vgYaUhSKc65ND6zkCR6KGKY4HqPyIGLLBioXcnDjNWg~0qtouTrGqf3rLF0bMbR6QgWglS0-UuMgiEfNv-dsIcA57yfEY0nNn3t8Fw4Gw__&amp;Key-Pair-Id=APKAJLOHF5GGSLRBV4ZA" TargetMode="External"/><Relationship Id="rId33" Type="http://schemas.openxmlformats.org/officeDocument/2006/relationships/hyperlink" Target="https://www.havenhouse.org.uk/patient-safety-incident-response-framework-psirf?gad_source=1&amp;gad_campaignid=22163214678&amp;gbraid=0AAAAADqIJhmzMbjykECb6li9EM5QP23Ii&amp;gclid=CjwKCAjwspPOBhB9EiwATFbi5Hnsf7M4v1giABmpeBBAKh51jZ2PdHkssN5zBirZMu-6-aoDZHp4ZBoCwikQAvD_BwE" TargetMode="External"/><Relationship Id="rId38" Type="http://schemas.openxmlformats.org/officeDocument/2006/relationships/hyperlink" Target="https://www.scirp.org/reference/referencespapers?referenceid=10042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9b5ad346d6f0b33135b7021c44cf937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8af36fc3d66252be965342922f212eb"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6B09B-7CA4-40DF-92AC-880702F0D5F1}">
  <ds:schemaRefs>
    <ds:schemaRef ds:uri="http://schemas.microsoft.com/sharepoint/v3/contenttype/forms"/>
  </ds:schemaRefs>
</ds:datastoreItem>
</file>

<file path=customXml/itemProps2.xml><?xml version="1.0" encoding="utf-8"?>
<ds:datastoreItem xmlns:ds="http://schemas.openxmlformats.org/officeDocument/2006/customXml" ds:itemID="{D6EADFF7-3941-48A3-96B8-CD503FA327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47210-C701-483C-921F-68205CC54752}">
  <ds:schemaRefs>
    <ds:schemaRef ds:uri="http://schemas.microsoft.com/office/2006/metadata/properties"/>
    <ds:schemaRef ds:uri="http://schemas.microsoft.com/office/infopath/2007/PartnerControls"/>
    <ds:schemaRef ds:uri="a450a3cc-050d-4aca-8a4e-543025a63de0"/>
  </ds:schemaRefs>
</ds:datastoreItem>
</file>

<file path=customXml/itemProps4.xml><?xml version="1.0" encoding="utf-8"?>
<ds:datastoreItem xmlns:ds="http://schemas.openxmlformats.org/officeDocument/2006/customXml" ds:itemID="{8C94F506-FF9D-45F8-B0AA-51E1FCBAD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5534</Words>
  <Characters>31548</Characters>
  <Application>Microsoft Office Word</Application>
  <DocSecurity>0</DocSecurity>
  <Lines>262</Lines>
  <Paragraphs>74</Paragraphs>
  <ScaleCrop>false</ScaleCrop>
  <Company/>
  <LinksUpToDate>false</LinksUpToDate>
  <CharactersWithSpaces>37008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Rosena Lucy (2210256)</dc:creator>
  <cp:keywords/>
  <dc:description/>
  <cp:lastModifiedBy>Rosena Lucy (2210256)</cp:lastModifiedBy>
  <cp:revision>2</cp:revision>
  <dcterms:created xsi:type="dcterms:W3CDTF">2026-03-26T19:19:00Z</dcterms:created>
  <dcterms:modified xsi:type="dcterms:W3CDTF">2026-03-26T19:19:00Z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734cc811-95d3-499d-a0c2-2dff411b1cd9</vt:lpwstr>
  </property>
  <property fmtid="{D5CDD505-2E9C-101B-9397-08002B2CF9AE}" pid="3" name="ContentTypeId">
    <vt:lpwstr>0x01010003FE60FBA00DFD4EA0E1E66DCDED4993</vt:lpwstr>
  </property>
</Properties>
</file>