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307420" w14:textId="3ABFAABF" w:rsidR="00735513" w:rsidRDefault="00735513" w:rsidP="0098005A">
      <w:pPr>
        <w:spacing w:line="360" w:lineRule="auto"/>
        <w:rPr>
          <w:rFonts w:ascii="Arial" w:hAnsi="Arial" w:cs="Arial"/>
          <w:b/>
          <w:bCs/>
          <w:color w:val="000000"/>
          <w:sz w:val="27"/>
          <w:szCs w:val="27"/>
        </w:rPr>
      </w:pPr>
      <w:r>
        <w:rPr>
          <w:rFonts w:ascii="Arial" w:hAnsi="Arial" w:cs="Arial"/>
          <w:b/>
          <w:bCs/>
          <w:noProof/>
          <w:color w:val="000000"/>
          <w:sz w:val="27"/>
          <w:szCs w:val="27"/>
        </w:rPr>
        <w:drawing>
          <wp:inline distT="0" distB="0" distL="0" distR="0" wp14:anchorId="0FD80CD0" wp14:editId="680FB0DB">
            <wp:extent cx="4584700" cy="2573300"/>
            <wp:effectExtent l="0" t="0" r="0" b="5080"/>
            <wp:docPr id="786918498"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18498" name="Picture 1" descr="A logo of a university of wal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612261" cy="2588770"/>
                    </a:xfrm>
                    <a:prstGeom prst="rect">
                      <a:avLst/>
                    </a:prstGeom>
                  </pic:spPr>
                </pic:pic>
              </a:graphicData>
            </a:graphic>
          </wp:inline>
        </w:drawing>
      </w:r>
    </w:p>
    <w:p w14:paraId="0F390958" w14:textId="77777777" w:rsidR="003C35C3" w:rsidRDefault="003C35C3" w:rsidP="005E6A48">
      <w:pPr>
        <w:spacing w:line="360" w:lineRule="auto"/>
        <w:jc w:val="center"/>
        <w:rPr>
          <w:rFonts w:ascii="Arial" w:hAnsi="Arial" w:cs="Arial"/>
          <w:b/>
          <w:bCs/>
          <w:color w:val="000000"/>
          <w:sz w:val="27"/>
          <w:szCs w:val="27"/>
        </w:rPr>
      </w:pPr>
    </w:p>
    <w:p w14:paraId="13989896" w14:textId="77777777" w:rsidR="003C35C3" w:rsidRDefault="003C35C3" w:rsidP="005E6A48">
      <w:pPr>
        <w:spacing w:line="360" w:lineRule="auto"/>
        <w:jc w:val="center"/>
        <w:rPr>
          <w:rFonts w:ascii="Arial" w:hAnsi="Arial" w:cs="Arial"/>
          <w:b/>
          <w:bCs/>
          <w:color w:val="000000"/>
          <w:sz w:val="27"/>
          <w:szCs w:val="27"/>
        </w:rPr>
      </w:pPr>
    </w:p>
    <w:p w14:paraId="2463991C" w14:textId="77777777" w:rsidR="003C35C3" w:rsidRDefault="003C35C3" w:rsidP="005E6A48">
      <w:pPr>
        <w:spacing w:line="360" w:lineRule="auto"/>
        <w:jc w:val="center"/>
        <w:rPr>
          <w:rFonts w:ascii="Arial" w:hAnsi="Arial" w:cs="Arial"/>
          <w:b/>
          <w:bCs/>
          <w:color w:val="000000"/>
          <w:sz w:val="27"/>
          <w:szCs w:val="27"/>
        </w:rPr>
      </w:pPr>
    </w:p>
    <w:p w14:paraId="373A9844" w14:textId="77777777" w:rsidR="003C35C3" w:rsidRDefault="003C35C3" w:rsidP="005E6A48">
      <w:pPr>
        <w:spacing w:line="360" w:lineRule="auto"/>
        <w:jc w:val="center"/>
        <w:rPr>
          <w:rFonts w:ascii="Arial" w:hAnsi="Arial" w:cs="Arial"/>
          <w:b/>
          <w:bCs/>
          <w:color w:val="000000"/>
          <w:sz w:val="27"/>
          <w:szCs w:val="27"/>
        </w:rPr>
      </w:pPr>
    </w:p>
    <w:p w14:paraId="5D143827" w14:textId="1BF593FA" w:rsidR="005E6A48" w:rsidRDefault="005E6A48" w:rsidP="005E6A48">
      <w:pPr>
        <w:spacing w:line="360" w:lineRule="auto"/>
        <w:jc w:val="center"/>
        <w:rPr>
          <w:rFonts w:ascii="Arial" w:hAnsi="Arial" w:cs="Arial"/>
          <w:b/>
          <w:bCs/>
          <w:color w:val="000000"/>
          <w:sz w:val="27"/>
          <w:szCs w:val="27"/>
        </w:rPr>
      </w:pPr>
      <w:r>
        <w:rPr>
          <w:rFonts w:ascii="Arial" w:hAnsi="Arial" w:cs="Arial"/>
          <w:b/>
          <w:bCs/>
          <w:color w:val="000000"/>
          <w:sz w:val="27"/>
          <w:szCs w:val="27"/>
        </w:rPr>
        <w:t>Student name: Alina Jubea</w:t>
      </w:r>
    </w:p>
    <w:p w14:paraId="2EE5B05D" w14:textId="25669C21" w:rsidR="005E6A48" w:rsidRDefault="005E6A48" w:rsidP="005E6A48">
      <w:pPr>
        <w:spacing w:line="360" w:lineRule="auto"/>
        <w:jc w:val="center"/>
        <w:rPr>
          <w:rFonts w:ascii="Arial" w:hAnsi="Arial" w:cs="Arial"/>
          <w:b/>
          <w:bCs/>
          <w:color w:val="000000"/>
          <w:sz w:val="27"/>
          <w:szCs w:val="27"/>
        </w:rPr>
      </w:pPr>
      <w:r>
        <w:rPr>
          <w:rFonts w:ascii="Arial" w:hAnsi="Arial" w:cs="Arial"/>
          <w:b/>
          <w:bCs/>
          <w:color w:val="000000"/>
          <w:sz w:val="27"/>
          <w:szCs w:val="27"/>
        </w:rPr>
        <w:t>Student Number: 2023149</w:t>
      </w:r>
    </w:p>
    <w:p w14:paraId="13B07DA9" w14:textId="541C6D54" w:rsidR="005E6A48" w:rsidRDefault="003C35C3" w:rsidP="005E6A48">
      <w:pPr>
        <w:spacing w:line="360" w:lineRule="auto"/>
        <w:jc w:val="center"/>
        <w:rPr>
          <w:rFonts w:ascii="Arial" w:hAnsi="Arial" w:cs="Arial"/>
          <w:b/>
          <w:bCs/>
          <w:color w:val="000000"/>
          <w:sz w:val="27"/>
          <w:szCs w:val="27"/>
        </w:rPr>
      </w:pPr>
      <w:r>
        <w:rPr>
          <w:rFonts w:ascii="Arial" w:hAnsi="Arial" w:cs="Arial"/>
          <w:b/>
          <w:bCs/>
          <w:color w:val="000000"/>
          <w:sz w:val="27"/>
          <w:szCs w:val="27"/>
        </w:rPr>
        <w:t xml:space="preserve">MBA Banking and Finance </w:t>
      </w:r>
    </w:p>
    <w:p w14:paraId="1549A825" w14:textId="3E377FFC" w:rsidR="003C35C3" w:rsidRDefault="003C35C3" w:rsidP="005E6A48">
      <w:pPr>
        <w:spacing w:line="360" w:lineRule="auto"/>
        <w:jc w:val="center"/>
        <w:rPr>
          <w:rFonts w:ascii="Arial" w:hAnsi="Arial" w:cs="Arial"/>
          <w:b/>
          <w:bCs/>
          <w:color w:val="000000"/>
          <w:sz w:val="27"/>
          <w:szCs w:val="27"/>
        </w:rPr>
      </w:pPr>
      <w:r>
        <w:rPr>
          <w:rFonts w:ascii="Arial" w:hAnsi="Arial" w:cs="Arial"/>
          <w:b/>
          <w:bCs/>
          <w:color w:val="000000"/>
          <w:sz w:val="27"/>
          <w:szCs w:val="27"/>
        </w:rPr>
        <w:t xml:space="preserve">Supervisor: </w:t>
      </w:r>
      <w:proofErr w:type="spellStart"/>
      <w:r>
        <w:rPr>
          <w:rFonts w:ascii="Arial" w:hAnsi="Arial" w:cs="Arial"/>
          <w:b/>
          <w:bCs/>
          <w:color w:val="000000"/>
          <w:sz w:val="27"/>
          <w:szCs w:val="27"/>
        </w:rPr>
        <w:t>Shenfeng</w:t>
      </w:r>
      <w:proofErr w:type="spellEnd"/>
      <w:r>
        <w:rPr>
          <w:rFonts w:ascii="Arial" w:hAnsi="Arial" w:cs="Arial"/>
          <w:b/>
          <w:bCs/>
          <w:color w:val="000000"/>
          <w:sz w:val="27"/>
          <w:szCs w:val="27"/>
        </w:rPr>
        <w:t xml:space="preserve"> Mei</w:t>
      </w:r>
    </w:p>
    <w:p w14:paraId="6E9538D5" w14:textId="77777777" w:rsidR="00735513" w:rsidRDefault="00735513" w:rsidP="0098005A">
      <w:pPr>
        <w:spacing w:line="360" w:lineRule="auto"/>
        <w:rPr>
          <w:rFonts w:ascii="Arial" w:hAnsi="Arial" w:cs="Arial"/>
          <w:b/>
          <w:bCs/>
          <w:color w:val="000000"/>
          <w:sz w:val="27"/>
          <w:szCs w:val="27"/>
        </w:rPr>
      </w:pPr>
    </w:p>
    <w:p w14:paraId="694ACEB8" w14:textId="77777777" w:rsidR="00735513" w:rsidRDefault="00735513" w:rsidP="0098005A">
      <w:pPr>
        <w:spacing w:line="360" w:lineRule="auto"/>
        <w:rPr>
          <w:rFonts w:ascii="Arial" w:hAnsi="Arial" w:cs="Arial"/>
          <w:b/>
          <w:bCs/>
          <w:color w:val="000000"/>
          <w:sz w:val="27"/>
          <w:szCs w:val="27"/>
        </w:rPr>
      </w:pPr>
    </w:p>
    <w:p w14:paraId="166A034B" w14:textId="77777777" w:rsidR="00735513" w:rsidRDefault="00735513" w:rsidP="0098005A">
      <w:pPr>
        <w:spacing w:line="360" w:lineRule="auto"/>
        <w:rPr>
          <w:rFonts w:ascii="Arial" w:hAnsi="Arial" w:cs="Arial"/>
          <w:b/>
          <w:bCs/>
          <w:color w:val="000000"/>
          <w:sz w:val="27"/>
          <w:szCs w:val="27"/>
        </w:rPr>
      </w:pPr>
    </w:p>
    <w:p w14:paraId="1C19086E" w14:textId="77777777" w:rsidR="00735513" w:rsidRDefault="00735513" w:rsidP="0098005A">
      <w:pPr>
        <w:spacing w:line="360" w:lineRule="auto"/>
        <w:rPr>
          <w:rFonts w:ascii="Arial" w:hAnsi="Arial" w:cs="Arial"/>
          <w:b/>
          <w:bCs/>
          <w:color w:val="000000"/>
          <w:sz w:val="27"/>
          <w:szCs w:val="27"/>
        </w:rPr>
      </w:pPr>
    </w:p>
    <w:p w14:paraId="50F27F4D" w14:textId="77777777" w:rsidR="00735513" w:rsidRDefault="00735513" w:rsidP="0098005A">
      <w:pPr>
        <w:spacing w:line="360" w:lineRule="auto"/>
        <w:rPr>
          <w:rFonts w:ascii="Arial" w:hAnsi="Arial" w:cs="Arial"/>
          <w:b/>
          <w:bCs/>
          <w:color w:val="000000"/>
          <w:sz w:val="27"/>
          <w:szCs w:val="27"/>
        </w:rPr>
      </w:pPr>
    </w:p>
    <w:p w14:paraId="0199DB5A" w14:textId="10BF1F1C" w:rsidR="0098005A" w:rsidRDefault="00D91417" w:rsidP="003C35C3">
      <w:pPr>
        <w:spacing w:line="360" w:lineRule="auto"/>
        <w:jc w:val="center"/>
        <w:rPr>
          <w:rFonts w:ascii="Arial" w:hAnsi="Arial" w:cs="Arial"/>
          <w:b/>
          <w:bCs/>
          <w:color w:val="000000"/>
          <w:sz w:val="27"/>
          <w:szCs w:val="27"/>
        </w:rPr>
      </w:pPr>
      <w:r w:rsidRPr="00D91417">
        <w:rPr>
          <w:rFonts w:ascii="Arial" w:hAnsi="Arial" w:cs="Arial"/>
          <w:b/>
          <w:bCs/>
          <w:color w:val="000000"/>
          <w:sz w:val="27"/>
          <w:szCs w:val="27"/>
        </w:rPr>
        <w:t xml:space="preserve">Dissertation Proposal: The </w:t>
      </w:r>
      <w:r w:rsidR="00735513">
        <w:rPr>
          <w:rFonts w:ascii="Arial" w:hAnsi="Arial" w:cs="Arial"/>
          <w:b/>
          <w:bCs/>
          <w:color w:val="000000"/>
          <w:sz w:val="27"/>
          <w:szCs w:val="27"/>
        </w:rPr>
        <w:t>Impact</w:t>
      </w:r>
      <w:r w:rsidRPr="00D91417">
        <w:rPr>
          <w:rFonts w:ascii="Arial" w:hAnsi="Arial" w:cs="Arial"/>
          <w:b/>
          <w:bCs/>
          <w:color w:val="000000"/>
          <w:sz w:val="27"/>
          <w:szCs w:val="27"/>
        </w:rPr>
        <w:t xml:space="preserve"> of Interest Rates in Shaping Consumer Credit Behaviour - Evidence from the UK Mortgage Market</w:t>
      </w:r>
    </w:p>
    <w:p w14:paraId="1339669B" w14:textId="77777777" w:rsidR="003C35C3" w:rsidRDefault="003C35C3" w:rsidP="0098005A">
      <w:pPr>
        <w:spacing w:line="360" w:lineRule="auto"/>
        <w:rPr>
          <w:rFonts w:ascii="Arial" w:hAnsi="Arial" w:cs="Arial"/>
          <w:b/>
          <w:bCs/>
          <w:color w:val="000000"/>
          <w:sz w:val="27"/>
          <w:szCs w:val="27"/>
        </w:rPr>
      </w:pPr>
    </w:p>
    <w:p w14:paraId="5F82D727" w14:textId="77777777" w:rsidR="003C35C3" w:rsidRDefault="003C35C3" w:rsidP="0098005A">
      <w:pPr>
        <w:spacing w:line="360" w:lineRule="auto"/>
        <w:rPr>
          <w:rFonts w:ascii="Arial" w:hAnsi="Arial" w:cs="Arial"/>
          <w:b/>
          <w:bCs/>
          <w:color w:val="000000"/>
          <w:sz w:val="27"/>
          <w:szCs w:val="27"/>
        </w:rPr>
      </w:pPr>
    </w:p>
    <w:p w14:paraId="3BE3DBE9" w14:textId="77777777" w:rsidR="003C35C3" w:rsidRDefault="003C35C3" w:rsidP="0098005A">
      <w:pPr>
        <w:spacing w:line="360" w:lineRule="auto"/>
        <w:rPr>
          <w:rFonts w:ascii="Arial" w:hAnsi="Arial" w:cs="Arial"/>
          <w:b/>
          <w:bCs/>
          <w:color w:val="000000"/>
          <w:sz w:val="27"/>
          <w:szCs w:val="27"/>
        </w:rPr>
      </w:pPr>
    </w:p>
    <w:p w14:paraId="33B4E9EA" w14:textId="77777777" w:rsidR="003C35C3" w:rsidRDefault="003C35C3" w:rsidP="0098005A">
      <w:pPr>
        <w:spacing w:line="360" w:lineRule="auto"/>
        <w:rPr>
          <w:rFonts w:ascii="Arial" w:hAnsi="Arial" w:cs="Arial"/>
          <w:b/>
          <w:bCs/>
          <w:color w:val="000000"/>
          <w:sz w:val="27"/>
          <w:szCs w:val="27"/>
        </w:rPr>
      </w:pPr>
    </w:p>
    <w:p w14:paraId="14F770D2" w14:textId="77777777" w:rsidR="003C35C3" w:rsidRDefault="003C35C3" w:rsidP="0098005A">
      <w:pPr>
        <w:spacing w:line="360" w:lineRule="auto"/>
        <w:rPr>
          <w:rFonts w:ascii="Arial" w:hAnsi="Arial" w:cs="Arial"/>
          <w:b/>
          <w:bCs/>
          <w:color w:val="000000"/>
          <w:sz w:val="27"/>
          <w:szCs w:val="27"/>
        </w:rPr>
      </w:pPr>
    </w:p>
    <w:p w14:paraId="37B81B5F" w14:textId="77777777" w:rsidR="00D91417" w:rsidRPr="00D91417" w:rsidRDefault="00D91417" w:rsidP="0098005A">
      <w:pPr>
        <w:spacing w:line="360" w:lineRule="auto"/>
        <w:rPr>
          <w:rFonts w:ascii="Arial" w:hAnsi="Arial" w:cs="Arial"/>
          <w:b/>
          <w:bCs/>
          <w:sz w:val="22"/>
          <w:szCs w:val="22"/>
        </w:rPr>
      </w:pPr>
    </w:p>
    <w:p w14:paraId="1FF93155" w14:textId="7F8847E4" w:rsidR="007F29F7" w:rsidRPr="0098005A" w:rsidRDefault="00A732DB" w:rsidP="0098005A">
      <w:pPr>
        <w:spacing w:line="360" w:lineRule="auto"/>
        <w:rPr>
          <w:rFonts w:ascii="Arial" w:hAnsi="Arial" w:cs="Arial"/>
          <w:sz w:val="22"/>
          <w:szCs w:val="22"/>
        </w:rPr>
      </w:pPr>
      <w:r w:rsidRPr="00A732DB">
        <w:rPr>
          <w:rFonts w:ascii="Arial" w:hAnsi="Arial" w:cs="Arial"/>
          <w:sz w:val="22"/>
          <w:szCs w:val="22"/>
        </w:rPr>
        <w:t xml:space="preserve">This study investigates the impact of changes in interest rates on consumer credit behaviour in the UK mortgage market, with a particular focus on borrowing rates, default patterns, and refinance activity. Consumer decisions regarding mortgage origination, repayment, and refinancing are significantly influenced by interest rates, which are a critical factor in determining the cost of borrowing. It is imperative for stakeholders, such as policymakers, investors, and lenders, to investigate consumer responsiveness to interest rate fluctuations, as mortgage lending in the United Kingdom is significantly associated with market stability. Critical studies, such as </w:t>
      </w:r>
      <w:r w:rsidRPr="00CE5CA7">
        <w:rPr>
          <w:rFonts w:ascii="Arial" w:hAnsi="Arial" w:cs="Arial"/>
          <w:i/>
          <w:iCs/>
          <w:sz w:val="22"/>
          <w:szCs w:val="22"/>
        </w:rPr>
        <w:t xml:space="preserve">Cloyne, Ferreira, and </w:t>
      </w:r>
      <w:proofErr w:type="spellStart"/>
      <w:r w:rsidRPr="00CE5CA7">
        <w:rPr>
          <w:rFonts w:ascii="Arial" w:hAnsi="Arial" w:cs="Arial"/>
          <w:i/>
          <w:iCs/>
          <w:sz w:val="22"/>
          <w:szCs w:val="22"/>
        </w:rPr>
        <w:t>Surico</w:t>
      </w:r>
      <w:proofErr w:type="spellEnd"/>
      <w:r w:rsidRPr="00CE5CA7">
        <w:rPr>
          <w:rFonts w:ascii="Arial" w:hAnsi="Arial" w:cs="Arial"/>
          <w:i/>
          <w:iCs/>
          <w:sz w:val="22"/>
          <w:szCs w:val="22"/>
        </w:rPr>
        <w:t xml:space="preserve"> (2018), Di Maggio et al. (2017), and Cooperman et al. (2022)</w:t>
      </w:r>
      <w:r w:rsidRPr="00A732DB">
        <w:rPr>
          <w:rFonts w:ascii="Arial" w:hAnsi="Arial" w:cs="Arial"/>
          <w:sz w:val="22"/>
          <w:szCs w:val="22"/>
        </w:rPr>
        <w:t>, establish a foundation for comprehending these dynamics. These studies examine how interest rate sensitivity, financial constraints, and risk management affect the behaviour of consumers and lenders in the mortgage market.</w:t>
      </w:r>
    </w:p>
    <w:p w14:paraId="6E05796F" w14:textId="77777777" w:rsidR="0098005A" w:rsidRPr="0098005A" w:rsidRDefault="0098005A" w:rsidP="0098005A">
      <w:pPr>
        <w:spacing w:line="360" w:lineRule="auto"/>
        <w:rPr>
          <w:rFonts w:ascii="Arial" w:hAnsi="Arial" w:cs="Arial"/>
          <w:sz w:val="22"/>
          <w:szCs w:val="22"/>
        </w:rPr>
      </w:pPr>
    </w:p>
    <w:p w14:paraId="79429553" w14:textId="377B194D" w:rsidR="0098005A" w:rsidRPr="0098005A" w:rsidRDefault="0098005A" w:rsidP="0098005A">
      <w:pPr>
        <w:spacing w:line="360" w:lineRule="auto"/>
        <w:rPr>
          <w:rFonts w:ascii="Arial" w:hAnsi="Arial" w:cs="Arial"/>
          <w:sz w:val="22"/>
          <w:szCs w:val="22"/>
        </w:rPr>
      </w:pPr>
      <w:r w:rsidRPr="0657F6B0">
        <w:rPr>
          <w:rFonts w:ascii="Arial" w:hAnsi="Arial" w:cs="Arial"/>
          <w:sz w:val="22"/>
          <w:szCs w:val="22"/>
        </w:rPr>
        <w:t>Over the past few decades, the UK mortgage industry has grown significantly, and customers' decisions about when and how to take on mortgage debt are significantly impacted by changes in interest rates</w:t>
      </w:r>
      <w:r w:rsidR="00691A84">
        <w:rPr>
          <w:rFonts w:ascii="Arial" w:hAnsi="Arial" w:cs="Arial"/>
          <w:sz w:val="22"/>
          <w:szCs w:val="22"/>
        </w:rPr>
        <w:t xml:space="preserve"> </w:t>
      </w:r>
      <w:r w:rsidR="00691A84" w:rsidRPr="00691A84">
        <w:rPr>
          <w:rFonts w:ascii="Arial" w:hAnsi="Arial" w:cs="Arial"/>
          <w:sz w:val="22"/>
          <w:szCs w:val="22"/>
        </w:rPr>
        <w:t>(Whitbread, 2024)</w:t>
      </w:r>
      <w:r w:rsidRPr="0657F6B0">
        <w:rPr>
          <w:rFonts w:ascii="Arial" w:hAnsi="Arial" w:cs="Arial"/>
          <w:sz w:val="22"/>
          <w:szCs w:val="22"/>
        </w:rPr>
        <w:t>. Understanding how consumers respond to changes in interest rates is becoming more and more crucial as the Bank of England's monetary policies force rate adjustments to preserve economic stability.</w:t>
      </w:r>
      <w:r w:rsidR="00A732DB" w:rsidRPr="0657F6B0">
        <w:rPr>
          <w:rFonts w:ascii="Arial" w:hAnsi="Arial" w:cs="Arial"/>
          <w:sz w:val="22"/>
          <w:szCs w:val="22"/>
        </w:rPr>
        <w:t xml:space="preserve"> </w:t>
      </w:r>
      <w:r w:rsidR="00A732DB" w:rsidRPr="00DA3DBE">
        <w:rPr>
          <w:rFonts w:ascii="Arial" w:hAnsi="Arial" w:cs="Arial"/>
          <w:sz w:val="22"/>
          <w:szCs w:val="22"/>
        </w:rPr>
        <w:t>Industry professionals with a wealth of experience in the construction sector, particularly in the acquisition, renovation, and sale of residential properties, frequently acquire a distinctive viewpoint on how critical economic factors affect market dynamics and consumer confidence in real estate investments. A comprehensive comprehension of the impact of mortgage rates on customer financing decisions and property demand is a critical component of business strategy in this sector. These factors are essential for evaluating the viability of investments and guaranteeing market stability.</w:t>
      </w:r>
    </w:p>
    <w:p w14:paraId="0A6781D9" w14:textId="77777777" w:rsidR="0098005A" w:rsidRDefault="0098005A" w:rsidP="0098005A">
      <w:pPr>
        <w:spacing w:line="360" w:lineRule="auto"/>
        <w:rPr>
          <w:rFonts w:ascii="Arial" w:hAnsi="Arial" w:cs="Arial"/>
          <w:sz w:val="22"/>
          <w:szCs w:val="22"/>
        </w:rPr>
      </w:pPr>
      <w:r w:rsidRPr="0098005A">
        <w:rPr>
          <w:rFonts w:ascii="Arial" w:hAnsi="Arial" w:cs="Arial"/>
          <w:sz w:val="22"/>
          <w:szCs w:val="22"/>
        </w:rPr>
        <w:t>This study aims to provide insightful information about how changes in interest rates affect consumer financial resilience, the dynamics of the real estate market, and wider financial sector ramifications. The study's analysis of these consequences will assist policymakers, financial institutions, and players in the building industry in making well-informed decisions that will promote a responsive and stable housing market despite fluctuating interest rates.</w:t>
      </w:r>
    </w:p>
    <w:p w14:paraId="0A91761A" w14:textId="77777777" w:rsidR="00D91417" w:rsidRPr="0098005A" w:rsidRDefault="00D91417" w:rsidP="0098005A">
      <w:pPr>
        <w:spacing w:line="360" w:lineRule="auto"/>
        <w:rPr>
          <w:rFonts w:ascii="Arial" w:hAnsi="Arial" w:cs="Arial"/>
          <w:sz w:val="22"/>
          <w:szCs w:val="22"/>
        </w:rPr>
      </w:pPr>
    </w:p>
    <w:p w14:paraId="3FED1C80" w14:textId="1D87E947" w:rsidR="0098005A" w:rsidRPr="0098005A" w:rsidRDefault="0098005A" w:rsidP="0098005A">
      <w:pPr>
        <w:spacing w:line="360" w:lineRule="auto"/>
        <w:rPr>
          <w:rFonts w:ascii="Arial" w:hAnsi="Arial" w:cs="Arial"/>
          <w:b/>
          <w:bCs/>
          <w:sz w:val="22"/>
          <w:szCs w:val="22"/>
        </w:rPr>
      </w:pPr>
      <w:r w:rsidRPr="0657F6B0">
        <w:rPr>
          <w:rFonts w:ascii="Arial" w:hAnsi="Arial" w:cs="Arial"/>
          <w:b/>
          <w:bCs/>
          <w:sz w:val="22"/>
          <w:szCs w:val="22"/>
        </w:rPr>
        <w:t>Purpose, Goals, and Research Issues</w:t>
      </w:r>
    </w:p>
    <w:p w14:paraId="189A51E4" w14:textId="5F974F5E" w:rsidR="0098005A" w:rsidRDefault="0098005A">
      <w:pPr>
        <w:spacing w:line="360" w:lineRule="auto"/>
        <w:rPr>
          <w:rFonts w:ascii="Arial" w:hAnsi="Arial" w:cs="Arial"/>
          <w:sz w:val="22"/>
          <w:szCs w:val="22"/>
        </w:rPr>
      </w:pPr>
      <w:r w:rsidRPr="0657F6B0">
        <w:rPr>
          <w:rFonts w:ascii="Arial" w:hAnsi="Arial" w:cs="Arial"/>
          <w:sz w:val="22"/>
          <w:szCs w:val="22"/>
        </w:rPr>
        <w:t xml:space="preserve">The main goal of this study is to </w:t>
      </w:r>
      <w:r w:rsidR="00D91417" w:rsidRPr="0657F6B0">
        <w:rPr>
          <w:rFonts w:ascii="Arial" w:hAnsi="Arial" w:cs="Arial"/>
          <w:sz w:val="22"/>
          <w:szCs w:val="22"/>
        </w:rPr>
        <w:t>analyse</w:t>
      </w:r>
      <w:r w:rsidRPr="0657F6B0">
        <w:rPr>
          <w:rFonts w:ascii="Arial" w:hAnsi="Arial" w:cs="Arial"/>
          <w:sz w:val="22"/>
          <w:szCs w:val="22"/>
        </w:rPr>
        <w:t xml:space="preserve"> the impact of benchmark interest rates on UK consumer mortgage behaviour. </w:t>
      </w:r>
      <w:r w:rsidR="4E5CB57D" w:rsidRPr="0657F6B0">
        <w:rPr>
          <w:rFonts w:ascii="Arial" w:hAnsi="Arial" w:cs="Arial"/>
          <w:sz w:val="22"/>
          <w:szCs w:val="22"/>
        </w:rPr>
        <w:t>Particularly, this paper will evaluate</w:t>
      </w:r>
      <w:r w:rsidRPr="0657F6B0">
        <w:rPr>
          <w:rFonts w:ascii="Arial" w:hAnsi="Arial" w:cs="Arial"/>
          <w:sz w:val="22"/>
          <w:szCs w:val="22"/>
        </w:rPr>
        <w:t xml:space="preserve"> the effects of benchmark </w:t>
      </w:r>
      <w:r w:rsidRPr="0657F6B0">
        <w:rPr>
          <w:rFonts w:ascii="Arial" w:hAnsi="Arial" w:cs="Arial"/>
          <w:sz w:val="22"/>
          <w:szCs w:val="22"/>
        </w:rPr>
        <w:lastRenderedPageBreak/>
        <w:t>rate changes on mortgage origination, refinance, and repayment decisions</w:t>
      </w:r>
      <w:r w:rsidR="638B78AD" w:rsidRPr="0657F6B0">
        <w:rPr>
          <w:rFonts w:ascii="Arial" w:hAnsi="Arial" w:cs="Arial"/>
          <w:sz w:val="22"/>
          <w:szCs w:val="22"/>
        </w:rPr>
        <w:t>, as well as how</w:t>
      </w:r>
      <w:r w:rsidRPr="0657F6B0">
        <w:rPr>
          <w:rFonts w:ascii="Arial" w:hAnsi="Arial" w:cs="Arial"/>
          <w:sz w:val="22"/>
          <w:szCs w:val="22"/>
        </w:rPr>
        <w:t xml:space="preserve"> economic factors mitigate the influence of interest rate changes on consumer mortgage behaviour.</w:t>
      </w:r>
      <w:r w:rsidR="3FFE97B5" w:rsidRPr="0657F6B0">
        <w:rPr>
          <w:rFonts w:ascii="Arial" w:hAnsi="Arial" w:cs="Arial"/>
          <w:sz w:val="22"/>
          <w:szCs w:val="22"/>
        </w:rPr>
        <w:t xml:space="preserve"> </w:t>
      </w:r>
      <w:r w:rsidR="65100B1E" w:rsidRPr="0657F6B0">
        <w:rPr>
          <w:rFonts w:ascii="Arial" w:hAnsi="Arial" w:cs="Arial"/>
          <w:sz w:val="22"/>
          <w:szCs w:val="22"/>
        </w:rPr>
        <w:t>To do so, I empirically test</w:t>
      </w:r>
      <w:r w:rsidRPr="0657F6B0">
        <w:rPr>
          <w:rFonts w:ascii="Arial" w:hAnsi="Arial" w:cs="Arial"/>
          <w:sz w:val="22"/>
          <w:szCs w:val="22"/>
        </w:rPr>
        <w:t xml:space="preserve"> how changes in the benchmark interest rates (LIBOR, EURIBOR, and SOFR) affect borrowing rates in the UK mortgage market</w:t>
      </w:r>
      <w:r w:rsidR="7C597303" w:rsidRPr="0657F6B0">
        <w:rPr>
          <w:rFonts w:ascii="Arial" w:hAnsi="Arial" w:cs="Arial"/>
          <w:sz w:val="22"/>
          <w:szCs w:val="22"/>
        </w:rPr>
        <w:t>, showing</w:t>
      </w:r>
      <w:r w:rsidRPr="0657F6B0">
        <w:rPr>
          <w:rFonts w:ascii="Arial" w:hAnsi="Arial" w:cs="Arial"/>
          <w:sz w:val="22"/>
          <w:szCs w:val="22"/>
        </w:rPr>
        <w:t xml:space="preserve"> how consumers react to changes in interest rates in relation to refinancing and new </w:t>
      </w:r>
      <w:r w:rsidR="003C35C3" w:rsidRPr="0657F6B0">
        <w:rPr>
          <w:rFonts w:ascii="Arial" w:hAnsi="Arial" w:cs="Arial"/>
          <w:sz w:val="22"/>
          <w:szCs w:val="22"/>
        </w:rPr>
        <w:t>mortgages. This</w:t>
      </w:r>
      <w:r w:rsidR="02E41830" w:rsidRPr="0657F6B0">
        <w:rPr>
          <w:rFonts w:ascii="Arial" w:hAnsi="Arial" w:cs="Arial"/>
          <w:sz w:val="22"/>
          <w:szCs w:val="22"/>
        </w:rPr>
        <w:t xml:space="preserve"> paper</w:t>
      </w:r>
      <w:r w:rsidRPr="0657F6B0">
        <w:rPr>
          <w:rFonts w:ascii="Arial" w:hAnsi="Arial" w:cs="Arial"/>
          <w:sz w:val="22"/>
          <w:szCs w:val="22"/>
        </w:rPr>
        <w:t xml:space="preserve"> will clarify whether lower interest rates are associated with lower default risks, suggesting that consumers can better fulfil their mortgage obligations.</w:t>
      </w:r>
      <w:r w:rsidR="11BBE562" w:rsidRPr="0657F6B0">
        <w:rPr>
          <w:rFonts w:ascii="Arial" w:hAnsi="Arial" w:cs="Arial"/>
          <w:sz w:val="22"/>
          <w:szCs w:val="22"/>
        </w:rPr>
        <w:t xml:space="preserve"> Besides, it will </w:t>
      </w:r>
      <w:r w:rsidR="0AA4717E" w:rsidRPr="0657F6B0">
        <w:rPr>
          <w:rFonts w:ascii="Arial" w:hAnsi="Arial" w:cs="Arial"/>
          <w:sz w:val="22"/>
          <w:szCs w:val="22"/>
        </w:rPr>
        <w:t>e</w:t>
      </w:r>
      <w:r w:rsidRPr="0657F6B0">
        <w:rPr>
          <w:rFonts w:ascii="Arial" w:hAnsi="Arial" w:cs="Arial"/>
          <w:sz w:val="22"/>
          <w:szCs w:val="22"/>
        </w:rPr>
        <w:t>xamine how economic variables, such as GDP growth, inflation, household cost of living, and interest rate fluctuations, affect mortgage behaviour</w:t>
      </w:r>
      <w:r w:rsidR="11D474D4" w:rsidRPr="0657F6B0">
        <w:rPr>
          <w:rFonts w:ascii="Arial" w:hAnsi="Arial" w:cs="Arial"/>
          <w:sz w:val="22"/>
          <w:szCs w:val="22"/>
        </w:rPr>
        <w:t>, focusing</w:t>
      </w:r>
      <w:r w:rsidRPr="0657F6B0">
        <w:rPr>
          <w:rFonts w:ascii="Arial" w:hAnsi="Arial" w:cs="Arial"/>
          <w:sz w:val="22"/>
          <w:szCs w:val="22"/>
        </w:rPr>
        <w:t xml:space="preserve"> on how the state of the economy affects mortgage repayment patterns.</w:t>
      </w:r>
      <w:r w:rsidR="2F4CB0C3" w:rsidRPr="0657F6B0">
        <w:rPr>
          <w:rFonts w:ascii="Arial" w:hAnsi="Arial" w:cs="Arial"/>
          <w:sz w:val="22"/>
          <w:szCs w:val="22"/>
        </w:rPr>
        <w:t xml:space="preserve"> </w:t>
      </w:r>
      <w:r w:rsidR="6583A0EE" w:rsidRPr="0657F6B0">
        <w:rPr>
          <w:rFonts w:ascii="Arial" w:hAnsi="Arial" w:cs="Arial"/>
          <w:sz w:val="22"/>
          <w:szCs w:val="22"/>
        </w:rPr>
        <w:t>This study contributes to</w:t>
      </w:r>
      <w:r w:rsidRPr="0657F6B0">
        <w:rPr>
          <w:rFonts w:ascii="Arial" w:hAnsi="Arial" w:cs="Arial"/>
          <w:sz w:val="22"/>
          <w:szCs w:val="22"/>
        </w:rPr>
        <w:t xml:space="preserve"> investment plans in the real estate sector, especially in the building sector. </w:t>
      </w:r>
      <w:r w:rsidR="5B57F6F1" w:rsidRPr="0657F6B0">
        <w:rPr>
          <w:rFonts w:ascii="Arial" w:hAnsi="Arial" w:cs="Arial"/>
          <w:sz w:val="22"/>
          <w:szCs w:val="22"/>
        </w:rPr>
        <w:t xml:space="preserve">It shows that </w:t>
      </w:r>
      <w:r w:rsidR="3B204892" w:rsidRPr="0657F6B0">
        <w:rPr>
          <w:rFonts w:ascii="Arial" w:hAnsi="Arial" w:cs="Arial"/>
          <w:sz w:val="22"/>
          <w:szCs w:val="22"/>
        </w:rPr>
        <w:t>c</w:t>
      </w:r>
      <w:r w:rsidRPr="0657F6B0">
        <w:rPr>
          <w:rFonts w:ascii="Arial" w:hAnsi="Arial" w:cs="Arial"/>
          <w:sz w:val="22"/>
          <w:szCs w:val="22"/>
        </w:rPr>
        <w:t xml:space="preserve">omprehending </w:t>
      </w:r>
      <w:r w:rsidR="22E3EE86" w:rsidRPr="0657F6B0">
        <w:rPr>
          <w:rFonts w:ascii="Arial" w:hAnsi="Arial" w:cs="Arial"/>
          <w:sz w:val="22"/>
          <w:szCs w:val="22"/>
        </w:rPr>
        <w:t>the impact of</w:t>
      </w:r>
      <w:r w:rsidRPr="0657F6B0">
        <w:rPr>
          <w:rFonts w:ascii="Arial" w:hAnsi="Arial" w:cs="Arial"/>
          <w:sz w:val="22"/>
          <w:szCs w:val="22"/>
        </w:rPr>
        <w:t xml:space="preserve"> mortgage rates </w:t>
      </w:r>
      <w:r w:rsidR="4D1AEBF7" w:rsidRPr="0657F6B0">
        <w:rPr>
          <w:rFonts w:ascii="Arial" w:hAnsi="Arial" w:cs="Arial"/>
          <w:sz w:val="22"/>
          <w:szCs w:val="22"/>
        </w:rPr>
        <w:t>on</w:t>
      </w:r>
      <w:r w:rsidRPr="0657F6B0">
        <w:rPr>
          <w:rFonts w:ascii="Arial" w:hAnsi="Arial" w:cs="Arial"/>
          <w:sz w:val="22"/>
          <w:szCs w:val="22"/>
        </w:rPr>
        <w:t xml:space="preserve"> real estate sales, renovations, and resale values will help guide strategic choices in response to market conditions.</w:t>
      </w:r>
    </w:p>
    <w:p w14:paraId="78EAEFCA" w14:textId="77777777" w:rsidR="00D91417" w:rsidRPr="0098005A" w:rsidRDefault="00D91417" w:rsidP="0098005A">
      <w:pPr>
        <w:spacing w:line="360" w:lineRule="auto"/>
        <w:rPr>
          <w:rFonts w:ascii="Arial" w:hAnsi="Arial" w:cs="Arial"/>
          <w:sz w:val="22"/>
          <w:szCs w:val="22"/>
        </w:rPr>
      </w:pPr>
    </w:p>
    <w:p w14:paraId="734465D3" w14:textId="77777777" w:rsidR="0098005A" w:rsidRPr="0098005A" w:rsidRDefault="0098005A" w:rsidP="0098005A">
      <w:pPr>
        <w:spacing w:line="360" w:lineRule="auto"/>
        <w:rPr>
          <w:rFonts w:ascii="Arial" w:hAnsi="Arial" w:cs="Arial"/>
          <w:b/>
          <w:bCs/>
          <w:sz w:val="22"/>
          <w:szCs w:val="22"/>
        </w:rPr>
      </w:pPr>
      <w:r w:rsidRPr="0098005A">
        <w:rPr>
          <w:rFonts w:ascii="Arial" w:hAnsi="Arial" w:cs="Arial"/>
          <w:b/>
          <w:bCs/>
          <w:sz w:val="22"/>
          <w:szCs w:val="22"/>
        </w:rPr>
        <w:t>Questions for Research:</w:t>
      </w:r>
    </w:p>
    <w:p w14:paraId="2203533B" w14:textId="19C2C716" w:rsidR="0098005A" w:rsidRPr="0098005A" w:rsidRDefault="00D91417" w:rsidP="0098005A">
      <w:pPr>
        <w:spacing w:line="360" w:lineRule="auto"/>
        <w:rPr>
          <w:rFonts w:ascii="Arial" w:hAnsi="Arial" w:cs="Arial"/>
          <w:sz w:val="22"/>
          <w:szCs w:val="22"/>
        </w:rPr>
      </w:pPr>
      <w:r>
        <w:rPr>
          <w:rFonts w:ascii="Arial" w:hAnsi="Arial" w:cs="Arial"/>
          <w:sz w:val="22"/>
          <w:szCs w:val="22"/>
        </w:rPr>
        <w:t>1.</w:t>
      </w:r>
      <w:r w:rsidR="0098005A" w:rsidRPr="0098005A">
        <w:rPr>
          <w:rFonts w:ascii="Arial" w:hAnsi="Arial" w:cs="Arial"/>
          <w:sz w:val="22"/>
          <w:szCs w:val="22"/>
        </w:rPr>
        <w:t>What effects do shifts in the benchmark interest rates (LIBOR, EURIBOR, and SOFR) have on borrowing costs in the mortgage market in the United Kingdom?</w:t>
      </w:r>
    </w:p>
    <w:p w14:paraId="749CB068" w14:textId="52B26BF5" w:rsidR="0098005A" w:rsidRPr="0098005A" w:rsidRDefault="00D91417" w:rsidP="0098005A">
      <w:pPr>
        <w:spacing w:line="360" w:lineRule="auto"/>
        <w:rPr>
          <w:rFonts w:ascii="Arial" w:hAnsi="Arial" w:cs="Arial"/>
          <w:sz w:val="22"/>
          <w:szCs w:val="22"/>
        </w:rPr>
      </w:pPr>
      <w:r>
        <w:rPr>
          <w:rFonts w:ascii="Arial" w:hAnsi="Arial" w:cs="Arial"/>
          <w:sz w:val="22"/>
          <w:szCs w:val="22"/>
        </w:rPr>
        <w:t>2.</w:t>
      </w:r>
      <w:r w:rsidR="0098005A" w:rsidRPr="0098005A">
        <w:rPr>
          <w:rFonts w:ascii="Arial" w:hAnsi="Arial" w:cs="Arial"/>
          <w:sz w:val="22"/>
          <w:szCs w:val="22"/>
        </w:rPr>
        <w:t>What connection exists between changes in interest rates and UK mortgage holders' default patterns?</w:t>
      </w:r>
    </w:p>
    <w:p w14:paraId="3A288BE7" w14:textId="5771F74C" w:rsidR="0098005A" w:rsidRPr="0098005A" w:rsidRDefault="00D91417" w:rsidP="0098005A">
      <w:pPr>
        <w:spacing w:line="360" w:lineRule="auto"/>
        <w:rPr>
          <w:rFonts w:ascii="Arial" w:hAnsi="Arial" w:cs="Arial"/>
          <w:sz w:val="22"/>
          <w:szCs w:val="22"/>
        </w:rPr>
      </w:pPr>
      <w:r>
        <w:rPr>
          <w:rFonts w:ascii="Arial" w:hAnsi="Arial" w:cs="Arial"/>
          <w:sz w:val="22"/>
          <w:szCs w:val="22"/>
        </w:rPr>
        <w:t>3.</w:t>
      </w:r>
      <w:r w:rsidR="0098005A" w:rsidRPr="0098005A">
        <w:rPr>
          <w:rFonts w:ascii="Arial" w:hAnsi="Arial" w:cs="Arial"/>
          <w:sz w:val="22"/>
          <w:szCs w:val="22"/>
        </w:rPr>
        <w:t>How is the relationship between interest rates and consumer mortgage behaviour influenced by economic control variables such as GDP, inflation, and household costs?</w:t>
      </w:r>
    </w:p>
    <w:p w14:paraId="408BFC01" w14:textId="241A5F8F" w:rsidR="0098005A" w:rsidRDefault="00D91417" w:rsidP="0098005A">
      <w:pPr>
        <w:spacing w:line="360" w:lineRule="auto"/>
        <w:rPr>
          <w:rFonts w:ascii="Arial" w:hAnsi="Arial" w:cs="Arial"/>
          <w:sz w:val="22"/>
          <w:szCs w:val="22"/>
        </w:rPr>
      </w:pPr>
      <w:r>
        <w:rPr>
          <w:rFonts w:ascii="Arial" w:hAnsi="Arial" w:cs="Arial"/>
          <w:sz w:val="22"/>
          <w:szCs w:val="22"/>
        </w:rPr>
        <w:t>4.</w:t>
      </w:r>
      <w:r w:rsidR="0098005A" w:rsidRPr="0098005A">
        <w:rPr>
          <w:rFonts w:ascii="Arial" w:hAnsi="Arial" w:cs="Arial"/>
          <w:sz w:val="22"/>
          <w:szCs w:val="22"/>
        </w:rPr>
        <w:t>What broader effects do interest rate-driven shifts in consumer behaviour have on UK financial institutions and policymakers?</w:t>
      </w:r>
    </w:p>
    <w:p w14:paraId="4A2FA8BB" w14:textId="77777777" w:rsidR="00D91417" w:rsidRPr="0098005A" w:rsidRDefault="00D91417" w:rsidP="0098005A">
      <w:pPr>
        <w:spacing w:line="360" w:lineRule="auto"/>
        <w:rPr>
          <w:rFonts w:ascii="Arial" w:hAnsi="Arial" w:cs="Arial"/>
          <w:sz w:val="22"/>
          <w:szCs w:val="22"/>
        </w:rPr>
      </w:pPr>
    </w:p>
    <w:p w14:paraId="554F7918" w14:textId="67129C3E" w:rsidR="0098005A" w:rsidRPr="0098005A" w:rsidRDefault="151277E8">
      <w:pPr>
        <w:spacing w:line="360" w:lineRule="auto"/>
        <w:rPr>
          <w:rFonts w:ascii="Arial" w:hAnsi="Arial" w:cs="Arial"/>
          <w:b/>
          <w:bCs/>
          <w:sz w:val="22"/>
          <w:szCs w:val="22"/>
        </w:rPr>
      </w:pPr>
      <w:r w:rsidRPr="0657F6B0">
        <w:rPr>
          <w:rFonts w:ascii="Arial" w:hAnsi="Arial" w:cs="Arial"/>
          <w:b/>
          <w:bCs/>
          <w:sz w:val="22"/>
          <w:szCs w:val="22"/>
        </w:rPr>
        <w:t>Data Source</w:t>
      </w:r>
    </w:p>
    <w:p w14:paraId="64E5798A" w14:textId="74F3E5AF"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 xml:space="preserve">This study will </w:t>
      </w:r>
      <w:r w:rsidR="00D91417" w:rsidRPr="0098005A">
        <w:rPr>
          <w:rFonts w:ascii="Arial" w:hAnsi="Arial" w:cs="Arial"/>
          <w:sz w:val="22"/>
          <w:szCs w:val="22"/>
        </w:rPr>
        <w:t>analyse</w:t>
      </w:r>
      <w:r w:rsidRPr="0098005A">
        <w:rPr>
          <w:rFonts w:ascii="Arial" w:hAnsi="Arial" w:cs="Arial"/>
          <w:sz w:val="22"/>
          <w:szCs w:val="22"/>
        </w:rPr>
        <w:t xml:space="preserve"> secondary quantitative data to investigate the connections between interest rates, consumer mortgage behaviour, and general economic issues. Using publicly accessible data from reliable sources will provide a strong basis for empirical research.</w:t>
      </w:r>
    </w:p>
    <w:p w14:paraId="5C1BB4E9" w14:textId="0AE3FC7D" w:rsidR="0098005A" w:rsidRDefault="0FB3544B" w:rsidP="0098005A">
      <w:pPr>
        <w:spacing w:line="360" w:lineRule="auto"/>
        <w:rPr>
          <w:rFonts w:ascii="Arial" w:hAnsi="Arial" w:cs="Arial"/>
          <w:sz w:val="22"/>
          <w:szCs w:val="22"/>
        </w:rPr>
      </w:pPr>
      <w:r w:rsidRPr="0657F6B0">
        <w:rPr>
          <w:rFonts w:ascii="Arial" w:hAnsi="Arial" w:cs="Arial"/>
          <w:sz w:val="22"/>
          <w:szCs w:val="22"/>
        </w:rPr>
        <w:t xml:space="preserve">My data sources include: </w:t>
      </w:r>
      <w:r w:rsidR="0098005A" w:rsidRPr="0098005A">
        <w:rPr>
          <w:rFonts w:ascii="Arial" w:hAnsi="Arial" w:cs="Arial"/>
          <w:sz w:val="22"/>
          <w:szCs w:val="22"/>
        </w:rPr>
        <w:t>The Bank of England, Federal Reserve Economic Data (FRED), and other reliable sources will provide information on benchmark interest rates (LIBOR, EURIBOR, and SOFR). It is possible to capture the short- and medium-term effects of rate swings using both 6-month and 12-month rates. Industry publications, including Barclays' public insights into mortgage behaviour, UK Finance, and the Office for National Statistics (ONS), will be the sources of mortgage market statistics, such as borrowing rates, default rates, and refinancing trends. Control variables will be economic indicators derived from ONS and World Bank datasets, including GDP growth, inflation, and household living expenses.</w:t>
      </w:r>
    </w:p>
    <w:p w14:paraId="2A47768C" w14:textId="77777777" w:rsidR="003C35C3" w:rsidRDefault="003C35C3" w:rsidP="0098005A">
      <w:pPr>
        <w:spacing w:line="360" w:lineRule="auto"/>
        <w:rPr>
          <w:rFonts w:ascii="Arial" w:hAnsi="Arial" w:cs="Arial"/>
          <w:sz w:val="22"/>
          <w:szCs w:val="22"/>
        </w:rPr>
      </w:pPr>
    </w:p>
    <w:p w14:paraId="75944334" w14:textId="77777777" w:rsidR="003C35C3" w:rsidRDefault="003C35C3" w:rsidP="0098005A">
      <w:pPr>
        <w:spacing w:line="360" w:lineRule="auto"/>
        <w:rPr>
          <w:rFonts w:ascii="Arial" w:hAnsi="Arial" w:cs="Arial"/>
          <w:sz w:val="22"/>
          <w:szCs w:val="22"/>
        </w:rPr>
      </w:pPr>
    </w:p>
    <w:p w14:paraId="49555ED9" w14:textId="77777777" w:rsidR="003C35C3" w:rsidRPr="0098005A" w:rsidRDefault="003C35C3" w:rsidP="0098005A">
      <w:pPr>
        <w:spacing w:line="360" w:lineRule="auto"/>
        <w:rPr>
          <w:rFonts w:ascii="Arial" w:hAnsi="Arial" w:cs="Arial"/>
          <w:sz w:val="22"/>
          <w:szCs w:val="22"/>
        </w:rPr>
      </w:pPr>
    </w:p>
    <w:p w14:paraId="6E76D2A3" w14:textId="77777777" w:rsidR="00D91417" w:rsidRPr="0098005A" w:rsidRDefault="00D91417" w:rsidP="0098005A">
      <w:pPr>
        <w:spacing w:line="360" w:lineRule="auto"/>
        <w:rPr>
          <w:rFonts w:ascii="Arial" w:hAnsi="Arial" w:cs="Arial"/>
          <w:sz w:val="22"/>
          <w:szCs w:val="22"/>
        </w:rPr>
      </w:pPr>
    </w:p>
    <w:p w14:paraId="3E461E0E" w14:textId="77777777" w:rsidR="0098005A" w:rsidRPr="0098005A" w:rsidRDefault="0098005A" w:rsidP="0098005A">
      <w:pPr>
        <w:spacing w:line="360" w:lineRule="auto"/>
        <w:rPr>
          <w:rFonts w:ascii="Arial" w:hAnsi="Arial" w:cs="Arial"/>
          <w:b/>
          <w:bCs/>
          <w:sz w:val="22"/>
          <w:szCs w:val="22"/>
        </w:rPr>
      </w:pPr>
      <w:r w:rsidRPr="0657F6B0">
        <w:rPr>
          <w:rFonts w:ascii="Arial" w:hAnsi="Arial" w:cs="Arial"/>
          <w:b/>
          <w:bCs/>
          <w:sz w:val="22"/>
          <w:szCs w:val="22"/>
        </w:rPr>
        <w:t>Testing Hypotheses:</w:t>
      </w:r>
    </w:p>
    <w:p w14:paraId="22FBCF7C"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The following are the study's hypotheses:</w:t>
      </w:r>
    </w:p>
    <w:p w14:paraId="13AC4CF6" w14:textId="09ABBD16" w:rsidR="0098005A" w:rsidRDefault="1F280FA6" w:rsidP="0657F6B0">
      <w:pPr>
        <w:spacing w:line="360" w:lineRule="auto"/>
        <w:rPr>
          <w:rFonts w:ascii="Arial" w:hAnsi="Arial" w:cs="Arial"/>
          <w:sz w:val="22"/>
          <w:szCs w:val="22"/>
        </w:rPr>
      </w:pPr>
      <w:r w:rsidRPr="0657F6B0">
        <w:rPr>
          <w:rFonts w:ascii="Arial" w:hAnsi="Arial" w:cs="Arial"/>
          <w:sz w:val="22"/>
          <w:szCs w:val="22"/>
        </w:rPr>
        <w:t xml:space="preserve"> H1: Lower interest rates reduce borrowing costs, enabling consumers to afford mortgages more readily.</w:t>
      </w:r>
    </w:p>
    <w:p w14:paraId="77944FD3" w14:textId="7680E8DF" w:rsidR="1F280FA6" w:rsidRDefault="1F280FA6" w:rsidP="00735513">
      <w:pPr>
        <w:spacing w:line="360" w:lineRule="auto"/>
        <w:rPr>
          <w:rFonts w:ascii="Arial" w:hAnsi="Arial" w:cs="Arial"/>
          <w:sz w:val="22"/>
          <w:szCs w:val="22"/>
        </w:rPr>
      </w:pPr>
      <w:r w:rsidRPr="0657F6B0">
        <w:rPr>
          <w:rFonts w:ascii="Arial" w:hAnsi="Arial" w:cs="Arial"/>
          <w:sz w:val="22"/>
          <w:szCs w:val="22"/>
        </w:rPr>
        <w:t>H0: Lower interest rates do not significantly impact consumers' ability to afford mortgages.</w:t>
      </w:r>
    </w:p>
    <w:p w14:paraId="210A0D82" w14:textId="5F605F3B" w:rsidR="1F280FA6" w:rsidRDefault="1F280FA6" w:rsidP="00735513">
      <w:pPr>
        <w:spacing w:line="360" w:lineRule="auto"/>
        <w:rPr>
          <w:rFonts w:ascii="Arial" w:hAnsi="Arial" w:cs="Arial"/>
          <w:sz w:val="22"/>
          <w:szCs w:val="22"/>
        </w:rPr>
      </w:pPr>
      <w:r w:rsidRPr="0657F6B0">
        <w:rPr>
          <w:rFonts w:ascii="Arial" w:hAnsi="Arial" w:cs="Arial"/>
          <w:sz w:val="22"/>
          <w:szCs w:val="22"/>
        </w:rPr>
        <w:t xml:space="preserve"> </w:t>
      </w:r>
    </w:p>
    <w:p w14:paraId="7EC8532A" w14:textId="4B66034E" w:rsidR="1F280FA6" w:rsidRDefault="1F280FA6" w:rsidP="00735513">
      <w:pPr>
        <w:spacing w:line="360" w:lineRule="auto"/>
        <w:rPr>
          <w:rFonts w:ascii="Arial" w:hAnsi="Arial" w:cs="Arial"/>
          <w:sz w:val="22"/>
          <w:szCs w:val="22"/>
        </w:rPr>
      </w:pPr>
      <w:r w:rsidRPr="0657F6B0">
        <w:rPr>
          <w:rFonts w:ascii="Arial" w:hAnsi="Arial" w:cs="Arial"/>
          <w:sz w:val="22"/>
          <w:szCs w:val="22"/>
        </w:rPr>
        <w:t>H1: Reduced financial strain on borrowers due to lower interest rates is associated with a decrease in default rates.</w:t>
      </w:r>
    </w:p>
    <w:p w14:paraId="2CA0A2A1" w14:textId="15372098" w:rsidR="1F280FA6" w:rsidRDefault="1F280FA6" w:rsidP="00735513">
      <w:pPr>
        <w:spacing w:line="360" w:lineRule="auto"/>
        <w:rPr>
          <w:rFonts w:ascii="Arial" w:hAnsi="Arial" w:cs="Arial"/>
          <w:sz w:val="22"/>
          <w:szCs w:val="22"/>
        </w:rPr>
      </w:pPr>
      <w:r w:rsidRPr="0657F6B0">
        <w:rPr>
          <w:rFonts w:ascii="Arial" w:hAnsi="Arial" w:cs="Arial"/>
          <w:sz w:val="22"/>
          <w:szCs w:val="22"/>
        </w:rPr>
        <w:t>H0: Lower interest rates do not have a significant association with default rates among borrowers.</w:t>
      </w:r>
    </w:p>
    <w:p w14:paraId="657E7C70" w14:textId="44D5BE7A" w:rsidR="1F280FA6" w:rsidRDefault="1F280FA6" w:rsidP="00735513">
      <w:pPr>
        <w:spacing w:line="360" w:lineRule="auto"/>
        <w:rPr>
          <w:rFonts w:ascii="Arial" w:hAnsi="Arial" w:cs="Arial"/>
          <w:sz w:val="22"/>
          <w:szCs w:val="22"/>
        </w:rPr>
      </w:pPr>
      <w:r w:rsidRPr="0657F6B0">
        <w:rPr>
          <w:rFonts w:ascii="Arial" w:hAnsi="Arial" w:cs="Arial"/>
          <w:sz w:val="22"/>
          <w:szCs w:val="22"/>
        </w:rPr>
        <w:t xml:space="preserve"> </w:t>
      </w:r>
    </w:p>
    <w:p w14:paraId="4C013A8D" w14:textId="321056FA" w:rsidR="1F280FA6" w:rsidRDefault="1F280FA6" w:rsidP="00735513">
      <w:pPr>
        <w:spacing w:line="360" w:lineRule="auto"/>
        <w:rPr>
          <w:rFonts w:ascii="Arial" w:hAnsi="Arial" w:cs="Arial"/>
          <w:sz w:val="22"/>
          <w:szCs w:val="22"/>
        </w:rPr>
      </w:pPr>
      <w:r w:rsidRPr="0657F6B0">
        <w:rPr>
          <w:rFonts w:ascii="Arial" w:hAnsi="Arial" w:cs="Arial"/>
          <w:sz w:val="22"/>
          <w:szCs w:val="22"/>
        </w:rPr>
        <w:t xml:space="preserve">H1: Fluctuations in interest rates influence consumer borrowing and repayment </w:t>
      </w:r>
      <w:r w:rsidR="00383EEE" w:rsidRPr="0657F6B0">
        <w:rPr>
          <w:rFonts w:ascii="Arial" w:hAnsi="Arial" w:cs="Arial"/>
          <w:sz w:val="22"/>
          <w:szCs w:val="22"/>
        </w:rPr>
        <w:t>behaviours</w:t>
      </w:r>
      <w:r w:rsidRPr="0657F6B0">
        <w:rPr>
          <w:rFonts w:ascii="Arial" w:hAnsi="Arial" w:cs="Arial"/>
          <w:sz w:val="22"/>
          <w:szCs w:val="22"/>
        </w:rPr>
        <w:t>; however, these effects are moderated by broader economic factors such as GDP growth and inflation.</w:t>
      </w:r>
    </w:p>
    <w:p w14:paraId="1838D296" w14:textId="581FFCAA" w:rsidR="1F280FA6" w:rsidRDefault="1F280FA6" w:rsidP="0657F6B0">
      <w:pPr>
        <w:spacing w:line="360" w:lineRule="auto"/>
      </w:pPr>
      <w:r w:rsidRPr="0657F6B0">
        <w:rPr>
          <w:rFonts w:ascii="Arial" w:hAnsi="Arial" w:cs="Arial"/>
          <w:sz w:val="22"/>
          <w:szCs w:val="22"/>
        </w:rPr>
        <w:t>H0: Interest rate fluctuations do not significantly influence consumer borrowing and repayment patterns, irrespective of economic factors such as GDP and inflation.</w:t>
      </w:r>
    </w:p>
    <w:p w14:paraId="40895097" w14:textId="76CB20A2" w:rsidR="0657F6B0" w:rsidRDefault="0657F6B0" w:rsidP="0657F6B0">
      <w:pPr>
        <w:spacing w:line="360" w:lineRule="auto"/>
        <w:rPr>
          <w:rFonts w:ascii="Arial" w:hAnsi="Arial" w:cs="Arial"/>
          <w:sz w:val="22"/>
          <w:szCs w:val="22"/>
        </w:rPr>
      </w:pPr>
    </w:p>
    <w:p w14:paraId="6C966DC4" w14:textId="77777777" w:rsidR="1F280FA6" w:rsidRDefault="1F280FA6" w:rsidP="0657F6B0">
      <w:pPr>
        <w:spacing w:line="360" w:lineRule="auto"/>
        <w:rPr>
          <w:rFonts w:ascii="Arial" w:hAnsi="Arial" w:cs="Arial"/>
          <w:b/>
          <w:bCs/>
          <w:sz w:val="22"/>
          <w:szCs w:val="22"/>
        </w:rPr>
      </w:pPr>
      <w:r w:rsidRPr="0657F6B0">
        <w:rPr>
          <w:rFonts w:ascii="Arial" w:hAnsi="Arial" w:cs="Arial"/>
          <w:b/>
          <w:bCs/>
          <w:sz w:val="22"/>
          <w:szCs w:val="22"/>
        </w:rPr>
        <w:t>Models of Econometrics:</w:t>
      </w:r>
    </w:p>
    <w:p w14:paraId="58054F2F" w14:textId="77777777" w:rsidR="1F280FA6" w:rsidRDefault="1F280FA6" w:rsidP="0657F6B0">
      <w:pPr>
        <w:spacing w:line="360" w:lineRule="auto"/>
        <w:rPr>
          <w:rFonts w:ascii="Arial" w:hAnsi="Arial" w:cs="Arial"/>
          <w:sz w:val="22"/>
          <w:szCs w:val="22"/>
        </w:rPr>
      </w:pPr>
      <w:r w:rsidRPr="0657F6B0">
        <w:rPr>
          <w:rFonts w:ascii="Arial" w:hAnsi="Arial" w:cs="Arial"/>
          <w:sz w:val="22"/>
          <w:szCs w:val="22"/>
        </w:rPr>
        <w:t>Two econometric models will be used to examine these relationships:</w:t>
      </w:r>
    </w:p>
    <w:p w14:paraId="18C1F93A" w14:textId="77777777" w:rsidR="1F280FA6" w:rsidRDefault="1F280FA6" w:rsidP="0657F6B0">
      <w:pPr>
        <w:spacing w:line="360" w:lineRule="auto"/>
        <w:rPr>
          <w:rFonts w:ascii="Arial" w:hAnsi="Arial" w:cs="Arial"/>
          <w:sz w:val="22"/>
          <w:szCs w:val="22"/>
        </w:rPr>
      </w:pPr>
      <w:r w:rsidRPr="0657F6B0">
        <w:rPr>
          <w:rFonts w:ascii="Arial" w:hAnsi="Arial" w:cs="Arial"/>
          <w:sz w:val="22"/>
          <w:szCs w:val="22"/>
        </w:rPr>
        <w:t>Borrowing Rate Model: This model examines the relationship between borrowing and benchmark interest rates. Control variables such as GDP, inflation, and household living expenses are added to account for other economic factors influencing consumer mortgage behaviour.</w:t>
      </w:r>
    </w:p>
    <w:p w14:paraId="55D66774" w14:textId="77777777" w:rsidR="1F280FA6" w:rsidRDefault="1F280FA6" w:rsidP="0657F6B0">
      <w:pPr>
        <w:spacing w:line="360" w:lineRule="auto"/>
        <w:rPr>
          <w:rFonts w:ascii="Arial" w:hAnsi="Arial" w:cs="Arial"/>
          <w:sz w:val="22"/>
          <w:szCs w:val="22"/>
        </w:rPr>
      </w:pPr>
      <w:r w:rsidRPr="0657F6B0">
        <w:rPr>
          <w:rFonts w:ascii="Arial" w:hAnsi="Arial" w:cs="Arial"/>
          <w:sz w:val="22"/>
          <w:szCs w:val="22"/>
        </w:rPr>
        <w:t>Rate of borrowing = α + β × interest rate + γ × control factors + ϵ</w:t>
      </w:r>
    </w:p>
    <w:p w14:paraId="1D1C459B" w14:textId="77777777" w:rsidR="1F280FA6" w:rsidRDefault="1F280FA6" w:rsidP="0657F6B0">
      <w:pPr>
        <w:spacing w:line="360" w:lineRule="auto"/>
        <w:rPr>
          <w:rFonts w:ascii="Arial" w:hAnsi="Arial" w:cs="Arial"/>
          <w:sz w:val="22"/>
          <w:szCs w:val="22"/>
        </w:rPr>
      </w:pPr>
      <w:r w:rsidRPr="0657F6B0">
        <w:rPr>
          <w:rFonts w:ascii="Arial" w:hAnsi="Arial" w:cs="Arial"/>
          <w:sz w:val="22"/>
          <w:szCs w:val="22"/>
        </w:rPr>
        <w:t>The default behaviour model, the difference between the real mortgage and reference rates, evaluates the effects of interest rate changes. The stability of consumer credit under different rate situations will be clarified by this model, which measures default behaviour in relation to economic variables.</w:t>
      </w:r>
    </w:p>
    <w:p w14:paraId="45763D24" w14:textId="5A4929A5" w:rsidR="1F280FA6" w:rsidRDefault="1F280FA6" w:rsidP="0657F6B0">
      <w:pPr>
        <w:spacing w:line="360" w:lineRule="auto"/>
        <w:rPr>
          <w:rFonts w:ascii="Arial" w:hAnsi="Arial" w:cs="Arial"/>
          <w:sz w:val="22"/>
          <w:szCs w:val="22"/>
        </w:rPr>
      </w:pPr>
      <w:r w:rsidRPr="0657F6B0">
        <w:rPr>
          <w:rFonts w:ascii="Arial" w:hAnsi="Arial" w:cs="Arial"/>
          <w:sz w:val="22"/>
          <w:szCs w:val="22"/>
        </w:rPr>
        <w:t>Default Behaviour = α + β × interest rate + γ × control variables + ϵ.</w:t>
      </w:r>
    </w:p>
    <w:p w14:paraId="411222C8" w14:textId="24038D45" w:rsidR="0657F6B0" w:rsidRDefault="0657F6B0" w:rsidP="0657F6B0">
      <w:pPr>
        <w:spacing w:line="360" w:lineRule="auto"/>
        <w:rPr>
          <w:rFonts w:ascii="Arial" w:hAnsi="Arial" w:cs="Arial"/>
          <w:sz w:val="22"/>
          <w:szCs w:val="22"/>
        </w:rPr>
      </w:pPr>
    </w:p>
    <w:p w14:paraId="243343EB" w14:textId="77777777" w:rsidR="00D91417" w:rsidRPr="0098005A" w:rsidRDefault="00D91417" w:rsidP="0098005A">
      <w:pPr>
        <w:spacing w:line="360" w:lineRule="auto"/>
        <w:rPr>
          <w:rFonts w:ascii="Arial" w:hAnsi="Arial" w:cs="Arial"/>
          <w:sz w:val="22"/>
          <w:szCs w:val="22"/>
        </w:rPr>
      </w:pPr>
    </w:p>
    <w:p w14:paraId="49486653" w14:textId="32F879A0" w:rsidR="00A732DB" w:rsidRDefault="0098005A" w:rsidP="0098005A">
      <w:pPr>
        <w:spacing w:line="360" w:lineRule="auto"/>
        <w:rPr>
          <w:rFonts w:ascii="Arial" w:hAnsi="Arial" w:cs="Arial"/>
          <w:b/>
          <w:bCs/>
          <w:sz w:val="22"/>
          <w:szCs w:val="22"/>
        </w:rPr>
      </w:pPr>
      <w:r w:rsidRPr="0098005A">
        <w:rPr>
          <w:rFonts w:ascii="Arial" w:hAnsi="Arial" w:cs="Arial"/>
          <w:b/>
          <w:bCs/>
          <w:sz w:val="22"/>
          <w:szCs w:val="22"/>
        </w:rPr>
        <w:t>Review of Literature</w:t>
      </w:r>
    </w:p>
    <w:p w14:paraId="56BCD221" w14:textId="77777777" w:rsidR="00A732DB" w:rsidRPr="0098005A" w:rsidRDefault="00A732DB" w:rsidP="0098005A">
      <w:pPr>
        <w:spacing w:line="360" w:lineRule="auto"/>
        <w:rPr>
          <w:rFonts w:ascii="Arial" w:hAnsi="Arial" w:cs="Arial"/>
          <w:b/>
          <w:bCs/>
          <w:sz w:val="22"/>
          <w:szCs w:val="22"/>
        </w:rPr>
      </w:pPr>
    </w:p>
    <w:p w14:paraId="23FEB72F" w14:textId="77777777" w:rsidR="007F29F7" w:rsidRPr="007F29F7" w:rsidRDefault="007F29F7" w:rsidP="007F29F7">
      <w:pPr>
        <w:spacing w:line="360" w:lineRule="auto"/>
        <w:rPr>
          <w:rFonts w:ascii="Arial" w:hAnsi="Arial" w:cs="Arial"/>
          <w:sz w:val="22"/>
          <w:szCs w:val="22"/>
        </w:rPr>
      </w:pPr>
      <w:r w:rsidRPr="007F29F7">
        <w:rPr>
          <w:rFonts w:ascii="Arial" w:hAnsi="Arial" w:cs="Arial"/>
          <w:sz w:val="22"/>
          <w:szCs w:val="22"/>
        </w:rPr>
        <w:t xml:space="preserve">This literature review investigates the substantial influence of interest rate fluctuations and policy decisions on the real estate and construction sectors, which present significant obstacles to the banking and finance industry in the current economic environment. The </w:t>
      </w:r>
      <w:r w:rsidRPr="007F29F7">
        <w:rPr>
          <w:rFonts w:ascii="Arial" w:hAnsi="Arial" w:cs="Arial"/>
          <w:sz w:val="22"/>
          <w:szCs w:val="22"/>
        </w:rPr>
        <w:lastRenderedPageBreak/>
        <w:t>Bank of England's recent monetary policies, designed to stabilise the economy, have directly impacted property investments and mortgage rates; this has resulted in a rise in financing costs and a demand for property refurbishment and resale, impacting construction businesses.</w:t>
      </w:r>
    </w:p>
    <w:p w14:paraId="7DC659FE" w14:textId="77777777" w:rsidR="007F29F7" w:rsidRPr="007F29F7" w:rsidRDefault="007F29F7" w:rsidP="007F29F7">
      <w:pPr>
        <w:spacing w:line="360" w:lineRule="auto"/>
        <w:rPr>
          <w:rFonts w:ascii="Arial" w:hAnsi="Arial" w:cs="Arial"/>
          <w:sz w:val="22"/>
          <w:szCs w:val="22"/>
        </w:rPr>
      </w:pPr>
    </w:p>
    <w:p w14:paraId="3D774FE6" w14:textId="77777777" w:rsidR="007F29F7" w:rsidRPr="007F29F7" w:rsidRDefault="007F29F7" w:rsidP="007F29F7">
      <w:pPr>
        <w:spacing w:line="360" w:lineRule="auto"/>
        <w:rPr>
          <w:rFonts w:ascii="Arial" w:hAnsi="Arial" w:cs="Arial"/>
          <w:sz w:val="22"/>
          <w:szCs w:val="22"/>
        </w:rPr>
      </w:pPr>
      <w:r w:rsidRPr="007F29F7">
        <w:rPr>
          <w:rFonts w:ascii="Arial" w:hAnsi="Arial" w:cs="Arial"/>
          <w:sz w:val="22"/>
          <w:szCs w:val="22"/>
        </w:rPr>
        <w:t>Barclays (2024) emphasises the housing market's inconsistent response to recent rate increases, with certain regions experiencing a decline in demand while others maintain demand, albeit at a reduced pace. This dynamic presents opportunities and challenges for companies engaged in acquiring, renovating, and selling property, necessitating strategic adaptations to local market conditions and consumer sentiment.</w:t>
      </w:r>
    </w:p>
    <w:p w14:paraId="2540F051" w14:textId="77777777" w:rsidR="007F29F7" w:rsidRPr="007F29F7" w:rsidRDefault="007F29F7" w:rsidP="007F29F7">
      <w:pPr>
        <w:spacing w:line="360" w:lineRule="auto"/>
        <w:rPr>
          <w:rFonts w:ascii="Arial" w:hAnsi="Arial" w:cs="Arial"/>
          <w:sz w:val="22"/>
          <w:szCs w:val="22"/>
        </w:rPr>
      </w:pPr>
    </w:p>
    <w:p w14:paraId="47500B06" w14:textId="77777777" w:rsidR="007F29F7" w:rsidRPr="007F29F7" w:rsidRDefault="007F29F7" w:rsidP="007F29F7">
      <w:pPr>
        <w:spacing w:line="360" w:lineRule="auto"/>
        <w:rPr>
          <w:rFonts w:ascii="Arial" w:hAnsi="Arial" w:cs="Arial"/>
          <w:sz w:val="22"/>
          <w:szCs w:val="22"/>
        </w:rPr>
      </w:pPr>
      <w:r w:rsidRPr="007F29F7">
        <w:rPr>
          <w:rFonts w:ascii="Arial" w:hAnsi="Arial" w:cs="Arial"/>
          <w:sz w:val="22"/>
          <w:szCs w:val="22"/>
        </w:rPr>
        <w:t>Cloyne, Ferreira, and Surico (2018) offer evidence that the dynamics of the property market are substantially influenced by mortgage holders' sensitivity to changes in interest rates. Increased sensitivity may impact the demand for property sales and enhancements, reducing householders' spending power; this is particularly true for small construction businesses, where consumer behaviour frequently reflects broader economic trends.</w:t>
      </w:r>
    </w:p>
    <w:p w14:paraId="64C3B67A" w14:textId="77777777" w:rsidR="007F29F7" w:rsidRPr="007F29F7" w:rsidRDefault="007F29F7" w:rsidP="007F29F7">
      <w:pPr>
        <w:spacing w:line="360" w:lineRule="auto"/>
        <w:rPr>
          <w:rFonts w:ascii="Arial" w:hAnsi="Arial" w:cs="Arial"/>
          <w:sz w:val="22"/>
          <w:szCs w:val="22"/>
        </w:rPr>
      </w:pPr>
    </w:p>
    <w:p w14:paraId="433C433B" w14:textId="77777777" w:rsidR="007F29F7" w:rsidRPr="007F29F7" w:rsidRDefault="007F29F7" w:rsidP="007F29F7">
      <w:pPr>
        <w:spacing w:line="360" w:lineRule="auto"/>
        <w:rPr>
          <w:rFonts w:ascii="Arial" w:hAnsi="Arial" w:cs="Arial"/>
          <w:sz w:val="22"/>
          <w:szCs w:val="22"/>
        </w:rPr>
      </w:pPr>
      <w:r w:rsidRPr="007F29F7">
        <w:rPr>
          <w:rFonts w:ascii="Arial" w:hAnsi="Arial" w:cs="Arial"/>
          <w:sz w:val="22"/>
          <w:szCs w:val="22"/>
        </w:rPr>
        <w:t>Cooperman et al. (2022) provide additional insights that emphasise the increasing importance of risk management for financial institutions in the face of evolving risks associated with inflation, interest rates, and regulatory changes. Understanding financial risk is essential for enhancing strategic planning and resilience in construction businesses, particularly in urban centres such as London.</w:t>
      </w:r>
    </w:p>
    <w:p w14:paraId="79EC1143" w14:textId="77777777" w:rsidR="007F29F7" w:rsidRPr="007F29F7" w:rsidRDefault="007F29F7" w:rsidP="007F29F7">
      <w:pPr>
        <w:spacing w:line="360" w:lineRule="auto"/>
        <w:rPr>
          <w:rFonts w:ascii="Arial" w:hAnsi="Arial" w:cs="Arial"/>
          <w:sz w:val="22"/>
          <w:szCs w:val="22"/>
        </w:rPr>
      </w:pPr>
    </w:p>
    <w:p w14:paraId="705F2794" w14:textId="22A6A4FF" w:rsidR="007F29F7" w:rsidRPr="007F29F7" w:rsidRDefault="007F29F7" w:rsidP="007F29F7">
      <w:pPr>
        <w:spacing w:line="360" w:lineRule="auto"/>
        <w:rPr>
          <w:rFonts w:ascii="Arial" w:hAnsi="Arial" w:cs="Arial"/>
          <w:sz w:val="22"/>
          <w:szCs w:val="22"/>
        </w:rPr>
      </w:pPr>
      <w:r w:rsidRPr="007F29F7">
        <w:rPr>
          <w:rFonts w:ascii="Arial" w:hAnsi="Arial" w:cs="Arial"/>
          <w:sz w:val="22"/>
          <w:szCs w:val="22"/>
        </w:rPr>
        <w:t xml:space="preserve">Furthermore, Di Maggio et al. (2017) investigate the financial constraints that affect SMEs, observing that access to capital continues to be a challenge. Recent interest rate </w:t>
      </w:r>
      <w:r w:rsidR="00383EEE" w:rsidRPr="007F29F7">
        <w:rPr>
          <w:rFonts w:ascii="Arial" w:hAnsi="Arial" w:cs="Arial"/>
          <w:sz w:val="22"/>
          <w:szCs w:val="22"/>
        </w:rPr>
        <w:t>increases,</w:t>
      </w:r>
      <w:r w:rsidRPr="007F29F7">
        <w:rPr>
          <w:rFonts w:ascii="Arial" w:hAnsi="Arial" w:cs="Arial"/>
          <w:sz w:val="22"/>
          <w:szCs w:val="22"/>
        </w:rPr>
        <w:t xml:space="preserve"> and stricter lending requirements have further complicated financing, underscoring the significance of financial policy awareness, according to the Office for National Statistics (ONS, 2024).</w:t>
      </w:r>
    </w:p>
    <w:p w14:paraId="0D7E5CB8" w14:textId="77777777" w:rsidR="007F29F7" w:rsidRPr="007F29F7" w:rsidRDefault="007F29F7" w:rsidP="007F29F7">
      <w:pPr>
        <w:spacing w:line="360" w:lineRule="auto"/>
        <w:rPr>
          <w:rFonts w:ascii="Arial" w:hAnsi="Arial" w:cs="Arial"/>
          <w:sz w:val="22"/>
          <w:szCs w:val="22"/>
        </w:rPr>
      </w:pPr>
    </w:p>
    <w:p w14:paraId="6FFB1848" w14:textId="43B7AD60" w:rsidR="00A732DB" w:rsidRDefault="007F29F7" w:rsidP="007F29F7">
      <w:pPr>
        <w:spacing w:line="360" w:lineRule="auto"/>
        <w:rPr>
          <w:rFonts w:ascii="Arial" w:hAnsi="Arial" w:cs="Arial"/>
          <w:sz w:val="22"/>
          <w:szCs w:val="22"/>
        </w:rPr>
      </w:pPr>
      <w:r w:rsidRPr="007F29F7">
        <w:rPr>
          <w:rFonts w:ascii="Arial" w:hAnsi="Arial" w:cs="Arial"/>
          <w:sz w:val="22"/>
          <w:szCs w:val="22"/>
        </w:rPr>
        <w:t>In conclusion, this literature review emphasises the complex relationship between the construction sector's adaptability, financial industry trends, and macroeconomic policy. Businesses that specialise in the acquisition, refurbishment, and resale of property must remain informed about these economic and financial trends to make strategic, market-aligned investment decisions.</w:t>
      </w:r>
    </w:p>
    <w:p w14:paraId="737E2698" w14:textId="77777777" w:rsidR="003C35C3" w:rsidRDefault="003C35C3" w:rsidP="007F29F7">
      <w:pPr>
        <w:spacing w:line="360" w:lineRule="auto"/>
        <w:rPr>
          <w:rFonts w:ascii="Arial" w:hAnsi="Arial" w:cs="Arial"/>
          <w:sz w:val="22"/>
          <w:szCs w:val="22"/>
        </w:rPr>
      </w:pPr>
    </w:p>
    <w:p w14:paraId="6D228B9F" w14:textId="77777777" w:rsidR="003C35C3" w:rsidRPr="00A732DB" w:rsidRDefault="003C35C3" w:rsidP="007F29F7">
      <w:pPr>
        <w:spacing w:line="360" w:lineRule="auto"/>
        <w:rPr>
          <w:rFonts w:ascii="Arial" w:hAnsi="Arial" w:cs="Arial"/>
          <w:sz w:val="22"/>
          <w:szCs w:val="22"/>
        </w:rPr>
      </w:pPr>
    </w:p>
    <w:p w14:paraId="319633EE" w14:textId="7EA283AE" w:rsidR="0098005A" w:rsidRDefault="0098005A" w:rsidP="0098005A">
      <w:pPr>
        <w:spacing w:line="360" w:lineRule="auto"/>
        <w:rPr>
          <w:rFonts w:ascii="Arial" w:hAnsi="Arial" w:cs="Arial"/>
          <w:sz w:val="22"/>
          <w:szCs w:val="22"/>
        </w:rPr>
      </w:pPr>
    </w:p>
    <w:p w14:paraId="7A445F85" w14:textId="77777777" w:rsidR="00D91417" w:rsidRPr="0098005A" w:rsidRDefault="00D91417" w:rsidP="0098005A">
      <w:pPr>
        <w:spacing w:line="360" w:lineRule="auto"/>
        <w:rPr>
          <w:rFonts w:ascii="Arial" w:hAnsi="Arial" w:cs="Arial"/>
          <w:sz w:val="22"/>
          <w:szCs w:val="22"/>
        </w:rPr>
      </w:pPr>
    </w:p>
    <w:p w14:paraId="6A52FF89" w14:textId="53F9397F" w:rsidR="0098005A" w:rsidRPr="0098005A" w:rsidRDefault="00D91417" w:rsidP="0098005A">
      <w:pPr>
        <w:spacing w:line="360" w:lineRule="auto"/>
        <w:rPr>
          <w:rFonts w:ascii="Arial" w:hAnsi="Arial" w:cs="Arial"/>
          <w:b/>
          <w:bCs/>
          <w:sz w:val="22"/>
          <w:szCs w:val="22"/>
        </w:rPr>
      </w:pPr>
      <w:r w:rsidRPr="00D91417">
        <w:rPr>
          <w:rFonts w:ascii="Arial" w:hAnsi="Arial" w:cs="Arial"/>
          <w:b/>
          <w:bCs/>
          <w:sz w:val="22"/>
          <w:szCs w:val="22"/>
        </w:rPr>
        <w:t xml:space="preserve">Limitations </w:t>
      </w:r>
    </w:p>
    <w:p w14:paraId="0D220EF4"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lastRenderedPageBreak/>
        <w:t>This study's dependence on publicly accessible secondary data has drawbacks. It might not include some borrower attributes like personal income, credit ratings, and loan history, which limits the examination of individual consumer behaviour. Furthermore, it might be difficult to determine causality because unanticipated economic events like abrupt job changes or financial crises can affect consumer behaviour apart from interest rates.</w:t>
      </w:r>
    </w:p>
    <w:p w14:paraId="6EA4547F" w14:textId="77777777" w:rsidR="0098005A" w:rsidRDefault="0098005A" w:rsidP="0098005A">
      <w:pPr>
        <w:spacing w:line="360" w:lineRule="auto"/>
        <w:rPr>
          <w:rFonts w:ascii="Arial" w:hAnsi="Arial" w:cs="Arial"/>
          <w:sz w:val="22"/>
          <w:szCs w:val="22"/>
        </w:rPr>
      </w:pPr>
      <w:r w:rsidRPr="0098005A">
        <w:rPr>
          <w:rFonts w:ascii="Arial" w:hAnsi="Arial" w:cs="Arial"/>
          <w:sz w:val="22"/>
          <w:szCs w:val="22"/>
        </w:rPr>
        <w:t>Additionally, the study only looks at the UK mortgage market, which restricts the applicability of its conclusions to other areas with differing regulatory frameworks or economic conditions. Understanding these restrictions guarantees a fair and transparent analysis, preserving the integrity of the study and allowing for a targeted interpretation of the findings in the context of the UK.</w:t>
      </w:r>
    </w:p>
    <w:p w14:paraId="2534EEE6" w14:textId="77777777" w:rsidR="00D91417" w:rsidRPr="0098005A" w:rsidRDefault="00D91417" w:rsidP="0098005A">
      <w:pPr>
        <w:spacing w:line="360" w:lineRule="auto"/>
        <w:rPr>
          <w:rFonts w:ascii="Arial" w:hAnsi="Arial" w:cs="Arial"/>
          <w:sz w:val="22"/>
          <w:szCs w:val="22"/>
        </w:rPr>
      </w:pPr>
    </w:p>
    <w:p w14:paraId="314A6C45" w14:textId="08E9553F" w:rsidR="0098005A" w:rsidRPr="0098005A" w:rsidRDefault="00D91417" w:rsidP="0098005A">
      <w:pPr>
        <w:spacing w:line="360" w:lineRule="auto"/>
        <w:rPr>
          <w:rFonts w:ascii="Arial" w:hAnsi="Arial" w:cs="Arial"/>
          <w:b/>
          <w:bCs/>
          <w:sz w:val="22"/>
          <w:szCs w:val="22"/>
        </w:rPr>
      </w:pPr>
      <w:r w:rsidRPr="00D91417">
        <w:rPr>
          <w:rFonts w:ascii="Arial" w:hAnsi="Arial" w:cs="Arial"/>
          <w:b/>
          <w:bCs/>
          <w:sz w:val="22"/>
          <w:szCs w:val="22"/>
        </w:rPr>
        <w:t>Ethical considerations</w:t>
      </w:r>
    </w:p>
    <w:p w14:paraId="0F286EB5" w14:textId="77777777" w:rsidR="0098005A" w:rsidRDefault="0098005A" w:rsidP="0098005A">
      <w:pPr>
        <w:spacing w:line="360" w:lineRule="auto"/>
        <w:rPr>
          <w:rFonts w:ascii="Arial" w:hAnsi="Arial" w:cs="Arial"/>
          <w:sz w:val="22"/>
          <w:szCs w:val="22"/>
        </w:rPr>
      </w:pPr>
      <w:r w:rsidRPr="0098005A">
        <w:rPr>
          <w:rFonts w:ascii="Arial" w:hAnsi="Arial" w:cs="Arial"/>
          <w:sz w:val="22"/>
          <w:szCs w:val="22"/>
        </w:rPr>
        <w:t>This study analyses secondary data to reduce ethical hazards and excludes direct participant involvement. All information will be gathered in accordance with UWTSD's Research Ethics &amp; Integrity Code of Practice and Research Data Management Policy from reliable, publicly available sources. No private or sensitive data will be used, and GDPR-compliant data management procedures will guarantee data security and privacy. This meticulous process guarantees that the study adheres to the strictest ethical guidelines and that all data will be handled sensibly to preserve the study's integrity.</w:t>
      </w:r>
    </w:p>
    <w:p w14:paraId="5AE11744" w14:textId="77777777" w:rsidR="00D91417" w:rsidRPr="0098005A" w:rsidRDefault="00D91417" w:rsidP="0098005A">
      <w:pPr>
        <w:spacing w:line="360" w:lineRule="auto"/>
        <w:rPr>
          <w:rFonts w:ascii="Arial" w:hAnsi="Arial" w:cs="Arial"/>
          <w:b/>
          <w:bCs/>
          <w:sz w:val="22"/>
          <w:szCs w:val="22"/>
        </w:rPr>
      </w:pPr>
    </w:p>
    <w:p w14:paraId="1D2BCEDA" w14:textId="367E4213" w:rsidR="0098005A" w:rsidRPr="0098005A" w:rsidRDefault="00D91417" w:rsidP="0098005A">
      <w:pPr>
        <w:spacing w:line="360" w:lineRule="auto"/>
        <w:rPr>
          <w:rFonts w:ascii="Arial" w:hAnsi="Arial" w:cs="Arial"/>
          <w:b/>
          <w:bCs/>
          <w:sz w:val="22"/>
          <w:szCs w:val="22"/>
        </w:rPr>
      </w:pPr>
      <w:r w:rsidRPr="0098005A">
        <w:rPr>
          <w:rFonts w:ascii="Arial" w:hAnsi="Arial" w:cs="Arial"/>
          <w:b/>
          <w:bCs/>
          <w:sz w:val="22"/>
          <w:szCs w:val="22"/>
        </w:rPr>
        <w:t>Time</w:t>
      </w:r>
      <w:r w:rsidRPr="00D91417">
        <w:rPr>
          <w:rFonts w:ascii="Arial" w:hAnsi="Arial" w:cs="Arial"/>
          <w:b/>
          <w:bCs/>
          <w:sz w:val="22"/>
          <w:szCs w:val="22"/>
        </w:rPr>
        <w:t>frame</w:t>
      </w:r>
    </w:p>
    <w:p w14:paraId="34AB4468" w14:textId="4D19C8D2"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 xml:space="preserve">To guarantee a systematic and effective workflow, a Gantt chart has been made to show the 10-week project timeline, assigning </w:t>
      </w:r>
      <w:r w:rsidR="00D91417" w:rsidRPr="0098005A">
        <w:rPr>
          <w:rFonts w:ascii="Arial" w:hAnsi="Arial" w:cs="Arial"/>
          <w:sz w:val="22"/>
          <w:szCs w:val="22"/>
        </w:rPr>
        <w:t>times</w:t>
      </w:r>
      <w:r w:rsidRPr="0098005A">
        <w:rPr>
          <w:rFonts w:ascii="Arial" w:hAnsi="Arial" w:cs="Arial"/>
          <w:sz w:val="22"/>
          <w:szCs w:val="22"/>
        </w:rPr>
        <w:t xml:space="preserve"> to each research stage:</w:t>
      </w:r>
    </w:p>
    <w:p w14:paraId="296C2100"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Weeks 1-2: Data Collection and Literature Review: Compile pertinent literature, create a framework, and acquire secondary data.</w:t>
      </w:r>
    </w:p>
    <w:p w14:paraId="343AC0F6"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Weeks 3-5: Data Analysis and Econometric Modelling: Use the gathered data to perform regression analyses, emphasizing econometric model validation and verifying the established hypotheses.</w:t>
      </w:r>
    </w:p>
    <w:p w14:paraId="4D096D8A"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Weeks 6-7: Analysis and Methodology Writing a chapter involves documenting the econometric models, data sources, and techniques while outlining the preliminary results of the analysis.</w:t>
      </w:r>
    </w:p>
    <w:p w14:paraId="7DBC2E9B" w14:textId="6C0879A8"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 xml:space="preserve">Week 8: Conversation Writing a chapter involves interpreting the findings </w:t>
      </w:r>
      <w:r w:rsidR="00383EEE" w:rsidRPr="0098005A">
        <w:rPr>
          <w:rFonts w:ascii="Arial" w:hAnsi="Arial" w:cs="Arial"/>
          <w:sz w:val="22"/>
          <w:szCs w:val="22"/>
        </w:rPr>
        <w:t>considering</w:t>
      </w:r>
      <w:r w:rsidRPr="0098005A">
        <w:rPr>
          <w:rFonts w:ascii="Arial" w:hAnsi="Arial" w:cs="Arial"/>
          <w:sz w:val="22"/>
          <w:szCs w:val="22"/>
        </w:rPr>
        <w:t xml:space="preserve"> the literature review and discussing how they may affect consumer behaviour, construction investment plans, and the UK mortgage market.</w:t>
      </w:r>
    </w:p>
    <w:p w14:paraId="3754EA98"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t>Week 9: Complete the Introduction and Conclusion: Provide a synopsis of the goals and context of the research and write a conclusion emphasizing consequences and suggestions.</w:t>
      </w:r>
    </w:p>
    <w:p w14:paraId="4FB88D7A" w14:textId="77777777" w:rsidR="0098005A" w:rsidRPr="0098005A" w:rsidRDefault="0098005A" w:rsidP="0098005A">
      <w:pPr>
        <w:spacing w:line="360" w:lineRule="auto"/>
        <w:rPr>
          <w:rFonts w:ascii="Arial" w:hAnsi="Arial" w:cs="Arial"/>
          <w:sz w:val="22"/>
          <w:szCs w:val="22"/>
        </w:rPr>
      </w:pPr>
      <w:r w:rsidRPr="0098005A">
        <w:rPr>
          <w:rFonts w:ascii="Arial" w:hAnsi="Arial" w:cs="Arial"/>
          <w:sz w:val="22"/>
          <w:szCs w:val="22"/>
        </w:rPr>
        <w:lastRenderedPageBreak/>
        <w:t>Week 10: Proofreading, Final Edits, and Submission: Before submitting, make final edits and review the complete dissertation for coherence, clarity, and compliance with UWTSD criteria.</w:t>
      </w:r>
    </w:p>
    <w:p w14:paraId="76186D5D" w14:textId="77777777" w:rsidR="0098005A" w:rsidRDefault="0098005A" w:rsidP="0098005A">
      <w:pPr>
        <w:spacing w:line="360" w:lineRule="auto"/>
        <w:rPr>
          <w:rFonts w:ascii="Arial" w:hAnsi="Arial" w:cs="Arial"/>
          <w:sz w:val="22"/>
          <w:szCs w:val="22"/>
        </w:rPr>
      </w:pPr>
      <w:r w:rsidRPr="0098005A">
        <w:rPr>
          <w:rFonts w:ascii="Arial" w:hAnsi="Arial" w:cs="Arial"/>
          <w:sz w:val="22"/>
          <w:szCs w:val="22"/>
        </w:rPr>
        <w:t>With enough time for data analysis, writing, and revisions, this planned schedule guarantees that every dissertation phase is finished within the allocated time.</w:t>
      </w:r>
    </w:p>
    <w:p w14:paraId="0B6C798A" w14:textId="77777777" w:rsidR="00004E01" w:rsidRDefault="00004E01" w:rsidP="0098005A">
      <w:pPr>
        <w:spacing w:line="360" w:lineRule="auto"/>
        <w:rPr>
          <w:rFonts w:ascii="Arial" w:hAnsi="Arial" w:cs="Arial"/>
          <w:sz w:val="22"/>
          <w:szCs w:val="22"/>
        </w:rPr>
      </w:pPr>
    </w:p>
    <w:p w14:paraId="02A1E336" w14:textId="71827FC3" w:rsidR="00D91417" w:rsidRDefault="00004E01" w:rsidP="0098005A">
      <w:pPr>
        <w:spacing w:line="360" w:lineRule="auto"/>
        <w:rPr>
          <w:rFonts w:ascii="Arial" w:hAnsi="Arial" w:cs="Arial"/>
          <w:sz w:val="22"/>
          <w:szCs w:val="22"/>
        </w:rPr>
      </w:pPr>
      <w:r>
        <w:rPr>
          <w:rFonts w:ascii="Arial" w:hAnsi="Arial" w:cs="Arial"/>
          <w:noProof/>
          <w:sz w:val="22"/>
          <w:szCs w:val="22"/>
        </w:rPr>
        <w:drawing>
          <wp:inline distT="0" distB="0" distL="0" distR="0" wp14:anchorId="366C627D" wp14:editId="2ED85486">
            <wp:extent cx="5731510" cy="3384550"/>
            <wp:effectExtent l="0" t="0" r="0" b="6350"/>
            <wp:docPr id="166484346"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4346" name="Picture 1" descr="A graph with blue rectangl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84550"/>
                    </a:xfrm>
                    <a:prstGeom prst="rect">
                      <a:avLst/>
                    </a:prstGeom>
                  </pic:spPr>
                </pic:pic>
              </a:graphicData>
            </a:graphic>
          </wp:inline>
        </w:drawing>
      </w:r>
    </w:p>
    <w:p w14:paraId="7E2B3479" w14:textId="77777777" w:rsidR="00D91417" w:rsidRPr="0098005A" w:rsidRDefault="00D91417" w:rsidP="0098005A">
      <w:pPr>
        <w:spacing w:line="360" w:lineRule="auto"/>
        <w:rPr>
          <w:rFonts w:ascii="Arial" w:hAnsi="Arial" w:cs="Arial"/>
          <w:sz w:val="22"/>
          <w:szCs w:val="22"/>
        </w:rPr>
      </w:pPr>
    </w:p>
    <w:p w14:paraId="22288624" w14:textId="390DAFC4" w:rsidR="0098005A" w:rsidRPr="0098005A" w:rsidRDefault="00D91417" w:rsidP="0098005A">
      <w:pPr>
        <w:spacing w:line="360" w:lineRule="auto"/>
        <w:rPr>
          <w:rFonts w:ascii="Arial" w:hAnsi="Arial" w:cs="Arial"/>
          <w:b/>
          <w:bCs/>
          <w:sz w:val="22"/>
          <w:szCs w:val="22"/>
        </w:rPr>
      </w:pPr>
      <w:r>
        <w:rPr>
          <w:rFonts w:ascii="Arial" w:hAnsi="Arial" w:cs="Arial"/>
          <w:b/>
          <w:bCs/>
          <w:sz w:val="22"/>
          <w:szCs w:val="22"/>
        </w:rPr>
        <w:t>Conclusion</w:t>
      </w:r>
    </w:p>
    <w:p w14:paraId="361096AA" w14:textId="77777777" w:rsidR="00004E01" w:rsidRPr="00004E01" w:rsidRDefault="00004E01" w:rsidP="00004E01">
      <w:pPr>
        <w:spacing w:line="360" w:lineRule="auto"/>
        <w:rPr>
          <w:rFonts w:ascii="Arial" w:hAnsi="Arial" w:cs="Arial"/>
          <w:sz w:val="22"/>
          <w:szCs w:val="22"/>
        </w:rPr>
      </w:pPr>
      <w:r w:rsidRPr="00004E01">
        <w:rPr>
          <w:rFonts w:ascii="Arial" w:hAnsi="Arial" w:cs="Arial"/>
          <w:sz w:val="22"/>
          <w:szCs w:val="22"/>
        </w:rPr>
        <w:t>The impact of interest rate fluctuations on consumer borrowing behaviour in the UK mortgage market is examined in this research proposal. Since I work in the construction industry, knowing how mortgage rates impact consumer behaviour is essential to making wise business and investment decisions. This is because changes in mortgage rates directly impact market stability, refinancing activity, and property demand. The effect of benchmark rates like LIBOR, EURIBOR, and SOFR on important mortgage behaviours, such as origination, default, and refinancing patterns, will be investigated in this study. This study intends to shed light on how shifting economic conditions influence consumer financial decisions, which in turn impact the resilience and accessibility of the housing market, by examining these effects in the context of the UK.</w:t>
      </w:r>
    </w:p>
    <w:p w14:paraId="3570D1F9" w14:textId="77777777" w:rsidR="00004E01" w:rsidRPr="00004E01" w:rsidRDefault="00004E01" w:rsidP="00004E01">
      <w:pPr>
        <w:spacing w:line="360" w:lineRule="auto"/>
        <w:rPr>
          <w:rFonts w:ascii="Arial" w:hAnsi="Arial" w:cs="Arial"/>
          <w:sz w:val="22"/>
          <w:szCs w:val="22"/>
        </w:rPr>
      </w:pPr>
    </w:p>
    <w:p w14:paraId="10CD2870" w14:textId="44340B9B" w:rsidR="00A63013" w:rsidRDefault="00004E01" w:rsidP="00004E01">
      <w:pPr>
        <w:spacing w:line="360" w:lineRule="auto"/>
        <w:rPr>
          <w:rFonts w:ascii="Arial" w:hAnsi="Arial" w:cs="Arial"/>
          <w:sz w:val="22"/>
          <w:szCs w:val="22"/>
        </w:rPr>
      </w:pPr>
      <w:r w:rsidRPr="00004E01">
        <w:rPr>
          <w:rFonts w:ascii="Arial" w:hAnsi="Arial" w:cs="Arial"/>
          <w:sz w:val="22"/>
          <w:szCs w:val="22"/>
        </w:rPr>
        <w:t xml:space="preserve">To moderate consumer mortgage behaviours, this study will also investigate the interactions between interest rate fluctuations and general economic factors including GDP growth, inflation, and living expenses. By determining these connections, our research will provide insightful information for policymakers and financial institutions, promoting a more thorough </w:t>
      </w:r>
      <w:r w:rsidRPr="00004E01">
        <w:rPr>
          <w:rFonts w:ascii="Arial" w:hAnsi="Arial" w:cs="Arial"/>
          <w:sz w:val="22"/>
          <w:szCs w:val="22"/>
        </w:rPr>
        <w:lastRenderedPageBreak/>
        <w:t>comprehension of the economic factors influencing consumer loan behaviour. It is anticipated that the results will benefit the real estate and construction industries, providing direction on strategic planning that considers shifting market dynamics. In conclusion, this proposal aims to provide a better understanding of the relationship between interest rates and consumer mortgage behaviour to potentially guide actions that promote a robust and stable housing market in the United Kingdom.</w:t>
      </w:r>
    </w:p>
    <w:p w14:paraId="53410F4F" w14:textId="77777777" w:rsidR="003C35C3" w:rsidRDefault="003C35C3" w:rsidP="00004E01">
      <w:pPr>
        <w:spacing w:line="360" w:lineRule="auto"/>
        <w:rPr>
          <w:rFonts w:ascii="Arial" w:hAnsi="Arial" w:cs="Arial"/>
          <w:sz w:val="22"/>
          <w:szCs w:val="22"/>
        </w:rPr>
      </w:pPr>
    </w:p>
    <w:p w14:paraId="3589497C" w14:textId="77777777" w:rsidR="003C35C3" w:rsidRDefault="003C35C3" w:rsidP="00004E01">
      <w:pPr>
        <w:spacing w:line="360" w:lineRule="auto"/>
        <w:rPr>
          <w:rFonts w:ascii="Arial" w:hAnsi="Arial" w:cs="Arial"/>
          <w:sz w:val="22"/>
          <w:szCs w:val="22"/>
        </w:rPr>
      </w:pPr>
    </w:p>
    <w:p w14:paraId="7A2D192E" w14:textId="77777777" w:rsidR="003C35C3" w:rsidRDefault="003C35C3" w:rsidP="00004E01">
      <w:pPr>
        <w:spacing w:line="360" w:lineRule="auto"/>
        <w:rPr>
          <w:rFonts w:ascii="Arial" w:hAnsi="Arial" w:cs="Arial"/>
          <w:sz w:val="22"/>
          <w:szCs w:val="22"/>
        </w:rPr>
      </w:pPr>
    </w:p>
    <w:p w14:paraId="44C91BA2" w14:textId="77777777" w:rsidR="003C35C3" w:rsidRDefault="003C35C3" w:rsidP="00004E01">
      <w:pPr>
        <w:spacing w:line="360" w:lineRule="auto"/>
        <w:rPr>
          <w:rFonts w:ascii="Arial" w:hAnsi="Arial" w:cs="Arial"/>
          <w:sz w:val="22"/>
          <w:szCs w:val="22"/>
        </w:rPr>
      </w:pPr>
    </w:p>
    <w:p w14:paraId="1C7AF0FB" w14:textId="77777777" w:rsidR="003C35C3" w:rsidRDefault="003C35C3" w:rsidP="00004E01">
      <w:pPr>
        <w:spacing w:line="360" w:lineRule="auto"/>
        <w:rPr>
          <w:rFonts w:ascii="Arial" w:hAnsi="Arial" w:cs="Arial"/>
          <w:sz w:val="22"/>
          <w:szCs w:val="22"/>
        </w:rPr>
      </w:pPr>
    </w:p>
    <w:p w14:paraId="264E0AB0" w14:textId="77777777" w:rsidR="003C35C3" w:rsidRDefault="003C35C3" w:rsidP="00004E01">
      <w:pPr>
        <w:spacing w:line="360" w:lineRule="auto"/>
        <w:rPr>
          <w:rFonts w:ascii="Arial" w:hAnsi="Arial" w:cs="Arial"/>
          <w:sz w:val="22"/>
          <w:szCs w:val="22"/>
        </w:rPr>
      </w:pPr>
    </w:p>
    <w:p w14:paraId="6C35B043" w14:textId="77777777" w:rsidR="003C35C3" w:rsidRDefault="003C35C3" w:rsidP="00004E01">
      <w:pPr>
        <w:spacing w:line="360" w:lineRule="auto"/>
        <w:rPr>
          <w:rFonts w:ascii="Arial" w:hAnsi="Arial" w:cs="Arial"/>
          <w:sz w:val="22"/>
          <w:szCs w:val="22"/>
        </w:rPr>
      </w:pPr>
    </w:p>
    <w:p w14:paraId="46897E73" w14:textId="77777777" w:rsidR="003C35C3" w:rsidRDefault="003C35C3" w:rsidP="00004E01">
      <w:pPr>
        <w:spacing w:line="360" w:lineRule="auto"/>
        <w:rPr>
          <w:rFonts w:ascii="Arial" w:hAnsi="Arial" w:cs="Arial"/>
          <w:sz w:val="22"/>
          <w:szCs w:val="22"/>
        </w:rPr>
      </w:pPr>
    </w:p>
    <w:p w14:paraId="540A1879" w14:textId="77777777" w:rsidR="003C35C3" w:rsidRDefault="003C35C3" w:rsidP="00004E01">
      <w:pPr>
        <w:spacing w:line="360" w:lineRule="auto"/>
        <w:rPr>
          <w:rFonts w:ascii="Arial" w:hAnsi="Arial" w:cs="Arial"/>
          <w:sz w:val="22"/>
          <w:szCs w:val="22"/>
        </w:rPr>
      </w:pPr>
    </w:p>
    <w:p w14:paraId="669B478C" w14:textId="77777777" w:rsidR="003C35C3" w:rsidRDefault="003C35C3" w:rsidP="00004E01">
      <w:pPr>
        <w:spacing w:line="360" w:lineRule="auto"/>
        <w:rPr>
          <w:rFonts w:ascii="Arial" w:hAnsi="Arial" w:cs="Arial"/>
          <w:sz w:val="22"/>
          <w:szCs w:val="22"/>
        </w:rPr>
      </w:pPr>
    </w:p>
    <w:p w14:paraId="29FCF3A8" w14:textId="77777777" w:rsidR="003C35C3" w:rsidRDefault="003C35C3" w:rsidP="00004E01">
      <w:pPr>
        <w:spacing w:line="360" w:lineRule="auto"/>
        <w:rPr>
          <w:rFonts w:ascii="Arial" w:hAnsi="Arial" w:cs="Arial"/>
          <w:sz w:val="22"/>
          <w:szCs w:val="22"/>
        </w:rPr>
      </w:pPr>
    </w:p>
    <w:p w14:paraId="1D18A166" w14:textId="77777777" w:rsidR="003C35C3" w:rsidRDefault="003C35C3" w:rsidP="00004E01">
      <w:pPr>
        <w:spacing w:line="360" w:lineRule="auto"/>
        <w:rPr>
          <w:rFonts w:ascii="Arial" w:hAnsi="Arial" w:cs="Arial"/>
          <w:sz w:val="22"/>
          <w:szCs w:val="22"/>
        </w:rPr>
      </w:pPr>
    </w:p>
    <w:p w14:paraId="439C146C" w14:textId="77777777" w:rsidR="003C35C3" w:rsidRDefault="003C35C3" w:rsidP="00004E01">
      <w:pPr>
        <w:spacing w:line="360" w:lineRule="auto"/>
        <w:rPr>
          <w:rFonts w:ascii="Arial" w:hAnsi="Arial" w:cs="Arial"/>
          <w:sz w:val="22"/>
          <w:szCs w:val="22"/>
        </w:rPr>
      </w:pPr>
    </w:p>
    <w:p w14:paraId="7E4D7A13" w14:textId="77777777" w:rsidR="003C35C3" w:rsidRDefault="003C35C3" w:rsidP="00004E01">
      <w:pPr>
        <w:spacing w:line="360" w:lineRule="auto"/>
        <w:rPr>
          <w:rFonts w:ascii="Arial" w:hAnsi="Arial" w:cs="Arial"/>
          <w:sz w:val="22"/>
          <w:szCs w:val="22"/>
        </w:rPr>
      </w:pPr>
    </w:p>
    <w:p w14:paraId="2C1811C4" w14:textId="77777777" w:rsidR="003C35C3" w:rsidRDefault="003C35C3" w:rsidP="00004E01">
      <w:pPr>
        <w:spacing w:line="360" w:lineRule="auto"/>
        <w:rPr>
          <w:rFonts w:ascii="Arial" w:hAnsi="Arial" w:cs="Arial"/>
          <w:sz w:val="22"/>
          <w:szCs w:val="22"/>
        </w:rPr>
      </w:pPr>
    </w:p>
    <w:p w14:paraId="4F1713A2" w14:textId="77777777" w:rsidR="003C35C3" w:rsidRDefault="003C35C3" w:rsidP="00004E01">
      <w:pPr>
        <w:spacing w:line="360" w:lineRule="auto"/>
        <w:rPr>
          <w:rFonts w:ascii="Arial" w:hAnsi="Arial" w:cs="Arial"/>
          <w:sz w:val="22"/>
          <w:szCs w:val="22"/>
        </w:rPr>
      </w:pPr>
    </w:p>
    <w:p w14:paraId="4CECFBEA" w14:textId="77777777" w:rsidR="003C35C3" w:rsidRDefault="003C35C3" w:rsidP="00004E01">
      <w:pPr>
        <w:spacing w:line="360" w:lineRule="auto"/>
        <w:rPr>
          <w:rFonts w:ascii="Arial" w:hAnsi="Arial" w:cs="Arial"/>
          <w:sz w:val="22"/>
          <w:szCs w:val="22"/>
        </w:rPr>
      </w:pPr>
    </w:p>
    <w:p w14:paraId="3BD6474B" w14:textId="77777777" w:rsidR="003C35C3" w:rsidRDefault="003C35C3" w:rsidP="00004E01">
      <w:pPr>
        <w:spacing w:line="360" w:lineRule="auto"/>
        <w:rPr>
          <w:rFonts w:ascii="Arial" w:hAnsi="Arial" w:cs="Arial"/>
          <w:sz w:val="22"/>
          <w:szCs w:val="22"/>
        </w:rPr>
      </w:pPr>
    </w:p>
    <w:p w14:paraId="2C5EFD9D" w14:textId="77777777" w:rsidR="003C35C3" w:rsidRDefault="003C35C3" w:rsidP="00004E01">
      <w:pPr>
        <w:spacing w:line="360" w:lineRule="auto"/>
        <w:rPr>
          <w:rFonts w:ascii="Arial" w:hAnsi="Arial" w:cs="Arial"/>
          <w:sz w:val="22"/>
          <w:szCs w:val="22"/>
        </w:rPr>
      </w:pPr>
    </w:p>
    <w:p w14:paraId="179B6CB5" w14:textId="77777777" w:rsidR="003C35C3" w:rsidRDefault="003C35C3" w:rsidP="00004E01">
      <w:pPr>
        <w:spacing w:line="360" w:lineRule="auto"/>
        <w:rPr>
          <w:rFonts w:ascii="Arial" w:hAnsi="Arial" w:cs="Arial"/>
          <w:sz w:val="22"/>
          <w:szCs w:val="22"/>
        </w:rPr>
      </w:pPr>
    </w:p>
    <w:p w14:paraId="3CCE65AD" w14:textId="77777777" w:rsidR="003C35C3" w:rsidRDefault="003C35C3" w:rsidP="00004E01">
      <w:pPr>
        <w:spacing w:line="360" w:lineRule="auto"/>
        <w:rPr>
          <w:rFonts w:ascii="Arial" w:hAnsi="Arial" w:cs="Arial"/>
          <w:sz w:val="22"/>
          <w:szCs w:val="22"/>
        </w:rPr>
      </w:pPr>
    </w:p>
    <w:p w14:paraId="32E370C0" w14:textId="77777777" w:rsidR="003C35C3" w:rsidRDefault="003C35C3" w:rsidP="00004E01">
      <w:pPr>
        <w:spacing w:line="360" w:lineRule="auto"/>
        <w:rPr>
          <w:rFonts w:ascii="Arial" w:hAnsi="Arial" w:cs="Arial"/>
          <w:sz w:val="22"/>
          <w:szCs w:val="22"/>
        </w:rPr>
      </w:pPr>
    </w:p>
    <w:p w14:paraId="11D20B8D" w14:textId="77777777" w:rsidR="003C35C3" w:rsidRDefault="003C35C3" w:rsidP="00004E01">
      <w:pPr>
        <w:spacing w:line="360" w:lineRule="auto"/>
        <w:rPr>
          <w:rFonts w:ascii="Arial" w:hAnsi="Arial" w:cs="Arial"/>
          <w:sz w:val="22"/>
          <w:szCs w:val="22"/>
        </w:rPr>
      </w:pPr>
    </w:p>
    <w:p w14:paraId="443AA5F0" w14:textId="77777777" w:rsidR="003C35C3" w:rsidRDefault="003C35C3" w:rsidP="00004E01">
      <w:pPr>
        <w:spacing w:line="360" w:lineRule="auto"/>
        <w:rPr>
          <w:rFonts w:ascii="Arial" w:hAnsi="Arial" w:cs="Arial"/>
          <w:sz w:val="22"/>
          <w:szCs w:val="22"/>
        </w:rPr>
      </w:pPr>
    </w:p>
    <w:p w14:paraId="317EB14E" w14:textId="77777777" w:rsidR="003C35C3" w:rsidRDefault="003C35C3" w:rsidP="00004E01">
      <w:pPr>
        <w:spacing w:line="360" w:lineRule="auto"/>
        <w:rPr>
          <w:rFonts w:ascii="Arial" w:hAnsi="Arial" w:cs="Arial"/>
          <w:sz w:val="22"/>
          <w:szCs w:val="22"/>
        </w:rPr>
      </w:pPr>
    </w:p>
    <w:p w14:paraId="0AA2B667" w14:textId="77777777" w:rsidR="003C35C3" w:rsidRDefault="003C35C3" w:rsidP="00004E01">
      <w:pPr>
        <w:spacing w:line="360" w:lineRule="auto"/>
        <w:rPr>
          <w:rFonts w:ascii="Arial" w:hAnsi="Arial" w:cs="Arial"/>
          <w:sz w:val="22"/>
          <w:szCs w:val="22"/>
        </w:rPr>
      </w:pPr>
    </w:p>
    <w:p w14:paraId="681C05A2" w14:textId="77777777" w:rsidR="003C35C3" w:rsidRDefault="003C35C3" w:rsidP="00004E01">
      <w:pPr>
        <w:spacing w:line="360" w:lineRule="auto"/>
        <w:rPr>
          <w:rFonts w:ascii="Arial" w:hAnsi="Arial" w:cs="Arial"/>
          <w:sz w:val="22"/>
          <w:szCs w:val="22"/>
        </w:rPr>
      </w:pPr>
    </w:p>
    <w:p w14:paraId="272B35E6" w14:textId="77777777" w:rsidR="003C35C3" w:rsidRDefault="003C35C3" w:rsidP="00004E01">
      <w:pPr>
        <w:spacing w:line="360" w:lineRule="auto"/>
        <w:rPr>
          <w:rFonts w:ascii="Arial" w:hAnsi="Arial" w:cs="Arial"/>
          <w:sz w:val="22"/>
          <w:szCs w:val="22"/>
        </w:rPr>
      </w:pPr>
    </w:p>
    <w:p w14:paraId="32B945DE" w14:textId="77777777" w:rsidR="003C35C3" w:rsidRDefault="003C35C3" w:rsidP="00004E01">
      <w:pPr>
        <w:spacing w:line="360" w:lineRule="auto"/>
        <w:rPr>
          <w:rFonts w:ascii="Arial" w:hAnsi="Arial" w:cs="Arial"/>
          <w:sz w:val="22"/>
          <w:szCs w:val="22"/>
        </w:rPr>
      </w:pPr>
    </w:p>
    <w:p w14:paraId="653ED3CF" w14:textId="77777777" w:rsidR="003C35C3" w:rsidRDefault="003C35C3" w:rsidP="00004E01">
      <w:pPr>
        <w:spacing w:line="360" w:lineRule="auto"/>
        <w:rPr>
          <w:rFonts w:ascii="Arial" w:hAnsi="Arial" w:cs="Arial"/>
          <w:sz w:val="22"/>
          <w:szCs w:val="22"/>
        </w:rPr>
      </w:pPr>
    </w:p>
    <w:p w14:paraId="0D949E92" w14:textId="77777777" w:rsidR="00C96797" w:rsidRPr="00C96797" w:rsidRDefault="00C96797" w:rsidP="00004E01">
      <w:pPr>
        <w:spacing w:line="360" w:lineRule="auto"/>
        <w:rPr>
          <w:rFonts w:ascii="Arial" w:hAnsi="Arial" w:cs="Arial"/>
          <w:b/>
          <w:bCs/>
          <w:sz w:val="22"/>
          <w:szCs w:val="22"/>
        </w:rPr>
      </w:pPr>
    </w:p>
    <w:p w14:paraId="5C5A92FF" w14:textId="1DEF0A51" w:rsidR="00C96797" w:rsidRDefault="00C96797" w:rsidP="00004E01">
      <w:pPr>
        <w:spacing w:line="360" w:lineRule="auto"/>
        <w:rPr>
          <w:rFonts w:ascii="Arial" w:hAnsi="Arial" w:cs="Arial"/>
          <w:b/>
          <w:bCs/>
          <w:sz w:val="22"/>
          <w:szCs w:val="22"/>
        </w:rPr>
      </w:pPr>
      <w:r w:rsidRPr="0657F6B0">
        <w:rPr>
          <w:rFonts w:ascii="Arial" w:hAnsi="Arial" w:cs="Arial"/>
          <w:b/>
          <w:bCs/>
          <w:sz w:val="22"/>
          <w:szCs w:val="22"/>
        </w:rPr>
        <w:t>List of Reference:</w:t>
      </w:r>
    </w:p>
    <w:p w14:paraId="111AD02A" w14:textId="77777777" w:rsidR="001F756D" w:rsidRDefault="001F756D" w:rsidP="00004E01">
      <w:pPr>
        <w:spacing w:line="360" w:lineRule="auto"/>
        <w:rPr>
          <w:rFonts w:ascii="Arial" w:hAnsi="Arial" w:cs="Arial"/>
          <w:b/>
          <w:bCs/>
          <w:sz w:val="22"/>
          <w:szCs w:val="22"/>
        </w:rPr>
      </w:pPr>
    </w:p>
    <w:p w14:paraId="615809E1" w14:textId="24952A12" w:rsidR="00613307" w:rsidRPr="001F756D" w:rsidRDefault="00613307" w:rsidP="00004E01">
      <w:pPr>
        <w:spacing w:line="360" w:lineRule="auto"/>
        <w:rPr>
          <w:rFonts w:ascii="Arial" w:hAnsi="Arial" w:cs="Arial"/>
          <w:sz w:val="22"/>
          <w:szCs w:val="22"/>
        </w:rPr>
      </w:pPr>
      <w:r w:rsidRPr="00613307">
        <w:rPr>
          <w:rFonts w:ascii="Arial" w:hAnsi="Arial" w:cs="Arial"/>
          <w:sz w:val="22"/>
          <w:szCs w:val="22"/>
        </w:rPr>
        <w:t>Bank of England, 2021. Financial Stability Report - December 2021. [online] Bank of England. Available at: &lt;https://www.bankofengland.co.uk/financial-stability-report/2021/december-2021&gt; [Accessed 4 November 2024].</w:t>
      </w:r>
    </w:p>
    <w:p w14:paraId="74FDF742" w14:textId="77777777" w:rsidR="00C96797" w:rsidRDefault="00C96797" w:rsidP="00004E01">
      <w:pPr>
        <w:spacing w:line="360" w:lineRule="auto"/>
        <w:rPr>
          <w:rFonts w:ascii="Arial" w:hAnsi="Arial" w:cs="Arial"/>
          <w:sz w:val="22"/>
          <w:szCs w:val="22"/>
        </w:rPr>
      </w:pPr>
    </w:p>
    <w:p w14:paraId="4EE36851" w14:textId="4E8CF661" w:rsidR="00613307" w:rsidRDefault="00613307" w:rsidP="00004E01">
      <w:pPr>
        <w:spacing w:line="360" w:lineRule="auto"/>
        <w:rPr>
          <w:rFonts w:ascii="Arial" w:hAnsi="Arial" w:cs="Arial"/>
          <w:sz w:val="22"/>
          <w:szCs w:val="22"/>
        </w:rPr>
      </w:pPr>
      <w:r w:rsidRPr="00613307">
        <w:rPr>
          <w:rFonts w:ascii="Arial" w:hAnsi="Arial" w:cs="Arial"/>
          <w:sz w:val="22"/>
          <w:szCs w:val="22"/>
        </w:rPr>
        <w:t>Barclays, 2024. Fixed-rate mortgages | Monthly Mortgage payment | Barclays. [online] Barclays.co.uk. Available at: &lt;https://www.barclays.co.uk/mortgages/fixed-rate-mortgage/&gt; [Accessed 3 November 2024].</w:t>
      </w:r>
    </w:p>
    <w:p w14:paraId="78BFBEC1" w14:textId="77777777" w:rsidR="00C96797" w:rsidRDefault="00C96797" w:rsidP="00004E01">
      <w:pPr>
        <w:spacing w:line="360" w:lineRule="auto"/>
        <w:rPr>
          <w:rFonts w:ascii="Arial" w:hAnsi="Arial" w:cs="Arial"/>
          <w:sz w:val="22"/>
          <w:szCs w:val="22"/>
        </w:rPr>
      </w:pPr>
    </w:p>
    <w:p w14:paraId="7554CB7E" w14:textId="77777777" w:rsidR="00C96797" w:rsidRPr="00C96797" w:rsidRDefault="00C96797" w:rsidP="00C96797">
      <w:pPr>
        <w:spacing w:line="360" w:lineRule="auto"/>
        <w:rPr>
          <w:rFonts w:ascii="Arial" w:hAnsi="Arial" w:cs="Arial"/>
          <w:sz w:val="22"/>
          <w:szCs w:val="22"/>
        </w:rPr>
      </w:pPr>
      <w:r w:rsidRPr="00C96797">
        <w:rPr>
          <w:rFonts w:ascii="Arial" w:hAnsi="Arial" w:cs="Arial"/>
          <w:sz w:val="22"/>
          <w:szCs w:val="22"/>
        </w:rPr>
        <w:t>Di Maggio, M., Kermani, A., Keys, B.J., Piskorski, T., Ramcharan, R., Seru, A. and Yao, V., 2017. Interest Rate Pass-Through: Mortgage Rates, Household Consumption, and Voluntary Deleveraging. </w:t>
      </w:r>
      <w:r w:rsidRPr="00C96797">
        <w:rPr>
          <w:rFonts w:ascii="Arial" w:hAnsi="Arial" w:cs="Arial"/>
          <w:i/>
          <w:iCs/>
          <w:sz w:val="22"/>
          <w:szCs w:val="22"/>
        </w:rPr>
        <w:t>American Economic Review</w:t>
      </w:r>
      <w:r w:rsidRPr="00C96797">
        <w:rPr>
          <w:rFonts w:ascii="Arial" w:hAnsi="Arial" w:cs="Arial"/>
          <w:sz w:val="22"/>
          <w:szCs w:val="22"/>
        </w:rPr>
        <w:t>, [online] 107(11), pp.3550–3588. https://doi.org/10.1257/aer.20141313.</w:t>
      </w:r>
    </w:p>
    <w:p w14:paraId="525EBCE6" w14:textId="77777777" w:rsidR="00C96797" w:rsidRDefault="00C96797" w:rsidP="00004E01">
      <w:pPr>
        <w:spacing w:line="360" w:lineRule="auto"/>
        <w:rPr>
          <w:rFonts w:ascii="Arial" w:hAnsi="Arial" w:cs="Arial"/>
          <w:sz w:val="22"/>
          <w:szCs w:val="22"/>
        </w:rPr>
      </w:pPr>
    </w:p>
    <w:p w14:paraId="64B9EE4F" w14:textId="2C600044" w:rsidR="00C96797" w:rsidRDefault="00C96797" w:rsidP="00C96797">
      <w:pPr>
        <w:spacing w:line="360" w:lineRule="auto"/>
        <w:rPr>
          <w:rFonts w:ascii="Arial" w:hAnsi="Arial" w:cs="Arial"/>
          <w:sz w:val="22"/>
          <w:szCs w:val="22"/>
        </w:rPr>
      </w:pPr>
      <w:r w:rsidRPr="00C96797">
        <w:rPr>
          <w:rFonts w:ascii="Arial" w:hAnsi="Arial" w:cs="Arial"/>
          <w:sz w:val="22"/>
          <w:szCs w:val="22"/>
        </w:rPr>
        <w:t>Cloyne, J., Ferreira, C. and Surico, P., 2018. Monetary Policy when Households have Debt: New Evidence on the Transmission Mechanism. </w:t>
      </w:r>
      <w:r w:rsidRPr="00C96797">
        <w:rPr>
          <w:rFonts w:ascii="Arial" w:hAnsi="Arial" w:cs="Arial"/>
          <w:i/>
          <w:iCs/>
          <w:sz w:val="22"/>
          <w:szCs w:val="22"/>
        </w:rPr>
        <w:t>The Review of Economic Studies</w:t>
      </w:r>
      <w:r w:rsidRPr="00C96797">
        <w:rPr>
          <w:rFonts w:ascii="Arial" w:hAnsi="Arial" w:cs="Arial"/>
          <w:sz w:val="22"/>
          <w:szCs w:val="22"/>
        </w:rPr>
        <w:t>, [online] 87(1), pp.102–129. </w:t>
      </w:r>
      <w:hyperlink r:id="rId8" w:history="1">
        <w:r w:rsidR="00524215" w:rsidRPr="00C96797">
          <w:rPr>
            <w:rStyle w:val="Hyperlink"/>
            <w:rFonts w:ascii="Arial" w:hAnsi="Arial" w:cs="Arial"/>
            <w:sz w:val="22"/>
            <w:szCs w:val="22"/>
          </w:rPr>
          <w:t>https://doi.org/10.1093/restud/rdy074</w:t>
        </w:r>
      </w:hyperlink>
      <w:r w:rsidRPr="00C96797">
        <w:rPr>
          <w:rFonts w:ascii="Arial" w:hAnsi="Arial" w:cs="Arial"/>
          <w:sz w:val="22"/>
          <w:szCs w:val="22"/>
        </w:rPr>
        <w:t>.</w:t>
      </w:r>
    </w:p>
    <w:p w14:paraId="1BF898EE" w14:textId="77777777" w:rsidR="00524215" w:rsidRDefault="00524215" w:rsidP="00C96797">
      <w:pPr>
        <w:spacing w:line="360" w:lineRule="auto"/>
        <w:rPr>
          <w:rFonts w:ascii="Arial" w:hAnsi="Arial" w:cs="Arial"/>
          <w:sz w:val="22"/>
          <w:szCs w:val="22"/>
        </w:rPr>
      </w:pPr>
    </w:p>
    <w:p w14:paraId="32137C72" w14:textId="77777777" w:rsidR="00524215" w:rsidRPr="00C96797" w:rsidRDefault="00524215" w:rsidP="00524215">
      <w:pPr>
        <w:spacing w:line="360" w:lineRule="auto"/>
        <w:rPr>
          <w:rFonts w:ascii="Arial" w:hAnsi="Arial" w:cs="Arial"/>
          <w:sz w:val="22"/>
          <w:szCs w:val="22"/>
        </w:rPr>
      </w:pPr>
      <w:r w:rsidRPr="00C96797">
        <w:rPr>
          <w:rFonts w:ascii="Arial" w:hAnsi="Arial" w:cs="Arial"/>
          <w:sz w:val="22"/>
          <w:szCs w:val="22"/>
        </w:rPr>
        <w:t>Cooperman, H., Duffie, D., Luck, S., Wang, Z., Yang, Y. (David), and Federal Reserve Bank of New York, 2022. </w:t>
      </w:r>
      <w:r w:rsidRPr="00C96797">
        <w:rPr>
          <w:rFonts w:ascii="Arial" w:hAnsi="Arial" w:cs="Arial"/>
          <w:i/>
          <w:iCs/>
          <w:sz w:val="22"/>
          <w:szCs w:val="22"/>
        </w:rPr>
        <w:t>Bank Funding Risk, Reference Rates, and Credit Supply</w:t>
      </w:r>
      <w:r w:rsidRPr="00C96797">
        <w:rPr>
          <w:rFonts w:ascii="Arial" w:hAnsi="Arial" w:cs="Arial"/>
          <w:sz w:val="22"/>
          <w:szCs w:val="22"/>
        </w:rPr>
        <w:t>. [report] </w:t>
      </w:r>
      <w:r w:rsidRPr="00C96797">
        <w:rPr>
          <w:rFonts w:ascii="Arial" w:hAnsi="Arial" w:cs="Arial"/>
          <w:i/>
          <w:iCs/>
          <w:sz w:val="22"/>
          <w:szCs w:val="22"/>
        </w:rPr>
        <w:t>Federal Reserve Bank of New York Staff Reports</w:t>
      </w:r>
      <w:r w:rsidRPr="00C96797">
        <w:rPr>
          <w:rFonts w:ascii="Arial" w:hAnsi="Arial" w:cs="Arial"/>
          <w:sz w:val="22"/>
          <w:szCs w:val="22"/>
        </w:rPr>
        <w:t>. Available at: &lt;https://www.newyorkfed.org/medialibrary/media/research/staff_reports/sr1042.pdf?sc_lang=en&gt;.</w:t>
      </w:r>
    </w:p>
    <w:p w14:paraId="2AC363D6" w14:textId="77777777" w:rsidR="00524215" w:rsidRPr="00C96797" w:rsidRDefault="00524215" w:rsidP="00C96797">
      <w:pPr>
        <w:spacing w:line="360" w:lineRule="auto"/>
        <w:rPr>
          <w:rFonts w:ascii="Arial" w:hAnsi="Arial" w:cs="Arial"/>
          <w:sz w:val="22"/>
          <w:szCs w:val="22"/>
        </w:rPr>
      </w:pPr>
    </w:p>
    <w:p w14:paraId="6DFA05F7" w14:textId="77777777" w:rsidR="00C96797" w:rsidRDefault="00C96797" w:rsidP="00004E01">
      <w:pPr>
        <w:spacing w:line="360" w:lineRule="auto"/>
        <w:rPr>
          <w:rFonts w:ascii="Arial" w:hAnsi="Arial" w:cs="Arial"/>
          <w:sz w:val="22"/>
          <w:szCs w:val="22"/>
        </w:rPr>
      </w:pPr>
    </w:p>
    <w:p w14:paraId="5E68D79D" w14:textId="10D4CD25" w:rsidR="00C96797" w:rsidRDefault="00C96797" w:rsidP="00C96797">
      <w:pPr>
        <w:spacing w:line="360" w:lineRule="auto"/>
        <w:rPr>
          <w:rFonts w:ascii="Arial" w:hAnsi="Arial" w:cs="Arial"/>
          <w:sz w:val="22"/>
          <w:szCs w:val="22"/>
        </w:rPr>
      </w:pPr>
      <w:r>
        <w:rPr>
          <w:rFonts w:ascii="Arial" w:hAnsi="Arial" w:cs="Arial"/>
          <w:sz w:val="22"/>
          <w:szCs w:val="22"/>
        </w:rPr>
        <w:t>ONS</w:t>
      </w:r>
      <w:r w:rsidR="00613307">
        <w:rPr>
          <w:rFonts w:ascii="Arial" w:hAnsi="Arial" w:cs="Arial"/>
          <w:sz w:val="22"/>
          <w:szCs w:val="22"/>
        </w:rPr>
        <w:t>,</w:t>
      </w:r>
      <w:r w:rsidRPr="00C96797">
        <w:rPr>
          <w:rFonts w:ascii="Arial" w:hAnsi="Arial" w:cs="Arial"/>
          <w:sz w:val="22"/>
          <w:szCs w:val="22"/>
        </w:rPr>
        <w:t xml:space="preserve"> 2024. </w:t>
      </w:r>
      <w:r w:rsidRPr="00C96797">
        <w:rPr>
          <w:rFonts w:ascii="Arial" w:hAnsi="Arial" w:cs="Arial"/>
          <w:i/>
          <w:iCs/>
          <w:sz w:val="22"/>
          <w:szCs w:val="22"/>
        </w:rPr>
        <w:t>The effects of taxes and benefits on household income, disposable income estimate      - Office for National Statistics</w:t>
      </w:r>
      <w:r w:rsidRPr="00C96797">
        <w:rPr>
          <w:rFonts w:ascii="Arial" w:hAnsi="Arial" w:cs="Arial"/>
          <w:sz w:val="22"/>
          <w:szCs w:val="22"/>
        </w:rPr>
        <w:t>. [online] ons.gov.uk. Available at: &lt;https://www.ons.gov.uk/peoplepopulationandcommunity/personalandhouseholdfinances/inc</w:t>
      </w:r>
      <w:r w:rsidRPr="00C96797">
        <w:rPr>
          <w:rFonts w:ascii="Arial" w:hAnsi="Arial" w:cs="Arial"/>
          <w:sz w:val="22"/>
          <w:szCs w:val="22"/>
        </w:rPr>
        <w:lastRenderedPageBreak/>
        <w:t>omeandwealth/datasets/householddisposableincomeandinequality&gt; [Accessed 4 November 2024].</w:t>
      </w:r>
    </w:p>
    <w:p w14:paraId="49849CF4" w14:textId="77777777" w:rsidR="00C96797" w:rsidRDefault="00C96797" w:rsidP="00C96797">
      <w:pPr>
        <w:spacing w:line="360" w:lineRule="auto"/>
        <w:rPr>
          <w:rFonts w:ascii="Arial" w:hAnsi="Arial" w:cs="Arial"/>
          <w:sz w:val="22"/>
          <w:szCs w:val="22"/>
        </w:rPr>
      </w:pPr>
    </w:p>
    <w:p w14:paraId="4DE9F399" w14:textId="77777777" w:rsidR="00613307" w:rsidRPr="00613307" w:rsidRDefault="00613307" w:rsidP="00613307">
      <w:pPr>
        <w:spacing w:line="360" w:lineRule="auto"/>
        <w:rPr>
          <w:rFonts w:ascii="Arial" w:hAnsi="Arial" w:cs="Arial"/>
          <w:sz w:val="22"/>
          <w:szCs w:val="22"/>
        </w:rPr>
      </w:pPr>
      <w:r w:rsidRPr="00613307">
        <w:rPr>
          <w:rFonts w:ascii="Arial" w:hAnsi="Arial" w:cs="Arial"/>
          <w:sz w:val="22"/>
          <w:szCs w:val="22"/>
        </w:rPr>
        <w:t>Whitbread, S., 2024. Will today's interest rate cut give a positive boost to mortgage and property markets? Reaction and. </w:t>
      </w:r>
      <w:r w:rsidRPr="00613307">
        <w:rPr>
          <w:rFonts w:ascii="Arial" w:hAnsi="Arial" w:cs="Arial"/>
          <w:i/>
          <w:iCs/>
          <w:sz w:val="22"/>
          <w:szCs w:val="22"/>
        </w:rPr>
        <w:t>IFA Magazine</w:t>
      </w:r>
      <w:r w:rsidRPr="00613307">
        <w:rPr>
          <w:rFonts w:ascii="Arial" w:hAnsi="Arial" w:cs="Arial"/>
          <w:sz w:val="22"/>
          <w:szCs w:val="22"/>
        </w:rPr>
        <w:t>. Available at: &lt;https://ifamagazine.com/will-todays-interest-rate-cut-give-a-positive-boost-to-mortgage-and-property-markets-reaction-and-analysis-from-experts/&gt;.</w:t>
      </w:r>
    </w:p>
    <w:p w14:paraId="09B6E6E1" w14:textId="77777777" w:rsidR="00613307" w:rsidRDefault="00613307" w:rsidP="00C96797">
      <w:pPr>
        <w:spacing w:line="360" w:lineRule="auto"/>
        <w:rPr>
          <w:rFonts w:ascii="Arial" w:hAnsi="Arial" w:cs="Arial"/>
          <w:sz w:val="22"/>
          <w:szCs w:val="22"/>
        </w:rPr>
      </w:pPr>
    </w:p>
    <w:p w14:paraId="53F9F6CC" w14:textId="77777777" w:rsidR="00C96797" w:rsidRPr="00C96797" w:rsidRDefault="00C96797" w:rsidP="00C96797">
      <w:pPr>
        <w:spacing w:line="360" w:lineRule="auto"/>
        <w:rPr>
          <w:rFonts w:ascii="Arial" w:hAnsi="Arial" w:cs="Arial"/>
          <w:sz w:val="22"/>
          <w:szCs w:val="22"/>
        </w:rPr>
      </w:pPr>
    </w:p>
    <w:p w14:paraId="2E20B24A" w14:textId="77777777" w:rsidR="00C96797" w:rsidRPr="0098005A" w:rsidRDefault="00C96797" w:rsidP="00004E01">
      <w:pPr>
        <w:spacing w:line="360" w:lineRule="auto"/>
        <w:rPr>
          <w:rFonts w:ascii="Arial" w:hAnsi="Arial" w:cs="Arial"/>
          <w:sz w:val="22"/>
          <w:szCs w:val="22"/>
        </w:rPr>
      </w:pPr>
    </w:p>
    <w:sectPr w:rsidR="00C96797" w:rsidRPr="0098005A" w:rsidSect="007447A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DC264E" w14:textId="77777777" w:rsidR="00073CC4" w:rsidRDefault="00073CC4" w:rsidP="00073CC4">
      <w:r>
        <w:separator/>
      </w:r>
    </w:p>
  </w:endnote>
  <w:endnote w:type="continuationSeparator" w:id="0">
    <w:p w14:paraId="1DADB248" w14:textId="77777777" w:rsidR="00073CC4" w:rsidRDefault="00073CC4" w:rsidP="00073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42183712"/>
      <w:docPartObj>
        <w:docPartGallery w:val="Page Numbers (Bottom of Page)"/>
        <w:docPartUnique/>
      </w:docPartObj>
    </w:sdtPr>
    <w:sdtContent>
      <w:p w14:paraId="2BC1F8D0" w14:textId="182AE1E3" w:rsidR="003C35C3" w:rsidRDefault="003C35C3" w:rsidP="007B76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A30349" w14:textId="77777777" w:rsidR="003C35C3" w:rsidRDefault="003C35C3" w:rsidP="003C35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03337633"/>
      <w:docPartObj>
        <w:docPartGallery w:val="Page Numbers (Bottom of Page)"/>
        <w:docPartUnique/>
      </w:docPartObj>
    </w:sdtPr>
    <w:sdtContent>
      <w:p w14:paraId="75905AC0" w14:textId="3770BD59" w:rsidR="003C35C3" w:rsidRDefault="003C35C3" w:rsidP="007B76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A07BAA6" w14:textId="77777777" w:rsidR="003C35C3" w:rsidRDefault="003C35C3" w:rsidP="003C35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BE6DC5" w14:textId="77777777" w:rsidR="00073CC4" w:rsidRDefault="00073CC4" w:rsidP="00073CC4">
      <w:r>
        <w:separator/>
      </w:r>
    </w:p>
  </w:footnote>
  <w:footnote w:type="continuationSeparator" w:id="0">
    <w:p w14:paraId="72B6FC86" w14:textId="77777777" w:rsidR="00073CC4" w:rsidRDefault="00073CC4" w:rsidP="00073C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05A"/>
    <w:rsid w:val="00004E01"/>
    <w:rsid w:val="00025E2D"/>
    <w:rsid w:val="00073CC4"/>
    <w:rsid w:val="000D2A14"/>
    <w:rsid w:val="001E7D14"/>
    <w:rsid w:val="001F756D"/>
    <w:rsid w:val="002530E2"/>
    <w:rsid w:val="002C069B"/>
    <w:rsid w:val="00363E79"/>
    <w:rsid w:val="00383EEE"/>
    <w:rsid w:val="003C35C3"/>
    <w:rsid w:val="00524215"/>
    <w:rsid w:val="00547ADC"/>
    <w:rsid w:val="005E6A48"/>
    <w:rsid w:val="00613307"/>
    <w:rsid w:val="00667DEA"/>
    <w:rsid w:val="00691A84"/>
    <w:rsid w:val="00735513"/>
    <w:rsid w:val="007447AB"/>
    <w:rsid w:val="007C01BF"/>
    <w:rsid w:val="007E7116"/>
    <w:rsid w:val="007F29F7"/>
    <w:rsid w:val="008D3690"/>
    <w:rsid w:val="00913B3B"/>
    <w:rsid w:val="0098005A"/>
    <w:rsid w:val="00A63013"/>
    <w:rsid w:val="00A732DB"/>
    <w:rsid w:val="00B53412"/>
    <w:rsid w:val="00BD64EC"/>
    <w:rsid w:val="00C41E27"/>
    <w:rsid w:val="00C96797"/>
    <w:rsid w:val="00CE5CA7"/>
    <w:rsid w:val="00D91417"/>
    <w:rsid w:val="02E41830"/>
    <w:rsid w:val="0657F6B0"/>
    <w:rsid w:val="066D4397"/>
    <w:rsid w:val="0AA4717E"/>
    <w:rsid w:val="0B368AAE"/>
    <w:rsid w:val="0FB3544B"/>
    <w:rsid w:val="11BBE562"/>
    <w:rsid w:val="11D474D4"/>
    <w:rsid w:val="13224D5F"/>
    <w:rsid w:val="151277E8"/>
    <w:rsid w:val="18D4DDA3"/>
    <w:rsid w:val="18F14E59"/>
    <w:rsid w:val="1F280FA6"/>
    <w:rsid w:val="1F452FB3"/>
    <w:rsid w:val="2085A396"/>
    <w:rsid w:val="20D16D12"/>
    <w:rsid w:val="22E3EE86"/>
    <w:rsid w:val="245596C8"/>
    <w:rsid w:val="2547B8D9"/>
    <w:rsid w:val="2753FF36"/>
    <w:rsid w:val="2F4CB0C3"/>
    <w:rsid w:val="3B204892"/>
    <w:rsid w:val="3BE54647"/>
    <w:rsid w:val="3F36FC50"/>
    <w:rsid w:val="3FFE97B5"/>
    <w:rsid w:val="42561E7D"/>
    <w:rsid w:val="443E2717"/>
    <w:rsid w:val="456BC19C"/>
    <w:rsid w:val="45B59CE7"/>
    <w:rsid w:val="482F3F4A"/>
    <w:rsid w:val="4936CFAF"/>
    <w:rsid w:val="4CF3ED03"/>
    <w:rsid w:val="4D1AEBF7"/>
    <w:rsid w:val="4E5CB57D"/>
    <w:rsid w:val="4EB8E29B"/>
    <w:rsid w:val="4F5F7BB8"/>
    <w:rsid w:val="51FE5EAE"/>
    <w:rsid w:val="58D6F96A"/>
    <w:rsid w:val="5B57F6F1"/>
    <w:rsid w:val="638B78AD"/>
    <w:rsid w:val="65100B1E"/>
    <w:rsid w:val="6583A0EE"/>
    <w:rsid w:val="67A1AFEA"/>
    <w:rsid w:val="6F32446C"/>
    <w:rsid w:val="74CD1FF3"/>
    <w:rsid w:val="7C597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D1BF3"/>
  <w15:chartTrackingRefBased/>
  <w15:docId w15:val="{ED2A6961-08C5-1042-89CE-D8D4DED6E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05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0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0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0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05A"/>
    <w:rPr>
      <w:rFonts w:eastAsiaTheme="majorEastAsia" w:cstheme="majorBidi"/>
      <w:color w:val="272727" w:themeColor="text1" w:themeTint="D8"/>
    </w:rPr>
  </w:style>
  <w:style w:type="paragraph" w:styleId="Title">
    <w:name w:val="Title"/>
    <w:basedOn w:val="Normal"/>
    <w:next w:val="Normal"/>
    <w:link w:val="TitleChar"/>
    <w:uiPriority w:val="10"/>
    <w:qFormat/>
    <w:rsid w:val="0098005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05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0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005A"/>
    <w:rPr>
      <w:i/>
      <w:iCs/>
      <w:color w:val="404040" w:themeColor="text1" w:themeTint="BF"/>
    </w:rPr>
  </w:style>
  <w:style w:type="paragraph" w:styleId="ListParagraph">
    <w:name w:val="List Paragraph"/>
    <w:basedOn w:val="Normal"/>
    <w:uiPriority w:val="34"/>
    <w:qFormat/>
    <w:rsid w:val="0098005A"/>
    <w:pPr>
      <w:ind w:left="720"/>
      <w:contextualSpacing/>
    </w:pPr>
  </w:style>
  <w:style w:type="character" w:styleId="IntenseEmphasis">
    <w:name w:val="Intense Emphasis"/>
    <w:basedOn w:val="DefaultParagraphFont"/>
    <w:uiPriority w:val="21"/>
    <w:qFormat/>
    <w:rsid w:val="0098005A"/>
    <w:rPr>
      <w:i/>
      <w:iCs/>
      <w:color w:val="0F4761" w:themeColor="accent1" w:themeShade="BF"/>
    </w:rPr>
  </w:style>
  <w:style w:type="paragraph" w:styleId="IntenseQuote">
    <w:name w:val="Intense Quote"/>
    <w:basedOn w:val="Normal"/>
    <w:next w:val="Normal"/>
    <w:link w:val="IntenseQuoteChar"/>
    <w:uiPriority w:val="30"/>
    <w:qFormat/>
    <w:rsid w:val="00980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05A"/>
    <w:rPr>
      <w:i/>
      <w:iCs/>
      <w:color w:val="0F4761" w:themeColor="accent1" w:themeShade="BF"/>
    </w:rPr>
  </w:style>
  <w:style w:type="character" w:styleId="IntenseReference">
    <w:name w:val="Intense Reference"/>
    <w:basedOn w:val="DefaultParagraphFont"/>
    <w:uiPriority w:val="32"/>
    <w:qFormat/>
    <w:rsid w:val="0098005A"/>
    <w:rPr>
      <w:b/>
      <w:bCs/>
      <w:smallCaps/>
      <w:color w:val="0F4761" w:themeColor="accent1" w:themeShade="BF"/>
      <w:spacing w:val="5"/>
    </w:rPr>
  </w:style>
  <w:style w:type="character" w:styleId="Hyperlink">
    <w:name w:val="Hyperlink"/>
    <w:basedOn w:val="DefaultParagraphFont"/>
    <w:uiPriority w:val="99"/>
    <w:unhideWhenUsed/>
    <w:rsid w:val="00524215"/>
    <w:rPr>
      <w:color w:val="467886" w:themeColor="hyperlink"/>
      <w:u w:val="single"/>
    </w:rPr>
  </w:style>
  <w:style w:type="character" w:styleId="UnresolvedMention">
    <w:name w:val="Unresolved Mention"/>
    <w:basedOn w:val="DefaultParagraphFont"/>
    <w:uiPriority w:val="99"/>
    <w:semiHidden/>
    <w:unhideWhenUsed/>
    <w:rsid w:val="00524215"/>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691A84"/>
  </w:style>
  <w:style w:type="paragraph" w:styleId="Header">
    <w:name w:val="header"/>
    <w:basedOn w:val="Normal"/>
    <w:link w:val="HeaderChar"/>
    <w:uiPriority w:val="99"/>
    <w:unhideWhenUsed/>
    <w:rsid w:val="00073CC4"/>
    <w:pPr>
      <w:tabs>
        <w:tab w:val="center" w:pos="4513"/>
        <w:tab w:val="right" w:pos="9026"/>
      </w:tabs>
    </w:pPr>
  </w:style>
  <w:style w:type="character" w:customStyle="1" w:styleId="HeaderChar">
    <w:name w:val="Header Char"/>
    <w:basedOn w:val="DefaultParagraphFont"/>
    <w:link w:val="Header"/>
    <w:uiPriority w:val="99"/>
    <w:rsid w:val="00073CC4"/>
  </w:style>
  <w:style w:type="paragraph" w:styleId="Footer">
    <w:name w:val="footer"/>
    <w:basedOn w:val="Normal"/>
    <w:link w:val="FooterChar"/>
    <w:uiPriority w:val="99"/>
    <w:unhideWhenUsed/>
    <w:rsid w:val="00073CC4"/>
    <w:pPr>
      <w:tabs>
        <w:tab w:val="center" w:pos="4513"/>
        <w:tab w:val="right" w:pos="9026"/>
      </w:tabs>
    </w:pPr>
  </w:style>
  <w:style w:type="character" w:customStyle="1" w:styleId="FooterChar">
    <w:name w:val="Footer Char"/>
    <w:basedOn w:val="DefaultParagraphFont"/>
    <w:link w:val="Footer"/>
    <w:uiPriority w:val="99"/>
    <w:rsid w:val="00073CC4"/>
  </w:style>
  <w:style w:type="character" w:styleId="PageNumber">
    <w:name w:val="page number"/>
    <w:basedOn w:val="DefaultParagraphFont"/>
    <w:uiPriority w:val="99"/>
    <w:semiHidden/>
    <w:unhideWhenUsed/>
    <w:rsid w:val="003C35C3"/>
  </w:style>
  <w:style w:type="paragraph" w:styleId="NoSpacing">
    <w:name w:val="No Spacing"/>
    <w:link w:val="NoSpacingChar"/>
    <w:uiPriority w:val="1"/>
    <w:qFormat/>
    <w:rsid w:val="007447A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447A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55267">
      <w:bodyDiv w:val="1"/>
      <w:marLeft w:val="0"/>
      <w:marRight w:val="0"/>
      <w:marTop w:val="0"/>
      <w:marBottom w:val="0"/>
      <w:divBdr>
        <w:top w:val="none" w:sz="0" w:space="0" w:color="auto"/>
        <w:left w:val="none" w:sz="0" w:space="0" w:color="auto"/>
        <w:bottom w:val="none" w:sz="0" w:space="0" w:color="auto"/>
        <w:right w:val="none" w:sz="0" w:space="0" w:color="auto"/>
      </w:divBdr>
      <w:divsChild>
        <w:div w:id="1489635842">
          <w:marLeft w:val="-720"/>
          <w:marRight w:val="0"/>
          <w:marTop w:val="0"/>
          <w:marBottom w:val="0"/>
          <w:divBdr>
            <w:top w:val="none" w:sz="0" w:space="0" w:color="auto"/>
            <w:left w:val="none" w:sz="0" w:space="0" w:color="auto"/>
            <w:bottom w:val="none" w:sz="0" w:space="0" w:color="auto"/>
            <w:right w:val="none" w:sz="0" w:space="0" w:color="auto"/>
          </w:divBdr>
        </w:div>
      </w:divsChild>
    </w:div>
    <w:div w:id="92865470">
      <w:bodyDiv w:val="1"/>
      <w:marLeft w:val="0"/>
      <w:marRight w:val="0"/>
      <w:marTop w:val="0"/>
      <w:marBottom w:val="0"/>
      <w:divBdr>
        <w:top w:val="none" w:sz="0" w:space="0" w:color="auto"/>
        <w:left w:val="none" w:sz="0" w:space="0" w:color="auto"/>
        <w:bottom w:val="none" w:sz="0" w:space="0" w:color="auto"/>
        <w:right w:val="none" w:sz="0" w:space="0" w:color="auto"/>
      </w:divBdr>
      <w:divsChild>
        <w:div w:id="1559509620">
          <w:marLeft w:val="-720"/>
          <w:marRight w:val="0"/>
          <w:marTop w:val="0"/>
          <w:marBottom w:val="0"/>
          <w:divBdr>
            <w:top w:val="none" w:sz="0" w:space="0" w:color="auto"/>
            <w:left w:val="none" w:sz="0" w:space="0" w:color="auto"/>
            <w:bottom w:val="none" w:sz="0" w:space="0" w:color="auto"/>
            <w:right w:val="none" w:sz="0" w:space="0" w:color="auto"/>
          </w:divBdr>
        </w:div>
      </w:divsChild>
    </w:div>
    <w:div w:id="103162627">
      <w:bodyDiv w:val="1"/>
      <w:marLeft w:val="0"/>
      <w:marRight w:val="0"/>
      <w:marTop w:val="0"/>
      <w:marBottom w:val="0"/>
      <w:divBdr>
        <w:top w:val="none" w:sz="0" w:space="0" w:color="auto"/>
        <w:left w:val="none" w:sz="0" w:space="0" w:color="auto"/>
        <w:bottom w:val="none" w:sz="0" w:space="0" w:color="auto"/>
        <w:right w:val="none" w:sz="0" w:space="0" w:color="auto"/>
      </w:divBdr>
      <w:divsChild>
        <w:div w:id="94979480">
          <w:marLeft w:val="-720"/>
          <w:marRight w:val="0"/>
          <w:marTop w:val="0"/>
          <w:marBottom w:val="0"/>
          <w:divBdr>
            <w:top w:val="none" w:sz="0" w:space="0" w:color="auto"/>
            <w:left w:val="none" w:sz="0" w:space="0" w:color="auto"/>
            <w:bottom w:val="none" w:sz="0" w:space="0" w:color="auto"/>
            <w:right w:val="none" w:sz="0" w:space="0" w:color="auto"/>
          </w:divBdr>
        </w:div>
      </w:divsChild>
    </w:div>
    <w:div w:id="173690558">
      <w:bodyDiv w:val="1"/>
      <w:marLeft w:val="0"/>
      <w:marRight w:val="0"/>
      <w:marTop w:val="0"/>
      <w:marBottom w:val="0"/>
      <w:divBdr>
        <w:top w:val="none" w:sz="0" w:space="0" w:color="auto"/>
        <w:left w:val="none" w:sz="0" w:space="0" w:color="auto"/>
        <w:bottom w:val="none" w:sz="0" w:space="0" w:color="auto"/>
        <w:right w:val="none" w:sz="0" w:space="0" w:color="auto"/>
      </w:divBdr>
      <w:divsChild>
        <w:div w:id="1717390945">
          <w:marLeft w:val="-720"/>
          <w:marRight w:val="0"/>
          <w:marTop w:val="0"/>
          <w:marBottom w:val="0"/>
          <w:divBdr>
            <w:top w:val="none" w:sz="0" w:space="0" w:color="auto"/>
            <w:left w:val="none" w:sz="0" w:space="0" w:color="auto"/>
            <w:bottom w:val="none" w:sz="0" w:space="0" w:color="auto"/>
            <w:right w:val="none" w:sz="0" w:space="0" w:color="auto"/>
          </w:divBdr>
        </w:div>
      </w:divsChild>
    </w:div>
    <w:div w:id="486749771">
      <w:bodyDiv w:val="1"/>
      <w:marLeft w:val="0"/>
      <w:marRight w:val="0"/>
      <w:marTop w:val="0"/>
      <w:marBottom w:val="0"/>
      <w:divBdr>
        <w:top w:val="none" w:sz="0" w:space="0" w:color="auto"/>
        <w:left w:val="none" w:sz="0" w:space="0" w:color="auto"/>
        <w:bottom w:val="none" w:sz="0" w:space="0" w:color="auto"/>
        <w:right w:val="none" w:sz="0" w:space="0" w:color="auto"/>
      </w:divBdr>
    </w:div>
    <w:div w:id="526601423">
      <w:bodyDiv w:val="1"/>
      <w:marLeft w:val="0"/>
      <w:marRight w:val="0"/>
      <w:marTop w:val="0"/>
      <w:marBottom w:val="0"/>
      <w:divBdr>
        <w:top w:val="none" w:sz="0" w:space="0" w:color="auto"/>
        <w:left w:val="none" w:sz="0" w:space="0" w:color="auto"/>
        <w:bottom w:val="none" w:sz="0" w:space="0" w:color="auto"/>
        <w:right w:val="none" w:sz="0" w:space="0" w:color="auto"/>
      </w:divBdr>
      <w:divsChild>
        <w:div w:id="1679112343">
          <w:marLeft w:val="-720"/>
          <w:marRight w:val="0"/>
          <w:marTop w:val="0"/>
          <w:marBottom w:val="0"/>
          <w:divBdr>
            <w:top w:val="none" w:sz="0" w:space="0" w:color="auto"/>
            <w:left w:val="none" w:sz="0" w:space="0" w:color="auto"/>
            <w:bottom w:val="none" w:sz="0" w:space="0" w:color="auto"/>
            <w:right w:val="none" w:sz="0" w:space="0" w:color="auto"/>
          </w:divBdr>
        </w:div>
      </w:divsChild>
    </w:div>
    <w:div w:id="851797865">
      <w:bodyDiv w:val="1"/>
      <w:marLeft w:val="0"/>
      <w:marRight w:val="0"/>
      <w:marTop w:val="0"/>
      <w:marBottom w:val="0"/>
      <w:divBdr>
        <w:top w:val="none" w:sz="0" w:space="0" w:color="auto"/>
        <w:left w:val="none" w:sz="0" w:space="0" w:color="auto"/>
        <w:bottom w:val="none" w:sz="0" w:space="0" w:color="auto"/>
        <w:right w:val="none" w:sz="0" w:space="0" w:color="auto"/>
      </w:divBdr>
      <w:divsChild>
        <w:div w:id="369033634">
          <w:marLeft w:val="-720"/>
          <w:marRight w:val="0"/>
          <w:marTop w:val="0"/>
          <w:marBottom w:val="0"/>
          <w:divBdr>
            <w:top w:val="none" w:sz="0" w:space="0" w:color="auto"/>
            <w:left w:val="none" w:sz="0" w:space="0" w:color="auto"/>
            <w:bottom w:val="none" w:sz="0" w:space="0" w:color="auto"/>
            <w:right w:val="none" w:sz="0" w:space="0" w:color="auto"/>
          </w:divBdr>
        </w:div>
      </w:divsChild>
    </w:div>
    <w:div w:id="876695559">
      <w:bodyDiv w:val="1"/>
      <w:marLeft w:val="0"/>
      <w:marRight w:val="0"/>
      <w:marTop w:val="0"/>
      <w:marBottom w:val="0"/>
      <w:divBdr>
        <w:top w:val="none" w:sz="0" w:space="0" w:color="auto"/>
        <w:left w:val="none" w:sz="0" w:space="0" w:color="auto"/>
        <w:bottom w:val="none" w:sz="0" w:space="0" w:color="auto"/>
        <w:right w:val="none" w:sz="0" w:space="0" w:color="auto"/>
      </w:divBdr>
      <w:divsChild>
        <w:div w:id="675956439">
          <w:marLeft w:val="-720"/>
          <w:marRight w:val="0"/>
          <w:marTop w:val="0"/>
          <w:marBottom w:val="0"/>
          <w:divBdr>
            <w:top w:val="none" w:sz="0" w:space="0" w:color="auto"/>
            <w:left w:val="none" w:sz="0" w:space="0" w:color="auto"/>
            <w:bottom w:val="none" w:sz="0" w:space="0" w:color="auto"/>
            <w:right w:val="none" w:sz="0" w:space="0" w:color="auto"/>
          </w:divBdr>
        </w:div>
      </w:divsChild>
    </w:div>
    <w:div w:id="1117679957">
      <w:bodyDiv w:val="1"/>
      <w:marLeft w:val="0"/>
      <w:marRight w:val="0"/>
      <w:marTop w:val="0"/>
      <w:marBottom w:val="0"/>
      <w:divBdr>
        <w:top w:val="none" w:sz="0" w:space="0" w:color="auto"/>
        <w:left w:val="none" w:sz="0" w:space="0" w:color="auto"/>
        <w:bottom w:val="none" w:sz="0" w:space="0" w:color="auto"/>
        <w:right w:val="none" w:sz="0" w:space="0" w:color="auto"/>
      </w:divBdr>
    </w:div>
    <w:div w:id="1179007709">
      <w:bodyDiv w:val="1"/>
      <w:marLeft w:val="0"/>
      <w:marRight w:val="0"/>
      <w:marTop w:val="0"/>
      <w:marBottom w:val="0"/>
      <w:divBdr>
        <w:top w:val="none" w:sz="0" w:space="0" w:color="auto"/>
        <w:left w:val="none" w:sz="0" w:space="0" w:color="auto"/>
        <w:bottom w:val="none" w:sz="0" w:space="0" w:color="auto"/>
        <w:right w:val="none" w:sz="0" w:space="0" w:color="auto"/>
      </w:divBdr>
      <w:divsChild>
        <w:div w:id="1590699506">
          <w:marLeft w:val="-720"/>
          <w:marRight w:val="0"/>
          <w:marTop w:val="0"/>
          <w:marBottom w:val="0"/>
          <w:divBdr>
            <w:top w:val="none" w:sz="0" w:space="0" w:color="auto"/>
            <w:left w:val="none" w:sz="0" w:space="0" w:color="auto"/>
            <w:bottom w:val="none" w:sz="0" w:space="0" w:color="auto"/>
            <w:right w:val="none" w:sz="0" w:space="0" w:color="auto"/>
          </w:divBdr>
        </w:div>
      </w:divsChild>
    </w:div>
    <w:div w:id="1516924982">
      <w:bodyDiv w:val="1"/>
      <w:marLeft w:val="0"/>
      <w:marRight w:val="0"/>
      <w:marTop w:val="0"/>
      <w:marBottom w:val="0"/>
      <w:divBdr>
        <w:top w:val="none" w:sz="0" w:space="0" w:color="auto"/>
        <w:left w:val="none" w:sz="0" w:space="0" w:color="auto"/>
        <w:bottom w:val="none" w:sz="0" w:space="0" w:color="auto"/>
        <w:right w:val="none" w:sz="0" w:space="0" w:color="auto"/>
      </w:divBdr>
      <w:divsChild>
        <w:div w:id="1256980726">
          <w:marLeft w:val="-720"/>
          <w:marRight w:val="0"/>
          <w:marTop w:val="0"/>
          <w:marBottom w:val="0"/>
          <w:divBdr>
            <w:top w:val="none" w:sz="0" w:space="0" w:color="auto"/>
            <w:left w:val="none" w:sz="0" w:space="0" w:color="auto"/>
            <w:bottom w:val="none" w:sz="0" w:space="0" w:color="auto"/>
            <w:right w:val="none" w:sz="0" w:space="0" w:color="auto"/>
          </w:divBdr>
        </w:div>
      </w:divsChild>
    </w:div>
    <w:div w:id="1530754932">
      <w:bodyDiv w:val="1"/>
      <w:marLeft w:val="0"/>
      <w:marRight w:val="0"/>
      <w:marTop w:val="0"/>
      <w:marBottom w:val="0"/>
      <w:divBdr>
        <w:top w:val="none" w:sz="0" w:space="0" w:color="auto"/>
        <w:left w:val="none" w:sz="0" w:space="0" w:color="auto"/>
        <w:bottom w:val="none" w:sz="0" w:space="0" w:color="auto"/>
        <w:right w:val="none" w:sz="0" w:space="0" w:color="auto"/>
      </w:divBdr>
      <w:divsChild>
        <w:div w:id="1821071111">
          <w:marLeft w:val="-720"/>
          <w:marRight w:val="0"/>
          <w:marTop w:val="0"/>
          <w:marBottom w:val="0"/>
          <w:divBdr>
            <w:top w:val="none" w:sz="0" w:space="0" w:color="auto"/>
            <w:left w:val="none" w:sz="0" w:space="0" w:color="auto"/>
            <w:bottom w:val="none" w:sz="0" w:space="0" w:color="auto"/>
            <w:right w:val="none" w:sz="0" w:space="0" w:color="auto"/>
          </w:divBdr>
        </w:div>
      </w:divsChild>
    </w:div>
    <w:div w:id="1575630718">
      <w:bodyDiv w:val="1"/>
      <w:marLeft w:val="0"/>
      <w:marRight w:val="0"/>
      <w:marTop w:val="0"/>
      <w:marBottom w:val="0"/>
      <w:divBdr>
        <w:top w:val="none" w:sz="0" w:space="0" w:color="auto"/>
        <w:left w:val="none" w:sz="0" w:space="0" w:color="auto"/>
        <w:bottom w:val="none" w:sz="0" w:space="0" w:color="auto"/>
        <w:right w:val="none" w:sz="0" w:space="0" w:color="auto"/>
      </w:divBdr>
      <w:divsChild>
        <w:div w:id="1345210659">
          <w:marLeft w:val="-720"/>
          <w:marRight w:val="0"/>
          <w:marTop w:val="0"/>
          <w:marBottom w:val="0"/>
          <w:divBdr>
            <w:top w:val="none" w:sz="0" w:space="0" w:color="auto"/>
            <w:left w:val="none" w:sz="0" w:space="0" w:color="auto"/>
            <w:bottom w:val="none" w:sz="0" w:space="0" w:color="auto"/>
            <w:right w:val="none" w:sz="0" w:space="0" w:color="auto"/>
          </w:divBdr>
        </w:div>
      </w:divsChild>
    </w:div>
    <w:div w:id="1818717562">
      <w:bodyDiv w:val="1"/>
      <w:marLeft w:val="0"/>
      <w:marRight w:val="0"/>
      <w:marTop w:val="0"/>
      <w:marBottom w:val="0"/>
      <w:divBdr>
        <w:top w:val="none" w:sz="0" w:space="0" w:color="auto"/>
        <w:left w:val="none" w:sz="0" w:space="0" w:color="auto"/>
        <w:bottom w:val="none" w:sz="0" w:space="0" w:color="auto"/>
        <w:right w:val="none" w:sz="0" w:space="0" w:color="auto"/>
      </w:divBdr>
      <w:divsChild>
        <w:div w:id="1312716648">
          <w:marLeft w:val="-720"/>
          <w:marRight w:val="0"/>
          <w:marTop w:val="0"/>
          <w:marBottom w:val="0"/>
          <w:divBdr>
            <w:top w:val="none" w:sz="0" w:space="0" w:color="auto"/>
            <w:left w:val="none" w:sz="0" w:space="0" w:color="auto"/>
            <w:bottom w:val="none" w:sz="0" w:space="0" w:color="auto"/>
            <w:right w:val="none" w:sz="0" w:space="0" w:color="auto"/>
          </w:divBdr>
        </w:div>
      </w:divsChild>
    </w:div>
    <w:div w:id="2056654304">
      <w:bodyDiv w:val="1"/>
      <w:marLeft w:val="0"/>
      <w:marRight w:val="0"/>
      <w:marTop w:val="0"/>
      <w:marBottom w:val="0"/>
      <w:divBdr>
        <w:top w:val="none" w:sz="0" w:space="0" w:color="auto"/>
        <w:left w:val="none" w:sz="0" w:space="0" w:color="auto"/>
        <w:bottom w:val="none" w:sz="0" w:space="0" w:color="auto"/>
        <w:right w:val="none" w:sz="0" w:space="0" w:color="auto"/>
      </w:divBdr>
      <w:divsChild>
        <w:div w:id="1460338834">
          <w:marLeft w:val="-720"/>
          <w:marRight w:val="0"/>
          <w:marTop w:val="0"/>
          <w:marBottom w:val="0"/>
          <w:divBdr>
            <w:top w:val="none" w:sz="0" w:space="0" w:color="auto"/>
            <w:left w:val="none" w:sz="0" w:space="0" w:color="auto"/>
            <w:bottom w:val="none" w:sz="0" w:space="0" w:color="auto"/>
            <w:right w:val="none" w:sz="0" w:space="0" w:color="auto"/>
          </w:divBdr>
        </w:div>
      </w:divsChild>
    </w:div>
    <w:div w:id="2069836069">
      <w:bodyDiv w:val="1"/>
      <w:marLeft w:val="0"/>
      <w:marRight w:val="0"/>
      <w:marTop w:val="0"/>
      <w:marBottom w:val="0"/>
      <w:divBdr>
        <w:top w:val="none" w:sz="0" w:space="0" w:color="auto"/>
        <w:left w:val="none" w:sz="0" w:space="0" w:color="auto"/>
        <w:bottom w:val="none" w:sz="0" w:space="0" w:color="auto"/>
        <w:right w:val="none" w:sz="0" w:space="0" w:color="auto"/>
      </w:divBdr>
      <w:divsChild>
        <w:div w:id="3063219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estud/rdy074"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2457</Words>
  <Characters>14009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dc:creator>
  <cp:keywords/>
  <dc:description/>
  <cp:lastModifiedBy>Alina Jubea</cp:lastModifiedBy>
  <cp:revision>2</cp:revision>
  <dcterms:created xsi:type="dcterms:W3CDTF">2024-11-07T23:13:00Z</dcterms:created>
  <dcterms:modified xsi:type="dcterms:W3CDTF">2024-11-07T23:13:00Z</dcterms:modified>
</cp:coreProperties>
</file>