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FB4AC" w14:textId="77777777" w:rsidR="00B33874" w:rsidRDefault="00B33874" w:rsidP="00B33874">
      <w:pPr>
        <w:spacing w:before="240" w:line="360" w:lineRule="auto"/>
        <w:jc w:val="center"/>
        <w:rPr>
          <w:rFonts w:ascii="Arial" w:hAnsi="Arial" w:cs="Arial"/>
          <w:b/>
          <w:bCs/>
          <w:sz w:val="22"/>
          <w:szCs w:val="22"/>
        </w:rPr>
      </w:pPr>
    </w:p>
    <w:p w14:paraId="5A82A20D" w14:textId="77777777" w:rsidR="00B33874" w:rsidRDefault="00B33874" w:rsidP="00B33874">
      <w:pPr>
        <w:spacing w:before="240" w:line="360" w:lineRule="auto"/>
        <w:jc w:val="center"/>
        <w:rPr>
          <w:rFonts w:ascii="Arial" w:hAnsi="Arial" w:cs="Arial"/>
          <w:b/>
          <w:bCs/>
          <w:sz w:val="22"/>
          <w:szCs w:val="22"/>
        </w:rPr>
      </w:pPr>
    </w:p>
    <w:p w14:paraId="062303E1" w14:textId="77777777" w:rsidR="00B33874" w:rsidRDefault="00B33874" w:rsidP="00B33874">
      <w:pPr>
        <w:spacing w:before="240" w:line="360" w:lineRule="auto"/>
        <w:jc w:val="center"/>
        <w:rPr>
          <w:rFonts w:ascii="Arial" w:hAnsi="Arial" w:cs="Arial"/>
          <w:b/>
          <w:bCs/>
          <w:sz w:val="22"/>
          <w:szCs w:val="22"/>
        </w:rPr>
      </w:pPr>
    </w:p>
    <w:p w14:paraId="46B087D7" w14:textId="77777777" w:rsidR="00B33874" w:rsidRDefault="00B33874" w:rsidP="00B33874">
      <w:pPr>
        <w:spacing w:before="240" w:line="360" w:lineRule="auto"/>
        <w:jc w:val="center"/>
        <w:rPr>
          <w:rFonts w:ascii="Arial" w:hAnsi="Arial" w:cs="Arial"/>
          <w:b/>
          <w:bCs/>
          <w:sz w:val="22"/>
          <w:szCs w:val="22"/>
        </w:rPr>
      </w:pPr>
    </w:p>
    <w:p w14:paraId="3B242184" w14:textId="32A33BDC" w:rsidR="00B33874" w:rsidRPr="00F3310D" w:rsidRDefault="00F3310D" w:rsidP="00F3310D">
      <w:pPr>
        <w:spacing w:before="240" w:line="360" w:lineRule="auto"/>
        <w:jc w:val="center"/>
        <w:rPr>
          <w:rFonts w:ascii="Arial" w:hAnsi="Arial" w:cs="Arial"/>
          <w:b/>
          <w:bCs/>
        </w:rPr>
      </w:pPr>
      <w:r w:rsidRPr="00B1027C">
        <w:rPr>
          <w:rFonts w:ascii="Arial" w:hAnsi="Arial" w:cs="Arial"/>
          <w:b/>
          <w:bCs/>
        </w:rPr>
        <w:t>Exploring the change in Workforce roles and patient experience by implementing NHS Virtual Wards since 2022</w:t>
      </w:r>
    </w:p>
    <w:p w14:paraId="651D086E" w14:textId="77777777" w:rsidR="00B33874" w:rsidRPr="00B33874" w:rsidRDefault="00B33874" w:rsidP="00B33874">
      <w:pPr>
        <w:spacing w:before="240" w:line="360" w:lineRule="auto"/>
        <w:jc w:val="center"/>
        <w:rPr>
          <w:rFonts w:ascii="Arial" w:hAnsi="Arial" w:cs="Arial"/>
          <w:b/>
          <w:bCs/>
        </w:rPr>
      </w:pPr>
      <w:r w:rsidRPr="00B33874">
        <w:rPr>
          <w:rFonts w:ascii="Arial" w:hAnsi="Arial" w:cs="Arial"/>
          <w:b/>
          <w:bCs/>
        </w:rPr>
        <w:t>Name: Somia Kausar</w:t>
      </w:r>
    </w:p>
    <w:p w14:paraId="25D9631E" w14:textId="77777777" w:rsidR="00B33874" w:rsidRPr="00B33874" w:rsidRDefault="00B33874" w:rsidP="00B33874">
      <w:pPr>
        <w:spacing w:before="240" w:line="360" w:lineRule="auto"/>
        <w:jc w:val="center"/>
        <w:rPr>
          <w:rFonts w:ascii="Arial" w:hAnsi="Arial" w:cs="Arial"/>
          <w:b/>
          <w:bCs/>
        </w:rPr>
      </w:pPr>
      <w:r w:rsidRPr="00B33874">
        <w:rPr>
          <w:rFonts w:ascii="Arial" w:hAnsi="Arial" w:cs="Arial"/>
          <w:b/>
          <w:bCs/>
        </w:rPr>
        <w:t>Student id: 2239088</w:t>
      </w:r>
    </w:p>
    <w:p w14:paraId="04EC4E5C" w14:textId="7EB44737" w:rsidR="00B33874" w:rsidRDefault="00B33874" w:rsidP="00B33874">
      <w:pPr>
        <w:spacing w:before="240" w:line="360" w:lineRule="auto"/>
        <w:rPr>
          <w:rFonts w:ascii="Arial" w:hAnsi="Arial" w:cs="Arial"/>
          <w:b/>
          <w:bCs/>
          <w:sz w:val="22"/>
          <w:szCs w:val="22"/>
        </w:rPr>
      </w:pPr>
    </w:p>
    <w:p w14:paraId="1E796C10" w14:textId="77777777" w:rsidR="00B33874" w:rsidRDefault="00B33874" w:rsidP="00B33874">
      <w:pPr>
        <w:spacing w:before="240" w:line="360" w:lineRule="auto"/>
        <w:rPr>
          <w:rFonts w:ascii="Arial" w:hAnsi="Arial" w:cs="Arial"/>
          <w:b/>
          <w:bCs/>
          <w:sz w:val="22"/>
          <w:szCs w:val="22"/>
        </w:rPr>
      </w:pPr>
    </w:p>
    <w:p w14:paraId="566276B3" w14:textId="77777777" w:rsidR="00B33874" w:rsidRDefault="00B33874" w:rsidP="00B33874">
      <w:pPr>
        <w:spacing w:before="240" w:line="360" w:lineRule="auto"/>
        <w:rPr>
          <w:rFonts w:ascii="Arial" w:hAnsi="Arial" w:cs="Arial"/>
          <w:b/>
          <w:bCs/>
          <w:sz w:val="22"/>
          <w:szCs w:val="22"/>
        </w:rPr>
      </w:pPr>
    </w:p>
    <w:p w14:paraId="6DA424BA" w14:textId="77777777" w:rsidR="00B33874" w:rsidRDefault="00B33874" w:rsidP="00B33874">
      <w:pPr>
        <w:spacing w:before="240" w:line="360" w:lineRule="auto"/>
        <w:rPr>
          <w:rFonts w:ascii="Arial" w:hAnsi="Arial" w:cs="Arial"/>
          <w:b/>
          <w:bCs/>
          <w:sz w:val="22"/>
          <w:szCs w:val="22"/>
        </w:rPr>
      </w:pPr>
    </w:p>
    <w:p w14:paraId="279AE6D2" w14:textId="77777777" w:rsidR="00B33874" w:rsidRDefault="00B33874" w:rsidP="00B33874">
      <w:pPr>
        <w:spacing w:before="240" w:line="360" w:lineRule="auto"/>
        <w:rPr>
          <w:rFonts w:ascii="Arial" w:hAnsi="Arial" w:cs="Arial"/>
          <w:b/>
          <w:bCs/>
          <w:sz w:val="22"/>
          <w:szCs w:val="22"/>
        </w:rPr>
      </w:pPr>
    </w:p>
    <w:p w14:paraId="1A0F62D5" w14:textId="77777777" w:rsidR="00B33874" w:rsidRDefault="00B33874" w:rsidP="00B33874">
      <w:pPr>
        <w:spacing w:before="240" w:line="360" w:lineRule="auto"/>
        <w:rPr>
          <w:rFonts w:ascii="Arial" w:hAnsi="Arial" w:cs="Arial"/>
          <w:b/>
          <w:bCs/>
          <w:sz w:val="22"/>
          <w:szCs w:val="22"/>
        </w:rPr>
      </w:pPr>
    </w:p>
    <w:p w14:paraId="0892C341" w14:textId="77777777" w:rsidR="00B33874" w:rsidRDefault="00B33874" w:rsidP="00B33874">
      <w:pPr>
        <w:spacing w:before="240" w:line="360" w:lineRule="auto"/>
        <w:rPr>
          <w:rFonts w:ascii="Arial" w:hAnsi="Arial" w:cs="Arial"/>
          <w:b/>
          <w:bCs/>
          <w:sz w:val="22"/>
          <w:szCs w:val="22"/>
        </w:rPr>
      </w:pPr>
    </w:p>
    <w:p w14:paraId="572A034E" w14:textId="77777777" w:rsidR="00B33874" w:rsidRDefault="00B33874" w:rsidP="00B33874">
      <w:pPr>
        <w:spacing w:before="240" w:line="360" w:lineRule="auto"/>
        <w:rPr>
          <w:rFonts w:ascii="Arial" w:hAnsi="Arial" w:cs="Arial"/>
          <w:b/>
          <w:bCs/>
          <w:sz w:val="22"/>
          <w:szCs w:val="22"/>
        </w:rPr>
      </w:pPr>
    </w:p>
    <w:p w14:paraId="4A8A4304" w14:textId="77777777" w:rsidR="00B33874" w:rsidRDefault="00B33874" w:rsidP="00B33874">
      <w:pPr>
        <w:spacing w:before="240" w:line="360" w:lineRule="auto"/>
        <w:rPr>
          <w:rFonts w:ascii="Arial" w:hAnsi="Arial" w:cs="Arial"/>
          <w:b/>
          <w:bCs/>
          <w:sz w:val="22"/>
          <w:szCs w:val="22"/>
        </w:rPr>
      </w:pPr>
    </w:p>
    <w:p w14:paraId="04C4EB6B" w14:textId="77777777" w:rsidR="00B33874" w:rsidRDefault="00B33874" w:rsidP="00B33874">
      <w:pPr>
        <w:spacing w:before="240" w:line="360" w:lineRule="auto"/>
        <w:rPr>
          <w:rFonts w:ascii="Arial" w:hAnsi="Arial" w:cs="Arial"/>
          <w:b/>
          <w:bCs/>
          <w:sz w:val="22"/>
          <w:szCs w:val="22"/>
        </w:rPr>
      </w:pPr>
    </w:p>
    <w:p w14:paraId="6E7E883E" w14:textId="77777777" w:rsidR="00B33874" w:rsidRDefault="00B33874" w:rsidP="00B33874">
      <w:pPr>
        <w:spacing w:before="240" w:line="360" w:lineRule="auto"/>
        <w:rPr>
          <w:rFonts w:ascii="Arial" w:hAnsi="Arial" w:cs="Arial"/>
          <w:b/>
          <w:bCs/>
          <w:sz w:val="22"/>
          <w:szCs w:val="22"/>
        </w:rPr>
      </w:pPr>
    </w:p>
    <w:p w14:paraId="2333BF35" w14:textId="77777777" w:rsidR="00381B40" w:rsidRDefault="00381B40" w:rsidP="00B33874">
      <w:pPr>
        <w:spacing w:before="240" w:line="360" w:lineRule="auto"/>
        <w:jc w:val="center"/>
        <w:rPr>
          <w:rFonts w:ascii="Arial" w:hAnsi="Arial" w:cs="Arial"/>
          <w:b/>
          <w:bCs/>
        </w:rPr>
      </w:pPr>
    </w:p>
    <w:p w14:paraId="6EF71230" w14:textId="77777777" w:rsidR="00F3310D" w:rsidRDefault="00F3310D" w:rsidP="00B33874">
      <w:pPr>
        <w:spacing w:before="240" w:line="360" w:lineRule="auto"/>
        <w:jc w:val="center"/>
        <w:rPr>
          <w:rFonts w:ascii="Arial" w:hAnsi="Arial" w:cs="Arial"/>
          <w:b/>
          <w:bCs/>
        </w:rPr>
      </w:pPr>
    </w:p>
    <w:sdt>
      <w:sdtPr>
        <w:rPr>
          <w:rFonts w:ascii="Arial" w:eastAsiaTheme="minorHAnsi" w:hAnsi="Arial" w:cs="Arial"/>
          <w:color w:val="auto"/>
          <w:kern w:val="2"/>
          <w:sz w:val="28"/>
          <w:szCs w:val="28"/>
          <w14:ligatures w14:val="standardContextual"/>
        </w:rPr>
        <w:id w:val="-786497485"/>
        <w:docPartObj>
          <w:docPartGallery w:val="Table of Contents"/>
          <w:docPartUnique/>
        </w:docPartObj>
      </w:sdtPr>
      <w:sdtEndPr>
        <w:rPr>
          <w:rFonts w:asciiTheme="minorHAnsi" w:hAnsiTheme="minorHAnsi" w:cstheme="minorBidi"/>
          <w:b/>
          <w:bCs/>
          <w:noProof/>
          <w:sz w:val="24"/>
          <w:szCs w:val="24"/>
        </w:rPr>
      </w:sdtEndPr>
      <w:sdtContent>
        <w:p w14:paraId="283D4E67" w14:textId="150E81A4" w:rsidR="00381B40" w:rsidRPr="00381B40" w:rsidRDefault="00381B40" w:rsidP="00381B40">
          <w:pPr>
            <w:pStyle w:val="TOCHeading"/>
            <w:jc w:val="center"/>
            <w:rPr>
              <w:rFonts w:ascii="Arial" w:hAnsi="Arial" w:cs="Arial"/>
              <w:b/>
              <w:bCs/>
              <w:color w:val="auto"/>
              <w:sz w:val="22"/>
              <w:szCs w:val="22"/>
            </w:rPr>
          </w:pPr>
          <w:r w:rsidRPr="00381B40">
            <w:rPr>
              <w:rFonts w:ascii="Arial" w:hAnsi="Arial" w:cs="Arial"/>
              <w:b/>
              <w:bCs/>
              <w:color w:val="auto"/>
              <w:sz w:val="22"/>
              <w:szCs w:val="22"/>
            </w:rPr>
            <w:t>Table of Contents</w:t>
          </w:r>
        </w:p>
        <w:p w14:paraId="5280C8C3" w14:textId="466862B6" w:rsidR="00381B40" w:rsidRPr="00381B40" w:rsidRDefault="00381B40">
          <w:pPr>
            <w:pStyle w:val="TOC1"/>
            <w:tabs>
              <w:tab w:val="right" w:leader="dot" w:pos="9350"/>
            </w:tabs>
            <w:rPr>
              <w:rFonts w:ascii="Arial" w:hAnsi="Arial" w:cs="Arial"/>
              <w:noProof/>
              <w:sz w:val="22"/>
              <w:szCs w:val="22"/>
            </w:rPr>
          </w:pPr>
          <w:r w:rsidRPr="00381B40">
            <w:rPr>
              <w:rFonts w:ascii="Arial" w:hAnsi="Arial" w:cs="Arial"/>
              <w:sz w:val="22"/>
              <w:szCs w:val="22"/>
            </w:rPr>
            <w:fldChar w:fldCharType="begin"/>
          </w:r>
          <w:r w:rsidRPr="00381B40">
            <w:rPr>
              <w:rFonts w:ascii="Arial" w:hAnsi="Arial" w:cs="Arial"/>
              <w:sz w:val="22"/>
              <w:szCs w:val="22"/>
            </w:rPr>
            <w:instrText xml:space="preserve"> TOC \o "1-3" \h \z \u </w:instrText>
          </w:r>
          <w:r w:rsidRPr="00381B40">
            <w:rPr>
              <w:rFonts w:ascii="Arial" w:hAnsi="Arial" w:cs="Arial"/>
              <w:sz w:val="22"/>
              <w:szCs w:val="22"/>
            </w:rPr>
            <w:fldChar w:fldCharType="separate"/>
          </w:r>
          <w:hyperlink w:anchor="_Toc211641745" w:history="1">
            <w:r w:rsidRPr="00381B40">
              <w:rPr>
                <w:rStyle w:val="Hyperlink"/>
                <w:rFonts w:ascii="Arial" w:hAnsi="Arial" w:cs="Arial"/>
                <w:noProof/>
                <w:sz w:val="22"/>
                <w:szCs w:val="22"/>
              </w:rPr>
              <w:t>Introduction</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_Toc211641745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2</w:t>
            </w:r>
            <w:r w:rsidRPr="00381B40">
              <w:rPr>
                <w:rFonts w:ascii="Arial" w:hAnsi="Arial" w:cs="Arial"/>
                <w:noProof/>
                <w:webHidden/>
                <w:sz w:val="22"/>
                <w:szCs w:val="22"/>
              </w:rPr>
              <w:fldChar w:fldCharType="end"/>
            </w:r>
          </w:hyperlink>
        </w:p>
        <w:p w14:paraId="31A2C193" w14:textId="6409B989" w:rsidR="00381B40" w:rsidRPr="00381B40" w:rsidRDefault="00381B40">
          <w:pPr>
            <w:pStyle w:val="TOC1"/>
            <w:tabs>
              <w:tab w:val="right" w:leader="dot" w:pos="9350"/>
            </w:tabs>
            <w:rPr>
              <w:rFonts w:ascii="Arial" w:hAnsi="Arial" w:cs="Arial"/>
              <w:noProof/>
              <w:sz w:val="22"/>
              <w:szCs w:val="22"/>
            </w:rPr>
          </w:pPr>
          <w:hyperlink w:anchor="_Toc211641746" w:history="1">
            <w:r w:rsidRPr="00381B40">
              <w:rPr>
                <w:rStyle w:val="Hyperlink"/>
                <w:rFonts w:ascii="Arial" w:hAnsi="Arial" w:cs="Arial"/>
                <w:noProof/>
                <w:sz w:val="22"/>
                <w:szCs w:val="22"/>
              </w:rPr>
              <w:t>Workforce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_Toc211641746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2</w:t>
            </w:r>
            <w:r w:rsidRPr="00381B40">
              <w:rPr>
                <w:rFonts w:ascii="Arial" w:hAnsi="Arial" w:cs="Arial"/>
                <w:noProof/>
                <w:webHidden/>
                <w:sz w:val="22"/>
                <w:szCs w:val="22"/>
              </w:rPr>
              <w:fldChar w:fldCharType="end"/>
            </w:r>
          </w:hyperlink>
        </w:p>
        <w:p w14:paraId="4BE8EAFC" w14:textId="2E0C4BE0" w:rsidR="00381B40" w:rsidRPr="00381B40" w:rsidRDefault="00381B40">
          <w:pPr>
            <w:pStyle w:val="TOC2"/>
            <w:tabs>
              <w:tab w:val="right" w:leader="dot" w:pos="9350"/>
            </w:tabs>
            <w:rPr>
              <w:rFonts w:ascii="Arial" w:hAnsi="Arial" w:cs="Arial"/>
              <w:noProof/>
              <w:sz w:val="22"/>
              <w:szCs w:val="22"/>
            </w:rPr>
          </w:pPr>
          <w:hyperlink w:anchor="_Toc211641747" w:history="1">
            <w:r w:rsidRPr="00381B40">
              <w:rPr>
                <w:rStyle w:val="Hyperlink"/>
                <w:rFonts w:ascii="Arial" w:hAnsi="Arial" w:cs="Arial"/>
                <w:noProof/>
                <w:sz w:val="22"/>
                <w:szCs w:val="22"/>
              </w:rPr>
              <w:t>Hub and Spoke Models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_Toc211641747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2</w:t>
            </w:r>
            <w:r w:rsidRPr="00381B40">
              <w:rPr>
                <w:rFonts w:ascii="Arial" w:hAnsi="Arial" w:cs="Arial"/>
                <w:noProof/>
                <w:webHidden/>
                <w:sz w:val="22"/>
                <w:szCs w:val="22"/>
              </w:rPr>
              <w:fldChar w:fldCharType="end"/>
            </w:r>
          </w:hyperlink>
        </w:p>
        <w:p w14:paraId="418BA36F" w14:textId="0D1965D5" w:rsidR="00381B40" w:rsidRPr="00381B40" w:rsidRDefault="00381B40">
          <w:pPr>
            <w:pStyle w:val="TOC2"/>
            <w:tabs>
              <w:tab w:val="right" w:leader="dot" w:pos="9350"/>
            </w:tabs>
            <w:rPr>
              <w:rFonts w:ascii="Arial" w:hAnsi="Arial" w:cs="Arial"/>
              <w:noProof/>
              <w:sz w:val="22"/>
              <w:szCs w:val="22"/>
            </w:rPr>
          </w:pPr>
          <w:hyperlink w:anchor="_Toc211641748" w:history="1">
            <w:r w:rsidRPr="00381B40">
              <w:rPr>
                <w:rStyle w:val="Hyperlink"/>
                <w:rFonts w:ascii="Arial" w:hAnsi="Arial" w:cs="Arial"/>
                <w:noProof/>
                <w:sz w:val="22"/>
                <w:szCs w:val="22"/>
              </w:rPr>
              <w:t>News skills and training</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_Toc211641748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3</w:t>
            </w:r>
            <w:r w:rsidRPr="00381B40">
              <w:rPr>
                <w:rFonts w:ascii="Arial" w:hAnsi="Arial" w:cs="Arial"/>
                <w:noProof/>
                <w:webHidden/>
                <w:sz w:val="22"/>
                <w:szCs w:val="22"/>
              </w:rPr>
              <w:fldChar w:fldCharType="end"/>
            </w:r>
          </w:hyperlink>
        </w:p>
        <w:p w14:paraId="2509A3A8" w14:textId="7BE2A70A" w:rsidR="00381B40" w:rsidRPr="00381B40" w:rsidRDefault="00381B40">
          <w:pPr>
            <w:pStyle w:val="TOC2"/>
            <w:tabs>
              <w:tab w:val="right" w:leader="dot" w:pos="9350"/>
            </w:tabs>
            <w:rPr>
              <w:rFonts w:ascii="Arial" w:hAnsi="Arial" w:cs="Arial"/>
              <w:noProof/>
              <w:sz w:val="22"/>
              <w:szCs w:val="22"/>
            </w:rPr>
          </w:pPr>
          <w:hyperlink w:anchor="_Toc211641749" w:history="1">
            <w:r w:rsidRPr="00381B40">
              <w:rPr>
                <w:rStyle w:val="Hyperlink"/>
                <w:rFonts w:ascii="Arial" w:hAnsi="Arial" w:cs="Arial"/>
                <w:noProof/>
                <w:sz w:val="22"/>
                <w:szCs w:val="22"/>
              </w:rPr>
              <w:t>Benefits for workforce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_Toc211641749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3</w:t>
            </w:r>
            <w:r w:rsidRPr="00381B40">
              <w:rPr>
                <w:rFonts w:ascii="Arial" w:hAnsi="Arial" w:cs="Arial"/>
                <w:noProof/>
                <w:webHidden/>
                <w:sz w:val="22"/>
                <w:szCs w:val="22"/>
              </w:rPr>
              <w:fldChar w:fldCharType="end"/>
            </w:r>
          </w:hyperlink>
        </w:p>
        <w:p w14:paraId="7DD81EB2" w14:textId="49462898" w:rsidR="00381B40" w:rsidRPr="00381B40" w:rsidRDefault="00381B40">
          <w:pPr>
            <w:pStyle w:val="TOC2"/>
            <w:tabs>
              <w:tab w:val="right" w:leader="dot" w:pos="9350"/>
            </w:tabs>
            <w:rPr>
              <w:rFonts w:ascii="Arial" w:hAnsi="Arial" w:cs="Arial"/>
              <w:noProof/>
              <w:sz w:val="22"/>
              <w:szCs w:val="22"/>
            </w:rPr>
          </w:pPr>
          <w:hyperlink w:anchor="_Toc211641750" w:history="1">
            <w:r w:rsidRPr="00381B40">
              <w:rPr>
                <w:rStyle w:val="Hyperlink"/>
                <w:rFonts w:ascii="Arial" w:hAnsi="Arial" w:cs="Arial"/>
                <w:noProof/>
                <w:sz w:val="22"/>
                <w:szCs w:val="22"/>
              </w:rPr>
              <w:t>Challenges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_Toc211641750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3</w:t>
            </w:r>
            <w:r w:rsidRPr="00381B40">
              <w:rPr>
                <w:rFonts w:ascii="Arial" w:hAnsi="Arial" w:cs="Arial"/>
                <w:noProof/>
                <w:webHidden/>
                <w:sz w:val="22"/>
                <w:szCs w:val="22"/>
              </w:rPr>
              <w:fldChar w:fldCharType="end"/>
            </w:r>
          </w:hyperlink>
        </w:p>
        <w:p w14:paraId="671E9B7B" w14:textId="6B1126CD" w:rsidR="00381B40" w:rsidRPr="00381B40" w:rsidRDefault="00381B40">
          <w:pPr>
            <w:pStyle w:val="TOC2"/>
            <w:tabs>
              <w:tab w:val="right" w:leader="dot" w:pos="9350"/>
            </w:tabs>
            <w:rPr>
              <w:rFonts w:ascii="Arial" w:hAnsi="Arial" w:cs="Arial"/>
              <w:noProof/>
              <w:sz w:val="22"/>
              <w:szCs w:val="22"/>
            </w:rPr>
          </w:pPr>
          <w:hyperlink w:anchor="_Toc211641751" w:history="1">
            <w:r w:rsidRPr="00381B40">
              <w:rPr>
                <w:rStyle w:val="Hyperlink"/>
                <w:rFonts w:ascii="Arial" w:hAnsi="Arial" w:cs="Arial"/>
                <w:noProof/>
                <w:sz w:val="22"/>
                <w:szCs w:val="22"/>
              </w:rPr>
              <w:t>Culture and confidence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_Toc211641751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4</w:t>
            </w:r>
            <w:r w:rsidRPr="00381B40">
              <w:rPr>
                <w:rFonts w:ascii="Arial" w:hAnsi="Arial" w:cs="Arial"/>
                <w:noProof/>
                <w:webHidden/>
                <w:sz w:val="22"/>
                <w:szCs w:val="22"/>
              </w:rPr>
              <w:fldChar w:fldCharType="end"/>
            </w:r>
          </w:hyperlink>
        </w:p>
        <w:p w14:paraId="1C3FB19A" w14:textId="09FA56BD" w:rsidR="00381B40" w:rsidRPr="00381B40" w:rsidRDefault="00381B40">
          <w:pPr>
            <w:pStyle w:val="TOC1"/>
            <w:tabs>
              <w:tab w:val="right" w:leader="dot" w:pos="9350"/>
            </w:tabs>
            <w:rPr>
              <w:rFonts w:ascii="Arial" w:hAnsi="Arial" w:cs="Arial"/>
              <w:noProof/>
              <w:sz w:val="22"/>
              <w:szCs w:val="22"/>
            </w:rPr>
          </w:pPr>
          <w:hyperlink w:anchor="_Toc211641752" w:history="1">
            <w:r w:rsidRPr="00381B40">
              <w:rPr>
                <w:rStyle w:val="Hyperlink"/>
                <w:rFonts w:ascii="Arial" w:hAnsi="Arial" w:cs="Arial"/>
                <w:noProof/>
                <w:sz w:val="22"/>
                <w:szCs w:val="22"/>
              </w:rPr>
              <w:t>Service Delivery</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_Toc211641752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4</w:t>
            </w:r>
            <w:r w:rsidRPr="00381B40">
              <w:rPr>
                <w:rFonts w:ascii="Arial" w:hAnsi="Arial" w:cs="Arial"/>
                <w:noProof/>
                <w:webHidden/>
                <w:sz w:val="22"/>
                <w:szCs w:val="22"/>
              </w:rPr>
              <w:fldChar w:fldCharType="end"/>
            </w:r>
          </w:hyperlink>
        </w:p>
        <w:p w14:paraId="528D1458" w14:textId="63A344F5" w:rsidR="00381B40" w:rsidRPr="00381B40" w:rsidRDefault="00381B40">
          <w:pPr>
            <w:pStyle w:val="TOC2"/>
            <w:tabs>
              <w:tab w:val="right" w:leader="dot" w:pos="9350"/>
            </w:tabs>
            <w:rPr>
              <w:rFonts w:ascii="Arial" w:hAnsi="Arial" w:cs="Arial"/>
              <w:noProof/>
              <w:sz w:val="22"/>
              <w:szCs w:val="22"/>
            </w:rPr>
          </w:pPr>
          <w:hyperlink w:anchor="_Toc211641753" w:history="1">
            <w:r w:rsidRPr="00381B40">
              <w:rPr>
                <w:rStyle w:val="Hyperlink"/>
                <w:rFonts w:ascii="Arial" w:hAnsi="Arial" w:cs="Arial"/>
                <w:noProof/>
                <w:sz w:val="22"/>
                <w:szCs w:val="22"/>
              </w:rPr>
              <w:t>Flow of Care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_Toc211641753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4</w:t>
            </w:r>
            <w:r w:rsidRPr="00381B40">
              <w:rPr>
                <w:rFonts w:ascii="Arial" w:hAnsi="Arial" w:cs="Arial"/>
                <w:noProof/>
                <w:webHidden/>
                <w:sz w:val="22"/>
                <w:szCs w:val="22"/>
              </w:rPr>
              <w:fldChar w:fldCharType="end"/>
            </w:r>
          </w:hyperlink>
        </w:p>
        <w:p w14:paraId="0952650A" w14:textId="5D09098E" w:rsidR="00381B40" w:rsidRPr="00381B40" w:rsidRDefault="00381B40">
          <w:pPr>
            <w:pStyle w:val="TOC2"/>
            <w:tabs>
              <w:tab w:val="right" w:leader="dot" w:pos="9350"/>
            </w:tabs>
            <w:rPr>
              <w:rFonts w:ascii="Arial" w:hAnsi="Arial" w:cs="Arial"/>
              <w:noProof/>
              <w:sz w:val="22"/>
              <w:szCs w:val="22"/>
            </w:rPr>
          </w:pPr>
          <w:hyperlink w:anchor="_Toc211641754" w:history="1">
            <w:r w:rsidRPr="00381B40">
              <w:rPr>
                <w:rStyle w:val="Hyperlink"/>
                <w:rFonts w:ascii="Arial" w:hAnsi="Arial" w:cs="Arial"/>
                <w:noProof/>
                <w:sz w:val="22"/>
                <w:szCs w:val="22"/>
              </w:rPr>
              <w:t>Benefits in terms of service delivery</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_Toc211641754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4</w:t>
            </w:r>
            <w:r w:rsidRPr="00381B40">
              <w:rPr>
                <w:rFonts w:ascii="Arial" w:hAnsi="Arial" w:cs="Arial"/>
                <w:noProof/>
                <w:webHidden/>
                <w:sz w:val="22"/>
                <w:szCs w:val="22"/>
              </w:rPr>
              <w:fldChar w:fldCharType="end"/>
            </w:r>
          </w:hyperlink>
        </w:p>
        <w:p w14:paraId="38FAE7C8" w14:textId="78063FAB" w:rsidR="00381B40" w:rsidRPr="00381B40" w:rsidRDefault="00381B40">
          <w:pPr>
            <w:pStyle w:val="TOC2"/>
            <w:tabs>
              <w:tab w:val="right" w:leader="dot" w:pos="9350"/>
            </w:tabs>
            <w:rPr>
              <w:rFonts w:ascii="Arial" w:hAnsi="Arial" w:cs="Arial"/>
              <w:noProof/>
              <w:sz w:val="22"/>
              <w:szCs w:val="22"/>
            </w:rPr>
          </w:pPr>
          <w:hyperlink w:anchor="_Toc211641755" w:history="1">
            <w:r w:rsidRPr="00381B40">
              <w:rPr>
                <w:rStyle w:val="Hyperlink"/>
                <w:rFonts w:ascii="Arial" w:hAnsi="Arial" w:cs="Arial"/>
                <w:noProof/>
                <w:sz w:val="22"/>
                <w:szCs w:val="22"/>
              </w:rPr>
              <w:t>Operational Challenges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_Toc211641755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4</w:t>
            </w:r>
            <w:r w:rsidRPr="00381B40">
              <w:rPr>
                <w:rFonts w:ascii="Arial" w:hAnsi="Arial" w:cs="Arial"/>
                <w:noProof/>
                <w:webHidden/>
                <w:sz w:val="22"/>
                <w:szCs w:val="22"/>
              </w:rPr>
              <w:fldChar w:fldCharType="end"/>
            </w:r>
          </w:hyperlink>
        </w:p>
        <w:p w14:paraId="0C9AB183" w14:textId="0E93B598" w:rsidR="00381B40" w:rsidRPr="00381B40" w:rsidRDefault="00381B40">
          <w:pPr>
            <w:pStyle w:val="TOC2"/>
            <w:tabs>
              <w:tab w:val="right" w:leader="dot" w:pos="9350"/>
            </w:tabs>
            <w:rPr>
              <w:rFonts w:ascii="Arial" w:hAnsi="Arial" w:cs="Arial"/>
              <w:noProof/>
              <w:sz w:val="22"/>
              <w:szCs w:val="22"/>
            </w:rPr>
          </w:pPr>
          <w:hyperlink w:anchor="_Toc211641756" w:history="1">
            <w:r w:rsidRPr="00381B40">
              <w:rPr>
                <w:rStyle w:val="Hyperlink"/>
                <w:rFonts w:ascii="Arial" w:hAnsi="Arial" w:cs="Arial"/>
                <w:noProof/>
                <w:sz w:val="22"/>
                <w:szCs w:val="22"/>
              </w:rPr>
              <w:t>Short-, medium-, and long-term impacts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_Toc211641756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5</w:t>
            </w:r>
            <w:r w:rsidRPr="00381B40">
              <w:rPr>
                <w:rFonts w:ascii="Arial" w:hAnsi="Arial" w:cs="Arial"/>
                <w:noProof/>
                <w:webHidden/>
                <w:sz w:val="22"/>
                <w:szCs w:val="22"/>
              </w:rPr>
              <w:fldChar w:fldCharType="end"/>
            </w:r>
          </w:hyperlink>
        </w:p>
        <w:p w14:paraId="25989781" w14:textId="467E794A" w:rsidR="00381B40" w:rsidRPr="00381B40" w:rsidRDefault="00381B40">
          <w:pPr>
            <w:pStyle w:val="TOC1"/>
            <w:tabs>
              <w:tab w:val="right" w:leader="dot" w:pos="9350"/>
            </w:tabs>
            <w:rPr>
              <w:rFonts w:ascii="Arial" w:hAnsi="Arial" w:cs="Arial"/>
              <w:noProof/>
              <w:sz w:val="22"/>
              <w:szCs w:val="22"/>
            </w:rPr>
          </w:pPr>
          <w:hyperlink w:anchor="_Toc211641757" w:history="1">
            <w:r w:rsidRPr="00381B40">
              <w:rPr>
                <w:rStyle w:val="Hyperlink"/>
                <w:rFonts w:ascii="Arial" w:hAnsi="Arial" w:cs="Arial"/>
                <w:noProof/>
                <w:sz w:val="22"/>
                <w:szCs w:val="22"/>
              </w:rPr>
              <w:t>Patient/Service User</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_Toc211641757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5</w:t>
            </w:r>
            <w:r w:rsidRPr="00381B40">
              <w:rPr>
                <w:rFonts w:ascii="Arial" w:hAnsi="Arial" w:cs="Arial"/>
                <w:noProof/>
                <w:webHidden/>
                <w:sz w:val="22"/>
                <w:szCs w:val="22"/>
              </w:rPr>
              <w:fldChar w:fldCharType="end"/>
            </w:r>
          </w:hyperlink>
        </w:p>
        <w:p w14:paraId="69F8EA15" w14:textId="020E0582" w:rsidR="00381B40" w:rsidRPr="00381B40" w:rsidRDefault="00381B40">
          <w:pPr>
            <w:pStyle w:val="TOC2"/>
            <w:tabs>
              <w:tab w:val="right" w:leader="dot" w:pos="9350"/>
            </w:tabs>
            <w:rPr>
              <w:rFonts w:ascii="Arial" w:hAnsi="Arial" w:cs="Arial"/>
              <w:noProof/>
              <w:sz w:val="22"/>
              <w:szCs w:val="22"/>
            </w:rPr>
          </w:pPr>
          <w:hyperlink w:anchor="_Toc211641758" w:history="1">
            <w:r w:rsidRPr="00381B40">
              <w:rPr>
                <w:rStyle w:val="Hyperlink"/>
                <w:rFonts w:ascii="Arial" w:hAnsi="Arial" w:cs="Arial"/>
                <w:noProof/>
                <w:sz w:val="22"/>
                <w:szCs w:val="22"/>
              </w:rPr>
              <w:t>Better care at home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_Toc211641758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5</w:t>
            </w:r>
            <w:r w:rsidRPr="00381B40">
              <w:rPr>
                <w:rFonts w:ascii="Arial" w:hAnsi="Arial" w:cs="Arial"/>
                <w:noProof/>
                <w:webHidden/>
                <w:sz w:val="22"/>
                <w:szCs w:val="22"/>
              </w:rPr>
              <w:fldChar w:fldCharType="end"/>
            </w:r>
          </w:hyperlink>
        </w:p>
        <w:p w14:paraId="0D3906A4" w14:textId="70B5532A" w:rsidR="00381B40" w:rsidRPr="00381B40" w:rsidRDefault="00381B40">
          <w:pPr>
            <w:pStyle w:val="TOC2"/>
            <w:tabs>
              <w:tab w:val="right" w:leader="dot" w:pos="9350"/>
            </w:tabs>
            <w:rPr>
              <w:rFonts w:ascii="Arial" w:hAnsi="Arial" w:cs="Arial"/>
              <w:noProof/>
              <w:sz w:val="22"/>
              <w:szCs w:val="22"/>
            </w:rPr>
          </w:pPr>
          <w:hyperlink w:anchor="_Toc211641759" w:history="1">
            <w:r w:rsidRPr="00381B40">
              <w:rPr>
                <w:rStyle w:val="Hyperlink"/>
                <w:rFonts w:ascii="Arial" w:hAnsi="Arial" w:cs="Arial"/>
                <w:noProof/>
                <w:sz w:val="22"/>
                <w:szCs w:val="22"/>
              </w:rPr>
              <w:t>More control</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_Toc211641759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5</w:t>
            </w:r>
            <w:r w:rsidRPr="00381B40">
              <w:rPr>
                <w:rFonts w:ascii="Arial" w:hAnsi="Arial" w:cs="Arial"/>
                <w:noProof/>
                <w:webHidden/>
                <w:sz w:val="22"/>
                <w:szCs w:val="22"/>
              </w:rPr>
              <w:fldChar w:fldCharType="end"/>
            </w:r>
          </w:hyperlink>
        </w:p>
        <w:p w14:paraId="5FC08157" w14:textId="13925C89" w:rsidR="00381B40" w:rsidRPr="00381B40" w:rsidRDefault="00381B40">
          <w:pPr>
            <w:pStyle w:val="TOC2"/>
            <w:tabs>
              <w:tab w:val="right" w:leader="dot" w:pos="9350"/>
            </w:tabs>
            <w:rPr>
              <w:rFonts w:ascii="Arial" w:hAnsi="Arial" w:cs="Arial"/>
              <w:noProof/>
              <w:sz w:val="22"/>
              <w:szCs w:val="22"/>
            </w:rPr>
          </w:pPr>
          <w:hyperlink w:anchor="_Toc211641760" w:history="1">
            <w:r w:rsidRPr="00381B40">
              <w:rPr>
                <w:rStyle w:val="Hyperlink"/>
                <w:rFonts w:ascii="Arial" w:hAnsi="Arial" w:cs="Arial"/>
                <w:noProof/>
                <w:sz w:val="22"/>
                <w:szCs w:val="22"/>
              </w:rPr>
              <w:t>Real risks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_Toc211641760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6</w:t>
            </w:r>
            <w:r w:rsidRPr="00381B40">
              <w:rPr>
                <w:rFonts w:ascii="Arial" w:hAnsi="Arial" w:cs="Arial"/>
                <w:noProof/>
                <w:webHidden/>
                <w:sz w:val="22"/>
                <w:szCs w:val="22"/>
              </w:rPr>
              <w:fldChar w:fldCharType="end"/>
            </w:r>
          </w:hyperlink>
        </w:p>
        <w:p w14:paraId="772ED68C" w14:textId="786A0365" w:rsidR="00381B40" w:rsidRPr="00381B40" w:rsidRDefault="00381B40">
          <w:pPr>
            <w:pStyle w:val="TOC2"/>
            <w:tabs>
              <w:tab w:val="right" w:leader="dot" w:pos="9350"/>
            </w:tabs>
            <w:rPr>
              <w:rFonts w:ascii="Arial" w:hAnsi="Arial" w:cs="Arial"/>
              <w:noProof/>
              <w:sz w:val="22"/>
              <w:szCs w:val="22"/>
            </w:rPr>
          </w:pPr>
          <w:hyperlink w:anchor="_Toc211641761" w:history="1">
            <w:r w:rsidRPr="00381B40">
              <w:rPr>
                <w:rStyle w:val="Hyperlink"/>
                <w:rFonts w:ascii="Arial" w:hAnsi="Arial" w:cs="Arial"/>
                <w:noProof/>
                <w:sz w:val="22"/>
                <w:szCs w:val="22"/>
              </w:rPr>
              <w:t>Fairness of access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_Toc211641761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6</w:t>
            </w:r>
            <w:r w:rsidRPr="00381B40">
              <w:rPr>
                <w:rFonts w:ascii="Arial" w:hAnsi="Arial" w:cs="Arial"/>
                <w:noProof/>
                <w:webHidden/>
                <w:sz w:val="22"/>
                <w:szCs w:val="22"/>
              </w:rPr>
              <w:fldChar w:fldCharType="end"/>
            </w:r>
          </w:hyperlink>
        </w:p>
        <w:p w14:paraId="5AE9A0EF" w14:textId="2DB8DA02" w:rsidR="00381B40" w:rsidRPr="00381B40" w:rsidRDefault="00381B40">
          <w:pPr>
            <w:pStyle w:val="TOC2"/>
            <w:tabs>
              <w:tab w:val="right" w:leader="dot" w:pos="9350"/>
            </w:tabs>
            <w:rPr>
              <w:rFonts w:ascii="Arial" w:hAnsi="Arial" w:cs="Arial"/>
              <w:noProof/>
              <w:sz w:val="22"/>
              <w:szCs w:val="22"/>
            </w:rPr>
          </w:pPr>
          <w:hyperlink w:anchor="_Toc211641762" w:history="1">
            <w:r w:rsidRPr="00381B40">
              <w:rPr>
                <w:rStyle w:val="Hyperlink"/>
                <w:rFonts w:ascii="Arial" w:hAnsi="Arial" w:cs="Arial"/>
                <w:noProof/>
                <w:sz w:val="22"/>
                <w:szCs w:val="22"/>
              </w:rPr>
              <w:t>Reassurance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_Toc211641762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6</w:t>
            </w:r>
            <w:r w:rsidRPr="00381B40">
              <w:rPr>
                <w:rFonts w:ascii="Arial" w:hAnsi="Arial" w:cs="Arial"/>
                <w:noProof/>
                <w:webHidden/>
                <w:sz w:val="22"/>
                <w:szCs w:val="22"/>
              </w:rPr>
              <w:fldChar w:fldCharType="end"/>
            </w:r>
          </w:hyperlink>
        </w:p>
        <w:p w14:paraId="4FCFD634" w14:textId="66FEABB8" w:rsidR="00381B40" w:rsidRPr="00381B40" w:rsidRDefault="00381B40">
          <w:pPr>
            <w:pStyle w:val="TOC2"/>
            <w:tabs>
              <w:tab w:val="right" w:leader="dot" w:pos="9350"/>
            </w:tabs>
            <w:rPr>
              <w:rFonts w:ascii="Arial" w:hAnsi="Arial" w:cs="Arial"/>
              <w:noProof/>
              <w:sz w:val="22"/>
              <w:szCs w:val="22"/>
            </w:rPr>
          </w:pPr>
          <w:hyperlink w:anchor="_Toc211641763" w:history="1">
            <w:r w:rsidRPr="00381B40">
              <w:rPr>
                <w:rStyle w:val="Hyperlink"/>
                <w:rFonts w:ascii="Arial" w:hAnsi="Arial" w:cs="Arial"/>
                <w:noProof/>
                <w:sz w:val="22"/>
                <w:szCs w:val="22"/>
              </w:rPr>
              <w:t>Improve experience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_Toc211641763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6</w:t>
            </w:r>
            <w:r w:rsidRPr="00381B40">
              <w:rPr>
                <w:rFonts w:ascii="Arial" w:hAnsi="Arial" w:cs="Arial"/>
                <w:noProof/>
                <w:webHidden/>
                <w:sz w:val="22"/>
                <w:szCs w:val="22"/>
              </w:rPr>
              <w:fldChar w:fldCharType="end"/>
            </w:r>
          </w:hyperlink>
        </w:p>
        <w:p w14:paraId="73595983" w14:textId="70B562DF" w:rsidR="00381B40" w:rsidRPr="00381B40" w:rsidRDefault="00381B40">
          <w:pPr>
            <w:pStyle w:val="TOC1"/>
            <w:tabs>
              <w:tab w:val="right" w:leader="dot" w:pos="9350"/>
            </w:tabs>
            <w:rPr>
              <w:rFonts w:ascii="Arial" w:hAnsi="Arial" w:cs="Arial"/>
              <w:noProof/>
              <w:sz w:val="22"/>
              <w:szCs w:val="22"/>
            </w:rPr>
          </w:pPr>
          <w:hyperlink w:anchor="_Toc211641764" w:history="1">
            <w:r w:rsidRPr="00381B40">
              <w:rPr>
                <w:rStyle w:val="Hyperlink"/>
                <w:rFonts w:ascii="Arial" w:hAnsi="Arial" w:cs="Arial"/>
                <w:noProof/>
                <w:sz w:val="22"/>
                <w:szCs w:val="22"/>
              </w:rPr>
              <w:t>Community</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_Toc211641764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7</w:t>
            </w:r>
            <w:r w:rsidRPr="00381B40">
              <w:rPr>
                <w:rFonts w:ascii="Arial" w:hAnsi="Arial" w:cs="Arial"/>
                <w:noProof/>
                <w:webHidden/>
                <w:sz w:val="22"/>
                <w:szCs w:val="22"/>
              </w:rPr>
              <w:fldChar w:fldCharType="end"/>
            </w:r>
          </w:hyperlink>
        </w:p>
        <w:p w14:paraId="45CBE183" w14:textId="63D189B9" w:rsidR="00381B40" w:rsidRPr="00381B40" w:rsidRDefault="00381B40">
          <w:pPr>
            <w:pStyle w:val="TOC2"/>
            <w:tabs>
              <w:tab w:val="right" w:leader="dot" w:pos="9350"/>
            </w:tabs>
            <w:rPr>
              <w:rFonts w:ascii="Arial" w:hAnsi="Arial" w:cs="Arial"/>
              <w:noProof/>
              <w:sz w:val="22"/>
              <w:szCs w:val="22"/>
            </w:rPr>
          </w:pPr>
          <w:hyperlink w:anchor="_Toc211641765" w:history="1">
            <w:r w:rsidRPr="00381B40">
              <w:rPr>
                <w:rStyle w:val="Hyperlink"/>
                <w:rFonts w:ascii="Arial" w:hAnsi="Arial" w:cs="Arial"/>
                <w:noProof/>
                <w:sz w:val="22"/>
                <w:szCs w:val="22"/>
              </w:rPr>
              <w:t>Community care</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_Toc211641765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7</w:t>
            </w:r>
            <w:r w:rsidRPr="00381B40">
              <w:rPr>
                <w:rFonts w:ascii="Arial" w:hAnsi="Arial" w:cs="Arial"/>
                <w:noProof/>
                <w:webHidden/>
                <w:sz w:val="22"/>
                <w:szCs w:val="22"/>
              </w:rPr>
              <w:fldChar w:fldCharType="end"/>
            </w:r>
          </w:hyperlink>
        </w:p>
        <w:p w14:paraId="39974039" w14:textId="4BAE6356" w:rsidR="00381B40" w:rsidRPr="00381B40" w:rsidRDefault="00381B40">
          <w:pPr>
            <w:pStyle w:val="TOC2"/>
            <w:tabs>
              <w:tab w:val="right" w:leader="dot" w:pos="9350"/>
            </w:tabs>
            <w:rPr>
              <w:rFonts w:ascii="Arial" w:hAnsi="Arial" w:cs="Arial"/>
              <w:noProof/>
              <w:sz w:val="22"/>
              <w:szCs w:val="22"/>
            </w:rPr>
          </w:pPr>
          <w:hyperlink w:anchor="_Toc211641766" w:history="1">
            <w:r w:rsidRPr="00381B40">
              <w:rPr>
                <w:rStyle w:val="Hyperlink"/>
                <w:rFonts w:ascii="Arial" w:hAnsi="Arial" w:cs="Arial"/>
                <w:noProof/>
                <w:sz w:val="22"/>
                <w:szCs w:val="22"/>
              </w:rPr>
              <w:t>Rural and underserved communities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_Toc211641766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7</w:t>
            </w:r>
            <w:r w:rsidRPr="00381B40">
              <w:rPr>
                <w:rFonts w:ascii="Arial" w:hAnsi="Arial" w:cs="Arial"/>
                <w:noProof/>
                <w:webHidden/>
                <w:sz w:val="22"/>
                <w:szCs w:val="22"/>
              </w:rPr>
              <w:fldChar w:fldCharType="end"/>
            </w:r>
          </w:hyperlink>
        </w:p>
        <w:p w14:paraId="7A87982E" w14:textId="4CCDE30F" w:rsidR="00381B40" w:rsidRPr="00381B40" w:rsidRDefault="00381B40">
          <w:pPr>
            <w:pStyle w:val="TOC2"/>
            <w:tabs>
              <w:tab w:val="right" w:leader="dot" w:pos="9350"/>
            </w:tabs>
            <w:rPr>
              <w:rFonts w:ascii="Arial" w:hAnsi="Arial" w:cs="Arial"/>
              <w:noProof/>
              <w:sz w:val="22"/>
              <w:szCs w:val="22"/>
            </w:rPr>
          </w:pPr>
          <w:hyperlink w:anchor="_Toc211641767" w:history="1">
            <w:r w:rsidRPr="00381B40">
              <w:rPr>
                <w:rStyle w:val="Hyperlink"/>
                <w:rFonts w:ascii="Arial" w:hAnsi="Arial" w:cs="Arial"/>
                <w:noProof/>
                <w:sz w:val="22"/>
                <w:szCs w:val="22"/>
              </w:rPr>
              <w:t>Public Health</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_Toc211641767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7</w:t>
            </w:r>
            <w:r w:rsidRPr="00381B40">
              <w:rPr>
                <w:rFonts w:ascii="Arial" w:hAnsi="Arial" w:cs="Arial"/>
                <w:noProof/>
                <w:webHidden/>
                <w:sz w:val="22"/>
                <w:szCs w:val="22"/>
              </w:rPr>
              <w:fldChar w:fldCharType="end"/>
            </w:r>
          </w:hyperlink>
        </w:p>
        <w:p w14:paraId="3EE615DF" w14:textId="5B0C1B96" w:rsidR="00381B40" w:rsidRPr="00381B40" w:rsidRDefault="00381B40">
          <w:pPr>
            <w:pStyle w:val="TOC2"/>
            <w:tabs>
              <w:tab w:val="right" w:leader="dot" w:pos="9350"/>
            </w:tabs>
            <w:rPr>
              <w:rFonts w:ascii="Arial" w:hAnsi="Arial" w:cs="Arial"/>
              <w:noProof/>
              <w:sz w:val="22"/>
              <w:szCs w:val="22"/>
            </w:rPr>
          </w:pPr>
          <w:hyperlink w:anchor="_Toc211641768" w:history="1">
            <w:r w:rsidRPr="00381B40">
              <w:rPr>
                <w:rStyle w:val="Hyperlink"/>
                <w:rFonts w:ascii="Arial" w:hAnsi="Arial" w:cs="Arial"/>
                <w:noProof/>
                <w:sz w:val="22"/>
                <w:szCs w:val="22"/>
              </w:rPr>
              <w:t>Co-production</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_Toc211641768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7</w:t>
            </w:r>
            <w:r w:rsidRPr="00381B40">
              <w:rPr>
                <w:rFonts w:ascii="Arial" w:hAnsi="Arial" w:cs="Arial"/>
                <w:noProof/>
                <w:webHidden/>
                <w:sz w:val="22"/>
                <w:szCs w:val="22"/>
              </w:rPr>
              <w:fldChar w:fldCharType="end"/>
            </w:r>
          </w:hyperlink>
        </w:p>
        <w:p w14:paraId="1BE1DAEA" w14:textId="466A0A77" w:rsidR="00381B40" w:rsidRPr="00381B40" w:rsidRDefault="00381B40">
          <w:pPr>
            <w:pStyle w:val="TOC2"/>
            <w:tabs>
              <w:tab w:val="right" w:leader="dot" w:pos="9350"/>
            </w:tabs>
            <w:rPr>
              <w:rFonts w:ascii="Arial" w:hAnsi="Arial" w:cs="Arial"/>
              <w:noProof/>
              <w:sz w:val="22"/>
              <w:szCs w:val="22"/>
            </w:rPr>
          </w:pPr>
          <w:hyperlink w:anchor="_Toc211641769" w:history="1">
            <w:r w:rsidRPr="00381B40">
              <w:rPr>
                <w:rStyle w:val="Hyperlink"/>
                <w:rFonts w:ascii="Arial" w:hAnsi="Arial" w:cs="Arial"/>
                <w:noProof/>
                <w:sz w:val="22"/>
                <w:szCs w:val="22"/>
              </w:rPr>
              <w:t>Key risks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_Toc211641769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8</w:t>
            </w:r>
            <w:r w:rsidRPr="00381B40">
              <w:rPr>
                <w:rFonts w:ascii="Arial" w:hAnsi="Arial" w:cs="Arial"/>
                <w:noProof/>
                <w:webHidden/>
                <w:sz w:val="22"/>
                <w:szCs w:val="22"/>
              </w:rPr>
              <w:fldChar w:fldCharType="end"/>
            </w:r>
          </w:hyperlink>
        </w:p>
        <w:p w14:paraId="429800C0" w14:textId="0C3A6C8F" w:rsidR="00381B40" w:rsidRPr="00381B40" w:rsidRDefault="00381B40">
          <w:pPr>
            <w:pStyle w:val="TOC2"/>
            <w:tabs>
              <w:tab w:val="right" w:leader="dot" w:pos="9350"/>
            </w:tabs>
            <w:rPr>
              <w:rFonts w:ascii="Arial" w:hAnsi="Arial" w:cs="Arial"/>
              <w:noProof/>
              <w:sz w:val="22"/>
              <w:szCs w:val="22"/>
            </w:rPr>
          </w:pPr>
          <w:hyperlink w:anchor="_Toc211641770" w:history="1">
            <w:r w:rsidRPr="00381B40">
              <w:rPr>
                <w:rStyle w:val="Hyperlink"/>
                <w:rFonts w:ascii="Arial" w:hAnsi="Arial" w:cs="Arial"/>
                <w:noProof/>
                <w:sz w:val="22"/>
                <w:szCs w:val="22"/>
              </w:rPr>
              <w:t>System View</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_Toc211641770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8</w:t>
            </w:r>
            <w:r w:rsidRPr="00381B40">
              <w:rPr>
                <w:rFonts w:ascii="Arial" w:hAnsi="Arial" w:cs="Arial"/>
                <w:noProof/>
                <w:webHidden/>
                <w:sz w:val="22"/>
                <w:szCs w:val="22"/>
              </w:rPr>
              <w:fldChar w:fldCharType="end"/>
            </w:r>
          </w:hyperlink>
        </w:p>
        <w:p w14:paraId="5C619300" w14:textId="57BBE7FE" w:rsidR="00381B40" w:rsidRPr="00381B40" w:rsidRDefault="00381B40">
          <w:pPr>
            <w:pStyle w:val="TOC1"/>
            <w:tabs>
              <w:tab w:val="right" w:leader="dot" w:pos="9350"/>
            </w:tabs>
            <w:rPr>
              <w:rFonts w:ascii="Arial" w:hAnsi="Arial" w:cs="Arial"/>
              <w:noProof/>
              <w:sz w:val="22"/>
              <w:szCs w:val="22"/>
            </w:rPr>
          </w:pPr>
          <w:hyperlink w:anchor="_Toc211641771" w:history="1">
            <w:r w:rsidRPr="00381B40">
              <w:rPr>
                <w:rStyle w:val="Hyperlink"/>
                <w:rFonts w:ascii="Arial" w:hAnsi="Arial" w:cs="Arial"/>
                <w:noProof/>
                <w:sz w:val="22"/>
                <w:szCs w:val="22"/>
              </w:rPr>
              <w:t>Conclusion and Recommendations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_Toc211641771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8</w:t>
            </w:r>
            <w:r w:rsidRPr="00381B40">
              <w:rPr>
                <w:rFonts w:ascii="Arial" w:hAnsi="Arial" w:cs="Arial"/>
                <w:noProof/>
                <w:webHidden/>
                <w:sz w:val="22"/>
                <w:szCs w:val="22"/>
              </w:rPr>
              <w:fldChar w:fldCharType="end"/>
            </w:r>
          </w:hyperlink>
        </w:p>
        <w:p w14:paraId="26514B42" w14:textId="010643B6" w:rsidR="00381B40" w:rsidRPr="00381B40" w:rsidRDefault="00381B40">
          <w:pPr>
            <w:pStyle w:val="TOC2"/>
            <w:tabs>
              <w:tab w:val="right" w:leader="dot" w:pos="9350"/>
            </w:tabs>
            <w:rPr>
              <w:rFonts w:ascii="Arial" w:hAnsi="Arial" w:cs="Arial"/>
              <w:noProof/>
              <w:sz w:val="22"/>
              <w:szCs w:val="22"/>
            </w:rPr>
          </w:pPr>
          <w:hyperlink w:anchor="_Toc211641772" w:history="1">
            <w:r w:rsidRPr="00381B40">
              <w:rPr>
                <w:rStyle w:val="Hyperlink"/>
                <w:rFonts w:ascii="Arial" w:hAnsi="Arial" w:cs="Arial"/>
                <w:noProof/>
                <w:sz w:val="22"/>
                <w:szCs w:val="22"/>
              </w:rPr>
              <w:t>Recommendations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_Toc211641772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9</w:t>
            </w:r>
            <w:r w:rsidRPr="00381B40">
              <w:rPr>
                <w:rFonts w:ascii="Arial" w:hAnsi="Arial" w:cs="Arial"/>
                <w:noProof/>
                <w:webHidden/>
                <w:sz w:val="22"/>
                <w:szCs w:val="22"/>
              </w:rPr>
              <w:fldChar w:fldCharType="end"/>
            </w:r>
          </w:hyperlink>
        </w:p>
        <w:p w14:paraId="17C0D7CE" w14:textId="509C38ED" w:rsidR="00381B40" w:rsidRPr="00381B40" w:rsidRDefault="00381B40">
          <w:pPr>
            <w:pStyle w:val="TOC1"/>
            <w:tabs>
              <w:tab w:val="right" w:leader="dot" w:pos="9350"/>
            </w:tabs>
            <w:rPr>
              <w:rFonts w:ascii="Arial" w:hAnsi="Arial" w:cs="Arial"/>
              <w:noProof/>
              <w:sz w:val="22"/>
              <w:szCs w:val="22"/>
            </w:rPr>
          </w:pPr>
          <w:hyperlink w:anchor="_Toc211641773" w:history="1">
            <w:r w:rsidRPr="00381B40">
              <w:rPr>
                <w:rStyle w:val="Hyperlink"/>
                <w:rFonts w:ascii="Arial" w:hAnsi="Arial" w:cs="Arial"/>
                <w:noProof/>
                <w:sz w:val="22"/>
                <w:szCs w:val="22"/>
              </w:rPr>
              <w:t>References</w:t>
            </w:r>
            <w:r w:rsidRPr="00381B40">
              <w:rPr>
                <w:rFonts w:ascii="Arial" w:hAnsi="Arial" w:cs="Arial"/>
                <w:noProof/>
                <w:webHidden/>
                <w:sz w:val="22"/>
                <w:szCs w:val="22"/>
              </w:rPr>
              <w:tab/>
            </w:r>
            <w:r w:rsidRPr="00381B40">
              <w:rPr>
                <w:rFonts w:ascii="Arial" w:hAnsi="Arial" w:cs="Arial"/>
                <w:noProof/>
                <w:webHidden/>
                <w:sz w:val="22"/>
                <w:szCs w:val="22"/>
              </w:rPr>
              <w:fldChar w:fldCharType="begin"/>
            </w:r>
            <w:r w:rsidRPr="00381B40">
              <w:rPr>
                <w:rFonts w:ascii="Arial" w:hAnsi="Arial" w:cs="Arial"/>
                <w:noProof/>
                <w:webHidden/>
                <w:sz w:val="22"/>
                <w:szCs w:val="22"/>
              </w:rPr>
              <w:instrText xml:space="preserve"> PAGEREF _Toc211641773 \h </w:instrText>
            </w:r>
            <w:r w:rsidRPr="00381B40">
              <w:rPr>
                <w:rFonts w:ascii="Arial" w:hAnsi="Arial" w:cs="Arial"/>
                <w:noProof/>
                <w:webHidden/>
                <w:sz w:val="22"/>
                <w:szCs w:val="22"/>
              </w:rPr>
            </w:r>
            <w:r w:rsidRPr="00381B40">
              <w:rPr>
                <w:rFonts w:ascii="Arial" w:hAnsi="Arial" w:cs="Arial"/>
                <w:noProof/>
                <w:webHidden/>
                <w:sz w:val="22"/>
                <w:szCs w:val="22"/>
              </w:rPr>
              <w:fldChar w:fldCharType="separate"/>
            </w:r>
            <w:r w:rsidRPr="00381B40">
              <w:rPr>
                <w:rFonts w:ascii="Arial" w:hAnsi="Arial" w:cs="Arial"/>
                <w:noProof/>
                <w:webHidden/>
                <w:sz w:val="22"/>
                <w:szCs w:val="22"/>
              </w:rPr>
              <w:t>10</w:t>
            </w:r>
            <w:r w:rsidRPr="00381B40">
              <w:rPr>
                <w:rFonts w:ascii="Arial" w:hAnsi="Arial" w:cs="Arial"/>
                <w:noProof/>
                <w:webHidden/>
                <w:sz w:val="22"/>
                <w:szCs w:val="22"/>
              </w:rPr>
              <w:fldChar w:fldCharType="end"/>
            </w:r>
          </w:hyperlink>
        </w:p>
        <w:p w14:paraId="52F581A9" w14:textId="1440CD3E" w:rsidR="00381B40" w:rsidRDefault="00381B40">
          <w:r w:rsidRPr="00381B40">
            <w:rPr>
              <w:rFonts w:ascii="Arial" w:hAnsi="Arial" w:cs="Arial"/>
              <w:b/>
              <w:bCs/>
              <w:noProof/>
              <w:sz w:val="22"/>
              <w:szCs w:val="22"/>
            </w:rPr>
            <w:fldChar w:fldCharType="end"/>
          </w:r>
        </w:p>
      </w:sdtContent>
    </w:sdt>
    <w:p w14:paraId="5ED0306F" w14:textId="77777777" w:rsidR="00381B40" w:rsidRDefault="00381B40" w:rsidP="00381B40">
      <w:pPr>
        <w:spacing w:before="240" w:line="360" w:lineRule="auto"/>
        <w:rPr>
          <w:rFonts w:ascii="Arial" w:hAnsi="Arial" w:cs="Arial"/>
          <w:b/>
          <w:bCs/>
        </w:rPr>
      </w:pPr>
    </w:p>
    <w:p w14:paraId="34F95A4D" w14:textId="5EBC502C" w:rsidR="00B33874" w:rsidRPr="00B33874" w:rsidRDefault="00B1027C" w:rsidP="00B33874">
      <w:pPr>
        <w:spacing w:before="240" w:line="360" w:lineRule="auto"/>
        <w:jc w:val="center"/>
        <w:rPr>
          <w:rFonts w:ascii="Arial" w:hAnsi="Arial" w:cs="Arial"/>
          <w:b/>
          <w:bCs/>
        </w:rPr>
      </w:pPr>
      <w:r w:rsidRPr="00B1027C">
        <w:rPr>
          <w:rFonts w:ascii="Arial" w:hAnsi="Arial" w:cs="Arial"/>
          <w:b/>
          <w:bCs/>
        </w:rPr>
        <w:lastRenderedPageBreak/>
        <w:t>Exploring the change in Workforce roles and patient experience by implementing NHS Virtual Wards since 2022</w:t>
      </w:r>
    </w:p>
    <w:p w14:paraId="5D09FAE9" w14:textId="40B3BE0F" w:rsidR="00B33874" w:rsidRPr="00B1027C" w:rsidRDefault="00B33874" w:rsidP="00FE2DE4">
      <w:pPr>
        <w:pStyle w:val="Heading1"/>
      </w:pPr>
      <w:bookmarkStart w:id="0" w:name="_Toc211641745"/>
      <w:r w:rsidRPr="00B1027C">
        <w:t>Introduction</w:t>
      </w:r>
      <w:bookmarkEnd w:id="0"/>
    </w:p>
    <w:p w14:paraId="7B29039B" w14:textId="77777777" w:rsidR="00B1027C" w:rsidRPr="00B1027C" w:rsidRDefault="00B1027C" w:rsidP="00B33874">
      <w:pPr>
        <w:spacing w:before="240" w:line="360" w:lineRule="auto"/>
        <w:ind w:firstLine="720"/>
        <w:rPr>
          <w:rFonts w:ascii="Arial" w:hAnsi="Arial" w:cs="Arial"/>
          <w:sz w:val="22"/>
          <w:szCs w:val="22"/>
        </w:rPr>
      </w:pPr>
      <w:r w:rsidRPr="00B1027C">
        <w:rPr>
          <w:rFonts w:ascii="Arial" w:hAnsi="Arial" w:cs="Arial"/>
          <w:sz w:val="22"/>
          <w:szCs w:val="22"/>
        </w:rPr>
        <w:t xml:space="preserve">This report examines NHS Virtual Wards, an online method of home care of individuals who would have been required in hospitals. Since 2022, virtual wards began proliferating in England, and the launch of national initiatives to support the development of so-called hospital at home services, backed by remote monitoring equipment, video visits, and quick-response teams of the community. The concept is straightforward the right patient, the right place, and the right clinical supervision may be in their own bedroom but not on a hospital bed (Norman et al., 2023). </w:t>
      </w:r>
    </w:p>
    <w:p w14:paraId="0D3FA11D" w14:textId="3DE5A8A9" w:rsidR="00B1027C" w:rsidRPr="00B1027C" w:rsidRDefault="00B1027C" w:rsidP="00B33874">
      <w:pPr>
        <w:spacing w:before="240" w:line="360" w:lineRule="auto"/>
        <w:ind w:firstLine="720"/>
        <w:rPr>
          <w:rFonts w:ascii="Arial" w:hAnsi="Arial" w:cs="Arial"/>
          <w:sz w:val="22"/>
          <w:szCs w:val="22"/>
        </w:rPr>
      </w:pPr>
      <w:r w:rsidRPr="00B1027C">
        <w:rPr>
          <w:rFonts w:ascii="Arial" w:hAnsi="Arial" w:cs="Arial"/>
          <w:sz w:val="22"/>
          <w:szCs w:val="22"/>
        </w:rPr>
        <w:t xml:space="preserve">I have selected virtual wards as they are at the core of the current health care. They will guarantee less time in the hospital, quick recovery in the same environment and improved staff and bed utilisation. They are also big questions: What are the changes to the staff roles? What training is needed? What does it do to the workflow, safety and information sharing? Are the patients more in control or abandoned to cope? And what about individuals who have low digital skills, have weak internet or live in </w:t>
      </w:r>
      <w:r w:rsidR="00F70CD6" w:rsidRPr="00B1027C">
        <w:rPr>
          <w:rFonts w:ascii="Arial" w:hAnsi="Arial" w:cs="Arial"/>
          <w:sz w:val="22"/>
          <w:szCs w:val="22"/>
        </w:rPr>
        <w:t>crowded</w:t>
      </w:r>
      <w:r w:rsidRPr="00B1027C">
        <w:rPr>
          <w:rFonts w:ascii="Arial" w:hAnsi="Arial" w:cs="Arial"/>
          <w:sz w:val="22"/>
          <w:szCs w:val="22"/>
        </w:rPr>
        <w:t xml:space="preserve"> houses? </w:t>
      </w:r>
    </w:p>
    <w:p w14:paraId="7AC8C80A" w14:textId="6E708D13" w:rsidR="00B33874" w:rsidRPr="00B33874" w:rsidRDefault="00B1027C" w:rsidP="00B1027C">
      <w:pPr>
        <w:spacing w:before="240" w:line="360" w:lineRule="auto"/>
        <w:ind w:firstLine="720"/>
        <w:rPr>
          <w:rFonts w:ascii="Arial" w:hAnsi="Arial" w:cs="Arial"/>
          <w:sz w:val="22"/>
          <w:szCs w:val="22"/>
          <w:highlight w:val="yellow"/>
        </w:rPr>
      </w:pPr>
      <w:r w:rsidRPr="00B1027C">
        <w:rPr>
          <w:rFonts w:ascii="Arial" w:hAnsi="Arial" w:cs="Arial"/>
          <w:sz w:val="22"/>
          <w:szCs w:val="22"/>
        </w:rPr>
        <w:t>The report is organised according to the module template. It examines the workforce, service delivery, patient /service user, and the effect of the community.</w:t>
      </w:r>
      <w:r>
        <w:rPr>
          <w:rFonts w:ascii="Arial" w:hAnsi="Arial" w:cs="Arial"/>
          <w:sz w:val="22"/>
          <w:szCs w:val="22"/>
        </w:rPr>
        <w:t xml:space="preserve"> </w:t>
      </w:r>
      <w:r w:rsidR="00B33874" w:rsidRPr="00B33874">
        <w:rPr>
          <w:rFonts w:ascii="Arial" w:hAnsi="Arial" w:cs="Arial"/>
          <w:sz w:val="22"/>
          <w:szCs w:val="22"/>
        </w:rPr>
        <w:t xml:space="preserve">For balance, it sets out both benefits and risks, and it ends with practical recommendations. The </w:t>
      </w:r>
      <w:r w:rsidR="0062150D">
        <w:rPr>
          <w:rFonts w:ascii="Arial" w:hAnsi="Arial" w:cs="Arial"/>
          <w:sz w:val="22"/>
          <w:szCs w:val="22"/>
        </w:rPr>
        <w:t>report findings are</w:t>
      </w:r>
      <w:r w:rsidR="00B33874" w:rsidRPr="00B33874">
        <w:rPr>
          <w:rFonts w:ascii="Arial" w:hAnsi="Arial" w:cs="Arial"/>
          <w:sz w:val="22"/>
          <w:szCs w:val="22"/>
        </w:rPr>
        <w:t xml:space="preserve"> clear, honest and based on UK practice since 2022, drawing on common patterns seen across NHS Trusts that have launched or scaled virtual wards.</w:t>
      </w:r>
    </w:p>
    <w:p w14:paraId="03AF1329" w14:textId="3DCEE433" w:rsidR="00B33874" w:rsidRDefault="00B33874" w:rsidP="00FE2DE4">
      <w:pPr>
        <w:pStyle w:val="Heading1"/>
      </w:pPr>
      <w:bookmarkStart w:id="1" w:name="_Toc211641746"/>
      <w:r w:rsidRPr="00B33874">
        <w:t>Workforce</w:t>
      </w:r>
      <w:bookmarkEnd w:id="1"/>
    </w:p>
    <w:p w14:paraId="6B8EFCE1" w14:textId="3E6AF001" w:rsidR="004C5D13" w:rsidRPr="00FE2DE4" w:rsidRDefault="004C5D13" w:rsidP="00FE2DE4">
      <w:pPr>
        <w:pStyle w:val="Heading2"/>
      </w:pPr>
      <w:bookmarkStart w:id="2" w:name="_Toc211641747"/>
      <w:r w:rsidRPr="00FE2DE4">
        <w:t>Hub and Spoke Models</w:t>
      </w:r>
      <w:bookmarkEnd w:id="2"/>
    </w:p>
    <w:p w14:paraId="618C9137" w14:textId="03E1EB67" w:rsidR="004C5D13" w:rsidRDefault="00B33874" w:rsidP="00FE2DE4">
      <w:pPr>
        <w:spacing w:before="240" w:line="360" w:lineRule="auto"/>
        <w:ind w:firstLine="720"/>
        <w:rPr>
          <w:rFonts w:ascii="Arial" w:hAnsi="Arial" w:cs="Arial"/>
          <w:sz w:val="22"/>
          <w:szCs w:val="22"/>
        </w:rPr>
      </w:pPr>
      <w:r w:rsidRPr="00B33874">
        <w:rPr>
          <w:rFonts w:ascii="Arial" w:hAnsi="Arial" w:cs="Arial"/>
          <w:sz w:val="22"/>
          <w:szCs w:val="22"/>
        </w:rPr>
        <w:t>Virtual wards have changed staff roles in noticeable ways. The classic ward team</w:t>
      </w:r>
      <w:r>
        <w:rPr>
          <w:rFonts w:ascii="Arial" w:hAnsi="Arial" w:cs="Arial"/>
          <w:sz w:val="22"/>
          <w:szCs w:val="22"/>
        </w:rPr>
        <w:t xml:space="preserve"> </w:t>
      </w:r>
      <w:r w:rsidRPr="00B33874">
        <w:rPr>
          <w:rFonts w:ascii="Arial" w:hAnsi="Arial" w:cs="Arial"/>
          <w:sz w:val="22"/>
          <w:szCs w:val="22"/>
        </w:rPr>
        <w:t>consultants, registrars, nurses, therapists, and health care support workers</w:t>
      </w:r>
      <w:r>
        <w:rPr>
          <w:rFonts w:ascii="Arial" w:hAnsi="Arial" w:cs="Arial"/>
          <w:sz w:val="22"/>
          <w:szCs w:val="22"/>
        </w:rPr>
        <w:t xml:space="preserve"> </w:t>
      </w:r>
      <w:r w:rsidRPr="00B33874">
        <w:rPr>
          <w:rFonts w:ascii="Arial" w:hAnsi="Arial" w:cs="Arial"/>
          <w:sz w:val="22"/>
          <w:szCs w:val="22"/>
        </w:rPr>
        <w:t>now extends into homes through digital tools. Many Trusts run “hub and spoke” models. A small clinical hub (often led by a consultant or advanced clinical practitioner) watches dashboards, reviews alerts, and runs daily virtual ward rounds by phone or video</w:t>
      </w:r>
      <w:r w:rsidR="0062150D">
        <w:rPr>
          <w:rFonts w:ascii="Arial" w:hAnsi="Arial" w:cs="Arial"/>
          <w:sz w:val="22"/>
          <w:szCs w:val="22"/>
        </w:rPr>
        <w:t xml:space="preserve"> (Bradby, 2022)</w:t>
      </w:r>
      <w:r w:rsidRPr="00B33874">
        <w:rPr>
          <w:rFonts w:ascii="Arial" w:hAnsi="Arial" w:cs="Arial"/>
          <w:sz w:val="22"/>
          <w:szCs w:val="22"/>
        </w:rPr>
        <w:t xml:space="preserve">. Community nurses, </w:t>
      </w:r>
      <w:r w:rsidRPr="00B33874">
        <w:rPr>
          <w:rFonts w:ascii="Arial" w:hAnsi="Arial" w:cs="Arial"/>
          <w:sz w:val="22"/>
          <w:szCs w:val="22"/>
        </w:rPr>
        <w:lastRenderedPageBreak/>
        <w:t>paramedics, and therapists act as the “spokes”, visiting patients at home to take bloods, set up monitors, adjust treatment, and check safety.</w:t>
      </w:r>
    </w:p>
    <w:p w14:paraId="25958551" w14:textId="270FDF1C" w:rsidR="004C5D13" w:rsidRPr="00B33874" w:rsidRDefault="004C5D13" w:rsidP="00FE2DE4">
      <w:pPr>
        <w:pStyle w:val="Heading2"/>
      </w:pPr>
      <w:bookmarkStart w:id="3" w:name="_Toc211641748"/>
      <w:r w:rsidRPr="004C5D13">
        <w:t>News skills and training</w:t>
      </w:r>
      <w:bookmarkEnd w:id="3"/>
    </w:p>
    <w:p w14:paraId="1825F84B" w14:textId="612BADDE" w:rsidR="004C5D13"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New skills and training are essential. Staff learn how to use remote monitoring platforms, pair devices (such as pulse oximeters and blood pressure cuffs), and triage alerts without seeing the patient face to face. Safety-netting becomes a core skill: asking the right questions, spotting early deterioration, and knowing when to escalate to urgent care. Documentation and digital etiquette matter too</w:t>
      </w:r>
      <w:r>
        <w:rPr>
          <w:rFonts w:ascii="Arial" w:hAnsi="Arial" w:cs="Arial"/>
          <w:sz w:val="22"/>
          <w:szCs w:val="22"/>
        </w:rPr>
        <w:t xml:space="preserve"> </w:t>
      </w:r>
      <w:r w:rsidRPr="00B33874">
        <w:rPr>
          <w:rFonts w:ascii="Arial" w:hAnsi="Arial" w:cs="Arial"/>
          <w:sz w:val="22"/>
          <w:szCs w:val="22"/>
        </w:rPr>
        <w:t>clear notes, structured messaging, and calm communication over video</w:t>
      </w:r>
      <w:r w:rsidR="0062150D">
        <w:rPr>
          <w:rFonts w:ascii="Arial" w:hAnsi="Arial" w:cs="Arial"/>
          <w:sz w:val="22"/>
          <w:szCs w:val="22"/>
        </w:rPr>
        <w:t xml:space="preserve"> (McGowan et al., 2024)</w:t>
      </w:r>
      <w:r w:rsidRPr="00B33874">
        <w:rPr>
          <w:rFonts w:ascii="Arial" w:hAnsi="Arial" w:cs="Arial"/>
          <w:sz w:val="22"/>
          <w:szCs w:val="22"/>
        </w:rPr>
        <w:t>.</w:t>
      </w:r>
    </w:p>
    <w:p w14:paraId="08D236D2" w14:textId="27DACC4C" w:rsidR="004C5D13" w:rsidRPr="004C5D13" w:rsidRDefault="004C5D13" w:rsidP="00FE2DE4">
      <w:pPr>
        <w:pStyle w:val="Heading2"/>
      </w:pPr>
      <w:bookmarkStart w:id="4" w:name="_Toc211641749"/>
      <w:r w:rsidRPr="004C5D13">
        <w:t>Benefits for workforce</w:t>
      </w:r>
      <w:bookmarkEnd w:id="4"/>
    </w:p>
    <w:p w14:paraId="7D1A24DA" w14:textId="2EDEC0F9" w:rsid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There are clear benefits for the workforce. Many staff report better use of their time: fewer routine observations in hospital and more focused clinical decision-making across a wider caseload. Cross-boundary working improves; community teams feel more connected to hospital consultants, and therapists can plan early rehabilitation at home. Some nurses and AHPs value the increased autonomy that comes with virtual ward protocols, such as running a home IV pathway with remote medical oversight</w:t>
      </w:r>
      <w:r w:rsidR="0062150D">
        <w:rPr>
          <w:rFonts w:ascii="Arial" w:hAnsi="Arial" w:cs="Arial"/>
          <w:sz w:val="22"/>
          <w:szCs w:val="22"/>
        </w:rPr>
        <w:t xml:space="preserve"> (McGowan et al., 2024)</w:t>
      </w:r>
      <w:r w:rsidRPr="00B33874">
        <w:rPr>
          <w:rFonts w:ascii="Arial" w:hAnsi="Arial" w:cs="Arial"/>
          <w:sz w:val="22"/>
          <w:szCs w:val="22"/>
        </w:rPr>
        <w:t>.</w:t>
      </w:r>
    </w:p>
    <w:p w14:paraId="115819DC" w14:textId="05BE0879" w:rsidR="004C5D13" w:rsidRPr="00B33874" w:rsidRDefault="004C5D13" w:rsidP="00FE2DE4">
      <w:pPr>
        <w:pStyle w:val="Heading2"/>
      </w:pPr>
      <w:bookmarkStart w:id="5" w:name="_Toc211641750"/>
      <w:r w:rsidRPr="004C5D13">
        <w:t>Challenges</w:t>
      </w:r>
      <w:bookmarkEnd w:id="5"/>
    </w:p>
    <w:p w14:paraId="6F04CC82" w14:textId="5527CC24" w:rsid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However, challenges are real. Alert fatigue can set in when dashboards generate too many “yellow” flags. Connectivity issues at the patient’s home waste time. Some staff feel anxious about accountability when they cannot physically see a patient during deterioration. Role boundaries can blur</w:t>
      </w:r>
      <w:r>
        <w:rPr>
          <w:rFonts w:ascii="Arial" w:hAnsi="Arial" w:cs="Arial"/>
          <w:sz w:val="22"/>
          <w:szCs w:val="22"/>
        </w:rPr>
        <w:t xml:space="preserve"> </w:t>
      </w:r>
      <w:r w:rsidRPr="00B33874">
        <w:rPr>
          <w:rFonts w:ascii="Arial" w:hAnsi="Arial" w:cs="Arial"/>
          <w:sz w:val="22"/>
          <w:szCs w:val="22"/>
        </w:rPr>
        <w:t>who owns the patient when problems cross GP, community, and hospital lines? Rostering is another pressure. A safe virtual ward runs seven days a week; this means rota redesign, on-call arrangements, and often the creation of new bands or advanced roles</w:t>
      </w:r>
      <w:r w:rsidR="0062150D">
        <w:rPr>
          <w:rFonts w:ascii="Arial" w:hAnsi="Arial" w:cs="Arial"/>
          <w:sz w:val="22"/>
          <w:szCs w:val="22"/>
        </w:rPr>
        <w:t xml:space="preserve"> (Wilson-Aggarwal et al., 2022)</w:t>
      </w:r>
      <w:r w:rsidRPr="00B33874">
        <w:rPr>
          <w:rFonts w:ascii="Arial" w:hAnsi="Arial" w:cs="Arial"/>
          <w:sz w:val="22"/>
          <w:szCs w:val="22"/>
        </w:rPr>
        <w:t>.</w:t>
      </w:r>
    </w:p>
    <w:p w14:paraId="4FDA13AF" w14:textId="4403EC54" w:rsidR="004C5D13" w:rsidRPr="00B33874" w:rsidRDefault="004C5D13" w:rsidP="00FE2DE4">
      <w:pPr>
        <w:pStyle w:val="Heading2"/>
      </w:pPr>
      <w:bookmarkStart w:id="6" w:name="_Toc211641751"/>
      <w:r w:rsidRPr="004C5D13">
        <w:lastRenderedPageBreak/>
        <w:t>Culture and confidence</w:t>
      </w:r>
      <w:bookmarkEnd w:id="6"/>
    </w:p>
    <w:p w14:paraId="2F1F44A5" w14:textId="1A3AB2CE" w:rsidR="00B33874" w:rsidRP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Culture and confidence are mixed. Enthusiasts see virtual wards as modern, flexible care. Others worry it is “care on the cheap”. Good programmes answer this with strong governance: clear inclusion criteria, daily consultant review, and fast access back to a hospital bed if needed. Staff engagement rises when they see that virtual wards add capacity rather than shift risk to families. In short, workforce transformation is possible and positive</w:t>
      </w:r>
      <w:r>
        <w:rPr>
          <w:rFonts w:ascii="Arial" w:hAnsi="Arial" w:cs="Arial"/>
          <w:sz w:val="22"/>
          <w:szCs w:val="22"/>
        </w:rPr>
        <w:t xml:space="preserve"> </w:t>
      </w:r>
      <w:r w:rsidRPr="00B33874">
        <w:rPr>
          <w:rFonts w:ascii="Arial" w:hAnsi="Arial" w:cs="Arial"/>
          <w:sz w:val="22"/>
          <w:szCs w:val="22"/>
        </w:rPr>
        <w:t>but it needs training, fair rotas, supervision, and simple tech that works first time</w:t>
      </w:r>
      <w:r w:rsidR="0062150D">
        <w:rPr>
          <w:rFonts w:ascii="Arial" w:hAnsi="Arial" w:cs="Arial"/>
          <w:sz w:val="22"/>
          <w:szCs w:val="22"/>
        </w:rPr>
        <w:t xml:space="preserve"> (Litchfield et al., 2025)</w:t>
      </w:r>
      <w:r w:rsidRPr="00B33874">
        <w:rPr>
          <w:rFonts w:ascii="Arial" w:hAnsi="Arial" w:cs="Arial"/>
          <w:sz w:val="22"/>
          <w:szCs w:val="22"/>
        </w:rPr>
        <w:t>.</w:t>
      </w:r>
    </w:p>
    <w:p w14:paraId="5D992FBA" w14:textId="658E38DE" w:rsidR="00B33874" w:rsidRDefault="00B33874" w:rsidP="00FE2DE4">
      <w:pPr>
        <w:pStyle w:val="Heading1"/>
      </w:pPr>
      <w:bookmarkStart w:id="7" w:name="_Toc211641752"/>
      <w:r w:rsidRPr="00B33874">
        <w:t>Service Delivery</w:t>
      </w:r>
      <w:bookmarkEnd w:id="7"/>
    </w:p>
    <w:p w14:paraId="5808A310" w14:textId="066F0861" w:rsidR="004C5D13" w:rsidRPr="00B33874" w:rsidRDefault="004C5D13" w:rsidP="00FE2DE4">
      <w:pPr>
        <w:pStyle w:val="Heading2"/>
      </w:pPr>
      <w:bookmarkStart w:id="8" w:name="_Toc211641753"/>
      <w:r>
        <w:t>Flow of Care</w:t>
      </w:r>
      <w:bookmarkEnd w:id="8"/>
    </w:p>
    <w:p w14:paraId="370135D7" w14:textId="3B4D3A49" w:rsidR="004C5D13"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Virtual wards change the flow of care. Instead of waiting in hospital for tests, observations, and reviews, suitable patients can be “stepped down” early or admitted “step up” from home to avoid hospital. A typical pathway starts with triage against clear criteria</w:t>
      </w:r>
      <w:r w:rsidR="0062150D">
        <w:rPr>
          <w:rFonts w:ascii="Arial" w:hAnsi="Arial" w:cs="Arial"/>
          <w:sz w:val="22"/>
          <w:szCs w:val="22"/>
        </w:rPr>
        <w:t xml:space="preserve">, for example, </w:t>
      </w:r>
      <w:r w:rsidRPr="00B33874">
        <w:rPr>
          <w:rFonts w:ascii="Arial" w:hAnsi="Arial" w:cs="Arial"/>
          <w:sz w:val="22"/>
          <w:szCs w:val="22"/>
        </w:rPr>
        <w:t>for frailty, respiratory illness, heart failure, or post-operative care. Once accepted, the patient gets a home kit and a daily plan. Observations feed the dashboard; the team calls or visits according to risk; medicines and equipment are delivered; and discharge is planned from day one</w:t>
      </w:r>
      <w:r w:rsidR="0062150D">
        <w:rPr>
          <w:rFonts w:ascii="Arial" w:hAnsi="Arial" w:cs="Arial"/>
          <w:sz w:val="22"/>
          <w:szCs w:val="22"/>
        </w:rPr>
        <w:t xml:space="preserve"> (Pugmire et al., 2025)</w:t>
      </w:r>
      <w:r w:rsidRPr="00B33874">
        <w:rPr>
          <w:rFonts w:ascii="Arial" w:hAnsi="Arial" w:cs="Arial"/>
          <w:sz w:val="22"/>
          <w:szCs w:val="22"/>
        </w:rPr>
        <w:t>.</w:t>
      </w:r>
    </w:p>
    <w:p w14:paraId="4A40DE8D" w14:textId="05183F45" w:rsidR="004C5D13" w:rsidRPr="004C5D13" w:rsidRDefault="004C5D13" w:rsidP="00FE2DE4">
      <w:pPr>
        <w:pStyle w:val="Heading2"/>
      </w:pPr>
      <w:bookmarkStart w:id="9" w:name="_Toc211641754"/>
      <w:r w:rsidRPr="004C5D13">
        <w:t>Benefits in terms of service delivery</w:t>
      </w:r>
      <w:bookmarkEnd w:id="9"/>
    </w:p>
    <w:p w14:paraId="2D19CA01" w14:textId="7AF9BC0E" w:rsid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The benefits include better use of hospital beds, faster throughput for elective work, and fewer hospital-acquired harms (like deconditioning or delirium). Communication often improves: virtual ward huddles bring together hospital and community colleagues who would not normally meet. Many services build integrated protocols with ambulance trusts and urgent community response teams, allowing same-day reviews and rapid IV treatments at home. Therapists can start mobility work in the real environment</w:t>
      </w:r>
      <w:r>
        <w:rPr>
          <w:rFonts w:ascii="Arial" w:hAnsi="Arial" w:cs="Arial"/>
          <w:sz w:val="22"/>
          <w:szCs w:val="22"/>
        </w:rPr>
        <w:t xml:space="preserve"> </w:t>
      </w:r>
      <w:r w:rsidRPr="00B33874">
        <w:rPr>
          <w:rFonts w:ascii="Arial" w:hAnsi="Arial" w:cs="Arial"/>
          <w:sz w:val="22"/>
          <w:szCs w:val="22"/>
        </w:rPr>
        <w:t>a staircase, a bathroom, the kitchen</w:t>
      </w:r>
      <w:r>
        <w:rPr>
          <w:rFonts w:ascii="Arial" w:hAnsi="Arial" w:cs="Arial"/>
          <w:sz w:val="22"/>
          <w:szCs w:val="22"/>
        </w:rPr>
        <w:t xml:space="preserve"> </w:t>
      </w:r>
      <w:r w:rsidRPr="00B33874">
        <w:rPr>
          <w:rFonts w:ascii="Arial" w:hAnsi="Arial" w:cs="Arial"/>
          <w:sz w:val="22"/>
          <w:szCs w:val="22"/>
        </w:rPr>
        <w:t>rather than a ward bay, which often leads to more realistic goals</w:t>
      </w:r>
      <w:r w:rsidR="00DF22A9">
        <w:rPr>
          <w:rFonts w:ascii="Arial" w:hAnsi="Arial" w:cs="Arial"/>
          <w:sz w:val="22"/>
          <w:szCs w:val="22"/>
        </w:rPr>
        <w:t xml:space="preserve"> (Brennan, 2021)</w:t>
      </w:r>
      <w:r w:rsidRPr="00B33874">
        <w:rPr>
          <w:rFonts w:ascii="Arial" w:hAnsi="Arial" w:cs="Arial"/>
          <w:sz w:val="22"/>
          <w:szCs w:val="22"/>
        </w:rPr>
        <w:t>.</w:t>
      </w:r>
    </w:p>
    <w:p w14:paraId="431EBAF9" w14:textId="111E93AB" w:rsidR="004C5D13" w:rsidRPr="00B33874" w:rsidRDefault="004C5D13" w:rsidP="00FE2DE4">
      <w:pPr>
        <w:pStyle w:val="Heading2"/>
      </w:pPr>
      <w:bookmarkStart w:id="10" w:name="_Toc211641755"/>
      <w:r w:rsidRPr="004C5D13">
        <w:lastRenderedPageBreak/>
        <w:t>Operational Challenges</w:t>
      </w:r>
      <w:bookmarkEnd w:id="10"/>
    </w:p>
    <w:p w14:paraId="55F380BE" w14:textId="6DC834E2" w:rsidR="00E2632C" w:rsidRPr="00694F39" w:rsidRDefault="00E2632C" w:rsidP="004C5D13">
      <w:pPr>
        <w:spacing w:before="240" w:line="360" w:lineRule="auto"/>
        <w:ind w:firstLine="720"/>
        <w:rPr>
          <w:rFonts w:ascii="Arial" w:hAnsi="Arial" w:cs="Arial"/>
          <w:sz w:val="22"/>
          <w:szCs w:val="22"/>
        </w:rPr>
      </w:pPr>
      <w:r w:rsidRPr="00694F39">
        <w:rPr>
          <w:rFonts w:ascii="Arial" w:hAnsi="Arial" w:cs="Arial"/>
          <w:sz w:val="22"/>
          <w:szCs w:val="22"/>
        </w:rPr>
        <w:t>There are also the operation issues. Integration in IT may be complex. Others have different systems on the EPR, the monitoring platform and community records; this would waste time and make them prone to errors. Another point that kits are lost, batteries break, and delivery runs must be controlled is equipment logistics. All houses are not capable of supporting a hospital-level pathway: space, inadequate heating, unsafe wiring, etc. may intervene. In the case of medicines, same-day TTOs and home IVs are based on robust pharmacy support and courier (Bailey et al., 2020).</w:t>
      </w:r>
    </w:p>
    <w:p w14:paraId="34A7C107" w14:textId="47E10597" w:rsidR="004C5D13" w:rsidRPr="00694F39" w:rsidRDefault="004C5D13" w:rsidP="00FE2DE4">
      <w:pPr>
        <w:pStyle w:val="Heading2"/>
      </w:pPr>
      <w:bookmarkStart w:id="11" w:name="_Toc211641756"/>
      <w:r w:rsidRPr="00694F39">
        <w:t>Short-, medium-, and long-term impacts</w:t>
      </w:r>
      <w:bookmarkEnd w:id="11"/>
    </w:p>
    <w:p w14:paraId="2385B58F" w14:textId="77777777" w:rsidR="00E2632C" w:rsidRPr="00694F39" w:rsidRDefault="00E2632C" w:rsidP="004C5D13">
      <w:pPr>
        <w:spacing w:before="240" w:line="360" w:lineRule="auto"/>
        <w:ind w:firstLine="720"/>
        <w:rPr>
          <w:rFonts w:ascii="Arial" w:hAnsi="Arial" w:cs="Arial"/>
          <w:sz w:val="22"/>
          <w:szCs w:val="22"/>
        </w:rPr>
      </w:pPr>
      <w:r w:rsidRPr="00694F39">
        <w:rPr>
          <w:rFonts w:ascii="Arial" w:hAnsi="Arial" w:cs="Arial"/>
          <w:sz w:val="22"/>
          <w:szCs w:val="22"/>
        </w:rPr>
        <w:t xml:space="preserve">In the short term, costs are not separated. The establishment of a virtual ward requires investment in the devices, dashboards, management of clinical time, and programmes (Jalilian et al., 2024). Nevertheless, the medium-term perspective is more optimistic considering that better results and the absence of bed days are considered. The most effective outcomes are achieved in pathways that are narrow and deep (e.g., an organization-focused heart-failure service that has well-defined metrics) and not wide and shallow. Portable chest x-ray and point-of-care testing (reliable ways to perform diagnostics) also come in handy (Norman et al., 2023). </w:t>
      </w:r>
    </w:p>
    <w:p w14:paraId="4C7B2DA6" w14:textId="23CDA6D3" w:rsidR="00E2632C" w:rsidRPr="00B33874" w:rsidRDefault="00E2632C" w:rsidP="004C5D13">
      <w:pPr>
        <w:spacing w:before="240" w:line="360" w:lineRule="auto"/>
        <w:ind w:firstLine="720"/>
        <w:rPr>
          <w:rFonts w:ascii="Arial" w:hAnsi="Arial" w:cs="Arial"/>
          <w:sz w:val="22"/>
          <w:szCs w:val="22"/>
        </w:rPr>
      </w:pPr>
      <w:r w:rsidRPr="00694F39">
        <w:rPr>
          <w:rFonts w:ascii="Arial" w:hAnsi="Arial" w:cs="Arial"/>
          <w:sz w:val="22"/>
          <w:szCs w:val="22"/>
        </w:rPr>
        <w:t>Safety is central. Good services involve red/amber/green protocols, 24/7 contact lines and direct routes of access back to hospital. Their auditing of incidents, time-to-escalation measurement, and near miss lesson learning. In case this governance is apparent, employees have confidence in the model and patients are comfortable. Overall, the virtual wards can simplify the service delivery and free capacity, but only in the conditions of the digital and physical components IT, logistics, pharmacy, and transport fitting together (Grange et al., 2024).</w:t>
      </w:r>
    </w:p>
    <w:p w14:paraId="2201F480" w14:textId="147D7EDB" w:rsidR="00B33874" w:rsidRPr="00694F39" w:rsidRDefault="00B33874" w:rsidP="00FE2DE4">
      <w:pPr>
        <w:pStyle w:val="Heading1"/>
      </w:pPr>
      <w:bookmarkStart w:id="12" w:name="_Toc211641757"/>
      <w:r w:rsidRPr="00694F39">
        <w:t>Patient/Service User</w:t>
      </w:r>
      <w:bookmarkEnd w:id="12"/>
    </w:p>
    <w:p w14:paraId="7BACA0E3" w14:textId="112A0088" w:rsidR="004C5D13" w:rsidRPr="00694F39" w:rsidRDefault="004C5D13" w:rsidP="00FE2DE4">
      <w:pPr>
        <w:pStyle w:val="Heading2"/>
      </w:pPr>
      <w:bookmarkStart w:id="13" w:name="_Toc211641758"/>
      <w:r w:rsidRPr="00694F39">
        <w:t>Better care at home</w:t>
      </w:r>
      <w:bookmarkEnd w:id="13"/>
    </w:p>
    <w:p w14:paraId="5B4AD19F" w14:textId="40E143D2" w:rsidR="00694F39" w:rsidRPr="00694F39" w:rsidRDefault="00694F39" w:rsidP="004C5D13">
      <w:pPr>
        <w:spacing w:before="240" w:line="360" w:lineRule="auto"/>
        <w:ind w:firstLine="720"/>
        <w:rPr>
          <w:rFonts w:ascii="Arial" w:hAnsi="Arial" w:cs="Arial"/>
          <w:sz w:val="22"/>
          <w:szCs w:val="22"/>
        </w:rPr>
      </w:pPr>
      <w:r w:rsidRPr="00694F39">
        <w:rPr>
          <w:rFonts w:ascii="Arial" w:hAnsi="Arial" w:cs="Arial"/>
          <w:sz w:val="22"/>
          <w:szCs w:val="22"/>
        </w:rPr>
        <w:t xml:space="preserve">Home care is better to most individuals. Patients sleep in bed, eat their meals, and follow their normal schedules. They are not </w:t>
      </w:r>
      <w:r w:rsidR="00420B6C" w:rsidRPr="00694F39">
        <w:rPr>
          <w:rFonts w:ascii="Arial" w:hAnsi="Arial" w:cs="Arial"/>
          <w:sz w:val="22"/>
          <w:szCs w:val="22"/>
        </w:rPr>
        <w:t>night-time</w:t>
      </w:r>
      <w:r w:rsidRPr="00694F39">
        <w:rPr>
          <w:rFonts w:ascii="Arial" w:hAnsi="Arial" w:cs="Arial"/>
          <w:sz w:val="22"/>
          <w:szCs w:val="22"/>
        </w:rPr>
        <w:t xml:space="preserve">, do not need observation at night, do not have to wait an hour in the queue or undergo tests. The weak ones tend to maintain their power and </w:t>
      </w:r>
      <w:r w:rsidRPr="00694F39">
        <w:rPr>
          <w:rFonts w:ascii="Arial" w:hAnsi="Arial" w:cs="Arial"/>
          <w:sz w:val="22"/>
          <w:szCs w:val="22"/>
        </w:rPr>
        <w:lastRenderedPageBreak/>
        <w:t>self-esteem since they continue moving around the house. Company of family or a pet may improve the mood and cause less confusion (Norman et al., 2023).</w:t>
      </w:r>
    </w:p>
    <w:p w14:paraId="5EA8AB4B" w14:textId="6F1B99F5" w:rsidR="004C5D13" w:rsidRPr="00694F39" w:rsidRDefault="004C5D13" w:rsidP="00FE2DE4">
      <w:pPr>
        <w:pStyle w:val="Heading2"/>
      </w:pPr>
      <w:bookmarkStart w:id="14" w:name="_Toc211641759"/>
      <w:r w:rsidRPr="00694F39">
        <w:t>More control</w:t>
      </w:r>
      <w:bookmarkEnd w:id="14"/>
    </w:p>
    <w:p w14:paraId="32B8D0B3" w14:textId="772CA49C" w:rsidR="00694F39" w:rsidRPr="00694F39" w:rsidRDefault="00694F39" w:rsidP="004C5D13">
      <w:pPr>
        <w:spacing w:before="240" w:line="360" w:lineRule="auto"/>
        <w:ind w:firstLine="720"/>
        <w:rPr>
          <w:rFonts w:ascii="Arial" w:hAnsi="Arial" w:cs="Arial"/>
          <w:sz w:val="22"/>
          <w:szCs w:val="22"/>
        </w:rPr>
      </w:pPr>
      <w:r w:rsidRPr="00694F39">
        <w:rPr>
          <w:rFonts w:ascii="Arial" w:hAnsi="Arial" w:cs="Arial"/>
          <w:sz w:val="22"/>
          <w:szCs w:val="22"/>
        </w:rPr>
        <w:t>More control is also provided to patients. The monitoring kit typically consists of a tablet or smartphone and the gadgets such as pulse oximeter, thermometer, and blood pressure monitor. Individuals are able to view their numbers, know what is going on and pose questions in the daily video calls. Others believe that it creates health literacy: they understand where breathlessness scores correlate with action plans, how fluid balance influences heart failure, and where to seek assistance (Kanyimo, 2022).</w:t>
      </w:r>
    </w:p>
    <w:p w14:paraId="1EA11997" w14:textId="48A3C9FC" w:rsidR="004C5D13" w:rsidRPr="00694F39" w:rsidRDefault="004C5D13" w:rsidP="00FE2DE4">
      <w:pPr>
        <w:pStyle w:val="Heading2"/>
      </w:pPr>
      <w:bookmarkStart w:id="15" w:name="_Toc211641760"/>
      <w:r w:rsidRPr="00694F39">
        <w:t>Real risks</w:t>
      </w:r>
      <w:bookmarkEnd w:id="15"/>
    </w:p>
    <w:p w14:paraId="72866DAB" w14:textId="22973EB8" w:rsidR="004C5D13" w:rsidRDefault="00694F39" w:rsidP="00FE2DE4">
      <w:pPr>
        <w:spacing w:before="240" w:line="360" w:lineRule="auto"/>
        <w:ind w:firstLine="720"/>
        <w:rPr>
          <w:rFonts w:ascii="Arial" w:hAnsi="Arial" w:cs="Arial"/>
          <w:sz w:val="22"/>
          <w:szCs w:val="22"/>
        </w:rPr>
      </w:pPr>
      <w:r>
        <w:rPr>
          <w:rFonts w:ascii="Arial" w:hAnsi="Arial" w:cs="Arial"/>
          <w:sz w:val="22"/>
          <w:szCs w:val="22"/>
        </w:rPr>
        <w:t>However,</w:t>
      </w:r>
      <w:r w:rsidRPr="00694F39">
        <w:rPr>
          <w:rFonts w:ascii="Arial" w:hAnsi="Arial" w:cs="Arial"/>
          <w:sz w:val="22"/>
          <w:szCs w:val="22"/>
        </w:rPr>
        <w:t xml:space="preserve"> there are real risks. Technology is not desired by all people and is not something they feel comfortable using. Other individuals are living alone, may have a bad eye sight, or have arthritis, it may be difficult to make small button presses or to charge some gadgets.</w:t>
      </w:r>
      <w:r>
        <w:rPr>
          <w:rFonts w:ascii="Arial" w:hAnsi="Arial" w:cs="Arial"/>
          <w:sz w:val="22"/>
          <w:szCs w:val="22"/>
        </w:rPr>
        <w:t xml:space="preserve"> </w:t>
      </w:r>
      <w:r w:rsidR="00B33874" w:rsidRPr="00B33874">
        <w:rPr>
          <w:rFonts w:ascii="Arial" w:hAnsi="Arial" w:cs="Arial"/>
          <w:sz w:val="22"/>
          <w:szCs w:val="22"/>
        </w:rPr>
        <w:t xml:space="preserve">Carers may feel under pressure if they end up chasing readings, supervising medicines, and keeping an eye on symptoms. Privacy can be a worry, especially if cameras are used or if data flows through apps people do not </w:t>
      </w:r>
      <w:r w:rsidR="00DF22A9">
        <w:rPr>
          <w:rFonts w:ascii="Arial" w:hAnsi="Arial" w:cs="Arial"/>
          <w:sz w:val="22"/>
          <w:szCs w:val="22"/>
        </w:rPr>
        <w:t>recognize (Vera San Juan et al., 2021)</w:t>
      </w:r>
      <w:r w:rsidR="00B33874" w:rsidRPr="00B33874">
        <w:rPr>
          <w:rFonts w:ascii="Arial" w:hAnsi="Arial" w:cs="Arial"/>
          <w:sz w:val="22"/>
          <w:szCs w:val="22"/>
        </w:rPr>
        <w:t>.</w:t>
      </w:r>
    </w:p>
    <w:p w14:paraId="30AF5948" w14:textId="1B495A26" w:rsidR="004C5D13" w:rsidRPr="00B33874" w:rsidRDefault="004C5D13" w:rsidP="00FE2DE4">
      <w:pPr>
        <w:pStyle w:val="Heading2"/>
      </w:pPr>
      <w:bookmarkStart w:id="16" w:name="_Toc211641761"/>
      <w:r w:rsidRPr="004C5D13">
        <w:t>Fairness of access</w:t>
      </w:r>
      <w:bookmarkEnd w:id="16"/>
    </w:p>
    <w:p w14:paraId="79B65469" w14:textId="4F62AAEE" w:rsid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Fairness of access matters. Households without reliable internet may be excluded. Language barriers, cognitive impairment, or low reading ability can also block engagement. Good services provide alternatives: telephone-only pathways, large-print instructions, face-to-face visits, or carer-led monitoring where the patient cannot do it themselves. It helps when teams teach by doing</w:t>
      </w:r>
      <w:r>
        <w:rPr>
          <w:rFonts w:ascii="Arial" w:hAnsi="Arial" w:cs="Arial"/>
          <w:sz w:val="22"/>
          <w:szCs w:val="22"/>
        </w:rPr>
        <w:t xml:space="preserve"> </w:t>
      </w:r>
      <w:r w:rsidRPr="00B33874">
        <w:rPr>
          <w:rFonts w:ascii="Arial" w:hAnsi="Arial" w:cs="Arial"/>
          <w:sz w:val="22"/>
          <w:szCs w:val="22"/>
        </w:rPr>
        <w:t>setting up the first readings together, practising a video call, and leaving a simple fridge-door plan with numbers to watch and who to call</w:t>
      </w:r>
      <w:r w:rsidR="00DF22A9">
        <w:rPr>
          <w:rFonts w:ascii="Arial" w:hAnsi="Arial" w:cs="Arial"/>
          <w:sz w:val="22"/>
          <w:szCs w:val="22"/>
        </w:rPr>
        <w:t xml:space="preserve"> (Norman et al., 2023)</w:t>
      </w:r>
      <w:r w:rsidRPr="00B33874">
        <w:rPr>
          <w:rFonts w:ascii="Arial" w:hAnsi="Arial" w:cs="Arial"/>
          <w:sz w:val="22"/>
          <w:szCs w:val="22"/>
        </w:rPr>
        <w:t>.</w:t>
      </w:r>
    </w:p>
    <w:p w14:paraId="676EC413" w14:textId="04EFF247" w:rsidR="004C5D13" w:rsidRPr="00B33874" w:rsidRDefault="004C5D13" w:rsidP="00FE2DE4">
      <w:pPr>
        <w:pStyle w:val="Heading2"/>
      </w:pPr>
      <w:bookmarkStart w:id="17" w:name="_Toc211641762"/>
      <w:r w:rsidRPr="004C5D13">
        <w:t>Reassurance</w:t>
      </w:r>
      <w:bookmarkEnd w:id="17"/>
    </w:p>
    <w:p w14:paraId="62D13D93" w14:textId="59EBBC90" w:rsid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 xml:space="preserve">Many </w:t>
      </w:r>
      <w:r w:rsidR="004C5D13">
        <w:rPr>
          <w:rFonts w:ascii="Arial" w:hAnsi="Arial" w:cs="Arial"/>
          <w:sz w:val="22"/>
          <w:szCs w:val="22"/>
        </w:rPr>
        <w:t xml:space="preserve">patients </w:t>
      </w:r>
      <w:r w:rsidRPr="00B33874">
        <w:rPr>
          <w:rFonts w:ascii="Arial" w:hAnsi="Arial" w:cs="Arial"/>
          <w:sz w:val="22"/>
          <w:szCs w:val="22"/>
        </w:rPr>
        <w:t xml:space="preserve">report feeling reassured by the daily contact and the knowledge that a team is watching. Some dislike being in hospital and welcome the chance to return home </w:t>
      </w:r>
      <w:r w:rsidRPr="00B33874">
        <w:rPr>
          <w:rFonts w:ascii="Arial" w:hAnsi="Arial" w:cs="Arial"/>
          <w:sz w:val="22"/>
          <w:szCs w:val="22"/>
        </w:rPr>
        <w:lastRenderedPageBreak/>
        <w:t>earlier. Others feel unsettled at first, especially overnight, and worry about getting help in a crisis. Trust grows when first escalations work well</w:t>
      </w:r>
      <w:r>
        <w:rPr>
          <w:rFonts w:ascii="Arial" w:hAnsi="Arial" w:cs="Arial"/>
          <w:sz w:val="22"/>
          <w:szCs w:val="22"/>
        </w:rPr>
        <w:t xml:space="preserve"> </w:t>
      </w:r>
      <w:r w:rsidRPr="00B33874">
        <w:rPr>
          <w:rFonts w:ascii="Arial" w:hAnsi="Arial" w:cs="Arial"/>
          <w:sz w:val="22"/>
          <w:szCs w:val="22"/>
        </w:rPr>
        <w:t>for example, when a nurse visits within hours after a rise in temperature, or when a same-day x-ray is arranged without a long wait</w:t>
      </w:r>
      <w:r w:rsidR="00DF22A9">
        <w:rPr>
          <w:rFonts w:ascii="Arial" w:hAnsi="Arial" w:cs="Arial"/>
          <w:sz w:val="22"/>
          <w:szCs w:val="22"/>
        </w:rPr>
        <w:t xml:space="preserve"> (Kanyimo, 2022)</w:t>
      </w:r>
      <w:r w:rsidRPr="00B33874">
        <w:rPr>
          <w:rFonts w:ascii="Arial" w:hAnsi="Arial" w:cs="Arial"/>
          <w:sz w:val="22"/>
          <w:szCs w:val="22"/>
        </w:rPr>
        <w:t>.</w:t>
      </w:r>
    </w:p>
    <w:p w14:paraId="15337057" w14:textId="78D09E90" w:rsidR="004C5D13" w:rsidRPr="00B33874" w:rsidRDefault="004C5D13" w:rsidP="00FE2DE4">
      <w:pPr>
        <w:pStyle w:val="Heading2"/>
      </w:pPr>
      <w:bookmarkStart w:id="18" w:name="_Toc211641763"/>
      <w:r w:rsidRPr="004C5D13">
        <w:t>Improve experience</w:t>
      </w:r>
      <w:bookmarkEnd w:id="18"/>
    </w:p>
    <w:p w14:paraId="37E1398A" w14:textId="2936A7F7" w:rsidR="00B33874" w:rsidRDefault="00B33874" w:rsidP="004C5D13">
      <w:pPr>
        <w:spacing w:before="240" w:line="360" w:lineRule="auto"/>
        <w:ind w:firstLine="720"/>
        <w:rPr>
          <w:rFonts w:ascii="Arial" w:hAnsi="Arial" w:cs="Arial"/>
          <w:sz w:val="22"/>
          <w:szCs w:val="22"/>
        </w:rPr>
      </w:pPr>
      <w:r w:rsidRPr="00B33874">
        <w:rPr>
          <w:rFonts w:ascii="Arial" w:hAnsi="Arial" w:cs="Arial"/>
          <w:sz w:val="22"/>
          <w:szCs w:val="22"/>
        </w:rPr>
        <w:t>Overall, virtual wards can improve experience: more comfort, more control, and often quicker recovery. To protect against downsides, teams should listen to patient preferences, keep language plain, and offer choice</w:t>
      </w:r>
      <w:r>
        <w:rPr>
          <w:rFonts w:ascii="Arial" w:hAnsi="Arial" w:cs="Arial"/>
          <w:sz w:val="22"/>
          <w:szCs w:val="22"/>
        </w:rPr>
        <w:t xml:space="preserve"> </w:t>
      </w:r>
      <w:r w:rsidRPr="00B33874">
        <w:rPr>
          <w:rFonts w:ascii="Arial" w:hAnsi="Arial" w:cs="Arial"/>
          <w:sz w:val="22"/>
          <w:szCs w:val="22"/>
        </w:rPr>
        <w:t>not every eligible patient will want a virtual ward, and that is okay</w:t>
      </w:r>
      <w:r w:rsidR="00DF22A9">
        <w:rPr>
          <w:rFonts w:ascii="Arial" w:hAnsi="Arial" w:cs="Arial"/>
          <w:sz w:val="22"/>
          <w:szCs w:val="22"/>
        </w:rPr>
        <w:t xml:space="preserve"> (Grange et al., 2024)</w:t>
      </w:r>
      <w:r w:rsidRPr="00B33874">
        <w:rPr>
          <w:rFonts w:ascii="Arial" w:hAnsi="Arial" w:cs="Arial"/>
          <w:sz w:val="22"/>
          <w:szCs w:val="22"/>
        </w:rPr>
        <w:t>.</w:t>
      </w:r>
    </w:p>
    <w:p w14:paraId="08688BDD" w14:textId="77777777" w:rsidR="00FE2DE4" w:rsidRPr="00B33874" w:rsidRDefault="00FE2DE4" w:rsidP="004C5D13">
      <w:pPr>
        <w:spacing w:before="240" w:line="360" w:lineRule="auto"/>
        <w:ind w:firstLine="720"/>
        <w:rPr>
          <w:rFonts w:ascii="Arial" w:hAnsi="Arial" w:cs="Arial"/>
          <w:sz w:val="22"/>
          <w:szCs w:val="22"/>
        </w:rPr>
      </w:pPr>
    </w:p>
    <w:p w14:paraId="5669419E" w14:textId="765FE6BB" w:rsidR="00B33874" w:rsidRDefault="00B33874" w:rsidP="00FE2DE4">
      <w:pPr>
        <w:pStyle w:val="Heading1"/>
      </w:pPr>
      <w:bookmarkStart w:id="19" w:name="_Toc211641764"/>
      <w:r w:rsidRPr="00B33874">
        <w:t>Community</w:t>
      </w:r>
      <w:bookmarkEnd w:id="19"/>
    </w:p>
    <w:p w14:paraId="67055F53" w14:textId="5DFF2B8D" w:rsidR="004C5D13" w:rsidRPr="00B33874" w:rsidRDefault="00525684" w:rsidP="00FE2DE4">
      <w:pPr>
        <w:pStyle w:val="Heading2"/>
      </w:pPr>
      <w:bookmarkStart w:id="20" w:name="_Toc211641765"/>
      <w:r>
        <w:t>Community care</w:t>
      </w:r>
      <w:bookmarkEnd w:id="20"/>
    </w:p>
    <w:p w14:paraId="1F07261D" w14:textId="4786914E" w:rsidR="00B33874" w:rsidRDefault="00B33874" w:rsidP="00525684">
      <w:pPr>
        <w:spacing w:before="240" w:line="360" w:lineRule="auto"/>
        <w:ind w:firstLine="720"/>
        <w:rPr>
          <w:rFonts w:ascii="Arial" w:hAnsi="Arial" w:cs="Arial"/>
          <w:sz w:val="22"/>
          <w:szCs w:val="22"/>
        </w:rPr>
      </w:pPr>
      <w:r w:rsidRPr="00B33874">
        <w:rPr>
          <w:rFonts w:ascii="Arial" w:hAnsi="Arial" w:cs="Arial"/>
          <w:sz w:val="22"/>
          <w:szCs w:val="22"/>
        </w:rPr>
        <w:t xml:space="preserve">Virtual wards do not just affect individuals. They shape how care sits within the community. </w:t>
      </w:r>
      <w:r w:rsidR="004C5D13">
        <w:rPr>
          <w:rFonts w:ascii="Arial" w:hAnsi="Arial" w:cs="Arial"/>
          <w:sz w:val="22"/>
          <w:szCs w:val="22"/>
        </w:rPr>
        <w:t>If d</w:t>
      </w:r>
      <w:r w:rsidRPr="00B33874">
        <w:rPr>
          <w:rFonts w:ascii="Arial" w:hAnsi="Arial" w:cs="Arial"/>
          <w:sz w:val="22"/>
          <w:szCs w:val="22"/>
        </w:rPr>
        <w:t>one well, they bring hospital-level expertise into neighbourhoods</w:t>
      </w:r>
      <w:r>
        <w:rPr>
          <w:rFonts w:ascii="Arial" w:hAnsi="Arial" w:cs="Arial"/>
          <w:sz w:val="22"/>
          <w:szCs w:val="22"/>
        </w:rPr>
        <w:t xml:space="preserve"> </w:t>
      </w:r>
      <w:r w:rsidRPr="00B33874">
        <w:rPr>
          <w:rFonts w:ascii="Arial" w:hAnsi="Arial" w:cs="Arial"/>
          <w:sz w:val="22"/>
          <w:szCs w:val="22"/>
        </w:rPr>
        <w:t>towns, villages, and rural areas</w:t>
      </w:r>
      <w:r>
        <w:rPr>
          <w:rFonts w:ascii="Arial" w:hAnsi="Arial" w:cs="Arial"/>
          <w:sz w:val="22"/>
          <w:szCs w:val="22"/>
        </w:rPr>
        <w:t xml:space="preserve"> </w:t>
      </w:r>
      <w:r w:rsidRPr="00B33874">
        <w:rPr>
          <w:rFonts w:ascii="Arial" w:hAnsi="Arial" w:cs="Arial"/>
          <w:sz w:val="22"/>
          <w:szCs w:val="22"/>
        </w:rPr>
        <w:t>through visits and digital links. Families often feel relief when travel time to hospital drops. Carers can continue work or other responsibilities, and children can see their parent without strict visiting times</w:t>
      </w:r>
      <w:r w:rsidR="009D6682">
        <w:rPr>
          <w:rFonts w:ascii="Arial" w:hAnsi="Arial" w:cs="Arial"/>
          <w:sz w:val="22"/>
          <w:szCs w:val="22"/>
        </w:rPr>
        <w:t xml:space="preserve"> (Westby et al., 2024)</w:t>
      </w:r>
      <w:r w:rsidRPr="00B33874">
        <w:rPr>
          <w:rFonts w:ascii="Arial" w:hAnsi="Arial" w:cs="Arial"/>
          <w:sz w:val="22"/>
          <w:szCs w:val="22"/>
        </w:rPr>
        <w:t>.</w:t>
      </w:r>
    </w:p>
    <w:p w14:paraId="48A9D380" w14:textId="3EC465EC" w:rsidR="00525684" w:rsidRPr="00B33874" w:rsidRDefault="00525684" w:rsidP="00FE2DE4">
      <w:pPr>
        <w:pStyle w:val="Heading2"/>
      </w:pPr>
      <w:bookmarkStart w:id="21" w:name="_Toc211641766"/>
      <w:r w:rsidRPr="00525684">
        <w:t>Rural and underserved communities</w:t>
      </w:r>
      <w:bookmarkEnd w:id="21"/>
    </w:p>
    <w:p w14:paraId="704DE699" w14:textId="1B88EAC4" w:rsidR="00B33874" w:rsidRDefault="00B33874" w:rsidP="00525684">
      <w:pPr>
        <w:spacing w:before="240" w:line="360" w:lineRule="auto"/>
        <w:ind w:firstLine="720"/>
        <w:rPr>
          <w:rFonts w:ascii="Arial" w:hAnsi="Arial" w:cs="Arial"/>
          <w:sz w:val="22"/>
          <w:szCs w:val="22"/>
        </w:rPr>
      </w:pPr>
      <w:r w:rsidRPr="00B33874">
        <w:rPr>
          <w:rFonts w:ascii="Arial" w:hAnsi="Arial" w:cs="Arial"/>
          <w:sz w:val="22"/>
          <w:szCs w:val="22"/>
        </w:rPr>
        <w:t>For rural or underserved communities, virtual wards can be a lifeline if logistics are right. Long distances to hospital make home care attractive, but they also create risks: poor mobile coverage, slow broadband, and longer drive times for home visits. Services need smart scheduling, satellite connectivity options where possible, and backup plans</w:t>
      </w:r>
      <w:r w:rsidR="009D6682">
        <w:rPr>
          <w:rFonts w:ascii="Arial" w:hAnsi="Arial" w:cs="Arial"/>
          <w:sz w:val="22"/>
          <w:szCs w:val="22"/>
        </w:rPr>
        <w:t xml:space="preserve">, for example, </w:t>
      </w:r>
      <w:r w:rsidRPr="00B33874">
        <w:rPr>
          <w:rFonts w:ascii="Arial" w:hAnsi="Arial" w:cs="Arial"/>
          <w:sz w:val="22"/>
          <w:szCs w:val="22"/>
        </w:rPr>
        <w:t>telephone-based monitoring with extra in-person checks. Partnerships with voluntary groups</w:t>
      </w:r>
      <w:r>
        <w:rPr>
          <w:rFonts w:ascii="Arial" w:hAnsi="Arial" w:cs="Arial"/>
          <w:sz w:val="22"/>
          <w:szCs w:val="22"/>
        </w:rPr>
        <w:t xml:space="preserve"> </w:t>
      </w:r>
      <w:r w:rsidRPr="00B33874">
        <w:rPr>
          <w:rFonts w:ascii="Arial" w:hAnsi="Arial" w:cs="Arial"/>
          <w:sz w:val="22"/>
          <w:szCs w:val="22"/>
        </w:rPr>
        <w:t>community drivers, local hubs</w:t>
      </w:r>
      <w:r>
        <w:rPr>
          <w:rFonts w:ascii="Arial" w:hAnsi="Arial" w:cs="Arial"/>
          <w:sz w:val="22"/>
          <w:szCs w:val="22"/>
        </w:rPr>
        <w:t xml:space="preserve"> </w:t>
      </w:r>
      <w:r w:rsidRPr="00B33874">
        <w:rPr>
          <w:rFonts w:ascii="Arial" w:hAnsi="Arial" w:cs="Arial"/>
          <w:sz w:val="22"/>
          <w:szCs w:val="22"/>
        </w:rPr>
        <w:t>can help with equipment delivery and welfare checks</w:t>
      </w:r>
      <w:r w:rsidR="009D6682">
        <w:rPr>
          <w:rFonts w:ascii="Arial" w:hAnsi="Arial" w:cs="Arial"/>
          <w:sz w:val="22"/>
          <w:szCs w:val="22"/>
        </w:rPr>
        <w:t xml:space="preserve"> (Westby et al., 2024)</w:t>
      </w:r>
      <w:r w:rsidRPr="00B33874">
        <w:rPr>
          <w:rFonts w:ascii="Arial" w:hAnsi="Arial" w:cs="Arial"/>
          <w:sz w:val="22"/>
          <w:szCs w:val="22"/>
        </w:rPr>
        <w:t>.</w:t>
      </w:r>
    </w:p>
    <w:p w14:paraId="43089E6E" w14:textId="4F0A989E" w:rsidR="00525684" w:rsidRPr="00B33874" w:rsidRDefault="00525684" w:rsidP="00FE2DE4">
      <w:pPr>
        <w:pStyle w:val="Heading2"/>
      </w:pPr>
      <w:bookmarkStart w:id="22" w:name="_Toc211641767"/>
      <w:r w:rsidRPr="00525684">
        <w:lastRenderedPageBreak/>
        <w:t>Public Health</w:t>
      </w:r>
      <w:bookmarkEnd w:id="22"/>
    </w:p>
    <w:p w14:paraId="77946108" w14:textId="1FC0139D" w:rsidR="00B33874" w:rsidRPr="006B4FF5" w:rsidRDefault="00B33874" w:rsidP="00525684">
      <w:pPr>
        <w:spacing w:before="240" w:line="360" w:lineRule="auto"/>
        <w:ind w:firstLine="720"/>
        <w:rPr>
          <w:rFonts w:ascii="Arial" w:hAnsi="Arial" w:cs="Arial"/>
          <w:sz w:val="22"/>
          <w:szCs w:val="22"/>
        </w:rPr>
      </w:pPr>
      <w:r w:rsidRPr="00B33874">
        <w:rPr>
          <w:rFonts w:ascii="Arial" w:hAnsi="Arial" w:cs="Arial"/>
          <w:sz w:val="22"/>
          <w:szCs w:val="22"/>
        </w:rPr>
        <w:t xml:space="preserve">There is a wider public health angle. Keeping suitable patients at home reduces hospital crowding, which can help infection control (fewer contacts during winter viruses) and speed up planned care for others. </w:t>
      </w:r>
      <w:r w:rsidR="00EE674F" w:rsidRPr="006B4FF5">
        <w:rPr>
          <w:rFonts w:ascii="Arial" w:hAnsi="Arial" w:cs="Arial"/>
          <w:sz w:val="22"/>
          <w:szCs w:val="22"/>
        </w:rPr>
        <w:t>Social needs can also be identified by use of virtual wards. Emptiness of cupboards and a nurse coming to a cold house will send-out referrals to housing, benefits advice or to community support. Virtual wards can in this manner serve as the linkage between acute care and local services (Litchfield et al., 2025).</w:t>
      </w:r>
    </w:p>
    <w:p w14:paraId="2EDCC297" w14:textId="22664B3B" w:rsidR="00525684" w:rsidRPr="006B4FF5" w:rsidRDefault="00525684" w:rsidP="00FE2DE4">
      <w:pPr>
        <w:pStyle w:val="Heading2"/>
      </w:pPr>
      <w:bookmarkStart w:id="23" w:name="_Toc211641768"/>
      <w:r w:rsidRPr="006B4FF5">
        <w:t>Co-production</w:t>
      </w:r>
      <w:bookmarkEnd w:id="23"/>
    </w:p>
    <w:p w14:paraId="40653424" w14:textId="1148F8B9" w:rsidR="00EE674F" w:rsidRPr="006B4FF5" w:rsidRDefault="00EE674F" w:rsidP="00525684">
      <w:pPr>
        <w:spacing w:before="240" w:line="360" w:lineRule="auto"/>
        <w:ind w:firstLine="720"/>
        <w:rPr>
          <w:rFonts w:ascii="Arial" w:hAnsi="Arial" w:cs="Arial"/>
          <w:sz w:val="22"/>
          <w:szCs w:val="22"/>
        </w:rPr>
      </w:pPr>
      <w:r w:rsidRPr="006B4FF5">
        <w:rPr>
          <w:rFonts w:ascii="Arial" w:hAnsi="Arial" w:cs="Arial"/>
          <w:sz w:val="22"/>
          <w:szCs w:val="22"/>
        </w:rPr>
        <w:t>Co-production is important. The optimal programmes establish routes with patients and carers. They test plain- English instructions, co-write the escalation plan and invite the carers to the daily virtual round with the agreement of the patient. It establishes trust and assists teams to identify what matters most such as surrounding prayer times with antibiotics, or making arrangements to visit such that a daughter has time to do the school run (Norman et al., 2023).</w:t>
      </w:r>
    </w:p>
    <w:p w14:paraId="256D506F" w14:textId="5CE3B963" w:rsidR="00525684" w:rsidRPr="006B4FF5" w:rsidRDefault="00525684" w:rsidP="00FE2DE4">
      <w:pPr>
        <w:pStyle w:val="Heading2"/>
      </w:pPr>
      <w:bookmarkStart w:id="24" w:name="_Toc211641769"/>
      <w:r w:rsidRPr="006B4FF5">
        <w:t>Key risks</w:t>
      </w:r>
      <w:bookmarkEnd w:id="24"/>
    </w:p>
    <w:p w14:paraId="0B66912B" w14:textId="73AFBA67" w:rsidR="00EE674F" w:rsidRPr="006B4FF5" w:rsidRDefault="00EE674F" w:rsidP="00525684">
      <w:pPr>
        <w:spacing w:before="240" w:line="360" w:lineRule="auto"/>
        <w:ind w:firstLine="720"/>
        <w:rPr>
          <w:rFonts w:ascii="Arial" w:hAnsi="Arial" w:cs="Arial"/>
          <w:sz w:val="22"/>
          <w:szCs w:val="22"/>
        </w:rPr>
      </w:pPr>
      <w:r w:rsidRPr="006B4FF5">
        <w:rPr>
          <w:rFonts w:ascii="Arial" w:hAnsi="Arial" w:cs="Arial"/>
          <w:sz w:val="22"/>
          <w:szCs w:val="22"/>
        </w:rPr>
        <w:t>The presence of inequalities is a major risk. Individuals residing in overcrowded homes, people who lack their own room to conduct video calls, or individuals who cannot find time to balance between work and everyday life might find it difficult to adopt the daily routine. Certain communities do not trust statutory services historically; a remote model can be alien or unrealistic. To minimise gaps, community leaders, faith groups, and social prescribers should be engaged in working with the teams; they should provide translated materials and interpreters; and they should offer non-digital options as safe as possible (Pahirden et al., 2025).</w:t>
      </w:r>
    </w:p>
    <w:p w14:paraId="28D71F01" w14:textId="37F152DA" w:rsidR="00525684" w:rsidRPr="006B4FF5" w:rsidRDefault="00525684" w:rsidP="00FE2DE4">
      <w:pPr>
        <w:pStyle w:val="Heading2"/>
      </w:pPr>
      <w:bookmarkStart w:id="25" w:name="_Toc211641770"/>
      <w:r w:rsidRPr="006B4FF5">
        <w:t>System View</w:t>
      </w:r>
      <w:bookmarkEnd w:id="25"/>
    </w:p>
    <w:p w14:paraId="3EF3DC40" w14:textId="49307E91" w:rsidR="00EE674F" w:rsidRPr="00B33874" w:rsidRDefault="00B33874" w:rsidP="00EE674F">
      <w:pPr>
        <w:spacing w:before="240" w:line="360" w:lineRule="auto"/>
        <w:ind w:firstLine="720"/>
        <w:rPr>
          <w:rFonts w:ascii="Arial" w:hAnsi="Arial" w:cs="Arial"/>
          <w:sz w:val="22"/>
          <w:szCs w:val="22"/>
        </w:rPr>
      </w:pPr>
      <w:r w:rsidRPr="00B33874">
        <w:rPr>
          <w:rFonts w:ascii="Arial" w:hAnsi="Arial" w:cs="Arial"/>
          <w:sz w:val="22"/>
          <w:szCs w:val="22"/>
        </w:rPr>
        <w:t>Finally</w:t>
      </w:r>
      <w:r w:rsidR="00EE674F" w:rsidRPr="006B4FF5">
        <w:rPr>
          <w:rFonts w:ascii="Arial" w:hAnsi="Arial" w:cs="Arial"/>
          <w:sz w:val="22"/>
          <w:szCs w:val="22"/>
        </w:rPr>
        <w:t xml:space="preserve">, there is a system view. The successful use of virtual wards can lead to improved ambulance handovers, reduced emergency department congestion, and increased follow-up on people leaving hospital by the local GP practise. However, when the model is overworked, the issues are transferred to the community: increased workload on the district nursing, additional calls to GP office, and long turnaround times. The community impact is based on the truthful </w:t>
      </w:r>
      <w:r w:rsidR="00EE674F" w:rsidRPr="006B4FF5">
        <w:rPr>
          <w:rFonts w:ascii="Arial" w:hAnsi="Arial" w:cs="Arial"/>
          <w:sz w:val="22"/>
          <w:szCs w:val="22"/>
        </w:rPr>
        <w:lastRenderedPageBreak/>
        <w:t>capacity planning, feasible caseloads, and equitable funding among the sectors (Litchfield et al., 2025).</w:t>
      </w:r>
    </w:p>
    <w:p w14:paraId="624ADB6D" w14:textId="40044E96" w:rsidR="00B33874" w:rsidRPr="006B4FF5" w:rsidRDefault="00B33874" w:rsidP="00FE2DE4">
      <w:pPr>
        <w:pStyle w:val="Heading1"/>
      </w:pPr>
      <w:bookmarkStart w:id="26" w:name="_Toc211641771"/>
      <w:r w:rsidRPr="006B4FF5">
        <w:t>Conclusion and Recommendations</w:t>
      </w:r>
      <w:bookmarkEnd w:id="26"/>
    </w:p>
    <w:p w14:paraId="5D9938F2" w14:textId="10D805EA" w:rsidR="00EE674F" w:rsidRPr="00B33874" w:rsidRDefault="00EE674F" w:rsidP="00525684">
      <w:pPr>
        <w:spacing w:before="240" w:line="360" w:lineRule="auto"/>
        <w:ind w:firstLine="720"/>
        <w:rPr>
          <w:rFonts w:ascii="Arial" w:hAnsi="Arial" w:cs="Arial"/>
          <w:sz w:val="22"/>
          <w:szCs w:val="22"/>
        </w:rPr>
      </w:pPr>
      <w:r w:rsidRPr="006B4FF5">
        <w:rPr>
          <w:rFonts w:ascii="Arial" w:hAnsi="Arial" w:cs="Arial"/>
          <w:sz w:val="22"/>
          <w:szCs w:val="22"/>
        </w:rPr>
        <w:t xml:space="preserve">Since 2022 NHS Virtual Wards have transformed the form of care. They enable the correct patients to be treated at home under the daily clinical supervision. To the workforce, they introduce new positions, digital capabilities, and more </w:t>
      </w:r>
      <w:r w:rsidR="00A57085">
        <w:rPr>
          <w:rFonts w:ascii="Arial" w:hAnsi="Arial" w:cs="Arial"/>
          <w:sz w:val="22"/>
          <w:szCs w:val="22"/>
        </w:rPr>
        <w:t>connections</w:t>
      </w:r>
      <w:r w:rsidRPr="006B4FF5">
        <w:rPr>
          <w:rFonts w:ascii="Arial" w:hAnsi="Arial" w:cs="Arial"/>
          <w:sz w:val="22"/>
          <w:szCs w:val="22"/>
        </w:rPr>
        <w:t xml:space="preserve"> between hospital and community. They are able to liberate beds, accelerate turnover and provide same-day care solely when IT, logistics, and governance are robust to service delivery. To patients, they may enhance comfort and control, but have to be provided as an option with sound safety-netting. On the community level, they can minimise travel and contribute to the general health, and also reveal social requirements that need collective assistance.</w:t>
      </w:r>
    </w:p>
    <w:p w14:paraId="2284F990" w14:textId="77777777" w:rsidR="00B33874" w:rsidRPr="006B4FF5" w:rsidRDefault="00B33874" w:rsidP="00FE2DE4">
      <w:pPr>
        <w:pStyle w:val="Heading2"/>
      </w:pPr>
      <w:bookmarkStart w:id="27" w:name="_Toc211641772"/>
      <w:r w:rsidRPr="006B4FF5">
        <w:t>Recommendations</w:t>
      </w:r>
      <w:bookmarkEnd w:id="27"/>
    </w:p>
    <w:p w14:paraId="6266DA29"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Keep inclusion criteria tight</w:t>
      </w:r>
      <w:r w:rsidRPr="00B33874">
        <w:rPr>
          <w:rFonts w:ascii="Arial" w:hAnsi="Arial" w:cs="Arial"/>
          <w:sz w:val="22"/>
          <w:szCs w:val="22"/>
        </w:rPr>
        <w:t xml:space="preserve"> and clinically led; start with a few high-value pathways and scale only when stable.</w:t>
      </w:r>
    </w:p>
    <w:p w14:paraId="1ECC305C"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Invest in staff training</w:t>
      </w:r>
      <w:r w:rsidRPr="00B33874">
        <w:rPr>
          <w:rFonts w:ascii="Arial" w:hAnsi="Arial" w:cs="Arial"/>
          <w:sz w:val="22"/>
          <w:szCs w:val="22"/>
        </w:rPr>
        <w:t xml:space="preserve"> (digital, triage, escalation) and create supportive rotas with senior cover seven days a week.</w:t>
      </w:r>
    </w:p>
    <w:p w14:paraId="1A680E9E"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Simplify the tech</w:t>
      </w:r>
      <w:r w:rsidRPr="00B33874">
        <w:rPr>
          <w:rFonts w:ascii="Arial" w:hAnsi="Arial" w:cs="Arial"/>
          <w:sz w:val="22"/>
          <w:szCs w:val="22"/>
        </w:rPr>
        <w:t>: single sign-on, integration with the EPR, and reliable equipment logistics.</w:t>
      </w:r>
    </w:p>
    <w:p w14:paraId="25058B08"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Guarantee equity</w:t>
      </w:r>
      <w:r w:rsidRPr="00B33874">
        <w:rPr>
          <w:rFonts w:ascii="Arial" w:hAnsi="Arial" w:cs="Arial"/>
          <w:sz w:val="22"/>
          <w:szCs w:val="22"/>
        </w:rPr>
        <w:t>: telephone or paper options, interpreters, large-print materials, and loaned connectivity where needed.</w:t>
      </w:r>
    </w:p>
    <w:p w14:paraId="60B37E42"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Strengthen governance</w:t>
      </w:r>
      <w:r w:rsidRPr="00B33874">
        <w:rPr>
          <w:rFonts w:ascii="Arial" w:hAnsi="Arial" w:cs="Arial"/>
          <w:sz w:val="22"/>
          <w:szCs w:val="22"/>
        </w:rPr>
        <w:t>: daily board rounds, clear escalation routes, 24/7 contact lines, and regular safety audits.</w:t>
      </w:r>
    </w:p>
    <w:p w14:paraId="60FF8756"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Co-produce with patients and carers</w:t>
      </w:r>
      <w:r w:rsidRPr="00B33874">
        <w:rPr>
          <w:rFonts w:ascii="Arial" w:hAnsi="Arial" w:cs="Arial"/>
          <w:sz w:val="22"/>
          <w:szCs w:val="22"/>
        </w:rPr>
        <w:t>; measure experience, not just bed days saved.</w:t>
      </w:r>
    </w:p>
    <w:p w14:paraId="45F7D485" w14:textId="77777777" w:rsidR="00B33874" w:rsidRPr="00B33874" w:rsidRDefault="00B33874" w:rsidP="00B33874">
      <w:pPr>
        <w:numPr>
          <w:ilvl w:val="0"/>
          <w:numId w:val="1"/>
        </w:numPr>
        <w:spacing w:before="240" w:line="360" w:lineRule="auto"/>
        <w:rPr>
          <w:rFonts w:ascii="Arial" w:hAnsi="Arial" w:cs="Arial"/>
          <w:sz w:val="22"/>
          <w:szCs w:val="22"/>
        </w:rPr>
      </w:pPr>
      <w:r w:rsidRPr="00B33874">
        <w:rPr>
          <w:rFonts w:ascii="Arial" w:hAnsi="Arial" w:cs="Arial"/>
          <w:b/>
          <w:bCs/>
          <w:sz w:val="22"/>
          <w:szCs w:val="22"/>
        </w:rPr>
        <w:t>Plan system-wide</w:t>
      </w:r>
      <w:r w:rsidRPr="00B33874">
        <w:rPr>
          <w:rFonts w:ascii="Arial" w:hAnsi="Arial" w:cs="Arial"/>
          <w:sz w:val="22"/>
          <w:szCs w:val="22"/>
        </w:rPr>
        <w:t>: align with GPs, community services, pharmacy, and ambulance partners so gains do not become hidden pressures elsewhere.</w:t>
      </w:r>
    </w:p>
    <w:p w14:paraId="04584E91" w14:textId="11D55FD0" w:rsidR="00CB5AD5" w:rsidRDefault="00B33874" w:rsidP="00B33874">
      <w:pPr>
        <w:spacing w:before="240" w:line="360" w:lineRule="auto"/>
        <w:rPr>
          <w:rFonts w:ascii="Arial" w:hAnsi="Arial" w:cs="Arial"/>
          <w:sz w:val="22"/>
          <w:szCs w:val="22"/>
        </w:rPr>
      </w:pPr>
      <w:r w:rsidRPr="00B33874">
        <w:rPr>
          <w:rFonts w:ascii="Arial" w:hAnsi="Arial" w:cs="Arial"/>
          <w:sz w:val="22"/>
          <w:szCs w:val="22"/>
        </w:rPr>
        <w:t>With these steps, virtual wards can remain safe, fair, and truly person-centred.</w:t>
      </w:r>
    </w:p>
    <w:p w14:paraId="5F9819B0" w14:textId="49F0097C" w:rsidR="00CB5AD5" w:rsidRDefault="00CB5AD5" w:rsidP="00CB5AD5">
      <w:pPr>
        <w:pStyle w:val="Heading1"/>
      </w:pPr>
      <w:bookmarkStart w:id="28" w:name="_Toc211641773"/>
      <w:r>
        <w:t>References</w:t>
      </w:r>
      <w:bookmarkEnd w:id="28"/>
    </w:p>
    <w:p w14:paraId="1F7EE31E" w14:textId="4934E5EA"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Bailey, S., Pierides, D., Brisley, A., Weisshaar, C., </w:t>
      </w:r>
      <w:r w:rsidR="007E68A5">
        <w:rPr>
          <w:rFonts w:ascii="Arial" w:hAnsi="Arial" w:cs="Arial"/>
          <w:sz w:val="22"/>
          <w:szCs w:val="22"/>
        </w:rPr>
        <w:t xml:space="preserve">and </w:t>
      </w:r>
      <w:r w:rsidRPr="00CF31D9">
        <w:rPr>
          <w:rFonts w:ascii="Arial" w:hAnsi="Arial" w:cs="Arial"/>
          <w:sz w:val="22"/>
          <w:szCs w:val="22"/>
        </w:rPr>
        <w:t>Blakeman, T. (2020</w:t>
      </w:r>
      <w:r w:rsidR="007E68A5">
        <w:rPr>
          <w:rFonts w:ascii="Arial" w:hAnsi="Arial" w:cs="Arial"/>
          <w:sz w:val="22"/>
          <w:szCs w:val="22"/>
        </w:rPr>
        <w:t xml:space="preserve">) </w:t>
      </w:r>
      <w:r w:rsidRPr="00CF31D9">
        <w:rPr>
          <w:rFonts w:ascii="Arial" w:hAnsi="Arial" w:cs="Arial"/>
          <w:sz w:val="22"/>
          <w:szCs w:val="22"/>
        </w:rPr>
        <w:t>Dismembering organisation: The coordination of algorithmic work in healthcare. </w:t>
      </w:r>
      <w:r w:rsidRPr="00CF31D9">
        <w:rPr>
          <w:rFonts w:ascii="Arial" w:hAnsi="Arial" w:cs="Arial"/>
          <w:i/>
          <w:iCs/>
          <w:sz w:val="22"/>
          <w:szCs w:val="22"/>
        </w:rPr>
        <w:t>Current Sociology</w:t>
      </w:r>
      <w:r w:rsidRPr="00CF31D9">
        <w:rPr>
          <w:rFonts w:ascii="Arial" w:hAnsi="Arial" w:cs="Arial"/>
          <w:sz w:val="22"/>
          <w:szCs w:val="22"/>
        </w:rPr>
        <w:t>, </w:t>
      </w:r>
      <w:r w:rsidRPr="00CF31D9">
        <w:rPr>
          <w:rFonts w:ascii="Arial" w:hAnsi="Arial" w:cs="Arial"/>
          <w:i/>
          <w:iCs/>
          <w:sz w:val="22"/>
          <w:szCs w:val="22"/>
        </w:rPr>
        <w:t>68</w:t>
      </w:r>
      <w:r w:rsidRPr="00CF31D9">
        <w:rPr>
          <w:rFonts w:ascii="Arial" w:hAnsi="Arial" w:cs="Arial"/>
          <w:sz w:val="22"/>
          <w:szCs w:val="22"/>
        </w:rPr>
        <w:t>(4), 546-571.</w:t>
      </w:r>
      <w:r>
        <w:rPr>
          <w:rFonts w:ascii="Arial" w:hAnsi="Arial" w:cs="Arial"/>
          <w:sz w:val="22"/>
          <w:szCs w:val="22"/>
        </w:rPr>
        <w:t xml:space="preserve"> </w:t>
      </w:r>
      <w:hyperlink r:id="rId8" w:history="1">
        <w:r w:rsidRPr="00F2194B">
          <w:rPr>
            <w:rStyle w:val="Hyperlink"/>
            <w:rFonts w:ascii="Arial" w:hAnsi="Arial" w:cs="Arial"/>
            <w:sz w:val="22"/>
            <w:szCs w:val="22"/>
          </w:rPr>
          <w:t>https://doi.org/10.1177/0011392120907638</w:t>
        </w:r>
      </w:hyperlink>
    </w:p>
    <w:p w14:paraId="61DBA88D" w14:textId="794C3820"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Bradby, M. (2022</w:t>
      </w:r>
      <w:r w:rsidR="007E68A5">
        <w:rPr>
          <w:rFonts w:ascii="Arial" w:hAnsi="Arial" w:cs="Arial"/>
          <w:sz w:val="22"/>
          <w:szCs w:val="22"/>
        </w:rPr>
        <w:t xml:space="preserve">) </w:t>
      </w:r>
      <w:r w:rsidRPr="00CF31D9">
        <w:rPr>
          <w:rFonts w:ascii="Arial" w:hAnsi="Arial" w:cs="Arial"/>
          <w:i/>
          <w:iCs/>
          <w:sz w:val="22"/>
          <w:szCs w:val="22"/>
        </w:rPr>
        <w:t>District Nursing at a Glance</w:t>
      </w:r>
      <w:r w:rsidRPr="00CF31D9">
        <w:rPr>
          <w:rFonts w:ascii="Arial" w:hAnsi="Arial" w:cs="Arial"/>
          <w:sz w:val="22"/>
          <w:szCs w:val="22"/>
        </w:rPr>
        <w:t xml:space="preserve">. John Wiley </w:t>
      </w:r>
      <w:r w:rsidR="007E68A5">
        <w:rPr>
          <w:rFonts w:ascii="Arial" w:hAnsi="Arial" w:cs="Arial"/>
          <w:sz w:val="22"/>
          <w:szCs w:val="22"/>
        </w:rPr>
        <w:t xml:space="preserve">and </w:t>
      </w:r>
      <w:r w:rsidRPr="00CF31D9">
        <w:rPr>
          <w:rFonts w:ascii="Arial" w:hAnsi="Arial" w:cs="Arial"/>
          <w:sz w:val="22"/>
          <w:szCs w:val="22"/>
        </w:rPr>
        <w:t>Sons.</w:t>
      </w:r>
      <w:r>
        <w:rPr>
          <w:rFonts w:ascii="Arial" w:hAnsi="Arial" w:cs="Arial"/>
          <w:sz w:val="22"/>
          <w:szCs w:val="22"/>
        </w:rPr>
        <w:t xml:space="preserve"> </w:t>
      </w:r>
      <w:hyperlink r:id="rId9" w:history="1">
        <w:r w:rsidRPr="00F2194B">
          <w:rPr>
            <w:rStyle w:val="Hyperlink"/>
            <w:rFonts w:ascii="Arial" w:hAnsi="Arial" w:cs="Arial"/>
            <w:sz w:val="22"/>
            <w:szCs w:val="22"/>
          </w:rPr>
          <w:t>https://books.google.com/books?hl=en&amp;lr=&amp;id=AWp6EAAAQBAJ&amp;oi=fnd&amp;pg=PP13&amp;dq=NHS+Virtual+Wards,+Many+Trusts+run+%E2%80%9Chub+and+spoke%E2%80%9D+models.+A+small+clinical+hub+(often+led+by+a+consultant+or+advanced+clinical+practitioner)+watches+dashboards,+&amp;ots=PkTJj2pMwx&amp;sig=zAcu6L5DO1ETKHFOqN4eImod7Xk</w:t>
        </w:r>
      </w:hyperlink>
    </w:p>
    <w:p w14:paraId="42DE11F9" w14:textId="5BD631B7"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BRENNAN, H. G. B. (2021</w:t>
      </w:r>
      <w:r w:rsidR="007E68A5">
        <w:rPr>
          <w:rFonts w:ascii="Arial" w:hAnsi="Arial" w:cs="Arial"/>
          <w:sz w:val="22"/>
          <w:szCs w:val="22"/>
        </w:rPr>
        <w:t xml:space="preserve">) </w:t>
      </w:r>
      <w:r w:rsidRPr="00CF31D9">
        <w:rPr>
          <w:rFonts w:ascii="Arial" w:hAnsi="Arial" w:cs="Arial"/>
          <w:sz w:val="22"/>
          <w:szCs w:val="22"/>
        </w:rPr>
        <w:t>The aims of virtual selection. </w:t>
      </w:r>
      <w:r w:rsidRPr="00CF31D9">
        <w:rPr>
          <w:rFonts w:ascii="Arial" w:hAnsi="Arial" w:cs="Arial"/>
          <w:i/>
          <w:iCs/>
          <w:sz w:val="22"/>
          <w:szCs w:val="22"/>
        </w:rPr>
        <w:t>CPPCNU</w:t>
      </w:r>
      <w:r w:rsidRPr="00CF31D9">
        <w:rPr>
          <w:rFonts w:ascii="Arial" w:hAnsi="Arial" w:cs="Arial"/>
          <w:sz w:val="22"/>
          <w:szCs w:val="22"/>
        </w:rPr>
        <w:t>, </w:t>
      </w:r>
      <w:r w:rsidRPr="00CF31D9">
        <w:rPr>
          <w:rFonts w:ascii="Arial" w:hAnsi="Arial" w:cs="Arial"/>
          <w:i/>
          <w:iCs/>
          <w:sz w:val="22"/>
          <w:szCs w:val="22"/>
        </w:rPr>
        <w:t>103</w:t>
      </w:r>
      <w:r w:rsidRPr="00CF31D9">
        <w:rPr>
          <w:rFonts w:ascii="Arial" w:hAnsi="Arial" w:cs="Arial"/>
          <w:sz w:val="22"/>
          <w:szCs w:val="22"/>
        </w:rPr>
        <w:t>, 386.</w:t>
      </w:r>
      <w:r>
        <w:rPr>
          <w:rFonts w:ascii="Arial" w:hAnsi="Arial" w:cs="Arial"/>
          <w:sz w:val="22"/>
          <w:szCs w:val="22"/>
        </w:rPr>
        <w:t xml:space="preserve"> </w:t>
      </w:r>
      <w:hyperlink r:id="rId10" w:anchor="page=6" w:history="1">
        <w:r w:rsidRPr="00F2194B">
          <w:rPr>
            <w:rStyle w:val="Hyperlink"/>
            <w:rFonts w:ascii="Arial" w:hAnsi="Arial" w:cs="Arial"/>
            <w:sz w:val="22"/>
            <w:szCs w:val="22"/>
          </w:rPr>
          <w:t>https://publishing.rcseng.ac.uk/doi/pdf/10.1308/ann.2021.103.issue-6#page=6</w:t>
        </w:r>
      </w:hyperlink>
    </w:p>
    <w:p w14:paraId="5C6454BF" w14:textId="256F4FDA"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Grange, H., Johns, G., Ahuja, A., Harper, P., Williams, E., </w:t>
      </w:r>
      <w:r w:rsidR="007E68A5">
        <w:rPr>
          <w:rFonts w:ascii="Arial" w:hAnsi="Arial" w:cs="Arial"/>
          <w:sz w:val="22"/>
          <w:szCs w:val="22"/>
        </w:rPr>
        <w:t xml:space="preserve">and </w:t>
      </w:r>
      <w:r w:rsidRPr="00CF31D9">
        <w:rPr>
          <w:rFonts w:ascii="Arial" w:hAnsi="Arial" w:cs="Arial"/>
          <w:sz w:val="22"/>
          <w:szCs w:val="22"/>
        </w:rPr>
        <w:t>Gartner, D. (2024, February</w:t>
      </w:r>
      <w:r w:rsidR="007E68A5">
        <w:rPr>
          <w:rFonts w:ascii="Arial" w:hAnsi="Arial" w:cs="Arial"/>
          <w:sz w:val="22"/>
          <w:szCs w:val="22"/>
        </w:rPr>
        <w:t xml:space="preserve">) </w:t>
      </w:r>
      <w:r w:rsidRPr="00CF31D9">
        <w:rPr>
          <w:rFonts w:ascii="Arial" w:hAnsi="Arial" w:cs="Arial"/>
          <w:sz w:val="22"/>
          <w:szCs w:val="22"/>
        </w:rPr>
        <w:t>Capacity planning of virtual wards for frail and elderly patients. In </w:t>
      </w:r>
      <w:r w:rsidRPr="00CF31D9">
        <w:rPr>
          <w:rFonts w:ascii="Arial" w:hAnsi="Arial" w:cs="Arial"/>
          <w:i/>
          <w:iCs/>
          <w:sz w:val="22"/>
          <w:szCs w:val="22"/>
        </w:rPr>
        <w:t>Healthcare</w:t>
      </w:r>
      <w:r w:rsidRPr="00CF31D9">
        <w:rPr>
          <w:rFonts w:ascii="Arial" w:hAnsi="Arial" w:cs="Arial"/>
          <w:sz w:val="22"/>
          <w:szCs w:val="22"/>
        </w:rPr>
        <w:t> (Vol. 12, No. 5, p. 533</w:t>
      </w:r>
      <w:r w:rsidR="007E68A5">
        <w:rPr>
          <w:rFonts w:ascii="Arial" w:hAnsi="Arial" w:cs="Arial"/>
          <w:sz w:val="22"/>
          <w:szCs w:val="22"/>
        </w:rPr>
        <w:t xml:space="preserve">) </w:t>
      </w:r>
      <w:r w:rsidRPr="00CF31D9">
        <w:rPr>
          <w:rFonts w:ascii="Arial" w:hAnsi="Arial" w:cs="Arial"/>
          <w:sz w:val="22"/>
          <w:szCs w:val="22"/>
        </w:rPr>
        <w:t>MDPI.</w:t>
      </w:r>
      <w:r>
        <w:rPr>
          <w:rFonts w:ascii="Arial" w:hAnsi="Arial" w:cs="Arial"/>
          <w:sz w:val="22"/>
          <w:szCs w:val="22"/>
        </w:rPr>
        <w:t xml:space="preserve"> </w:t>
      </w:r>
      <w:hyperlink r:id="rId11" w:history="1">
        <w:r w:rsidRPr="00F2194B">
          <w:rPr>
            <w:rStyle w:val="Hyperlink"/>
            <w:rFonts w:ascii="Arial" w:hAnsi="Arial" w:cs="Arial"/>
            <w:sz w:val="22"/>
            <w:szCs w:val="22"/>
          </w:rPr>
          <w:t>https://doi.org/10.3390/healthcare12050533</w:t>
        </w:r>
      </w:hyperlink>
    </w:p>
    <w:p w14:paraId="101414AE" w14:textId="3EF0C43C"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Jalilian, A., Sedda, L., Unsworth, A., </w:t>
      </w:r>
      <w:r w:rsidR="007E68A5">
        <w:rPr>
          <w:rFonts w:ascii="Arial" w:hAnsi="Arial" w:cs="Arial"/>
          <w:sz w:val="22"/>
          <w:szCs w:val="22"/>
        </w:rPr>
        <w:t xml:space="preserve">and </w:t>
      </w:r>
      <w:r w:rsidRPr="00CF31D9">
        <w:rPr>
          <w:rFonts w:ascii="Arial" w:hAnsi="Arial" w:cs="Arial"/>
          <w:sz w:val="22"/>
          <w:szCs w:val="22"/>
        </w:rPr>
        <w:t>Farrier, M. (2024</w:t>
      </w:r>
      <w:r w:rsidR="007E68A5">
        <w:rPr>
          <w:rFonts w:ascii="Arial" w:hAnsi="Arial" w:cs="Arial"/>
          <w:sz w:val="22"/>
          <w:szCs w:val="22"/>
        </w:rPr>
        <w:t xml:space="preserve">) </w:t>
      </w:r>
      <w:r w:rsidRPr="00CF31D9">
        <w:rPr>
          <w:rFonts w:ascii="Arial" w:hAnsi="Arial" w:cs="Arial"/>
          <w:sz w:val="22"/>
          <w:szCs w:val="22"/>
        </w:rPr>
        <w:t>Length of stay and economic sustainability of virtual ward care in a medium-sized hospital of the UK: a retrospective longitudinal study. </w:t>
      </w:r>
      <w:r w:rsidRPr="00CF31D9">
        <w:rPr>
          <w:rFonts w:ascii="Arial" w:hAnsi="Arial" w:cs="Arial"/>
          <w:i/>
          <w:iCs/>
          <w:sz w:val="22"/>
          <w:szCs w:val="22"/>
        </w:rPr>
        <w:t>BMJ open</w:t>
      </w:r>
      <w:r w:rsidRPr="00CF31D9">
        <w:rPr>
          <w:rFonts w:ascii="Arial" w:hAnsi="Arial" w:cs="Arial"/>
          <w:sz w:val="22"/>
          <w:szCs w:val="22"/>
        </w:rPr>
        <w:t>, </w:t>
      </w:r>
      <w:r w:rsidRPr="00CF31D9">
        <w:rPr>
          <w:rFonts w:ascii="Arial" w:hAnsi="Arial" w:cs="Arial"/>
          <w:i/>
          <w:iCs/>
          <w:sz w:val="22"/>
          <w:szCs w:val="22"/>
        </w:rPr>
        <w:t>14</w:t>
      </w:r>
      <w:r w:rsidRPr="00CF31D9">
        <w:rPr>
          <w:rFonts w:ascii="Arial" w:hAnsi="Arial" w:cs="Arial"/>
          <w:sz w:val="22"/>
          <w:szCs w:val="22"/>
        </w:rPr>
        <w:t>(1), e081378.</w:t>
      </w:r>
      <w:r>
        <w:rPr>
          <w:rFonts w:ascii="Arial" w:hAnsi="Arial" w:cs="Arial"/>
          <w:sz w:val="22"/>
          <w:szCs w:val="22"/>
        </w:rPr>
        <w:t xml:space="preserve"> </w:t>
      </w:r>
      <w:hyperlink r:id="rId12" w:history="1">
        <w:r w:rsidRPr="00F2194B">
          <w:rPr>
            <w:rStyle w:val="Hyperlink"/>
            <w:rFonts w:ascii="Arial" w:hAnsi="Arial" w:cs="Arial"/>
            <w:sz w:val="22"/>
            <w:szCs w:val="22"/>
          </w:rPr>
          <w:t>https://doi.org/10.1136/bmjopen-2023-081378</w:t>
        </w:r>
      </w:hyperlink>
    </w:p>
    <w:p w14:paraId="6D6A2343" w14:textId="181839C0"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Kanyimo, E. (2022</w:t>
      </w:r>
      <w:r w:rsidR="007E68A5">
        <w:rPr>
          <w:rFonts w:ascii="Arial" w:hAnsi="Arial" w:cs="Arial"/>
          <w:sz w:val="22"/>
          <w:szCs w:val="22"/>
        </w:rPr>
        <w:t xml:space="preserve">) </w:t>
      </w:r>
      <w:r w:rsidRPr="00CF31D9">
        <w:rPr>
          <w:rFonts w:ascii="Arial" w:hAnsi="Arial" w:cs="Arial"/>
          <w:sz w:val="22"/>
          <w:szCs w:val="22"/>
        </w:rPr>
        <w:t>Using virtual wards and long-term conditions management network to improve practice and performance. </w:t>
      </w:r>
      <w:r w:rsidRPr="00CF31D9">
        <w:rPr>
          <w:rFonts w:ascii="Arial" w:hAnsi="Arial" w:cs="Arial"/>
          <w:i/>
          <w:iCs/>
          <w:sz w:val="22"/>
          <w:szCs w:val="22"/>
        </w:rPr>
        <w:t>BMJ open quality</w:t>
      </w:r>
      <w:r w:rsidRPr="00CF31D9">
        <w:rPr>
          <w:rFonts w:ascii="Arial" w:hAnsi="Arial" w:cs="Arial"/>
          <w:sz w:val="22"/>
          <w:szCs w:val="22"/>
        </w:rPr>
        <w:t>, </w:t>
      </w:r>
      <w:r w:rsidRPr="00CF31D9">
        <w:rPr>
          <w:rFonts w:ascii="Arial" w:hAnsi="Arial" w:cs="Arial"/>
          <w:i/>
          <w:iCs/>
          <w:sz w:val="22"/>
          <w:szCs w:val="22"/>
        </w:rPr>
        <w:t>11</w:t>
      </w:r>
      <w:r w:rsidRPr="00CF31D9">
        <w:rPr>
          <w:rFonts w:ascii="Arial" w:hAnsi="Arial" w:cs="Arial"/>
          <w:sz w:val="22"/>
          <w:szCs w:val="22"/>
        </w:rPr>
        <w:t>(4), e001952.</w:t>
      </w:r>
      <w:r>
        <w:rPr>
          <w:rFonts w:ascii="Arial" w:hAnsi="Arial" w:cs="Arial"/>
          <w:sz w:val="22"/>
          <w:szCs w:val="22"/>
        </w:rPr>
        <w:t xml:space="preserve"> </w:t>
      </w:r>
      <w:hyperlink r:id="rId13" w:history="1">
        <w:r w:rsidRPr="00F2194B">
          <w:rPr>
            <w:rStyle w:val="Hyperlink"/>
            <w:rFonts w:ascii="Arial" w:hAnsi="Arial" w:cs="Arial"/>
            <w:sz w:val="22"/>
            <w:szCs w:val="22"/>
          </w:rPr>
          <w:t>https://doi.org/10.1136/bmjoq-2022-001952</w:t>
        </w:r>
      </w:hyperlink>
    </w:p>
    <w:p w14:paraId="1BD7A931" w14:textId="7860D445"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Litchfield, I., Lewis, R., Delanerolle, G., Melyda, M., </w:t>
      </w:r>
      <w:r w:rsidR="007E68A5">
        <w:rPr>
          <w:rFonts w:ascii="Arial" w:hAnsi="Arial" w:cs="Arial"/>
          <w:sz w:val="22"/>
          <w:szCs w:val="22"/>
        </w:rPr>
        <w:t xml:space="preserve">and </w:t>
      </w:r>
      <w:r w:rsidRPr="00CF31D9">
        <w:rPr>
          <w:rFonts w:ascii="Arial" w:hAnsi="Arial" w:cs="Arial"/>
          <w:sz w:val="22"/>
          <w:szCs w:val="22"/>
        </w:rPr>
        <w:t>Harper, L. (2025</w:t>
      </w:r>
      <w:r w:rsidR="007E68A5">
        <w:rPr>
          <w:rFonts w:ascii="Arial" w:hAnsi="Arial" w:cs="Arial"/>
          <w:sz w:val="22"/>
          <w:szCs w:val="22"/>
        </w:rPr>
        <w:t xml:space="preserve">) </w:t>
      </w:r>
      <w:r w:rsidRPr="00CF31D9">
        <w:rPr>
          <w:rFonts w:ascii="Arial" w:hAnsi="Arial" w:cs="Arial"/>
          <w:sz w:val="22"/>
          <w:szCs w:val="22"/>
        </w:rPr>
        <w:t>Factors Influencing the Implementation of a Multispecialty Virtual Ward Program in the United Kingdom: Qualitative Exploration of Staff Experiences and Perspectives. </w:t>
      </w:r>
      <w:r w:rsidRPr="00CF31D9">
        <w:rPr>
          <w:rFonts w:ascii="Arial" w:hAnsi="Arial" w:cs="Arial"/>
          <w:i/>
          <w:iCs/>
          <w:sz w:val="22"/>
          <w:szCs w:val="22"/>
        </w:rPr>
        <w:t>Journal of Medical Internet Research</w:t>
      </w:r>
      <w:r w:rsidRPr="00CF31D9">
        <w:rPr>
          <w:rFonts w:ascii="Arial" w:hAnsi="Arial" w:cs="Arial"/>
          <w:sz w:val="22"/>
          <w:szCs w:val="22"/>
        </w:rPr>
        <w:t>, </w:t>
      </w:r>
      <w:r w:rsidRPr="00CF31D9">
        <w:rPr>
          <w:rFonts w:ascii="Arial" w:hAnsi="Arial" w:cs="Arial"/>
          <w:i/>
          <w:iCs/>
          <w:sz w:val="22"/>
          <w:szCs w:val="22"/>
        </w:rPr>
        <w:t>27</w:t>
      </w:r>
      <w:r w:rsidRPr="00CF31D9">
        <w:rPr>
          <w:rFonts w:ascii="Arial" w:hAnsi="Arial" w:cs="Arial"/>
          <w:sz w:val="22"/>
          <w:szCs w:val="22"/>
        </w:rPr>
        <w:t>, e75406.</w:t>
      </w:r>
      <w:r>
        <w:rPr>
          <w:rFonts w:ascii="Arial" w:hAnsi="Arial" w:cs="Arial"/>
          <w:sz w:val="22"/>
          <w:szCs w:val="22"/>
        </w:rPr>
        <w:t xml:space="preserve"> </w:t>
      </w:r>
      <w:hyperlink r:id="rId14" w:history="1">
        <w:r w:rsidRPr="00F2194B">
          <w:rPr>
            <w:rStyle w:val="Hyperlink"/>
            <w:rFonts w:ascii="Arial" w:hAnsi="Arial" w:cs="Arial"/>
            <w:sz w:val="22"/>
            <w:szCs w:val="22"/>
          </w:rPr>
          <w:t>https://doi.org/10.2196/75406</w:t>
        </w:r>
      </w:hyperlink>
    </w:p>
    <w:p w14:paraId="3B828D59" w14:textId="1445CBFE"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McGowan, L. J., Graham, F., Lecouturier, J., Goffe, L., Echevarria, C., Kelly, M. P., </w:t>
      </w:r>
      <w:r w:rsidR="007E68A5">
        <w:rPr>
          <w:rFonts w:ascii="Arial" w:hAnsi="Arial" w:cs="Arial"/>
          <w:sz w:val="22"/>
          <w:szCs w:val="22"/>
        </w:rPr>
        <w:t xml:space="preserve">and </w:t>
      </w:r>
      <w:r w:rsidRPr="00CF31D9">
        <w:rPr>
          <w:rFonts w:ascii="Arial" w:hAnsi="Arial" w:cs="Arial"/>
          <w:sz w:val="22"/>
          <w:szCs w:val="22"/>
        </w:rPr>
        <w:t>Sniehotta, F. F. (2024</w:t>
      </w:r>
      <w:r w:rsidR="007E68A5">
        <w:rPr>
          <w:rFonts w:ascii="Arial" w:hAnsi="Arial" w:cs="Arial"/>
          <w:sz w:val="22"/>
          <w:szCs w:val="22"/>
        </w:rPr>
        <w:t xml:space="preserve">) </w:t>
      </w:r>
      <w:r w:rsidRPr="00CF31D9">
        <w:rPr>
          <w:rFonts w:ascii="Arial" w:hAnsi="Arial" w:cs="Arial"/>
          <w:sz w:val="22"/>
          <w:szCs w:val="22"/>
        </w:rPr>
        <w:t>The views and experiences of integrated care system commissioners about the adoption and implementation of virtual wards in England: Qualitative exploration study. </w:t>
      </w:r>
      <w:r w:rsidRPr="00CF31D9">
        <w:rPr>
          <w:rFonts w:ascii="Arial" w:hAnsi="Arial" w:cs="Arial"/>
          <w:i/>
          <w:iCs/>
          <w:sz w:val="22"/>
          <w:szCs w:val="22"/>
        </w:rPr>
        <w:t>Journal of Medical Internet Research</w:t>
      </w:r>
      <w:r w:rsidRPr="00CF31D9">
        <w:rPr>
          <w:rFonts w:ascii="Arial" w:hAnsi="Arial" w:cs="Arial"/>
          <w:sz w:val="22"/>
          <w:szCs w:val="22"/>
        </w:rPr>
        <w:t>, </w:t>
      </w:r>
      <w:r w:rsidRPr="00CF31D9">
        <w:rPr>
          <w:rFonts w:ascii="Arial" w:hAnsi="Arial" w:cs="Arial"/>
          <w:i/>
          <w:iCs/>
          <w:sz w:val="22"/>
          <w:szCs w:val="22"/>
        </w:rPr>
        <w:t>26</w:t>
      </w:r>
      <w:r w:rsidRPr="00CF31D9">
        <w:rPr>
          <w:rFonts w:ascii="Arial" w:hAnsi="Arial" w:cs="Arial"/>
          <w:sz w:val="22"/>
          <w:szCs w:val="22"/>
        </w:rPr>
        <w:t>, e56494.</w:t>
      </w:r>
      <w:r>
        <w:rPr>
          <w:rFonts w:ascii="Arial" w:hAnsi="Arial" w:cs="Arial"/>
          <w:sz w:val="22"/>
          <w:szCs w:val="22"/>
        </w:rPr>
        <w:t xml:space="preserve"> </w:t>
      </w:r>
      <w:hyperlink r:id="rId15" w:history="1">
        <w:r w:rsidRPr="00F2194B">
          <w:rPr>
            <w:rStyle w:val="Hyperlink"/>
            <w:rFonts w:ascii="Arial" w:hAnsi="Arial" w:cs="Arial"/>
            <w:sz w:val="22"/>
            <w:szCs w:val="22"/>
          </w:rPr>
          <w:t>https://doi.org/10.2196/56494</w:t>
        </w:r>
      </w:hyperlink>
    </w:p>
    <w:p w14:paraId="1A75734A" w14:textId="6BCD7634"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Norman, G., Bennett, P., </w:t>
      </w:r>
      <w:r w:rsidR="007E68A5">
        <w:rPr>
          <w:rFonts w:ascii="Arial" w:hAnsi="Arial" w:cs="Arial"/>
          <w:sz w:val="22"/>
          <w:szCs w:val="22"/>
        </w:rPr>
        <w:t xml:space="preserve">and </w:t>
      </w:r>
      <w:r w:rsidRPr="00CF31D9">
        <w:rPr>
          <w:rFonts w:ascii="Arial" w:hAnsi="Arial" w:cs="Arial"/>
          <w:sz w:val="22"/>
          <w:szCs w:val="22"/>
        </w:rPr>
        <w:t>Vardy, E. R. (2023</w:t>
      </w:r>
      <w:r w:rsidR="007E68A5">
        <w:rPr>
          <w:rFonts w:ascii="Arial" w:hAnsi="Arial" w:cs="Arial"/>
          <w:sz w:val="22"/>
          <w:szCs w:val="22"/>
        </w:rPr>
        <w:t xml:space="preserve">) </w:t>
      </w:r>
      <w:r w:rsidRPr="00CF31D9">
        <w:rPr>
          <w:rFonts w:ascii="Arial" w:hAnsi="Arial" w:cs="Arial"/>
          <w:sz w:val="22"/>
          <w:szCs w:val="22"/>
        </w:rPr>
        <w:t>Virtual wards: a rapid evidence synthesis and implications for the care of older people. </w:t>
      </w:r>
      <w:r w:rsidRPr="00CF31D9">
        <w:rPr>
          <w:rFonts w:ascii="Arial" w:hAnsi="Arial" w:cs="Arial"/>
          <w:i/>
          <w:iCs/>
          <w:sz w:val="22"/>
          <w:szCs w:val="22"/>
        </w:rPr>
        <w:t>Age and Ageing</w:t>
      </w:r>
      <w:r w:rsidRPr="00CF31D9">
        <w:rPr>
          <w:rFonts w:ascii="Arial" w:hAnsi="Arial" w:cs="Arial"/>
          <w:sz w:val="22"/>
          <w:szCs w:val="22"/>
        </w:rPr>
        <w:t>, </w:t>
      </w:r>
      <w:r w:rsidRPr="00CF31D9">
        <w:rPr>
          <w:rFonts w:ascii="Arial" w:hAnsi="Arial" w:cs="Arial"/>
          <w:i/>
          <w:iCs/>
          <w:sz w:val="22"/>
          <w:szCs w:val="22"/>
        </w:rPr>
        <w:t>52</w:t>
      </w:r>
      <w:r w:rsidRPr="00CF31D9">
        <w:rPr>
          <w:rFonts w:ascii="Arial" w:hAnsi="Arial" w:cs="Arial"/>
          <w:sz w:val="22"/>
          <w:szCs w:val="22"/>
        </w:rPr>
        <w:t>(1), afac319.</w:t>
      </w:r>
      <w:r>
        <w:rPr>
          <w:rFonts w:ascii="Arial" w:hAnsi="Arial" w:cs="Arial"/>
          <w:sz w:val="22"/>
          <w:szCs w:val="22"/>
        </w:rPr>
        <w:t xml:space="preserve"> </w:t>
      </w:r>
      <w:hyperlink r:id="rId16" w:history="1">
        <w:r w:rsidRPr="00F2194B">
          <w:rPr>
            <w:rStyle w:val="Hyperlink"/>
            <w:rFonts w:ascii="Arial" w:hAnsi="Arial" w:cs="Arial"/>
            <w:sz w:val="22"/>
            <w:szCs w:val="22"/>
          </w:rPr>
          <w:t>https://doi.org/10.1093/ageing/afac319</w:t>
        </w:r>
      </w:hyperlink>
    </w:p>
    <w:p w14:paraId="26D49D33" w14:textId="65F931D9" w:rsidR="009D6682" w:rsidRPr="00625F1A" w:rsidRDefault="009D6682" w:rsidP="00C93B86">
      <w:pPr>
        <w:spacing w:before="240" w:line="360" w:lineRule="auto"/>
        <w:ind w:left="720" w:hanging="720"/>
        <w:rPr>
          <w:rFonts w:ascii="Arial" w:hAnsi="Arial" w:cs="Arial"/>
          <w:sz w:val="22"/>
          <w:szCs w:val="22"/>
        </w:rPr>
      </w:pPr>
      <w:r w:rsidRPr="0019268B">
        <w:rPr>
          <w:rFonts w:ascii="Arial" w:hAnsi="Arial" w:cs="Arial"/>
          <w:sz w:val="22"/>
          <w:szCs w:val="22"/>
        </w:rPr>
        <w:t xml:space="preserve">Pahirden, G. R., Stefler, D., </w:t>
      </w:r>
      <w:r w:rsidR="007E68A5">
        <w:rPr>
          <w:rFonts w:ascii="Arial" w:hAnsi="Arial" w:cs="Arial"/>
          <w:sz w:val="22"/>
          <w:szCs w:val="22"/>
        </w:rPr>
        <w:t xml:space="preserve">and </w:t>
      </w:r>
      <w:r w:rsidRPr="0019268B">
        <w:rPr>
          <w:rFonts w:ascii="Arial" w:hAnsi="Arial" w:cs="Arial"/>
          <w:sz w:val="22"/>
          <w:szCs w:val="22"/>
        </w:rPr>
        <w:t>Jayatunga, W. (2025</w:t>
      </w:r>
      <w:r w:rsidR="007E68A5">
        <w:rPr>
          <w:rFonts w:ascii="Arial" w:hAnsi="Arial" w:cs="Arial"/>
          <w:sz w:val="22"/>
          <w:szCs w:val="22"/>
        </w:rPr>
        <w:t xml:space="preserve">) </w:t>
      </w:r>
      <w:r w:rsidRPr="0019268B">
        <w:rPr>
          <w:rFonts w:ascii="Arial" w:hAnsi="Arial" w:cs="Arial"/>
          <w:sz w:val="22"/>
          <w:szCs w:val="22"/>
        </w:rPr>
        <w:t>The equity of virtual ward models of care across sociodemographic groups in the United Kingdom–a systematic review. </w:t>
      </w:r>
      <w:r w:rsidRPr="0019268B">
        <w:rPr>
          <w:rFonts w:ascii="Arial" w:hAnsi="Arial" w:cs="Arial"/>
          <w:i/>
          <w:iCs/>
          <w:sz w:val="22"/>
          <w:szCs w:val="22"/>
        </w:rPr>
        <w:t>Journal of Integrated Care</w:t>
      </w:r>
      <w:r w:rsidRPr="0019268B">
        <w:rPr>
          <w:rFonts w:ascii="Arial" w:hAnsi="Arial" w:cs="Arial"/>
          <w:sz w:val="22"/>
          <w:szCs w:val="22"/>
        </w:rPr>
        <w:t>, 1-17.</w:t>
      </w:r>
      <w:r>
        <w:rPr>
          <w:rFonts w:ascii="Arial" w:hAnsi="Arial" w:cs="Arial"/>
          <w:sz w:val="22"/>
          <w:szCs w:val="22"/>
        </w:rPr>
        <w:t xml:space="preserve"> </w:t>
      </w:r>
      <w:hyperlink r:id="rId17" w:history="1">
        <w:r w:rsidRPr="00F2194B">
          <w:rPr>
            <w:rStyle w:val="Hyperlink"/>
            <w:rFonts w:ascii="Arial" w:hAnsi="Arial" w:cs="Arial"/>
            <w:sz w:val="22"/>
            <w:szCs w:val="22"/>
          </w:rPr>
          <w:t>https://doi.org/10.1108/JICA-03-2025-0018</w:t>
        </w:r>
      </w:hyperlink>
      <w:r>
        <w:rPr>
          <w:rFonts w:ascii="Arial" w:hAnsi="Arial" w:cs="Arial"/>
          <w:sz w:val="22"/>
          <w:szCs w:val="22"/>
        </w:rPr>
        <w:t xml:space="preserve"> </w:t>
      </w:r>
    </w:p>
    <w:p w14:paraId="459F73A9" w14:textId="4F955537"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Pugmire, J., Ashish, A., Chadwick, A., Wilkes, M., Meekin, D., Zaniello, B., </w:t>
      </w:r>
      <w:r w:rsidR="007E68A5">
        <w:rPr>
          <w:rFonts w:ascii="Arial" w:hAnsi="Arial" w:cs="Arial"/>
          <w:sz w:val="22"/>
          <w:szCs w:val="22"/>
        </w:rPr>
        <w:t xml:space="preserve">and </w:t>
      </w:r>
      <w:r w:rsidRPr="00CF31D9">
        <w:rPr>
          <w:rFonts w:ascii="Arial" w:hAnsi="Arial" w:cs="Arial"/>
          <w:sz w:val="22"/>
          <w:szCs w:val="22"/>
        </w:rPr>
        <w:t>Zahradka, N. (2025</w:t>
      </w:r>
      <w:r w:rsidR="007E68A5">
        <w:rPr>
          <w:rFonts w:ascii="Arial" w:hAnsi="Arial" w:cs="Arial"/>
          <w:sz w:val="22"/>
          <w:szCs w:val="22"/>
        </w:rPr>
        <w:t xml:space="preserve">) </w:t>
      </w:r>
      <w:r w:rsidRPr="00CF31D9">
        <w:rPr>
          <w:rFonts w:ascii="Arial" w:hAnsi="Arial" w:cs="Arial"/>
          <w:sz w:val="22"/>
          <w:szCs w:val="22"/>
        </w:rPr>
        <w:t>A 2-Year Retrospective Clinical Evaluation of a Novel Virtual Ward Model. </w:t>
      </w:r>
      <w:r w:rsidRPr="00CF31D9">
        <w:rPr>
          <w:rFonts w:ascii="Arial" w:hAnsi="Arial" w:cs="Arial"/>
          <w:i/>
          <w:iCs/>
          <w:sz w:val="22"/>
          <w:szCs w:val="22"/>
        </w:rPr>
        <w:t xml:space="preserve">Journal of Primary Care </w:t>
      </w:r>
      <w:r w:rsidR="007E68A5">
        <w:rPr>
          <w:rFonts w:ascii="Arial" w:hAnsi="Arial" w:cs="Arial"/>
          <w:i/>
          <w:iCs/>
          <w:sz w:val="22"/>
          <w:szCs w:val="22"/>
        </w:rPr>
        <w:t xml:space="preserve">and </w:t>
      </w:r>
      <w:r w:rsidRPr="00CF31D9">
        <w:rPr>
          <w:rFonts w:ascii="Arial" w:hAnsi="Arial" w:cs="Arial"/>
          <w:i/>
          <w:iCs/>
          <w:sz w:val="22"/>
          <w:szCs w:val="22"/>
        </w:rPr>
        <w:t>Community Health</w:t>
      </w:r>
      <w:r w:rsidRPr="00CF31D9">
        <w:rPr>
          <w:rFonts w:ascii="Arial" w:hAnsi="Arial" w:cs="Arial"/>
          <w:sz w:val="22"/>
          <w:szCs w:val="22"/>
        </w:rPr>
        <w:t>, </w:t>
      </w:r>
      <w:r w:rsidRPr="00CF31D9">
        <w:rPr>
          <w:rFonts w:ascii="Arial" w:hAnsi="Arial" w:cs="Arial"/>
          <w:i/>
          <w:iCs/>
          <w:sz w:val="22"/>
          <w:szCs w:val="22"/>
        </w:rPr>
        <w:t>16</w:t>
      </w:r>
      <w:r w:rsidRPr="00CF31D9">
        <w:rPr>
          <w:rFonts w:ascii="Arial" w:hAnsi="Arial" w:cs="Arial"/>
          <w:sz w:val="22"/>
          <w:szCs w:val="22"/>
        </w:rPr>
        <w:t>, 21501319251326750.</w:t>
      </w:r>
      <w:r>
        <w:rPr>
          <w:rFonts w:ascii="Arial" w:hAnsi="Arial" w:cs="Arial"/>
          <w:sz w:val="22"/>
          <w:szCs w:val="22"/>
        </w:rPr>
        <w:t xml:space="preserve"> </w:t>
      </w:r>
      <w:hyperlink r:id="rId18" w:history="1">
        <w:r w:rsidRPr="00F2194B">
          <w:rPr>
            <w:rStyle w:val="Hyperlink"/>
            <w:rFonts w:ascii="Arial" w:hAnsi="Arial" w:cs="Arial"/>
            <w:sz w:val="22"/>
            <w:szCs w:val="22"/>
          </w:rPr>
          <w:t>https://doi.org/10.1177/21501319251326750</w:t>
        </w:r>
      </w:hyperlink>
    </w:p>
    <w:p w14:paraId="1124F4D6" w14:textId="3C6B2900" w:rsid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Vera San Juan, N., Shah, P., Schlief, M., Appleton, R., Nyikavaranda, P., Birken, M., ... </w:t>
      </w:r>
      <w:r w:rsidR="007E68A5">
        <w:rPr>
          <w:rFonts w:ascii="Arial" w:hAnsi="Arial" w:cs="Arial"/>
          <w:sz w:val="22"/>
          <w:szCs w:val="22"/>
        </w:rPr>
        <w:t xml:space="preserve">and </w:t>
      </w:r>
      <w:r w:rsidRPr="00CF31D9">
        <w:rPr>
          <w:rFonts w:ascii="Arial" w:hAnsi="Arial" w:cs="Arial"/>
          <w:sz w:val="22"/>
          <w:szCs w:val="22"/>
        </w:rPr>
        <w:t>Johnson, S. (2021</w:t>
      </w:r>
      <w:r w:rsidR="007E68A5">
        <w:rPr>
          <w:rFonts w:ascii="Arial" w:hAnsi="Arial" w:cs="Arial"/>
          <w:sz w:val="22"/>
          <w:szCs w:val="22"/>
        </w:rPr>
        <w:t xml:space="preserve">) </w:t>
      </w:r>
      <w:r w:rsidRPr="00CF31D9">
        <w:rPr>
          <w:rFonts w:ascii="Arial" w:hAnsi="Arial" w:cs="Arial"/>
          <w:sz w:val="22"/>
          <w:szCs w:val="22"/>
        </w:rPr>
        <w:t>Service user experiences and views regarding telemental health during the COVID-19 pandemic: A co-produced framework analysis. </w:t>
      </w:r>
      <w:r w:rsidRPr="00CF31D9">
        <w:rPr>
          <w:rFonts w:ascii="Arial" w:hAnsi="Arial" w:cs="Arial"/>
          <w:i/>
          <w:iCs/>
          <w:sz w:val="22"/>
          <w:szCs w:val="22"/>
        </w:rPr>
        <w:t>PloS one</w:t>
      </w:r>
      <w:r w:rsidRPr="00CF31D9">
        <w:rPr>
          <w:rFonts w:ascii="Arial" w:hAnsi="Arial" w:cs="Arial"/>
          <w:sz w:val="22"/>
          <w:szCs w:val="22"/>
        </w:rPr>
        <w:t>, </w:t>
      </w:r>
      <w:r w:rsidRPr="00CF31D9">
        <w:rPr>
          <w:rFonts w:ascii="Arial" w:hAnsi="Arial" w:cs="Arial"/>
          <w:i/>
          <w:iCs/>
          <w:sz w:val="22"/>
          <w:szCs w:val="22"/>
        </w:rPr>
        <w:t>16</w:t>
      </w:r>
      <w:r w:rsidRPr="00CF31D9">
        <w:rPr>
          <w:rFonts w:ascii="Arial" w:hAnsi="Arial" w:cs="Arial"/>
          <w:sz w:val="22"/>
          <w:szCs w:val="22"/>
        </w:rPr>
        <w:t>(9), e0257270.</w:t>
      </w:r>
      <w:r>
        <w:rPr>
          <w:rFonts w:ascii="Arial" w:hAnsi="Arial" w:cs="Arial"/>
          <w:sz w:val="22"/>
          <w:szCs w:val="22"/>
        </w:rPr>
        <w:t xml:space="preserve"> </w:t>
      </w:r>
      <w:hyperlink r:id="rId19" w:history="1">
        <w:r w:rsidRPr="00F2194B">
          <w:rPr>
            <w:rStyle w:val="Hyperlink"/>
            <w:rFonts w:ascii="Arial" w:hAnsi="Arial" w:cs="Arial"/>
            <w:sz w:val="22"/>
            <w:szCs w:val="22"/>
          </w:rPr>
          <w:t>https://doi.org/10.1371/journal.pone.0257270</w:t>
        </w:r>
      </w:hyperlink>
    </w:p>
    <w:p w14:paraId="51D1726F" w14:textId="7CEE9ED5" w:rsidR="009D6682" w:rsidRDefault="009D6682" w:rsidP="00C93B86">
      <w:pPr>
        <w:spacing w:before="240" w:line="360" w:lineRule="auto"/>
        <w:ind w:left="720" w:hanging="720"/>
        <w:rPr>
          <w:rFonts w:ascii="Arial" w:hAnsi="Arial" w:cs="Arial"/>
          <w:sz w:val="22"/>
          <w:szCs w:val="22"/>
        </w:rPr>
      </w:pPr>
      <w:r w:rsidRPr="0019268B">
        <w:rPr>
          <w:rFonts w:ascii="Arial" w:hAnsi="Arial" w:cs="Arial"/>
          <w:sz w:val="22"/>
          <w:szCs w:val="22"/>
        </w:rPr>
        <w:t xml:space="preserve">Westby, M., Ijaz, S., Savović, J., McLeod, H., Dawson, S., Welsh, T., ... </w:t>
      </w:r>
      <w:r w:rsidR="007E68A5">
        <w:rPr>
          <w:rFonts w:ascii="Arial" w:hAnsi="Arial" w:cs="Arial"/>
          <w:sz w:val="22"/>
          <w:szCs w:val="22"/>
        </w:rPr>
        <w:t xml:space="preserve">and </w:t>
      </w:r>
      <w:r w:rsidRPr="0019268B">
        <w:rPr>
          <w:rFonts w:ascii="Arial" w:hAnsi="Arial" w:cs="Arial"/>
          <w:sz w:val="22"/>
          <w:szCs w:val="22"/>
        </w:rPr>
        <w:t>Bradley, N. (2024</w:t>
      </w:r>
      <w:r w:rsidR="007E68A5">
        <w:rPr>
          <w:rFonts w:ascii="Arial" w:hAnsi="Arial" w:cs="Arial"/>
          <w:sz w:val="22"/>
          <w:szCs w:val="22"/>
        </w:rPr>
        <w:t xml:space="preserve">) </w:t>
      </w:r>
      <w:r w:rsidRPr="0019268B">
        <w:rPr>
          <w:rFonts w:ascii="Arial" w:hAnsi="Arial" w:cs="Arial"/>
          <w:sz w:val="22"/>
          <w:szCs w:val="22"/>
        </w:rPr>
        <w:t>Virtual wards for people with frailty: what works, for whom, how and why—a rapid realist review. </w:t>
      </w:r>
      <w:r w:rsidRPr="0019268B">
        <w:rPr>
          <w:rFonts w:ascii="Arial" w:hAnsi="Arial" w:cs="Arial"/>
          <w:i/>
          <w:iCs/>
          <w:sz w:val="22"/>
          <w:szCs w:val="22"/>
        </w:rPr>
        <w:t>Age and Ageing</w:t>
      </w:r>
      <w:r w:rsidRPr="0019268B">
        <w:rPr>
          <w:rFonts w:ascii="Arial" w:hAnsi="Arial" w:cs="Arial"/>
          <w:sz w:val="22"/>
          <w:szCs w:val="22"/>
        </w:rPr>
        <w:t>, </w:t>
      </w:r>
      <w:r w:rsidRPr="0019268B">
        <w:rPr>
          <w:rFonts w:ascii="Arial" w:hAnsi="Arial" w:cs="Arial"/>
          <w:i/>
          <w:iCs/>
          <w:sz w:val="22"/>
          <w:szCs w:val="22"/>
        </w:rPr>
        <w:t>53</w:t>
      </w:r>
      <w:r w:rsidRPr="0019268B">
        <w:rPr>
          <w:rFonts w:ascii="Arial" w:hAnsi="Arial" w:cs="Arial"/>
          <w:sz w:val="22"/>
          <w:szCs w:val="22"/>
        </w:rPr>
        <w:t>(3), afae039.</w:t>
      </w:r>
      <w:r>
        <w:rPr>
          <w:rFonts w:ascii="Arial" w:hAnsi="Arial" w:cs="Arial"/>
          <w:sz w:val="22"/>
          <w:szCs w:val="22"/>
        </w:rPr>
        <w:t xml:space="preserve"> </w:t>
      </w:r>
      <w:hyperlink r:id="rId20" w:history="1">
        <w:r w:rsidRPr="00F2194B">
          <w:rPr>
            <w:rStyle w:val="Hyperlink"/>
            <w:rFonts w:ascii="Arial" w:hAnsi="Arial" w:cs="Arial"/>
            <w:sz w:val="22"/>
            <w:szCs w:val="22"/>
          </w:rPr>
          <w:t>https://doi.org/10.1093/ageing/afae039</w:t>
        </w:r>
      </w:hyperlink>
    </w:p>
    <w:p w14:paraId="6207447D" w14:textId="48DDD84F" w:rsidR="00CB5AD5" w:rsidRPr="009D6682" w:rsidRDefault="009D6682" w:rsidP="00C93B86">
      <w:pPr>
        <w:spacing w:before="240" w:line="360" w:lineRule="auto"/>
        <w:ind w:left="720" w:hanging="720"/>
        <w:rPr>
          <w:rFonts w:ascii="Arial" w:hAnsi="Arial" w:cs="Arial"/>
          <w:sz w:val="22"/>
          <w:szCs w:val="22"/>
        </w:rPr>
      </w:pPr>
      <w:r w:rsidRPr="00CF31D9">
        <w:rPr>
          <w:rFonts w:ascii="Arial" w:hAnsi="Arial" w:cs="Arial"/>
          <w:sz w:val="22"/>
          <w:szCs w:val="22"/>
        </w:rPr>
        <w:t xml:space="preserve">Wilson-Aggarwal, J. K., Gotts, N., Wong, W. K., Liddington, C., Knight, S., Spyer, M. J., ... </w:t>
      </w:r>
      <w:r w:rsidR="007E68A5">
        <w:rPr>
          <w:rFonts w:ascii="Arial" w:hAnsi="Arial" w:cs="Arial"/>
          <w:sz w:val="22"/>
          <w:szCs w:val="22"/>
        </w:rPr>
        <w:t xml:space="preserve">and </w:t>
      </w:r>
      <w:r w:rsidRPr="00CF31D9">
        <w:rPr>
          <w:rFonts w:ascii="Arial" w:hAnsi="Arial" w:cs="Arial"/>
          <w:sz w:val="22"/>
          <w:szCs w:val="22"/>
        </w:rPr>
        <w:t>Manley, E. (2022</w:t>
      </w:r>
      <w:r w:rsidR="007E68A5">
        <w:rPr>
          <w:rFonts w:ascii="Arial" w:hAnsi="Arial" w:cs="Arial"/>
          <w:sz w:val="22"/>
          <w:szCs w:val="22"/>
        </w:rPr>
        <w:t xml:space="preserve">) </w:t>
      </w:r>
      <w:r w:rsidRPr="00CF31D9">
        <w:rPr>
          <w:rFonts w:ascii="Arial" w:hAnsi="Arial" w:cs="Arial"/>
          <w:sz w:val="22"/>
          <w:szCs w:val="22"/>
        </w:rPr>
        <w:t>Investigating healthcare worker mobility and patient contacts within a UK hospital during the COVID-19 pandemic. </w:t>
      </w:r>
      <w:r w:rsidRPr="00CF31D9">
        <w:rPr>
          <w:rFonts w:ascii="Arial" w:hAnsi="Arial" w:cs="Arial"/>
          <w:i/>
          <w:iCs/>
          <w:sz w:val="22"/>
          <w:szCs w:val="22"/>
        </w:rPr>
        <w:t>Communications Medicine</w:t>
      </w:r>
      <w:r w:rsidRPr="00CF31D9">
        <w:rPr>
          <w:rFonts w:ascii="Arial" w:hAnsi="Arial" w:cs="Arial"/>
          <w:sz w:val="22"/>
          <w:szCs w:val="22"/>
        </w:rPr>
        <w:t>, </w:t>
      </w:r>
      <w:r w:rsidRPr="00CF31D9">
        <w:rPr>
          <w:rFonts w:ascii="Arial" w:hAnsi="Arial" w:cs="Arial"/>
          <w:i/>
          <w:iCs/>
          <w:sz w:val="22"/>
          <w:szCs w:val="22"/>
        </w:rPr>
        <w:t>2</w:t>
      </w:r>
      <w:r w:rsidRPr="00CF31D9">
        <w:rPr>
          <w:rFonts w:ascii="Arial" w:hAnsi="Arial" w:cs="Arial"/>
          <w:sz w:val="22"/>
          <w:szCs w:val="22"/>
        </w:rPr>
        <w:t>(1), 165.</w:t>
      </w:r>
      <w:r>
        <w:rPr>
          <w:rFonts w:ascii="Arial" w:hAnsi="Arial" w:cs="Arial"/>
          <w:sz w:val="22"/>
          <w:szCs w:val="22"/>
        </w:rPr>
        <w:t xml:space="preserve"> </w:t>
      </w:r>
      <w:hyperlink r:id="rId21" w:history="1">
        <w:r w:rsidRPr="00F2194B">
          <w:rPr>
            <w:rStyle w:val="Hyperlink"/>
            <w:rFonts w:ascii="Arial" w:hAnsi="Arial" w:cs="Arial"/>
            <w:sz w:val="22"/>
            <w:szCs w:val="22"/>
          </w:rPr>
          <w:t>https://doi.org/10.1038/s43856-022-00229-x</w:t>
        </w:r>
      </w:hyperlink>
    </w:p>
    <w:sectPr w:rsidR="00CB5AD5" w:rsidRPr="009D6682">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F4968" w14:textId="77777777" w:rsidR="00D77805" w:rsidRDefault="00D77805" w:rsidP="00B33874">
      <w:pPr>
        <w:spacing w:after="0" w:line="240" w:lineRule="auto"/>
      </w:pPr>
      <w:r>
        <w:separator/>
      </w:r>
    </w:p>
  </w:endnote>
  <w:endnote w:type="continuationSeparator" w:id="0">
    <w:p w14:paraId="5CFD86A5" w14:textId="77777777" w:rsidR="00D77805" w:rsidRDefault="00D77805" w:rsidP="00B33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411C1" w14:textId="77777777" w:rsidR="00D77805" w:rsidRDefault="00D77805" w:rsidP="00B33874">
      <w:pPr>
        <w:spacing w:after="0" w:line="240" w:lineRule="auto"/>
      </w:pPr>
      <w:r>
        <w:separator/>
      </w:r>
    </w:p>
  </w:footnote>
  <w:footnote w:type="continuationSeparator" w:id="0">
    <w:p w14:paraId="7238D72C" w14:textId="77777777" w:rsidR="00D77805" w:rsidRDefault="00D77805" w:rsidP="00B33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7606070"/>
      <w:docPartObj>
        <w:docPartGallery w:val="Page Numbers (Top of Page)"/>
        <w:docPartUnique/>
      </w:docPartObj>
    </w:sdtPr>
    <w:sdtEndPr>
      <w:rPr>
        <w:noProof/>
      </w:rPr>
    </w:sdtEndPr>
    <w:sdtContent>
      <w:p w14:paraId="6FA62209" w14:textId="26EB5F69" w:rsidR="00B33874" w:rsidRDefault="00B3387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FC22CD" w14:textId="77777777" w:rsidR="00B33874" w:rsidRDefault="00B33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512BC"/>
    <w:multiLevelType w:val="multilevel"/>
    <w:tmpl w:val="C8DAE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3392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7"/>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874"/>
    <w:rsid w:val="001078BD"/>
    <w:rsid w:val="00381B40"/>
    <w:rsid w:val="003B1125"/>
    <w:rsid w:val="00420B6C"/>
    <w:rsid w:val="004C5D13"/>
    <w:rsid w:val="004C66AD"/>
    <w:rsid w:val="00525684"/>
    <w:rsid w:val="00552657"/>
    <w:rsid w:val="00562C78"/>
    <w:rsid w:val="0062150D"/>
    <w:rsid w:val="00694F39"/>
    <w:rsid w:val="006B4FF5"/>
    <w:rsid w:val="007E68A5"/>
    <w:rsid w:val="009D6682"/>
    <w:rsid w:val="00A57085"/>
    <w:rsid w:val="00B1027C"/>
    <w:rsid w:val="00B33874"/>
    <w:rsid w:val="00B576AE"/>
    <w:rsid w:val="00C93B86"/>
    <w:rsid w:val="00CB5AD5"/>
    <w:rsid w:val="00D14A55"/>
    <w:rsid w:val="00D77805"/>
    <w:rsid w:val="00DF22A9"/>
    <w:rsid w:val="00E2632C"/>
    <w:rsid w:val="00EE674F"/>
    <w:rsid w:val="00F3310D"/>
    <w:rsid w:val="00F70CD6"/>
    <w:rsid w:val="00FE2D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F291B"/>
  <w15:chartTrackingRefBased/>
  <w15:docId w15:val="{D8928414-1A9D-47C7-B38A-D999DCE84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DE4"/>
    <w:pPr>
      <w:keepNext/>
      <w:keepLines/>
      <w:spacing w:before="360" w:after="80" w:line="360" w:lineRule="auto"/>
      <w:jc w:val="center"/>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FE2DE4"/>
    <w:pPr>
      <w:keepNext/>
      <w:keepLines/>
      <w:spacing w:before="400" w:after="320" w:line="360" w:lineRule="auto"/>
      <w:outlineLvl w:val="1"/>
    </w:pPr>
    <w:rPr>
      <w:rFonts w:ascii="Arial" w:eastAsiaTheme="majorEastAsia" w:hAnsi="Arial" w:cstheme="majorBidi"/>
      <w:b/>
      <w:sz w:val="22"/>
      <w:szCs w:val="32"/>
    </w:rPr>
  </w:style>
  <w:style w:type="paragraph" w:styleId="Heading3">
    <w:name w:val="heading 3"/>
    <w:basedOn w:val="Normal"/>
    <w:next w:val="Normal"/>
    <w:link w:val="Heading3Char"/>
    <w:uiPriority w:val="9"/>
    <w:semiHidden/>
    <w:unhideWhenUsed/>
    <w:qFormat/>
    <w:rsid w:val="00B338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38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38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3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DE4"/>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FE2DE4"/>
    <w:rPr>
      <w:rFonts w:ascii="Arial" w:eastAsiaTheme="majorEastAsia" w:hAnsi="Arial" w:cstheme="majorBidi"/>
      <w:b/>
      <w:sz w:val="22"/>
      <w:szCs w:val="32"/>
    </w:rPr>
  </w:style>
  <w:style w:type="character" w:customStyle="1" w:styleId="Heading3Char">
    <w:name w:val="Heading 3 Char"/>
    <w:basedOn w:val="DefaultParagraphFont"/>
    <w:link w:val="Heading3"/>
    <w:uiPriority w:val="9"/>
    <w:semiHidden/>
    <w:rsid w:val="00B338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38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38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3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874"/>
    <w:rPr>
      <w:rFonts w:eastAsiaTheme="majorEastAsia" w:cstheme="majorBidi"/>
      <w:color w:val="272727" w:themeColor="text1" w:themeTint="D8"/>
    </w:rPr>
  </w:style>
  <w:style w:type="paragraph" w:styleId="Title">
    <w:name w:val="Title"/>
    <w:basedOn w:val="Normal"/>
    <w:next w:val="Normal"/>
    <w:link w:val="TitleChar"/>
    <w:uiPriority w:val="10"/>
    <w:qFormat/>
    <w:rsid w:val="00B33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874"/>
    <w:pPr>
      <w:spacing w:before="160"/>
      <w:jc w:val="center"/>
    </w:pPr>
    <w:rPr>
      <w:i/>
      <w:iCs/>
      <w:color w:val="404040" w:themeColor="text1" w:themeTint="BF"/>
    </w:rPr>
  </w:style>
  <w:style w:type="character" w:customStyle="1" w:styleId="QuoteChar">
    <w:name w:val="Quote Char"/>
    <w:basedOn w:val="DefaultParagraphFont"/>
    <w:link w:val="Quote"/>
    <w:uiPriority w:val="29"/>
    <w:rsid w:val="00B33874"/>
    <w:rPr>
      <w:i/>
      <w:iCs/>
      <w:color w:val="404040" w:themeColor="text1" w:themeTint="BF"/>
    </w:rPr>
  </w:style>
  <w:style w:type="paragraph" w:styleId="ListParagraph">
    <w:name w:val="List Paragraph"/>
    <w:basedOn w:val="Normal"/>
    <w:uiPriority w:val="34"/>
    <w:qFormat/>
    <w:rsid w:val="00B33874"/>
    <w:pPr>
      <w:ind w:left="720"/>
      <w:contextualSpacing/>
    </w:pPr>
  </w:style>
  <w:style w:type="character" w:styleId="IntenseEmphasis">
    <w:name w:val="Intense Emphasis"/>
    <w:basedOn w:val="DefaultParagraphFont"/>
    <w:uiPriority w:val="21"/>
    <w:qFormat/>
    <w:rsid w:val="00B33874"/>
    <w:rPr>
      <w:i/>
      <w:iCs/>
      <w:color w:val="2F5496" w:themeColor="accent1" w:themeShade="BF"/>
    </w:rPr>
  </w:style>
  <w:style w:type="paragraph" w:styleId="IntenseQuote">
    <w:name w:val="Intense Quote"/>
    <w:basedOn w:val="Normal"/>
    <w:next w:val="Normal"/>
    <w:link w:val="IntenseQuoteChar"/>
    <w:uiPriority w:val="30"/>
    <w:qFormat/>
    <w:rsid w:val="00B338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3874"/>
    <w:rPr>
      <w:i/>
      <w:iCs/>
      <w:color w:val="2F5496" w:themeColor="accent1" w:themeShade="BF"/>
    </w:rPr>
  </w:style>
  <w:style w:type="character" w:styleId="IntenseReference">
    <w:name w:val="Intense Reference"/>
    <w:basedOn w:val="DefaultParagraphFont"/>
    <w:uiPriority w:val="32"/>
    <w:qFormat/>
    <w:rsid w:val="00B33874"/>
    <w:rPr>
      <w:b/>
      <w:bCs/>
      <w:smallCaps/>
      <w:color w:val="2F5496" w:themeColor="accent1" w:themeShade="BF"/>
      <w:spacing w:val="5"/>
    </w:rPr>
  </w:style>
  <w:style w:type="paragraph" w:styleId="Header">
    <w:name w:val="header"/>
    <w:basedOn w:val="Normal"/>
    <w:link w:val="HeaderChar"/>
    <w:uiPriority w:val="99"/>
    <w:unhideWhenUsed/>
    <w:rsid w:val="00B338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874"/>
  </w:style>
  <w:style w:type="paragraph" w:styleId="Footer">
    <w:name w:val="footer"/>
    <w:basedOn w:val="Normal"/>
    <w:link w:val="FooterChar"/>
    <w:uiPriority w:val="99"/>
    <w:unhideWhenUsed/>
    <w:rsid w:val="00B33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874"/>
  </w:style>
  <w:style w:type="paragraph" w:styleId="TOCHeading">
    <w:name w:val="TOC Heading"/>
    <w:basedOn w:val="Heading1"/>
    <w:next w:val="Normal"/>
    <w:uiPriority w:val="39"/>
    <w:unhideWhenUsed/>
    <w:qFormat/>
    <w:rsid w:val="00381B40"/>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81B40"/>
    <w:pPr>
      <w:spacing w:after="100"/>
    </w:pPr>
  </w:style>
  <w:style w:type="paragraph" w:styleId="TOC2">
    <w:name w:val="toc 2"/>
    <w:basedOn w:val="Normal"/>
    <w:next w:val="Normal"/>
    <w:autoRedefine/>
    <w:uiPriority w:val="39"/>
    <w:unhideWhenUsed/>
    <w:rsid w:val="00381B40"/>
    <w:pPr>
      <w:spacing w:after="100"/>
      <w:ind w:left="240"/>
    </w:pPr>
  </w:style>
  <w:style w:type="character" w:styleId="Hyperlink">
    <w:name w:val="Hyperlink"/>
    <w:basedOn w:val="DefaultParagraphFont"/>
    <w:uiPriority w:val="99"/>
    <w:unhideWhenUsed/>
    <w:rsid w:val="00381B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11392120907638" TargetMode="External" /><Relationship Id="rId13" Type="http://schemas.openxmlformats.org/officeDocument/2006/relationships/hyperlink" Target="https://doi.org/10.1136/bmjoq-2022-001952" TargetMode="External" /><Relationship Id="rId18" Type="http://schemas.openxmlformats.org/officeDocument/2006/relationships/hyperlink" Target="https://doi.org/10.1177/21501319251326750" TargetMode="External" /><Relationship Id="rId3" Type="http://schemas.openxmlformats.org/officeDocument/2006/relationships/styles" Target="styles.xml" /><Relationship Id="rId21" Type="http://schemas.openxmlformats.org/officeDocument/2006/relationships/hyperlink" Target="https://doi.org/10.1038/s43856-022-00229-x" TargetMode="External" /><Relationship Id="rId7" Type="http://schemas.openxmlformats.org/officeDocument/2006/relationships/endnotes" Target="endnotes.xml" /><Relationship Id="rId12" Type="http://schemas.openxmlformats.org/officeDocument/2006/relationships/hyperlink" Target="https://doi.org/10.1136/bmjopen-2023-081378" TargetMode="External" /><Relationship Id="rId17" Type="http://schemas.openxmlformats.org/officeDocument/2006/relationships/hyperlink" Target="https://doi.org/10.1108/JICA-03-2025-0018" TargetMode="External" /><Relationship Id="rId2" Type="http://schemas.openxmlformats.org/officeDocument/2006/relationships/numbering" Target="numbering.xml" /><Relationship Id="rId16" Type="http://schemas.openxmlformats.org/officeDocument/2006/relationships/hyperlink" Target="https://doi.org/10.1093/ageing/afac319" TargetMode="External" /><Relationship Id="rId20" Type="http://schemas.openxmlformats.org/officeDocument/2006/relationships/hyperlink" Target="https://doi.org/10.1093/ageing/afae039"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390/healthcare12050533"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2196/56494" TargetMode="External" /><Relationship Id="rId23" Type="http://schemas.openxmlformats.org/officeDocument/2006/relationships/fontTable" Target="fontTable.xml" /><Relationship Id="rId10" Type="http://schemas.openxmlformats.org/officeDocument/2006/relationships/hyperlink" Target="https://publishing.rcseng.ac.uk/doi/pdf/10.1308/ann.2021.103.issue-6" TargetMode="External" /><Relationship Id="rId19" Type="http://schemas.openxmlformats.org/officeDocument/2006/relationships/hyperlink" Target="https://doi.org/10.1371/journal.pone.0257270" TargetMode="External" /><Relationship Id="rId4" Type="http://schemas.openxmlformats.org/officeDocument/2006/relationships/settings" Target="settings.xml" /><Relationship Id="rId9" Type="http://schemas.openxmlformats.org/officeDocument/2006/relationships/hyperlink" Target="https://books.google.com/books?hl=en&amp;lr=&amp;id=AWp6EAAAQBAJ&amp;oi=fnd&amp;pg=PP13&amp;dq=NHS+Virtual+Wards,+Many+Trusts+run+%E2%80%9Chub+and+spoke%E2%80%9D+models.+A+small+clinical+hub+(often+led+by+a+consultant+or+advanced+clinical+practitioner)+watches+dashboards,+&amp;ots=PkTJj2pMwx&amp;sig=zAcu6L5DO1ETKHFOqN4eImod7Xk" TargetMode="External" /><Relationship Id="rId14" Type="http://schemas.openxmlformats.org/officeDocument/2006/relationships/hyperlink" Target="https://doi.org/10.2196/75406" TargetMode="External" /><Relationship Id="rId2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A761E-AED5-498A-9A11-8EA78D463B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3424</Words>
  <Characters>19522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Somia Kausar (2239088)</cp:lastModifiedBy>
  <cp:revision>2</cp:revision>
  <dcterms:created xsi:type="dcterms:W3CDTF">2025-10-26T20:32:00Z</dcterms:created>
  <dcterms:modified xsi:type="dcterms:W3CDTF">2025-10-26T20:32:00Z</dcterms:modified>
</cp:coreProperties>
</file>