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DA0BC1" w14:textId="736A2275" w:rsidR="3F71E93F" w:rsidRPr="00B711FC" w:rsidRDefault="3F71E93F" w:rsidP="00B711FC">
      <w:pPr>
        <w:spacing w:line="360" w:lineRule="auto"/>
        <w:jc w:val="both"/>
        <w:rPr>
          <w:rFonts w:ascii="Arial" w:eastAsia="Times New Roman" w:hAnsi="Arial" w:cs="Arial"/>
          <w:color w:val="000000" w:themeColor="text1"/>
          <w:sz w:val="24"/>
          <w:szCs w:val="24"/>
        </w:rPr>
      </w:pPr>
    </w:p>
    <w:p w14:paraId="548E238D" w14:textId="72B47757" w:rsidR="3F71E93F" w:rsidRPr="00B711FC" w:rsidRDefault="3F71E93F" w:rsidP="00B711FC">
      <w:pPr>
        <w:spacing w:line="360" w:lineRule="auto"/>
        <w:jc w:val="both"/>
        <w:rPr>
          <w:rFonts w:ascii="Arial" w:eastAsia="Roboto" w:hAnsi="Arial" w:cs="Arial"/>
          <w:color w:val="1E1E1E"/>
          <w:sz w:val="25"/>
          <w:szCs w:val="25"/>
        </w:rPr>
      </w:pPr>
      <w:r w:rsidRPr="00B711FC">
        <w:rPr>
          <w:rFonts w:ascii="Arial" w:eastAsia="Times New Roman" w:hAnsi="Arial" w:cs="Arial"/>
          <w:color w:val="000000" w:themeColor="text1"/>
          <w:sz w:val="24"/>
          <w:szCs w:val="24"/>
        </w:rPr>
        <w:t xml:space="preserve">The United Nations Convention on the rights of the Child (UNCRC) is the most ratified treaty in human rights history and came into force in the UK in 1992 (UNICEF, 2022). It sets out the rights of every child including the right to protection from violence (article 19) and the right to a name and nationality (article 7). The articles are all equal, and no article takes precedent over another. The UNCRC contains 54 articles detailing these rights and they were made part of Welsh domestic law in 2004 (Welsh Government, 2022). Included in the 54 articles are articles 28 and 29 which outline the rights of children to education. Article 28 refers specifically to states that ratify the convention recognise the rights of children to education, whilst article 29 refers ensuring all children receive education of the highest possible standard and is directed to ensure children reach their potential (UNICEF, 2022). </w:t>
      </w:r>
    </w:p>
    <w:p w14:paraId="334C3913" w14:textId="65847800"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 xml:space="preserve">As mentioned above, the UNCRC has been made part of Welsh domestic law, ensuring that all working in education in Wales have a statutory duty to adhere to the highest possible standards, for the benefit of the children. Alongside the articles of the UNCRC, numerous laws have been passed in Wales designed to ensure the standards of education are as high as possible. One example of such an act is the School Standards and Organisation Act (2013). This act-imposed requirements on schools in accordance with the bodies that they work with. It also gives guidance on factors that should be </w:t>
      </w:r>
      <w:bookmarkStart w:id="0" w:name="_Int_9aLJ2roV"/>
      <w:r w:rsidRPr="00B711FC">
        <w:rPr>
          <w:rFonts w:ascii="Arial" w:eastAsia="Times New Roman" w:hAnsi="Arial" w:cs="Arial"/>
          <w:color w:val="000000" w:themeColor="text1"/>
          <w:sz w:val="24"/>
          <w:szCs w:val="24"/>
        </w:rPr>
        <w:t>taken into account</w:t>
      </w:r>
      <w:bookmarkEnd w:id="0"/>
      <w:r w:rsidRPr="00B711FC">
        <w:rPr>
          <w:rFonts w:ascii="Arial" w:eastAsia="Times New Roman" w:hAnsi="Arial" w:cs="Arial"/>
          <w:color w:val="000000" w:themeColor="text1"/>
          <w:sz w:val="24"/>
          <w:szCs w:val="24"/>
        </w:rPr>
        <w:t xml:space="preserve"> by the bodies with the power to reconfigure school provision such as Estyn (Education Wales, 2018).</w:t>
      </w:r>
    </w:p>
    <w:p w14:paraId="53B8A63C" w14:textId="631A6254"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 xml:space="preserve">This is one example of the guidance given to bodies that exist to ensure that education providers are giving the best possible provision to pupils and that they are meeting the statutory requirements required. In Wales, between Estyn and Care Inspectorate Wales (CIW) all education settings are inspected to ensure that they are currently meeting the statutory requirements for the provision of education, and to do this Estyn currently inspects 5 areas. These areas are Learning, Wellbeing and attitudes to learning, Teaching and learning experiences, Care and support and guidance and Leadership and management. According to their website, Estyn are committed to improving the quality of education and training and outcomes for all learners in Wales, with a final goal of </w:t>
      </w:r>
      <w:r w:rsidRPr="00B711FC">
        <w:rPr>
          <w:rFonts w:ascii="Arial" w:eastAsia="Times New Roman" w:hAnsi="Arial" w:cs="Arial"/>
          <w:color w:val="000000" w:themeColor="text1"/>
          <w:sz w:val="24"/>
          <w:szCs w:val="24"/>
        </w:rPr>
        <w:lastRenderedPageBreak/>
        <w:t>developing a self-improving and learning culture within schools meaning they have a significant influence on the direction of education in Wales.</w:t>
      </w:r>
    </w:p>
    <w:p w14:paraId="6690849A" w14:textId="7E31D8E8"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color w:val="000000" w:themeColor="text1"/>
          <w:sz w:val="24"/>
          <w:szCs w:val="24"/>
        </w:rPr>
        <w:t xml:space="preserve">One example of the influence Estyn has in education in Wales was its role in the introduction of the Literacy and Numeracy Framework in 2013 following its criticism of </w:t>
      </w:r>
      <w:r w:rsidRPr="00B711FC">
        <w:rPr>
          <w:rFonts w:ascii="Arial" w:eastAsia="Times New Roman" w:hAnsi="Arial" w:cs="Arial"/>
          <w:sz w:val="24"/>
          <w:szCs w:val="24"/>
        </w:rPr>
        <w:t xml:space="preserve">schools stating they were not doing enough to embed literacy and numeracy skills in different contexts within the curriculum (Grigg, 2016, p. 13). This shows that the Welsh Government take Estyn’s recommendations and findings very seriously, meaning all education providers must ensure they meet their requirements. </w:t>
      </w:r>
    </w:p>
    <w:p w14:paraId="11A29F60" w14:textId="028A6F75"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With regards to CIW, they are responsible for inspecting all settings in Wales that are categorised as care, ranging from adult care homes to pre</w:t>
      </w:r>
      <w:r w:rsidR="6A63096A" w:rsidRPr="00B711FC">
        <w:rPr>
          <w:rFonts w:ascii="Arial" w:eastAsia="Times New Roman" w:hAnsi="Arial" w:cs="Arial"/>
          <w:color w:val="000000" w:themeColor="text1"/>
          <w:sz w:val="24"/>
          <w:szCs w:val="24"/>
        </w:rPr>
        <w:t>school settings. According to their website they are the independent regulators of social care and childcare in Wales and inspect a range of settings from adult services such as care homes to child services such as non-maintained settings (Care Inspectorate Wales, 2022). They carry out functions on behalf of Welsh Government ministers and ensure that services meet legislative and statutory requirements. They also have the power to decide who can provide services and drive improvement in settings they find unsatisfactory.</w:t>
      </w:r>
    </w:p>
    <w:p w14:paraId="12D4D5EF" w14:textId="200C5B83"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color w:val="000000" w:themeColor="text1"/>
          <w:sz w:val="24"/>
          <w:szCs w:val="24"/>
        </w:rPr>
        <w:t>The national minimum standards set out by CIW are published in a document titled ‘</w:t>
      </w:r>
      <w:r w:rsidRPr="00B711FC">
        <w:rPr>
          <w:rFonts w:ascii="Arial" w:eastAsia="Times New Roman" w:hAnsi="Arial" w:cs="Arial"/>
          <w:sz w:val="24"/>
          <w:szCs w:val="24"/>
        </w:rPr>
        <w:t xml:space="preserve">National Minimum Standards for Regulated Childcare for children up to the age of 12 years.’ The document was published in 2012 but was revised in 2016 and considers other laws and policies passed by the Welsh Government such as the UNCRC, the Foundation Phase curriculum and other policies including those on play, the Welsh language and sustainability and the environment (Education Wales, 2016, p. 12-13). </w:t>
      </w:r>
    </w:p>
    <w:p w14:paraId="701AAAA2" w14:textId="0ECBFE86" w:rsidR="6A63096A" w:rsidRPr="00B711FC" w:rsidRDefault="6A63096A" w:rsidP="00B711FC">
      <w:pPr>
        <w:spacing w:line="360" w:lineRule="auto"/>
        <w:jc w:val="both"/>
        <w:rPr>
          <w:rFonts w:ascii="Arial" w:hAnsi="Arial" w:cs="Arial"/>
        </w:rPr>
      </w:pPr>
      <w:r w:rsidRPr="00B711FC">
        <w:rPr>
          <w:rFonts w:ascii="Arial" w:eastAsia="Times New Roman" w:hAnsi="Arial" w:cs="Arial"/>
          <w:sz w:val="24"/>
          <w:szCs w:val="24"/>
        </w:rPr>
        <w:t xml:space="preserve">The national minimum standards range from standards on leadership and management to the quality of care and the physical environments at the setting. The standards are comprehensive and give a clear expectation of what CIW would expect to see during an inspection. However, CIW are keen to point out that these standards are minimum, and state in order to provide quality childcare, the general expectation is that registered persons work toward ensuring that these basic standards are exceeded (Education Wales, 2016, p.4). </w:t>
      </w:r>
    </w:p>
    <w:p w14:paraId="64185E3C" w14:textId="4C919686"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lastRenderedPageBreak/>
        <w:t xml:space="preserve">Quality in the early years has been much more scrutinised in the UK since the turn of the century due to changing social contexts and a commitment to meeting political targets as a result of extensive literature and research on the benefits of early years education (Melhuish, 2004, p. 9). </w:t>
      </w:r>
      <w:r w:rsidR="3F71E93F" w:rsidRPr="00B711FC">
        <w:rPr>
          <w:rFonts w:ascii="Arial" w:eastAsia="Times New Roman" w:hAnsi="Arial" w:cs="Arial"/>
          <w:sz w:val="24"/>
          <w:szCs w:val="24"/>
        </w:rPr>
        <w:t xml:space="preserve">There are many factors that make up the quality of early years settings, including how much the setting exceeds the minimum standards expected of them. One factor highlighted by Leana, Appelbaum and Shevchuk (2009, p. 1188) is collaboration and teamwork. Their research showed a positive association between quality of provision and collaboration among staff and recommended further training for </w:t>
      </w:r>
      <w:bookmarkStart w:id="1" w:name="_Int_jNF1TQ30"/>
      <w:r w:rsidR="3F71E93F" w:rsidRPr="00B711FC">
        <w:rPr>
          <w:rFonts w:ascii="Arial" w:eastAsia="Times New Roman" w:hAnsi="Arial" w:cs="Arial"/>
          <w:sz w:val="24"/>
          <w:szCs w:val="24"/>
        </w:rPr>
        <w:t>early years</w:t>
      </w:r>
      <w:bookmarkEnd w:id="1"/>
      <w:r w:rsidR="3F71E93F" w:rsidRPr="00B711FC">
        <w:rPr>
          <w:rFonts w:ascii="Arial" w:eastAsia="Times New Roman" w:hAnsi="Arial" w:cs="Arial"/>
          <w:sz w:val="24"/>
          <w:szCs w:val="24"/>
        </w:rPr>
        <w:t xml:space="preserve"> practitioners focusing on teamwork and joint decision making. This is reflected by the standard 14 of the national minimum standards that outlines minimum expectations on organisation within the setting. </w:t>
      </w:r>
    </w:p>
    <w:p w14:paraId="325A7A7A" w14:textId="40EDBEE5"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Similarly, research by Cottle and Alexander (2014, p. 654) suggests that the involvement of parents is another key factor in the quality of provision from a setting. The authors concluded that quality provision was impossible without positive relationships founded on mutual trust, shared values, and a common purpose. This is again reflected in the national minimum standards, with constant reference to the involvement of parents in decisions throughout standards but particularly within standard 6, titled ‘working in partnership with parents’ (Education Wales, 2016, p. 22). </w:t>
      </w:r>
    </w:p>
    <w:p w14:paraId="0F31DFA1" w14:textId="0544C1E0"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The literature mentioned explains the reasoning behind the standards being chosen as those in which settings are judged. For example, as research proves that parental involvement increases the quality of provision, it is essential that a setting has good involvement with parents as a minimum standard. However, Hoa, Campbell-Barr, and Leeson (2010, p. 247) are somewhat critical of national minimum standards as a construct, arguing that </w:t>
      </w:r>
      <w:r w:rsidR="6A63096A" w:rsidRPr="00B711FC">
        <w:rPr>
          <w:rFonts w:ascii="Arial" w:eastAsia="Times New Roman" w:hAnsi="Arial" w:cs="Arial"/>
          <w:sz w:val="24"/>
          <w:szCs w:val="24"/>
        </w:rPr>
        <w:t xml:space="preserve">minimum standards work on the assumption that where structural quality exists, process quality will follow but there is not yet clear evidence that this is the case. </w:t>
      </w:r>
    </w:p>
    <w:p w14:paraId="13F0B74E" w14:textId="4DB4F60D"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However, CIW are committed to using the national minimum standards for the near future, therefore it is vital that settings are equipped to go above the minimum standard required in order to meet the expectation that basic standards are exceeded. To do this, early </w:t>
      </w:r>
      <w:r w:rsidRPr="00B711FC">
        <w:rPr>
          <w:rFonts w:ascii="Arial" w:eastAsia="Times New Roman" w:hAnsi="Arial" w:cs="Arial"/>
          <w:sz w:val="24"/>
          <w:szCs w:val="24"/>
        </w:rPr>
        <w:lastRenderedPageBreak/>
        <w:t xml:space="preserve">years settings have access to a number of quality assurance methods both official and research based to show that they are going above the minimum standards. </w:t>
      </w:r>
    </w:p>
    <w:p w14:paraId="5B630473" w14:textId="5FCB0FCC"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One such quality assurance method is the Quality for All (QfA) mark which is awarded by Early Years Wales. According to their website, the QfA mark is available to any type of childcare service and includes written self-evaluations of the service and an assessment of practice (Early Years Wales, 2022). This award was previously known as the WPPA Quality for All Mark awarded by the Wales Pre-School Providers Association before they became known as Early years Wales. This mark of quality was recognised by CIW and was mentioned in inspection reports as a sign that the setting had aimed to achieve higher than national minimum standards. </w:t>
      </w:r>
    </w:p>
    <w:p w14:paraId="0EED5F59" w14:textId="5E67AF01"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Early Years Wales state that the QfA mark is proof that children and families are going to benefit from the provision offered by the setting awarded it. The mark shows the setting has high quality staff that care in safe environments where holistic development takes place (Early Years Wales, 2022). The quality assurance mark is given after a visit from an assessor that produces a report which can be shared with local authorities and parents which also contains recommendations for further improvement. Part of the process also includes an evaluation form for practitioners to fill in critically reflecting on the service they provide. </w:t>
      </w:r>
    </w:p>
    <w:p w14:paraId="549BE778" w14:textId="74452596"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The reasoning behind this is that critical reflection is now viewed as essential practice for education practitioners, but this was not always the case. Following work by Dewey in the 1930’s which was subsequently developed into the notion of the reflective practitioner by Schön in the 1980’s, reflection has now become a vital skill for practitioners to develop. It is now a vital part of training for new practitioners as reflection has acted as a catalyst in transforming practitioners from rigidly following curriculums into professionals able to analyse and adapt their provision accordingly (Liu, 2015, p.136). In addition to this, Shandomo (2010, p. 101) states that through the process of critical reflection, practitioners interpret and create new knowledge and actions from different experiences.</w:t>
      </w:r>
    </w:p>
    <w:p w14:paraId="02AC9CE0" w14:textId="4E58AB8E"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Therefore, by completing an honest self-evaluation in order to be awarded this mark, practitioners must engage in critical reflection which in turn has a positive impact on the quality of provision they provide. Consequently, applying for and being awarded a mark </w:t>
      </w:r>
      <w:r w:rsidRPr="00B711FC">
        <w:rPr>
          <w:rFonts w:ascii="Arial" w:eastAsia="Times New Roman" w:hAnsi="Arial" w:cs="Arial"/>
          <w:sz w:val="24"/>
          <w:szCs w:val="24"/>
        </w:rPr>
        <w:lastRenderedPageBreak/>
        <w:t xml:space="preserve">such as this is one way of showing that the setting has gone above the minimum required and the benefits extend to not only the children and families but the practitioner's professional development as well. </w:t>
      </w:r>
    </w:p>
    <w:p w14:paraId="2BCE068B" w14:textId="35C67EB2"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Another tool that is used to demonstrate the quality of an early years setting that has significant benefits is the use of SSTEW (Sustained Shared Thinking and Emotional Wellbeing) Scales. According to Howard </w:t>
      </w:r>
      <w:r w:rsidRPr="00B711FC">
        <w:rPr>
          <w:rFonts w:ascii="Arial" w:eastAsia="Times New Roman" w:hAnsi="Arial" w:cs="Arial"/>
          <w:i/>
          <w:iCs/>
          <w:sz w:val="24"/>
          <w:szCs w:val="24"/>
        </w:rPr>
        <w:t>et al</w:t>
      </w:r>
      <w:r w:rsidRPr="00B711FC">
        <w:rPr>
          <w:rFonts w:ascii="Arial" w:eastAsia="Times New Roman" w:hAnsi="Arial" w:cs="Arial"/>
          <w:sz w:val="24"/>
          <w:szCs w:val="24"/>
        </w:rPr>
        <w:t xml:space="preserve"> (2018, p. 2) quality is measured by considering process and structural aspects of quality. The process aspect is measured through attempting to capture the child's everyday experiences, or what it is like to be a child in that environment whilst the structural aspects apply more to regulated aspects such as organisation, qualifications, and staffing ratios. This suggests that the quality of provision has more than the factors often considered to be most important, such as good documentation or meeting national standards, and the feelings of the children must be taken into account.</w:t>
      </w:r>
    </w:p>
    <w:p w14:paraId="2398E682" w14:textId="19952F94" w:rsidR="6A63096A"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Following this, according to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 2), in order to measure structural and process aspects, researchers often use Environment Rating Scales (ERS). ERS were developed to evaluate the process quality in settings for children (Clifford, Reszka and Rossbach, 2010, p. 2). One example of a well-known ERS scale is the ECERS-R, which was designed to assist practitioners in examining environments used by early years children in order to improve the quality of provision. The scale was then divided into seven subscales designed to guide the observer to meaningful areas of interest in early childhood classrooms such as personal care routines and creative activities (Clifford, Reszka and Rossbach, 2010, p. 2). </w:t>
      </w:r>
    </w:p>
    <w:p w14:paraId="26C35FD4" w14:textId="5B16AC80"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The SSTEW scale is a form of ERS that combines sustained shared thinking (SST) and the emotional wellbeing of the children. It compromises five domains that include building trust, extending communication and language development, supporting emotional wellbeing, supporting learning and critical thinking, and assessing learning and language, which are then assessed depending on the quality of child/staff interactions (Melhuish and Gardiner, 2019, p. 4).</w:t>
      </w:r>
    </w:p>
    <w:p w14:paraId="22FDE3BF" w14:textId="35D741FB"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 The SST refers to an interaction where two or more individuals work together to solve a problem or evaluate an activity, but as it also includes emotional wellbeing the scale </w:t>
      </w:r>
      <w:r w:rsidRPr="00B711FC">
        <w:rPr>
          <w:rFonts w:ascii="Arial" w:eastAsia="Times New Roman" w:hAnsi="Arial" w:cs="Arial"/>
          <w:sz w:val="24"/>
          <w:szCs w:val="24"/>
        </w:rPr>
        <w:lastRenderedPageBreak/>
        <w:t xml:space="preserve">recognises the importance of child centered and developmentally appropriate practice that shows progression in learning, leading to self-regulated autonomous learners. Thus, the SSTEW scale is a tool developed to bridge the gap between research and practice, and support understanding, integrity, and sustainability in high-quality interaction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p.3-4). </w:t>
      </w:r>
    </w:p>
    <w:p w14:paraId="4380B946" w14:textId="1683374C"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Research by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 12) found that the SSTEW scale was especially useful in capturing children's numeracy development, but the authors are keen to point out that the SSTEW scale’s potential for informing practice and learning is an area that requires further investigation. However, their study also suggests that the SSTEW scale is useful in observing quality in the setting when referenced to its influence on children's development. </w:t>
      </w:r>
    </w:p>
    <w:p w14:paraId="6D1337A4" w14:textId="4080FB0F"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Furthermore, research by Melhuish and Gardiner (2019, p. 5) states that a higher SSTEW score was common in settings that had a larger number of places and a higher mean level of staff qualification. It can be concluded from this, that evidence suggests higher scores on the SSTEW scale suggest a higher quality of provision from a setting and that most settings should be using a type of ERS to further note the quality of provision they offer. The use of these leads to benefits such as knowing exactly where further improvements need to be made, whether that be in literacy, numeracy, or another aspect of childhood development. </w:t>
      </w:r>
    </w:p>
    <w:p w14:paraId="5FEB5221" w14:textId="3FB9598D" w:rsidR="00CAFC54"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In conclusion, it is clear from the above that there are numerous benefits to </w:t>
      </w:r>
      <w:r w:rsidR="00B711FC">
        <w:rPr>
          <w:rFonts w:ascii="Arial" w:eastAsia="Times New Roman" w:hAnsi="Arial" w:cs="Arial"/>
          <w:sz w:val="24"/>
          <w:szCs w:val="24"/>
        </w:rPr>
        <w:t xml:space="preserve">early years </w:t>
      </w:r>
      <w:r w:rsidRPr="00B711FC">
        <w:rPr>
          <w:rFonts w:ascii="Arial" w:eastAsia="Times New Roman" w:hAnsi="Arial" w:cs="Arial"/>
          <w:sz w:val="24"/>
          <w:szCs w:val="24"/>
        </w:rPr>
        <w:t>settings promoting and ensuring quality above the statutory requirements set out by organisations such as CIW or Estyn. Whilst meeting minimum standards would pass an inspection, it is vital that leaders are ambitious and ensure the provision that they deliver exceeds the minimum expected.</w:t>
      </w:r>
      <w:r w:rsidR="00B711FC">
        <w:rPr>
          <w:rFonts w:ascii="Arial" w:eastAsia="Times New Roman" w:hAnsi="Arial" w:cs="Arial"/>
          <w:sz w:val="24"/>
          <w:szCs w:val="24"/>
        </w:rPr>
        <w:t xml:space="preserve"> A vital part of this is to ensure that all staff receive training in critical reflection, and are given opportunities to partake in professional development.</w:t>
      </w:r>
      <w:r w:rsidRPr="00B711FC">
        <w:rPr>
          <w:rFonts w:ascii="Arial" w:eastAsia="Times New Roman" w:hAnsi="Arial" w:cs="Arial"/>
          <w:sz w:val="24"/>
          <w:szCs w:val="24"/>
        </w:rPr>
        <w:t xml:space="preserve"> </w:t>
      </w:r>
      <w:r w:rsidR="00B711FC">
        <w:rPr>
          <w:rFonts w:ascii="Arial" w:eastAsia="Times New Roman" w:hAnsi="Arial" w:cs="Arial"/>
          <w:sz w:val="24"/>
          <w:szCs w:val="24"/>
        </w:rPr>
        <w:t>In order to guarantee that</w:t>
      </w:r>
      <w:r w:rsidRPr="00B711FC">
        <w:rPr>
          <w:rFonts w:ascii="Arial" w:eastAsia="Times New Roman" w:hAnsi="Arial" w:cs="Arial"/>
          <w:sz w:val="24"/>
          <w:szCs w:val="24"/>
        </w:rPr>
        <w:t xml:space="preserve"> early </w:t>
      </w:r>
      <w:r w:rsidR="00B711FC">
        <w:rPr>
          <w:rFonts w:ascii="Arial" w:eastAsia="Times New Roman" w:hAnsi="Arial" w:cs="Arial"/>
          <w:sz w:val="24"/>
          <w:szCs w:val="24"/>
        </w:rPr>
        <w:t>year</w:t>
      </w:r>
      <w:r w:rsidR="00B711FC" w:rsidRPr="00B711FC">
        <w:rPr>
          <w:rFonts w:ascii="Arial" w:eastAsia="Times New Roman" w:hAnsi="Arial" w:cs="Arial"/>
          <w:sz w:val="24"/>
          <w:szCs w:val="24"/>
        </w:rPr>
        <w:t>s</w:t>
      </w:r>
      <w:r w:rsidRPr="00B711FC">
        <w:rPr>
          <w:rFonts w:ascii="Arial" w:eastAsia="Times New Roman" w:hAnsi="Arial" w:cs="Arial"/>
          <w:sz w:val="24"/>
          <w:szCs w:val="24"/>
        </w:rPr>
        <w:t xml:space="preserve"> settings </w:t>
      </w:r>
      <w:r w:rsidR="00B711FC">
        <w:rPr>
          <w:rFonts w:ascii="Arial" w:eastAsia="Times New Roman" w:hAnsi="Arial" w:cs="Arial"/>
          <w:sz w:val="24"/>
          <w:szCs w:val="24"/>
        </w:rPr>
        <w:t>exceed minimum standards, it is recommended that they seek</w:t>
      </w:r>
      <w:r w:rsidRPr="00B711FC">
        <w:rPr>
          <w:rFonts w:ascii="Arial" w:eastAsia="Times New Roman" w:hAnsi="Arial" w:cs="Arial"/>
          <w:sz w:val="24"/>
          <w:szCs w:val="24"/>
        </w:rPr>
        <w:t xml:space="preserve"> to be awarded quality assurance marks such as the QfA award as a symbol of higher quality provision. Alternatively, using ERS through means of observation is a well-researched and proven method to improve the quality of provision for children and assuring quality to parents. </w:t>
      </w:r>
    </w:p>
    <w:p w14:paraId="355E8D54" w14:textId="07600E30" w:rsidR="00B711FC" w:rsidRPr="00AC21C3" w:rsidRDefault="00B711FC" w:rsidP="00B711FC">
      <w:pPr>
        <w:spacing w:line="360" w:lineRule="auto"/>
        <w:jc w:val="center"/>
        <w:rPr>
          <w:rFonts w:ascii="Arial" w:eastAsiaTheme="minorEastAsia" w:hAnsi="Arial" w:cs="Arial"/>
          <w:sz w:val="24"/>
          <w:szCs w:val="24"/>
          <w:u w:val="single"/>
        </w:rPr>
      </w:pPr>
      <w:r>
        <w:rPr>
          <w:rFonts w:ascii="Arial" w:eastAsiaTheme="minorEastAsia" w:hAnsi="Arial" w:cs="Arial"/>
          <w:sz w:val="24"/>
          <w:szCs w:val="24"/>
          <w:u w:val="single"/>
        </w:rPr>
        <w:lastRenderedPageBreak/>
        <w:t>Written A</w:t>
      </w:r>
      <w:bookmarkStart w:id="2" w:name="_GoBack"/>
      <w:bookmarkEnd w:id="2"/>
      <w:r w:rsidRPr="00AC21C3">
        <w:rPr>
          <w:rFonts w:ascii="Arial" w:eastAsiaTheme="minorEastAsia" w:hAnsi="Arial" w:cs="Arial"/>
          <w:sz w:val="24"/>
          <w:szCs w:val="24"/>
          <w:u w:val="single"/>
        </w:rPr>
        <w:t>ssignment Reference List</w:t>
      </w:r>
    </w:p>
    <w:p w14:paraId="0760AC0E"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Care Inspectorate Wales (2022) </w:t>
      </w:r>
      <w:r w:rsidRPr="00AC21C3">
        <w:rPr>
          <w:rFonts w:ascii="Arial" w:eastAsiaTheme="minorEastAsia" w:hAnsi="Arial" w:cs="Arial"/>
          <w:i/>
          <w:iCs/>
          <w:sz w:val="24"/>
          <w:szCs w:val="24"/>
        </w:rPr>
        <w:t xml:space="preserve">What We Do. </w:t>
      </w:r>
      <w:r w:rsidRPr="00AC21C3">
        <w:rPr>
          <w:rFonts w:ascii="Arial" w:eastAsiaTheme="minorEastAsia" w:hAnsi="Arial" w:cs="Arial"/>
          <w:sz w:val="24"/>
          <w:szCs w:val="24"/>
        </w:rPr>
        <w:t>Available at: https://careinspectorate.wales/about-us (Accessed: 2 April 2022).</w:t>
      </w:r>
    </w:p>
    <w:p w14:paraId="22B55514"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color w:val="000000" w:themeColor="text1"/>
          <w:sz w:val="24"/>
          <w:szCs w:val="24"/>
        </w:rPr>
        <w:t>Clifford, R. Reszka, S. and Rossbach, H. (2010) ‘</w:t>
      </w:r>
      <w:r w:rsidRPr="00AC21C3">
        <w:rPr>
          <w:rFonts w:ascii="Arial" w:eastAsia="Calibri" w:hAnsi="Arial" w:cs="Arial"/>
          <w:sz w:val="24"/>
          <w:szCs w:val="24"/>
        </w:rPr>
        <w:t xml:space="preserve">Reliability and Validity of the Early Childhood Environment Rating Scale’, pp. 1-27. Available at: https://www.researchgate.net/profile/Stephanie-Reszka/publication/265098120_Reliability_and_Validity_of_the_Early_Childhood_Environment_Rating_Scale/links/5527e2ad0cf2779ab78ae5f2/Reliability-and-Validity-of-the-Early-Childhood-Environment-Rating-Scale.pdf (Accessed: 3 April 2022). </w:t>
      </w:r>
    </w:p>
    <w:p w14:paraId="218D9864" w14:textId="77777777" w:rsidR="00B711FC" w:rsidRPr="00AC21C3" w:rsidRDefault="00B711FC" w:rsidP="00B711FC">
      <w:pPr>
        <w:spacing w:line="360" w:lineRule="auto"/>
        <w:jc w:val="both"/>
        <w:rPr>
          <w:rFonts w:ascii="Arial" w:eastAsiaTheme="minorEastAsia" w:hAnsi="Arial" w:cs="Arial"/>
          <w:i/>
          <w:iCs/>
          <w:sz w:val="24"/>
          <w:szCs w:val="24"/>
        </w:rPr>
      </w:pPr>
      <w:r w:rsidRPr="00AC21C3">
        <w:rPr>
          <w:rFonts w:ascii="Arial" w:eastAsiaTheme="minorEastAsia" w:hAnsi="Arial" w:cs="Arial"/>
          <w:sz w:val="24"/>
          <w:szCs w:val="24"/>
        </w:rPr>
        <w:t xml:space="preserve">Cottle, M. and Alexander, E. (2014) ‘Parent partnership and ‘quality’ early years services: practitioners’ perspectives’, </w:t>
      </w:r>
      <w:r w:rsidRPr="00AC21C3">
        <w:rPr>
          <w:rFonts w:ascii="Arial" w:eastAsiaTheme="minorEastAsia" w:hAnsi="Arial" w:cs="Arial"/>
          <w:i/>
          <w:iCs/>
          <w:sz w:val="24"/>
          <w:szCs w:val="24"/>
        </w:rPr>
        <w:t xml:space="preserve">European Early Childhood Education Research Journal, </w:t>
      </w:r>
      <w:r w:rsidRPr="00AC21C3">
        <w:rPr>
          <w:rFonts w:ascii="Arial" w:eastAsiaTheme="minorEastAsia" w:hAnsi="Arial" w:cs="Arial"/>
          <w:sz w:val="24"/>
          <w:szCs w:val="24"/>
        </w:rPr>
        <w:t>22(5), pp. 637-659. DOI: 10.1080/1350293X.2013.788314</w:t>
      </w:r>
    </w:p>
    <w:p w14:paraId="501BE9AD" w14:textId="31BD23E5" w:rsidR="00B711FC" w:rsidRPr="00AC21C3" w:rsidRDefault="00B711FC" w:rsidP="00B711FC">
      <w:pPr>
        <w:spacing w:line="360" w:lineRule="auto"/>
        <w:jc w:val="both"/>
        <w:rPr>
          <w:rFonts w:ascii="Arial" w:eastAsia="Calibri" w:hAnsi="Arial" w:cs="Arial"/>
          <w:sz w:val="24"/>
          <w:szCs w:val="24"/>
        </w:rPr>
      </w:pPr>
      <w:r>
        <w:rPr>
          <w:rFonts w:ascii="Arial" w:eastAsia="Calibri" w:hAnsi="Arial" w:cs="Arial"/>
          <w:sz w:val="24"/>
          <w:szCs w:val="24"/>
        </w:rPr>
        <w:t xml:space="preserve">Early Years Wales (2022) </w:t>
      </w:r>
      <w:r w:rsidRPr="00AC21C3">
        <w:rPr>
          <w:rFonts w:ascii="Arial" w:eastAsia="Calibri" w:hAnsi="Arial" w:cs="Arial"/>
          <w:i/>
          <w:iCs/>
          <w:sz w:val="24"/>
          <w:szCs w:val="24"/>
        </w:rPr>
        <w:t xml:space="preserve">Quality for All. </w:t>
      </w:r>
      <w:r w:rsidRPr="00AC21C3">
        <w:rPr>
          <w:rFonts w:ascii="Arial" w:eastAsia="Calibri" w:hAnsi="Arial" w:cs="Arial"/>
          <w:sz w:val="24"/>
          <w:szCs w:val="24"/>
        </w:rPr>
        <w:t>Available at:  https://www.earlyyears.wales/en/quality-for-all (Accessed: 2 April 2022).</w:t>
      </w:r>
    </w:p>
    <w:p w14:paraId="59E07846" w14:textId="77777777" w:rsidR="00B711FC" w:rsidRPr="00AC21C3" w:rsidRDefault="00B711FC" w:rsidP="00B711FC">
      <w:pPr>
        <w:spacing w:line="360" w:lineRule="auto"/>
        <w:jc w:val="both"/>
        <w:rPr>
          <w:rFonts w:ascii="Arial" w:eastAsiaTheme="minorEastAsia" w:hAnsi="Arial" w:cs="Arial"/>
          <w:color w:val="000000" w:themeColor="text1"/>
          <w:sz w:val="24"/>
          <w:szCs w:val="24"/>
        </w:rPr>
      </w:pPr>
      <w:r w:rsidRPr="00AC21C3">
        <w:rPr>
          <w:rFonts w:ascii="Arial" w:eastAsiaTheme="minorEastAsia" w:hAnsi="Arial" w:cs="Arial"/>
          <w:color w:val="000000" w:themeColor="text1"/>
          <w:sz w:val="24"/>
          <w:szCs w:val="24"/>
        </w:rPr>
        <w:t xml:space="preserve">Education Wales (2016) </w:t>
      </w:r>
      <w:r w:rsidRPr="00AC21C3">
        <w:rPr>
          <w:rFonts w:ascii="Arial" w:eastAsiaTheme="minorEastAsia" w:hAnsi="Arial" w:cs="Arial"/>
          <w:i/>
          <w:iCs/>
          <w:color w:val="000000" w:themeColor="text1"/>
          <w:sz w:val="24"/>
          <w:szCs w:val="24"/>
        </w:rPr>
        <w:t xml:space="preserve">National Minimum Standards for Regulated Childcare for children up to the age of 12 years. </w:t>
      </w:r>
      <w:r w:rsidRPr="00AC21C3">
        <w:rPr>
          <w:rFonts w:ascii="Arial" w:eastAsiaTheme="minorEastAsia" w:hAnsi="Arial" w:cs="Arial"/>
          <w:color w:val="000000" w:themeColor="text1"/>
          <w:sz w:val="24"/>
          <w:szCs w:val="24"/>
        </w:rPr>
        <w:t>Available at: https://careinspectorate.wales/sites/default/files/2018-01/160411regchildcareen.pdf (Accessed: 2 April 2022).</w:t>
      </w:r>
    </w:p>
    <w:p w14:paraId="1372FAE3"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Education Wales (2018) </w:t>
      </w:r>
      <w:r w:rsidRPr="00AC21C3">
        <w:rPr>
          <w:rFonts w:ascii="Arial" w:eastAsiaTheme="minorEastAsia" w:hAnsi="Arial" w:cs="Arial"/>
          <w:i/>
          <w:iCs/>
          <w:sz w:val="24"/>
          <w:szCs w:val="24"/>
        </w:rPr>
        <w:t xml:space="preserve">School Organisation Code. </w:t>
      </w:r>
      <w:r w:rsidRPr="00AC21C3">
        <w:rPr>
          <w:rFonts w:ascii="Arial" w:eastAsiaTheme="minorEastAsia" w:hAnsi="Arial" w:cs="Arial"/>
          <w:sz w:val="24"/>
          <w:szCs w:val="24"/>
        </w:rPr>
        <w:t xml:space="preserve">Available at: https://gov.wales/sites/default/files/publications/2018-10/school-organisation-code-second-edition.pdf (Accessed 2 April 2022). </w:t>
      </w:r>
    </w:p>
    <w:p w14:paraId="3D0F87B1"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Estyn (2022) </w:t>
      </w:r>
      <w:r w:rsidRPr="00AC21C3">
        <w:rPr>
          <w:rFonts w:ascii="Arial" w:eastAsiaTheme="minorEastAsia" w:hAnsi="Arial" w:cs="Arial"/>
          <w:i/>
          <w:iCs/>
          <w:sz w:val="24"/>
          <w:szCs w:val="24"/>
        </w:rPr>
        <w:t xml:space="preserve">About Us. </w:t>
      </w:r>
      <w:r w:rsidRPr="00AC21C3">
        <w:rPr>
          <w:rFonts w:ascii="Arial" w:eastAsiaTheme="minorEastAsia" w:hAnsi="Arial" w:cs="Arial"/>
          <w:sz w:val="24"/>
          <w:szCs w:val="24"/>
        </w:rPr>
        <w:t>Available at: https://www.estyn.gov.wales/about-us (Accessed: 2 April 2022).</w:t>
      </w:r>
    </w:p>
    <w:p w14:paraId="17D5781B"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Grigg, R. (2016) ‘Leave me alone and let me teach.’ Teachers’ views of Welsh Government education policies and education in Wales,’ </w:t>
      </w:r>
      <w:r w:rsidRPr="00AC21C3">
        <w:rPr>
          <w:rFonts w:ascii="Arial" w:eastAsiaTheme="minorEastAsia" w:hAnsi="Arial" w:cs="Arial"/>
          <w:i/>
          <w:iCs/>
          <w:sz w:val="24"/>
          <w:szCs w:val="24"/>
        </w:rPr>
        <w:t>Wales Journal of Education</w:t>
      </w:r>
      <w:r w:rsidRPr="00AC21C3">
        <w:rPr>
          <w:rFonts w:ascii="Arial" w:eastAsiaTheme="minorEastAsia" w:hAnsi="Arial" w:cs="Arial"/>
          <w:sz w:val="24"/>
          <w:szCs w:val="24"/>
        </w:rPr>
        <w:t xml:space="preserve">, 18(1), pp. 1-34. </w:t>
      </w:r>
    </w:p>
    <w:p w14:paraId="736D5F60"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Theme="minorEastAsia" w:hAnsi="Arial" w:cs="Arial"/>
          <w:sz w:val="24"/>
          <w:szCs w:val="24"/>
        </w:rPr>
        <w:lastRenderedPageBreak/>
        <w:t>Hoa, D. Campbell-Barr, V. and Leeson, C. (2010) ‘</w:t>
      </w:r>
      <w:r w:rsidRPr="00AC21C3">
        <w:rPr>
          <w:rFonts w:ascii="Arial" w:eastAsia="Calibri" w:hAnsi="Arial" w:cs="Arial"/>
          <w:sz w:val="24"/>
          <w:szCs w:val="24"/>
        </w:rPr>
        <w:t xml:space="preserve">Quality improvement in early years settings in Hong Kong and England’, </w:t>
      </w:r>
      <w:r w:rsidRPr="00AC21C3">
        <w:rPr>
          <w:rFonts w:ascii="Arial" w:eastAsia="Calibri" w:hAnsi="Arial" w:cs="Arial"/>
          <w:i/>
          <w:iCs/>
          <w:sz w:val="24"/>
          <w:szCs w:val="24"/>
        </w:rPr>
        <w:t xml:space="preserve">International Journal of Early Years Education, </w:t>
      </w:r>
      <w:r w:rsidRPr="00AC21C3">
        <w:rPr>
          <w:rFonts w:ascii="Arial" w:eastAsia="Calibri" w:hAnsi="Arial" w:cs="Arial"/>
          <w:sz w:val="24"/>
          <w:szCs w:val="24"/>
        </w:rPr>
        <w:t>18(3), pp. 243-258. DOI: 10.1080/09669760.2010.524058</w:t>
      </w:r>
    </w:p>
    <w:p w14:paraId="45F0CF39"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sz w:val="24"/>
          <w:szCs w:val="24"/>
        </w:rPr>
        <w:t xml:space="preserve">Howard, S. </w:t>
      </w:r>
      <w:r w:rsidRPr="00AC21C3">
        <w:rPr>
          <w:rFonts w:ascii="Arial" w:eastAsia="Calibri" w:hAnsi="Arial" w:cs="Arial"/>
          <w:i/>
          <w:iCs/>
          <w:sz w:val="24"/>
          <w:szCs w:val="24"/>
        </w:rPr>
        <w:t xml:space="preserve">et al </w:t>
      </w:r>
      <w:r w:rsidRPr="00AC21C3">
        <w:rPr>
          <w:rFonts w:ascii="Arial" w:eastAsia="Calibri" w:hAnsi="Arial" w:cs="Arial"/>
          <w:sz w:val="24"/>
          <w:szCs w:val="24"/>
        </w:rPr>
        <w:t xml:space="preserve">(2018) ‘Measuring interactional quality in pre-school settings: introduction and validation of the Sustained Shared Thinking and Emotional Wellbeing (SSTEW) scale’, </w:t>
      </w:r>
      <w:r w:rsidRPr="00AC21C3">
        <w:rPr>
          <w:rFonts w:ascii="Arial" w:eastAsia="Calibri" w:hAnsi="Arial" w:cs="Arial"/>
          <w:i/>
          <w:iCs/>
          <w:sz w:val="24"/>
          <w:szCs w:val="24"/>
        </w:rPr>
        <w:t xml:space="preserve">Early Child Development and Care, </w:t>
      </w:r>
      <w:r w:rsidRPr="00AC21C3">
        <w:rPr>
          <w:rFonts w:ascii="Arial" w:eastAsia="Calibri" w:hAnsi="Arial" w:cs="Arial"/>
          <w:sz w:val="24"/>
          <w:szCs w:val="24"/>
        </w:rPr>
        <w:t xml:space="preserve">190(3), pp. 1-14. DOI: 10.1080/03004430.2018.1511549. </w:t>
      </w:r>
    </w:p>
    <w:p w14:paraId="424AA688"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Leana, C. Appelbaum, E. and Shevchuk, I. (2009) ‘Work Process and Quality of Care in Early Childhood Education: The Role of Job Crafting’, </w:t>
      </w:r>
      <w:r w:rsidRPr="00AC21C3">
        <w:rPr>
          <w:rFonts w:ascii="Arial" w:eastAsiaTheme="minorEastAsia" w:hAnsi="Arial" w:cs="Arial"/>
          <w:i/>
          <w:iCs/>
          <w:sz w:val="24"/>
          <w:szCs w:val="24"/>
        </w:rPr>
        <w:t>Academy of Management Journal,</w:t>
      </w:r>
      <w:r w:rsidRPr="00AC21C3">
        <w:rPr>
          <w:rFonts w:ascii="Arial" w:eastAsiaTheme="minorEastAsia" w:hAnsi="Arial" w:cs="Arial"/>
          <w:sz w:val="24"/>
          <w:szCs w:val="24"/>
        </w:rPr>
        <w:t xml:space="preserve"> 52(6), pp. 1169-1192. DOI: 10.5465/AMJ.2009.47084651</w:t>
      </w:r>
    </w:p>
    <w:p w14:paraId="44E38DAB"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sz w:val="24"/>
          <w:szCs w:val="24"/>
        </w:rPr>
        <w:t xml:space="preserve">Liu, K. (2015) ‘Critical reflection as a framework for transformative learning in teacher education’, </w:t>
      </w:r>
      <w:r w:rsidRPr="00AC21C3">
        <w:rPr>
          <w:rFonts w:ascii="Arial" w:eastAsia="Calibri" w:hAnsi="Arial" w:cs="Arial"/>
          <w:i/>
          <w:iCs/>
          <w:sz w:val="24"/>
          <w:szCs w:val="24"/>
        </w:rPr>
        <w:t xml:space="preserve">Educational Review, </w:t>
      </w:r>
      <w:r w:rsidRPr="00AC21C3">
        <w:rPr>
          <w:rFonts w:ascii="Arial" w:eastAsia="Calibri" w:hAnsi="Arial" w:cs="Arial"/>
          <w:sz w:val="24"/>
          <w:szCs w:val="24"/>
        </w:rPr>
        <w:t>67(2), pp. 135-157. DOI: 10.1080/00131911.2013.839546</w:t>
      </w:r>
    </w:p>
    <w:p w14:paraId="68BE9FED"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Melhuish, E. (2004) ‘A literature review of the impact of early years provision on young children, with emphasis given to children from disadvantaged backgrounds’, </w:t>
      </w:r>
      <w:r w:rsidRPr="00AC21C3">
        <w:rPr>
          <w:rFonts w:ascii="Arial" w:eastAsiaTheme="minorEastAsia" w:hAnsi="Arial" w:cs="Arial"/>
          <w:i/>
          <w:iCs/>
          <w:sz w:val="24"/>
          <w:szCs w:val="24"/>
        </w:rPr>
        <w:t xml:space="preserve">University of Wollongong, </w:t>
      </w:r>
      <w:r w:rsidRPr="00AC21C3">
        <w:rPr>
          <w:rFonts w:ascii="Arial" w:eastAsiaTheme="minorEastAsia" w:hAnsi="Arial" w:cs="Arial"/>
          <w:sz w:val="24"/>
          <w:szCs w:val="24"/>
        </w:rPr>
        <w:t>Available at: https://ro.uow.edu.au/cgi/viewcontent.cgi?article=2678&amp;context=sspapers (Accessed: 2 April 2022).</w:t>
      </w:r>
    </w:p>
    <w:p w14:paraId="740A39E3" w14:textId="77777777" w:rsidR="00B711FC" w:rsidRPr="00AC21C3" w:rsidRDefault="00B711FC" w:rsidP="00B711FC">
      <w:pPr>
        <w:spacing w:line="360" w:lineRule="auto"/>
        <w:jc w:val="both"/>
        <w:rPr>
          <w:rFonts w:ascii="Arial" w:eastAsia="Calibri" w:hAnsi="Arial" w:cs="Arial"/>
          <w:color w:val="000000" w:themeColor="text1"/>
          <w:sz w:val="24"/>
          <w:szCs w:val="24"/>
        </w:rPr>
      </w:pPr>
      <w:r w:rsidRPr="00AC21C3">
        <w:rPr>
          <w:rFonts w:ascii="Arial" w:eastAsia="Calibri" w:hAnsi="Arial" w:cs="Arial"/>
          <w:color w:val="000000" w:themeColor="text1"/>
          <w:sz w:val="24"/>
          <w:szCs w:val="24"/>
        </w:rPr>
        <w:t xml:space="preserve">Melhuish, E. and Gardiner, J. (2019) ‘Structural Factors and Policy Change as Related to the Quality of Early Childhood Education and Care for 3–4 Year Olds in the UK’, </w:t>
      </w:r>
      <w:r w:rsidRPr="00AC21C3">
        <w:rPr>
          <w:rFonts w:ascii="Arial" w:eastAsia="Calibri" w:hAnsi="Arial" w:cs="Arial"/>
          <w:i/>
          <w:iCs/>
          <w:color w:val="000000" w:themeColor="text1"/>
          <w:sz w:val="24"/>
          <w:szCs w:val="24"/>
        </w:rPr>
        <w:t>Frontiers in Education</w:t>
      </w:r>
      <w:r w:rsidRPr="00AC21C3">
        <w:rPr>
          <w:rFonts w:ascii="Arial" w:eastAsia="Calibri" w:hAnsi="Arial" w:cs="Arial"/>
          <w:color w:val="000000" w:themeColor="text1"/>
          <w:sz w:val="24"/>
          <w:szCs w:val="24"/>
        </w:rPr>
        <w:t xml:space="preserve">, pp. 1-16. DOI: 10.3389/feduc.2019.00035. </w:t>
      </w:r>
    </w:p>
    <w:p w14:paraId="475B9DCB"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sz w:val="24"/>
          <w:szCs w:val="24"/>
        </w:rPr>
        <w:t xml:space="preserve">Shandomo, H. (2010) ‘The Role of Critical Reflection in Teacher Education’, </w:t>
      </w:r>
      <w:r w:rsidRPr="00AC21C3">
        <w:rPr>
          <w:rFonts w:ascii="Arial" w:eastAsia="Calibri" w:hAnsi="Arial" w:cs="Arial"/>
          <w:i/>
          <w:iCs/>
          <w:sz w:val="24"/>
          <w:szCs w:val="24"/>
        </w:rPr>
        <w:t xml:space="preserve">School–University Partnerships, </w:t>
      </w:r>
      <w:r w:rsidRPr="00AC21C3">
        <w:rPr>
          <w:rFonts w:ascii="Arial" w:eastAsia="Calibri" w:hAnsi="Arial" w:cs="Arial"/>
          <w:sz w:val="24"/>
          <w:szCs w:val="24"/>
        </w:rPr>
        <w:t xml:space="preserve">4(1), pp. 101-113. Available at: https://files.eric.ed.gov/fulltext/EJ915885.pdf (Accessed: 3 April 2022). </w:t>
      </w:r>
    </w:p>
    <w:p w14:paraId="20C156FB" w14:textId="77777777" w:rsidR="00B711FC" w:rsidRPr="00AC21C3" w:rsidRDefault="00B711FC" w:rsidP="00B711FC">
      <w:pPr>
        <w:spacing w:line="360" w:lineRule="auto"/>
        <w:jc w:val="both"/>
        <w:rPr>
          <w:rFonts w:ascii="Arial" w:eastAsiaTheme="minorEastAsia" w:hAnsi="Arial" w:cs="Arial"/>
          <w:sz w:val="24"/>
          <w:szCs w:val="24"/>
          <w:vertAlign w:val="superscript"/>
        </w:rPr>
      </w:pPr>
      <w:r w:rsidRPr="00AC21C3">
        <w:rPr>
          <w:rFonts w:ascii="Arial" w:eastAsiaTheme="minorEastAsia" w:hAnsi="Arial" w:cs="Arial"/>
          <w:sz w:val="24"/>
          <w:szCs w:val="24"/>
        </w:rPr>
        <w:t xml:space="preserve">UNICEF (2022) </w:t>
      </w:r>
      <w:r w:rsidRPr="00AC21C3">
        <w:rPr>
          <w:rFonts w:ascii="Arial" w:eastAsiaTheme="minorEastAsia" w:hAnsi="Arial" w:cs="Arial"/>
          <w:i/>
          <w:iCs/>
          <w:sz w:val="24"/>
          <w:szCs w:val="24"/>
        </w:rPr>
        <w:t xml:space="preserve">Children’s Rights. </w:t>
      </w:r>
      <w:r w:rsidRPr="00AC21C3">
        <w:rPr>
          <w:rFonts w:ascii="Arial" w:eastAsiaTheme="minorEastAsia" w:hAnsi="Arial" w:cs="Arial"/>
          <w:sz w:val="24"/>
          <w:szCs w:val="24"/>
        </w:rPr>
        <w:t>Available at: https://www.unicef.org.uk/rights-respecting-schools/the-rrsa/introducing-the-crc/ (Accessed: 2 April 2022).</w:t>
      </w:r>
    </w:p>
    <w:p w14:paraId="343293AE"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UNICEF (2022) </w:t>
      </w:r>
      <w:r w:rsidRPr="00AC21C3">
        <w:rPr>
          <w:rFonts w:ascii="Arial" w:eastAsiaTheme="minorEastAsia" w:hAnsi="Arial" w:cs="Arial"/>
          <w:i/>
          <w:iCs/>
          <w:sz w:val="24"/>
          <w:szCs w:val="24"/>
        </w:rPr>
        <w:t xml:space="preserve">The Right to Education. </w:t>
      </w:r>
      <w:r w:rsidRPr="00AC21C3">
        <w:rPr>
          <w:rFonts w:ascii="Arial" w:eastAsiaTheme="minorEastAsia" w:hAnsi="Arial" w:cs="Arial"/>
          <w:sz w:val="24"/>
          <w:szCs w:val="24"/>
        </w:rPr>
        <w:t xml:space="preserve">Available at: https://www.unicef.org.uk/rights-respecting-schools/the-rrsa/the-right-to-education/ (Accessed: 2 April 2022). </w:t>
      </w:r>
    </w:p>
    <w:p w14:paraId="13585268" w14:textId="77777777" w:rsidR="00B711FC"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lastRenderedPageBreak/>
        <w:t xml:space="preserve">Welsh Government (2022) </w:t>
      </w:r>
      <w:r w:rsidRPr="00AC21C3">
        <w:rPr>
          <w:rFonts w:ascii="Arial" w:eastAsiaTheme="minorEastAsia" w:hAnsi="Arial" w:cs="Arial"/>
          <w:i/>
          <w:iCs/>
          <w:sz w:val="24"/>
          <w:szCs w:val="24"/>
        </w:rPr>
        <w:t xml:space="preserve">Children’s Rights in Wales. </w:t>
      </w:r>
      <w:r w:rsidRPr="00AC21C3">
        <w:rPr>
          <w:rFonts w:ascii="Arial" w:eastAsiaTheme="minorEastAsia" w:hAnsi="Arial" w:cs="Arial"/>
          <w:sz w:val="24"/>
          <w:szCs w:val="24"/>
        </w:rPr>
        <w:t xml:space="preserve">Available at: https://gov.wales/childrens-rights-in-wales </w:t>
      </w:r>
      <w:r w:rsidRPr="00AC21C3">
        <w:rPr>
          <w:rFonts w:ascii="Arial" w:eastAsiaTheme="minorEastAsia" w:hAnsi="Arial" w:cs="Arial"/>
          <w:i/>
          <w:iCs/>
          <w:sz w:val="24"/>
          <w:szCs w:val="24"/>
        </w:rPr>
        <w:t>(</w:t>
      </w:r>
      <w:r w:rsidRPr="00AC21C3">
        <w:rPr>
          <w:rFonts w:ascii="Arial" w:eastAsiaTheme="minorEastAsia" w:hAnsi="Arial" w:cs="Arial"/>
          <w:sz w:val="24"/>
          <w:szCs w:val="24"/>
        </w:rPr>
        <w:t xml:space="preserve">Accessed: 2 April 2022). </w:t>
      </w:r>
    </w:p>
    <w:p w14:paraId="3E5E0B3D" w14:textId="77777777" w:rsidR="00B711FC" w:rsidRDefault="00B711FC" w:rsidP="00B711FC">
      <w:pPr>
        <w:spacing w:line="360" w:lineRule="auto"/>
        <w:jc w:val="both"/>
        <w:rPr>
          <w:rFonts w:ascii="Arial" w:eastAsiaTheme="minorEastAsia" w:hAnsi="Arial" w:cs="Arial"/>
          <w:sz w:val="24"/>
          <w:szCs w:val="24"/>
        </w:rPr>
      </w:pPr>
    </w:p>
    <w:p w14:paraId="38E20A7D" w14:textId="77777777" w:rsidR="00B711FC" w:rsidRDefault="00B711FC" w:rsidP="00B711FC">
      <w:pPr>
        <w:spacing w:line="360" w:lineRule="auto"/>
        <w:jc w:val="center"/>
        <w:rPr>
          <w:rFonts w:ascii="Arial" w:eastAsiaTheme="minorEastAsia" w:hAnsi="Arial" w:cs="Arial"/>
          <w:sz w:val="24"/>
          <w:szCs w:val="24"/>
          <w:u w:val="single"/>
        </w:rPr>
      </w:pPr>
      <w:r w:rsidRPr="00AC21C3">
        <w:rPr>
          <w:rFonts w:ascii="Arial" w:eastAsiaTheme="minorEastAsia" w:hAnsi="Arial" w:cs="Arial"/>
          <w:sz w:val="24"/>
          <w:szCs w:val="24"/>
          <w:u w:val="single"/>
        </w:rPr>
        <w:t>Script Reference List</w:t>
      </w:r>
    </w:p>
    <w:p w14:paraId="52B92364"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Care Inspectorate Wales (2022) </w:t>
      </w:r>
      <w:r w:rsidRPr="0059743F">
        <w:rPr>
          <w:rFonts w:ascii="Arial" w:eastAsia="Calibri" w:hAnsi="Arial" w:cs="Arial"/>
          <w:i/>
          <w:iCs/>
          <w:sz w:val="24"/>
        </w:rPr>
        <w:t xml:space="preserve">What we do. </w:t>
      </w:r>
      <w:r w:rsidRPr="0059743F">
        <w:rPr>
          <w:rFonts w:ascii="Arial" w:eastAsia="Calibri" w:hAnsi="Arial" w:cs="Arial"/>
          <w:sz w:val="24"/>
        </w:rPr>
        <w:t xml:space="preserve">Available at: https://careinspectorate.wales/about-us/what-we-do (Accessed: 1 April 2022). </w:t>
      </w:r>
    </w:p>
    <w:p w14:paraId="238FA632"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Education Wales (2016) </w:t>
      </w:r>
      <w:r w:rsidRPr="0059743F">
        <w:rPr>
          <w:rFonts w:ascii="Arial" w:eastAsia="Calibri" w:hAnsi="Arial" w:cs="Arial"/>
          <w:i/>
          <w:iCs/>
          <w:sz w:val="24"/>
        </w:rPr>
        <w:t xml:space="preserve">National Minimum Standards for Regulated Childcare for children up to the age of 12 years. </w:t>
      </w:r>
      <w:r w:rsidRPr="0059743F">
        <w:rPr>
          <w:rFonts w:ascii="Arial" w:eastAsia="Calibri" w:hAnsi="Arial" w:cs="Arial"/>
          <w:sz w:val="24"/>
        </w:rPr>
        <w:t xml:space="preserve">Available at: https://careinspectorate.wales/sites/default/files/2018-01/160411regchildcareen.pdf (Accessed 1 April 2022). </w:t>
      </w:r>
    </w:p>
    <w:p w14:paraId="58E79119"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Harris, R. </w:t>
      </w:r>
      <w:r w:rsidRPr="0059743F">
        <w:rPr>
          <w:rFonts w:ascii="Arial" w:eastAsia="Calibri" w:hAnsi="Arial" w:cs="Arial"/>
          <w:i/>
          <w:iCs/>
          <w:sz w:val="24"/>
        </w:rPr>
        <w:t xml:space="preserve">et al. </w:t>
      </w:r>
      <w:r w:rsidRPr="0059743F">
        <w:rPr>
          <w:rFonts w:ascii="Arial" w:eastAsia="Calibri" w:hAnsi="Arial" w:cs="Arial"/>
          <w:sz w:val="24"/>
        </w:rPr>
        <w:t>(2001)</w:t>
      </w:r>
      <w:r w:rsidRPr="0059743F">
        <w:rPr>
          <w:rFonts w:ascii="Arial" w:eastAsia="Calibri" w:hAnsi="Arial" w:cs="Arial"/>
          <w:i/>
          <w:iCs/>
          <w:sz w:val="24"/>
        </w:rPr>
        <w:t xml:space="preserve"> The changing role of staff development for teachers and trainers in vocational education and training.</w:t>
      </w:r>
      <w:r w:rsidRPr="0059743F">
        <w:rPr>
          <w:rFonts w:ascii="Arial" w:eastAsia="Calibri" w:hAnsi="Arial" w:cs="Arial"/>
          <w:sz w:val="24"/>
        </w:rPr>
        <w:t xml:space="preserve"> Leabrook: NCVER.</w:t>
      </w:r>
    </w:p>
    <w:p w14:paraId="46B64A1E"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Maduenyi, S. </w:t>
      </w:r>
      <w:r w:rsidRPr="0059743F">
        <w:rPr>
          <w:rFonts w:ascii="Arial" w:eastAsia="Calibri" w:hAnsi="Arial" w:cs="Arial"/>
          <w:i/>
          <w:iCs/>
          <w:sz w:val="24"/>
        </w:rPr>
        <w:t>et al. (</w:t>
      </w:r>
      <w:r w:rsidRPr="0059743F">
        <w:rPr>
          <w:rFonts w:ascii="Arial" w:eastAsia="Calibri" w:hAnsi="Arial" w:cs="Arial"/>
          <w:sz w:val="24"/>
        </w:rPr>
        <w:t xml:space="preserve">2015) 'Impact of Organisational Structure on Organisational Performance’, </w:t>
      </w:r>
      <w:r w:rsidRPr="0059743F">
        <w:rPr>
          <w:rFonts w:ascii="Arial" w:eastAsia="Calibri" w:hAnsi="Arial" w:cs="Arial"/>
          <w:i/>
          <w:iCs/>
          <w:sz w:val="24"/>
        </w:rPr>
        <w:t xml:space="preserve">International Conference on African Development Issues. </w:t>
      </w:r>
      <w:r w:rsidRPr="0059743F">
        <w:rPr>
          <w:rFonts w:ascii="Arial" w:eastAsia="Calibri" w:hAnsi="Arial" w:cs="Arial"/>
          <w:sz w:val="24"/>
        </w:rPr>
        <w:t>Available at: http://eprints.covenantuniversity.edu.ng/5296/1/Paper%20140.pdf (Accessed: 1 April 2022)</w:t>
      </w:r>
    </w:p>
    <w:p w14:paraId="5A46392A"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Maisey, D. (2018) ‘Early years safeguarding and child protection in practice: An enquiry into the experiences of newly qualified practitioners’, </w:t>
      </w:r>
      <w:r w:rsidRPr="0059743F">
        <w:rPr>
          <w:rFonts w:ascii="Arial" w:eastAsia="Calibri" w:hAnsi="Arial" w:cs="Arial"/>
          <w:i/>
          <w:iCs/>
          <w:sz w:val="24"/>
        </w:rPr>
        <w:t xml:space="preserve">EdD Kingston University. </w:t>
      </w:r>
      <w:r w:rsidRPr="0059743F">
        <w:rPr>
          <w:rFonts w:ascii="Arial" w:eastAsia="Calibri" w:hAnsi="Arial" w:cs="Arial"/>
          <w:sz w:val="24"/>
        </w:rPr>
        <w:t xml:space="preserve">Available at: https://eprints.kingston.ac.uk/id/eprint/45038/1/Maisey-D-45038.pdf </w:t>
      </w:r>
    </w:p>
    <w:p w14:paraId="530BD90C" w14:textId="77777777" w:rsidR="00B711FC" w:rsidRPr="0059743F" w:rsidRDefault="00B711FC" w:rsidP="00B711FC">
      <w:pPr>
        <w:spacing w:line="360" w:lineRule="auto"/>
        <w:jc w:val="both"/>
        <w:rPr>
          <w:rFonts w:ascii="Arial" w:eastAsia="Open Sans" w:hAnsi="Arial" w:cs="Arial"/>
          <w:szCs w:val="21"/>
        </w:rPr>
      </w:pPr>
      <w:r w:rsidRPr="0059743F">
        <w:rPr>
          <w:rFonts w:ascii="Arial" w:hAnsi="Arial" w:cs="Arial"/>
          <w:sz w:val="24"/>
        </w:rPr>
        <w:t>Murdoch-Eaton, D. and Sandars, J. (2013) ‘</w:t>
      </w:r>
      <w:r w:rsidRPr="0059743F">
        <w:rPr>
          <w:rFonts w:ascii="Arial" w:eastAsia="Calibri" w:hAnsi="Arial" w:cs="Arial"/>
          <w:sz w:val="24"/>
        </w:rPr>
        <w:t xml:space="preserve">Reflection - moving from a mandatory ritual to meaningful professional development’, </w:t>
      </w:r>
      <w:r w:rsidRPr="0059743F">
        <w:rPr>
          <w:rFonts w:ascii="Arial" w:eastAsia="Calibri" w:hAnsi="Arial" w:cs="Arial"/>
          <w:i/>
          <w:iCs/>
          <w:sz w:val="24"/>
        </w:rPr>
        <w:t xml:space="preserve">White Rose Research Online. </w:t>
      </w:r>
      <w:r w:rsidRPr="0059743F">
        <w:rPr>
          <w:rFonts w:ascii="Arial" w:eastAsia="Calibri" w:hAnsi="Arial" w:cs="Arial"/>
          <w:sz w:val="24"/>
        </w:rPr>
        <w:t>DOI: 10.1136/archdischild-2013-303948</w:t>
      </w:r>
    </w:p>
    <w:p w14:paraId="08928491"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Nene, S. and Pillay, A. (2019) ‘An Investigation of the Impact of Organisational Structure on Organisational performance’, </w:t>
      </w:r>
      <w:r w:rsidRPr="0059743F">
        <w:rPr>
          <w:rFonts w:ascii="Arial" w:eastAsia="Calibri" w:hAnsi="Arial" w:cs="Arial"/>
          <w:i/>
          <w:iCs/>
          <w:sz w:val="24"/>
        </w:rPr>
        <w:t>Financial Risk and Management Reviews</w:t>
      </w:r>
      <w:r w:rsidRPr="0059743F">
        <w:rPr>
          <w:rFonts w:ascii="Arial" w:eastAsia="Calibri" w:hAnsi="Arial" w:cs="Arial"/>
          <w:sz w:val="24"/>
        </w:rPr>
        <w:t>, 5(1), pp. 10-24. DOI: 10.18488/journal.89.2019.51.10.24</w:t>
      </w:r>
    </w:p>
    <w:p w14:paraId="77F47508"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lastRenderedPageBreak/>
        <w:t xml:space="preserve">Nesbit, T. (2003) ‘Learning for Change: Staff Training, Leadership Development, and Union Transformation’, </w:t>
      </w:r>
      <w:r w:rsidRPr="0059743F">
        <w:rPr>
          <w:rFonts w:ascii="Arial" w:eastAsia="Calibri" w:hAnsi="Arial" w:cs="Arial"/>
          <w:i/>
          <w:iCs/>
          <w:sz w:val="24"/>
        </w:rPr>
        <w:t xml:space="preserve">Labor Studies Journal, </w:t>
      </w:r>
      <w:r w:rsidRPr="0059743F">
        <w:rPr>
          <w:rFonts w:ascii="Arial" w:eastAsia="Calibri" w:hAnsi="Arial" w:cs="Arial"/>
          <w:sz w:val="24"/>
        </w:rPr>
        <w:t>28(1), pp. 109-132. DOI: 10.1177/0160449X0302800106</w:t>
      </w:r>
    </w:p>
    <w:p w14:paraId="783AA33F"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i/>
          <w:iCs/>
          <w:sz w:val="24"/>
        </w:rPr>
        <w:t xml:space="preserve">Social Services and Well-Being (Wales) Act 2014 </w:t>
      </w:r>
      <w:r w:rsidRPr="0059743F">
        <w:rPr>
          <w:rFonts w:ascii="Arial" w:eastAsia="Calibri" w:hAnsi="Arial" w:cs="Arial"/>
          <w:sz w:val="24"/>
        </w:rPr>
        <w:t>(Anaw 4). Available at: https://www.legislation.gov.uk/anaw/2014/4/contents (Accessed (1 April 2022)</w:t>
      </w:r>
    </w:p>
    <w:p w14:paraId="7C95A517"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i/>
          <w:iCs/>
          <w:sz w:val="24"/>
        </w:rPr>
        <w:t xml:space="preserve">The Child Minding and Day Care (Wales) Regulations 2010 </w:t>
      </w:r>
      <w:r w:rsidRPr="0059743F">
        <w:rPr>
          <w:rFonts w:ascii="Arial" w:eastAsia="Calibri" w:hAnsi="Arial" w:cs="Arial"/>
          <w:sz w:val="24"/>
        </w:rPr>
        <w:t>(SI 2010/2574 (W.214)). Available at: https://www.legislation.gov.uk/wsi/2010/2574/made (Accessed: 1 April 2022).</w:t>
      </w:r>
    </w:p>
    <w:p w14:paraId="13EB5147" w14:textId="77777777" w:rsidR="00B711FC" w:rsidRPr="0059743F" w:rsidRDefault="00B711FC" w:rsidP="00B711FC">
      <w:pPr>
        <w:spacing w:line="360" w:lineRule="auto"/>
        <w:jc w:val="both"/>
        <w:rPr>
          <w:rFonts w:ascii="Arial" w:eastAsia="Calibri" w:hAnsi="Arial" w:cs="Arial"/>
          <w:i/>
          <w:iCs/>
          <w:sz w:val="24"/>
        </w:rPr>
      </w:pPr>
      <w:r w:rsidRPr="0059743F">
        <w:rPr>
          <w:rFonts w:ascii="Arial" w:eastAsia="Calibri" w:hAnsi="Arial" w:cs="Arial"/>
          <w:sz w:val="24"/>
        </w:rPr>
        <w:t>Ward, H. And Brown, R. (2013) ‘Safeguarding Children in the Early Years’, in Pugh, G. and Duffy, B. (6</w:t>
      </w:r>
      <w:r w:rsidRPr="0059743F">
        <w:rPr>
          <w:rFonts w:ascii="Arial" w:eastAsia="Calibri" w:hAnsi="Arial" w:cs="Arial"/>
          <w:sz w:val="24"/>
          <w:vertAlign w:val="superscript"/>
        </w:rPr>
        <w:t>th</w:t>
      </w:r>
      <w:r w:rsidRPr="0059743F">
        <w:rPr>
          <w:rFonts w:ascii="Arial" w:eastAsia="Calibri" w:hAnsi="Arial" w:cs="Arial"/>
          <w:sz w:val="24"/>
        </w:rPr>
        <w:t xml:space="preserve"> ed.) </w:t>
      </w:r>
      <w:r w:rsidRPr="0059743F">
        <w:rPr>
          <w:rFonts w:ascii="Arial" w:eastAsia="Calibri" w:hAnsi="Arial" w:cs="Arial"/>
          <w:i/>
          <w:iCs/>
          <w:sz w:val="24"/>
        </w:rPr>
        <w:t xml:space="preserve">Contemporary Issues in the Early Years. </w:t>
      </w:r>
      <w:r w:rsidRPr="0059743F">
        <w:rPr>
          <w:rFonts w:ascii="Arial" w:eastAsia="Calibri" w:hAnsi="Arial" w:cs="Arial"/>
          <w:sz w:val="24"/>
        </w:rPr>
        <w:t>London: SAGE Publications</w:t>
      </w:r>
    </w:p>
    <w:p w14:paraId="44AD59F4" w14:textId="77777777" w:rsidR="00B711FC" w:rsidRPr="00B711FC" w:rsidRDefault="00B711FC" w:rsidP="00B711FC">
      <w:pPr>
        <w:spacing w:line="360" w:lineRule="auto"/>
        <w:jc w:val="both"/>
        <w:rPr>
          <w:rFonts w:ascii="Arial" w:eastAsia="Times New Roman" w:hAnsi="Arial" w:cs="Arial"/>
          <w:sz w:val="24"/>
          <w:szCs w:val="24"/>
        </w:rPr>
      </w:pPr>
    </w:p>
    <w:sectPr w:rsidR="00B711FC" w:rsidRPr="00B711F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539964" w14:textId="77777777" w:rsidR="008C31BB" w:rsidRDefault="008C31BB" w:rsidP="00B711FC">
      <w:pPr>
        <w:spacing w:after="0" w:line="240" w:lineRule="auto"/>
      </w:pPr>
      <w:r>
        <w:separator/>
      </w:r>
    </w:p>
  </w:endnote>
  <w:endnote w:type="continuationSeparator" w:id="0">
    <w:p w14:paraId="6340E320" w14:textId="77777777" w:rsidR="008C31BB" w:rsidRDefault="008C31BB" w:rsidP="00B71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2354763"/>
      <w:docPartObj>
        <w:docPartGallery w:val="Page Numbers (Bottom of Page)"/>
        <w:docPartUnique/>
      </w:docPartObj>
    </w:sdtPr>
    <w:sdtEndPr>
      <w:rPr>
        <w:noProof/>
      </w:rPr>
    </w:sdtEndPr>
    <w:sdtContent>
      <w:p w14:paraId="1BE9A99A" w14:textId="65FCD7D9" w:rsidR="00B711FC" w:rsidRDefault="00B711F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B01DEFD" w14:textId="54754DB2" w:rsidR="00B711FC" w:rsidRDefault="00B711FC" w:rsidP="00B711F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6A0F6E" w14:textId="77777777" w:rsidR="008C31BB" w:rsidRDefault="008C31BB" w:rsidP="00B711FC">
      <w:pPr>
        <w:spacing w:after="0" w:line="240" w:lineRule="auto"/>
      </w:pPr>
      <w:r>
        <w:separator/>
      </w:r>
    </w:p>
  </w:footnote>
  <w:footnote w:type="continuationSeparator" w:id="0">
    <w:p w14:paraId="5AFD6D49" w14:textId="77777777" w:rsidR="008C31BB" w:rsidRDefault="008C31BB" w:rsidP="00B71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0CC9E" w14:textId="3C7023E0" w:rsidR="00B711FC" w:rsidRDefault="00B711FC" w:rsidP="00B711FC">
    <w:pPr>
      <w:pStyle w:val="Header"/>
    </w:pPr>
    <w:r>
      <w:t>1902252</w:t>
    </w:r>
    <w:r>
      <w:tab/>
      <w:t>ECEY6004/C</w:t>
    </w:r>
    <w:r>
      <w:tab/>
      <w:t>Word Count: 2258</w:t>
    </w:r>
  </w:p>
</w:hdr>
</file>

<file path=word/intelligence2.xml><?xml version="1.0" encoding="utf-8"?>
<int2:intelligence xmlns:int2="http://schemas.microsoft.com/office/intelligence/2020/intelligence">
  <int2:observations>
    <int2:textHash int2:hashCode="kByidkXaRxGvMx" int2:id="NQKckroK">
      <int2:state int2:type="LegacyProofing" int2:value="Rejected"/>
    </int2:textHash>
    <int2:textHash int2:hashCode="SlYFDncvjWIs3o" int2:id="jpUiluTU">
      <int2:state int2:type="LegacyProofing" int2:value="Rejected"/>
    </int2:textHash>
    <int2:textHash int2:hashCode="AW+yXMWuNhOwpF" int2:id="FxZNqoGf">
      <int2:state int2:type="LegacyProofing" int2:value="Rejected"/>
    </int2:textHash>
    <int2:textHash int2:hashCode="xcgb3EeIup7nN2" int2:id="d3zSqWXa">
      <int2:state int2:type="LegacyProofing" int2:value="Rejected"/>
    </int2:textHash>
    <int2:textHash int2:hashCode="g+YRLZo2SROmtB" int2:id="ZAKNc2YP">
      <int2:state int2:type="LegacyProofing" int2:value="Rejected"/>
    </int2:textHash>
    <int2:textHash int2:hashCode="hN6B5b8f/AaH/i" int2:id="RNk9DDJE">
      <int2:state int2:type="LegacyProofing" int2:value="Rejected"/>
    </int2:textHash>
    <int2:textHash int2:hashCode="zNGux/3p+fnJp5" int2:id="eJcMAYiv">
      <int2:state int2:type="LegacyProofing" int2:value="Rejected"/>
    </int2:textHash>
    <int2:textHash int2:hashCode="paMuQpX6gctwT3" int2:id="ZdImQuEn">
      <int2:state int2:type="AugLoop_Acronyms_AcronymsCritique" int2:value="Rejected"/>
    </int2:textHash>
    <int2:textHash int2:hashCode="0lXQ0GySJQ8tJA" int2:id="CaPtbuK2">
      <int2:state int2:type="AugLoop_Text_Critique" int2:value="Rejected"/>
    </int2:textHash>
    <int2:textHash int2:hashCode="LfcTtbga2f1RMZ" int2:id="gb186cmj">
      <int2:state int2:type="AugLoop_Text_Critique" int2:value="Rejected"/>
    </int2:textHash>
    <int2:textHash int2:hashCode="+hdU/uc5m/boT2" int2:id="1ODUvnRj">
      <int2:state int2:type="AugLoop_Text_Critique" int2:value="Rejected"/>
    </int2:textHash>
    <int2:textHash int2:hashCode="J+rFtDBvgFYfAx" int2:id="pAm85BV0">
      <int2:state int2:type="LegacyProofing" int2:value="Rejected"/>
    </int2:textHash>
    <int2:textHash int2:hashCode="VRd/LyDcPFdCnc" int2:id="8A6GayJG">
      <int2:state int2:type="AugLoop_Text_Critique" int2:value="Rejected"/>
    </int2:textHash>
    <int2:textHash int2:hashCode="e0dMsLOcF3PXGS" int2:id="WdvMjodo">
      <int2:state int2:type="AugLoop_Text_Critique" int2:value="Rejected"/>
    </int2:textHash>
    <int2:textHash int2:hashCode="MzwRFRAJ2n/k5b" int2:id="uATTa6fL">
      <int2:state int2:type="AugLoop_Text_Critique" int2:value="Rejected"/>
    </int2:textHash>
    <int2:textHash int2:hashCode="r2zkyd2gpcf3CJ" int2:id="DgyRZYso">
      <int2:state int2:type="LegacyProofing" int2:value="Rejected"/>
    </int2:textHash>
    <int2:textHash int2:hashCode="5anwRGv3M+LwMt" int2:id="VygpdU3q">
      <int2:state int2:type="AugLoop_Text_Critique" int2:value="Rejected"/>
    </int2:textHash>
    <int2:textHash int2:hashCode="CT//e7o1eiDA6M" int2:id="gFhInstT">
      <int2:state int2:type="LegacyProofing" int2:value="Rejected"/>
    </int2:textHash>
    <int2:textHash int2:hashCode="wYBAQbIVzVCihN" int2:id="p6kj0R0v">
      <int2:state int2:type="AugLoop_Text_Critique" int2:value="Rejected"/>
    </int2:textHash>
    <int2:textHash int2:hashCode="m/C6mGJeQTWOW1" int2:id="xPHFltOQ">
      <int2:state int2:type="LegacyProofing" int2:value="Rejected"/>
    </int2:textHash>
    <int2:textHash int2:hashCode="QT3vy1eEmVb/8g" int2:id="SoJ1PACh">
      <int2:state int2:type="AugLoop_Acronyms_AcronymsCritique" int2:value="Rejected"/>
    </int2:textHash>
    <int2:textHash int2:hashCode="xQy+KnIliT8rxm" int2:id="XOcOrEUq">
      <int2:state int2:type="LegacyProofing" int2:value="Rejected"/>
    </int2:textHash>
    <int2:textHash int2:hashCode="mvseN4kaPOWVRo" int2:id="r7Pjkugt">
      <int2:state int2:type="LegacyProofing" int2:value="Rejected"/>
    </int2:textHash>
    <int2:bookmark int2:bookmarkName="_Int_jNF1TQ30" int2:invalidationBookmarkName="" int2:hashCode="rophPxaTgp5Fz8" int2:id="7gzmba3F">
      <int2:state int2:type="LegacyProofing" int2:value="Rejected"/>
    </int2:bookmark>
    <int2:bookmark int2:bookmarkName="_Int_9aLJ2roV" int2:invalidationBookmarkName="" int2:hashCode="wYBAQbIVzVCihN" int2:id="Qa5dyvvU">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B3E38"/>
    <w:multiLevelType w:val="hybridMultilevel"/>
    <w:tmpl w:val="3C9A5210"/>
    <w:lvl w:ilvl="0" w:tplc="B7BC2E0A">
      <w:start w:val="1"/>
      <w:numFmt w:val="bullet"/>
      <w:lvlText w:val=""/>
      <w:lvlJc w:val="left"/>
      <w:pPr>
        <w:ind w:left="720" w:hanging="360"/>
      </w:pPr>
      <w:rPr>
        <w:rFonts w:ascii="Symbol" w:hAnsi="Symbol" w:hint="default"/>
      </w:rPr>
    </w:lvl>
    <w:lvl w:ilvl="1" w:tplc="B498CAD0">
      <w:start w:val="1"/>
      <w:numFmt w:val="bullet"/>
      <w:lvlText w:val="o"/>
      <w:lvlJc w:val="left"/>
      <w:pPr>
        <w:ind w:left="1440" w:hanging="360"/>
      </w:pPr>
      <w:rPr>
        <w:rFonts w:ascii="Courier New" w:hAnsi="Courier New" w:hint="default"/>
      </w:rPr>
    </w:lvl>
    <w:lvl w:ilvl="2" w:tplc="05701454">
      <w:start w:val="1"/>
      <w:numFmt w:val="bullet"/>
      <w:lvlText w:val=""/>
      <w:lvlJc w:val="left"/>
      <w:pPr>
        <w:ind w:left="2160" w:hanging="360"/>
      </w:pPr>
      <w:rPr>
        <w:rFonts w:ascii="Wingdings" w:hAnsi="Wingdings" w:hint="default"/>
      </w:rPr>
    </w:lvl>
    <w:lvl w:ilvl="3" w:tplc="56ECF824">
      <w:start w:val="1"/>
      <w:numFmt w:val="bullet"/>
      <w:lvlText w:val=""/>
      <w:lvlJc w:val="left"/>
      <w:pPr>
        <w:ind w:left="2880" w:hanging="360"/>
      </w:pPr>
      <w:rPr>
        <w:rFonts w:ascii="Symbol" w:hAnsi="Symbol" w:hint="default"/>
      </w:rPr>
    </w:lvl>
    <w:lvl w:ilvl="4" w:tplc="1B723598">
      <w:start w:val="1"/>
      <w:numFmt w:val="bullet"/>
      <w:lvlText w:val="o"/>
      <w:lvlJc w:val="left"/>
      <w:pPr>
        <w:ind w:left="3600" w:hanging="360"/>
      </w:pPr>
      <w:rPr>
        <w:rFonts w:ascii="Courier New" w:hAnsi="Courier New" w:hint="default"/>
      </w:rPr>
    </w:lvl>
    <w:lvl w:ilvl="5" w:tplc="5F8CF286">
      <w:start w:val="1"/>
      <w:numFmt w:val="bullet"/>
      <w:lvlText w:val=""/>
      <w:lvlJc w:val="left"/>
      <w:pPr>
        <w:ind w:left="4320" w:hanging="360"/>
      </w:pPr>
      <w:rPr>
        <w:rFonts w:ascii="Wingdings" w:hAnsi="Wingdings" w:hint="default"/>
      </w:rPr>
    </w:lvl>
    <w:lvl w:ilvl="6" w:tplc="A1E44866">
      <w:start w:val="1"/>
      <w:numFmt w:val="bullet"/>
      <w:lvlText w:val=""/>
      <w:lvlJc w:val="left"/>
      <w:pPr>
        <w:ind w:left="5040" w:hanging="360"/>
      </w:pPr>
      <w:rPr>
        <w:rFonts w:ascii="Symbol" w:hAnsi="Symbol" w:hint="default"/>
      </w:rPr>
    </w:lvl>
    <w:lvl w:ilvl="7" w:tplc="D4A09242">
      <w:start w:val="1"/>
      <w:numFmt w:val="bullet"/>
      <w:lvlText w:val="o"/>
      <w:lvlJc w:val="left"/>
      <w:pPr>
        <w:ind w:left="5760" w:hanging="360"/>
      </w:pPr>
      <w:rPr>
        <w:rFonts w:ascii="Courier New" w:hAnsi="Courier New" w:hint="default"/>
      </w:rPr>
    </w:lvl>
    <w:lvl w:ilvl="8" w:tplc="8A16164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B178BD"/>
    <w:rsid w:val="001428EA"/>
    <w:rsid w:val="00699C31"/>
    <w:rsid w:val="00784B48"/>
    <w:rsid w:val="008C31BB"/>
    <w:rsid w:val="00B711FC"/>
    <w:rsid w:val="00CAFC54"/>
    <w:rsid w:val="010955E8"/>
    <w:rsid w:val="0142A726"/>
    <w:rsid w:val="0173DE20"/>
    <w:rsid w:val="019E6915"/>
    <w:rsid w:val="019EA5FB"/>
    <w:rsid w:val="02DE7787"/>
    <w:rsid w:val="0313587A"/>
    <w:rsid w:val="03A13CF3"/>
    <w:rsid w:val="03DA8CA7"/>
    <w:rsid w:val="03FBA212"/>
    <w:rsid w:val="053D0D54"/>
    <w:rsid w:val="05977273"/>
    <w:rsid w:val="075F6F0F"/>
    <w:rsid w:val="079F3E7F"/>
    <w:rsid w:val="07DB4FBF"/>
    <w:rsid w:val="07E31FA4"/>
    <w:rsid w:val="0838B9F2"/>
    <w:rsid w:val="0883614A"/>
    <w:rsid w:val="08D86086"/>
    <w:rsid w:val="097EF005"/>
    <w:rsid w:val="09CDF479"/>
    <w:rsid w:val="0A71DE9A"/>
    <w:rsid w:val="0AF9C824"/>
    <w:rsid w:val="0C100148"/>
    <w:rsid w:val="0C5451AE"/>
    <w:rsid w:val="0C5D87CD"/>
    <w:rsid w:val="0CBFFC3C"/>
    <w:rsid w:val="0CD92499"/>
    <w:rsid w:val="0D3554C1"/>
    <w:rsid w:val="0D9C900B"/>
    <w:rsid w:val="0DE01E3B"/>
    <w:rsid w:val="0DE094F0"/>
    <w:rsid w:val="0DF1F30F"/>
    <w:rsid w:val="0EFA2695"/>
    <w:rsid w:val="10719F5C"/>
    <w:rsid w:val="1087AD81"/>
    <w:rsid w:val="10AFCBFB"/>
    <w:rsid w:val="10F3C6CB"/>
    <w:rsid w:val="1190E841"/>
    <w:rsid w:val="128F972C"/>
    <w:rsid w:val="1386B323"/>
    <w:rsid w:val="13BF4E43"/>
    <w:rsid w:val="141B132D"/>
    <w:rsid w:val="144F7155"/>
    <w:rsid w:val="14F41B27"/>
    <w:rsid w:val="1561E452"/>
    <w:rsid w:val="17584F28"/>
    <w:rsid w:val="18D6F41F"/>
    <w:rsid w:val="1952A1FE"/>
    <w:rsid w:val="199D0155"/>
    <w:rsid w:val="1A8FEFEA"/>
    <w:rsid w:val="1AC07243"/>
    <w:rsid w:val="1C2E1215"/>
    <w:rsid w:val="1C5A833A"/>
    <w:rsid w:val="1C5C42A4"/>
    <w:rsid w:val="1D663089"/>
    <w:rsid w:val="1E10045F"/>
    <w:rsid w:val="1E3CC21A"/>
    <w:rsid w:val="1E3E49F7"/>
    <w:rsid w:val="1EB873EF"/>
    <w:rsid w:val="1FE8E63C"/>
    <w:rsid w:val="202F1319"/>
    <w:rsid w:val="20458D9C"/>
    <w:rsid w:val="21199D8F"/>
    <w:rsid w:val="2184B69D"/>
    <w:rsid w:val="21ADF1DF"/>
    <w:rsid w:val="21DE160C"/>
    <w:rsid w:val="2439247D"/>
    <w:rsid w:val="246D82A5"/>
    <w:rsid w:val="2491B6C2"/>
    <w:rsid w:val="2511E99A"/>
    <w:rsid w:val="254094D4"/>
    <w:rsid w:val="25BF86AE"/>
    <w:rsid w:val="2604C994"/>
    <w:rsid w:val="262D8723"/>
    <w:rsid w:val="265A8C1B"/>
    <w:rsid w:val="26852C40"/>
    <w:rsid w:val="26A9CDF8"/>
    <w:rsid w:val="26F6E7DD"/>
    <w:rsid w:val="2764DCA5"/>
    <w:rsid w:val="27F70A46"/>
    <w:rsid w:val="281E3B15"/>
    <w:rsid w:val="28498A5C"/>
    <w:rsid w:val="29B6D8B5"/>
    <w:rsid w:val="29E3F9F7"/>
    <w:rsid w:val="29E55ABD"/>
    <w:rsid w:val="2A2D8B85"/>
    <w:rsid w:val="2AA86601"/>
    <w:rsid w:val="2B1F4E27"/>
    <w:rsid w:val="2B53735F"/>
    <w:rsid w:val="2CA85410"/>
    <w:rsid w:val="2D9337F6"/>
    <w:rsid w:val="2DC56077"/>
    <w:rsid w:val="2FE8F3CE"/>
    <w:rsid w:val="30016E61"/>
    <w:rsid w:val="30ED47EB"/>
    <w:rsid w:val="30FD0139"/>
    <w:rsid w:val="31DF6F34"/>
    <w:rsid w:val="3275A7CE"/>
    <w:rsid w:val="3411782F"/>
    <w:rsid w:val="34F98B5C"/>
    <w:rsid w:val="3529E2DD"/>
    <w:rsid w:val="354BF77E"/>
    <w:rsid w:val="35700443"/>
    <w:rsid w:val="359CC1FE"/>
    <w:rsid w:val="361F76D0"/>
    <w:rsid w:val="37D98701"/>
    <w:rsid w:val="37F357E9"/>
    <w:rsid w:val="38A5D405"/>
    <w:rsid w:val="38C899C7"/>
    <w:rsid w:val="38D462C0"/>
    <w:rsid w:val="3908131E"/>
    <w:rsid w:val="393CB134"/>
    <w:rsid w:val="3A71BAFE"/>
    <w:rsid w:val="3B068444"/>
    <w:rsid w:val="3B7FFB81"/>
    <w:rsid w:val="3B992461"/>
    <w:rsid w:val="3B9F3C6E"/>
    <w:rsid w:val="3C35DC34"/>
    <w:rsid w:val="3CBE77DA"/>
    <w:rsid w:val="3D0C8AC7"/>
    <w:rsid w:val="3D197A18"/>
    <w:rsid w:val="3D32A275"/>
    <w:rsid w:val="3D7B1628"/>
    <w:rsid w:val="3E411FDE"/>
    <w:rsid w:val="3EB79C43"/>
    <w:rsid w:val="3ECE72D6"/>
    <w:rsid w:val="3F1D0214"/>
    <w:rsid w:val="3F71E93F"/>
    <w:rsid w:val="40179648"/>
    <w:rsid w:val="40442B89"/>
    <w:rsid w:val="40511ADA"/>
    <w:rsid w:val="4097BD8D"/>
    <w:rsid w:val="40A0F3AC"/>
    <w:rsid w:val="40D6D2DA"/>
    <w:rsid w:val="40E8EA08"/>
    <w:rsid w:val="41416E9E"/>
    <w:rsid w:val="4206E7F6"/>
    <w:rsid w:val="4218BA45"/>
    <w:rsid w:val="424E874B"/>
    <w:rsid w:val="42E8358F"/>
    <w:rsid w:val="430FD63C"/>
    <w:rsid w:val="448405F0"/>
    <w:rsid w:val="44D1DF0E"/>
    <w:rsid w:val="44D43F73"/>
    <w:rsid w:val="4525605B"/>
    <w:rsid w:val="45AC7587"/>
    <w:rsid w:val="466DAF6F"/>
    <w:rsid w:val="47103530"/>
    <w:rsid w:val="47582B8C"/>
    <w:rsid w:val="47AD244D"/>
    <w:rsid w:val="4836DF5A"/>
    <w:rsid w:val="48AC0591"/>
    <w:rsid w:val="48E41649"/>
    <w:rsid w:val="4918CB85"/>
    <w:rsid w:val="49D2AFBB"/>
    <w:rsid w:val="4A8FCC4E"/>
    <w:rsid w:val="4CB178BD"/>
    <w:rsid w:val="4D9DB77F"/>
    <w:rsid w:val="4DEC3CA8"/>
    <w:rsid w:val="4E3DD04F"/>
    <w:rsid w:val="4F144418"/>
    <w:rsid w:val="4F31DE3E"/>
    <w:rsid w:val="4FD735DA"/>
    <w:rsid w:val="4FE39824"/>
    <w:rsid w:val="4FF5D015"/>
    <w:rsid w:val="5005D3E9"/>
    <w:rsid w:val="50471AC0"/>
    <w:rsid w:val="518032CE"/>
    <w:rsid w:val="52FB7DAC"/>
    <w:rsid w:val="53568062"/>
    <w:rsid w:val="5395DC18"/>
    <w:rsid w:val="54054F61"/>
    <w:rsid w:val="5451698D"/>
    <w:rsid w:val="5492A259"/>
    <w:rsid w:val="55DBC5CB"/>
    <w:rsid w:val="56651199"/>
    <w:rsid w:val="56F9BBA6"/>
    <w:rsid w:val="5777962C"/>
    <w:rsid w:val="58D8C084"/>
    <w:rsid w:val="590ECBEE"/>
    <w:rsid w:val="5964EFC3"/>
    <w:rsid w:val="596D1D10"/>
    <w:rsid w:val="598389FE"/>
    <w:rsid w:val="59F178EA"/>
    <w:rsid w:val="5B08ED71"/>
    <w:rsid w:val="5B0DECB7"/>
    <w:rsid w:val="5DE01202"/>
    <w:rsid w:val="5DFD7755"/>
    <w:rsid w:val="5E136CF1"/>
    <w:rsid w:val="5E9E566B"/>
    <w:rsid w:val="5EB4EA21"/>
    <w:rsid w:val="5F7216E7"/>
    <w:rsid w:val="60090207"/>
    <w:rsid w:val="604EFD28"/>
    <w:rsid w:val="60D3DF32"/>
    <w:rsid w:val="6100B576"/>
    <w:rsid w:val="614B0DB3"/>
    <w:rsid w:val="626FAF93"/>
    <w:rsid w:val="62A909DF"/>
    <w:rsid w:val="63B06C2B"/>
    <w:rsid w:val="63F3A12B"/>
    <w:rsid w:val="6444DA40"/>
    <w:rsid w:val="64980820"/>
    <w:rsid w:val="64B0B3A9"/>
    <w:rsid w:val="658F9847"/>
    <w:rsid w:val="672B68A8"/>
    <w:rsid w:val="67E8546B"/>
    <w:rsid w:val="681A7B6E"/>
    <w:rsid w:val="6845E559"/>
    <w:rsid w:val="686AB4F1"/>
    <w:rsid w:val="689ADE1A"/>
    <w:rsid w:val="69DCB711"/>
    <w:rsid w:val="69DF095E"/>
    <w:rsid w:val="6A36AE7B"/>
    <w:rsid w:val="6A63096A"/>
    <w:rsid w:val="6A92A235"/>
    <w:rsid w:val="6B091E9A"/>
    <w:rsid w:val="6B4EB81C"/>
    <w:rsid w:val="6BB12C8B"/>
    <w:rsid w:val="6C29411C"/>
    <w:rsid w:val="6CEA887D"/>
    <w:rsid w:val="6CEB10E4"/>
    <w:rsid w:val="6CF27603"/>
    <w:rsid w:val="6D043941"/>
    <w:rsid w:val="6D04AC76"/>
    <w:rsid w:val="6EF0BA50"/>
    <w:rsid w:val="706ECBD2"/>
    <w:rsid w:val="7075C6D6"/>
    <w:rsid w:val="7128E673"/>
    <w:rsid w:val="717860A1"/>
    <w:rsid w:val="71BE8207"/>
    <w:rsid w:val="71ECC79F"/>
    <w:rsid w:val="729DB41A"/>
    <w:rsid w:val="72D85A23"/>
    <w:rsid w:val="72DFB634"/>
    <w:rsid w:val="735A5268"/>
    <w:rsid w:val="73E77A1F"/>
    <w:rsid w:val="74742A84"/>
    <w:rsid w:val="753598A0"/>
    <w:rsid w:val="75423CF5"/>
    <w:rsid w:val="75834A80"/>
    <w:rsid w:val="758BFD37"/>
    <w:rsid w:val="75996ADA"/>
    <w:rsid w:val="75A8F96A"/>
    <w:rsid w:val="75B6FB05"/>
    <w:rsid w:val="75B771BA"/>
    <w:rsid w:val="771F1AE1"/>
    <w:rsid w:val="7720AADE"/>
    <w:rsid w:val="772CC1D0"/>
    <w:rsid w:val="77E42C1F"/>
    <w:rsid w:val="79D0F90B"/>
    <w:rsid w:val="7AF6D8EC"/>
    <w:rsid w:val="7B6CC96C"/>
    <w:rsid w:val="7BC06703"/>
    <w:rsid w:val="7BF0902C"/>
    <w:rsid w:val="7C5582E2"/>
    <w:rsid w:val="7D326923"/>
    <w:rsid w:val="7EF807C5"/>
    <w:rsid w:val="7F532626"/>
    <w:rsid w:val="7F81E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178BD"/>
  <w15:chartTrackingRefBased/>
  <w15:docId w15:val="{F038D73E-CF39-4F2D-B893-720BAC03C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1FC"/>
  </w:style>
  <w:style w:type="paragraph" w:styleId="Footer">
    <w:name w:val="footer"/>
    <w:basedOn w:val="Normal"/>
    <w:link w:val="FooterChar"/>
    <w:uiPriority w:val="99"/>
    <w:unhideWhenUsed/>
    <w:rsid w:val="00B71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f62e78206c764516"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3019</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Davies (YGG Rhosafan)</dc:creator>
  <cp:keywords/>
  <dc:description/>
  <cp:lastModifiedBy>D Davies (YGG Rhosafan)</cp:lastModifiedBy>
  <cp:revision>2</cp:revision>
  <dcterms:created xsi:type="dcterms:W3CDTF">2022-04-08T18:07:00Z</dcterms:created>
  <dcterms:modified xsi:type="dcterms:W3CDTF">2022-04-08T18:07:00Z</dcterms:modified>
</cp:coreProperties>
</file>